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E6B71" w14:textId="77777777" w:rsidR="00732970" w:rsidRDefault="00732970" w:rsidP="00732970">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p>
    <w:p w14:paraId="4A9459CD" w14:textId="3A9792FB" w:rsidR="00732970" w:rsidRDefault="00732970"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24MOC-85</w:t>
      </w:r>
    </w:p>
    <w:p w14:paraId="6EAD83E0" w14:textId="70AF9524" w:rsid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atxikia dagoen María Teresa Nosti Izquierdo andreak, Legebiltzarreko Erregelamenduaren 219. artikuluan xedatzen denaren babesean, honako mozio hau aurkezten du, 2024ko ekainaren 13ko Osoko Bilkuran eztabaidatu eta bozkatzeko:</w:t>
      </w:r>
      <w:r>
        <w:rPr>
          <w:sz w:val="22"/>
          <w:rFonts w:ascii="Calibri" w:hAnsi="Calibri"/>
        </w:rPr>
        <w:t xml:space="preserve"> </w:t>
      </w:r>
    </w:p>
    <w:p w14:paraId="20923295" w14:textId="2DAF130C" w:rsidR="00732970" w:rsidRPr="00732970" w:rsidRDefault="00732970" w:rsidP="00732970">
      <w:pPr>
        <w:pStyle w:val="Style"/>
        <w:spacing w:before="100" w:beforeAutospacing="1" w:after="200" w:line="276" w:lineRule="auto"/>
        <w:ind w:leftChars="567" w:left="1247" w:rightChars="567" w:right="1247"/>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0570CCD7" w14:textId="5926CF0B" w:rsidR="00CD0D0E" w:rsidRP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Espainiako Errege Akademiak honela definitzen du eskola-jazarpena: "ikasle batek edo gehiagok beste bati egindako jazarpena, besteen aurrean hura iraintzeko eta laidotzeko xedez".</w:t>
      </w:r>
      <w:r>
        <w:rPr>
          <w:sz w:val="22"/>
          <w:rFonts w:ascii="Calibri" w:hAnsi="Calibri"/>
        </w:rPr>
        <w:t xml:space="preserve"> </w:t>
      </w:r>
    </w:p>
    <w:p w14:paraId="7C60D909" w14:textId="26938F95" w:rsid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Zoritxarrez, praktika hori gero eta ohikoagoa da ikastetxeetan.</w:t>
      </w:r>
      <w:r>
        <w:rPr>
          <w:sz w:val="22"/>
          <w:rFonts w:ascii="Calibri" w:hAnsi="Calibri"/>
        </w:rPr>
        <w:t xml:space="preserve"> </w:t>
      </w:r>
      <w:r>
        <w:rPr>
          <w:sz w:val="22"/>
          <w:rFonts w:ascii="Calibri" w:hAnsi="Calibri"/>
        </w:rPr>
        <w:t xml:space="preserve">Espainiako 10 ikasletik ia batek dio jazarpen-egoerak bizi izan dituela noizbait Lehen Hezkuntzako ikastetxean bertan.</w:t>
      </w:r>
      <w:r>
        <w:rPr>
          <w:sz w:val="22"/>
          <w:rFonts w:ascii="Calibri" w:hAnsi="Calibri"/>
        </w:rPr>
        <w:t xml:space="preserve"> </w:t>
      </w:r>
    </w:p>
    <w:p w14:paraId="34728A01" w14:textId="1A3B2599" w:rsidR="00CD0D0E" w:rsidRP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Bigarren Hezkuntzan, datuek antzeko egoera erakusten dute: ikasle horien % 15,6k dio ikaskideren batek jazarpena egin diola noizbait, sarritan edo maiz.</w:t>
      </w:r>
      <w:r>
        <w:rPr>
          <w:sz w:val="22"/>
          <w:rFonts w:ascii="Calibri" w:hAnsi="Calibri"/>
        </w:rPr>
        <w:t xml:space="preserve"> </w:t>
      </w:r>
    </w:p>
    <w:p w14:paraId="29251CF6" w14:textId="77777777" w:rsidR="00CD0D0E" w:rsidRP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Adingabeen artean, kanpoko heriotzaren lehen kausa suizidioa da, batez ere eskola-jazarpenak edo </w:t>
      </w:r>
      <w:r>
        <w:rPr>
          <w:sz w:val="22"/>
          <w:i/>
          <w:iCs/>
          <w:rFonts w:ascii="Calibri" w:hAnsi="Calibri"/>
        </w:rPr>
        <w:t xml:space="preserve">bullying</w:t>
      </w:r>
      <w:r>
        <w:rPr>
          <w:sz w:val="22"/>
          <w:rFonts w:ascii="Calibri" w:hAnsi="Calibri"/>
        </w:rPr>
        <w:t xml:space="preserve">ak eragindakoa.</w:t>
      </w:r>
      <w:r>
        <w:rPr>
          <w:sz w:val="22"/>
          <w:rFonts w:ascii="Calibri" w:hAnsi="Calibri"/>
        </w:rPr>
        <w:t xml:space="preserve"> </w:t>
      </w:r>
    </w:p>
    <w:p w14:paraId="1CA8ADB7" w14:textId="77777777" w:rsid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Baliabide elektronikoen eta sare sozialen bidezko </w:t>
      </w:r>
      <w:r>
        <w:rPr>
          <w:sz w:val="22"/>
          <w:i/>
          <w:iCs/>
          <w:rFonts w:ascii="Calibri" w:hAnsi="Calibri"/>
        </w:rPr>
        <w:t xml:space="preserve">cyberbullying</w:t>
      </w:r>
      <w:r>
        <w:rPr>
          <w:sz w:val="22"/>
          <w:rFonts w:ascii="Calibri" w:hAnsi="Calibri"/>
        </w:rPr>
        <w:t xml:space="preserve">a edo jazarpena da, orobat, adingabeen arteko jazarpenaren faktore nagusietako bat ikastetxeetan.</w:t>
      </w:r>
      <w:r>
        <w:rPr>
          <w:sz w:val="22"/>
          <w:rFonts w:ascii="Calibri" w:hAnsi="Calibri"/>
        </w:rPr>
        <w:t xml:space="preserve"> </w:t>
      </w:r>
      <w:r>
        <w:rPr>
          <w:sz w:val="22"/>
          <w:rFonts w:ascii="Calibri" w:hAnsi="Calibri"/>
        </w:rPr>
        <w:t xml:space="preserve">Telefono mugikorrek eragin handia dute ikasleengan, txiki-txikitatik erabiltzen baitituzte.</w:t>
      </w:r>
      <w:r>
        <w:rPr>
          <w:sz w:val="22"/>
          <w:rFonts w:ascii="Calibri" w:hAnsi="Calibri"/>
        </w:rPr>
        <w:t xml:space="preserve"> </w:t>
      </w:r>
    </w:p>
    <w:p w14:paraId="084B4365" w14:textId="77777777" w:rsid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Testuinguru horretan errealitate bereziki mingarriak ere badira. Autismoaren espektroko nahasmendua duten haurren arteko eskola-jazarpenaren datuak ikaragarriak dira: oraintsu egindako azterlanen arabera, autismoaren espektroko nahasmenduren bat duten haurren % 84k pairatu du inoiz edo behin jazarpena edo </w:t>
      </w:r>
      <w:r>
        <w:rPr>
          <w:sz w:val="22"/>
          <w:i/>
          <w:iCs/>
          <w:rFonts w:ascii="Calibri" w:hAnsi="Calibri"/>
        </w:rPr>
        <w:t xml:space="preserve">bullying</w:t>
      </w:r>
      <w:r>
        <w:rPr>
          <w:sz w:val="22"/>
          <w:rFonts w:ascii="Calibri" w:hAnsi="Calibri"/>
        </w:rPr>
        <w:t xml:space="preserve">a eskolan.</w:t>
      </w:r>
      <w:r>
        <w:rPr>
          <w:sz w:val="22"/>
          <w:rFonts w:ascii="Calibri" w:hAnsi="Calibri"/>
        </w:rPr>
        <w:t xml:space="preserve"> </w:t>
      </w:r>
    </w:p>
    <w:p w14:paraId="00F9C53C" w14:textId="148B66B7" w:rsidR="00CD0D0E" w:rsidRP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Agintariek, ikasleekin, eskoletako zuzendaritza-taldeekin, gizarte zerbitzuekin, gurasoekin eta ikasleekin beraiekin, modu koordinatuan jardun behar dute eskola-jazarpenaren kausen aurka, hasiera-hasieratik.</w:t>
      </w:r>
      <w:r>
        <w:rPr>
          <w:sz w:val="22"/>
          <w:rFonts w:ascii="Calibri" w:hAnsi="Calibri"/>
        </w:rPr>
        <w:t xml:space="preserve"> </w:t>
      </w:r>
      <w:r>
        <w:rPr>
          <w:sz w:val="22"/>
          <w:rFonts w:ascii="Calibri" w:hAnsi="Calibri"/>
        </w:rPr>
        <w:t xml:space="preserve">Hori egiteko modurik eraginkorrenetako bat da prebentzio-mekanismoak baliatzea albait bizkorren detektatu ahal izateko balizko </w:t>
      </w:r>
      <w:r>
        <w:rPr>
          <w:sz w:val="22"/>
          <w:i/>
          <w:iCs/>
          <w:rFonts w:ascii="Calibri" w:hAnsi="Calibri"/>
        </w:rPr>
        <w:t xml:space="preserve">bullying</w:t>
      </w:r>
      <w:r>
        <w:rPr>
          <w:sz w:val="22"/>
          <w:rFonts w:ascii="Calibri" w:hAnsi="Calibri"/>
        </w:rPr>
        <w:t xml:space="preserve">-egoerak.</w:t>
      </w:r>
      <w:r>
        <w:rPr>
          <w:sz w:val="22"/>
          <w:rFonts w:ascii="Calibri" w:hAnsi="Calibri"/>
        </w:rPr>
        <w:t xml:space="preserve"> </w:t>
      </w:r>
    </w:p>
    <w:p w14:paraId="091031A4" w14:textId="77777777" w:rsidR="00CD0D0E" w:rsidRP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Ikastetxeek errespetuz eta normaltasunez bizitzeko lekuak izan behar dute.</w:t>
      </w:r>
      <w:r>
        <w:rPr>
          <w:sz w:val="22"/>
          <w:rFonts w:ascii="Calibri" w:hAnsi="Calibri"/>
        </w:rPr>
        <w:t xml:space="preserve"> </w:t>
      </w:r>
      <w:r>
        <w:rPr>
          <w:sz w:val="22"/>
          <w:rFonts w:ascii="Calibri" w:hAnsi="Calibri"/>
        </w:rPr>
        <w:t xml:space="preserve">Onartezina da ikasle batzuk beldurrez joatea ikastetxera, ikaskideen jazarpen-jokabideen ondorioz.</w:t>
      </w:r>
      <w:r>
        <w:rPr>
          <w:sz w:val="22"/>
          <w:rFonts w:ascii="Calibri" w:hAnsi="Calibri"/>
        </w:rPr>
        <w:t xml:space="preserve"> </w:t>
      </w:r>
    </w:p>
    <w:p w14:paraId="025B051F" w14:textId="77777777" w:rsid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Beharrezkoa da jazarpen-egoera potentzialen aurrean prebentzioz jardutea eta, halakorik gertatuz gero, hasiera-hasieratik jardutea, kalte handiagoak saihesteko.</w:t>
      </w:r>
      <w:r>
        <w:rPr>
          <w:sz w:val="22"/>
          <w:rFonts w:ascii="Calibri" w:hAnsi="Calibri"/>
        </w:rPr>
        <w:t xml:space="preserve"> </w:t>
      </w:r>
    </w:p>
    <w:p w14:paraId="4C549653" w14:textId="77777777" w:rsid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Ezinbestekoa da eskola-jazarpena prebenitzeko plan nazional bat eta esku hartzeko protokoloak izatea.</w:t>
      </w:r>
      <w:r>
        <w:rPr>
          <w:sz w:val="22"/>
          <w:rFonts w:ascii="Calibri" w:hAnsi="Calibri"/>
        </w:rPr>
        <w:t xml:space="preserve"> </w:t>
      </w:r>
      <w:r>
        <w:rPr>
          <w:sz w:val="22"/>
          <w:rFonts w:ascii="Calibri" w:hAnsi="Calibri"/>
        </w:rPr>
        <w:t xml:space="preserve">Azken urteotan, hezkuntza-administrazioek eskola-jazarpenaren aurkako jarduera-protokoloak taxutu dituzte.</w:t>
      </w:r>
      <w:r>
        <w:rPr>
          <w:sz w:val="22"/>
          <w:rFonts w:ascii="Calibri" w:hAnsi="Calibri"/>
        </w:rPr>
        <w:t xml:space="preserve"> </w:t>
      </w:r>
      <w:r>
        <w:rPr>
          <w:sz w:val="22"/>
          <w:rFonts w:ascii="Calibri" w:hAnsi="Calibri"/>
        </w:rPr>
        <w:t xml:space="preserve">Horren ondorioz, kasurik onenean, erregio bakoitzak bere jarduera-protokoloa onartu du, eskola-jazarpeneko kasuak detektatzeko, esku hartzeko eta konpontzeko moduei dagokienez dituen berezitasunekin.</w:t>
      </w:r>
      <w:r>
        <w:rPr>
          <w:sz w:val="22"/>
          <w:rFonts w:ascii="Calibri" w:hAnsi="Calibri"/>
        </w:rPr>
        <w:t xml:space="preserve"> </w:t>
      </w:r>
      <w:r>
        <w:rPr>
          <w:sz w:val="22"/>
          <w:rFonts w:ascii="Calibri" w:hAnsi="Calibri"/>
        </w:rPr>
        <w:t xml:space="preserve">Kontuan hartuta autonomia-erkidego guztiek ez dutela prebentzio-protokolorik.</w:t>
      </w:r>
      <w:r>
        <w:rPr>
          <w:sz w:val="22"/>
          <w:rFonts w:ascii="Calibri" w:hAnsi="Calibri"/>
        </w:rPr>
        <w:t xml:space="preserve"> </w:t>
      </w:r>
    </w:p>
    <w:p w14:paraId="2C5FFEA7" w14:textId="78E034C0" w:rsidR="00CD0D0E" w:rsidRP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Beharrezkoa da nazio-mailako tresnak izatea, eskola-esparruetan gerta daitezkeen </w:t>
      </w:r>
      <w:r>
        <w:rPr>
          <w:sz w:val="22"/>
          <w:i/>
          <w:iCs/>
          <w:rFonts w:ascii="Calibri" w:hAnsi="Calibri"/>
        </w:rPr>
        <w:t xml:space="preserve">bullying</w:t>
      </w:r>
      <w:r>
        <w:rPr>
          <w:sz w:val="22"/>
          <w:rFonts w:ascii="Calibri" w:hAnsi="Calibri"/>
        </w:rPr>
        <w:t xml:space="preserve">-egoerei aurrea hartzeko irizpideak, moduak, mekanismoak eta tresnak aho batez bideratzeko.</w:t>
      </w:r>
      <w:r>
        <w:rPr>
          <w:sz w:val="22"/>
          <w:rFonts w:ascii="Calibri" w:hAnsi="Calibri"/>
        </w:rPr>
        <w:t xml:space="preserve"> </w:t>
      </w:r>
      <w:r>
        <w:rPr>
          <w:sz w:val="22"/>
          <w:rFonts w:ascii="Calibri" w:hAnsi="Calibri"/>
        </w:rPr>
        <w:t xml:space="preserve">Era berean, plan nazional horretan jazarleei hezkuntza-laguntza emateko programak jaso behar dira.</w:t>
      </w:r>
      <w:r>
        <w:rPr>
          <w:sz w:val="22"/>
          <w:rFonts w:ascii="Calibri" w:hAnsi="Calibri"/>
        </w:rPr>
        <w:t xml:space="preserve"> </w:t>
      </w:r>
    </w:p>
    <w:p w14:paraId="3ECFB0C9" w14:textId="55A57573" w:rsid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Prebentzio-tresnetan eta -mekanismoetan inbertitu behar dugu, aldez aurretik jardun ahal izateko.</w:t>
      </w:r>
      <w:r>
        <w:rPr>
          <w:sz w:val="22"/>
          <w:rFonts w:ascii="Calibri" w:hAnsi="Calibri"/>
        </w:rPr>
        <w:t xml:space="preserve"> </w:t>
      </w:r>
      <w:r>
        <w:rPr>
          <w:sz w:val="22"/>
          <w:rFonts w:ascii="Calibri" w:hAnsi="Calibri"/>
        </w:rPr>
        <w:t xml:space="preserve">Halaber, irakasleen klaustroaren eta gainerako hezkuntza-komunitatearen etengabeko prestakuntza bultzatu behar da, familiak eta ikasleak sentsibilizatzeko.</w:t>
      </w:r>
      <w:r>
        <w:rPr>
          <w:sz w:val="22"/>
          <w:rFonts w:ascii="Calibri" w:hAnsi="Calibri"/>
        </w:rPr>
        <w:t xml:space="preserve"> </w:t>
      </w:r>
    </w:p>
    <w:p w14:paraId="1DB93A3A" w14:textId="154259D0" w:rsidR="00732970" w:rsidRDefault="00732970"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19"/>
          <w:rFonts w:ascii="ArialMT" w:hAnsi="ArialMT"/>
        </w:rPr>
        <w:t xml:space="preserve">Horregatik guztiagatik, Nafarroako Parlamentuak</w:t>
      </w:r>
    </w:p>
    <w:p w14:paraId="173A4E32" w14:textId="77777777" w:rsidR="00732970" w:rsidRDefault="00D1024B" w:rsidP="00732970">
      <w:pPr>
        <w:pStyle w:val="Style"/>
        <w:numPr>
          <w:ilvl w:val="0"/>
          <w:numId w:val="1"/>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Nafarroako Gobernua premiatzen du Espainiako Gobernua premia dezan eskola-jazarpena prebenitzeko plan nazional bat taxutzera.</w:t>
      </w:r>
      <w:r>
        <w:rPr>
          <w:sz w:val="22"/>
          <w:rFonts w:ascii="Calibri" w:hAnsi="Calibri"/>
        </w:rPr>
        <w:t xml:space="preserve"> </w:t>
      </w:r>
    </w:p>
    <w:p w14:paraId="6C7A4099" w14:textId="77777777" w:rsidR="00732970" w:rsidRDefault="00D1024B" w:rsidP="00732970">
      <w:pPr>
        <w:pStyle w:val="Style"/>
        <w:numPr>
          <w:ilvl w:val="0"/>
          <w:numId w:val="2"/>
        </w:numPr>
        <w:spacing w:before="100" w:beforeAutospacing="1" w:after="200" w:line="276" w:lineRule="auto"/>
        <w:ind w:leftChars="567" w:left="1569" w:rightChars="567" w:right="1247" w:hanging="322"/>
        <w:jc w:val="both"/>
        <w:textAlignment w:val="baseline"/>
        <w:rPr>
          <w:sz w:val="22"/>
          <w:szCs w:val="22"/>
          <w:rFonts w:ascii="Calibri" w:hAnsi="Calibri" w:cs="Calibri"/>
        </w:rPr>
      </w:pPr>
      <w:r>
        <w:rPr>
          <w:sz w:val="22"/>
          <w:rFonts w:ascii="Calibri" w:hAnsi="Calibri"/>
        </w:rPr>
        <w:t xml:space="preserve">Nafarroako Hezkuntza Departamentua premiatzen du irakasleen eta gainerako hezkuntza-komunitatearen prestakuntza bultza dezan ikastetxeetan indarkeria eta jazarpena prebenitzearen arloan.</w:t>
      </w:r>
      <w:r>
        <w:rPr>
          <w:sz w:val="22"/>
          <w:rFonts w:ascii="Calibri" w:hAnsi="Calibri"/>
        </w:rPr>
        <w:t xml:space="preserve"> </w:t>
      </w:r>
    </w:p>
    <w:p w14:paraId="7993EA7C" w14:textId="333600D7" w:rsidR="00732970" w:rsidRDefault="00D1024B" w:rsidP="00732970">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Iruñean, 2024ko ekainaren 5ean</w:t>
      </w:r>
    </w:p>
    <w:p w14:paraId="61875C02" w14:textId="0F9C5DD6" w:rsidR="00732970" w:rsidRDefault="00732970" w:rsidP="00732970">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p>
    <w:sectPr w:rsidR="00732970">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21851"/>
    <w:multiLevelType w:val="singleLevel"/>
    <w:tmpl w:val="32FE838E"/>
    <w:lvl w:ilvl="0">
      <w:start w:val="1"/>
      <w:numFmt w:val="decimal"/>
      <w:lvlText w:val="%1."/>
      <w:legacy w:legacy="1" w:legacySpace="0" w:legacyIndent="0"/>
      <w:lvlJc w:val="left"/>
      <w:rPr>
        <w:rFonts w:ascii="Arial" w:hAnsi="Arial" w:cs="Arial" w:hint="default"/>
        <w:b/>
        <w:sz w:val="18"/>
        <w:szCs w:val="18"/>
      </w:rPr>
    </w:lvl>
  </w:abstractNum>
  <w:abstractNum w:abstractNumId="1" w15:restartNumberingAfterBreak="0">
    <w:nsid w:val="7C6D2C2B"/>
    <w:multiLevelType w:val="singleLevel"/>
    <w:tmpl w:val="3DA2E022"/>
    <w:lvl w:ilvl="0">
      <w:start w:val="2"/>
      <w:numFmt w:val="decimal"/>
      <w:lvlText w:val="%1."/>
      <w:legacy w:legacy="1" w:legacySpace="0" w:legacyIndent="0"/>
      <w:lvlJc w:val="left"/>
      <w:rPr>
        <w:rFonts w:ascii="Arial" w:hAnsi="Arial" w:cs="Arial" w:hint="default"/>
        <w:b/>
        <w:sz w:val="18"/>
        <w:szCs w:val="18"/>
      </w:rPr>
    </w:lvl>
  </w:abstractNum>
  <w:num w:numId="1" w16cid:durableId="145171836">
    <w:abstractNumId w:val="0"/>
  </w:num>
  <w:num w:numId="2" w16cid:durableId="34532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D0D0E"/>
    <w:rsid w:val="00732970"/>
    <w:rsid w:val="008470A1"/>
    <w:rsid w:val="0096153B"/>
    <w:rsid w:val="00CD0D0E"/>
    <w:rsid w:val="00D102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53E5"/>
  <w15:docId w15:val="{92A117F9-7DEA-43E2-9377-A0C8E300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641</Words>
  <Characters>3526</Characters>
  <Application>Microsoft Office Word</Application>
  <DocSecurity>0</DocSecurity>
  <Lines>29</Lines>
  <Paragraphs>8</Paragraphs>
  <ScaleCrop>false</ScaleCrop>
  <Company>HP Inc.</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24MOC-85</dc:title>
  <dc:creator>informatica</dc:creator>
  <cp:keywords>CreatedByIRIS_Readiris_17.0</cp:keywords>
  <cp:lastModifiedBy>Mauleón, Fernando</cp:lastModifiedBy>
  <cp:revision>4</cp:revision>
  <dcterms:created xsi:type="dcterms:W3CDTF">2024-06-05T15:31:00Z</dcterms:created>
  <dcterms:modified xsi:type="dcterms:W3CDTF">2024-06-05T15:41:00Z</dcterms:modified>
</cp:coreProperties>
</file>