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981C" w14:textId="1635B514" w:rsidR="00563E44" w:rsidRPr="00EC5F6F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right="567"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EC5F6F">
        <w:rPr>
          <w:rFonts w:ascii="Calibri" w:hAnsi="Calibri" w:cs="Calibri"/>
          <w:kern w:val="0"/>
          <w:sz w:val="22"/>
          <w:szCs w:val="22"/>
        </w:rPr>
        <w:t>24MOC-92</w:t>
      </w:r>
    </w:p>
    <w:p w14:paraId="72E067F0" w14:textId="3C30D98E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C5F6F">
        <w:rPr>
          <w:rFonts w:ascii="Calibri" w:hAnsi="Calibri" w:cs="Calibri"/>
          <w:kern w:val="0"/>
          <w:sz w:val="22"/>
          <w:szCs w:val="22"/>
        </w:rPr>
        <w:t xml:space="preserve">Doña </w:t>
      </w:r>
      <w:r w:rsidRPr="00563E44">
        <w:rPr>
          <w:rFonts w:ascii="Calibri" w:hAnsi="Calibri" w:cs="Calibri"/>
          <w:kern w:val="0"/>
          <w:sz w:val="22"/>
          <w:szCs w:val="22"/>
        </w:rPr>
        <w:t>Blanca Regúlez Álvarez, parlamentaria adscrita al G.P. Geroa Bai,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establecido en el Reglamento de la Cámara, presenta la siguiente moción</w:t>
      </w:r>
      <w:r w:rsidRPr="00563E44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para su debate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votación en el Pleno de la Cámara.</w:t>
      </w:r>
    </w:p>
    <w:p w14:paraId="26005415" w14:textId="5725929E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right="567"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338970FA" w14:textId="33F6C1CF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Dos conceptos, el de la libertad y el de seguridad</w:t>
      </w:r>
      <w:r w:rsidR="00C613DD">
        <w:rPr>
          <w:rFonts w:ascii="Calibri" w:hAnsi="Calibri" w:cs="Calibri"/>
          <w:kern w:val="0"/>
          <w:sz w:val="22"/>
          <w:szCs w:val="22"/>
        </w:rPr>
        <w:t>,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constituyen un binomio clave para el buen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funcionamiento de una sociedad democrática avanzada, siendo la seguridad un instrumento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al servicio de la garantía de derechos y libertades y no un fin en sí mismo.</w:t>
      </w:r>
    </w:p>
    <w:p w14:paraId="7531B102" w14:textId="12A98795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Combinar este binomio es todo un reto para cualquier sociedad que se denomine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autodenomine democrática y, todo ello, porque en nombre de la seguridad ciudadana no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pu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563E44">
        <w:rPr>
          <w:rFonts w:ascii="Calibri" w:hAnsi="Calibri" w:cs="Calibri"/>
          <w:kern w:val="0"/>
          <w:sz w:val="22"/>
          <w:szCs w:val="22"/>
        </w:rPr>
        <w:t>de restringir de forma general el ejercicio de cualquier derecho constitucional, sino todo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contrario: en nombre de la seguridad ciudadana se debe</w:t>
      </w:r>
      <w:r w:rsidR="00EC5F6F">
        <w:rPr>
          <w:rFonts w:ascii="Calibri" w:hAnsi="Calibri" w:cs="Calibri"/>
          <w:kern w:val="0"/>
          <w:sz w:val="22"/>
          <w:szCs w:val="22"/>
        </w:rPr>
        <w:t>n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facilitar los derechos y libertades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recogid</w:t>
      </w:r>
      <w:r w:rsidR="00EC5F6F">
        <w:rPr>
          <w:rFonts w:ascii="Calibri" w:hAnsi="Calibri" w:cs="Calibri"/>
          <w:kern w:val="0"/>
          <w:sz w:val="22"/>
          <w:szCs w:val="22"/>
        </w:rPr>
        <w:t>o</w:t>
      </w:r>
      <w:r w:rsidRPr="00563E44">
        <w:rPr>
          <w:rFonts w:ascii="Calibri" w:hAnsi="Calibri" w:cs="Calibri"/>
          <w:kern w:val="0"/>
          <w:sz w:val="22"/>
          <w:szCs w:val="22"/>
        </w:rPr>
        <w:t>s en las legislaciones vigentes, tanto nacionales como internacionales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y quien debe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facilitarlo son las instituciones públicas competentes.</w:t>
      </w:r>
    </w:p>
    <w:p w14:paraId="6FBD024E" w14:textId="531C7440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La acción de las instituciones públicas en esta materia de seguridad debe ir encaminada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eliminar cualquier traba u obstáculo que impida el ejercicio de disfrute de derechos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fundamentales y libertades públicas; con ello hablamos de la tranquilidad en las calles,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velar por la protección de las personas y sus derechos, de preservar la convivencia ciudadana,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la pacifica utilización de los espacios públicos, garantizar las condiciones de normalidad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funcionamiento de las instituciones y la prestación de servicios esenciales, la prevención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ilícitos penales y de infracciones administrativas.</w:t>
      </w:r>
    </w:p>
    <w:p w14:paraId="12CE1DDA" w14:textId="3FAE0629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Por tanto, cualquier incidencia o limitación del ejercicio de las libertades y derechos por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razones de la seguridad ciudadana debe hacerse conjugándose con el principio de legalidad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el de proporcionalidad,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563E44">
        <w:rPr>
          <w:rFonts w:ascii="Calibri" w:hAnsi="Calibri" w:cs="Calibri"/>
          <w:kern w:val="0"/>
          <w:sz w:val="22"/>
          <w:szCs w:val="22"/>
        </w:rPr>
        <w:t>ste último en su triple reflexión: de un juicio de idoneidad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limitación (para la consecución del objetivo propuesto), de un juicio de necesidad de la misma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(entendido como inexistencia de otra medida menos intensa para la consecución del mismo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fin) y de un juicio de proporcionalidad en sentido estricto de dicha limitación (por derivarse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de ella un beneficio para el interés público que justifica un cierto sacrificio del ejercicio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derecho).</w:t>
      </w:r>
    </w:p>
    <w:p w14:paraId="53E34A45" w14:textId="0CC31F7F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Y es este principio de proporcionalidad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el que debe primar en el binomio libertad y seguridad,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primando la primera frente a la segunda a través del principio de interpretación favorable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ejercicio de derechos</w:t>
      </w:r>
      <w:r w:rsidR="00EC5F6F">
        <w:rPr>
          <w:rFonts w:ascii="Calibri" w:hAnsi="Calibri" w:cs="Calibri"/>
          <w:kern w:val="0"/>
          <w:sz w:val="22"/>
          <w:szCs w:val="22"/>
        </w:rPr>
        <w:t>,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y en lo que tiene que ver con cualquier régimen sancionador,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potestad punitiva entendida, se mantendrá en el mínimo indispensable.</w:t>
      </w:r>
    </w:p>
    <w:p w14:paraId="46F27C21" w14:textId="1C75E7BC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lastRenderedPageBreak/>
        <w:t>Dicho todo esto, tenemos vigente la Ley de Protección de la Seguridad Ciudadana, ley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conocida popularmente como </w:t>
      </w:r>
      <w:r>
        <w:rPr>
          <w:rFonts w:ascii="Calibri" w:hAnsi="Calibri" w:cs="Calibri"/>
          <w:kern w:val="0"/>
          <w:sz w:val="22"/>
          <w:szCs w:val="22"/>
        </w:rPr>
        <w:t>“</w:t>
      </w:r>
      <w:r w:rsidR="00EC5F6F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>ordaza</w:t>
      </w:r>
      <w:r>
        <w:rPr>
          <w:rFonts w:ascii="Calibri" w:hAnsi="Calibri" w:cs="Calibri"/>
          <w:kern w:val="0"/>
          <w:sz w:val="22"/>
          <w:szCs w:val="22"/>
        </w:rPr>
        <w:t>”</w:t>
      </w:r>
      <w:r w:rsidRPr="00563E44">
        <w:rPr>
          <w:rFonts w:ascii="Calibri" w:hAnsi="Calibri" w:cs="Calibri"/>
          <w:kern w:val="0"/>
          <w:sz w:val="22"/>
          <w:szCs w:val="22"/>
        </w:rPr>
        <w:t>, aprobada en 2015 por un Gobierno de mayoría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absoluta del PP, presidido por Mariano Rajoy, frente a las movilizaciones del 15M.</w:t>
      </w:r>
    </w:p>
    <w:p w14:paraId="3C3A900E" w14:textId="4A75E3F3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Esta “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>ordaza” es considerada como una ley restrictiva de derechos: derechos como, por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ejemplo, los de reunión y manifestación</w:t>
      </w:r>
      <w:r w:rsidR="00EC5F6F">
        <w:rPr>
          <w:rFonts w:ascii="Calibri" w:hAnsi="Calibri" w:cs="Calibri"/>
          <w:kern w:val="0"/>
          <w:sz w:val="22"/>
          <w:szCs w:val="22"/>
        </w:rPr>
        <w:t>;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o de libertades como las de expresión e información,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la libertad sindical y el derecho de huelga. También ha sido fuertemente criticada por las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sanciones que impone a las infracciones administrativas debido al aumento de poder de la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Policía, pudiéndose sancionar conductas que, hasta ese momento, era impensable que fueran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objeto de sanción alguna, lo mismo que sucede con las identificaciones indiscriminadas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personas racializadas o las devoluciones en frontera.</w:t>
      </w:r>
    </w:p>
    <w:p w14:paraId="73584750" w14:textId="10AB5217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Esta crítica a esta “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 w:rsidR="00A2479A"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>ordaza” no viene s</w:t>
      </w:r>
      <w:r w:rsidR="00A2479A">
        <w:rPr>
          <w:rFonts w:ascii="Calibri" w:hAnsi="Calibri" w:cs="Calibri"/>
          <w:kern w:val="0"/>
          <w:sz w:val="22"/>
          <w:szCs w:val="22"/>
        </w:rPr>
        <w:t>o</w:t>
      </w:r>
      <w:r w:rsidRPr="00563E44">
        <w:rPr>
          <w:rFonts w:ascii="Calibri" w:hAnsi="Calibri" w:cs="Calibri"/>
          <w:kern w:val="0"/>
          <w:sz w:val="22"/>
          <w:szCs w:val="22"/>
        </w:rPr>
        <w:t>lo desde el ámbito político</w:t>
      </w:r>
      <w:r w:rsidR="00A2479A">
        <w:rPr>
          <w:rFonts w:ascii="Calibri" w:hAnsi="Calibri" w:cs="Calibri"/>
          <w:kern w:val="0"/>
          <w:sz w:val="22"/>
          <w:szCs w:val="22"/>
        </w:rPr>
        <w:t>,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sino también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organizaciones y entidades nacionales e internacionales de defensa de derechos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fundamentales, entre las que están Amnistía Internacional, la Plataforma en Defensa de la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Información, la Comisión Española de Ayuda al Refugiado (CEAR) o la Convención de Viena.</w:t>
      </w:r>
    </w:p>
    <w:p w14:paraId="077D20AB" w14:textId="12819A46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Mantener esta “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 w:rsidR="00A2479A"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>ordaza” supone una carencia democrática grave para nuestra sociedad.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En esta época de regeneración democrática es necesario acomete</w:t>
      </w:r>
      <w:r w:rsidR="00BB6C53">
        <w:rPr>
          <w:rFonts w:ascii="Calibri" w:hAnsi="Calibri" w:cs="Calibri"/>
          <w:kern w:val="0"/>
          <w:sz w:val="22"/>
          <w:szCs w:val="22"/>
        </w:rPr>
        <w:t>r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la reforma de esta 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>ey. Una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reforma completa y de la mayoría de sus artículos que nos permita elevar esa calidad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democrática. Como sociedad democrática debemos avanzar y alejarnos de cualquier tipo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actuación autoritaria, ya que cuando avanza este tipo de políticas, que generalmente vienen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siempre de la mano de la derecha y la ultraderecha del Estado español, los que pierden son</w:t>
      </w:r>
      <w:r w:rsidR="00EC5F6F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siempre los derechos y libertades de la ciudadanía.</w:t>
      </w:r>
    </w:p>
    <w:p w14:paraId="38744893" w14:textId="3B3650C5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 xml:space="preserve">Tristemente, hasta ahora, en las Cortes </w:t>
      </w:r>
      <w:r w:rsidR="00A2479A">
        <w:rPr>
          <w:rFonts w:ascii="Calibri" w:hAnsi="Calibri" w:cs="Calibri"/>
          <w:kern w:val="0"/>
          <w:sz w:val="22"/>
          <w:szCs w:val="22"/>
        </w:rPr>
        <w:t>e</w:t>
      </w:r>
      <w:r w:rsidRPr="00563E44">
        <w:rPr>
          <w:rFonts w:ascii="Calibri" w:hAnsi="Calibri" w:cs="Calibri"/>
          <w:kern w:val="0"/>
          <w:sz w:val="22"/>
          <w:szCs w:val="22"/>
        </w:rPr>
        <w:t>spañolas no se ha podido llegar a acuerdos para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reformar la “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 w:rsidR="00A2479A"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ordaza”, a pesar de los intentos del </w:t>
      </w:r>
      <w:r w:rsidR="00A2479A">
        <w:rPr>
          <w:rFonts w:ascii="Calibri" w:hAnsi="Calibri" w:cs="Calibri"/>
          <w:kern w:val="0"/>
          <w:sz w:val="22"/>
          <w:szCs w:val="22"/>
        </w:rPr>
        <w:t>g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rupo </w:t>
      </w:r>
      <w:r w:rsidR="00A2479A">
        <w:rPr>
          <w:rFonts w:ascii="Calibri" w:hAnsi="Calibri" w:cs="Calibri"/>
          <w:kern w:val="0"/>
          <w:sz w:val="22"/>
          <w:szCs w:val="22"/>
        </w:rPr>
        <w:t>v</w:t>
      </w:r>
      <w:r w:rsidRPr="00563E44">
        <w:rPr>
          <w:rFonts w:ascii="Calibri" w:hAnsi="Calibri" w:cs="Calibri"/>
          <w:kern w:val="0"/>
          <w:sz w:val="22"/>
          <w:szCs w:val="22"/>
        </w:rPr>
        <w:t>asco con la presentación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una </w:t>
      </w:r>
      <w:r w:rsidR="00A2479A">
        <w:rPr>
          <w:rFonts w:ascii="Calibri" w:hAnsi="Calibri" w:cs="Calibri"/>
          <w:kern w:val="0"/>
          <w:sz w:val="22"/>
          <w:szCs w:val="22"/>
        </w:rPr>
        <w:t>p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roposición de 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>ey que sirviera de inicio de esta reforma. Al final de la legislatura pasada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se consensuó un texto entre EAJ-PNV, PSOE y S</w:t>
      </w:r>
      <w:r w:rsidR="00A2479A">
        <w:rPr>
          <w:rFonts w:ascii="Calibri" w:hAnsi="Calibri" w:cs="Calibri"/>
          <w:kern w:val="0"/>
          <w:sz w:val="22"/>
          <w:szCs w:val="22"/>
        </w:rPr>
        <w:t>umar</w:t>
      </w:r>
      <w:r w:rsidRPr="00563E44">
        <w:rPr>
          <w:rFonts w:ascii="Calibri" w:hAnsi="Calibri" w:cs="Calibri"/>
          <w:kern w:val="0"/>
          <w:sz w:val="22"/>
          <w:szCs w:val="22"/>
        </w:rPr>
        <w:t>, pero no se llegó a tiempo para su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aprobación. En la legislatura actual ha sido S</w:t>
      </w:r>
      <w:r w:rsidR="00A2479A">
        <w:rPr>
          <w:rFonts w:ascii="Calibri" w:hAnsi="Calibri" w:cs="Calibri"/>
          <w:kern w:val="0"/>
          <w:sz w:val="22"/>
          <w:szCs w:val="22"/>
        </w:rPr>
        <w:t>umar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quien ha presentado una </w:t>
      </w:r>
      <w:r w:rsidR="00A2479A">
        <w:rPr>
          <w:rFonts w:ascii="Calibri" w:hAnsi="Calibri" w:cs="Calibri"/>
          <w:kern w:val="0"/>
          <w:sz w:val="22"/>
          <w:szCs w:val="22"/>
        </w:rPr>
        <w:t>p</w:t>
      </w:r>
      <w:r w:rsidRPr="00563E44">
        <w:rPr>
          <w:rFonts w:ascii="Calibri" w:hAnsi="Calibri" w:cs="Calibri"/>
          <w:kern w:val="0"/>
          <w:sz w:val="22"/>
          <w:szCs w:val="22"/>
        </w:rPr>
        <w:t>roposición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l</w:t>
      </w:r>
      <w:r w:rsidRPr="00563E44">
        <w:rPr>
          <w:rFonts w:ascii="Calibri" w:hAnsi="Calibri" w:cs="Calibri"/>
          <w:kern w:val="0"/>
          <w:sz w:val="22"/>
          <w:szCs w:val="22"/>
        </w:rPr>
        <w:t>ey para reformarla, basándose en el texto acordado</w:t>
      </w:r>
      <w:r w:rsidR="00A2479A">
        <w:rPr>
          <w:rFonts w:ascii="Calibri" w:hAnsi="Calibri" w:cs="Calibri"/>
          <w:kern w:val="0"/>
          <w:sz w:val="22"/>
          <w:szCs w:val="22"/>
        </w:rPr>
        <w:t>,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pero no es menos cierto que en el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Acuerdo para un </w:t>
      </w:r>
      <w:r w:rsidR="00A2479A">
        <w:rPr>
          <w:rFonts w:ascii="Calibri" w:hAnsi="Calibri" w:cs="Calibri"/>
          <w:kern w:val="0"/>
          <w:sz w:val="22"/>
          <w:szCs w:val="22"/>
        </w:rPr>
        <w:t>g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obierno de </w:t>
      </w:r>
      <w:r w:rsidR="00A2479A">
        <w:rPr>
          <w:rFonts w:ascii="Calibri" w:hAnsi="Calibri" w:cs="Calibri"/>
          <w:kern w:val="0"/>
          <w:sz w:val="22"/>
          <w:szCs w:val="22"/>
        </w:rPr>
        <w:t>c</w:t>
      </w:r>
      <w:r w:rsidRPr="00563E44">
        <w:rPr>
          <w:rFonts w:ascii="Calibri" w:hAnsi="Calibri" w:cs="Calibri"/>
          <w:kern w:val="0"/>
          <w:sz w:val="22"/>
          <w:szCs w:val="22"/>
        </w:rPr>
        <w:t>oalición entre PSOE y S</w:t>
      </w:r>
      <w:r w:rsidR="00EC5F6F">
        <w:rPr>
          <w:rFonts w:ascii="Calibri" w:hAnsi="Calibri" w:cs="Calibri"/>
          <w:kern w:val="0"/>
          <w:sz w:val="22"/>
          <w:szCs w:val="22"/>
        </w:rPr>
        <w:t>umar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 se recoge expresamente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la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reforma y derogación de la normativa vigente que limite derechos de reunión y la libertad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expresión como los que recoge la “</w:t>
      </w:r>
      <w:r w:rsidR="00A2479A">
        <w:rPr>
          <w:rFonts w:ascii="Calibri" w:hAnsi="Calibri" w:cs="Calibri"/>
          <w:kern w:val="0"/>
          <w:sz w:val="22"/>
          <w:szCs w:val="22"/>
        </w:rPr>
        <w:t>l</w:t>
      </w:r>
      <w:r w:rsidRPr="00563E44">
        <w:rPr>
          <w:rFonts w:ascii="Calibri" w:hAnsi="Calibri" w:cs="Calibri"/>
          <w:kern w:val="0"/>
          <w:sz w:val="22"/>
          <w:szCs w:val="22"/>
        </w:rPr>
        <w:t xml:space="preserve">ey </w:t>
      </w:r>
      <w:r w:rsidR="00A2479A">
        <w:rPr>
          <w:rFonts w:ascii="Calibri" w:hAnsi="Calibri" w:cs="Calibri"/>
          <w:kern w:val="0"/>
          <w:sz w:val="22"/>
          <w:szCs w:val="22"/>
        </w:rPr>
        <w:t>m</w:t>
      </w:r>
      <w:r w:rsidRPr="00563E44">
        <w:rPr>
          <w:rFonts w:ascii="Calibri" w:hAnsi="Calibri" w:cs="Calibri"/>
          <w:kern w:val="0"/>
          <w:sz w:val="22"/>
          <w:szCs w:val="22"/>
        </w:rPr>
        <w:t>ordaza”.</w:t>
      </w:r>
    </w:p>
    <w:p w14:paraId="70FAAF10" w14:textId="1E8536C3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>Desde Geroa Bai creemos que la sociedad navarra debe posicionarse en contra de esta ley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puesto que restringe los derechos y libertades de la ciudadanía. Por tanto, qué mejor que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quien tiene la voz y representación de ella, el Parlamento de Navarra, se posicione a favor de</w:t>
      </w:r>
      <w:r w:rsidR="00A2479A">
        <w:rPr>
          <w:rFonts w:ascii="Calibri" w:hAnsi="Calibri" w:cs="Calibri"/>
          <w:kern w:val="0"/>
          <w:sz w:val="22"/>
          <w:szCs w:val="22"/>
        </w:rPr>
        <w:t xml:space="preserve"> </w:t>
      </w:r>
      <w:r w:rsidRPr="00563E44">
        <w:rPr>
          <w:rFonts w:ascii="Calibri" w:hAnsi="Calibri" w:cs="Calibri"/>
          <w:kern w:val="0"/>
          <w:sz w:val="22"/>
          <w:szCs w:val="22"/>
        </w:rPr>
        <w:t>la reforma de esta ley.</w:t>
      </w:r>
    </w:p>
    <w:p w14:paraId="5C1AE263" w14:textId="0F8C5552" w:rsidR="00563E44" w:rsidRPr="00563E44" w:rsidRDefault="00563E44" w:rsidP="00EC5F6F">
      <w:pPr>
        <w:autoSpaceDE w:val="0"/>
        <w:autoSpaceDN w:val="0"/>
        <w:adjustRightInd w:val="0"/>
        <w:spacing w:before="100" w:beforeAutospacing="1" w:after="200" w:line="276" w:lineRule="auto"/>
        <w:ind w:right="567"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563E44">
        <w:rPr>
          <w:rFonts w:ascii="Calibri" w:hAnsi="Calibri" w:cs="Calibri"/>
          <w:kern w:val="0"/>
          <w:sz w:val="22"/>
          <w:szCs w:val="22"/>
        </w:rPr>
        <w:t xml:space="preserve">Para ello, el GP Geroa Bai presenta la siguiente </w:t>
      </w:r>
      <w:r w:rsidR="00A2479A" w:rsidRPr="00563E44">
        <w:rPr>
          <w:rFonts w:ascii="Calibri" w:hAnsi="Calibri" w:cs="Calibri"/>
          <w:kern w:val="0"/>
          <w:sz w:val="22"/>
          <w:szCs w:val="22"/>
        </w:rPr>
        <w:t>propuesta de resolución:</w:t>
      </w:r>
    </w:p>
    <w:p w14:paraId="07BD7813" w14:textId="438F72B2" w:rsidR="00EC5F6F" w:rsidRPr="006E7C7E" w:rsidRDefault="00563E44" w:rsidP="006E7C7E">
      <w:pPr>
        <w:autoSpaceDE w:val="0"/>
        <w:autoSpaceDN w:val="0"/>
        <w:adjustRightInd w:val="0"/>
        <w:spacing w:before="100" w:beforeAutospacing="1" w:after="200" w:line="276" w:lineRule="auto"/>
        <w:ind w:left="70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6E7C7E">
        <w:rPr>
          <w:rFonts w:ascii="Calibri" w:hAnsi="Calibri" w:cs="Calibri"/>
          <w:kern w:val="0"/>
          <w:sz w:val="22"/>
          <w:szCs w:val="22"/>
        </w:rPr>
        <w:lastRenderedPageBreak/>
        <w:t>El Parlamento de Navarra insta al Gobierno de España a reformar la Ley de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 xml:space="preserve"> </w:t>
      </w:r>
      <w:r w:rsidRPr="006E7C7E">
        <w:rPr>
          <w:rFonts w:ascii="Calibri" w:hAnsi="Calibri" w:cs="Calibri"/>
          <w:kern w:val="0"/>
          <w:sz w:val="22"/>
          <w:szCs w:val="22"/>
        </w:rPr>
        <w:t>Protección de la Seguridad Ciudadana vigente para que sea acorde con la protección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 xml:space="preserve"> </w:t>
      </w:r>
      <w:r w:rsidRPr="006E7C7E">
        <w:rPr>
          <w:rFonts w:ascii="Calibri" w:hAnsi="Calibri" w:cs="Calibri"/>
          <w:kern w:val="0"/>
          <w:sz w:val="22"/>
          <w:szCs w:val="22"/>
        </w:rPr>
        <w:t>del ejercicio de los derechos y libertades fundamentales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 xml:space="preserve">, </w:t>
      </w:r>
      <w:r w:rsidRPr="006E7C7E">
        <w:rPr>
          <w:rFonts w:ascii="Calibri" w:hAnsi="Calibri" w:cs="Calibri"/>
          <w:kern w:val="0"/>
          <w:sz w:val="22"/>
          <w:szCs w:val="22"/>
        </w:rPr>
        <w:t>recogidos en la Constitución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 xml:space="preserve"> e</w:t>
      </w:r>
      <w:r w:rsidRPr="006E7C7E">
        <w:rPr>
          <w:rFonts w:ascii="Calibri" w:hAnsi="Calibri" w:cs="Calibri"/>
          <w:kern w:val="0"/>
          <w:sz w:val="22"/>
          <w:szCs w:val="22"/>
        </w:rPr>
        <w:t>spañola y la legislación internacional al respecto, cumpliendo los compromisos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 xml:space="preserve"> </w:t>
      </w:r>
      <w:r w:rsidRPr="006E7C7E">
        <w:rPr>
          <w:rFonts w:ascii="Calibri" w:hAnsi="Calibri" w:cs="Calibri"/>
          <w:kern w:val="0"/>
          <w:sz w:val="22"/>
          <w:szCs w:val="22"/>
        </w:rPr>
        <w:t xml:space="preserve">adquiridos para la conformación del actual 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>g</w:t>
      </w:r>
      <w:r w:rsidRPr="006E7C7E">
        <w:rPr>
          <w:rFonts w:ascii="Calibri" w:hAnsi="Calibri" w:cs="Calibri"/>
          <w:kern w:val="0"/>
          <w:sz w:val="22"/>
          <w:szCs w:val="22"/>
        </w:rPr>
        <w:t xml:space="preserve">obierno de </w:t>
      </w:r>
      <w:r w:rsidR="00A2479A" w:rsidRPr="006E7C7E">
        <w:rPr>
          <w:rFonts w:ascii="Calibri" w:hAnsi="Calibri" w:cs="Calibri"/>
          <w:kern w:val="0"/>
          <w:sz w:val="22"/>
          <w:szCs w:val="22"/>
        </w:rPr>
        <w:t>c</w:t>
      </w:r>
      <w:r w:rsidRPr="006E7C7E">
        <w:rPr>
          <w:rFonts w:ascii="Calibri" w:hAnsi="Calibri" w:cs="Calibri"/>
          <w:kern w:val="0"/>
          <w:sz w:val="22"/>
          <w:szCs w:val="22"/>
        </w:rPr>
        <w:t>oalición.</w:t>
      </w:r>
    </w:p>
    <w:p w14:paraId="1579D771" w14:textId="2DC55E40" w:rsidR="00A2479A" w:rsidRPr="006E7C7E" w:rsidRDefault="00A2479A" w:rsidP="006E7C7E">
      <w:pPr>
        <w:autoSpaceDE w:val="0"/>
        <w:autoSpaceDN w:val="0"/>
        <w:adjustRightInd w:val="0"/>
        <w:spacing w:before="100" w:beforeAutospacing="1" w:after="200" w:line="276" w:lineRule="auto"/>
        <w:ind w:leftChars="299" w:left="71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6E7C7E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461FB883" w14:textId="50BAA8B7" w:rsidR="00A2479A" w:rsidRPr="006E7C7E" w:rsidRDefault="00A2479A" w:rsidP="006E7C7E">
      <w:pPr>
        <w:autoSpaceDE w:val="0"/>
        <w:autoSpaceDN w:val="0"/>
        <w:adjustRightInd w:val="0"/>
        <w:spacing w:before="100" w:beforeAutospacing="1" w:after="200" w:line="276" w:lineRule="auto"/>
        <w:ind w:leftChars="299" w:left="718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6E7C7E">
        <w:rPr>
          <w:rFonts w:ascii="Calibri" w:hAnsi="Calibri" w:cs="Calibri"/>
          <w:kern w:val="0"/>
          <w:sz w:val="22"/>
          <w:szCs w:val="22"/>
        </w:rPr>
        <w:t>La Parlamentaria Foral: Blanca Isabel Regúlez Álvarez</w:t>
      </w:r>
    </w:p>
    <w:sectPr w:rsidR="00A2479A" w:rsidRPr="006E7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83110"/>
    <w:multiLevelType w:val="hybridMultilevel"/>
    <w:tmpl w:val="DC680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44"/>
    <w:rsid w:val="00106CC4"/>
    <w:rsid w:val="001C2F58"/>
    <w:rsid w:val="00530EC7"/>
    <w:rsid w:val="00563E44"/>
    <w:rsid w:val="005762CC"/>
    <w:rsid w:val="006E7C7E"/>
    <w:rsid w:val="008D7F85"/>
    <w:rsid w:val="00A2479A"/>
    <w:rsid w:val="00A36075"/>
    <w:rsid w:val="00B10384"/>
    <w:rsid w:val="00BB6C53"/>
    <w:rsid w:val="00C613DD"/>
    <w:rsid w:val="00C76C76"/>
    <w:rsid w:val="00E2340F"/>
    <w:rsid w:val="00EC5F6F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383C"/>
  <w15:chartTrackingRefBased/>
  <w15:docId w15:val="{BD22CA95-B741-4A5F-88FA-F2A8238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3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3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3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3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3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3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3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3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3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3E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3E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3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3E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3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3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3E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3E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3E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3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3E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3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2024-06-21T05:24:00Z</dcterms:created>
  <dcterms:modified xsi:type="dcterms:W3CDTF">2024-06-24T06:14:00Z</dcterms:modified>
</cp:coreProperties>
</file>