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591EF" w14:textId="77777777" w:rsidR="00B167CB" w:rsidRDefault="00B167CB" w:rsidP="00B167CB">
      <w:pPr>
        <w:pStyle w:val="Style"/>
        <w:spacing w:before="100" w:beforeAutospacing="1" w:after="200" w:line="276" w:lineRule="auto"/>
        <w:ind w:right="1474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>24MOC-98</w:t>
      </w:r>
    </w:p>
    <w:p w14:paraId="5842EB8C" w14:textId="57B6676F" w:rsidR="00B167CB" w:rsidRDefault="00B167CB" w:rsidP="00B167CB">
      <w:pPr>
        <w:pStyle w:val="Style"/>
        <w:spacing w:before="100" w:beforeAutospacing="1" w:after="200" w:line="276" w:lineRule="auto"/>
        <w:ind w:left="708" w:right="147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Txomin González Martínez, </w:t>
      </w:r>
      <w:r w:rsidR="000F314C" w:rsidRPr="00B167CB">
        <w:rPr>
          <w:rFonts w:ascii="Calibri" w:eastAsia="Arial" w:hAnsi="Calibri" w:cs="Calibri"/>
          <w:sz w:val="22"/>
          <w:szCs w:val="22"/>
        </w:rPr>
        <w:t xml:space="preserve">parlamentario adscrito al </w:t>
      </w:r>
      <w:r w:rsidRPr="00B167CB">
        <w:rPr>
          <w:rFonts w:ascii="Calibri" w:eastAsia="Arial" w:hAnsi="Calibri" w:cs="Calibri"/>
          <w:sz w:val="22"/>
          <w:szCs w:val="22"/>
        </w:rPr>
        <w:t xml:space="preserve">G.P. EH Bildu-Nafarroa, </w:t>
      </w:r>
      <w:r w:rsidR="000F314C" w:rsidRPr="00B167CB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Pr="00B167CB">
        <w:rPr>
          <w:rFonts w:ascii="Calibri" w:eastAsia="Arial" w:hAnsi="Calibri" w:cs="Calibri"/>
          <w:bCs/>
          <w:w w:val="90"/>
          <w:sz w:val="22"/>
          <w:szCs w:val="22"/>
        </w:rPr>
        <w:t xml:space="preserve">moción </w:t>
      </w:r>
      <w:r w:rsidR="000F314C" w:rsidRPr="00B167CB">
        <w:rPr>
          <w:rFonts w:ascii="Calibri" w:eastAsia="Arial" w:hAnsi="Calibri" w:cs="Calibri"/>
          <w:sz w:val="22"/>
          <w:szCs w:val="22"/>
        </w:rPr>
        <w:t xml:space="preserve">para su debate y votación en el Pleno del Parlamento de Navarra. </w:t>
      </w:r>
    </w:p>
    <w:p w14:paraId="03E7D7BB" w14:textId="266396FC" w:rsidR="00B167CB" w:rsidRPr="00B167CB" w:rsidRDefault="00B167CB" w:rsidP="00B167CB">
      <w:pPr>
        <w:pStyle w:val="Style"/>
        <w:spacing w:before="100" w:beforeAutospacing="1" w:after="200" w:line="276" w:lineRule="auto"/>
        <w:ind w:right="1474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167CB">
        <w:rPr>
          <w:rFonts w:ascii="Calibri" w:eastAsia="Arial" w:hAnsi="Calibri" w:cs="Calibri"/>
          <w:bCs/>
          <w:sz w:val="22"/>
          <w:szCs w:val="22"/>
        </w:rPr>
        <w:t xml:space="preserve">Exposición de motivos </w:t>
      </w:r>
    </w:p>
    <w:p w14:paraId="4D098A6E" w14:textId="586BB8AC" w:rsidR="001B56C4" w:rsidRPr="00B167CB" w:rsidRDefault="000F314C" w:rsidP="00B167CB">
      <w:pPr>
        <w:pStyle w:val="Style"/>
        <w:spacing w:before="100" w:beforeAutospacing="1" w:after="200" w:line="276" w:lineRule="auto"/>
        <w:ind w:left="708" w:right="146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La Ley 30/1979, de 27 de octubre, sobre extracción y trasplante de órganos en su artículo 3º recoge: </w:t>
      </w:r>
      <w:r w:rsidR="00B167CB">
        <w:rPr>
          <w:rFonts w:ascii="Calibri" w:hAnsi="Calibri" w:cs="Calibri"/>
          <w:sz w:val="22"/>
          <w:szCs w:val="22"/>
        </w:rPr>
        <w:t>e</w:t>
      </w:r>
      <w:r w:rsidRPr="00B167CB">
        <w:rPr>
          <w:rFonts w:ascii="Calibri" w:eastAsia="Arial" w:hAnsi="Calibri" w:cs="Calibri"/>
          <w:sz w:val="22"/>
          <w:szCs w:val="22"/>
        </w:rPr>
        <w:t xml:space="preserve">l Ministerio de Sanidad y Seguridad Social autorizará expresamente los Centros sanitarios en que pueda efectuarse la extracción de órganos humanos. Dicha autorización determinará a quien corresponde dar la conformidad para cada intervención. </w:t>
      </w:r>
    </w:p>
    <w:p w14:paraId="02107E9F" w14:textId="77777777" w:rsidR="001B56C4" w:rsidRPr="00B167CB" w:rsidRDefault="000F314C" w:rsidP="00B167CB">
      <w:pPr>
        <w:pStyle w:val="Style"/>
        <w:spacing w:before="100" w:beforeAutospacing="1" w:after="200" w:line="276" w:lineRule="auto"/>
        <w:ind w:right="1469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En su artículo 7º determina: </w:t>
      </w:r>
    </w:p>
    <w:p w14:paraId="4DD65960" w14:textId="77777777" w:rsidR="001B56C4" w:rsidRPr="00B167CB" w:rsidRDefault="000F314C" w:rsidP="00B167CB">
      <w:pPr>
        <w:pStyle w:val="Style"/>
        <w:spacing w:before="100" w:beforeAutospacing="1" w:after="200" w:line="276" w:lineRule="auto"/>
        <w:ind w:left="708" w:right="146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Uno. Se facilitará la constitución de Organizaciones a nivel de Comunidad Autónoma y Nacional y se colaborará con Entidades internacionales que hagan posible el intercambio y la rápida circulación de órganos para trasplante, obtenidos de personas fallecidas, con el fin de encontrar el receptor más idóneo. </w:t>
      </w:r>
    </w:p>
    <w:p w14:paraId="332F99E2" w14:textId="77777777" w:rsidR="001B56C4" w:rsidRPr="00B167CB" w:rsidRDefault="000F314C" w:rsidP="00B167CB">
      <w:pPr>
        <w:pStyle w:val="Style"/>
        <w:spacing w:before="100" w:beforeAutospacing="1" w:after="200" w:line="276" w:lineRule="auto"/>
        <w:ind w:left="708" w:right="146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Dos. Por el Ministerio de Sanidad y Seguridad Social se dictarán normas reguladoras del funcionamiento y control de los «bancos» de </w:t>
      </w:r>
      <w:r w:rsidRPr="00B167CB">
        <w:rPr>
          <w:rFonts w:ascii="Calibri" w:eastAsia="Arial" w:hAnsi="Calibri" w:cs="Calibri"/>
          <w:sz w:val="22"/>
          <w:szCs w:val="22"/>
        </w:rPr>
        <w:t xml:space="preserve">órganos que por su naturaleza permitan esta modalidad de conservación. Dichos «bancos» no tendrán, en caso alguno, carácter lucrativo. </w:t>
      </w:r>
    </w:p>
    <w:p w14:paraId="442F540F" w14:textId="3CCCFF24" w:rsidR="001B56C4" w:rsidRPr="00B167CB" w:rsidRDefault="000F314C" w:rsidP="00B167CB">
      <w:pPr>
        <w:pStyle w:val="Style"/>
        <w:spacing w:before="100" w:beforeAutospacing="1" w:after="200" w:line="276" w:lineRule="auto"/>
        <w:ind w:left="708" w:right="146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Y en la Disposición Adicional Primera dice: </w:t>
      </w:r>
      <w:r w:rsidR="00B167CB">
        <w:rPr>
          <w:rFonts w:ascii="Calibri" w:eastAsia="Arial" w:hAnsi="Calibri" w:cs="Calibri"/>
          <w:sz w:val="22"/>
          <w:szCs w:val="22"/>
        </w:rPr>
        <w:t>e</w:t>
      </w:r>
      <w:r w:rsidRPr="00B167CB">
        <w:rPr>
          <w:rFonts w:ascii="Calibri" w:eastAsia="Arial" w:hAnsi="Calibri" w:cs="Calibri"/>
          <w:sz w:val="22"/>
          <w:szCs w:val="22"/>
        </w:rPr>
        <w:t xml:space="preserve">l Gobierno deberá desarrollar por vía reglamentarla lo dispuesto en esta </w:t>
      </w:r>
      <w:r w:rsidR="00B167CB">
        <w:rPr>
          <w:rFonts w:ascii="Calibri" w:eastAsia="Arial" w:hAnsi="Calibri" w:cs="Calibri"/>
          <w:sz w:val="22"/>
          <w:szCs w:val="22"/>
        </w:rPr>
        <w:t>l</w:t>
      </w:r>
      <w:r w:rsidRPr="00B167CB">
        <w:rPr>
          <w:rFonts w:ascii="Calibri" w:eastAsia="Arial" w:hAnsi="Calibri" w:cs="Calibri"/>
          <w:sz w:val="22"/>
          <w:szCs w:val="22"/>
        </w:rPr>
        <w:t xml:space="preserve">ey, y en especial: </w:t>
      </w:r>
    </w:p>
    <w:p w14:paraId="66B89EEF" w14:textId="7AB7B780" w:rsidR="001B56C4" w:rsidRPr="00B167CB" w:rsidRDefault="000F314C" w:rsidP="00B167CB">
      <w:pPr>
        <w:pStyle w:val="Style"/>
        <w:spacing w:before="100" w:beforeAutospacing="1" w:after="200" w:line="276" w:lineRule="auto"/>
        <w:ind w:left="1459" w:right="146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a) Las condiciones y requisitos que han de reunir el personal, servicios y </w:t>
      </w:r>
      <w:r w:rsidR="00B167CB">
        <w:rPr>
          <w:rFonts w:ascii="Calibri" w:eastAsia="Arial" w:hAnsi="Calibri" w:cs="Calibri"/>
          <w:sz w:val="22"/>
          <w:szCs w:val="22"/>
        </w:rPr>
        <w:t>c</w:t>
      </w:r>
      <w:r w:rsidRPr="00B167CB">
        <w:rPr>
          <w:rFonts w:ascii="Calibri" w:eastAsia="Arial" w:hAnsi="Calibri" w:cs="Calibri"/>
          <w:sz w:val="22"/>
          <w:szCs w:val="22"/>
        </w:rPr>
        <w:t xml:space="preserve">entros sanitarios mencionados en la presente Ley para ser reconocidos, y acreditados en sus funciones; </w:t>
      </w:r>
    </w:p>
    <w:p w14:paraId="53B62EB5" w14:textId="77777777" w:rsidR="001B56C4" w:rsidRPr="00B167CB" w:rsidRDefault="000F314C" w:rsidP="00B167CB">
      <w:pPr>
        <w:pStyle w:val="Style"/>
        <w:spacing w:before="100" w:beforeAutospacing="1" w:after="200" w:line="276" w:lineRule="auto"/>
        <w:ind w:right="1469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Normativas posteriores desarrollan el procedimiento de acreditación. </w:t>
      </w:r>
    </w:p>
    <w:p w14:paraId="0F2AC793" w14:textId="77777777" w:rsidR="001B56C4" w:rsidRPr="00B167CB" w:rsidRDefault="000F314C" w:rsidP="00B167CB">
      <w:pPr>
        <w:pStyle w:val="Style"/>
        <w:spacing w:before="100" w:beforeAutospacing="1" w:after="200" w:line="276" w:lineRule="auto"/>
        <w:ind w:left="708" w:right="146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Así en la </w:t>
      </w:r>
      <w:r w:rsidRPr="00B167CB">
        <w:rPr>
          <w:rFonts w:ascii="Calibri" w:eastAsia="Arial" w:hAnsi="Calibri" w:cs="Calibri"/>
          <w:sz w:val="22"/>
          <w:szCs w:val="22"/>
        </w:rPr>
        <w:t xml:space="preserve">Resolución </w:t>
      </w:r>
      <w:r w:rsidRPr="00B167CB">
        <w:rPr>
          <w:rFonts w:ascii="Calibri" w:eastAsia="Arial" w:hAnsi="Calibri" w:cs="Calibri"/>
          <w:sz w:val="22"/>
          <w:szCs w:val="22"/>
        </w:rPr>
        <w:t xml:space="preserve">27 </w:t>
      </w:r>
      <w:r w:rsidRPr="00B167CB">
        <w:rPr>
          <w:rFonts w:ascii="Calibri" w:eastAsia="Arial" w:hAnsi="Calibri" w:cs="Calibri"/>
          <w:sz w:val="22"/>
          <w:szCs w:val="22"/>
        </w:rPr>
        <w:t>de junio de 1980</w:t>
      </w:r>
      <w:r w:rsidRPr="00B167CB">
        <w:rPr>
          <w:rFonts w:ascii="Calibri" w:eastAsia="Arial" w:hAnsi="Calibri" w:cs="Calibri"/>
          <w:i/>
          <w:iCs/>
          <w:sz w:val="22"/>
          <w:szCs w:val="22"/>
        </w:rPr>
        <w:t xml:space="preserve">, </w:t>
      </w:r>
      <w:r w:rsidRPr="00B167CB">
        <w:rPr>
          <w:rFonts w:ascii="Calibri" w:eastAsia="Arial" w:hAnsi="Calibri" w:cs="Calibri"/>
          <w:sz w:val="22"/>
          <w:szCs w:val="22"/>
        </w:rPr>
        <w:t xml:space="preserve">de la Secretaría de Estado para la Sanidad, por la que se desarrolla el reglamento de la Ley de Trasplante de Órganos se señala, en cuanto a los procedimientos a seguir para iniciar programas de trasplante de órganos, que: </w:t>
      </w:r>
    </w:p>
    <w:p w14:paraId="77370281" w14:textId="2C531C1B" w:rsidR="001B56C4" w:rsidRPr="00B167CB" w:rsidRDefault="000F314C" w:rsidP="00B167CB">
      <w:pPr>
        <w:pStyle w:val="Style"/>
        <w:numPr>
          <w:ilvl w:val="0"/>
          <w:numId w:val="3"/>
        </w:numPr>
        <w:spacing w:before="100" w:beforeAutospacing="1" w:after="200" w:line="276" w:lineRule="auto"/>
        <w:ind w:right="146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Artículo </w:t>
      </w:r>
      <w:r w:rsidR="00B167CB">
        <w:rPr>
          <w:rFonts w:ascii="Calibri" w:eastAsia="Arial" w:hAnsi="Calibri" w:cs="Calibri"/>
          <w:sz w:val="22"/>
          <w:szCs w:val="22"/>
        </w:rPr>
        <w:t>5</w:t>
      </w:r>
      <w:r w:rsidRPr="00B167CB">
        <w:rPr>
          <w:rFonts w:ascii="Calibri" w:eastAsia="Arial" w:hAnsi="Calibri" w:cs="Calibri"/>
          <w:sz w:val="22"/>
          <w:szCs w:val="22"/>
        </w:rPr>
        <w:t xml:space="preserve">º: </w:t>
      </w:r>
      <w:r w:rsidR="00B167CB">
        <w:rPr>
          <w:rFonts w:ascii="Calibri" w:eastAsia="Arial" w:hAnsi="Calibri" w:cs="Calibri"/>
          <w:sz w:val="22"/>
          <w:szCs w:val="22"/>
        </w:rPr>
        <w:t>l</w:t>
      </w:r>
      <w:r w:rsidRPr="00B167CB">
        <w:rPr>
          <w:rFonts w:ascii="Calibri" w:eastAsia="Arial" w:hAnsi="Calibri" w:cs="Calibri"/>
          <w:sz w:val="22"/>
          <w:szCs w:val="22"/>
        </w:rPr>
        <w:t xml:space="preserve">os trasplantes de órganos o implantación de tejidos sólo podrán realizarse en centros hospitalarios que reúnan las siguientes condiciones: </w:t>
      </w:r>
    </w:p>
    <w:p w14:paraId="5CDE3AFE" w14:textId="7E146BE8" w:rsidR="001B56C4" w:rsidRPr="00B167CB" w:rsidRDefault="000F314C" w:rsidP="00B167CB">
      <w:pPr>
        <w:pStyle w:val="Style"/>
        <w:spacing w:before="100" w:beforeAutospacing="1" w:after="200" w:line="276" w:lineRule="auto"/>
        <w:ind w:left="1469" w:right="146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a) Poseer </w:t>
      </w:r>
      <w:r w:rsidRPr="00B167CB">
        <w:rPr>
          <w:rFonts w:ascii="Calibri" w:eastAsia="Arial" w:hAnsi="Calibri" w:cs="Calibri"/>
          <w:sz w:val="22"/>
          <w:szCs w:val="22"/>
        </w:rPr>
        <w:t>servic</w:t>
      </w:r>
      <w:r w:rsidR="00B167CB">
        <w:rPr>
          <w:rFonts w:ascii="Calibri" w:eastAsia="Arial" w:hAnsi="Calibri" w:cs="Calibri"/>
          <w:sz w:val="22"/>
          <w:szCs w:val="22"/>
        </w:rPr>
        <w:t>i</w:t>
      </w:r>
      <w:r w:rsidRPr="00B167CB">
        <w:rPr>
          <w:rFonts w:ascii="Calibri" w:eastAsia="Arial" w:hAnsi="Calibri" w:cs="Calibri"/>
          <w:sz w:val="22"/>
          <w:szCs w:val="22"/>
        </w:rPr>
        <w:t xml:space="preserve">o </w:t>
      </w:r>
      <w:r w:rsidRPr="00B167CB">
        <w:rPr>
          <w:rFonts w:ascii="Calibri" w:eastAsia="Arial" w:hAnsi="Calibri" w:cs="Calibri"/>
          <w:sz w:val="22"/>
          <w:szCs w:val="22"/>
        </w:rPr>
        <w:t xml:space="preserve">de medicina interna, nefrología, neurología o neurocirugía, cirugía general, anestesia, urología, unidad de cuidados intensivos, banco de sangre, laboratorios generales de hematología, bioquímica clínica y </w:t>
      </w:r>
      <w:r w:rsidRPr="00B167CB">
        <w:rPr>
          <w:rFonts w:ascii="Calibri" w:eastAsia="Arial" w:hAnsi="Calibri" w:cs="Calibri"/>
          <w:sz w:val="22"/>
          <w:szCs w:val="22"/>
        </w:rPr>
        <w:t xml:space="preserve">microbiología, laboratorio de inmunología propio o afiliado y radiología. </w:t>
      </w:r>
    </w:p>
    <w:p w14:paraId="548A0481" w14:textId="77777777" w:rsidR="001B56C4" w:rsidRPr="00B167CB" w:rsidRDefault="000F314C" w:rsidP="00B167CB">
      <w:pPr>
        <w:pStyle w:val="Style"/>
        <w:spacing w:before="100" w:beforeAutospacing="1" w:after="200" w:line="276" w:lineRule="auto"/>
        <w:ind w:left="1469" w:right="147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b) Turnos de guardia en presencia o en llamada de los respectivos servicios o unidades de veinticuatro horas al día. </w:t>
      </w:r>
    </w:p>
    <w:p w14:paraId="4DDBA7B9" w14:textId="77777777" w:rsidR="001B56C4" w:rsidRPr="00B167CB" w:rsidRDefault="000F314C" w:rsidP="00B167CB">
      <w:pPr>
        <w:pStyle w:val="Style"/>
        <w:numPr>
          <w:ilvl w:val="0"/>
          <w:numId w:val="1"/>
        </w:numPr>
        <w:spacing w:before="100" w:beforeAutospacing="1" w:after="200" w:line="276" w:lineRule="auto"/>
        <w:ind w:left="1680" w:right="1469" w:hanging="2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Unidad quirúrgica con experiencia en trasplante. </w:t>
      </w:r>
    </w:p>
    <w:p w14:paraId="7EBE3C65" w14:textId="77777777" w:rsidR="001B56C4" w:rsidRPr="00B167CB" w:rsidRDefault="000F314C" w:rsidP="00B167CB">
      <w:pPr>
        <w:pStyle w:val="Style"/>
        <w:numPr>
          <w:ilvl w:val="0"/>
          <w:numId w:val="1"/>
        </w:numPr>
        <w:spacing w:before="100" w:beforeAutospacing="1" w:after="200" w:line="276" w:lineRule="auto"/>
        <w:ind w:left="1680" w:right="1469" w:hanging="22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Unidad de nefrología dotada de hemodiálisis. </w:t>
      </w:r>
    </w:p>
    <w:p w14:paraId="631FE6E0" w14:textId="77777777" w:rsidR="001B56C4" w:rsidRPr="00B167CB" w:rsidRDefault="000F314C" w:rsidP="00B167CB">
      <w:pPr>
        <w:pStyle w:val="Style"/>
        <w:numPr>
          <w:ilvl w:val="0"/>
          <w:numId w:val="1"/>
        </w:numPr>
        <w:spacing w:before="100" w:beforeAutospacing="1" w:after="200" w:line="276" w:lineRule="auto"/>
        <w:ind w:left="1680" w:right="1469" w:hanging="21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Unidades estériles de aislamiento. </w:t>
      </w:r>
    </w:p>
    <w:p w14:paraId="59E906B3" w14:textId="4BD58517" w:rsidR="001B56C4" w:rsidRPr="00B167CB" w:rsidRDefault="000F314C" w:rsidP="000F314C">
      <w:pPr>
        <w:pStyle w:val="Style"/>
        <w:spacing w:before="100" w:beforeAutospacing="1" w:after="200" w:line="276" w:lineRule="auto"/>
        <w:ind w:left="708" w:right="147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Previas las comprobaciones necesarias, el Ministerio de Salud y Seguridad Social, a </w:t>
      </w:r>
      <w:r w:rsidRPr="00B167CB">
        <w:rPr>
          <w:rFonts w:ascii="Calibri" w:eastAsia="Arial" w:hAnsi="Calibri" w:cs="Calibri"/>
          <w:sz w:val="22"/>
          <w:szCs w:val="22"/>
        </w:rPr>
        <w:lastRenderedPageBreak/>
        <w:t xml:space="preserve">través de la Secretaría de Estado para la Sanidad, podrá dar la autorización solicitada, que tendrá períodos renovables de 4 años. </w:t>
      </w:r>
    </w:p>
    <w:p w14:paraId="5BB2ED5F" w14:textId="578C9A30" w:rsidR="001B56C4" w:rsidRPr="00B167CB" w:rsidRDefault="000F314C" w:rsidP="000F314C">
      <w:pPr>
        <w:pStyle w:val="Style"/>
        <w:spacing w:before="100" w:beforeAutospacing="1" w:after="200" w:line="276" w:lineRule="auto"/>
        <w:ind w:left="708" w:right="147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>Y en el Real Decreto 1723/2012, de 28 de diciembre, por el que se regulan las actividades de obtención, utilización clínica y coordinación territorial de los órganos humanos destinados al trasplante y se establecen requisitos de calidad y seguridad, su Anexo</w:t>
      </w:r>
      <w:r w:rsidR="00B167CB">
        <w:rPr>
          <w:rFonts w:ascii="Calibri" w:eastAsia="Arial" w:hAnsi="Calibri" w:cs="Calibri"/>
          <w:sz w:val="22"/>
          <w:szCs w:val="22"/>
        </w:rPr>
        <w:t xml:space="preserve"> II</w:t>
      </w:r>
      <w:r w:rsidRPr="00B167CB">
        <w:rPr>
          <w:rFonts w:ascii="Calibri" w:hAnsi="Calibri" w:cs="Calibri"/>
          <w:w w:val="50"/>
          <w:sz w:val="22"/>
          <w:szCs w:val="22"/>
        </w:rPr>
        <w:t xml:space="preserve"> </w:t>
      </w:r>
      <w:r w:rsidRPr="00B167CB">
        <w:rPr>
          <w:rFonts w:ascii="Calibri" w:eastAsia="Arial" w:hAnsi="Calibri" w:cs="Calibri"/>
          <w:sz w:val="22"/>
          <w:szCs w:val="22"/>
        </w:rPr>
        <w:t xml:space="preserve">define: </w:t>
      </w:r>
    </w:p>
    <w:p w14:paraId="7A494860" w14:textId="77777777" w:rsidR="001B56C4" w:rsidRPr="00093614" w:rsidRDefault="000F314C" w:rsidP="000F314C">
      <w:pPr>
        <w:pStyle w:val="Style"/>
        <w:spacing w:before="100" w:beforeAutospacing="1" w:after="200" w:line="276" w:lineRule="auto"/>
        <w:ind w:right="1469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093614">
        <w:rPr>
          <w:rFonts w:ascii="Calibri" w:eastAsia="Arial" w:hAnsi="Calibri" w:cs="Calibri"/>
          <w:bCs/>
          <w:sz w:val="22"/>
          <w:szCs w:val="22"/>
        </w:rPr>
        <w:t xml:space="preserve">Requisitos específicos para la autorización de los centros de trasplante de órganos </w:t>
      </w:r>
    </w:p>
    <w:p w14:paraId="686A762C" w14:textId="77777777" w:rsidR="001B56C4" w:rsidRPr="00B167CB" w:rsidRDefault="000F314C" w:rsidP="000F314C">
      <w:pPr>
        <w:pStyle w:val="Style"/>
        <w:spacing w:before="100" w:beforeAutospacing="1" w:after="200" w:line="276" w:lineRule="auto"/>
        <w:ind w:left="708" w:right="147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1. Los requisitos específicos para la autorización de los centros de trasplante de órganos de donante fallecido serán los siguientes: </w:t>
      </w:r>
    </w:p>
    <w:p w14:paraId="086AC887" w14:textId="77777777" w:rsidR="00B167CB" w:rsidRDefault="000F314C" w:rsidP="000F314C">
      <w:pPr>
        <w:pStyle w:val="Style"/>
        <w:spacing w:before="100" w:beforeAutospacing="1" w:after="200" w:line="276" w:lineRule="auto"/>
        <w:ind w:left="708" w:right="147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a) Para la realización de trasplantes renales: disponer de una unidad de nefrología, y de urología y/o de cirugía general y digestiva y/o cirugía vascular con personal suficiente, cualificado y con demostrada experiencia para garantizar la correcta realización de estos trasplantes y el adecuado seguimiento, diagnóstico y tratamiento de las eventuales complicaciones de estos pacientes. </w:t>
      </w:r>
    </w:p>
    <w:p w14:paraId="4920ABCA" w14:textId="1327F9FC" w:rsidR="00B167CB" w:rsidRDefault="000F314C" w:rsidP="000F314C">
      <w:pPr>
        <w:pStyle w:val="Style"/>
        <w:spacing w:before="100" w:beforeAutospacing="1" w:after="200" w:line="276" w:lineRule="auto"/>
        <w:ind w:right="1469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 xml:space="preserve">Por ello, presentamos la siguiente </w:t>
      </w:r>
      <w:r w:rsidR="00093614" w:rsidRPr="00093614">
        <w:rPr>
          <w:rFonts w:ascii="Calibri" w:eastAsia="Arial" w:hAnsi="Calibri" w:cs="Calibri"/>
          <w:bCs/>
          <w:sz w:val="22"/>
          <w:szCs w:val="22"/>
        </w:rPr>
        <w:t>propuesta de resolución</w:t>
      </w:r>
      <w:r w:rsidR="00093614">
        <w:rPr>
          <w:rFonts w:ascii="Calibri" w:hAnsi="Calibri" w:cs="Calibri"/>
          <w:sz w:val="22"/>
          <w:szCs w:val="22"/>
        </w:rPr>
        <w:t>:</w:t>
      </w:r>
      <w:r w:rsidR="00093614" w:rsidRPr="00093614">
        <w:rPr>
          <w:rFonts w:ascii="Calibri" w:hAnsi="Calibri" w:cs="Calibri"/>
          <w:sz w:val="22"/>
          <w:szCs w:val="22"/>
        </w:rPr>
        <w:t xml:space="preserve"> </w:t>
      </w:r>
    </w:p>
    <w:p w14:paraId="7C255A8F" w14:textId="249E2BB8" w:rsidR="00B167CB" w:rsidRPr="00093614" w:rsidRDefault="000F314C" w:rsidP="00093614">
      <w:pPr>
        <w:pStyle w:val="Style"/>
        <w:numPr>
          <w:ilvl w:val="0"/>
          <w:numId w:val="5"/>
        </w:numPr>
        <w:spacing w:before="100" w:beforeAutospacing="1" w:after="200" w:line="276" w:lineRule="auto"/>
        <w:ind w:right="1464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093614">
        <w:rPr>
          <w:rFonts w:ascii="Calibri" w:eastAsia="Arial" w:hAnsi="Calibri" w:cs="Calibri"/>
          <w:bCs/>
          <w:sz w:val="22"/>
          <w:szCs w:val="22"/>
        </w:rPr>
        <w:t xml:space="preserve">El Parlamento de Navarra insta al </w:t>
      </w:r>
      <w:r w:rsidRPr="00093614">
        <w:rPr>
          <w:rFonts w:ascii="Calibri" w:eastAsia="Arial" w:hAnsi="Calibri" w:cs="Calibri"/>
          <w:bCs/>
          <w:sz w:val="22"/>
          <w:szCs w:val="22"/>
        </w:rPr>
        <w:t xml:space="preserve">Gobierno de Navarra </w:t>
      </w:r>
      <w:r w:rsidRPr="00093614">
        <w:rPr>
          <w:rFonts w:ascii="Calibri" w:hAnsi="Calibri" w:cs="Calibri"/>
          <w:bCs/>
          <w:sz w:val="22"/>
          <w:szCs w:val="22"/>
        </w:rPr>
        <w:t xml:space="preserve">y </w:t>
      </w:r>
      <w:r w:rsidRPr="00093614">
        <w:rPr>
          <w:rFonts w:ascii="Calibri" w:eastAsia="Arial" w:hAnsi="Calibri" w:cs="Calibri"/>
          <w:bCs/>
          <w:sz w:val="22"/>
          <w:szCs w:val="22"/>
        </w:rPr>
        <w:t>al Departamento de Salud</w:t>
      </w:r>
      <w:r w:rsidRPr="00093614">
        <w:rPr>
          <w:rFonts w:ascii="Calibri" w:eastAsia="Arial" w:hAnsi="Calibri" w:cs="Calibri"/>
          <w:bCs/>
          <w:sz w:val="22"/>
          <w:szCs w:val="22"/>
        </w:rPr>
        <w:t xml:space="preserve"> a estudiar la viabilidad de implantación de un programa de formación </w:t>
      </w:r>
      <w:r w:rsidRPr="00093614">
        <w:rPr>
          <w:rFonts w:ascii="Calibri" w:hAnsi="Calibri" w:cs="Calibri"/>
          <w:bCs/>
          <w:sz w:val="22"/>
          <w:szCs w:val="22"/>
        </w:rPr>
        <w:t xml:space="preserve">y </w:t>
      </w:r>
      <w:r w:rsidRPr="00093614">
        <w:rPr>
          <w:rFonts w:ascii="Calibri" w:eastAsia="Arial" w:hAnsi="Calibri" w:cs="Calibri"/>
          <w:bCs/>
          <w:sz w:val="22"/>
          <w:szCs w:val="22"/>
        </w:rPr>
        <w:t>cualificación profesional, mediante acuerdos con el resto del Sistema Público de Salud, que permita al personal del SNS-Osasunbidea poder realizar los trasplantes renales en personas adultas de forma progresiva</w:t>
      </w:r>
      <w:r w:rsidR="00093614">
        <w:rPr>
          <w:rFonts w:ascii="Calibri" w:eastAsia="Arial" w:hAnsi="Calibri" w:cs="Calibri"/>
          <w:bCs/>
          <w:sz w:val="22"/>
          <w:szCs w:val="22"/>
        </w:rPr>
        <w:t>, a</w:t>
      </w:r>
      <w:r w:rsidRPr="00093614">
        <w:rPr>
          <w:rFonts w:ascii="Calibri" w:eastAsia="Arial" w:hAnsi="Calibri" w:cs="Calibri"/>
          <w:bCs/>
          <w:sz w:val="22"/>
          <w:szCs w:val="22"/>
        </w:rPr>
        <w:t xml:space="preserve">sí como la adecuación de las instalaciones sanitarias para estas nuevas prestaciones. </w:t>
      </w:r>
    </w:p>
    <w:p w14:paraId="4BB7D178" w14:textId="7585EB28" w:rsidR="001B56C4" w:rsidRDefault="000F314C" w:rsidP="000F314C">
      <w:pPr>
        <w:pStyle w:val="Style"/>
        <w:spacing w:before="100" w:beforeAutospacing="1" w:after="200" w:line="276" w:lineRule="auto"/>
        <w:ind w:left="567" w:right="56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167CB">
        <w:rPr>
          <w:rFonts w:ascii="Calibri" w:eastAsia="Arial" w:hAnsi="Calibri" w:cs="Calibri"/>
          <w:sz w:val="22"/>
          <w:szCs w:val="22"/>
        </w:rPr>
        <w:t>En lruñea/Pamplona</w:t>
      </w:r>
      <w:r w:rsidR="00093614">
        <w:rPr>
          <w:rFonts w:ascii="Calibri" w:eastAsia="Arial" w:hAnsi="Calibri" w:cs="Calibri"/>
          <w:sz w:val="22"/>
          <w:szCs w:val="22"/>
        </w:rPr>
        <w:t>,</w:t>
      </w:r>
      <w:r w:rsidRPr="00B167CB">
        <w:rPr>
          <w:rFonts w:ascii="Calibri" w:eastAsia="Arial" w:hAnsi="Calibri" w:cs="Calibri"/>
          <w:sz w:val="22"/>
          <w:szCs w:val="22"/>
        </w:rPr>
        <w:t xml:space="preserve"> a 12 de septiembre de 2024</w:t>
      </w:r>
    </w:p>
    <w:p w14:paraId="3B70922B" w14:textId="49B76E96" w:rsidR="00093614" w:rsidRPr="00B167CB" w:rsidRDefault="00093614" w:rsidP="000F314C">
      <w:pPr>
        <w:pStyle w:val="Style"/>
        <w:spacing w:before="100" w:beforeAutospacing="1" w:after="200" w:line="276" w:lineRule="auto"/>
        <w:ind w:right="1469" w:firstLine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Domingo González Martínez</w:t>
      </w:r>
    </w:p>
    <w:sectPr w:rsidR="00093614" w:rsidRPr="00B167CB" w:rsidSect="000F314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0936"/>
    <w:multiLevelType w:val="singleLevel"/>
    <w:tmpl w:val="32D6AEAA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7"/>
        <w:szCs w:val="17"/>
      </w:rPr>
    </w:lvl>
  </w:abstractNum>
  <w:abstractNum w:abstractNumId="1" w15:restartNumberingAfterBreak="0">
    <w:nsid w:val="086A78AC"/>
    <w:multiLevelType w:val="hybridMultilevel"/>
    <w:tmpl w:val="B290B9DC"/>
    <w:lvl w:ilvl="0" w:tplc="34B67D98">
      <w:start w:val="1"/>
      <w:numFmt w:val="bullet"/>
      <w:lvlText w:val="–"/>
      <w:lvlJc w:val="left"/>
      <w:pPr>
        <w:ind w:left="1068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97EED"/>
    <w:multiLevelType w:val="singleLevel"/>
    <w:tmpl w:val="2466DD9C"/>
    <w:lvl w:ilvl="0">
      <w:start w:val="3"/>
      <w:numFmt w:val="lowerLetter"/>
      <w:lvlText w:val="%1)"/>
      <w:legacy w:legacy="1" w:legacySpace="0" w:legacyIndent="0"/>
      <w:lvlJc w:val="left"/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29375055"/>
    <w:multiLevelType w:val="hybridMultilevel"/>
    <w:tmpl w:val="4552E7D0"/>
    <w:lvl w:ilvl="0" w:tplc="89146970">
      <w:start w:val="1"/>
      <w:numFmt w:val="decimal"/>
      <w:lvlText w:val="%1."/>
      <w:lvlJc w:val="left"/>
      <w:pPr>
        <w:ind w:left="2453" w:hanging="360"/>
      </w:pPr>
      <w:rPr>
        <w:rFonts w:eastAsia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173" w:hanging="360"/>
      </w:pPr>
    </w:lvl>
    <w:lvl w:ilvl="2" w:tplc="0C0A001B" w:tentative="1">
      <w:start w:val="1"/>
      <w:numFmt w:val="lowerRoman"/>
      <w:lvlText w:val="%3."/>
      <w:lvlJc w:val="right"/>
      <w:pPr>
        <w:ind w:left="3893" w:hanging="180"/>
      </w:pPr>
    </w:lvl>
    <w:lvl w:ilvl="3" w:tplc="0C0A000F" w:tentative="1">
      <w:start w:val="1"/>
      <w:numFmt w:val="decimal"/>
      <w:lvlText w:val="%4."/>
      <w:lvlJc w:val="left"/>
      <w:pPr>
        <w:ind w:left="4613" w:hanging="360"/>
      </w:pPr>
    </w:lvl>
    <w:lvl w:ilvl="4" w:tplc="0C0A0019" w:tentative="1">
      <w:start w:val="1"/>
      <w:numFmt w:val="lowerLetter"/>
      <w:lvlText w:val="%5."/>
      <w:lvlJc w:val="left"/>
      <w:pPr>
        <w:ind w:left="5333" w:hanging="360"/>
      </w:pPr>
    </w:lvl>
    <w:lvl w:ilvl="5" w:tplc="0C0A001B" w:tentative="1">
      <w:start w:val="1"/>
      <w:numFmt w:val="lowerRoman"/>
      <w:lvlText w:val="%6."/>
      <w:lvlJc w:val="right"/>
      <w:pPr>
        <w:ind w:left="6053" w:hanging="180"/>
      </w:pPr>
    </w:lvl>
    <w:lvl w:ilvl="6" w:tplc="0C0A000F" w:tentative="1">
      <w:start w:val="1"/>
      <w:numFmt w:val="decimal"/>
      <w:lvlText w:val="%7."/>
      <w:lvlJc w:val="left"/>
      <w:pPr>
        <w:ind w:left="6773" w:hanging="360"/>
      </w:pPr>
    </w:lvl>
    <w:lvl w:ilvl="7" w:tplc="0C0A0019" w:tentative="1">
      <w:start w:val="1"/>
      <w:numFmt w:val="lowerLetter"/>
      <w:lvlText w:val="%8."/>
      <w:lvlJc w:val="left"/>
      <w:pPr>
        <w:ind w:left="7493" w:hanging="360"/>
      </w:pPr>
    </w:lvl>
    <w:lvl w:ilvl="8" w:tplc="0C0A001B" w:tentative="1">
      <w:start w:val="1"/>
      <w:numFmt w:val="lowerRoman"/>
      <w:lvlText w:val="%9."/>
      <w:lvlJc w:val="right"/>
      <w:pPr>
        <w:ind w:left="8213" w:hanging="180"/>
      </w:pPr>
    </w:lvl>
  </w:abstractNum>
  <w:abstractNum w:abstractNumId="4" w15:restartNumberingAfterBreak="0">
    <w:nsid w:val="61900BE3"/>
    <w:multiLevelType w:val="hybridMultilevel"/>
    <w:tmpl w:val="89A87936"/>
    <w:lvl w:ilvl="0" w:tplc="FE968B10">
      <w:start w:val="1"/>
      <w:numFmt w:val="decimal"/>
      <w:lvlText w:val="%1."/>
      <w:lvlJc w:val="left"/>
      <w:pPr>
        <w:ind w:left="1776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92264065">
    <w:abstractNumId w:val="2"/>
  </w:num>
  <w:num w:numId="2" w16cid:durableId="417213857">
    <w:abstractNumId w:val="0"/>
  </w:num>
  <w:num w:numId="3" w16cid:durableId="697198165">
    <w:abstractNumId w:val="1"/>
  </w:num>
  <w:num w:numId="4" w16cid:durableId="1285304327">
    <w:abstractNumId w:val="3"/>
  </w:num>
  <w:num w:numId="5" w16cid:durableId="910307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C4"/>
    <w:rsid w:val="00093614"/>
    <w:rsid w:val="000F314C"/>
    <w:rsid w:val="001B56C4"/>
    <w:rsid w:val="001F0FA2"/>
    <w:rsid w:val="00B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8BE8"/>
  <w15:docId w15:val="{F35D90C4-C7BC-48A7-B54C-242FD416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658</Words>
  <Characters>3620</Characters>
  <Application>Microsoft Office Word</Application>
  <DocSecurity>0</DocSecurity>
  <Lines>30</Lines>
  <Paragraphs>8</Paragraphs>
  <ScaleCrop>false</ScaleCrop>
  <Company>HP Inc.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24MOC-98</dc:title>
  <dc:creator>informatica</dc:creator>
  <cp:keywords>CreatedByIRIS_Readiris_17.0</cp:keywords>
  <cp:lastModifiedBy>Mauleón, Fernando</cp:lastModifiedBy>
  <cp:revision>4</cp:revision>
  <dcterms:created xsi:type="dcterms:W3CDTF">2024-09-12T09:22:00Z</dcterms:created>
  <dcterms:modified xsi:type="dcterms:W3CDTF">2024-09-12T09:32:00Z</dcterms:modified>
</cp:coreProperties>
</file>