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8713" w14:textId="77777777" w:rsidR="00480880" w:rsidRPr="00480880" w:rsidRDefault="00480880" w:rsidP="00DB7D0E">
      <w:pPr>
        <w:spacing w:line="360" w:lineRule="auto"/>
        <w:ind w:firstLine="360"/>
        <w:jc w:val="both"/>
        <w:rPr>
          <w:rFonts w:ascii="Calibri" w:hAnsi="Calibri" w:cs="Calibri"/>
          <w:sz w:val="22"/>
          <w:szCs w:val="22"/>
        </w:rPr>
      </w:pPr>
      <w:r w:rsidRPr="00480880">
        <w:rPr>
          <w:rFonts w:ascii="Calibri" w:hAnsi="Calibri" w:cs="Calibri"/>
          <w:sz w:val="22"/>
          <w:szCs w:val="22"/>
        </w:rPr>
        <w:t>La Consejera de Vivienda, Juventud y Políticas Migratorias del Gobierno de Navarra, en relación con la petición de información (11-24/PES-00427), formulada por el Parlamentario Foral D.</w:t>
      </w:r>
      <w:r w:rsidRPr="00480880">
        <w:rPr>
          <w:rFonts w:ascii="Calibri" w:hAnsi="Calibri" w:cs="Calibri"/>
          <w:color w:val="000000"/>
          <w:sz w:val="22"/>
          <w:szCs w:val="22"/>
        </w:rPr>
        <w:t xml:space="preserve"> Mikel Zabaleta Aramendia</w:t>
      </w:r>
      <w:r w:rsidRPr="00480880">
        <w:rPr>
          <w:rFonts w:ascii="Calibri" w:hAnsi="Calibri" w:cs="Calibri"/>
          <w:sz w:val="22"/>
          <w:szCs w:val="22"/>
        </w:rPr>
        <w:t xml:space="preserve"> (G.P. EH Bildu Nafarroa), en la que, en relación con la moción aprobada por el Parlamento de Navarra el 23 de junio de 2024, se solicita:</w:t>
      </w:r>
    </w:p>
    <w:p w14:paraId="3D4235E1" w14:textId="528FDC69" w:rsidR="00480880" w:rsidRPr="00480880" w:rsidRDefault="00480880" w:rsidP="00480880">
      <w:pPr>
        <w:pStyle w:val="Prrafodelista"/>
        <w:numPr>
          <w:ilvl w:val="0"/>
          <w:numId w:val="1"/>
        </w:numPr>
        <w:spacing w:after="120" w:line="360" w:lineRule="auto"/>
        <w:jc w:val="both"/>
        <w:rPr>
          <w:rFonts w:ascii="Calibri" w:hAnsi="Calibri" w:cs="Calibri"/>
          <w:sz w:val="22"/>
          <w:szCs w:val="22"/>
        </w:rPr>
      </w:pPr>
      <w:r w:rsidRPr="00480880">
        <w:rPr>
          <w:rFonts w:ascii="Calibri" w:hAnsi="Calibri" w:cs="Calibri"/>
          <w:sz w:val="22"/>
          <w:szCs w:val="22"/>
        </w:rPr>
        <w:t>¿Qué posibilidades se han estudiado, o qué se ha realizado hasta el momento para dar cumplimiento a esta moción?</w:t>
      </w:r>
    </w:p>
    <w:p w14:paraId="2C68C873" w14:textId="77777777" w:rsidR="00480880" w:rsidRPr="00480880" w:rsidRDefault="00480880" w:rsidP="00480880">
      <w:pPr>
        <w:pStyle w:val="Prrafodelista"/>
        <w:numPr>
          <w:ilvl w:val="0"/>
          <w:numId w:val="1"/>
        </w:numPr>
        <w:spacing w:after="120" w:line="360" w:lineRule="auto"/>
        <w:jc w:val="both"/>
        <w:rPr>
          <w:rFonts w:ascii="Calibri" w:hAnsi="Calibri" w:cs="Calibri"/>
          <w:sz w:val="22"/>
          <w:szCs w:val="22"/>
        </w:rPr>
      </w:pPr>
      <w:r w:rsidRPr="00480880">
        <w:rPr>
          <w:rFonts w:ascii="Calibri" w:hAnsi="Calibri" w:cs="Calibri"/>
          <w:sz w:val="22"/>
          <w:szCs w:val="22"/>
        </w:rPr>
        <w:t xml:space="preserve">¿Qué previsión </w:t>
      </w:r>
      <w:r w:rsidRPr="00480880">
        <w:rPr>
          <w:rFonts w:ascii="Calibri" w:eastAsia="Arial" w:hAnsi="Calibri" w:cs="Calibri"/>
          <w:sz w:val="22"/>
          <w:szCs w:val="22"/>
        </w:rPr>
        <w:t>ti</w:t>
      </w:r>
      <w:r w:rsidRPr="00480880">
        <w:rPr>
          <w:rFonts w:ascii="Calibri" w:hAnsi="Calibri" w:cs="Calibri"/>
          <w:sz w:val="22"/>
          <w:szCs w:val="22"/>
        </w:rPr>
        <w:t>ene el Gobierno de Navarra y de qué modo piensa dar cumplimiento a esta moción?</w:t>
      </w:r>
    </w:p>
    <w:p w14:paraId="5C87DA4E" w14:textId="60E3B2CF" w:rsidR="00480880" w:rsidRPr="00480880" w:rsidRDefault="00480880" w:rsidP="00480880">
      <w:pPr>
        <w:autoSpaceDE w:val="0"/>
        <w:autoSpaceDN w:val="0"/>
        <w:adjustRightInd w:val="0"/>
        <w:spacing w:line="360" w:lineRule="auto"/>
        <w:jc w:val="both"/>
        <w:rPr>
          <w:rFonts w:ascii="Calibri" w:hAnsi="Calibri" w:cs="Calibri"/>
          <w:sz w:val="22"/>
          <w:szCs w:val="22"/>
        </w:rPr>
      </w:pPr>
      <w:r w:rsidRPr="00480880">
        <w:rPr>
          <w:rFonts w:ascii="Calibri" w:hAnsi="Calibri" w:cs="Calibri"/>
          <w:sz w:val="22"/>
          <w:szCs w:val="22"/>
        </w:rPr>
        <w:t>Informa lo siguiente:</w:t>
      </w:r>
    </w:p>
    <w:p w14:paraId="30DC3319" w14:textId="77777777" w:rsidR="00480880" w:rsidRPr="00480880" w:rsidRDefault="00480880" w:rsidP="00480880">
      <w:pPr>
        <w:spacing w:line="360" w:lineRule="auto"/>
        <w:ind w:left="284" w:firstLine="709"/>
        <w:jc w:val="both"/>
        <w:rPr>
          <w:rFonts w:ascii="Calibri" w:hAnsi="Calibri" w:cs="Calibri"/>
          <w:sz w:val="22"/>
          <w:szCs w:val="22"/>
        </w:rPr>
      </w:pPr>
      <w:r w:rsidRPr="00480880">
        <w:rPr>
          <w:rFonts w:ascii="Calibri" w:hAnsi="Calibri" w:cs="Calibri"/>
          <w:sz w:val="22"/>
          <w:szCs w:val="22"/>
        </w:rPr>
        <w:t>En el capítulo de plan comunicativo se puede destacar la atención a las solicitudes de información recibidas en las oficinas centrales y comarcales de Nasuvinsa. En concreto, durante el período comprendido entre enero y octubre de 2024 se ha recibido un total de 621 peticiones de información, que han sido atendidas presencialmente, así como por vía telefónica y por correo electrónico.</w:t>
      </w:r>
    </w:p>
    <w:p w14:paraId="5FE2AE78" w14:textId="77777777" w:rsidR="00480880" w:rsidRPr="00480880" w:rsidRDefault="00480880" w:rsidP="00480880">
      <w:pPr>
        <w:spacing w:line="360" w:lineRule="auto"/>
        <w:ind w:left="284" w:firstLine="709"/>
        <w:jc w:val="both"/>
        <w:rPr>
          <w:rFonts w:ascii="Calibri" w:hAnsi="Calibri" w:cs="Calibri"/>
          <w:sz w:val="22"/>
          <w:szCs w:val="22"/>
        </w:rPr>
      </w:pPr>
      <w:r w:rsidRPr="00480880">
        <w:rPr>
          <w:rFonts w:ascii="Calibri" w:hAnsi="Calibri" w:cs="Calibri"/>
          <w:sz w:val="22"/>
          <w:szCs w:val="22"/>
        </w:rPr>
        <w:t>El desglose de estas atenciones por localidades se puede consultar en el anexo 1 de este documento.</w:t>
      </w:r>
    </w:p>
    <w:p w14:paraId="00173F37" w14:textId="77777777" w:rsidR="00480880" w:rsidRPr="00480880" w:rsidRDefault="00480880" w:rsidP="00480880">
      <w:pPr>
        <w:spacing w:line="360" w:lineRule="auto"/>
        <w:ind w:left="284" w:firstLine="709"/>
        <w:jc w:val="both"/>
        <w:rPr>
          <w:rFonts w:ascii="Calibri" w:hAnsi="Calibri" w:cs="Calibri"/>
          <w:sz w:val="22"/>
          <w:szCs w:val="22"/>
        </w:rPr>
      </w:pPr>
      <w:r w:rsidRPr="00480880">
        <w:rPr>
          <w:rFonts w:ascii="Calibri" w:hAnsi="Calibri" w:cs="Calibri"/>
          <w:sz w:val="22"/>
          <w:szCs w:val="22"/>
        </w:rPr>
        <w:t xml:space="preserve"> Por otra parte, se ha seguido reforzando el marco de colaboración con ayuntamientos de Navarra para la promoción del programa de la Bolsa de Alquiler. En este contexto se enmarca el acto institucional organizado por el departamento de Vivienda, Juventud y Políticas Migratorias el pasado 28 de octubre en el Palacio de Navarra, en colaboración con la sociedad pública Nasuvinsa. </w:t>
      </w:r>
    </w:p>
    <w:p w14:paraId="47B11BCB" w14:textId="77777777" w:rsidR="00480880" w:rsidRPr="00480880" w:rsidRDefault="00480880" w:rsidP="00480880">
      <w:pPr>
        <w:spacing w:line="360" w:lineRule="auto"/>
        <w:ind w:left="284" w:firstLine="709"/>
        <w:jc w:val="both"/>
        <w:rPr>
          <w:rFonts w:ascii="Calibri" w:hAnsi="Calibri" w:cs="Calibri"/>
          <w:sz w:val="22"/>
          <w:szCs w:val="22"/>
        </w:rPr>
      </w:pPr>
      <w:r w:rsidRPr="00480880">
        <w:rPr>
          <w:rFonts w:ascii="Calibri" w:hAnsi="Calibri" w:cs="Calibri"/>
          <w:sz w:val="22"/>
          <w:szCs w:val="22"/>
        </w:rPr>
        <w:t>Este evento respondió a los siguientes objetivos:</w:t>
      </w:r>
    </w:p>
    <w:p w14:paraId="15C3EBDE" w14:textId="77777777" w:rsidR="00480880" w:rsidRPr="00480880" w:rsidRDefault="00480880" w:rsidP="00480880">
      <w:pPr>
        <w:pStyle w:val="Prrafodelista"/>
        <w:numPr>
          <w:ilvl w:val="0"/>
          <w:numId w:val="2"/>
        </w:numPr>
        <w:spacing w:line="360" w:lineRule="auto"/>
        <w:jc w:val="both"/>
        <w:rPr>
          <w:rFonts w:ascii="Calibri" w:hAnsi="Calibri" w:cs="Calibri"/>
          <w:sz w:val="22"/>
          <w:szCs w:val="22"/>
        </w:rPr>
      </w:pPr>
      <w:r w:rsidRPr="00480880">
        <w:rPr>
          <w:rFonts w:ascii="Calibri" w:hAnsi="Calibri" w:cs="Calibri"/>
          <w:sz w:val="22"/>
          <w:szCs w:val="22"/>
        </w:rPr>
        <w:t>Reforzar la difusión pública del programa de la Bolsa de Alquiler, poniendo en valor especialmente las ventajas y beneficios sociales de esta iniciativa del Gobierno de Navarra que persigue recuperar vivienda desocupada para ampliar con ella la oferta pública a precios asequibles.</w:t>
      </w:r>
    </w:p>
    <w:p w14:paraId="5E15363A" w14:textId="77777777" w:rsidR="00480880" w:rsidRPr="00480880" w:rsidRDefault="00480880" w:rsidP="00480880">
      <w:pPr>
        <w:pStyle w:val="Prrafodelista"/>
        <w:numPr>
          <w:ilvl w:val="0"/>
          <w:numId w:val="2"/>
        </w:numPr>
        <w:autoSpaceDE w:val="0"/>
        <w:autoSpaceDN w:val="0"/>
        <w:adjustRightInd w:val="0"/>
        <w:spacing w:line="360" w:lineRule="auto"/>
        <w:jc w:val="both"/>
        <w:rPr>
          <w:rFonts w:ascii="Calibri" w:hAnsi="Calibri" w:cs="Calibri"/>
          <w:sz w:val="22"/>
          <w:szCs w:val="22"/>
        </w:rPr>
      </w:pPr>
      <w:r w:rsidRPr="00480880">
        <w:rPr>
          <w:rFonts w:ascii="Calibri" w:hAnsi="Calibri" w:cs="Calibri"/>
          <w:sz w:val="22"/>
          <w:szCs w:val="22"/>
        </w:rPr>
        <w:t>Agradecer públicamente la participación de cientos de personas particulares y de empresas privadas que durante 20 años han confiado en este programa y han cedido sus viviendas para su adjudicación en régimen de arrendamiento protegido.</w:t>
      </w:r>
    </w:p>
    <w:p w14:paraId="7790F277" w14:textId="77777777" w:rsidR="00480880" w:rsidRPr="00480880" w:rsidRDefault="00480880" w:rsidP="00480880">
      <w:pPr>
        <w:pStyle w:val="Prrafodelista"/>
        <w:numPr>
          <w:ilvl w:val="0"/>
          <w:numId w:val="2"/>
        </w:numPr>
        <w:autoSpaceDE w:val="0"/>
        <w:autoSpaceDN w:val="0"/>
        <w:adjustRightInd w:val="0"/>
        <w:spacing w:line="360" w:lineRule="auto"/>
        <w:jc w:val="both"/>
        <w:rPr>
          <w:rFonts w:ascii="Calibri" w:hAnsi="Calibri" w:cs="Calibri"/>
          <w:sz w:val="22"/>
          <w:szCs w:val="22"/>
        </w:rPr>
      </w:pPr>
      <w:r w:rsidRPr="00480880">
        <w:rPr>
          <w:rFonts w:ascii="Calibri" w:hAnsi="Calibri" w:cs="Calibri"/>
          <w:sz w:val="22"/>
          <w:szCs w:val="22"/>
        </w:rPr>
        <w:lastRenderedPageBreak/>
        <w:t>Reconocer la implicación activa de los ayuntamientos y resto de entidades locales, como la Federación Navarra de Municipios y Concejos, en la labor esencial de promoción y divulgación de la Bolsa de Alquiler, tanto a en el ámbito urbano como en las zonas rurales.</w:t>
      </w:r>
    </w:p>
    <w:p w14:paraId="7B584C34" w14:textId="77777777" w:rsidR="00480880" w:rsidRPr="00480880" w:rsidRDefault="00480880" w:rsidP="00480880">
      <w:pPr>
        <w:autoSpaceDE w:val="0"/>
        <w:autoSpaceDN w:val="0"/>
        <w:adjustRightInd w:val="0"/>
        <w:spacing w:line="360" w:lineRule="auto"/>
        <w:ind w:left="284" w:firstLine="709"/>
        <w:jc w:val="both"/>
        <w:rPr>
          <w:rFonts w:ascii="Calibri" w:hAnsi="Calibri" w:cs="Calibri"/>
          <w:sz w:val="22"/>
          <w:szCs w:val="22"/>
        </w:rPr>
      </w:pPr>
      <w:r w:rsidRPr="00480880">
        <w:rPr>
          <w:rFonts w:ascii="Calibri" w:hAnsi="Calibri" w:cs="Calibri"/>
          <w:sz w:val="22"/>
          <w:szCs w:val="22"/>
        </w:rPr>
        <w:t>Así mismo, la consejera de Vivienda, Juventud y Políticas Migratorias, Begoña Alfaro, ha anunciado oficialmente que el Gobierno de Navarra subirá en 2025 casi un 9% el precio a pagar a las y los propietarios que ceden sus viviendas a la citada Bolsa de Alquiler.</w:t>
      </w:r>
    </w:p>
    <w:p w14:paraId="45076BD7" w14:textId="77777777" w:rsidR="00480880" w:rsidRPr="00480880" w:rsidRDefault="00480880" w:rsidP="00480880">
      <w:pPr>
        <w:autoSpaceDE w:val="0"/>
        <w:autoSpaceDN w:val="0"/>
        <w:adjustRightInd w:val="0"/>
        <w:spacing w:line="360" w:lineRule="auto"/>
        <w:ind w:left="284" w:firstLine="709"/>
        <w:jc w:val="both"/>
        <w:rPr>
          <w:rFonts w:ascii="Calibri" w:hAnsi="Calibri" w:cs="Calibri"/>
          <w:sz w:val="22"/>
          <w:szCs w:val="22"/>
        </w:rPr>
      </w:pPr>
      <w:r w:rsidRPr="00480880">
        <w:rPr>
          <w:rFonts w:ascii="Calibri" w:hAnsi="Calibri" w:cs="Calibri"/>
          <w:sz w:val="22"/>
          <w:szCs w:val="22"/>
        </w:rPr>
        <w:t>Este importante incremento en los precios para el próximo ejercicio de 2025 tiene como objetivo seguir haciendo atractivo el ofrecimiento de viviendas a la Bolsa de Alquiler y, de esta manera, continuar incrementando el parque de vivienda asequible para favorecer el acceso a una vivienda a personas y familias navarras que sufren con especial intensidad los altos precios en el mercado del alquiler.</w:t>
      </w:r>
    </w:p>
    <w:p w14:paraId="714ADA5E" w14:textId="66BD1DB4" w:rsidR="00480880" w:rsidRPr="00480880" w:rsidRDefault="00480880" w:rsidP="00DB7D0E">
      <w:pPr>
        <w:autoSpaceDE w:val="0"/>
        <w:autoSpaceDN w:val="0"/>
        <w:adjustRightInd w:val="0"/>
        <w:spacing w:line="360" w:lineRule="auto"/>
        <w:ind w:left="284" w:firstLine="709"/>
        <w:jc w:val="both"/>
        <w:rPr>
          <w:rFonts w:ascii="Calibri" w:hAnsi="Calibri" w:cs="Calibri"/>
          <w:sz w:val="22"/>
          <w:szCs w:val="22"/>
        </w:rPr>
      </w:pPr>
      <w:r w:rsidRPr="00480880">
        <w:rPr>
          <w:rFonts w:ascii="Calibri" w:hAnsi="Calibri" w:cs="Calibri"/>
          <w:sz w:val="22"/>
          <w:szCs w:val="22"/>
        </w:rPr>
        <w:t xml:space="preserve">De esta manera, los nuevos precios, que entrarán en vigor en 2025, se incrementan hasta alcanzar los 6,53 euros por metro cuadrado útil en las viviendas sitas en Pamplona / Iruña y Comarca, Tudela, Estella-Lizarra y Tafalla, y hasta los 6,17 euros en el resto de municipios de Navarra. Respecto a la cesión de garaje, en toda la comunidad el precio será de 72,47 euros y por el trastero, de 2,41 euros el metro cuadrado útil. </w:t>
      </w:r>
    </w:p>
    <w:p w14:paraId="56E96B0F" w14:textId="77777777" w:rsidR="00480880" w:rsidRPr="00480880" w:rsidRDefault="00480880" w:rsidP="00480880">
      <w:pPr>
        <w:autoSpaceDE w:val="0"/>
        <w:autoSpaceDN w:val="0"/>
        <w:adjustRightInd w:val="0"/>
        <w:spacing w:line="360" w:lineRule="auto"/>
        <w:ind w:left="284" w:firstLine="709"/>
        <w:jc w:val="both"/>
        <w:rPr>
          <w:rFonts w:ascii="Calibri" w:hAnsi="Calibri" w:cs="Calibri"/>
          <w:sz w:val="22"/>
          <w:szCs w:val="22"/>
        </w:rPr>
      </w:pPr>
      <w:r w:rsidRPr="00480880">
        <w:rPr>
          <w:rFonts w:ascii="Calibri" w:hAnsi="Calibri" w:cs="Calibri"/>
          <w:sz w:val="22"/>
          <w:szCs w:val="22"/>
        </w:rPr>
        <w:t>Se adjunta como anexo 2 la Resolución 676/2024, de 22 de octubre, de la Directora General de Vivienda, por la que se determinan los precios a pagar durante 2025 por el ofrecimiento de viviendas a la Bolsa de Alquiler.</w:t>
      </w:r>
    </w:p>
    <w:p w14:paraId="17ACF118" w14:textId="77777777" w:rsidR="00480880" w:rsidRPr="00480880" w:rsidRDefault="00480880" w:rsidP="00480880">
      <w:pPr>
        <w:autoSpaceDE w:val="0"/>
        <w:autoSpaceDN w:val="0"/>
        <w:adjustRightInd w:val="0"/>
        <w:spacing w:line="360" w:lineRule="auto"/>
        <w:ind w:left="284" w:firstLine="709"/>
        <w:jc w:val="both"/>
        <w:rPr>
          <w:rFonts w:ascii="Calibri" w:hAnsi="Calibri" w:cs="Calibri"/>
          <w:sz w:val="22"/>
          <w:szCs w:val="22"/>
        </w:rPr>
      </w:pPr>
      <w:r w:rsidRPr="00480880">
        <w:rPr>
          <w:rFonts w:ascii="Calibri" w:hAnsi="Calibri" w:cs="Calibri"/>
          <w:sz w:val="22"/>
          <w:szCs w:val="22"/>
        </w:rPr>
        <w:t>Por otra parte, en el capítulo de edificios recuperables en localidades con riesgos de despoblación, cabe recordar que la primera fase del Plan Foral de Rehabilitación Rural ha permitido recuperar 8 inmuebles cedidos por otros tantos municipios a Nasuvinsa, cuya rehabilitación ha permitido habilitar un total de 14 viviendas para su adjudicación a través de la Bolsa de Alquiler. En concreto, se localizan en las localidades de Isaba, Garralda, Garayoa, Uztarroz, Bakaiku, Oteiza, Iturgoien y Bizkareta.</w:t>
      </w:r>
    </w:p>
    <w:p w14:paraId="723CDF75" w14:textId="77777777" w:rsidR="00480880" w:rsidRPr="00480880" w:rsidRDefault="00480880" w:rsidP="00480880">
      <w:pPr>
        <w:autoSpaceDE w:val="0"/>
        <w:autoSpaceDN w:val="0"/>
        <w:adjustRightInd w:val="0"/>
        <w:spacing w:line="360" w:lineRule="auto"/>
        <w:ind w:left="284" w:firstLine="709"/>
        <w:jc w:val="both"/>
        <w:rPr>
          <w:rFonts w:ascii="Calibri" w:hAnsi="Calibri" w:cs="Calibri"/>
          <w:sz w:val="22"/>
          <w:szCs w:val="22"/>
        </w:rPr>
      </w:pPr>
      <w:r w:rsidRPr="00480880">
        <w:rPr>
          <w:rFonts w:ascii="Calibri" w:hAnsi="Calibri" w:cs="Calibri"/>
          <w:sz w:val="22"/>
          <w:szCs w:val="22"/>
        </w:rPr>
        <w:t xml:space="preserve">En la actualidad se está redactando el Plan de medidas para la declaración de zonas de mercado residencial tensionado, que incluye el fomento de la bolsa de alquiler, y estamos trabajando en su elaboración y la inclusión de las propuestas planteadas en la moción mencionada y que podrá ser reforzada por los Ayuntamientos afectados. </w:t>
      </w:r>
    </w:p>
    <w:p w14:paraId="008A1455" w14:textId="77777777" w:rsidR="00480880" w:rsidRPr="00480880" w:rsidRDefault="00480880" w:rsidP="00480880">
      <w:pPr>
        <w:autoSpaceDE w:val="0"/>
        <w:autoSpaceDN w:val="0"/>
        <w:adjustRightInd w:val="0"/>
        <w:spacing w:after="120"/>
        <w:ind w:left="284" w:firstLine="709"/>
        <w:jc w:val="both"/>
        <w:rPr>
          <w:rFonts w:ascii="Calibri" w:hAnsi="Calibri" w:cs="Calibri"/>
          <w:sz w:val="22"/>
          <w:szCs w:val="22"/>
        </w:rPr>
      </w:pPr>
      <w:r w:rsidRPr="00480880">
        <w:rPr>
          <w:rFonts w:ascii="Calibri" w:hAnsi="Calibri" w:cs="Calibri"/>
          <w:sz w:val="22"/>
          <w:szCs w:val="22"/>
        </w:rPr>
        <w:t>Se adjuntan los siguientes documentos:</w:t>
      </w:r>
    </w:p>
    <w:p w14:paraId="7BBE754C" w14:textId="24558989" w:rsidR="00480880" w:rsidRPr="00480880" w:rsidRDefault="00480880" w:rsidP="00480880">
      <w:pPr>
        <w:autoSpaceDE w:val="0"/>
        <w:autoSpaceDN w:val="0"/>
        <w:adjustRightInd w:val="0"/>
        <w:spacing w:after="120"/>
        <w:ind w:left="284" w:firstLine="709"/>
        <w:jc w:val="both"/>
        <w:rPr>
          <w:rFonts w:ascii="Calibri" w:hAnsi="Calibri" w:cs="Calibri"/>
          <w:sz w:val="22"/>
          <w:szCs w:val="22"/>
        </w:rPr>
      </w:pPr>
      <w:r w:rsidRPr="00480880">
        <w:rPr>
          <w:rFonts w:ascii="Calibri" w:hAnsi="Calibri" w:cs="Calibri"/>
          <w:sz w:val="22"/>
          <w:szCs w:val="22"/>
        </w:rPr>
        <w:lastRenderedPageBreak/>
        <w:t>11-24/PES-00427 Respuesta_Anexo1</w:t>
      </w:r>
    </w:p>
    <w:p w14:paraId="00151C0B" w14:textId="77777777" w:rsidR="00480880" w:rsidRPr="00480880" w:rsidRDefault="00480880" w:rsidP="00480880">
      <w:pPr>
        <w:autoSpaceDE w:val="0"/>
        <w:autoSpaceDN w:val="0"/>
        <w:adjustRightInd w:val="0"/>
        <w:spacing w:after="120"/>
        <w:ind w:left="284" w:firstLine="709"/>
        <w:jc w:val="both"/>
        <w:rPr>
          <w:rFonts w:ascii="Calibri" w:hAnsi="Calibri" w:cs="Calibri"/>
          <w:sz w:val="22"/>
          <w:szCs w:val="22"/>
        </w:rPr>
      </w:pPr>
      <w:r w:rsidRPr="00480880">
        <w:rPr>
          <w:rFonts w:ascii="Calibri" w:hAnsi="Calibri" w:cs="Calibri"/>
          <w:sz w:val="22"/>
          <w:szCs w:val="22"/>
        </w:rPr>
        <w:t>11-24/PES-00427 Respuesta_Anexo2</w:t>
      </w:r>
    </w:p>
    <w:p w14:paraId="18911E3D" w14:textId="77777777" w:rsidR="00480880" w:rsidRPr="00480880" w:rsidRDefault="00480880" w:rsidP="00480880">
      <w:pPr>
        <w:spacing w:line="360" w:lineRule="auto"/>
        <w:ind w:firstLine="708"/>
        <w:jc w:val="both"/>
        <w:rPr>
          <w:rFonts w:ascii="Calibri" w:hAnsi="Calibri" w:cs="Calibri"/>
          <w:sz w:val="22"/>
          <w:szCs w:val="22"/>
        </w:rPr>
      </w:pPr>
      <w:r w:rsidRPr="00480880">
        <w:rPr>
          <w:rFonts w:ascii="Calibri" w:hAnsi="Calibri" w:cs="Calibri"/>
          <w:sz w:val="22"/>
          <w:szCs w:val="22"/>
        </w:rPr>
        <w:t>Es cuanto informo en cumplimiento de lo dispuesto en el artículo 15 del Reglamento del Parlamento de Navarra.</w:t>
      </w:r>
    </w:p>
    <w:p w14:paraId="029B7F48" w14:textId="76B466BD" w:rsidR="00480880" w:rsidRPr="00480880" w:rsidRDefault="00480880" w:rsidP="00480880">
      <w:pPr>
        <w:rPr>
          <w:rFonts w:ascii="Calibri" w:hAnsi="Calibri" w:cs="Calibri"/>
          <w:color w:val="000000"/>
          <w:sz w:val="22"/>
          <w:szCs w:val="22"/>
        </w:rPr>
      </w:pPr>
      <w:r w:rsidRPr="00480880">
        <w:rPr>
          <w:rFonts w:ascii="Calibri" w:hAnsi="Calibri" w:cs="Calibri"/>
          <w:color w:val="000000"/>
          <w:sz w:val="22"/>
          <w:szCs w:val="22"/>
        </w:rPr>
        <w:t>En Pamplona, 6 de noviembre de 2024</w:t>
      </w:r>
    </w:p>
    <w:p w14:paraId="76F88CEB" w14:textId="25AFE15D" w:rsidR="00480880" w:rsidRPr="00480880" w:rsidRDefault="00480880" w:rsidP="00480880">
      <w:pPr>
        <w:rPr>
          <w:rFonts w:ascii="Calibri" w:hAnsi="Calibri" w:cs="Calibri"/>
          <w:sz w:val="22"/>
          <w:szCs w:val="22"/>
        </w:rPr>
      </w:pPr>
      <w:r w:rsidRPr="00480880">
        <w:rPr>
          <w:rFonts w:ascii="Calibri" w:hAnsi="Calibri" w:cs="Calibri"/>
          <w:sz w:val="22"/>
          <w:szCs w:val="22"/>
        </w:rPr>
        <w:t>La Consejera de Vivienda, Juventud y Políticas Migratorias: Begoña Alfaro García</w:t>
      </w:r>
    </w:p>
    <w:p w14:paraId="54D580FB" w14:textId="77777777" w:rsidR="00B065BA" w:rsidRDefault="00B065BA">
      <w:pPr>
        <w:rPr>
          <w:rFonts w:ascii="Calibri" w:hAnsi="Calibri" w:cs="Calibri"/>
          <w:sz w:val="22"/>
          <w:szCs w:val="22"/>
        </w:rPr>
      </w:pPr>
    </w:p>
    <w:p w14:paraId="4DE55DC2" w14:textId="342F7749" w:rsidR="009C024D" w:rsidRDefault="009C024D" w:rsidP="009C024D">
      <w:pPr>
        <w:rPr>
          <w:rFonts w:ascii="Times New (W1)" w:hAnsi="Times New (W1)"/>
        </w:rPr>
      </w:pPr>
      <w:r>
        <w:rPr>
          <w:rFonts w:ascii="Times New (W1)" w:hAnsi="Times New (W1)"/>
        </w:rPr>
        <w:t xml:space="preserve">(Nota: </w:t>
      </w:r>
      <w:r>
        <w:t xml:space="preserve">Los anexos mencionados se encuentra a disposición de los Parlamentarios y las Parlamentarias Forales </w:t>
      </w:r>
      <w:r>
        <w:rPr>
          <w:rFonts w:ascii="Times New (W1)" w:hAnsi="Times New (W1)"/>
        </w:rPr>
        <w:t>en Gestión Parlamentaria Ágora).</w:t>
      </w:r>
    </w:p>
    <w:p w14:paraId="667266F9" w14:textId="77777777" w:rsidR="009C024D" w:rsidRPr="00480880" w:rsidRDefault="009C024D">
      <w:pPr>
        <w:rPr>
          <w:rFonts w:ascii="Calibri" w:hAnsi="Calibri" w:cs="Calibri"/>
          <w:sz w:val="22"/>
          <w:szCs w:val="22"/>
        </w:rPr>
      </w:pPr>
    </w:p>
    <w:sectPr w:rsidR="009C024D" w:rsidRPr="00480880" w:rsidSect="00480880">
      <w:headerReference w:type="first" r:id="rId7"/>
      <w:footerReference w:type="first" r:id="rId8"/>
      <w:pgSz w:w="11901" w:h="16817" w:code="9"/>
      <w:pgMar w:top="2835"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3EBB" w14:textId="77777777" w:rsidR="00480880" w:rsidRDefault="00480880" w:rsidP="00480880">
      <w:r>
        <w:separator/>
      </w:r>
    </w:p>
  </w:endnote>
  <w:endnote w:type="continuationSeparator" w:id="0">
    <w:p w14:paraId="17E73550" w14:textId="77777777" w:rsidR="00480880" w:rsidRDefault="00480880" w:rsidP="0048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F52" w14:textId="77777777" w:rsidR="00480880" w:rsidRPr="00A2145B" w:rsidRDefault="00480880"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A158" w14:textId="77777777" w:rsidR="00480880" w:rsidRDefault="00480880" w:rsidP="00480880">
      <w:r>
        <w:separator/>
      </w:r>
    </w:p>
  </w:footnote>
  <w:footnote w:type="continuationSeparator" w:id="0">
    <w:p w14:paraId="5F509253" w14:textId="77777777" w:rsidR="00480880" w:rsidRDefault="00480880" w:rsidP="0048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1776" w14:textId="77777777" w:rsidR="00480880" w:rsidRDefault="00480880" w:rsidP="00696F6F">
    <w:pPr>
      <w:pStyle w:val="Encabezado"/>
      <w:ind w:left="-765"/>
    </w:pPr>
    <w:r>
      <w:rPr>
        <w:noProof/>
      </w:rPr>
      <w:drawing>
        <wp:anchor distT="0" distB="0" distL="114300" distR="114300" simplePos="0" relativeHeight="251659264" behindDoc="1" locked="0" layoutInCell="1" allowOverlap="1" wp14:anchorId="6ECF4D00" wp14:editId="21C9E3A0">
          <wp:simplePos x="419100" y="542925"/>
          <wp:positionH relativeFrom="page">
            <wp:align>left</wp:align>
          </wp:positionH>
          <wp:positionV relativeFrom="page">
            <wp:align>top</wp:align>
          </wp:positionV>
          <wp:extent cx="7560000" cy="1796400"/>
          <wp:effectExtent l="0" t="0" r="317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24D0"/>
    <w:multiLevelType w:val="hybridMultilevel"/>
    <w:tmpl w:val="DB44739E"/>
    <w:lvl w:ilvl="0" w:tplc="8CCE5CD4">
      <w:start w:val="1"/>
      <w:numFmt w:val="bullet"/>
      <w:lvlText w:val=""/>
      <w:lvlJc w:val="left"/>
      <w:pPr>
        <w:ind w:left="720" w:hanging="360"/>
      </w:pPr>
      <w:rPr>
        <w:rFonts w:ascii="Wingdings" w:hAnsi="Wingdings" w:hint="default"/>
        <w:color w:val="0E2841"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122402"/>
    <w:multiLevelType w:val="hybridMultilevel"/>
    <w:tmpl w:val="33C809B6"/>
    <w:lvl w:ilvl="0" w:tplc="8CCE5CD4">
      <w:start w:val="1"/>
      <w:numFmt w:val="bullet"/>
      <w:lvlText w:val=""/>
      <w:lvlJc w:val="left"/>
      <w:pPr>
        <w:ind w:left="720" w:hanging="360"/>
      </w:pPr>
      <w:rPr>
        <w:rFonts w:ascii="Wingdings" w:hAnsi="Wingdings" w:hint="default"/>
        <w:color w:val="0E2841"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1608926">
    <w:abstractNumId w:val="1"/>
  </w:num>
  <w:num w:numId="2" w16cid:durableId="178365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80"/>
    <w:rsid w:val="000370A0"/>
    <w:rsid w:val="000820DB"/>
    <w:rsid w:val="000A3E45"/>
    <w:rsid w:val="001E34F2"/>
    <w:rsid w:val="00242C60"/>
    <w:rsid w:val="002F1D15"/>
    <w:rsid w:val="00337EB8"/>
    <w:rsid w:val="003C1B1F"/>
    <w:rsid w:val="00480880"/>
    <w:rsid w:val="00597020"/>
    <w:rsid w:val="00603382"/>
    <w:rsid w:val="006F2590"/>
    <w:rsid w:val="00751A6E"/>
    <w:rsid w:val="00845D68"/>
    <w:rsid w:val="00854C8E"/>
    <w:rsid w:val="008A3285"/>
    <w:rsid w:val="00956302"/>
    <w:rsid w:val="009C024D"/>
    <w:rsid w:val="00A536E1"/>
    <w:rsid w:val="00A6590A"/>
    <w:rsid w:val="00AD383F"/>
    <w:rsid w:val="00B065BA"/>
    <w:rsid w:val="00B42A30"/>
    <w:rsid w:val="00D210C7"/>
    <w:rsid w:val="00D241A8"/>
    <w:rsid w:val="00D87F6C"/>
    <w:rsid w:val="00DB7D0E"/>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A424"/>
  <w15:chartTrackingRefBased/>
  <w15:docId w15:val="{FF589C5A-69F9-4718-A696-70552D96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8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8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08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08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08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08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08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08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08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8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08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08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08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08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08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08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08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0880"/>
    <w:rPr>
      <w:rFonts w:eastAsiaTheme="majorEastAsia" w:cstheme="majorBidi"/>
      <w:color w:val="272727" w:themeColor="text1" w:themeTint="D8"/>
    </w:rPr>
  </w:style>
  <w:style w:type="paragraph" w:styleId="Ttulo">
    <w:name w:val="Title"/>
    <w:basedOn w:val="Normal"/>
    <w:next w:val="Normal"/>
    <w:link w:val="TtuloCar"/>
    <w:uiPriority w:val="10"/>
    <w:qFormat/>
    <w:rsid w:val="004808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0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08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08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0880"/>
    <w:pPr>
      <w:spacing w:before="160"/>
      <w:jc w:val="center"/>
    </w:pPr>
    <w:rPr>
      <w:i/>
      <w:iCs/>
      <w:color w:val="404040" w:themeColor="text1" w:themeTint="BF"/>
    </w:rPr>
  </w:style>
  <w:style w:type="character" w:customStyle="1" w:styleId="CitaCar">
    <w:name w:val="Cita Car"/>
    <w:basedOn w:val="Fuentedeprrafopredeter"/>
    <w:link w:val="Cita"/>
    <w:uiPriority w:val="29"/>
    <w:rsid w:val="00480880"/>
    <w:rPr>
      <w:i/>
      <w:iCs/>
      <w:color w:val="404040" w:themeColor="text1" w:themeTint="BF"/>
    </w:rPr>
  </w:style>
  <w:style w:type="paragraph" w:styleId="Prrafodelista">
    <w:name w:val="List Paragraph"/>
    <w:basedOn w:val="Normal"/>
    <w:uiPriority w:val="34"/>
    <w:qFormat/>
    <w:rsid w:val="00480880"/>
    <w:pPr>
      <w:ind w:left="720"/>
      <w:contextualSpacing/>
    </w:pPr>
  </w:style>
  <w:style w:type="character" w:styleId="nfasisintenso">
    <w:name w:val="Intense Emphasis"/>
    <w:basedOn w:val="Fuentedeprrafopredeter"/>
    <w:uiPriority w:val="21"/>
    <w:qFormat/>
    <w:rsid w:val="00480880"/>
    <w:rPr>
      <w:i/>
      <w:iCs/>
      <w:color w:val="0F4761" w:themeColor="accent1" w:themeShade="BF"/>
    </w:rPr>
  </w:style>
  <w:style w:type="paragraph" w:styleId="Citadestacada">
    <w:name w:val="Intense Quote"/>
    <w:basedOn w:val="Normal"/>
    <w:next w:val="Normal"/>
    <w:link w:val="CitadestacadaCar"/>
    <w:uiPriority w:val="30"/>
    <w:qFormat/>
    <w:rsid w:val="0048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0880"/>
    <w:rPr>
      <w:i/>
      <w:iCs/>
      <w:color w:val="0F4761" w:themeColor="accent1" w:themeShade="BF"/>
    </w:rPr>
  </w:style>
  <w:style w:type="character" w:styleId="Referenciaintensa">
    <w:name w:val="Intense Reference"/>
    <w:basedOn w:val="Fuentedeprrafopredeter"/>
    <w:uiPriority w:val="32"/>
    <w:qFormat/>
    <w:rsid w:val="00480880"/>
    <w:rPr>
      <w:b/>
      <w:bCs/>
      <w:smallCaps/>
      <w:color w:val="0F4761" w:themeColor="accent1" w:themeShade="BF"/>
      <w:spacing w:val="5"/>
    </w:rPr>
  </w:style>
  <w:style w:type="paragraph" w:styleId="Encabezado">
    <w:name w:val="header"/>
    <w:basedOn w:val="Normal"/>
    <w:link w:val="EncabezadoCar"/>
    <w:rsid w:val="00480880"/>
    <w:pPr>
      <w:tabs>
        <w:tab w:val="center" w:pos="4252"/>
        <w:tab w:val="right" w:pos="8504"/>
      </w:tabs>
    </w:pPr>
  </w:style>
  <w:style w:type="character" w:customStyle="1" w:styleId="EncabezadoCar">
    <w:name w:val="Encabezado Car"/>
    <w:basedOn w:val="Fuentedeprrafopredeter"/>
    <w:link w:val="Encabezado"/>
    <w:rsid w:val="0048088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rsid w:val="00480880"/>
    <w:pPr>
      <w:tabs>
        <w:tab w:val="center" w:pos="4252"/>
        <w:tab w:val="right" w:pos="8504"/>
      </w:tabs>
    </w:pPr>
  </w:style>
  <w:style w:type="character" w:customStyle="1" w:styleId="PiedepginaCar">
    <w:name w:val="Pie de página Car"/>
    <w:basedOn w:val="Fuentedeprrafopredeter"/>
    <w:link w:val="Piedepgina"/>
    <w:rsid w:val="00480880"/>
    <w:rPr>
      <w:rFonts w:ascii="Times New Roman" w:eastAsia="Times New Roman" w:hAnsi="Times New Roman" w:cs="Times New Roman"/>
      <w:kern w:val="0"/>
      <w:sz w:val="20"/>
      <w:szCs w:val="20"/>
      <w:lang w:eastAsia="es-ES"/>
      <w14:ligatures w14:val="none"/>
    </w:rPr>
  </w:style>
  <w:style w:type="character" w:styleId="Nmerodepgina">
    <w:name w:val="page number"/>
    <w:basedOn w:val="Fuentedeprrafopredeter"/>
    <w:rsid w:val="0048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4151</Characters>
  <Application>Microsoft Office Word</Application>
  <DocSecurity>0</DocSecurity>
  <Lines>34</Lines>
  <Paragraphs>9</Paragraphs>
  <ScaleCrop>false</ScaleCrop>
  <Company>HP Inc.</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2025-01-10T09:43:00Z</dcterms:created>
  <dcterms:modified xsi:type="dcterms:W3CDTF">2025-01-13T09:25:00Z</dcterms:modified>
</cp:coreProperties>
</file>