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F4F3" w14:textId="529A02C2" w:rsidR="008D7F85" w:rsidRPr="00B15AE4" w:rsidRDefault="00B15AE4" w:rsidP="00B15AE4">
      <w:pPr>
        <w:jc w:val="both"/>
        <w:rPr>
          <w:rFonts w:ascii="Calibri" w:hAnsi="Calibri" w:cs="Calibri"/>
          <w:sz w:val="22"/>
          <w:szCs w:val="22"/>
        </w:rPr>
      </w:pPr>
      <w:r w:rsidRPr="00B15AE4">
        <w:rPr>
          <w:rFonts w:ascii="Calibri" w:hAnsi="Calibri" w:cs="Calibri"/>
          <w:sz w:val="22"/>
          <w:szCs w:val="22"/>
        </w:rPr>
        <w:t>25PES-115</w:t>
      </w:r>
    </w:p>
    <w:p w14:paraId="5EFBCF9D" w14:textId="37FE2021" w:rsidR="00B15AE4" w:rsidRPr="00B15AE4" w:rsidRDefault="00B15AE4" w:rsidP="00B15AE4">
      <w:pPr>
        <w:jc w:val="both"/>
        <w:rPr>
          <w:rFonts w:ascii="Calibri" w:hAnsi="Calibri" w:cs="Calibri"/>
          <w:sz w:val="22"/>
          <w:szCs w:val="22"/>
        </w:rPr>
      </w:pPr>
      <w:r w:rsidRPr="00B15AE4">
        <w:rPr>
          <w:rFonts w:ascii="Calibri" w:hAnsi="Calibri" w:cs="Calibri"/>
          <w:sz w:val="22"/>
          <w:szCs w:val="22"/>
        </w:rPr>
        <w:t>Doña Ana Elizalde Urmeneta, miembro de las Cortes de Navarra, adscrita al</w:t>
      </w:r>
      <w:r w:rsidRPr="00B15AE4">
        <w:rPr>
          <w:rFonts w:ascii="Calibri" w:hAnsi="Calibri" w:cs="Calibri"/>
          <w:sz w:val="22"/>
          <w:szCs w:val="22"/>
        </w:rPr>
        <w:t xml:space="preserve"> </w:t>
      </w:r>
      <w:r w:rsidRPr="00B15AE4">
        <w:rPr>
          <w:rFonts w:ascii="Calibri" w:hAnsi="Calibri" w:cs="Calibri"/>
          <w:sz w:val="22"/>
          <w:szCs w:val="22"/>
        </w:rPr>
        <w:t>Grupo Parlamentario Unión del Pueblo Navarro (UPN), al amparo de lo dispuesto</w:t>
      </w:r>
      <w:r w:rsidRPr="00B15AE4">
        <w:rPr>
          <w:rFonts w:ascii="Calibri" w:hAnsi="Calibri" w:cs="Calibri"/>
          <w:sz w:val="22"/>
          <w:szCs w:val="22"/>
        </w:rPr>
        <w:t xml:space="preserve"> </w:t>
      </w:r>
      <w:r w:rsidRPr="00B15AE4">
        <w:rPr>
          <w:rFonts w:ascii="Calibri" w:hAnsi="Calibri" w:cs="Calibri"/>
          <w:sz w:val="22"/>
          <w:szCs w:val="22"/>
        </w:rPr>
        <w:t>en el Reglamento de la Cámara, realiza la siguiente pregunta escrita al Gobierno</w:t>
      </w:r>
      <w:r w:rsidRPr="00B15AE4">
        <w:rPr>
          <w:rFonts w:ascii="Calibri" w:hAnsi="Calibri" w:cs="Calibri"/>
          <w:sz w:val="22"/>
          <w:szCs w:val="22"/>
        </w:rPr>
        <w:t xml:space="preserve"> </w:t>
      </w:r>
      <w:r w:rsidRPr="00B15AE4">
        <w:rPr>
          <w:rFonts w:ascii="Calibri" w:hAnsi="Calibri" w:cs="Calibri"/>
          <w:sz w:val="22"/>
          <w:szCs w:val="22"/>
        </w:rPr>
        <w:t>de Navarra:</w:t>
      </w:r>
    </w:p>
    <w:p w14:paraId="40C3CBF3" w14:textId="3288D00C" w:rsidR="00B15AE4" w:rsidRPr="00B15AE4" w:rsidRDefault="00B15AE4" w:rsidP="00B15AE4">
      <w:pPr>
        <w:jc w:val="both"/>
        <w:rPr>
          <w:rFonts w:ascii="Calibri" w:hAnsi="Calibri" w:cs="Calibri"/>
          <w:sz w:val="22"/>
          <w:szCs w:val="22"/>
        </w:rPr>
      </w:pPr>
      <w:r w:rsidRPr="00B15AE4">
        <w:rPr>
          <w:rFonts w:ascii="Calibri" w:hAnsi="Calibri" w:cs="Calibri"/>
          <w:sz w:val="22"/>
          <w:szCs w:val="22"/>
        </w:rPr>
        <w:t>El pasado 14 de enero 2025 realicé una pregunta escrita en la que reclamaba</w:t>
      </w:r>
      <w:r w:rsidRPr="00B15AE4">
        <w:rPr>
          <w:rFonts w:ascii="Calibri" w:hAnsi="Calibri" w:cs="Calibri"/>
          <w:sz w:val="22"/>
          <w:szCs w:val="22"/>
        </w:rPr>
        <w:t xml:space="preserve"> </w:t>
      </w:r>
      <w:r w:rsidRPr="00B15AE4">
        <w:rPr>
          <w:rFonts w:ascii="Calibri" w:hAnsi="Calibri" w:cs="Calibri"/>
          <w:sz w:val="22"/>
          <w:szCs w:val="22"/>
        </w:rPr>
        <w:t>textualmente: ¿Cuántos empleos generan las empresas en Navarra en cada uno</w:t>
      </w:r>
      <w:r w:rsidRPr="00B15AE4">
        <w:rPr>
          <w:rFonts w:ascii="Calibri" w:hAnsi="Calibri" w:cs="Calibri"/>
          <w:sz w:val="22"/>
          <w:szCs w:val="22"/>
        </w:rPr>
        <w:t xml:space="preserve"> </w:t>
      </w:r>
      <w:r w:rsidRPr="00B15AE4">
        <w:rPr>
          <w:rFonts w:ascii="Calibri" w:hAnsi="Calibri" w:cs="Calibri"/>
          <w:sz w:val="22"/>
          <w:szCs w:val="22"/>
        </w:rPr>
        <w:t>de los parámetros especificados como General, Pymes y Micropymes? Que se</w:t>
      </w:r>
      <w:r w:rsidRPr="00B15AE4">
        <w:rPr>
          <w:rFonts w:ascii="Calibri" w:hAnsi="Calibri" w:cs="Calibri"/>
          <w:sz w:val="22"/>
          <w:szCs w:val="22"/>
        </w:rPr>
        <w:t xml:space="preserve"> </w:t>
      </w:r>
      <w:r w:rsidRPr="00B15AE4">
        <w:rPr>
          <w:rFonts w:ascii="Calibri" w:hAnsi="Calibri" w:cs="Calibri"/>
          <w:sz w:val="22"/>
          <w:szCs w:val="22"/>
        </w:rPr>
        <w:t>corresponden con el siguiente cuadro que me fue adjuntado: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399"/>
        <w:gridCol w:w="996"/>
      </w:tblGrid>
      <w:tr w:rsidR="00B15AE4" w:rsidRPr="00B15AE4" w14:paraId="1D54EA6F" w14:textId="77777777" w:rsidTr="00B15AE4">
        <w:tc>
          <w:tcPr>
            <w:tcW w:w="2263" w:type="dxa"/>
          </w:tcPr>
          <w:p w14:paraId="1678BA4A" w14:textId="77777777" w:rsidR="00B15AE4" w:rsidRPr="00B15AE4" w:rsidRDefault="00B15AE4" w:rsidP="00B15A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9" w:type="dxa"/>
          </w:tcPr>
          <w:p w14:paraId="308F6EA4" w14:textId="77777777" w:rsidR="00B15AE4" w:rsidRPr="00B15AE4" w:rsidRDefault="00B15AE4" w:rsidP="00B15A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6" w:type="dxa"/>
          </w:tcPr>
          <w:p w14:paraId="0994678B" w14:textId="56E79D99" w:rsidR="00B15AE4" w:rsidRPr="00B15AE4" w:rsidRDefault="00B15AE4" w:rsidP="00B15AE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5AE4">
              <w:rPr>
                <w:rFonts w:ascii="Calibri" w:hAnsi="Calibri" w:cs="Calibri"/>
                <w:b/>
                <w:bCs/>
                <w:sz w:val="22"/>
                <w:szCs w:val="22"/>
              </w:rPr>
              <w:t>TG</w:t>
            </w:r>
          </w:p>
        </w:tc>
      </w:tr>
      <w:tr w:rsidR="00B15AE4" w:rsidRPr="00B15AE4" w14:paraId="0070F2EC" w14:textId="77777777" w:rsidTr="00B15AE4">
        <w:tc>
          <w:tcPr>
            <w:tcW w:w="2263" w:type="dxa"/>
          </w:tcPr>
          <w:p w14:paraId="5DB25ADF" w14:textId="0E1C2757" w:rsidR="00B15AE4" w:rsidRPr="00B15AE4" w:rsidRDefault="00B15AE4" w:rsidP="00B15A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5AE4">
              <w:rPr>
                <w:rFonts w:ascii="Calibri" w:hAnsi="Calibri" w:cs="Calibri"/>
                <w:sz w:val="22"/>
                <w:szCs w:val="22"/>
              </w:rPr>
              <w:t>General</w:t>
            </w:r>
          </w:p>
        </w:tc>
        <w:tc>
          <w:tcPr>
            <w:tcW w:w="3399" w:type="dxa"/>
          </w:tcPr>
          <w:p w14:paraId="1E54FFD8" w14:textId="524E0157" w:rsidR="00B15AE4" w:rsidRPr="00B15AE4" w:rsidRDefault="00B15AE4" w:rsidP="00B15A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5AE4">
              <w:rPr>
                <w:rFonts w:ascii="Calibri" w:hAnsi="Calibri" w:cs="Calibri"/>
                <w:sz w:val="22"/>
                <w:szCs w:val="22"/>
              </w:rPr>
              <w:t>&gt;20M vol. Operaciones</w:t>
            </w:r>
          </w:p>
        </w:tc>
        <w:tc>
          <w:tcPr>
            <w:tcW w:w="996" w:type="dxa"/>
          </w:tcPr>
          <w:p w14:paraId="3DE7CB59" w14:textId="482604B5" w:rsidR="00B15AE4" w:rsidRPr="00B15AE4" w:rsidRDefault="00B15AE4" w:rsidP="00B15AE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5AE4">
              <w:rPr>
                <w:rFonts w:ascii="Calibri" w:hAnsi="Calibri" w:cs="Calibri"/>
                <w:b/>
                <w:bCs/>
                <w:sz w:val="22"/>
                <w:szCs w:val="22"/>
              </w:rPr>
              <w:t>28%</w:t>
            </w:r>
          </w:p>
        </w:tc>
      </w:tr>
      <w:tr w:rsidR="00B15AE4" w:rsidRPr="00B15AE4" w14:paraId="5565922E" w14:textId="77777777" w:rsidTr="00B15AE4">
        <w:tc>
          <w:tcPr>
            <w:tcW w:w="2263" w:type="dxa"/>
          </w:tcPr>
          <w:p w14:paraId="0823F632" w14:textId="41793A28" w:rsidR="00B15AE4" w:rsidRPr="00B15AE4" w:rsidRDefault="00B15AE4" w:rsidP="00B15A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5AE4">
              <w:rPr>
                <w:rFonts w:ascii="Calibri" w:hAnsi="Calibri" w:cs="Calibri"/>
                <w:sz w:val="22"/>
                <w:szCs w:val="22"/>
              </w:rPr>
              <w:t>Pymes</w:t>
            </w:r>
          </w:p>
        </w:tc>
        <w:tc>
          <w:tcPr>
            <w:tcW w:w="3399" w:type="dxa"/>
          </w:tcPr>
          <w:p w14:paraId="66A880F4" w14:textId="7FC56CA3" w:rsidR="00B15AE4" w:rsidRPr="00B15AE4" w:rsidRDefault="00B15AE4" w:rsidP="00B15A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5AE4">
              <w:rPr>
                <w:rFonts w:ascii="Calibri" w:hAnsi="Calibri" w:cs="Calibri"/>
                <w:sz w:val="22"/>
                <w:szCs w:val="22"/>
              </w:rPr>
              <w:t>&gt;1M &lt;20 M vol. Operaciones</w:t>
            </w:r>
          </w:p>
        </w:tc>
        <w:tc>
          <w:tcPr>
            <w:tcW w:w="996" w:type="dxa"/>
          </w:tcPr>
          <w:p w14:paraId="6967FD19" w14:textId="16BBE356" w:rsidR="00B15AE4" w:rsidRPr="00B15AE4" w:rsidRDefault="00B15AE4" w:rsidP="00B15AE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5AE4">
              <w:rPr>
                <w:rFonts w:ascii="Calibri" w:hAnsi="Calibri" w:cs="Calibri"/>
                <w:b/>
                <w:bCs/>
                <w:sz w:val="22"/>
                <w:szCs w:val="22"/>
              </w:rPr>
              <w:t>23%</w:t>
            </w:r>
          </w:p>
        </w:tc>
      </w:tr>
      <w:tr w:rsidR="00B15AE4" w:rsidRPr="00B15AE4" w14:paraId="214FE372" w14:textId="77777777" w:rsidTr="00B15AE4">
        <w:tc>
          <w:tcPr>
            <w:tcW w:w="2263" w:type="dxa"/>
          </w:tcPr>
          <w:p w14:paraId="34A5D058" w14:textId="6906CEAB" w:rsidR="00B15AE4" w:rsidRPr="00B15AE4" w:rsidRDefault="00B15AE4" w:rsidP="00B15A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5AE4">
              <w:rPr>
                <w:rFonts w:ascii="Calibri" w:hAnsi="Calibri" w:cs="Calibri"/>
                <w:sz w:val="22"/>
                <w:szCs w:val="22"/>
              </w:rPr>
              <w:t>Micropymes</w:t>
            </w:r>
          </w:p>
        </w:tc>
        <w:tc>
          <w:tcPr>
            <w:tcW w:w="3399" w:type="dxa"/>
          </w:tcPr>
          <w:p w14:paraId="58368D72" w14:textId="10F251F7" w:rsidR="00B15AE4" w:rsidRPr="00B15AE4" w:rsidRDefault="00B15AE4" w:rsidP="00B15AE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5AE4">
              <w:rPr>
                <w:rFonts w:ascii="Calibri" w:hAnsi="Calibri" w:cs="Calibri"/>
                <w:sz w:val="22"/>
                <w:szCs w:val="22"/>
              </w:rPr>
              <w:t>&lt;1 M vol. Operaciones</w:t>
            </w:r>
          </w:p>
        </w:tc>
        <w:tc>
          <w:tcPr>
            <w:tcW w:w="996" w:type="dxa"/>
          </w:tcPr>
          <w:p w14:paraId="3FDD2136" w14:textId="1554D7F2" w:rsidR="00B15AE4" w:rsidRPr="00B15AE4" w:rsidRDefault="00B15AE4" w:rsidP="00B15AE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5AE4">
              <w:rPr>
                <w:rFonts w:ascii="Calibri" w:hAnsi="Calibri" w:cs="Calibri"/>
                <w:b/>
                <w:bCs/>
                <w:sz w:val="22"/>
                <w:szCs w:val="22"/>
              </w:rPr>
              <w:t>19%</w:t>
            </w:r>
          </w:p>
        </w:tc>
      </w:tr>
    </w:tbl>
    <w:p w14:paraId="7A7C1A67" w14:textId="77777777" w:rsidR="00B15AE4" w:rsidRPr="00B15AE4" w:rsidRDefault="00B15AE4" w:rsidP="00B15AE4">
      <w:pPr>
        <w:jc w:val="both"/>
        <w:rPr>
          <w:rFonts w:ascii="Calibri" w:hAnsi="Calibri" w:cs="Calibri"/>
          <w:sz w:val="22"/>
          <w:szCs w:val="22"/>
        </w:rPr>
      </w:pPr>
    </w:p>
    <w:p w14:paraId="468F3190" w14:textId="505588D8" w:rsidR="00B15AE4" w:rsidRPr="00B15AE4" w:rsidRDefault="00B15AE4" w:rsidP="00B15AE4">
      <w:pPr>
        <w:jc w:val="both"/>
        <w:rPr>
          <w:rFonts w:ascii="Calibri" w:hAnsi="Calibri" w:cs="Calibri"/>
          <w:sz w:val="22"/>
          <w:szCs w:val="22"/>
        </w:rPr>
      </w:pPr>
      <w:r w:rsidRPr="00B15AE4">
        <w:rPr>
          <w:rFonts w:ascii="Calibri" w:hAnsi="Calibri" w:cs="Calibri"/>
          <w:sz w:val="22"/>
          <w:szCs w:val="22"/>
        </w:rPr>
        <w:t>Ante la respuesta del Departamento de Derechos Sociales, economía social y</w:t>
      </w:r>
      <w:r w:rsidRPr="00B15AE4">
        <w:rPr>
          <w:rFonts w:ascii="Calibri" w:hAnsi="Calibri" w:cs="Calibri"/>
          <w:sz w:val="22"/>
          <w:szCs w:val="22"/>
        </w:rPr>
        <w:t xml:space="preserve"> </w:t>
      </w:r>
      <w:r w:rsidRPr="00B15AE4">
        <w:rPr>
          <w:rFonts w:ascii="Calibri" w:hAnsi="Calibri" w:cs="Calibri"/>
          <w:sz w:val="22"/>
          <w:szCs w:val="22"/>
        </w:rPr>
        <w:t>empleo en la que manifestaban no disponer de esta información y tras realizar</w:t>
      </w:r>
      <w:r w:rsidRPr="00B15AE4">
        <w:rPr>
          <w:rFonts w:ascii="Calibri" w:hAnsi="Calibri" w:cs="Calibri"/>
          <w:sz w:val="22"/>
          <w:szCs w:val="22"/>
        </w:rPr>
        <w:t xml:space="preserve"> </w:t>
      </w:r>
      <w:r w:rsidRPr="00B15AE4">
        <w:rPr>
          <w:rFonts w:ascii="Calibri" w:hAnsi="Calibri" w:cs="Calibri"/>
          <w:sz w:val="22"/>
          <w:szCs w:val="22"/>
        </w:rPr>
        <w:t>una reclamación, me fue remitida una respuesta desde el Departamento de</w:t>
      </w:r>
      <w:r w:rsidRPr="00B15AE4">
        <w:rPr>
          <w:rFonts w:ascii="Calibri" w:hAnsi="Calibri" w:cs="Calibri"/>
          <w:sz w:val="22"/>
          <w:szCs w:val="22"/>
        </w:rPr>
        <w:t xml:space="preserve"> </w:t>
      </w:r>
      <w:r w:rsidRPr="00B15AE4">
        <w:rPr>
          <w:rFonts w:ascii="Calibri" w:hAnsi="Calibri" w:cs="Calibri"/>
          <w:sz w:val="22"/>
          <w:szCs w:val="22"/>
        </w:rPr>
        <w:t>Presidencia e Igualdad. En esta respuesta, reiterando que el Gobierno no</w:t>
      </w:r>
      <w:r w:rsidRPr="00B15AE4">
        <w:rPr>
          <w:rFonts w:ascii="Calibri" w:hAnsi="Calibri" w:cs="Calibri"/>
          <w:sz w:val="22"/>
          <w:szCs w:val="22"/>
        </w:rPr>
        <w:t xml:space="preserve"> </w:t>
      </w:r>
      <w:r w:rsidRPr="00B15AE4">
        <w:rPr>
          <w:rFonts w:ascii="Calibri" w:hAnsi="Calibri" w:cs="Calibri"/>
          <w:sz w:val="22"/>
          <w:szCs w:val="22"/>
        </w:rPr>
        <w:t>dispone de la información requerida de forma explícita, se remiten unos cuadros</w:t>
      </w:r>
      <w:r w:rsidRPr="00B15AE4">
        <w:rPr>
          <w:rFonts w:ascii="Calibri" w:hAnsi="Calibri" w:cs="Calibri"/>
          <w:sz w:val="22"/>
          <w:szCs w:val="22"/>
        </w:rPr>
        <w:t xml:space="preserve"> </w:t>
      </w:r>
      <w:r w:rsidRPr="00B15AE4">
        <w:rPr>
          <w:rFonts w:ascii="Calibri" w:hAnsi="Calibri" w:cs="Calibri"/>
          <w:sz w:val="22"/>
          <w:szCs w:val="22"/>
        </w:rPr>
        <w:t>por si pueden ser de utilidad.</w:t>
      </w:r>
    </w:p>
    <w:p w14:paraId="40286171" w14:textId="61CA63D8" w:rsidR="00B15AE4" w:rsidRPr="00B15AE4" w:rsidRDefault="00B15AE4" w:rsidP="00B15AE4">
      <w:pPr>
        <w:jc w:val="both"/>
        <w:rPr>
          <w:rFonts w:ascii="Calibri" w:hAnsi="Calibri" w:cs="Calibri"/>
          <w:sz w:val="22"/>
          <w:szCs w:val="22"/>
        </w:rPr>
      </w:pPr>
      <w:r w:rsidRPr="00B15AE4">
        <w:rPr>
          <w:rFonts w:ascii="Calibri" w:hAnsi="Calibri" w:cs="Calibri"/>
          <w:sz w:val="22"/>
          <w:szCs w:val="22"/>
        </w:rPr>
        <w:t>Agradeciendo de antemano la remisión de estos cuadros nos han surgido ciertas</w:t>
      </w:r>
      <w:r w:rsidRPr="00B15AE4">
        <w:rPr>
          <w:rFonts w:ascii="Calibri" w:hAnsi="Calibri" w:cs="Calibri"/>
          <w:sz w:val="22"/>
          <w:szCs w:val="22"/>
        </w:rPr>
        <w:t xml:space="preserve"> </w:t>
      </w:r>
      <w:r w:rsidRPr="00B15AE4">
        <w:rPr>
          <w:rFonts w:ascii="Calibri" w:hAnsi="Calibri" w:cs="Calibri"/>
          <w:sz w:val="22"/>
          <w:szCs w:val="22"/>
        </w:rPr>
        <w:t>dudas para las que solicito aclaración.</w:t>
      </w:r>
    </w:p>
    <w:p w14:paraId="4DCF0316" w14:textId="1C7BFCBD" w:rsidR="00B15AE4" w:rsidRPr="00B15AE4" w:rsidRDefault="00B15AE4" w:rsidP="00B15AE4">
      <w:pPr>
        <w:jc w:val="both"/>
        <w:rPr>
          <w:rFonts w:ascii="Calibri" w:hAnsi="Calibri" w:cs="Calibri"/>
          <w:sz w:val="22"/>
          <w:szCs w:val="22"/>
        </w:rPr>
      </w:pPr>
      <w:r w:rsidRPr="00B15AE4">
        <w:rPr>
          <w:rFonts w:ascii="Calibri" w:hAnsi="Calibri" w:cs="Calibri"/>
          <w:sz w:val="22"/>
          <w:szCs w:val="22"/>
        </w:rPr>
        <w:t>En el segundo cuadro remitido sobre el total de personas asalariadas 2024, la</w:t>
      </w:r>
      <w:r w:rsidRPr="00B15AE4">
        <w:rPr>
          <w:rFonts w:ascii="Calibri" w:hAnsi="Calibri" w:cs="Calibri"/>
          <w:sz w:val="22"/>
          <w:szCs w:val="22"/>
        </w:rPr>
        <w:t xml:space="preserve"> </w:t>
      </w:r>
      <w:r w:rsidRPr="00B15AE4">
        <w:rPr>
          <w:rFonts w:ascii="Calibri" w:hAnsi="Calibri" w:cs="Calibri"/>
          <w:sz w:val="22"/>
          <w:szCs w:val="22"/>
        </w:rPr>
        <w:t>suma según n</w:t>
      </w:r>
      <w:r w:rsidRPr="00B15AE4">
        <w:rPr>
          <w:rFonts w:ascii="Calibri" w:hAnsi="Calibri" w:cs="Calibri"/>
          <w:sz w:val="22"/>
          <w:szCs w:val="22"/>
        </w:rPr>
        <w:t>.</w:t>
      </w:r>
      <w:r w:rsidRPr="00B15AE4">
        <w:rPr>
          <w:rFonts w:ascii="Calibri" w:hAnsi="Calibri" w:cs="Calibri"/>
          <w:sz w:val="22"/>
          <w:szCs w:val="22"/>
        </w:rPr>
        <w:t>º de asalariados, no se corresponde con el total que refleja.</w:t>
      </w:r>
      <w:r w:rsidRPr="00B15AE4">
        <w:rPr>
          <w:rFonts w:ascii="Calibri" w:hAnsi="Calibri" w:cs="Calibri"/>
          <w:sz w:val="22"/>
          <w:szCs w:val="22"/>
        </w:rPr>
        <w:t xml:space="preserve"> </w:t>
      </w:r>
      <w:r w:rsidRPr="00B15AE4">
        <w:rPr>
          <w:rFonts w:ascii="Calibri" w:hAnsi="Calibri" w:cs="Calibri"/>
          <w:sz w:val="22"/>
          <w:szCs w:val="22"/>
        </w:rPr>
        <w:t>El total refleja 300.891 cuando la suma real es de 213.993.</w:t>
      </w:r>
    </w:p>
    <w:p w14:paraId="5FC9E52A" w14:textId="77777777" w:rsidR="00B15AE4" w:rsidRPr="00B15AE4" w:rsidRDefault="00B15AE4" w:rsidP="00B15AE4">
      <w:pPr>
        <w:jc w:val="both"/>
        <w:rPr>
          <w:rFonts w:ascii="Calibri" w:hAnsi="Calibri" w:cs="Calibri"/>
          <w:sz w:val="22"/>
          <w:szCs w:val="22"/>
        </w:rPr>
      </w:pPr>
      <w:r w:rsidRPr="00B15AE4">
        <w:rPr>
          <w:rFonts w:ascii="Calibri" w:hAnsi="Calibri" w:cs="Calibri"/>
          <w:sz w:val="22"/>
          <w:szCs w:val="22"/>
        </w:rPr>
        <w:t>Cuestiones:</w:t>
      </w:r>
    </w:p>
    <w:p w14:paraId="66D0F1FC" w14:textId="5ADA4F47" w:rsidR="00B15AE4" w:rsidRPr="00B15AE4" w:rsidRDefault="00B15AE4" w:rsidP="00B15AE4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15AE4">
        <w:rPr>
          <w:rFonts w:ascii="Calibri" w:hAnsi="Calibri" w:cs="Calibri"/>
          <w:sz w:val="22"/>
          <w:szCs w:val="22"/>
        </w:rPr>
        <w:t>¿Cuál es el motivo por el que no coincide la suma de los datos facilitados con el</w:t>
      </w:r>
      <w:r w:rsidRPr="00B15AE4">
        <w:rPr>
          <w:rFonts w:ascii="Calibri" w:hAnsi="Calibri" w:cs="Calibri"/>
          <w:sz w:val="22"/>
          <w:szCs w:val="22"/>
        </w:rPr>
        <w:t xml:space="preserve"> </w:t>
      </w:r>
      <w:r w:rsidRPr="00B15AE4">
        <w:rPr>
          <w:rFonts w:ascii="Calibri" w:hAnsi="Calibri" w:cs="Calibri"/>
          <w:sz w:val="22"/>
          <w:szCs w:val="22"/>
        </w:rPr>
        <w:t>total que refleja?</w:t>
      </w:r>
    </w:p>
    <w:p w14:paraId="78E0443C" w14:textId="77777777" w:rsidR="00B15AE4" w:rsidRPr="00B15AE4" w:rsidRDefault="00B15AE4" w:rsidP="00B15AE4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15AE4">
        <w:rPr>
          <w:rFonts w:ascii="Calibri" w:hAnsi="Calibri" w:cs="Calibri"/>
          <w:sz w:val="22"/>
          <w:szCs w:val="22"/>
        </w:rPr>
        <w:t>¿Qué conceptos vienen recogidos en el concepto de asalariados?</w:t>
      </w:r>
    </w:p>
    <w:p w14:paraId="4EA69D05" w14:textId="77777777" w:rsidR="00B15AE4" w:rsidRPr="00B15AE4" w:rsidRDefault="00B15AE4" w:rsidP="00B15AE4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15AE4">
        <w:rPr>
          <w:rFonts w:ascii="Calibri" w:hAnsi="Calibri" w:cs="Calibri"/>
          <w:sz w:val="22"/>
          <w:szCs w:val="22"/>
        </w:rPr>
        <w:t>¿Están incluidos como asalariados las personas con contratos de prácticas?</w:t>
      </w:r>
    </w:p>
    <w:p w14:paraId="591F5D5C" w14:textId="62ABA060" w:rsidR="00B15AE4" w:rsidRPr="00B15AE4" w:rsidRDefault="00B15AE4" w:rsidP="00B15AE4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15AE4">
        <w:rPr>
          <w:rFonts w:ascii="Calibri" w:hAnsi="Calibri" w:cs="Calibri"/>
          <w:sz w:val="22"/>
          <w:szCs w:val="22"/>
        </w:rPr>
        <w:t>¿Están incluidos como asalariados las personas que forman parte de programas</w:t>
      </w:r>
      <w:r w:rsidRPr="00B15AE4">
        <w:rPr>
          <w:rFonts w:ascii="Calibri" w:hAnsi="Calibri" w:cs="Calibri"/>
          <w:sz w:val="22"/>
          <w:szCs w:val="22"/>
        </w:rPr>
        <w:t xml:space="preserve"> </w:t>
      </w:r>
      <w:r w:rsidRPr="00B15AE4">
        <w:rPr>
          <w:rFonts w:ascii="Calibri" w:hAnsi="Calibri" w:cs="Calibri"/>
          <w:sz w:val="22"/>
          <w:szCs w:val="22"/>
        </w:rPr>
        <w:t>de FP Dual o de otros programas de formación?</w:t>
      </w:r>
    </w:p>
    <w:p w14:paraId="7BC3490E" w14:textId="234D66B8" w:rsidR="00B15AE4" w:rsidRPr="00B15AE4" w:rsidRDefault="00B15AE4" w:rsidP="00B15AE4">
      <w:pPr>
        <w:jc w:val="both"/>
        <w:rPr>
          <w:rFonts w:ascii="Calibri" w:hAnsi="Calibri" w:cs="Calibri"/>
          <w:sz w:val="22"/>
          <w:szCs w:val="22"/>
        </w:rPr>
      </w:pPr>
      <w:r w:rsidRPr="00B15AE4">
        <w:rPr>
          <w:rFonts w:ascii="Calibri" w:hAnsi="Calibri" w:cs="Calibri"/>
          <w:sz w:val="22"/>
          <w:szCs w:val="22"/>
        </w:rPr>
        <w:t>Pamplona, a 27 de febrero 2025</w:t>
      </w:r>
    </w:p>
    <w:p w14:paraId="0E1A7B8B" w14:textId="1D413284" w:rsidR="00B15AE4" w:rsidRPr="00B15AE4" w:rsidRDefault="00B15AE4" w:rsidP="00B15AE4">
      <w:pPr>
        <w:jc w:val="both"/>
        <w:rPr>
          <w:rFonts w:ascii="Calibri" w:hAnsi="Calibri" w:cs="Calibri"/>
          <w:sz w:val="22"/>
          <w:szCs w:val="22"/>
        </w:rPr>
      </w:pPr>
      <w:r w:rsidRPr="00B15AE4">
        <w:rPr>
          <w:rFonts w:ascii="Calibri" w:hAnsi="Calibri" w:cs="Calibri"/>
          <w:sz w:val="22"/>
          <w:szCs w:val="22"/>
        </w:rPr>
        <w:t xml:space="preserve">La Parlamentaria Foral: </w:t>
      </w:r>
      <w:r w:rsidRPr="00B15AE4">
        <w:rPr>
          <w:rFonts w:ascii="Calibri" w:hAnsi="Calibri" w:cs="Calibri"/>
          <w:sz w:val="22"/>
          <w:szCs w:val="22"/>
        </w:rPr>
        <w:t>Ana Elizalde Urmeneta,</w:t>
      </w:r>
    </w:p>
    <w:sectPr w:rsidR="00B15AE4" w:rsidRPr="00B15A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D663E"/>
    <w:multiLevelType w:val="hybridMultilevel"/>
    <w:tmpl w:val="41EC6802"/>
    <w:lvl w:ilvl="0" w:tplc="DEC27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77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E4"/>
    <w:rsid w:val="003E3E22"/>
    <w:rsid w:val="005762CC"/>
    <w:rsid w:val="00600DE2"/>
    <w:rsid w:val="0066179D"/>
    <w:rsid w:val="0066283F"/>
    <w:rsid w:val="008D7F85"/>
    <w:rsid w:val="00A36075"/>
    <w:rsid w:val="00A877BA"/>
    <w:rsid w:val="00B0049F"/>
    <w:rsid w:val="00B15AE4"/>
    <w:rsid w:val="00B81112"/>
    <w:rsid w:val="00C01BD6"/>
    <w:rsid w:val="00CF6A97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C45F"/>
  <w15:chartTrackingRefBased/>
  <w15:docId w15:val="{5CFCD4BB-663F-45A9-B8F8-8C09B22F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5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5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5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5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5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5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5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5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5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5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5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5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5A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5A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5A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5A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5A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5A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5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5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5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5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5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5A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5A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5A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5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5A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5AE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5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2025-02-28T06:42:00Z</dcterms:created>
  <dcterms:modified xsi:type="dcterms:W3CDTF">2025-02-28T06:50:00Z</dcterms:modified>
</cp:coreProperties>
</file>