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1567" w14:textId="32C75F5A" w:rsidR="0053772C" w:rsidRPr="0053772C" w:rsidRDefault="0053772C" w:rsidP="008926F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3772C">
        <w:rPr>
          <w:rFonts w:ascii="Calibri" w:hAnsi="Calibri" w:cs="Calibri"/>
          <w:b/>
          <w:bCs/>
          <w:sz w:val="22"/>
          <w:szCs w:val="22"/>
        </w:rPr>
        <w:t>PROPOSICIÓN DE LEY FORAL PARA LA MODIFICACIÓN DEL DECRETO</w:t>
      </w:r>
      <w:r w:rsidRPr="008926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772C">
        <w:rPr>
          <w:rFonts w:ascii="Calibri" w:hAnsi="Calibri" w:cs="Calibri"/>
          <w:b/>
          <w:bCs/>
          <w:sz w:val="22"/>
          <w:szCs w:val="22"/>
        </w:rPr>
        <w:t>FORAL LEGISLATIVO 4/2008, DE 2 DE JUNIO, POR EL QUE SE APRUEBA</w:t>
      </w:r>
      <w:r w:rsidRPr="008926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772C">
        <w:rPr>
          <w:rFonts w:ascii="Calibri" w:hAnsi="Calibri" w:cs="Calibri"/>
          <w:b/>
          <w:bCs/>
          <w:sz w:val="22"/>
          <w:szCs w:val="22"/>
        </w:rPr>
        <w:t>EL TEXTO REFUNDIDO DE LA LEY FORAL DEL IMPUESTO SOBRE LA</w:t>
      </w:r>
      <w:r w:rsidRPr="008926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3772C">
        <w:rPr>
          <w:rFonts w:ascii="Calibri" w:hAnsi="Calibri" w:cs="Calibri"/>
          <w:b/>
          <w:bCs/>
          <w:sz w:val="22"/>
          <w:szCs w:val="22"/>
        </w:rPr>
        <w:t>RENTA DE LAS PERSONAS FÍSICAS.</w:t>
      </w:r>
    </w:p>
    <w:p w14:paraId="60C8EC47" w14:textId="77777777" w:rsidR="0053772C" w:rsidRPr="0053772C" w:rsidRDefault="0053772C" w:rsidP="008926FC">
      <w:pPr>
        <w:jc w:val="center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EXPOSICIÓN DE MOTIVOS</w:t>
      </w:r>
    </w:p>
    <w:p w14:paraId="46D2D38B" w14:textId="5FCA9572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Recientemente se ha aprobado por el Consejo de ministros una nueva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subida del Salario Mínimo Interprofesional que a nivel estatal está siendo objeto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de una polémica en lo referido a si éste debe o no tributar en el Impuesto de la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Renta de las Personas Físicas.</w:t>
      </w:r>
    </w:p>
    <w:p w14:paraId="77D477BC" w14:textId="5C99940A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Más allá de este debate, el hecho cierto es que, en Navarra, a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diferencia del Estado o País Vasco, el SMI no estaba exento de la obligación de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presentar declaración tributación y, por tanto, esta subida va a volver a impactar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en el IRPF de todos los trabajadores navarros que lo cobran vía retención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salarial.</w:t>
      </w:r>
    </w:p>
    <w:p w14:paraId="2BD7D55C" w14:textId="207E3094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En la Comunidad vecina, la Comunidad Autónoma Vasca, se está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produciendo también un debate sobre esta cuestión, y allí ya han anunciado que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se va a elevar el límite de la obligación de declarar en el IRPF hasta los 19.000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euros.</w:t>
      </w:r>
    </w:p>
    <w:p w14:paraId="7D41EBD0" w14:textId="7C87B5A8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No tributar por los rendimientos del trabajo inferiores a 19.000 euros es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una medida que Navarra puede tomar en virtud de su autonomía fiscal y que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supondrá aliviar a las rentas más bajas para que éstas puedan hacer frente de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mejor manera a las subidas de precios en productos de primera necesidad que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se están produciendo en los últimos años. En consecuencia, se suprime la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obligación de declarar por el IRPF para aquellas personas trabajadoras y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8926FC">
        <w:rPr>
          <w:rFonts w:ascii="Calibri" w:hAnsi="Calibri" w:cs="Calibri"/>
          <w:sz w:val="22"/>
          <w:szCs w:val="22"/>
        </w:rPr>
        <w:t>pensionistas que perciban rendimientos del trabajo por el importe de 19.000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8926FC">
        <w:rPr>
          <w:rFonts w:ascii="Calibri" w:hAnsi="Calibri" w:cs="Calibri"/>
          <w:sz w:val="22"/>
          <w:szCs w:val="22"/>
        </w:rPr>
        <w:t>euros. En coherencia con la elevación del umbral de declarar se suprimen los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dos primeros tramos de la tabla de retenciones del trabajo, comenzando la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obligación de retener cuando se perciban rendimientos del trabajo superiores a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19.000 euros.</w:t>
      </w:r>
    </w:p>
    <w:p w14:paraId="2B296E14" w14:textId="0C66B774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b/>
          <w:bCs/>
          <w:sz w:val="22"/>
          <w:szCs w:val="22"/>
        </w:rPr>
        <w:t>Artículo único</w:t>
      </w:r>
      <w:r w:rsidRPr="0053772C">
        <w:rPr>
          <w:rFonts w:ascii="Calibri" w:hAnsi="Calibri" w:cs="Calibri"/>
          <w:sz w:val="22"/>
          <w:szCs w:val="22"/>
        </w:rPr>
        <w:t>. Se modifica la Disposición adicional sexagésima novena del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Decreto Foral Legislativo 4/2008, de 2 de junio, por el que se aprueba el Texto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Refundido de la Ley Foral del Impuesto sobre la Renta de las Personas Físicas,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con la siguiente redacción:</w:t>
      </w:r>
    </w:p>
    <w:p w14:paraId="73290D80" w14:textId="55135EB2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“1. Con efectos a partir del 1 de enero de 2025, el importe de los rendimientos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del trabajo a que se refiere el artículo 56.a) del Reglamento del Impuesto sobre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la Renta de la Personas Físicas, aprobado por Decreto Foral 174/1999, de 24 de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mayo, será de 19.000 euros de ingresos íntegros anuales.</w:t>
      </w:r>
    </w:p>
    <w:p w14:paraId="08F7EE73" w14:textId="77777777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Este importe podrá modificarse reglamentariamente.</w:t>
      </w:r>
    </w:p>
    <w:p w14:paraId="66AC8305" w14:textId="125A77EA" w:rsidR="008D7F85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2. Con efectos a partir del 1 de enero de 2025, se suprimen los dos primeros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tramos de la tabla de porcentajes de retención sobre rendimientos del trabajo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con carácter general, recogida en el artículo 71. Uno del Reglamento del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53772C">
        <w:rPr>
          <w:rFonts w:ascii="Calibri" w:hAnsi="Calibri" w:cs="Calibri"/>
          <w:sz w:val="22"/>
          <w:szCs w:val="22"/>
        </w:rPr>
        <w:t>Impuesto sobre la Renta de la Personas Físicas, aprobado Decreto Foral</w:t>
      </w:r>
      <w:r w:rsidRPr="008926FC">
        <w:rPr>
          <w:rFonts w:ascii="Calibri" w:hAnsi="Calibri" w:cs="Calibri"/>
          <w:sz w:val="22"/>
          <w:szCs w:val="22"/>
        </w:rPr>
        <w:t xml:space="preserve"> </w:t>
      </w:r>
      <w:r w:rsidRPr="008926FC">
        <w:rPr>
          <w:rFonts w:ascii="Calibri" w:hAnsi="Calibri" w:cs="Calibri"/>
          <w:sz w:val="22"/>
          <w:szCs w:val="22"/>
        </w:rPr>
        <w:t>174/1999, de 24 de mayo, pasando el primer tramo a ser el siguiente:</w:t>
      </w:r>
    </w:p>
    <w:p w14:paraId="648E624D" w14:textId="77777777" w:rsidR="008926FC" w:rsidRDefault="008926FC" w:rsidP="008926FC">
      <w:pPr>
        <w:jc w:val="both"/>
        <w:rPr>
          <w:rFonts w:ascii="Calibri" w:hAnsi="Calibri" w:cs="Calibri"/>
          <w:sz w:val="22"/>
          <w:szCs w:val="22"/>
        </w:rPr>
      </w:pPr>
    </w:p>
    <w:p w14:paraId="4334F6D8" w14:textId="77777777" w:rsidR="008926FC" w:rsidRDefault="008926FC" w:rsidP="008926FC">
      <w:pPr>
        <w:jc w:val="both"/>
        <w:rPr>
          <w:rFonts w:ascii="Calibri" w:hAnsi="Calibri" w:cs="Calibri"/>
          <w:sz w:val="22"/>
          <w:szCs w:val="22"/>
        </w:rPr>
      </w:pPr>
    </w:p>
    <w:p w14:paraId="1A36F8CB" w14:textId="77777777" w:rsidR="008926FC" w:rsidRPr="008926FC" w:rsidRDefault="008926FC" w:rsidP="008926F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711"/>
        <w:gridCol w:w="836"/>
        <w:gridCol w:w="567"/>
        <w:gridCol w:w="567"/>
        <w:gridCol w:w="709"/>
        <w:gridCol w:w="708"/>
        <w:gridCol w:w="567"/>
        <w:gridCol w:w="567"/>
        <w:gridCol w:w="567"/>
        <w:gridCol w:w="567"/>
        <w:gridCol w:w="501"/>
        <w:gridCol w:w="633"/>
      </w:tblGrid>
      <w:tr w:rsidR="008926FC" w:rsidRPr="008926FC" w14:paraId="5BBAD904" w14:textId="77777777" w:rsidTr="008926FC">
        <w:trPr>
          <w:trHeight w:val="512"/>
        </w:trPr>
        <w:tc>
          <w:tcPr>
            <w:tcW w:w="1711" w:type="dxa"/>
          </w:tcPr>
          <w:p w14:paraId="7D80EC2F" w14:textId="77777777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lastRenderedPageBreak/>
              <w:t>RENDIMIENTO</w:t>
            </w:r>
          </w:p>
          <w:p w14:paraId="55F1B0B9" w14:textId="77777777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ANUAL EN</w:t>
            </w:r>
          </w:p>
          <w:p w14:paraId="41DC2D1E" w14:textId="3415878B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EUROS</w:t>
            </w:r>
          </w:p>
        </w:tc>
        <w:tc>
          <w:tcPr>
            <w:tcW w:w="6789" w:type="dxa"/>
            <w:gridSpan w:val="11"/>
          </w:tcPr>
          <w:p w14:paraId="36BBBFD3" w14:textId="46D359F6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NÚMERO DE HIJOS Y OTROS DESCENDIENTES</w:t>
            </w:r>
          </w:p>
        </w:tc>
      </w:tr>
      <w:tr w:rsidR="008926FC" w:rsidRPr="008926FC" w14:paraId="18F18B52" w14:textId="77777777" w:rsidTr="008926FC">
        <w:tc>
          <w:tcPr>
            <w:tcW w:w="1711" w:type="dxa"/>
          </w:tcPr>
          <w:p w14:paraId="1B80421F" w14:textId="77777777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" w:type="dxa"/>
          </w:tcPr>
          <w:p w14:paraId="685AC66E" w14:textId="77777777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SIN</w:t>
            </w:r>
          </w:p>
          <w:p w14:paraId="22756446" w14:textId="7D7B60F2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HIJOS</w:t>
            </w:r>
          </w:p>
        </w:tc>
        <w:tc>
          <w:tcPr>
            <w:tcW w:w="567" w:type="dxa"/>
          </w:tcPr>
          <w:p w14:paraId="0C949013" w14:textId="1CBBD064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A67D6AF" w14:textId="6C365EE6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CA3D0BD" w14:textId="7CE37DD6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738BC257" w14:textId="3E4D1178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53AB8215" w14:textId="2DA3ED61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75AA50D8" w14:textId="04D67257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21EC59EB" w14:textId="31ED2DC0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03425222" w14:textId="7300F6CA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1" w:type="dxa"/>
          </w:tcPr>
          <w:p w14:paraId="225599F3" w14:textId="07088DA3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33" w:type="dxa"/>
          </w:tcPr>
          <w:p w14:paraId="48FFD094" w14:textId="36E8F77F" w:rsidR="008926FC" w:rsidRPr="008926FC" w:rsidRDefault="008926FC" w:rsidP="008926F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o MÁS</w:t>
            </w:r>
          </w:p>
        </w:tc>
      </w:tr>
      <w:tr w:rsidR="008926FC" w:rsidRPr="008926FC" w14:paraId="2757D556" w14:textId="77777777" w:rsidTr="008926FC">
        <w:tc>
          <w:tcPr>
            <w:tcW w:w="1711" w:type="dxa"/>
          </w:tcPr>
          <w:p w14:paraId="057A7C32" w14:textId="09946428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Más de 19.000</w:t>
            </w:r>
          </w:p>
        </w:tc>
        <w:tc>
          <w:tcPr>
            <w:tcW w:w="836" w:type="dxa"/>
          </w:tcPr>
          <w:p w14:paraId="46FB2E81" w14:textId="4912D778" w:rsidR="008926FC" w:rsidRPr="008926FC" w:rsidRDefault="008926FC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26FC">
              <w:rPr>
                <w:rFonts w:ascii="Calibri" w:hAnsi="Calibri" w:cs="Calibri"/>
                <w:sz w:val="22"/>
                <w:szCs w:val="22"/>
              </w:rPr>
              <w:t>10,0</w:t>
            </w:r>
          </w:p>
        </w:tc>
        <w:tc>
          <w:tcPr>
            <w:tcW w:w="567" w:type="dxa"/>
          </w:tcPr>
          <w:p w14:paraId="2D33E860" w14:textId="420B0F24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8,0</w:t>
            </w:r>
          </w:p>
        </w:tc>
        <w:tc>
          <w:tcPr>
            <w:tcW w:w="567" w:type="dxa"/>
          </w:tcPr>
          <w:p w14:paraId="3B6678BA" w14:textId="4424394E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14:paraId="653246D8" w14:textId="5B0B4985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708" w:type="dxa"/>
          </w:tcPr>
          <w:p w14:paraId="54D4AD0D" w14:textId="1F551C33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,0</w:t>
            </w:r>
          </w:p>
        </w:tc>
        <w:tc>
          <w:tcPr>
            <w:tcW w:w="567" w:type="dxa"/>
          </w:tcPr>
          <w:p w14:paraId="7DFFAABA" w14:textId="035328C5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14:paraId="5445AE0F" w14:textId="5F6501EE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14:paraId="10336578" w14:textId="4107E486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14:paraId="1EC87547" w14:textId="66D6B315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501" w:type="dxa"/>
          </w:tcPr>
          <w:p w14:paraId="0B47DF9D" w14:textId="55A114A1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633" w:type="dxa"/>
          </w:tcPr>
          <w:p w14:paraId="5F5A5410" w14:textId="1FA142D3" w:rsidR="008926FC" w:rsidRPr="008926FC" w:rsidRDefault="00685A70" w:rsidP="00685A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</w:tr>
    </w:tbl>
    <w:p w14:paraId="509BB2F0" w14:textId="77777777" w:rsidR="0053772C" w:rsidRPr="008926FC" w:rsidRDefault="0053772C" w:rsidP="008926FC">
      <w:pPr>
        <w:jc w:val="both"/>
        <w:rPr>
          <w:rFonts w:ascii="Calibri" w:hAnsi="Calibri" w:cs="Calibri"/>
          <w:sz w:val="22"/>
          <w:szCs w:val="22"/>
        </w:rPr>
      </w:pPr>
    </w:p>
    <w:p w14:paraId="21FFD67F" w14:textId="77777777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El resto de tramos y porcentajes no sufren modificación.</w:t>
      </w:r>
    </w:p>
    <w:p w14:paraId="6ED495C8" w14:textId="77777777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>La tabla de retenciones podrá modificarse reglamentariamente.”</w:t>
      </w:r>
    </w:p>
    <w:p w14:paraId="6C831D14" w14:textId="77777777" w:rsidR="0053772C" w:rsidRPr="0053772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b/>
          <w:bCs/>
          <w:sz w:val="22"/>
          <w:szCs w:val="22"/>
        </w:rPr>
        <w:t>Disposición final única</w:t>
      </w:r>
      <w:r w:rsidRPr="0053772C">
        <w:rPr>
          <w:rFonts w:ascii="Calibri" w:hAnsi="Calibri" w:cs="Calibri"/>
          <w:sz w:val="22"/>
          <w:szCs w:val="22"/>
        </w:rPr>
        <w:t>. Entrada en vigor.</w:t>
      </w:r>
    </w:p>
    <w:p w14:paraId="47B1B39C" w14:textId="339F5245" w:rsidR="0053772C" w:rsidRPr="008926FC" w:rsidRDefault="0053772C" w:rsidP="008926FC">
      <w:pPr>
        <w:jc w:val="both"/>
        <w:rPr>
          <w:rFonts w:ascii="Calibri" w:hAnsi="Calibri" w:cs="Calibri"/>
          <w:sz w:val="22"/>
          <w:szCs w:val="22"/>
        </w:rPr>
      </w:pPr>
      <w:r w:rsidRPr="0053772C">
        <w:rPr>
          <w:rFonts w:ascii="Calibri" w:hAnsi="Calibri" w:cs="Calibri"/>
          <w:sz w:val="22"/>
          <w:szCs w:val="22"/>
        </w:rPr>
        <w:t xml:space="preserve">Esta </w:t>
      </w:r>
      <w:r w:rsidRPr="008926FC">
        <w:rPr>
          <w:rFonts w:ascii="Calibri" w:hAnsi="Calibri" w:cs="Calibri"/>
          <w:sz w:val="22"/>
          <w:szCs w:val="22"/>
        </w:rPr>
        <w:t>l</w:t>
      </w:r>
      <w:r w:rsidRPr="0053772C">
        <w:rPr>
          <w:rFonts w:ascii="Calibri" w:hAnsi="Calibri" w:cs="Calibri"/>
          <w:sz w:val="22"/>
          <w:szCs w:val="22"/>
        </w:rPr>
        <w:t xml:space="preserve">ey </w:t>
      </w:r>
      <w:r w:rsidRPr="008926FC">
        <w:rPr>
          <w:rFonts w:ascii="Calibri" w:hAnsi="Calibri" w:cs="Calibri"/>
          <w:sz w:val="22"/>
          <w:szCs w:val="22"/>
        </w:rPr>
        <w:t>f</w:t>
      </w:r>
      <w:r w:rsidRPr="0053772C">
        <w:rPr>
          <w:rFonts w:ascii="Calibri" w:hAnsi="Calibri" w:cs="Calibri"/>
          <w:sz w:val="22"/>
          <w:szCs w:val="22"/>
        </w:rPr>
        <w:t>oral entrará en vigor el día siguiente al de su publicación en el Boletín</w:t>
      </w:r>
      <w:r w:rsidR="00685A70">
        <w:rPr>
          <w:rFonts w:ascii="Calibri" w:hAnsi="Calibri" w:cs="Calibri"/>
          <w:sz w:val="22"/>
          <w:szCs w:val="22"/>
        </w:rPr>
        <w:t xml:space="preserve"> </w:t>
      </w:r>
      <w:r w:rsidRPr="008926FC">
        <w:rPr>
          <w:rFonts w:ascii="Calibri" w:hAnsi="Calibri" w:cs="Calibri"/>
          <w:sz w:val="22"/>
          <w:szCs w:val="22"/>
        </w:rPr>
        <w:t>Oficial de Navarra.</w:t>
      </w:r>
    </w:p>
    <w:sectPr w:rsidR="0053772C" w:rsidRPr="00892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2C"/>
    <w:rsid w:val="003E3E22"/>
    <w:rsid w:val="0053772C"/>
    <w:rsid w:val="005762CC"/>
    <w:rsid w:val="00600DE2"/>
    <w:rsid w:val="0066179D"/>
    <w:rsid w:val="0066283F"/>
    <w:rsid w:val="00685A70"/>
    <w:rsid w:val="008767F4"/>
    <w:rsid w:val="008926FC"/>
    <w:rsid w:val="008D7F85"/>
    <w:rsid w:val="00A36075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299B"/>
  <w15:chartTrackingRefBased/>
  <w15:docId w15:val="{6DDC9D45-B8FF-47CC-8C49-EC1384F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7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7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7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7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7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7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7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77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7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7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772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2025-03-28T07:08:00Z</dcterms:created>
  <dcterms:modified xsi:type="dcterms:W3CDTF">2025-03-28T07:22:00Z</dcterms:modified>
</cp:coreProperties>
</file>