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5FE5" w14:textId="6900069E" w:rsidR="00A601BD" w:rsidRPr="00A601BD" w:rsidRDefault="00A601BD" w:rsidP="00A601BD">
      <w:pPr>
        <w:jc w:val="both"/>
        <w:rPr>
          <w:rFonts w:ascii="Calibri" w:hAnsi="Calibri" w:cs="Calibri"/>
          <w:sz w:val="22"/>
          <w:szCs w:val="22"/>
        </w:rPr>
      </w:pPr>
      <w:r w:rsidRPr="00A601BD">
        <w:rPr>
          <w:rFonts w:ascii="Calibri" w:hAnsi="Calibri" w:cs="Calibri"/>
          <w:sz w:val="22"/>
          <w:szCs w:val="22"/>
        </w:rPr>
        <w:t>Los y las parlamentarias abajo firmantes, al amparo de lo establecido en el Reglamento de la Cámara, presenta</w:t>
      </w:r>
      <w:r w:rsidR="00A06B12">
        <w:rPr>
          <w:rFonts w:ascii="Calibri" w:hAnsi="Calibri" w:cs="Calibri"/>
          <w:sz w:val="22"/>
          <w:szCs w:val="22"/>
        </w:rPr>
        <w:t>n</w:t>
      </w:r>
      <w:r w:rsidRPr="00A601BD">
        <w:rPr>
          <w:rFonts w:ascii="Calibri" w:hAnsi="Calibri" w:cs="Calibri"/>
          <w:sz w:val="22"/>
          <w:szCs w:val="22"/>
        </w:rPr>
        <w:t xml:space="preserve"> la siguiente moción para que sea debatida con en el Pleno.</w:t>
      </w:r>
    </w:p>
    <w:p w14:paraId="20B5297E" w14:textId="55D872C6" w:rsidR="00A601BD" w:rsidRPr="00A601BD" w:rsidRDefault="00A601BD" w:rsidP="00A601BD">
      <w:pPr>
        <w:jc w:val="both"/>
        <w:rPr>
          <w:rFonts w:ascii="Calibri" w:hAnsi="Calibri" w:cs="Calibri"/>
          <w:sz w:val="22"/>
          <w:szCs w:val="22"/>
        </w:rPr>
      </w:pPr>
      <w:r w:rsidRPr="00A601BD">
        <w:rPr>
          <w:rFonts w:ascii="Calibri" w:hAnsi="Calibri" w:cs="Calibri"/>
          <w:sz w:val="22"/>
          <w:szCs w:val="22"/>
        </w:rPr>
        <w:t>Solicitamos que el seguimiento del estado de cumplimiento de esta moción se realice en la Comisión de Presidencia e Igualdad del Parlamento de Navarra.</w:t>
      </w:r>
    </w:p>
    <w:p w14:paraId="61059C1D" w14:textId="33249DA4" w:rsidR="00A601BD" w:rsidRPr="00A601BD" w:rsidRDefault="00A601BD" w:rsidP="00A601BD">
      <w:pPr>
        <w:jc w:val="both"/>
        <w:rPr>
          <w:rFonts w:ascii="Calibri" w:hAnsi="Calibri" w:cs="Calibri"/>
          <w:sz w:val="22"/>
          <w:szCs w:val="22"/>
        </w:rPr>
      </w:pPr>
      <w:r w:rsidRPr="00A601BD">
        <w:rPr>
          <w:rFonts w:ascii="Calibri" w:hAnsi="Calibri" w:cs="Calibri"/>
          <w:sz w:val="22"/>
          <w:szCs w:val="22"/>
        </w:rPr>
        <w:t>Exposición de motivos</w:t>
      </w:r>
    </w:p>
    <w:p w14:paraId="6C933E4F" w14:textId="781B27D2" w:rsidR="00A601BD" w:rsidRPr="00A601BD" w:rsidRDefault="00A601BD" w:rsidP="00A601BD">
      <w:pPr>
        <w:jc w:val="both"/>
        <w:rPr>
          <w:rFonts w:ascii="Calibri" w:hAnsi="Calibri" w:cs="Calibri"/>
          <w:sz w:val="22"/>
          <w:szCs w:val="22"/>
        </w:rPr>
      </w:pPr>
      <w:r w:rsidRPr="00A601BD">
        <w:rPr>
          <w:rFonts w:ascii="Calibri" w:hAnsi="Calibri" w:cs="Calibri"/>
          <w:sz w:val="22"/>
          <w:szCs w:val="22"/>
        </w:rPr>
        <w:t xml:space="preserve">La violencia de género es una de las manifestaciones más graves de la desigualdad estructural entre mujeres y hombres, y se expresa de diversas formas, muchas de ellas todavía insuficientemente visibilizadas. Entre estas se encuentra la violencia de género de carácter económico, una dimensión que vulnera la seguridad financiera de las mujeres con el objetivo de forzar su vulnerabilidad y sustentar así la asimetría de poder. </w:t>
      </w:r>
    </w:p>
    <w:p w14:paraId="3EE8B5F6" w14:textId="129E2033" w:rsidR="00A601BD" w:rsidRPr="00A601BD" w:rsidRDefault="00A601BD" w:rsidP="00A601BD">
      <w:pPr>
        <w:jc w:val="both"/>
        <w:rPr>
          <w:rFonts w:ascii="Calibri" w:hAnsi="Calibri" w:cs="Calibri"/>
          <w:sz w:val="22"/>
          <w:szCs w:val="22"/>
        </w:rPr>
      </w:pPr>
      <w:r w:rsidRPr="00A601BD">
        <w:rPr>
          <w:rFonts w:ascii="Calibri" w:hAnsi="Calibri" w:cs="Calibri"/>
          <w:sz w:val="22"/>
          <w:szCs w:val="22"/>
        </w:rPr>
        <w:t>La violencia económica puede manifestarse de distintas maneras: el control y limitación de los recursos económicos de las mujeres, la obstrucción al acceso o mantenimiento de un empleo, la imposición de deudas, el impago de pensiones de alimentos o el uso coercitivo de bienes y patrimonio. Estas formas de violencia no solo impactan en el presente de las mujeres que la sufren, sino que también condicionan su futuro y el de sus hijos e hijas, dificultando su salida de situaciones de violencia y obstaculizando su plena participación en la sociedad en igualdad de condiciones.</w:t>
      </w:r>
    </w:p>
    <w:p w14:paraId="3AAD5797" w14:textId="7CB8CFDB" w:rsidR="00A601BD" w:rsidRPr="00A601BD" w:rsidRDefault="00A601BD" w:rsidP="00A601BD">
      <w:pPr>
        <w:jc w:val="both"/>
        <w:rPr>
          <w:rFonts w:ascii="Calibri" w:hAnsi="Calibri" w:cs="Calibri"/>
          <w:sz w:val="22"/>
          <w:szCs w:val="22"/>
        </w:rPr>
      </w:pPr>
      <w:r w:rsidRPr="00A601BD">
        <w:rPr>
          <w:rFonts w:ascii="Calibri" w:hAnsi="Calibri" w:cs="Calibri"/>
          <w:sz w:val="22"/>
          <w:szCs w:val="22"/>
        </w:rPr>
        <w:t>El compromiso, por tanto, con la erradicación de la violencia de género implica abordar todas sus manifestaciones y dotar a las instituciones de los instrumentos adecuados para identificarla y combatirla de manera efectiva.</w:t>
      </w:r>
    </w:p>
    <w:p w14:paraId="03C9659A" w14:textId="77777777" w:rsidR="00A601BD" w:rsidRPr="00A601BD" w:rsidRDefault="00A601BD" w:rsidP="00A601BD">
      <w:pPr>
        <w:jc w:val="both"/>
        <w:rPr>
          <w:rFonts w:ascii="Calibri" w:hAnsi="Calibri" w:cs="Calibri"/>
          <w:sz w:val="22"/>
          <w:szCs w:val="22"/>
        </w:rPr>
      </w:pPr>
      <w:r w:rsidRPr="00A601BD">
        <w:rPr>
          <w:rFonts w:ascii="Calibri" w:hAnsi="Calibri" w:cs="Calibri"/>
          <w:sz w:val="22"/>
          <w:szCs w:val="22"/>
        </w:rPr>
        <w:t xml:space="preserve">En ese sentido, pesar de que la legislación vigente reconoce la violencia económica como una forma de violencia de género, su estudio y abordaje en el ámbito autonómico es todavía limitado. </w:t>
      </w:r>
    </w:p>
    <w:p w14:paraId="3EA1A966" w14:textId="77777777" w:rsidR="00A601BD" w:rsidRPr="00A601BD" w:rsidRDefault="00A601BD" w:rsidP="00A601BD">
      <w:pPr>
        <w:jc w:val="both"/>
        <w:rPr>
          <w:rFonts w:ascii="Calibri" w:hAnsi="Calibri" w:cs="Calibri"/>
          <w:sz w:val="22"/>
          <w:szCs w:val="22"/>
        </w:rPr>
      </w:pPr>
      <w:r w:rsidRPr="00A601BD">
        <w:rPr>
          <w:rFonts w:ascii="Calibri" w:hAnsi="Calibri" w:cs="Calibri"/>
          <w:sz w:val="22"/>
          <w:szCs w:val="22"/>
        </w:rPr>
        <w:t>La recopilación de datos, el análisis de su impacto y el desarrollo de herramientas eficaces para su prevención y erradicación resultan imprescindibles para avanzar en la lucha contra la violencia de género en todas sus formas.</w:t>
      </w:r>
    </w:p>
    <w:p w14:paraId="23E25745" w14:textId="77777777" w:rsidR="00A601BD" w:rsidRPr="00A601BD" w:rsidRDefault="00A601BD" w:rsidP="00A601BD">
      <w:pPr>
        <w:jc w:val="both"/>
        <w:rPr>
          <w:rFonts w:ascii="Calibri" w:hAnsi="Calibri" w:cs="Calibri"/>
          <w:sz w:val="22"/>
          <w:szCs w:val="22"/>
        </w:rPr>
      </w:pPr>
      <w:r w:rsidRPr="00A601BD">
        <w:rPr>
          <w:rFonts w:ascii="Calibri" w:hAnsi="Calibri" w:cs="Calibri"/>
          <w:sz w:val="22"/>
          <w:szCs w:val="22"/>
        </w:rPr>
        <w:t>Por todo ello, presentamos la siguiente propuesta de resolución:</w:t>
      </w:r>
    </w:p>
    <w:p w14:paraId="7AC99A5F" w14:textId="77777777" w:rsidR="00A601BD" w:rsidRPr="00A601BD" w:rsidRDefault="00A601BD" w:rsidP="00A601BD">
      <w:pPr>
        <w:pStyle w:val="Prrafodelista"/>
        <w:numPr>
          <w:ilvl w:val="0"/>
          <w:numId w:val="1"/>
        </w:numPr>
        <w:jc w:val="both"/>
        <w:rPr>
          <w:rFonts w:ascii="Calibri" w:hAnsi="Calibri" w:cs="Calibri"/>
          <w:sz w:val="22"/>
          <w:szCs w:val="22"/>
        </w:rPr>
      </w:pPr>
      <w:r w:rsidRPr="00A601BD">
        <w:rPr>
          <w:rFonts w:ascii="Calibri" w:hAnsi="Calibri" w:cs="Calibri"/>
          <w:sz w:val="22"/>
          <w:szCs w:val="22"/>
        </w:rPr>
        <w:t>El Parlamento de Navarra insta al Gobierno de Navarra a realizar un estudio integral sobre la violencia de género económica en nuestra Comunidad, incluyendo aquella de carácter institucional, así como sobre las posibles herramientas que se pudieran desarrollar para hacerle frente.</w:t>
      </w:r>
    </w:p>
    <w:p w14:paraId="0AD2128A" w14:textId="77777777" w:rsidR="00A601BD" w:rsidRPr="00A601BD" w:rsidRDefault="00A601BD" w:rsidP="00A601BD">
      <w:pPr>
        <w:pStyle w:val="Prrafodelista"/>
        <w:numPr>
          <w:ilvl w:val="0"/>
          <w:numId w:val="1"/>
        </w:numPr>
        <w:jc w:val="both"/>
        <w:rPr>
          <w:rFonts w:ascii="Calibri" w:hAnsi="Calibri" w:cs="Calibri"/>
          <w:sz w:val="22"/>
          <w:szCs w:val="22"/>
        </w:rPr>
      </w:pPr>
      <w:r w:rsidRPr="00A601BD">
        <w:rPr>
          <w:rFonts w:ascii="Calibri" w:hAnsi="Calibri" w:cs="Calibri"/>
          <w:sz w:val="22"/>
          <w:szCs w:val="22"/>
        </w:rPr>
        <w:t xml:space="preserve"> El Parlamento de Navarra insta al Gobierno de Navarra a profundizar en el esfuerzo en materia de promoción de la accesibilidad, homogeneización, recopilación y unificación de datos en materia de violencia de género, particularmente en lo relativo a la violencia económica.</w:t>
      </w:r>
    </w:p>
    <w:p w14:paraId="6DB99ECB" w14:textId="4F0D0E45" w:rsidR="00A601BD" w:rsidRPr="00A601BD" w:rsidRDefault="00A601BD" w:rsidP="00A601BD">
      <w:pPr>
        <w:pStyle w:val="Prrafodelista"/>
        <w:numPr>
          <w:ilvl w:val="0"/>
          <w:numId w:val="1"/>
        </w:numPr>
        <w:jc w:val="both"/>
        <w:rPr>
          <w:rFonts w:ascii="Calibri" w:hAnsi="Calibri" w:cs="Calibri"/>
          <w:sz w:val="22"/>
          <w:szCs w:val="22"/>
        </w:rPr>
      </w:pPr>
      <w:r w:rsidRPr="00A601BD">
        <w:rPr>
          <w:rFonts w:ascii="Calibri" w:hAnsi="Calibri" w:cs="Calibri"/>
          <w:sz w:val="22"/>
          <w:szCs w:val="22"/>
        </w:rPr>
        <w:t>El Parlamento de Navarra insta al Gobierno de Navarra a profundizar en la inclusión de la realidad de la violencia económica en las políticas de prevención, formación y sensibilización en materia de violencia de género, así como en las alianzas institucionales que se frag</w:t>
      </w:r>
      <w:r w:rsidR="00A06B12">
        <w:rPr>
          <w:rFonts w:ascii="Calibri" w:hAnsi="Calibri" w:cs="Calibri"/>
          <w:sz w:val="22"/>
          <w:szCs w:val="22"/>
        </w:rPr>
        <w:t>ü</w:t>
      </w:r>
      <w:r w:rsidRPr="00A601BD">
        <w:rPr>
          <w:rFonts w:ascii="Calibri" w:hAnsi="Calibri" w:cs="Calibri"/>
          <w:sz w:val="22"/>
          <w:szCs w:val="22"/>
        </w:rPr>
        <w:t xml:space="preserve">en en esta materia. </w:t>
      </w:r>
    </w:p>
    <w:p w14:paraId="796820A2" w14:textId="77777777" w:rsidR="00A601BD" w:rsidRPr="00A601BD" w:rsidRDefault="00A601BD" w:rsidP="00A601BD">
      <w:pPr>
        <w:pStyle w:val="Prrafodelista"/>
        <w:jc w:val="both"/>
        <w:rPr>
          <w:rFonts w:ascii="Calibri" w:hAnsi="Calibri" w:cs="Calibri"/>
          <w:sz w:val="22"/>
          <w:szCs w:val="22"/>
        </w:rPr>
      </w:pPr>
    </w:p>
    <w:p w14:paraId="1190569C" w14:textId="1CDC18F7" w:rsidR="00A601BD" w:rsidRPr="00A601BD" w:rsidRDefault="00A601BD" w:rsidP="00A601BD">
      <w:pPr>
        <w:pStyle w:val="Prrafodelista"/>
        <w:jc w:val="both"/>
        <w:rPr>
          <w:rFonts w:ascii="Calibri" w:hAnsi="Calibri" w:cs="Calibri"/>
          <w:sz w:val="22"/>
          <w:szCs w:val="22"/>
        </w:rPr>
      </w:pPr>
      <w:r w:rsidRPr="00A601BD">
        <w:rPr>
          <w:rFonts w:ascii="Calibri" w:hAnsi="Calibri" w:cs="Calibri"/>
          <w:sz w:val="22"/>
          <w:szCs w:val="22"/>
        </w:rPr>
        <w:lastRenderedPageBreak/>
        <w:t>Pamplona-Iruñea, a 27 de marzo de 2025</w:t>
      </w:r>
    </w:p>
    <w:p w14:paraId="31180A9F" w14:textId="696268B2" w:rsidR="00A601BD" w:rsidRPr="00A601BD" w:rsidRDefault="00A601BD" w:rsidP="00A601BD">
      <w:pPr>
        <w:pStyle w:val="Prrafodelista"/>
        <w:jc w:val="both"/>
        <w:rPr>
          <w:rFonts w:ascii="Calibri" w:hAnsi="Calibri" w:cs="Calibri"/>
          <w:sz w:val="22"/>
          <w:szCs w:val="22"/>
        </w:rPr>
      </w:pPr>
      <w:r w:rsidRPr="00A601BD">
        <w:rPr>
          <w:rFonts w:ascii="Calibri" w:hAnsi="Calibri" w:cs="Calibri"/>
          <w:sz w:val="22"/>
          <w:szCs w:val="22"/>
        </w:rPr>
        <w:t>Los Parlamentarios Forales: María Olga Chueca Chueca, Blanca Isabel Regúlez Álvarez, Irati Jiménez Aragón, José Miguel Garrido Sola</w:t>
      </w:r>
    </w:p>
    <w:sectPr w:rsidR="00A601BD" w:rsidRPr="00A601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54A7D"/>
    <w:multiLevelType w:val="hybridMultilevel"/>
    <w:tmpl w:val="00589BF8"/>
    <w:lvl w:ilvl="0" w:tplc="42AC1CEC">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59366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BD"/>
    <w:rsid w:val="003E3E22"/>
    <w:rsid w:val="005762CC"/>
    <w:rsid w:val="00600DE2"/>
    <w:rsid w:val="0066179D"/>
    <w:rsid w:val="0066283F"/>
    <w:rsid w:val="008D7F85"/>
    <w:rsid w:val="00A06B12"/>
    <w:rsid w:val="00A36075"/>
    <w:rsid w:val="00A43DEF"/>
    <w:rsid w:val="00A601BD"/>
    <w:rsid w:val="00A877BA"/>
    <w:rsid w:val="00B0049F"/>
    <w:rsid w:val="00B81112"/>
    <w:rsid w:val="00C01BD6"/>
    <w:rsid w:val="00E2340F"/>
    <w:rsid w:val="00E640F1"/>
    <w:rsid w:val="00E872DF"/>
    <w:rsid w:val="00FA52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D0222"/>
  <w15:chartTrackingRefBased/>
  <w15:docId w15:val="{9E32A279-C450-4A81-919F-04979FE50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60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0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01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01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01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01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01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01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01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01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01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01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01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01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01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01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01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01BD"/>
    <w:rPr>
      <w:rFonts w:eastAsiaTheme="majorEastAsia" w:cstheme="majorBidi"/>
      <w:color w:val="272727" w:themeColor="text1" w:themeTint="D8"/>
    </w:rPr>
  </w:style>
  <w:style w:type="paragraph" w:styleId="Ttulo">
    <w:name w:val="Title"/>
    <w:basedOn w:val="Normal"/>
    <w:next w:val="Normal"/>
    <w:link w:val="TtuloCar"/>
    <w:uiPriority w:val="10"/>
    <w:qFormat/>
    <w:rsid w:val="00A60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01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01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01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01BD"/>
    <w:pPr>
      <w:spacing w:before="160"/>
      <w:jc w:val="center"/>
    </w:pPr>
    <w:rPr>
      <w:i/>
      <w:iCs/>
      <w:color w:val="404040" w:themeColor="text1" w:themeTint="BF"/>
    </w:rPr>
  </w:style>
  <w:style w:type="character" w:customStyle="1" w:styleId="CitaCar">
    <w:name w:val="Cita Car"/>
    <w:basedOn w:val="Fuentedeprrafopredeter"/>
    <w:link w:val="Cita"/>
    <w:uiPriority w:val="29"/>
    <w:rsid w:val="00A601BD"/>
    <w:rPr>
      <w:i/>
      <w:iCs/>
      <w:color w:val="404040" w:themeColor="text1" w:themeTint="BF"/>
    </w:rPr>
  </w:style>
  <w:style w:type="paragraph" w:styleId="Prrafodelista">
    <w:name w:val="List Paragraph"/>
    <w:basedOn w:val="Normal"/>
    <w:uiPriority w:val="34"/>
    <w:qFormat/>
    <w:rsid w:val="00A601BD"/>
    <w:pPr>
      <w:ind w:left="720"/>
      <w:contextualSpacing/>
    </w:pPr>
  </w:style>
  <w:style w:type="character" w:styleId="nfasisintenso">
    <w:name w:val="Intense Emphasis"/>
    <w:basedOn w:val="Fuentedeprrafopredeter"/>
    <w:uiPriority w:val="21"/>
    <w:qFormat/>
    <w:rsid w:val="00A601BD"/>
    <w:rPr>
      <w:i/>
      <w:iCs/>
      <w:color w:val="0F4761" w:themeColor="accent1" w:themeShade="BF"/>
    </w:rPr>
  </w:style>
  <w:style w:type="paragraph" w:styleId="Citadestacada">
    <w:name w:val="Intense Quote"/>
    <w:basedOn w:val="Normal"/>
    <w:next w:val="Normal"/>
    <w:link w:val="CitadestacadaCar"/>
    <w:uiPriority w:val="30"/>
    <w:qFormat/>
    <w:rsid w:val="00A60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01BD"/>
    <w:rPr>
      <w:i/>
      <w:iCs/>
      <w:color w:val="0F4761" w:themeColor="accent1" w:themeShade="BF"/>
    </w:rPr>
  </w:style>
  <w:style w:type="character" w:styleId="Referenciaintensa">
    <w:name w:val="Intense Reference"/>
    <w:basedOn w:val="Fuentedeprrafopredeter"/>
    <w:uiPriority w:val="32"/>
    <w:qFormat/>
    <w:rsid w:val="00A601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474</Words>
  <Characters>2608</Characters>
  <Application>Microsoft Office Word</Application>
  <DocSecurity>0</DocSecurity>
  <Lines>21</Lines>
  <Paragraphs>6</Paragraphs>
  <ScaleCrop>false</ScaleCrop>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2025-03-28T07:24:00Z</dcterms:created>
  <dcterms:modified xsi:type="dcterms:W3CDTF">2025-04-02T14:02:00Z</dcterms:modified>
</cp:coreProperties>
</file>