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594A" w14:textId="178BD619" w:rsidR="00B065BA" w:rsidRPr="008355BE" w:rsidRDefault="008355BE" w:rsidP="008355BE">
      <w:pPr>
        <w:jc w:val="both"/>
        <w:rPr>
          <w:rFonts w:ascii="Calibri" w:hAnsi="Calibri" w:cs="Calibri"/>
        </w:rPr>
      </w:pPr>
      <w:r>
        <w:rPr>
          <w:rFonts w:ascii="Calibri" w:hAnsi="Calibri"/>
        </w:rPr>
        <w:t>25MOC-80</w:t>
      </w:r>
    </w:p>
    <w:p w14:paraId="7AFA6AFC" w14:textId="4AD36BB0" w:rsidR="008355BE" w:rsidRPr="008355BE" w:rsidRDefault="008355BE" w:rsidP="008355BE">
      <w:pPr>
        <w:jc w:val="both"/>
        <w:rPr>
          <w:rFonts w:ascii="Calibri" w:hAnsi="Calibri" w:cs="Calibri"/>
        </w:rPr>
      </w:pPr>
      <w:r>
        <w:rPr>
          <w:rFonts w:ascii="Calibri" w:hAnsi="Calibri"/>
        </w:rPr>
        <w:t>Nafarroako Gorteetako kide eta Nafarroako Alderdi Popularra (PPN) talde parlamentarioaren eledun Javier García Jiménezek, Legebiltzarreko Erregelamenduan xedatzen denaren babesean, honako mozio hau Osoko Bilkuran eztabaidatzeko sar dadin eskatzen du:</w:t>
      </w:r>
    </w:p>
    <w:p w14:paraId="57CE9A87" w14:textId="5FDF0452" w:rsidR="008355BE" w:rsidRPr="008355BE" w:rsidRDefault="008355BE" w:rsidP="008355BE">
      <w:pPr>
        <w:jc w:val="both"/>
        <w:rPr>
          <w:rFonts w:ascii="Calibri" w:hAnsi="Calibri" w:cs="Calibri"/>
        </w:rPr>
      </w:pPr>
      <w:r>
        <w:rPr>
          <w:rFonts w:ascii="Calibri" w:hAnsi="Calibri"/>
        </w:rPr>
        <w:t>Zioen azalpena</w:t>
      </w:r>
    </w:p>
    <w:p w14:paraId="34508658" w14:textId="77777777" w:rsidR="008355BE" w:rsidRPr="008355BE" w:rsidRDefault="008355BE" w:rsidP="008355BE">
      <w:pPr>
        <w:jc w:val="both"/>
        <w:rPr>
          <w:rFonts w:ascii="Calibri" w:hAnsi="Calibri" w:cs="Calibri"/>
        </w:rPr>
      </w:pPr>
      <w:r>
        <w:rPr>
          <w:rFonts w:ascii="Calibri" w:hAnsi="Calibri"/>
        </w:rPr>
        <w:t>Etxebizitzak legez kanpo okupatzea gero eta errealitate nabarmenagoa da, eta kezka sortzen du herritarren artean. Jabeen segurtasun juridikoari eragiten dio eta eragin negatiboa du auzokideen bizikidetzan. Okupazioen arrazoiak askotarikoak eta konplexuak badira ere, adostasun sozial zabala dago fenomeno horrek kalte egiten dien jabe eta errentatzaile legitimoen eskubideak babesteko beharrari dagokionez.</w:t>
      </w:r>
    </w:p>
    <w:p w14:paraId="2F4D8794" w14:textId="77777777" w:rsidR="008355BE" w:rsidRPr="008355BE" w:rsidRDefault="008355BE" w:rsidP="008355BE">
      <w:pPr>
        <w:jc w:val="both"/>
        <w:rPr>
          <w:rFonts w:ascii="Calibri" w:hAnsi="Calibri" w:cs="Calibri"/>
        </w:rPr>
      </w:pPr>
      <w:r>
        <w:rPr>
          <w:rFonts w:ascii="Calibri" w:hAnsi="Calibri"/>
        </w:rPr>
        <w:t>Autonomia erkidego batzuek, hala nola Madrilgo Erkidegoak, neurri aitzindariak jarri dituzte abian legez kanpoko okupazioek kaltetutako pertsonei arreta emateko, hala nola berehalako arretarako telefono zerbitzuak sortzea, doako aholkularitza juridikoa, laguntza psikologikoa eta Estatuko segurtasun-kidego eta -indarrekin zuzenean koordinatzea.</w:t>
      </w:r>
    </w:p>
    <w:p w14:paraId="44624568" w14:textId="77777777" w:rsidR="008355BE" w:rsidRPr="008355BE" w:rsidRDefault="008355BE" w:rsidP="008355BE">
      <w:pPr>
        <w:jc w:val="both"/>
        <w:rPr>
          <w:rFonts w:ascii="Calibri" w:hAnsi="Calibri" w:cs="Calibri"/>
        </w:rPr>
      </w:pPr>
      <w:r>
        <w:rPr>
          <w:rFonts w:ascii="Calibri" w:hAnsi="Calibri"/>
        </w:rPr>
        <w:t>Nafarroako Foru Komunitatean, Parlamentuak hainbat ekimen abiarazi ditu aurreko legegintzaldietan etxebizitzen legez kanpoko okupazioaren arazo gero eta handiagoari aurre egiteko. Egoera horrek segurtasun juridikorik eza, auzo-gatazkak eta jabeengan eta eragindako erkidegoengan babesgabetasun sentsazio argia eragiten ditu. Arazoa onartu den arren eta Parlamentuan horri buruz eztabaidatu den arren, ez da modu eraginkorrean aurrera egin errealitate horrek zuzenean kaltetutako pertsonei erantzunen dien zerbitzu publiko espezifiko bat abian jartzeko.</w:t>
      </w:r>
    </w:p>
    <w:p w14:paraId="3DC025B4" w14:textId="77777777" w:rsidR="008355BE" w:rsidRPr="008355BE" w:rsidRDefault="008355BE" w:rsidP="008355BE">
      <w:pPr>
        <w:jc w:val="both"/>
        <w:rPr>
          <w:rFonts w:ascii="Calibri" w:hAnsi="Calibri" w:cs="Calibri"/>
        </w:rPr>
      </w:pPr>
      <w:r>
        <w:rPr>
          <w:rFonts w:ascii="Calibri" w:hAnsi="Calibri"/>
        </w:rPr>
        <w:t>Kasu horien aurrean jarduteko eskumen argiak dituen erakunde-egiturarik ez izateak borondate politikorik eza edo, behintzat, administrazioen arteko koordinazio eskasa islatzen du.</w:t>
      </w:r>
    </w:p>
    <w:p w14:paraId="1BEBE613" w14:textId="77777777" w:rsidR="008355BE" w:rsidRPr="008355BE" w:rsidRDefault="008355BE" w:rsidP="008355BE">
      <w:pPr>
        <w:jc w:val="both"/>
        <w:rPr>
          <w:rFonts w:ascii="Calibri" w:hAnsi="Calibri" w:cs="Calibri"/>
        </w:rPr>
      </w:pPr>
      <w:r>
        <w:rPr>
          <w:rFonts w:ascii="Calibri" w:hAnsi="Calibri"/>
        </w:rPr>
        <w:t>Testuinguru horretan, egungo arau-esparruak figura berri bat txertatu du: bizitegi merkatuko eremu tentsionatuen izendapena. Neurri horrek alokairuen prezioen igoera geldiaraztea du helburu, zenbait hiri-eremutan esku-hartze administratiboa egitearen bidez. Hala ere, izendapen horrek ez du mekanismo eraginkorrik jasotzen legez kanpoko okupazioa bezalako fenomenoei aurre egiteko, zeina, askotan, eremu horietan larriagotu egiten baita, etxebizitzaren gaineko presioa handiagoa delako.</w:t>
      </w:r>
    </w:p>
    <w:p w14:paraId="4F84A25D" w14:textId="77777777" w:rsidR="008355BE" w:rsidRPr="008355BE" w:rsidRDefault="008355BE" w:rsidP="008355BE">
      <w:pPr>
        <w:jc w:val="both"/>
        <w:rPr>
          <w:rFonts w:ascii="Calibri" w:hAnsi="Calibri" w:cs="Calibri"/>
        </w:rPr>
      </w:pPr>
      <w:r>
        <w:rPr>
          <w:rFonts w:ascii="Calibri" w:hAnsi="Calibri"/>
        </w:rPr>
        <w:t>Izan ere, arau-estrategiak alde batera uzten du okupazio irregularrak ere etxebizitza merkatuaren distortsio larria dakarrela, eta jabe legitimoen segurtasunaren eta eskubideen aurkako zuzeneko erasoa dela.</w:t>
      </w:r>
    </w:p>
    <w:p w14:paraId="4709A7DE" w14:textId="77777777" w:rsidR="008355BE" w:rsidRPr="008355BE" w:rsidRDefault="008355BE" w:rsidP="008355BE">
      <w:pPr>
        <w:jc w:val="both"/>
        <w:rPr>
          <w:rFonts w:ascii="Calibri" w:hAnsi="Calibri" w:cs="Calibri"/>
        </w:rPr>
      </w:pPr>
      <w:r>
        <w:rPr>
          <w:rFonts w:ascii="Calibri" w:hAnsi="Calibri"/>
        </w:rPr>
        <w:t>Arau-desoreka horrek eskubideen babesean arbitrariotasuna dagoelako pertzepzioa sortzen du, eta alde batera uzten ditu legez kanpoko okupazioaren ondorioei aurre egitera behartuta daudenak —askotan bakarrik—.</w:t>
      </w:r>
    </w:p>
    <w:p w14:paraId="3FBF6D62" w14:textId="24901887" w:rsidR="008355BE" w:rsidRPr="008355BE" w:rsidRDefault="008355BE" w:rsidP="008355BE">
      <w:pPr>
        <w:jc w:val="both"/>
        <w:rPr>
          <w:rFonts w:ascii="Calibri" w:hAnsi="Calibri" w:cs="Calibri"/>
        </w:rPr>
      </w:pPr>
      <w:r>
        <w:rPr>
          <w:rFonts w:ascii="Calibri" w:hAnsi="Calibri"/>
        </w:rPr>
        <w:t>Gainera, egoera horiekin bizi diren auzotarren erkidegoek eta gizarte-erakundeek salatu dute ez dagoela baliabiderik, erakundeen laguntzarik eta lege-tresna azkarrik gatazkak konpontzeko, eta horrek, askotan, gizarte-tentsioak, ingurunearen degradazioa eta erakundeekiko mesfidantza eragiten dituela.</w:t>
      </w:r>
    </w:p>
    <w:p w14:paraId="7A7207D8" w14:textId="77777777" w:rsidR="008355BE" w:rsidRPr="008355BE" w:rsidRDefault="008355BE" w:rsidP="008355BE">
      <w:pPr>
        <w:jc w:val="both"/>
        <w:rPr>
          <w:rFonts w:ascii="Calibri" w:hAnsi="Calibri" w:cs="Calibri"/>
        </w:rPr>
      </w:pPr>
      <w:r>
        <w:rPr>
          <w:rFonts w:ascii="Calibri" w:hAnsi="Calibri"/>
        </w:rPr>
        <w:lastRenderedPageBreak/>
        <w:t>Horregatik guztiagatik, beharrezkotzat jotzen da egungo zatiketa gaindituko duen eta inplikatutako alderdi guztien segurtasun juridikoa indartuko duen zeharkako neurri bat bultzatzea. Ekimen horrek zerbitzu publiko espezializatu bat sortzea jaso behar du, azkar eta modu koordinatuan esku hartzeko gaitasuna izanen duena, eragindako pertsonei arreta pertsonalizatua emanen diena, jarduteko protokolo argiak ezarriko dituena eta administrazioen, segurtasun-kidegoen eta gizarte-erakundeen arteko lankidetza sustatuko duena.</w:t>
      </w:r>
    </w:p>
    <w:p w14:paraId="19A1BDE3" w14:textId="77777777" w:rsidR="008355BE" w:rsidRPr="008355BE" w:rsidRDefault="008355BE" w:rsidP="008355BE">
      <w:pPr>
        <w:jc w:val="both"/>
        <w:rPr>
          <w:rFonts w:ascii="Calibri" w:hAnsi="Calibri" w:cs="Calibri"/>
        </w:rPr>
      </w:pPr>
      <w:r>
        <w:rPr>
          <w:rFonts w:ascii="Calibri" w:hAnsi="Calibri"/>
        </w:rPr>
        <w:t>Ikuspegi integrala eta orekatua izanda bakarrik bermatu ahal izanen da etxebizitza duina izateko eskubidea, legezkotasuna eta auzo bizikidetza defendatzeari uko egin gabe.</w:t>
      </w:r>
    </w:p>
    <w:p w14:paraId="219E75A6" w14:textId="127BE434" w:rsidR="008355BE" w:rsidRPr="008355BE" w:rsidRDefault="008355BE" w:rsidP="008355BE">
      <w:pPr>
        <w:jc w:val="both"/>
        <w:rPr>
          <w:rFonts w:ascii="Calibri" w:hAnsi="Calibri" w:cs="Calibri"/>
        </w:rPr>
      </w:pPr>
      <w:r>
        <w:rPr>
          <w:rFonts w:ascii="Calibri" w:hAnsi="Calibri"/>
        </w:rPr>
        <w:t>Erabaki</w:t>
      </w:r>
      <w:r w:rsidR="00E83ED8">
        <w:rPr>
          <w:rFonts w:ascii="Calibri" w:hAnsi="Calibri"/>
        </w:rPr>
        <w:t>-</w:t>
      </w:r>
      <w:r>
        <w:rPr>
          <w:rFonts w:ascii="Calibri" w:hAnsi="Calibri"/>
        </w:rPr>
        <w:t>proposamena:</w:t>
      </w:r>
    </w:p>
    <w:p w14:paraId="288A40BE" w14:textId="77777777" w:rsidR="008355BE" w:rsidRPr="008355BE" w:rsidRDefault="008355BE" w:rsidP="008355BE">
      <w:pPr>
        <w:jc w:val="both"/>
        <w:rPr>
          <w:rFonts w:ascii="Calibri" w:hAnsi="Calibri" w:cs="Calibri"/>
        </w:rPr>
      </w:pPr>
      <w:r>
        <w:rPr>
          <w:rFonts w:ascii="Calibri" w:hAnsi="Calibri"/>
        </w:rPr>
        <w:t>Nafarroako Parlamentuak Nafarroako Gobernua premiatzen du:</w:t>
      </w:r>
    </w:p>
    <w:p w14:paraId="0C1DAD11" w14:textId="77777777" w:rsidR="008355BE" w:rsidRPr="008355BE" w:rsidRDefault="008355BE" w:rsidP="008355BE">
      <w:pPr>
        <w:jc w:val="both"/>
        <w:rPr>
          <w:rFonts w:ascii="Calibri" w:hAnsi="Calibri" w:cs="Calibri"/>
        </w:rPr>
      </w:pPr>
      <w:r>
        <w:rPr>
          <w:rFonts w:ascii="Calibri" w:hAnsi="Calibri"/>
        </w:rPr>
        <w:t>1. Legez kanpoko okupazioek eragindako pertsonei arreta integrala emateko zerbitzua sor dezan. Zerbitzu horrek arreta berezia jarriko die zaurgarritasun handieneko biktimei.</w:t>
      </w:r>
    </w:p>
    <w:p w14:paraId="06044466" w14:textId="77777777" w:rsidR="008355BE" w:rsidRPr="008355BE" w:rsidRDefault="008355BE" w:rsidP="008355BE">
      <w:pPr>
        <w:jc w:val="both"/>
        <w:rPr>
          <w:rFonts w:ascii="Calibri" w:hAnsi="Calibri" w:cs="Calibri"/>
        </w:rPr>
      </w:pPr>
      <w:r>
        <w:rPr>
          <w:rFonts w:ascii="Calibri" w:hAnsi="Calibri"/>
        </w:rPr>
        <w:t>2. Foruzaingoarekin, tokiko poliziekin eta segurtasun-indar eta -kidegoekin batera jarduteko protokolo bat taxutu eta ezar dezan.</w:t>
      </w:r>
    </w:p>
    <w:p w14:paraId="16113990" w14:textId="77777777" w:rsidR="008355BE" w:rsidRPr="008355BE" w:rsidRDefault="008355BE" w:rsidP="008355BE">
      <w:pPr>
        <w:jc w:val="both"/>
        <w:rPr>
          <w:rFonts w:ascii="Calibri" w:hAnsi="Calibri" w:cs="Calibri"/>
        </w:rPr>
      </w:pPr>
      <w:r>
        <w:rPr>
          <w:rFonts w:ascii="Calibri" w:hAnsi="Calibri"/>
        </w:rPr>
        <w:t>3. Herritarrei zuzendutako prebentzio eta aholkularitzako informazio kanpainak egin ditzan, bereziki kontuan hartuta arazo horrek eragindako jabe partikularrak, auzotarren erkidegoak eta gizarte-erakundeak edo etxebizitza kooperatibak.</w:t>
      </w:r>
    </w:p>
    <w:p w14:paraId="4C4125F6" w14:textId="77777777" w:rsidR="008355BE" w:rsidRPr="008355BE" w:rsidRDefault="008355BE" w:rsidP="008355BE">
      <w:pPr>
        <w:jc w:val="both"/>
        <w:rPr>
          <w:rFonts w:ascii="Calibri" w:hAnsi="Calibri" w:cs="Calibri"/>
        </w:rPr>
      </w:pPr>
      <w:r>
        <w:rPr>
          <w:rFonts w:ascii="Calibri" w:hAnsi="Calibri"/>
        </w:rPr>
        <w:t>4. Urtero zerbitzuaren ebaluazio txostena aurkez dezan Nafarroako Parlamentuan.</w:t>
      </w:r>
    </w:p>
    <w:p w14:paraId="1BDC1106" w14:textId="77777777" w:rsidR="008355BE" w:rsidRPr="008355BE" w:rsidRDefault="008355BE" w:rsidP="008355BE">
      <w:pPr>
        <w:jc w:val="both"/>
        <w:rPr>
          <w:rFonts w:ascii="Calibri" w:hAnsi="Calibri" w:cs="Calibri"/>
        </w:rPr>
      </w:pPr>
      <w:r>
        <w:rPr>
          <w:rFonts w:ascii="Calibri" w:hAnsi="Calibri"/>
        </w:rPr>
        <w:t>Iruñean, 2025eko maiatzaren 22an</w:t>
      </w:r>
    </w:p>
    <w:p w14:paraId="4994F848" w14:textId="456BC8CA" w:rsidR="008355BE" w:rsidRPr="008355BE" w:rsidRDefault="008355BE" w:rsidP="008355BE">
      <w:pPr>
        <w:jc w:val="both"/>
        <w:rPr>
          <w:rFonts w:ascii="Calibri" w:hAnsi="Calibri" w:cs="Calibri"/>
        </w:rPr>
      </w:pPr>
      <w:r>
        <w:rPr>
          <w:rFonts w:ascii="Calibri" w:hAnsi="Calibri"/>
        </w:rPr>
        <w:t>Foru parlamentaria: Javier García Jiménez</w:t>
      </w:r>
    </w:p>
    <w:sectPr w:rsidR="008355BE" w:rsidRPr="008355B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BE"/>
    <w:rsid w:val="000370A0"/>
    <w:rsid w:val="000820DB"/>
    <w:rsid w:val="000A3E45"/>
    <w:rsid w:val="000B399C"/>
    <w:rsid w:val="00102BA2"/>
    <w:rsid w:val="001E34F2"/>
    <w:rsid w:val="00242C60"/>
    <w:rsid w:val="002E551E"/>
    <w:rsid w:val="00337EB8"/>
    <w:rsid w:val="0035620E"/>
    <w:rsid w:val="003C1B1F"/>
    <w:rsid w:val="004300BA"/>
    <w:rsid w:val="00597020"/>
    <w:rsid w:val="005F303D"/>
    <w:rsid w:val="00603382"/>
    <w:rsid w:val="0061120D"/>
    <w:rsid w:val="006F2590"/>
    <w:rsid w:val="00710D6B"/>
    <w:rsid w:val="008355BE"/>
    <w:rsid w:val="00845D68"/>
    <w:rsid w:val="00854C8E"/>
    <w:rsid w:val="0089010A"/>
    <w:rsid w:val="008A3285"/>
    <w:rsid w:val="00956302"/>
    <w:rsid w:val="00A536E1"/>
    <w:rsid w:val="00A6590A"/>
    <w:rsid w:val="00AA1B4B"/>
    <w:rsid w:val="00AD383F"/>
    <w:rsid w:val="00B065BA"/>
    <w:rsid w:val="00B24182"/>
    <w:rsid w:val="00B42A30"/>
    <w:rsid w:val="00BD3C35"/>
    <w:rsid w:val="00C04178"/>
    <w:rsid w:val="00C43394"/>
    <w:rsid w:val="00CA4E85"/>
    <w:rsid w:val="00D210C7"/>
    <w:rsid w:val="00D241A8"/>
    <w:rsid w:val="00D26EAA"/>
    <w:rsid w:val="00E06058"/>
    <w:rsid w:val="00E10D20"/>
    <w:rsid w:val="00E83ED8"/>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0DD2"/>
  <w15:chartTrackingRefBased/>
  <w15:docId w15:val="{B47546E0-F960-4CC3-AB2F-9F3BA2E7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5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5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55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55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55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55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55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55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55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55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55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55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55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55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55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55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55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55BE"/>
    <w:rPr>
      <w:rFonts w:eastAsiaTheme="majorEastAsia" w:cstheme="majorBidi"/>
      <w:color w:val="272727" w:themeColor="text1" w:themeTint="D8"/>
    </w:rPr>
  </w:style>
  <w:style w:type="paragraph" w:styleId="Ttulo">
    <w:name w:val="Title"/>
    <w:basedOn w:val="Normal"/>
    <w:next w:val="Normal"/>
    <w:link w:val="TtuloCar"/>
    <w:uiPriority w:val="10"/>
    <w:qFormat/>
    <w:rsid w:val="00835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55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55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55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55BE"/>
    <w:pPr>
      <w:spacing w:before="160"/>
      <w:jc w:val="center"/>
    </w:pPr>
    <w:rPr>
      <w:i/>
      <w:iCs/>
      <w:color w:val="404040" w:themeColor="text1" w:themeTint="BF"/>
    </w:rPr>
  </w:style>
  <w:style w:type="character" w:customStyle="1" w:styleId="CitaCar">
    <w:name w:val="Cita Car"/>
    <w:basedOn w:val="Fuentedeprrafopredeter"/>
    <w:link w:val="Cita"/>
    <w:uiPriority w:val="29"/>
    <w:rsid w:val="008355BE"/>
    <w:rPr>
      <w:i/>
      <w:iCs/>
      <w:color w:val="404040" w:themeColor="text1" w:themeTint="BF"/>
    </w:rPr>
  </w:style>
  <w:style w:type="paragraph" w:styleId="Prrafodelista">
    <w:name w:val="List Paragraph"/>
    <w:basedOn w:val="Normal"/>
    <w:uiPriority w:val="34"/>
    <w:qFormat/>
    <w:rsid w:val="008355BE"/>
    <w:pPr>
      <w:ind w:left="720"/>
      <w:contextualSpacing/>
    </w:pPr>
  </w:style>
  <w:style w:type="character" w:styleId="nfasisintenso">
    <w:name w:val="Intense Emphasis"/>
    <w:basedOn w:val="Fuentedeprrafopredeter"/>
    <w:uiPriority w:val="21"/>
    <w:qFormat/>
    <w:rsid w:val="008355BE"/>
    <w:rPr>
      <w:i/>
      <w:iCs/>
      <w:color w:val="0F4761" w:themeColor="accent1" w:themeShade="BF"/>
    </w:rPr>
  </w:style>
  <w:style w:type="paragraph" w:styleId="Citadestacada">
    <w:name w:val="Intense Quote"/>
    <w:basedOn w:val="Normal"/>
    <w:next w:val="Normal"/>
    <w:link w:val="CitadestacadaCar"/>
    <w:uiPriority w:val="30"/>
    <w:qFormat/>
    <w:rsid w:val="00835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55BE"/>
    <w:rPr>
      <w:i/>
      <w:iCs/>
      <w:color w:val="0F4761" w:themeColor="accent1" w:themeShade="BF"/>
    </w:rPr>
  </w:style>
  <w:style w:type="character" w:styleId="Referenciaintensa">
    <w:name w:val="Intense Reference"/>
    <w:basedOn w:val="Fuentedeprrafopredeter"/>
    <w:uiPriority w:val="32"/>
    <w:qFormat/>
    <w:rsid w:val="008355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3753</Characters>
  <Application>Microsoft Office Word</Application>
  <DocSecurity>0</DocSecurity>
  <Lines>31</Lines>
  <Paragraphs>8</Paragraphs>
  <ScaleCrop>false</ScaleCrop>
  <Company>HP Inc.</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4</cp:revision>
  <dcterms:created xsi:type="dcterms:W3CDTF">2025-05-29T12:04:00Z</dcterms:created>
  <dcterms:modified xsi:type="dcterms:W3CDTF">2025-06-02T11:52:00Z</dcterms:modified>
</cp:coreProperties>
</file>