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8B060" w14:textId="2E3E56E4" w:rsidR="00FA171C" w:rsidRPr="003D3B1D" w:rsidRDefault="00C13607" w:rsidP="00FA171C">
      <w:pPr>
        <w:pStyle w:val="Default"/>
        <w:spacing w:line="360" w:lineRule="auto"/>
        <w:rPr>
          <w:sz w:val="22"/>
          <w:szCs w:val="22"/>
          <w:rFonts w:ascii="Calibri" w:hAnsi="Calibri" w:cs="Calibri"/>
        </w:rPr>
      </w:pPr>
      <w:r>
        <w:rPr>
          <w:sz w:val="22"/>
          <w:rFonts w:ascii="Calibri" w:hAnsi="Calibri"/>
        </w:rPr>
        <w:t xml:space="preserve">2025eko apirilaren 8a</w:t>
      </w:r>
    </w:p>
    <w:p w14:paraId="3443528E" w14:textId="77777777" w:rsidR="009375B6" w:rsidRPr="003D3B1D" w:rsidRDefault="005C5D95" w:rsidP="009375B6">
      <w:pPr>
        <w:autoSpaceDE w:val="0"/>
        <w:autoSpaceDN w:val="0"/>
        <w:adjustRightInd w:val="0"/>
        <w:spacing w:line="360" w:lineRule="auto"/>
        <w:jc w:val="both"/>
        <w:rPr>
          <w:sz w:val="22"/>
          <w:szCs w:val="22"/>
          <w:rFonts w:ascii="Calibri" w:hAnsi="Calibri" w:cs="Calibri"/>
        </w:rPr>
      </w:pPr>
      <w:r>
        <w:rPr>
          <w:sz w:val="22"/>
          <w:rFonts w:ascii="Calibri" w:hAnsi="Calibri"/>
        </w:rPr>
        <w:t xml:space="preserve">UPN talde parlamentarioari atxikitako foru parlamentari Francisco Javier Trigo Oubiña jaunak 2024an zehar Nafarroako Espazio Turistikoaren Kudeaketa Unitateak finkatzeko eta foru-komunitateko eskualdeetan turismoa indartzeko zer neurri eta ekintza garatu diren jakiteko egindako 11-25/PES-00131 informazio-eskaerarekin lotuta, honako hau jakinarazten dut Nafarroako Gobernuko Kultura, Kirol eta Turismoko kontseilaria naizen aldetik:</w:t>
      </w:r>
    </w:p>
    <w:p w14:paraId="15C2D8D8" w14:textId="77777777" w:rsidR="00B964D8" w:rsidRPr="003D3B1D" w:rsidRDefault="00B964D8" w:rsidP="00B964D8">
      <w:pPr>
        <w:spacing w:before="240" w:line="360" w:lineRule="auto"/>
        <w:jc w:val="both"/>
        <w:rPr>
          <w:sz w:val="22"/>
          <w:szCs w:val="22"/>
          <w:rFonts w:ascii="Calibri" w:hAnsi="Calibri" w:cs="Calibri"/>
        </w:rPr>
      </w:pPr>
      <w:r>
        <w:rPr>
          <w:sz w:val="22"/>
          <w:rFonts w:ascii="Calibri" w:hAnsi="Calibri"/>
        </w:rPr>
        <w:t xml:space="preserve">Nafarroako Espazio Turistikoaren Kudeaketa Unitateak 2021n jarri ziren martxan.</w:t>
      </w:r>
      <w:r>
        <w:rPr>
          <w:sz w:val="22"/>
          <w:rFonts w:ascii="Calibri" w:hAnsi="Calibri"/>
        </w:rPr>
        <w:t xml:space="preserve"> </w:t>
      </w:r>
    </w:p>
    <w:p w14:paraId="6F05A657" w14:textId="77777777" w:rsidR="00B964D8" w:rsidRPr="003D3B1D" w:rsidRDefault="00B964D8" w:rsidP="00B964D8">
      <w:pPr>
        <w:spacing w:before="240" w:line="360" w:lineRule="auto"/>
        <w:jc w:val="both"/>
        <w:rPr>
          <w:sz w:val="22"/>
          <w:szCs w:val="22"/>
          <w:rFonts w:ascii="Calibri" w:hAnsi="Calibri" w:cs="Calibri"/>
        </w:rPr>
      </w:pPr>
      <w:r>
        <w:rPr>
          <w:sz w:val="22"/>
          <w:rFonts w:ascii="Calibri" w:hAnsi="Calibri"/>
        </w:rPr>
        <w:t xml:space="preserve">Espazio Turistikoaren Kudeaketa Unitateak espazio turistikoaren kudeaketa koordinatzeko eta lankidetza bultzatzeko udalez gaindiko erakundeak dira, eta, bertan, Nafarroako eragile turistiko nagusiek parte hartzen dute, Turismo Zuzendaritza Nagusiaren bultzadarekin.</w:t>
      </w:r>
      <w:r>
        <w:rPr>
          <w:sz w:val="22"/>
          <w:rFonts w:ascii="Calibri" w:hAnsi="Calibri"/>
        </w:rPr>
        <w:t xml:space="preserve"> </w:t>
      </w:r>
      <w:r>
        <w:rPr>
          <w:sz w:val="22"/>
          <w:rFonts w:ascii="Calibri" w:hAnsi="Calibri"/>
        </w:rPr>
        <w:t xml:space="preserve">Turismoaren garapena laguntzea dute helburu, ardatz hartuta gobernantza, produktuaren sorkuntza eta garapena, sustapena, merkaturatzea, finantzazioa eta emaitzen ebaluazioa.</w:t>
      </w:r>
      <w:r>
        <w:rPr>
          <w:sz w:val="22"/>
          <w:rFonts w:ascii="Calibri" w:hAnsi="Calibri"/>
        </w:rPr>
        <w:t xml:space="preserve"> </w:t>
      </w:r>
    </w:p>
    <w:p w14:paraId="46CB4992" w14:textId="77777777" w:rsidR="00B964D8" w:rsidRPr="003D3B1D" w:rsidRDefault="00B964D8" w:rsidP="00B964D8">
      <w:pPr>
        <w:spacing w:before="240" w:line="360" w:lineRule="auto"/>
        <w:jc w:val="both"/>
        <w:rPr>
          <w:sz w:val="22"/>
          <w:szCs w:val="22"/>
          <w:rFonts w:ascii="Calibri" w:hAnsi="Calibri" w:cs="Calibri"/>
        </w:rPr>
      </w:pPr>
      <w:r>
        <w:rPr>
          <w:sz w:val="22"/>
          <w:rFonts w:ascii="Calibri" w:hAnsi="Calibri"/>
        </w:rPr>
        <w:t xml:space="preserve">Honakoak dira Espazio Turistikoaren Kudeaketa Unitateen helburu nagusiak:</w:t>
      </w:r>
    </w:p>
    <w:p w14:paraId="7FD24A84" w14:textId="77777777" w:rsidR="00B964D8" w:rsidRPr="003D3B1D" w:rsidRDefault="00B964D8" w:rsidP="00B964D8">
      <w:pPr>
        <w:numPr>
          <w:ilvl w:val="0"/>
          <w:numId w:val="13"/>
        </w:numPr>
        <w:spacing w:before="240" w:after="160" w:line="360" w:lineRule="auto"/>
        <w:jc w:val="both"/>
        <w:rPr>
          <w:sz w:val="22"/>
          <w:szCs w:val="22"/>
          <w:rFonts w:ascii="Calibri" w:hAnsi="Calibri" w:cs="Calibri"/>
        </w:rPr>
      </w:pPr>
      <w:r>
        <w:rPr>
          <w:sz w:val="22"/>
          <w:rFonts w:ascii="Calibri" w:hAnsi="Calibri"/>
        </w:rPr>
        <w:t xml:space="preserve">Nafarroako estrategia turistiko globala eskualde bakoitzera eramatea.</w:t>
      </w:r>
    </w:p>
    <w:p w14:paraId="41819A0C" w14:textId="77777777" w:rsidR="00B964D8" w:rsidRPr="003D3B1D" w:rsidRDefault="00B964D8" w:rsidP="00B964D8">
      <w:pPr>
        <w:numPr>
          <w:ilvl w:val="0"/>
          <w:numId w:val="13"/>
        </w:numPr>
        <w:spacing w:before="240" w:after="160" w:line="360" w:lineRule="auto"/>
        <w:jc w:val="both"/>
        <w:rPr>
          <w:sz w:val="22"/>
          <w:szCs w:val="22"/>
          <w:rFonts w:ascii="Calibri" w:hAnsi="Calibri" w:cs="Calibri"/>
        </w:rPr>
      </w:pPr>
      <w:r>
        <w:rPr>
          <w:sz w:val="22"/>
          <w:rFonts w:ascii="Calibri" w:hAnsi="Calibri"/>
        </w:rPr>
        <w:t xml:space="preserve">Jarduera turistikoaren kohesioa eta koordinazioa bermatzea Nafarroa guztian.</w:t>
      </w:r>
    </w:p>
    <w:p w14:paraId="23FF8E03" w14:textId="77777777" w:rsidR="00B964D8" w:rsidRPr="003D3B1D" w:rsidRDefault="00B964D8" w:rsidP="00B964D8">
      <w:pPr>
        <w:numPr>
          <w:ilvl w:val="0"/>
          <w:numId w:val="13"/>
        </w:numPr>
        <w:spacing w:before="240" w:after="160" w:line="360" w:lineRule="auto"/>
        <w:jc w:val="both"/>
        <w:rPr>
          <w:sz w:val="22"/>
          <w:szCs w:val="22"/>
          <w:rFonts w:ascii="Calibri" w:hAnsi="Calibri" w:cs="Calibri"/>
        </w:rPr>
      </w:pPr>
      <w:r>
        <w:rPr>
          <w:sz w:val="22"/>
          <w:rFonts w:ascii="Calibri" w:hAnsi="Calibri"/>
        </w:rPr>
        <w:t xml:space="preserve">Eragile turistikoak koordinatzea eta aholkatzea, bai eta tokian toki euren lehiakortasuna hobetzen laguntzea ere.</w:t>
      </w:r>
    </w:p>
    <w:p w14:paraId="5417C4F1" w14:textId="4E56610C" w:rsidR="009375B6" w:rsidRPr="003D3B1D" w:rsidRDefault="00B964D8" w:rsidP="00B964D8">
      <w:pPr>
        <w:numPr>
          <w:ilvl w:val="0"/>
          <w:numId w:val="13"/>
        </w:numPr>
        <w:spacing w:before="240" w:after="160" w:line="360" w:lineRule="auto"/>
        <w:jc w:val="both"/>
        <w:rPr>
          <w:sz w:val="22"/>
          <w:szCs w:val="22"/>
          <w:rFonts w:ascii="Calibri" w:hAnsi="Calibri" w:cs="Calibri"/>
        </w:rPr>
      </w:pPr>
      <w:r>
        <w:rPr>
          <w:sz w:val="22"/>
          <w:rFonts w:ascii="Calibri" w:hAnsi="Calibri"/>
        </w:rPr>
        <w:t xml:space="preserve">Turistari helmugan harrera eta arreta emateko sare bat izatea, tokiko turismo-ehunaren ezagutza eta protagonismo handiagoarekin.</w:t>
      </w:r>
    </w:p>
    <w:p w14:paraId="2EEB4039" w14:textId="77777777" w:rsidR="00B964D8" w:rsidRPr="003D3B1D" w:rsidRDefault="00B964D8" w:rsidP="00B964D8">
      <w:pPr>
        <w:spacing w:before="240" w:line="360" w:lineRule="auto"/>
        <w:jc w:val="both"/>
        <w:rPr>
          <w:sz w:val="22"/>
          <w:szCs w:val="22"/>
          <w:rFonts w:ascii="Calibri" w:hAnsi="Calibri" w:cs="Calibri"/>
        </w:rPr>
      </w:pPr>
      <w:r>
        <w:rPr>
          <w:sz w:val="22"/>
          <w:rFonts w:ascii="Calibri" w:hAnsi="Calibri"/>
        </w:rPr>
        <w:t xml:space="preserve">Lurraldeko eragile publikoen eta pribatuen artean elkarlanean egindako azterketaren ondoren, Nafarroa zortzi Espazio Turistikoaren Kudeaketa Unitatetan banatzea erabaki zen, honakoak zehazki:</w:t>
      </w:r>
    </w:p>
    <w:p w14:paraId="120B890D" w14:textId="77777777" w:rsidR="00B964D8" w:rsidRPr="003D3B1D" w:rsidRDefault="00B964D8" w:rsidP="00B964D8">
      <w:pPr>
        <w:pStyle w:val="Prrafodelista"/>
        <w:numPr>
          <w:ilvl w:val="0"/>
          <w:numId w:val="10"/>
        </w:numPr>
        <w:spacing w:before="240" w:after="160" w:line="360" w:lineRule="auto"/>
        <w:contextualSpacing/>
        <w:jc w:val="both"/>
        <w:rPr>
          <w:sz w:val="22"/>
          <w:szCs w:val="22"/>
          <w:rFonts w:ascii="Calibri" w:hAnsi="Calibri" w:cs="Calibri"/>
        </w:rPr>
      </w:pPr>
      <w:r>
        <w:rPr>
          <w:sz w:val="22"/>
          <w:rFonts w:ascii="Calibri" w:hAnsi="Calibri"/>
        </w:rPr>
        <w:t xml:space="preserve">Erribera</w:t>
      </w:r>
    </w:p>
    <w:p w14:paraId="5F956FFE" w14:textId="77777777" w:rsidR="00B964D8" w:rsidRPr="003D3B1D" w:rsidRDefault="00B964D8" w:rsidP="00B964D8">
      <w:pPr>
        <w:pStyle w:val="Prrafodelista"/>
        <w:numPr>
          <w:ilvl w:val="0"/>
          <w:numId w:val="10"/>
        </w:numPr>
        <w:spacing w:before="240" w:after="160" w:line="360" w:lineRule="auto"/>
        <w:contextualSpacing/>
        <w:jc w:val="both"/>
        <w:rPr>
          <w:sz w:val="22"/>
          <w:szCs w:val="22"/>
          <w:rFonts w:ascii="Calibri" w:hAnsi="Calibri" w:cs="Calibri"/>
        </w:rPr>
      </w:pPr>
      <w:r>
        <w:rPr>
          <w:sz w:val="22"/>
          <w:rFonts w:ascii="Calibri" w:hAnsi="Calibri"/>
        </w:rPr>
        <w:t xml:space="preserve">Erdialdea</w:t>
      </w:r>
      <w:r>
        <w:rPr>
          <w:sz w:val="22"/>
          <w:rFonts w:ascii="Calibri" w:hAnsi="Calibri"/>
        </w:rPr>
        <w:t xml:space="preserve"> </w:t>
      </w:r>
    </w:p>
    <w:p w14:paraId="02F64CED" w14:textId="77777777" w:rsidR="00B964D8" w:rsidRPr="003D3B1D" w:rsidRDefault="00B964D8" w:rsidP="00B964D8">
      <w:pPr>
        <w:pStyle w:val="Prrafodelista"/>
        <w:numPr>
          <w:ilvl w:val="0"/>
          <w:numId w:val="10"/>
        </w:numPr>
        <w:spacing w:before="240" w:after="160" w:line="360" w:lineRule="auto"/>
        <w:contextualSpacing/>
        <w:jc w:val="both"/>
        <w:rPr>
          <w:sz w:val="22"/>
          <w:szCs w:val="22"/>
          <w:rFonts w:ascii="Calibri" w:hAnsi="Calibri" w:cs="Calibri"/>
        </w:rPr>
      </w:pPr>
      <w:r>
        <w:rPr>
          <w:sz w:val="22"/>
          <w:rFonts w:ascii="Calibri" w:hAnsi="Calibri"/>
        </w:rPr>
        <w:t xml:space="preserve">Estellerria</w:t>
      </w:r>
    </w:p>
    <w:p w14:paraId="3DF1D7EB" w14:textId="77777777" w:rsidR="00B964D8" w:rsidRPr="003D3B1D" w:rsidRDefault="00B964D8" w:rsidP="00B964D8">
      <w:pPr>
        <w:pStyle w:val="Prrafodelista"/>
        <w:numPr>
          <w:ilvl w:val="0"/>
          <w:numId w:val="10"/>
        </w:numPr>
        <w:spacing w:before="240" w:after="160" w:line="360" w:lineRule="auto"/>
        <w:contextualSpacing/>
        <w:jc w:val="both"/>
        <w:rPr>
          <w:sz w:val="22"/>
          <w:szCs w:val="22"/>
          <w:rFonts w:ascii="Calibri" w:hAnsi="Calibri" w:cs="Calibri"/>
        </w:rPr>
      </w:pPr>
      <w:r>
        <w:rPr>
          <w:sz w:val="22"/>
          <w:rFonts w:ascii="Calibri" w:hAnsi="Calibri"/>
        </w:rPr>
        <w:t xml:space="preserve">Iruña eta Iruñerria</w:t>
      </w:r>
    </w:p>
    <w:p w14:paraId="01F53894" w14:textId="77777777" w:rsidR="00B964D8" w:rsidRPr="003D3B1D" w:rsidRDefault="00B964D8" w:rsidP="00B964D8">
      <w:pPr>
        <w:pStyle w:val="Prrafodelista"/>
        <w:numPr>
          <w:ilvl w:val="0"/>
          <w:numId w:val="10"/>
        </w:numPr>
        <w:spacing w:before="240" w:after="160" w:line="360" w:lineRule="auto"/>
        <w:contextualSpacing/>
        <w:jc w:val="both"/>
        <w:rPr>
          <w:sz w:val="22"/>
          <w:szCs w:val="22"/>
          <w:rFonts w:ascii="Calibri" w:hAnsi="Calibri" w:cs="Calibri"/>
        </w:rPr>
      </w:pPr>
      <w:r>
        <w:rPr>
          <w:sz w:val="22"/>
          <w:rFonts w:ascii="Calibri" w:hAnsi="Calibri"/>
        </w:rPr>
        <w:t xml:space="preserve">Zangozerria eta Pirinioaurrea</w:t>
      </w:r>
    </w:p>
    <w:p w14:paraId="378846F4" w14:textId="77777777" w:rsidR="00B964D8" w:rsidRPr="003D3B1D" w:rsidRDefault="00B964D8" w:rsidP="00B964D8">
      <w:pPr>
        <w:pStyle w:val="Prrafodelista"/>
        <w:numPr>
          <w:ilvl w:val="0"/>
          <w:numId w:val="10"/>
        </w:numPr>
        <w:spacing w:before="240" w:after="160" w:line="360" w:lineRule="auto"/>
        <w:contextualSpacing/>
        <w:jc w:val="both"/>
        <w:rPr>
          <w:sz w:val="22"/>
          <w:szCs w:val="22"/>
          <w:rFonts w:ascii="Calibri" w:hAnsi="Calibri" w:cs="Calibri"/>
        </w:rPr>
      </w:pPr>
      <w:r>
        <w:rPr>
          <w:sz w:val="22"/>
          <w:rFonts w:ascii="Calibri" w:hAnsi="Calibri"/>
        </w:rPr>
        <w:t xml:space="preserve">Pirinioak</w:t>
      </w:r>
    </w:p>
    <w:p w14:paraId="0216D989" w14:textId="77777777" w:rsidR="00B964D8" w:rsidRPr="003D3B1D" w:rsidRDefault="00B964D8" w:rsidP="00B964D8">
      <w:pPr>
        <w:pStyle w:val="Prrafodelista"/>
        <w:numPr>
          <w:ilvl w:val="0"/>
          <w:numId w:val="10"/>
        </w:numPr>
        <w:spacing w:before="240" w:after="160" w:line="360" w:lineRule="auto"/>
        <w:contextualSpacing/>
        <w:jc w:val="both"/>
        <w:rPr>
          <w:sz w:val="22"/>
          <w:szCs w:val="22"/>
          <w:rFonts w:ascii="Calibri" w:hAnsi="Calibri" w:cs="Calibri"/>
        </w:rPr>
      </w:pPr>
      <w:r>
        <w:rPr>
          <w:sz w:val="22"/>
          <w:rFonts w:ascii="Calibri" w:hAnsi="Calibri"/>
        </w:rPr>
        <w:t xml:space="preserve">Baztan – Bidasoa</w:t>
      </w:r>
    </w:p>
    <w:p w14:paraId="41A40D8C" w14:textId="77777777" w:rsidR="00B964D8" w:rsidRPr="003D3B1D" w:rsidRDefault="00B964D8" w:rsidP="00B964D8">
      <w:pPr>
        <w:pStyle w:val="Prrafodelista"/>
        <w:numPr>
          <w:ilvl w:val="0"/>
          <w:numId w:val="10"/>
        </w:numPr>
        <w:spacing w:before="240" w:after="160" w:line="360" w:lineRule="auto"/>
        <w:contextualSpacing/>
        <w:jc w:val="both"/>
        <w:rPr>
          <w:sz w:val="22"/>
          <w:szCs w:val="22"/>
          <w:rFonts w:ascii="Calibri" w:hAnsi="Calibri" w:cs="Calibri"/>
        </w:rPr>
      </w:pPr>
      <w:r>
        <w:rPr>
          <w:sz w:val="22"/>
          <w:rFonts w:ascii="Calibri" w:hAnsi="Calibri"/>
        </w:rPr>
        <w:t xml:space="preserve">Plazaola – Sakana – Ultzama</w:t>
      </w:r>
    </w:p>
    <w:p w14:paraId="4DA89737" w14:textId="77777777" w:rsidR="009375B6" w:rsidRPr="003D3B1D" w:rsidRDefault="00B964D8" w:rsidP="00B964D8">
      <w:pPr>
        <w:spacing w:before="240" w:line="360" w:lineRule="auto"/>
        <w:jc w:val="both"/>
        <w:rPr>
          <w:sz w:val="22"/>
          <w:szCs w:val="22"/>
          <w:rFonts w:ascii="Calibri" w:hAnsi="Calibri" w:cs="Calibri"/>
        </w:rPr>
      </w:pPr>
      <w:r>
        <w:rPr>
          <w:sz w:val="22"/>
          <w:rFonts w:ascii="Calibri" w:hAnsi="Calibri"/>
        </w:rPr>
        <w:t xml:space="preserve">Espazio Turistikoaren Kudeaketa Unitateak ezartzeak turismoa kudeatzeko eredu berri bat ekarri du Nafarroara, turismoaren sektoreko eragileen eta foru-administrazioaren arteko koordinazioa hobetu du Turismo Zuzendaritza Nagusiaren bitartez, eta foru-komunitateko eskualde ezberdinetan turismoa hobetzea eta indartzea ahalbidetu du.</w:t>
      </w:r>
    </w:p>
    <w:p w14:paraId="57BE0447" w14:textId="77777777" w:rsidR="00B964D8" w:rsidRPr="003D3B1D" w:rsidRDefault="00B964D8" w:rsidP="00B964D8">
      <w:pPr>
        <w:spacing w:before="240" w:line="360" w:lineRule="auto"/>
        <w:jc w:val="both"/>
        <w:rPr>
          <w:sz w:val="22"/>
          <w:szCs w:val="22"/>
          <w:rFonts w:ascii="Calibri" w:hAnsi="Calibri" w:cs="Calibri"/>
        </w:rPr>
      </w:pPr>
      <w:r>
        <w:rPr>
          <w:sz w:val="22"/>
          <w:rFonts w:ascii="Calibri" w:hAnsi="Calibri"/>
        </w:rPr>
        <w:t xml:space="preserve">Gobernantza eredu berria funtsezko bi elementuren inguruan artikulatzen da: Batzorde Teknikoa eta Ekintza Plana.</w:t>
      </w:r>
    </w:p>
    <w:p w14:paraId="2FB6F5D4" w14:textId="6D07CEC5" w:rsidR="00B964D8" w:rsidRPr="003D3B1D" w:rsidRDefault="00B964D8" w:rsidP="00B964D8">
      <w:pPr>
        <w:spacing w:before="240" w:line="360" w:lineRule="auto"/>
        <w:jc w:val="both"/>
        <w:rPr>
          <w:sz w:val="22"/>
          <w:szCs w:val="22"/>
          <w:rFonts w:ascii="Calibri" w:hAnsi="Calibri" w:cs="Calibri"/>
        </w:rPr>
      </w:pPr>
      <w:r>
        <w:rPr>
          <w:sz w:val="22"/>
          <w:b/>
          <w:b/>
          <w:bCs/>
          <w:b/>
          <w:bCs/>
          <w:b/>
          <w:bCs/>
          <w:b/>
          <w:bCs/>
          <w:rFonts w:ascii="Calibri" w:hAnsi="Calibri"/>
        </w:rPr>
        <w:t xml:space="preserve">Batzorde Teknikoa</w:t>
      </w:r>
      <w:r>
        <w:rPr>
          <w:sz w:val="22"/>
          <w:rFonts w:ascii="Calibri" w:hAnsi="Calibri"/>
        </w:rPr>
        <w:t xml:space="preserve"> osatzen dute eskualde bakoitzeko eragile publiko pribatuek (proiektu turistikoetan zeresana duten udalerria baino lurralde-eremu txikiagoko erakundeak, tokiko ekintza taldeak, partzuergoa, elkarte turistikoak eta beste), Turismo Zuzendaritzak eskualdean dituen teknikariek eta Turismo Bulegoko kide batek.</w:t>
      </w:r>
    </w:p>
    <w:p w14:paraId="19019E49" w14:textId="77777777" w:rsidR="00B964D8" w:rsidRPr="003D3B1D" w:rsidRDefault="00B964D8" w:rsidP="00B964D8">
      <w:pPr>
        <w:spacing w:before="240" w:line="360" w:lineRule="auto"/>
        <w:jc w:val="both"/>
        <w:rPr>
          <w:sz w:val="22"/>
          <w:szCs w:val="22"/>
          <w:rFonts w:ascii="Calibri" w:hAnsi="Calibri" w:cs="Calibri"/>
        </w:rPr>
      </w:pPr>
      <w:r>
        <w:rPr>
          <w:sz w:val="22"/>
          <w:rFonts w:ascii="Calibri" w:hAnsi="Calibri"/>
        </w:rPr>
        <w:t xml:space="preserve">Batzorde Teknikoa urtean hiru aldiz elkartzen da gutxienez eta arduratzen da eskualdeko jarduketa turistikoak koordinatzeaz, Ekintza Planaren jarraipena egiteaz, eskualdearen eta Zuzendaritza Nagusiaren informazio trukeaz eta eskualdeko ekimen turistikoak ezagutzeaz.</w:t>
      </w:r>
    </w:p>
    <w:p w14:paraId="6E2208F2" w14:textId="77777777" w:rsidR="00B964D8" w:rsidRPr="003D3B1D" w:rsidRDefault="00B964D8" w:rsidP="00B964D8">
      <w:pPr>
        <w:spacing w:before="240" w:line="360" w:lineRule="auto"/>
        <w:jc w:val="both"/>
        <w:rPr>
          <w:sz w:val="22"/>
          <w:szCs w:val="22"/>
          <w:rFonts w:ascii="Calibri" w:hAnsi="Calibri" w:cs="Calibri"/>
        </w:rPr>
      </w:pPr>
      <w:r>
        <w:rPr>
          <w:sz w:val="22"/>
          <w:b/>
          <w:bCs/>
          <w:rFonts w:ascii="Calibri" w:hAnsi="Calibri"/>
        </w:rPr>
        <w:t xml:space="preserve">Ekintza Plana</w:t>
      </w:r>
      <w:r>
        <w:rPr>
          <w:sz w:val="22"/>
          <w:rFonts w:ascii="Calibri" w:hAnsi="Calibri"/>
        </w:rPr>
        <w:t xml:space="preserve"> eskualde bakoitzeko garapen turistikoa planifikatzeko instrumentu gisa baliatzen den bide orria da.</w:t>
      </w:r>
      <w:r>
        <w:rPr>
          <w:sz w:val="22"/>
          <w:rFonts w:ascii="Calibri" w:hAnsi="Calibri"/>
        </w:rPr>
        <w:t xml:space="preserve"> </w:t>
      </w:r>
      <w:r>
        <w:rPr>
          <w:sz w:val="22"/>
          <w:rFonts w:ascii="Calibri" w:hAnsi="Calibri"/>
        </w:rPr>
        <w:t xml:space="preserve">Uneotan, NEXT GenerationsEU europar funtsak heldu eta gero, Espazio Turistikoaren Kudeaketa Unitate bakoitzaren </w:t>
      </w:r>
      <w:r>
        <w:rPr>
          <w:sz w:val="22"/>
          <w:b/>
          <w:rFonts w:ascii="Calibri" w:hAnsi="Calibri"/>
        </w:rPr>
        <w:t xml:space="preserve">Helmugako Jasangarritasun Turistikoko Plana</w:t>
      </w:r>
      <w:r>
        <w:rPr>
          <w:sz w:val="22"/>
          <w:rFonts w:ascii="Calibri" w:hAnsi="Calibri"/>
        </w:rPr>
        <w:t xml:space="preserve"> bilakatu da Ekintza Plana.</w:t>
      </w:r>
    </w:p>
    <w:p w14:paraId="2ABE0F1F" w14:textId="77777777" w:rsidR="00B964D8" w:rsidRPr="003D3B1D" w:rsidRDefault="00B964D8" w:rsidP="00B964D8">
      <w:pPr>
        <w:spacing w:before="240" w:line="360" w:lineRule="auto"/>
        <w:jc w:val="both"/>
        <w:rPr>
          <w:sz w:val="22"/>
          <w:szCs w:val="22"/>
          <w:rFonts w:ascii="Calibri" w:hAnsi="Calibri" w:cs="Calibri"/>
        </w:rPr>
      </w:pPr>
      <w:r>
        <w:rPr>
          <w:sz w:val="22"/>
          <w:rFonts w:ascii="Calibri" w:hAnsi="Calibri"/>
        </w:rPr>
        <w:t xml:space="preserve">Ezarritako antolaketa eredua, alegia, tokian tokiko eragileen eta Nafarroako Turismo Zuzendaritzaren arteko elkarlan eta kolaborazio estua, funtsezko tresna izan da NEXT GenerationsEU funtsen erabilera planifikatu eta gauzatzeko. Izan ere, funtsak Nafarroa guztian zehar era adostu, koherente eta homogeneoan banatzea ahalbidetu du, 100 udalerri baino gehiagotan proiektuak garatuz. Horrez gain, helmugen arteko kohesiorako jarduketak aurrera eramatea ahalbidetu du, toki-erakunde guztien eta enpresa turistikoen mesedetan.</w:t>
      </w:r>
    </w:p>
    <w:p w14:paraId="17A742BF" w14:textId="62D5F0E9" w:rsidR="009375B6" w:rsidRPr="003D3B1D" w:rsidRDefault="00B964D8" w:rsidP="00B964D8">
      <w:pPr>
        <w:spacing w:before="240" w:line="360" w:lineRule="auto"/>
        <w:jc w:val="both"/>
        <w:rPr>
          <w:sz w:val="22"/>
          <w:szCs w:val="22"/>
          <w:rFonts w:ascii="Calibri" w:hAnsi="Calibri" w:cs="Calibri"/>
        </w:rPr>
      </w:pPr>
      <w:r>
        <w:rPr>
          <w:sz w:val="22"/>
          <w:rFonts w:ascii="Calibri" w:hAnsi="Calibri"/>
        </w:rPr>
        <w:t xml:space="preserve">Azkenik, </w:t>
      </w:r>
      <w:r>
        <w:rPr>
          <w:sz w:val="22"/>
          <w:b/>
          <w:bCs/>
          <w:b/>
          <w:bCs/>
          <w:rFonts w:ascii="Calibri" w:hAnsi="Calibri"/>
        </w:rPr>
        <w:t xml:space="preserve">Helmugen Mahaia</w:t>
      </w:r>
      <w:r>
        <w:rPr>
          <w:sz w:val="22"/>
          <w:rFonts w:ascii="Calibri" w:hAnsi="Calibri"/>
        </w:rPr>
        <w:t xml:space="preserve"> ere aipatu behar da, 2024an martxan jarri zena. Bertan, Helmugako Jasangarritasun Turistikoko Plan bakoitzeko erakunde kudeatzaileen ordezkariak biltzen dira.</w:t>
      </w:r>
      <w:r>
        <w:rPr>
          <w:sz w:val="22"/>
          <w:rFonts w:ascii="Calibri" w:hAnsi="Calibri"/>
        </w:rPr>
        <w:t xml:space="preserve"> </w:t>
      </w:r>
      <w:r>
        <w:rPr>
          <w:sz w:val="22"/>
          <w:rFonts w:ascii="Calibri" w:hAnsi="Calibri"/>
        </w:rPr>
        <w:t xml:space="preserve">Helmugen Mahaiak koordinazioa indartzen du eta eskualde bakoitzeko jarduketek Nafarroa helmuga turistiko gisa indartzeko helburu komunarekin bat egiteko balio du.</w:t>
      </w:r>
    </w:p>
    <w:p w14:paraId="66F0D163" w14:textId="4487F588" w:rsidR="009375B6" w:rsidRPr="003D3B1D" w:rsidRDefault="00B964D8" w:rsidP="00B964D8">
      <w:pPr>
        <w:spacing w:before="240" w:line="360" w:lineRule="auto"/>
        <w:jc w:val="both"/>
        <w:rPr>
          <w:sz w:val="22"/>
          <w:szCs w:val="22"/>
          <w:rFonts w:ascii="Calibri" w:hAnsi="Calibri" w:cs="Calibri"/>
        </w:rPr>
      </w:pPr>
      <w:r>
        <w:rPr>
          <w:sz w:val="22"/>
          <w:rFonts w:ascii="Calibri" w:hAnsi="Calibri"/>
        </w:rPr>
        <w:t xml:space="preserve">OHARRA:</w:t>
      </w:r>
      <w:r>
        <w:rPr>
          <w:sz w:val="22"/>
          <w:rFonts w:ascii="Calibri" w:hAnsi="Calibri"/>
        </w:rPr>
        <w:t xml:space="preserve"> </w:t>
      </w:r>
      <w:r>
        <w:rPr>
          <w:sz w:val="22"/>
          <w:rFonts w:ascii="Calibri" w:hAnsi="Calibri"/>
        </w:rPr>
        <w:t xml:space="preserve">Informazio gehiago lor daiteke gure webgune profesionalean:</w:t>
      </w:r>
      <w:r>
        <w:rPr>
          <w:sz w:val="22"/>
          <w:rFonts w:ascii="Calibri" w:hAnsi="Calibri"/>
        </w:rPr>
        <w:t xml:space="preserve"> </w:t>
      </w:r>
      <w:hyperlink r:id="rId6" w:history="1">
        <w:r>
          <w:rPr>
            <w:rStyle w:val="Hipervnculo"/>
            <w:sz w:val="22"/>
            <w:rFonts w:ascii="Calibri" w:hAnsi="Calibri"/>
          </w:rPr>
          <w:t xml:space="preserve">https://turismoprofesional.navarra.es/eu/lurralde-garapena</w:t>
        </w:r>
      </w:hyperlink>
      <w:r>
        <w:rPr>
          <w:sz w:val="22"/>
          <w:rFonts w:ascii="Calibri" w:hAnsi="Calibri"/>
        </w:rPr>
        <w:t xml:space="preserve"> </w:t>
      </w:r>
    </w:p>
    <w:p w14:paraId="3F9DAFFC" w14:textId="77777777" w:rsidR="00B964D8" w:rsidRPr="003D3B1D" w:rsidRDefault="00B964D8" w:rsidP="00B964D8">
      <w:pPr>
        <w:spacing w:before="240" w:line="360" w:lineRule="auto"/>
        <w:jc w:val="both"/>
        <w:rPr>
          <w:sz w:val="22"/>
          <w:szCs w:val="22"/>
          <w:rFonts w:ascii="Calibri" w:hAnsi="Calibri" w:cs="Calibri"/>
        </w:rPr>
      </w:pPr>
      <w:r>
        <w:rPr>
          <w:sz w:val="22"/>
          <w:rFonts w:ascii="Calibri" w:hAnsi="Calibri"/>
        </w:rPr>
        <w:t xml:space="preserve">Nafarroako Espazio Turistikoaren Kudeaketa Unitateak egonkortzeko 2024an indarrean jarritako neurri eta ekintzei dagokienez, honako hauek izan dira:</w:t>
      </w:r>
    </w:p>
    <w:p w14:paraId="1F753B67" w14:textId="77777777" w:rsidR="00B964D8" w:rsidRPr="003D3B1D" w:rsidRDefault="00B964D8" w:rsidP="00B964D8">
      <w:pPr>
        <w:pStyle w:val="Prrafodelista"/>
        <w:numPr>
          <w:ilvl w:val="0"/>
          <w:numId w:val="11"/>
        </w:numPr>
        <w:spacing w:before="240" w:after="120" w:line="360" w:lineRule="auto"/>
        <w:ind w:left="714" w:hanging="357"/>
        <w:jc w:val="both"/>
        <w:rPr>
          <w:sz w:val="22"/>
          <w:szCs w:val="22"/>
          <w:rFonts w:ascii="Calibri" w:hAnsi="Calibri" w:cs="Calibri"/>
        </w:rPr>
      </w:pPr>
      <w:r>
        <w:rPr>
          <w:sz w:val="22"/>
          <w:rFonts w:ascii="Calibri" w:hAnsi="Calibri"/>
        </w:rPr>
        <w:t xml:space="preserve">Espazio Turistikoaren Kudeaketa Unitate bakoitzean urtero hiru bilera baino gehiago egin dira, hogeitik gora guztira. Sektoreko erakunde publikoen eta pribatuen 100 ordezkarik baino gehiagok parte hartu dute koordinazio bilerotan.</w:t>
      </w:r>
    </w:p>
    <w:p w14:paraId="6F74A4A0" w14:textId="79D62807" w:rsidR="00B964D8" w:rsidRPr="003D3B1D" w:rsidRDefault="00B964D8" w:rsidP="00B964D8">
      <w:pPr>
        <w:pStyle w:val="Prrafodelista"/>
        <w:numPr>
          <w:ilvl w:val="0"/>
          <w:numId w:val="11"/>
        </w:numPr>
        <w:spacing w:before="240" w:after="120" w:line="360" w:lineRule="auto"/>
        <w:ind w:left="714" w:hanging="357"/>
        <w:jc w:val="both"/>
        <w:rPr>
          <w:sz w:val="22"/>
          <w:szCs w:val="22"/>
          <w:rFonts w:ascii="Calibri" w:hAnsi="Calibri" w:cs="Calibri"/>
        </w:rPr>
      </w:pPr>
      <w:r>
        <w:rPr>
          <w:sz w:val="22"/>
          <w:rFonts w:ascii="Calibri" w:hAnsi="Calibri"/>
        </w:rPr>
        <w:t xml:space="preserve">Helmugako Jasangarritasun Turistikoko Planen gauzatzearen jarraipena egin da saio bakoitzean, askotariko gaiak jorratuz: unean uneko egoera, aurkitutako arazoak, planteatutako irtenbideak, informazio eskaerak, Turismo Zuzendaritza Nagusiaren bitartekaritza Nafarroako Gobernuko beste departamentuekin...</w:t>
      </w:r>
    </w:p>
    <w:p w14:paraId="68DC6F88" w14:textId="55A8ABCB" w:rsidR="00B964D8" w:rsidRPr="003D3B1D" w:rsidRDefault="00B964D8" w:rsidP="00B964D8">
      <w:pPr>
        <w:pStyle w:val="Prrafodelista"/>
        <w:numPr>
          <w:ilvl w:val="0"/>
          <w:numId w:val="11"/>
        </w:numPr>
        <w:spacing w:before="240" w:after="120" w:line="360" w:lineRule="auto"/>
        <w:ind w:left="714" w:hanging="357"/>
        <w:jc w:val="both"/>
        <w:rPr>
          <w:sz w:val="22"/>
          <w:szCs w:val="22"/>
          <w:rFonts w:ascii="Calibri" w:hAnsi="Calibri" w:cs="Calibri"/>
        </w:rPr>
      </w:pPr>
      <w:r>
        <w:rPr>
          <w:sz w:val="22"/>
          <w:rFonts w:ascii="Calibri" w:hAnsi="Calibri"/>
        </w:rPr>
        <w:t xml:space="preserve">Nafarroako eragileei Turismo Zuzendaritzak garatutako ekimenei buruzko informazioa ematea: laguntza deialdiak, zenbait arlotako irizpideak (marketina, produktu turistikoa eta beste), prestakuntza eskaintza...</w:t>
      </w:r>
    </w:p>
    <w:p w14:paraId="6BAF9357" w14:textId="77777777" w:rsidR="00B964D8" w:rsidRPr="003D3B1D" w:rsidRDefault="00B964D8" w:rsidP="00B964D8">
      <w:pPr>
        <w:pStyle w:val="Prrafodelista"/>
        <w:numPr>
          <w:ilvl w:val="0"/>
          <w:numId w:val="11"/>
        </w:numPr>
        <w:spacing w:before="240" w:after="120" w:line="360" w:lineRule="auto"/>
        <w:ind w:left="714" w:hanging="357"/>
        <w:jc w:val="both"/>
        <w:rPr>
          <w:sz w:val="22"/>
          <w:szCs w:val="22"/>
          <w:rFonts w:ascii="Calibri" w:hAnsi="Calibri" w:cs="Calibri"/>
        </w:rPr>
      </w:pPr>
      <w:r>
        <w:rPr>
          <w:sz w:val="22"/>
          <w:rFonts w:ascii="Calibri" w:hAnsi="Calibri"/>
        </w:rPr>
        <w:t xml:space="preserve">Whatsapp bidezko komunikazioko kanal bat sortzea Espazio Turistikoaren Kudeaketa Unitateko Batzorde Teknikoko kideen artean elkarren arteko komunikazioa hobetzeko.</w:t>
      </w:r>
    </w:p>
    <w:p w14:paraId="49B44FC4" w14:textId="77777777" w:rsidR="00B964D8" w:rsidRPr="003D3B1D" w:rsidRDefault="00B964D8" w:rsidP="00B964D8">
      <w:pPr>
        <w:pStyle w:val="Prrafodelista"/>
        <w:numPr>
          <w:ilvl w:val="0"/>
          <w:numId w:val="11"/>
        </w:numPr>
        <w:spacing w:before="240" w:after="120" w:line="360" w:lineRule="auto"/>
        <w:ind w:left="714" w:hanging="357"/>
        <w:jc w:val="both"/>
        <w:rPr>
          <w:sz w:val="22"/>
          <w:szCs w:val="22"/>
          <w:rFonts w:ascii="Calibri" w:hAnsi="Calibri" w:cs="Calibri"/>
        </w:rPr>
      </w:pPr>
      <w:r>
        <w:rPr>
          <w:sz w:val="22"/>
          <w:rFonts w:ascii="Calibri" w:hAnsi="Calibri"/>
        </w:rPr>
        <w:t xml:space="preserve">Espazio Turistikoaren Kudeaketa Unitatearen jardueraren berri ematea zenbait kanalen bidez: sare sozialak, turismoko informazio buletinak, prentsa oharrak eta beste.</w:t>
      </w:r>
    </w:p>
    <w:p w14:paraId="2564E00E" w14:textId="77777777" w:rsidR="00B964D8" w:rsidRPr="003D3B1D" w:rsidRDefault="00B964D8" w:rsidP="00B964D8">
      <w:pPr>
        <w:pStyle w:val="Prrafodelista"/>
        <w:numPr>
          <w:ilvl w:val="0"/>
          <w:numId w:val="11"/>
        </w:numPr>
        <w:spacing w:before="240" w:after="120" w:line="360" w:lineRule="auto"/>
        <w:ind w:left="708" w:hanging="357"/>
        <w:jc w:val="both"/>
        <w:rPr>
          <w:sz w:val="22"/>
          <w:szCs w:val="22"/>
          <w:rFonts w:ascii="Calibri" w:hAnsi="Calibri" w:cs="Calibri"/>
        </w:rPr>
      </w:pPr>
      <w:r>
        <w:rPr>
          <w:sz w:val="22"/>
          <w:rFonts w:ascii="Calibri" w:hAnsi="Calibri"/>
        </w:rPr>
        <w:t xml:space="preserve">Helmugen Mahaiaren zortzi bilera deitzea urtean.</w:t>
      </w:r>
      <w:r>
        <w:rPr>
          <w:sz w:val="22"/>
          <w:rFonts w:ascii="Calibri" w:hAnsi="Calibri"/>
        </w:rPr>
        <w:t xml:space="preserve"> </w:t>
      </w:r>
    </w:p>
    <w:p w14:paraId="29F4485D" w14:textId="77777777" w:rsidR="00B964D8" w:rsidRPr="003D3B1D" w:rsidRDefault="00B964D8" w:rsidP="00B964D8">
      <w:pPr>
        <w:pStyle w:val="Prrafodelista"/>
        <w:spacing w:before="240" w:after="120" w:line="360" w:lineRule="auto"/>
        <w:jc w:val="both"/>
        <w:rPr>
          <w:sz w:val="22"/>
          <w:szCs w:val="22"/>
          <w:rFonts w:ascii="Calibri" w:hAnsi="Calibri" w:cs="Calibri"/>
        </w:rPr>
      </w:pPr>
      <w:r>
        <w:rPr>
          <w:sz w:val="22"/>
          <w:rFonts w:ascii="Calibri" w:hAnsi="Calibri"/>
        </w:rPr>
        <w:t xml:space="preserve">Helmuga guztien arteko koordinazioa indartzeko, guzti-guztiok Nafarroa helmuga turistiko gisa sustatzeko lan egiten dugun ideia bultzatzeko, estrategia eta irizpide komunak ezarri dira arlo askotan, Helmugen Mahaiaren bileretan landu direnak.</w:t>
      </w:r>
      <w:r>
        <w:rPr>
          <w:sz w:val="22"/>
          <w:rFonts w:ascii="Calibri" w:hAnsi="Calibri"/>
        </w:rPr>
        <w:t xml:space="preserve"> </w:t>
      </w:r>
      <w:r>
        <w:rPr>
          <w:sz w:val="22"/>
          <w:rFonts w:ascii="Calibri" w:hAnsi="Calibri"/>
        </w:rPr>
        <w:t xml:space="preserve">Hona hemen </w:t>
      </w:r>
      <w:r>
        <w:rPr>
          <w:sz w:val="22"/>
          <w:b/>
          <w:bCs/>
          <w:rFonts w:ascii="Calibri" w:hAnsi="Calibri"/>
        </w:rPr>
        <w:t xml:space="preserve">lan arlo horietako batzuk</w:t>
      </w:r>
      <w:r>
        <w:rPr>
          <w:sz w:val="22"/>
          <w:rFonts w:ascii="Calibri" w:hAnsi="Calibri"/>
        </w:rPr>
        <w:t xml:space="preserve">:</w:t>
      </w:r>
    </w:p>
    <w:p w14:paraId="1B88D202" w14:textId="77777777" w:rsidR="00B964D8" w:rsidRPr="003D3B1D" w:rsidRDefault="00B964D8" w:rsidP="00B964D8">
      <w:pPr>
        <w:pStyle w:val="Prrafodelista"/>
        <w:numPr>
          <w:ilvl w:val="0"/>
          <w:numId w:val="12"/>
        </w:numPr>
        <w:spacing w:before="240" w:after="120" w:line="360" w:lineRule="auto"/>
        <w:contextualSpacing/>
        <w:jc w:val="both"/>
        <w:rPr>
          <w:sz w:val="22"/>
          <w:szCs w:val="22"/>
          <w:rFonts w:ascii="Calibri" w:hAnsi="Calibri" w:cs="Calibri"/>
        </w:rPr>
      </w:pPr>
      <w:r>
        <w:rPr>
          <w:sz w:val="22"/>
          <w:rFonts w:ascii="Calibri" w:hAnsi="Calibri"/>
        </w:rPr>
        <w:t xml:space="preserve">Bizikletan egiteko ibilbideak</w:t>
      </w:r>
    </w:p>
    <w:p w14:paraId="6AED4F5F" w14:textId="77777777" w:rsidR="00B964D8" w:rsidRPr="003D3B1D" w:rsidRDefault="00B964D8" w:rsidP="00B964D8">
      <w:pPr>
        <w:pStyle w:val="Prrafodelista"/>
        <w:numPr>
          <w:ilvl w:val="0"/>
          <w:numId w:val="12"/>
        </w:numPr>
        <w:spacing w:before="240" w:after="120" w:line="360" w:lineRule="auto"/>
        <w:contextualSpacing/>
        <w:jc w:val="both"/>
        <w:rPr>
          <w:sz w:val="22"/>
          <w:szCs w:val="22"/>
          <w:rFonts w:ascii="Calibri" w:hAnsi="Calibri" w:cs="Calibri"/>
        </w:rPr>
      </w:pPr>
      <w:r>
        <w:rPr>
          <w:sz w:val="22"/>
          <w:rFonts w:ascii="Calibri" w:hAnsi="Calibri"/>
        </w:rPr>
        <w:t xml:space="preserve">Naturguneen erabileraren kudeaketa</w:t>
      </w:r>
    </w:p>
    <w:p w14:paraId="2D0AD5A4" w14:textId="77777777" w:rsidR="00B964D8" w:rsidRPr="003D3B1D" w:rsidRDefault="00B964D8" w:rsidP="00B964D8">
      <w:pPr>
        <w:pStyle w:val="Prrafodelista"/>
        <w:numPr>
          <w:ilvl w:val="0"/>
          <w:numId w:val="12"/>
        </w:numPr>
        <w:spacing w:before="240" w:after="120" w:line="360" w:lineRule="auto"/>
        <w:contextualSpacing/>
        <w:jc w:val="both"/>
        <w:rPr>
          <w:sz w:val="22"/>
          <w:szCs w:val="22"/>
          <w:rFonts w:ascii="Calibri" w:hAnsi="Calibri" w:cs="Calibri"/>
        </w:rPr>
      </w:pPr>
      <w:r>
        <w:rPr>
          <w:sz w:val="22"/>
          <w:rFonts w:ascii="Calibri" w:hAnsi="Calibri"/>
        </w:rPr>
        <w:t xml:space="preserve">Informazio turistikoa</w:t>
      </w:r>
    </w:p>
    <w:p w14:paraId="13B2BE3C" w14:textId="77777777" w:rsidR="00B964D8" w:rsidRPr="003D3B1D" w:rsidRDefault="00B964D8" w:rsidP="00B964D8">
      <w:pPr>
        <w:pStyle w:val="Prrafodelista"/>
        <w:numPr>
          <w:ilvl w:val="0"/>
          <w:numId w:val="12"/>
        </w:numPr>
        <w:spacing w:before="240" w:after="120" w:line="360" w:lineRule="auto"/>
        <w:contextualSpacing/>
        <w:jc w:val="both"/>
        <w:rPr>
          <w:sz w:val="22"/>
          <w:szCs w:val="22"/>
          <w:rFonts w:ascii="Calibri" w:hAnsi="Calibri" w:cs="Calibri"/>
        </w:rPr>
      </w:pPr>
      <w:r>
        <w:rPr>
          <w:sz w:val="22"/>
          <w:rFonts w:ascii="Calibri" w:hAnsi="Calibri"/>
        </w:rPr>
        <w:t xml:space="preserve">Energia-efizientzia eta mugikortasun jasangarria</w:t>
      </w:r>
    </w:p>
    <w:p w14:paraId="4B38CC7A" w14:textId="77777777" w:rsidR="00B964D8" w:rsidRPr="003D3B1D" w:rsidRDefault="00B964D8" w:rsidP="00B964D8">
      <w:pPr>
        <w:pStyle w:val="Prrafodelista"/>
        <w:numPr>
          <w:ilvl w:val="0"/>
          <w:numId w:val="12"/>
        </w:numPr>
        <w:spacing w:before="240" w:after="120" w:line="360" w:lineRule="auto"/>
        <w:contextualSpacing/>
        <w:jc w:val="both"/>
        <w:rPr>
          <w:sz w:val="22"/>
          <w:szCs w:val="22"/>
          <w:rFonts w:ascii="Calibri" w:hAnsi="Calibri" w:cs="Calibri"/>
        </w:rPr>
      </w:pPr>
      <w:r>
        <w:rPr>
          <w:sz w:val="22"/>
          <w:rFonts w:ascii="Calibri" w:hAnsi="Calibri"/>
        </w:rPr>
        <w:t xml:space="preserve">Marketina</w:t>
      </w:r>
    </w:p>
    <w:p w14:paraId="5D094580" w14:textId="77777777" w:rsidR="00B964D8" w:rsidRPr="003D3B1D" w:rsidRDefault="00B964D8" w:rsidP="00B964D8">
      <w:pPr>
        <w:pStyle w:val="Prrafodelista"/>
        <w:numPr>
          <w:ilvl w:val="0"/>
          <w:numId w:val="12"/>
        </w:numPr>
        <w:spacing w:before="240" w:after="120" w:line="360" w:lineRule="auto"/>
        <w:contextualSpacing/>
        <w:jc w:val="both"/>
        <w:rPr>
          <w:sz w:val="22"/>
          <w:szCs w:val="22"/>
          <w:rFonts w:ascii="Calibri" w:hAnsi="Calibri" w:cs="Calibri"/>
        </w:rPr>
      </w:pPr>
      <w:r>
        <w:rPr>
          <w:sz w:val="22"/>
          <w:rFonts w:ascii="Calibri" w:hAnsi="Calibri"/>
        </w:rPr>
        <w:t xml:space="preserve">Inteligentzia turistikoa</w:t>
      </w:r>
    </w:p>
    <w:p w14:paraId="47BC2FE4" w14:textId="77777777" w:rsidR="00B964D8" w:rsidRPr="003D3B1D" w:rsidRDefault="00B964D8" w:rsidP="00B964D8">
      <w:pPr>
        <w:pStyle w:val="Prrafodelista"/>
        <w:numPr>
          <w:ilvl w:val="0"/>
          <w:numId w:val="12"/>
        </w:numPr>
        <w:spacing w:before="240" w:after="120" w:line="360" w:lineRule="auto"/>
        <w:contextualSpacing/>
        <w:jc w:val="both"/>
        <w:rPr>
          <w:sz w:val="22"/>
          <w:szCs w:val="22"/>
          <w:rFonts w:ascii="Calibri" w:hAnsi="Calibri" w:cs="Calibri"/>
        </w:rPr>
      </w:pPr>
      <w:r>
        <w:rPr>
          <w:sz w:val="22"/>
          <w:rFonts w:ascii="Calibri" w:hAnsi="Calibri"/>
        </w:rPr>
        <w:t xml:space="preserve">Produktuaren garapena</w:t>
      </w:r>
    </w:p>
    <w:p w14:paraId="1986295A" w14:textId="77777777" w:rsidR="00B964D8" w:rsidRPr="003D3B1D" w:rsidRDefault="00B964D8" w:rsidP="00B964D8">
      <w:pPr>
        <w:pStyle w:val="Prrafodelista"/>
        <w:numPr>
          <w:ilvl w:val="0"/>
          <w:numId w:val="12"/>
        </w:numPr>
        <w:spacing w:before="240" w:after="120" w:line="360" w:lineRule="auto"/>
        <w:contextualSpacing/>
        <w:jc w:val="both"/>
        <w:rPr>
          <w:sz w:val="22"/>
          <w:szCs w:val="22"/>
          <w:rFonts w:ascii="Calibri" w:hAnsi="Calibri" w:cs="Calibri"/>
        </w:rPr>
      </w:pPr>
      <w:r>
        <w:rPr>
          <w:sz w:val="22"/>
          <w:rFonts w:ascii="Calibri" w:hAnsi="Calibri"/>
        </w:rPr>
        <w:t xml:space="preserve">Jasangarritasuna, zirkularitatea eta inklusibitatea</w:t>
      </w:r>
    </w:p>
    <w:p w14:paraId="0814FF56" w14:textId="1604B795" w:rsidR="009375B6" w:rsidRPr="003D3B1D" w:rsidRDefault="00B964D8" w:rsidP="00B964D8">
      <w:pPr>
        <w:pStyle w:val="Prrafodelista"/>
        <w:numPr>
          <w:ilvl w:val="0"/>
          <w:numId w:val="12"/>
        </w:numPr>
        <w:spacing w:before="240" w:after="120" w:line="360" w:lineRule="auto"/>
        <w:contextualSpacing/>
        <w:jc w:val="both"/>
        <w:rPr>
          <w:sz w:val="22"/>
          <w:szCs w:val="22"/>
          <w:rFonts w:ascii="Calibri" w:hAnsi="Calibri" w:cs="Calibri"/>
        </w:rPr>
      </w:pPr>
      <w:r>
        <w:rPr>
          <w:sz w:val="22"/>
          <w:rFonts w:ascii="Calibri" w:hAnsi="Calibri"/>
        </w:rPr>
        <w:t xml:space="preserve">Seinaleak</w:t>
      </w:r>
    </w:p>
    <w:p w14:paraId="3761203C" w14:textId="4E0383E1" w:rsidR="00520FD6" w:rsidRPr="003D3B1D" w:rsidRDefault="00B964D8" w:rsidP="003D3B1D">
      <w:pPr>
        <w:spacing w:before="240" w:after="120" w:line="360" w:lineRule="auto"/>
        <w:jc w:val="both"/>
        <w:rPr>
          <w:sz w:val="22"/>
          <w:szCs w:val="22"/>
          <w:rFonts w:ascii="Calibri" w:hAnsi="Calibri" w:cs="Calibri"/>
        </w:rPr>
      </w:pPr>
      <w:r>
        <w:rPr>
          <w:sz w:val="22"/>
          <w:rFonts w:ascii="Calibri" w:hAnsi="Calibri"/>
        </w:rPr>
        <w:t xml:space="preserve">Aipatutako jarduketa guztiei esker, 2024a Espazio Turistikoaren Kudeaketa Unitateak finkatu ziren urtea bilakatu zen, eta, ondorioz, bistakoa bada ere uneotan NEXT funtsen ezohiko finantzaketaren ondorioz salbuespenezko urteak bizitzen ari garela, unitateok lanean jarraituko dute aurrerantzean ere.</w:t>
      </w:r>
    </w:p>
    <w:p w14:paraId="241E6C66" w14:textId="79548FB6" w:rsidR="00520FD6" w:rsidRPr="003D3B1D" w:rsidRDefault="00720B2A" w:rsidP="006B22A0">
      <w:pPr>
        <w:spacing w:line="360" w:lineRule="auto"/>
        <w:jc w:val="both"/>
        <w:rPr>
          <w:sz w:val="22"/>
          <w:szCs w:val="22"/>
          <w:rFonts w:ascii="Calibri" w:hAnsi="Calibri" w:cs="Calibri"/>
        </w:rPr>
      </w:pPr>
      <w:r>
        <w:rPr>
          <w:sz w:val="22"/>
          <w:rFonts w:ascii="Calibri" w:hAnsi="Calibri"/>
        </w:rPr>
        <w:t xml:space="preserve">Hori jakinarazten dut, Nafarroako Parlamentuko Erregelamenduaren 215. artikuluan xedatutakoa betez.</w:t>
      </w:r>
    </w:p>
    <w:p w14:paraId="046EC742" w14:textId="77777777" w:rsidR="005C5D95" w:rsidRPr="003D3B1D" w:rsidRDefault="00044E27" w:rsidP="003D3B1D">
      <w:pPr>
        <w:spacing w:line="360" w:lineRule="auto"/>
        <w:rPr>
          <w:sz w:val="22"/>
          <w:szCs w:val="22"/>
          <w:rFonts w:ascii="Calibri" w:hAnsi="Calibri" w:cs="Calibri"/>
        </w:rPr>
      </w:pPr>
      <w:r>
        <w:rPr>
          <w:sz w:val="22"/>
          <w:rFonts w:ascii="Calibri" w:hAnsi="Calibri"/>
        </w:rPr>
        <w:t xml:space="preserve">Iruñean, 2025eko apirilaren 7an</w:t>
      </w:r>
    </w:p>
    <w:p w14:paraId="61878FFE" w14:textId="28A4017C" w:rsidR="00D74EC4" w:rsidRPr="003D3B1D" w:rsidRDefault="003D3B1D" w:rsidP="003D3B1D">
      <w:pPr>
        <w:spacing w:line="360" w:lineRule="auto"/>
        <w:rPr>
          <w:sz w:val="22"/>
          <w:szCs w:val="22"/>
          <w:rFonts w:ascii="Calibri" w:hAnsi="Calibri" w:cs="Calibri"/>
        </w:rPr>
      </w:pPr>
      <w:r>
        <w:rPr>
          <w:sz w:val="22"/>
          <w:rFonts w:ascii="Calibri" w:hAnsi="Calibri"/>
        </w:rPr>
        <w:t xml:space="preserve">Kultura, Kirol eta Turismoko kontseilaria:</w:t>
      </w:r>
      <w:r>
        <w:rPr>
          <w:sz w:val="22"/>
          <w:rFonts w:ascii="Calibri" w:hAnsi="Calibri"/>
        </w:rPr>
        <w:t xml:space="preserve"> </w:t>
      </w:r>
      <w:r>
        <w:rPr>
          <w:sz w:val="22"/>
          <w:rFonts w:ascii="Calibri" w:hAnsi="Calibri"/>
        </w:rPr>
        <w:t xml:space="preserve">Rebeca Esnaola Bermejo</w:t>
      </w:r>
    </w:p>
    <w:sectPr w:rsidR="00D74EC4" w:rsidRPr="003D3B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E34A0B"/>
    <w:multiLevelType w:val="hybridMultilevel"/>
    <w:tmpl w:val="5DD05D3E"/>
    <w:lvl w:ilvl="0" w:tplc="2304CCE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941FF3"/>
    <w:multiLevelType w:val="hybridMultilevel"/>
    <w:tmpl w:val="EA1AB0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4" w15:restartNumberingAfterBreak="0">
    <w:nsid w:val="417C7D0A"/>
    <w:multiLevelType w:val="hybridMultilevel"/>
    <w:tmpl w:val="9228930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54EF1FF6"/>
    <w:multiLevelType w:val="hybridMultilevel"/>
    <w:tmpl w:val="D4E8676E"/>
    <w:lvl w:ilvl="0" w:tplc="4680FE86">
      <w:start w:val="1"/>
      <w:numFmt w:val="bullet"/>
      <w:lvlText w:val="•"/>
      <w:lvlJc w:val="left"/>
      <w:pPr>
        <w:tabs>
          <w:tab w:val="num" w:pos="720"/>
        </w:tabs>
        <w:ind w:left="720" w:hanging="360"/>
      </w:pPr>
      <w:rPr>
        <w:rFonts w:ascii="Arial" w:hAnsi="Arial" w:hint="default"/>
      </w:rPr>
    </w:lvl>
    <w:lvl w:ilvl="1" w:tplc="12DCDF9A" w:tentative="1">
      <w:start w:val="1"/>
      <w:numFmt w:val="bullet"/>
      <w:lvlText w:val="•"/>
      <w:lvlJc w:val="left"/>
      <w:pPr>
        <w:tabs>
          <w:tab w:val="num" w:pos="1440"/>
        </w:tabs>
        <w:ind w:left="1440" w:hanging="360"/>
      </w:pPr>
      <w:rPr>
        <w:rFonts w:ascii="Arial" w:hAnsi="Arial" w:hint="default"/>
      </w:rPr>
    </w:lvl>
    <w:lvl w:ilvl="2" w:tplc="B880A096" w:tentative="1">
      <w:start w:val="1"/>
      <w:numFmt w:val="bullet"/>
      <w:lvlText w:val="•"/>
      <w:lvlJc w:val="left"/>
      <w:pPr>
        <w:tabs>
          <w:tab w:val="num" w:pos="2160"/>
        </w:tabs>
        <w:ind w:left="2160" w:hanging="360"/>
      </w:pPr>
      <w:rPr>
        <w:rFonts w:ascii="Arial" w:hAnsi="Arial" w:hint="default"/>
      </w:rPr>
    </w:lvl>
    <w:lvl w:ilvl="3" w:tplc="026EA20A" w:tentative="1">
      <w:start w:val="1"/>
      <w:numFmt w:val="bullet"/>
      <w:lvlText w:val="•"/>
      <w:lvlJc w:val="left"/>
      <w:pPr>
        <w:tabs>
          <w:tab w:val="num" w:pos="2880"/>
        </w:tabs>
        <w:ind w:left="2880" w:hanging="360"/>
      </w:pPr>
      <w:rPr>
        <w:rFonts w:ascii="Arial" w:hAnsi="Arial" w:hint="default"/>
      </w:rPr>
    </w:lvl>
    <w:lvl w:ilvl="4" w:tplc="FB1627B6" w:tentative="1">
      <w:start w:val="1"/>
      <w:numFmt w:val="bullet"/>
      <w:lvlText w:val="•"/>
      <w:lvlJc w:val="left"/>
      <w:pPr>
        <w:tabs>
          <w:tab w:val="num" w:pos="3600"/>
        </w:tabs>
        <w:ind w:left="3600" w:hanging="360"/>
      </w:pPr>
      <w:rPr>
        <w:rFonts w:ascii="Arial" w:hAnsi="Arial" w:hint="default"/>
      </w:rPr>
    </w:lvl>
    <w:lvl w:ilvl="5" w:tplc="F11078AE" w:tentative="1">
      <w:start w:val="1"/>
      <w:numFmt w:val="bullet"/>
      <w:lvlText w:val="•"/>
      <w:lvlJc w:val="left"/>
      <w:pPr>
        <w:tabs>
          <w:tab w:val="num" w:pos="4320"/>
        </w:tabs>
        <w:ind w:left="4320" w:hanging="360"/>
      </w:pPr>
      <w:rPr>
        <w:rFonts w:ascii="Arial" w:hAnsi="Arial" w:hint="default"/>
      </w:rPr>
    </w:lvl>
    <w:lvl w:ilvl="6" w:tplc="17D6D0D8" w:tentative="1">
      <w:start w:val="1"/>
      <w:numFmt w:val="bullet"/>
      <w:lvlText w:val="•"/>
      <w:lvlJc w:val="left"/>
      <w:pPr>
        <w:tabs>
          <w:tab w:val="num" w:pos="5040"/>
        </w:tabs>
        <w:ind w:left="5040" w:hanging="360"/>
      </w:pPr>
      <w:rPr>
        <w:rFonts w:ascii="Arial" w:hAnsi="Arial" w:hint="default"/>
      </w:rPr>
    </w:lvl>
    <w:lvl w:ilvl="7" w:tplc="8CA62AE0" w:tentative="1">
      <w:start w:val="1"/>
      <w:numFmt w:val="bullet"/>
      <w:lvlText w:val="•"/>
      <w:lvlJc w:val="left"/>
      <w:pPr>
        <w:tabs>
          <w:tab w:val="num" w:pos="5760"/>
        </w:tabs>
        <w:ind w:left="5760" w:hanging="360"/>
      </w:pPr>
      <w:rPr>
        <w:rFonts w:ascii="Arial" w:hAnsi="Arial" w:hint="default"/>
      </w:rPr>
    </w:lvl>
    <w:lvl w:ilvl="8" w:tplc="4D366AC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5E0D7542"/>
    <w:multiLevelType w:val="hybridMultilevel"/>
    <w:tmpl w:val="15BC3010"/>
    <w:lvl w:ilvl="0" w:tplc="FD6844DC">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6CE271AD"/>
    <w:multiLevelType w:val="hybridMultilevel"/>
    <w:tmpl w:val="83A488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E4A520E"/>
    <w:multiLevelType w:val="hybridMultilevel"/>
    <w:tmpl w:val="6EE490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C423A48"/>
    <w:multiLevelType w:val="hybridMultilevel"/>
    <w:tmpl w:val="470E37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20826805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5489513">
    <w:abstractNumId w:val="6"/>
  </w:num>
  <w:num w:numId="3" w16cid:durableId="311519376">
    <w:abstractNumId w:val="0"/>
  </w:num>
  <w:num w:numId="4" w16cid:durableId="1867475181">
    <w:abstractNumId w:val="3"/>
  </w:num>
  <w:num w:numId="5" w16cid:durableId="2072925644">
    <w:abstractNumId w:val="10"/>
  </w:num>
  <w:num w:numId="6" w16cid:durableId="11748796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9448128">
    <w:abstractNumId w:val="11"/>
  </w:num>
  <w:num w:numId="8" w16cid:durableId="1449281626">
    <w:abstractNumId w:val="9"/>
  </w:num>
  <w:num w:numId="9" w16cid:durableId="1103964284">
    <w:abstractNumId w:val="1"/>
  </w:num>
  <w:num w:numId="10" w16cid:durableId="598179273">
    <w:abstractNumId w:val="8"/>
  </w:num>
  <w:num w:numId="11" w16cid:durableId="1214536751">
    <w:abstractNumId w:val="2"/>
  </w:num>
  <w:num w:numId="12" w16cid:durableId="1319580186">
    <w:abstractNumId w:val="4"/>
  </w:num>
  <w:num w:numId="13" w16cid:durableId="9576433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0591C"/>
    <w:rsid w:val="0003170E"/>
    <w:rsid w:val="00044E27"/>
    <w:rsid w:val="0008521E"/>
    <w:rsid w:val="000E24D0"/>
    <w:rsid w:val="00145C38"/>
    <w:rsid w:val="00165C78"/>
    <w:rsid w:val="00216707"/>
    <w:rsid w:val="00257D7A"/>
    <w:rsid w:val="002601DD"/>
    <w:rsid w:val="002B3F6C"/>
    <w:rsid w:val="002D47B3"/>
    <w:rsid w:val="002E62D5"/>
    <w:rsid w:val="003D3B1D"/>
    <w:rsid w:val="003E48EE"/>
    <w:rsid w:val="00436602"/>
    <w:rsid w:val="00444730"/>
    <w:rsid w:val="00461F32"/>
    <w:rsid w:val="00484F26"/>
    <w:rsid w:val="004D1ABC"/>
    <w:rsid w:val="004F146C"/>
    <w:rsid w:val="00512C90"/>
    <w:rsid w:val="00520FD6"/>
    <w:rsid w:val="005234C5"/>
    <w:rsid w:val="005322EF"/>
    <w:rsid w:val="00583BDA"/>
    <w:rsid w:val="00587A69"/>
    <w:rsid w:val="005C33C7"/>
    <w:rsid w:val="005C5D95"/>
    <w:rsid w:val="005F221C"/>
    <w:rsid w:val="00662FAB"/>
    <w:rsid w:val="006B22A0"/>
    <w:rsid w:val="00720B2A"/>
    <w:rsid w:val="00733746"/>
    <w:rsid w:val="0073496C"/>
    <w:rsid w:val="0075427A"/>
    <w:rsid w:val="007E509F"/>
    <w:rsid w:val="007F3173"/>
    <w:rsid w:val="0081139A"/>
    <w:rsid w:val="00842895"/>
    <w:rsid w:val="008432FA"/>
    <w:rsid w:val="008E03B3"/>
    <w:rsid w:val="009375B6"/>
    <w:rsid w:val="00996D1B"/>
    <w:rsid w:val="00A02DDE"/>
    <w:rsid w:val="00A37707"/>
    <w:rsid w:val="00A454EF"/>
    <w:rsid w:val="00A579F8"/>
    <w:rsid w:val="00B21AE8"/>
    <w:rsid w:val="00B700A2"/>
    <w:rsid w:val="00B77EAC"/>
    <w:rsid w:val="00B964D8"/>
    <w:rsid w:val="00BA1AD4"/>
    <w:rsid w:val="00BA5D83"/>
    <w:rsid w:val="00BB4A96"/>
    <w:rsid w:val="00C04996"/>
    <w:rsid w:val="00C117C2"/>
    <w:rsid w:val="00C13607"/>
    <w:rsid w:val="00C87D03"/>
    <w:rsid w:val="00CC68D2"/>
    <w:rsid w:val="00CF4C29"/>
    <w:rsid w:val="00D1626C"/>
    <w:rsid w:val="00D20825"/>
    <w:rsid w:val="00D74EC4"/>
    <w:rsid w:val="00DE3F08"/>
    <w:rsid w:val="00E57209"/>
    <w:rsid w:val="00E76858"/>
    <w:rsid w:val="00E94BB4"/>
    <w:rsid w:val="00EA3076"/>
    <w:rsid w:val="00EC3B62"/>
    <w:rsid w:val="00EE0D89"/>
    <w:rsid w:val="00F16AC7"/>
    <w:rsid w:val="00F31D35"/>
    <w:rsid w:val="00F51605"/>
    <w:rsid w:val="00F93377"/>
    <w:rsid w:val="00FA171C"/>
    <w:rsid w:val="00FA2C56"/>
    <w:rsid w:val="00FA6A1E"/>
    <w:rsid w:val="00FE069F"/>
    <w:rsid w:val="00FF74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16CC"/>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 w:type="table" w:styleId="Tablaconcuadrcula">
    <w:name w:val="Table Grid"/>
    <w:basedOn w:val="Tablanormal"/>
    <w:rsid w:val="0073496C"/>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466750191">
      <w:bodyDiv w:val="1"/>
      <w:marLeft w:val="0"/>
      <w:marRight w:val="0"/>
      <w:marTop w:val="0"/>
      <w:marBottom w:val="0"/>
      <w:divBdr>
        <w:top w:val="none" w:sz="0" w:space="0" w:color="auto"/>
        <w:left w:val="none" w:sz="0" w:space="0" w:color="auto"/>
        <w:bottom w:val="none" w:sz="0" w:space="0" w:color="auto"/>
        <w:right w:val="none" w:sz="0" w:space="0" w:color="auto"/>
      </w:divBdr>
    </w:div>
    <w:div w:id="1726567114">
      <w:bodyDiv w:val="1"/>
      <w:marLeft w:val="0"/>
      <w:marRight w:val="0"/>
      <w:marTop w:val="0"/>
      <w:marBottom w:val="0"/>
      <w:divBdr>
        <w:top w:val="none" w:sz="0" w:space="0" w:color="auto"/>
        <w:left w:val="none" w:sz="0" w:space="0" w:color="auto"/>
        <w:bottom w:val="none" w:sz="0" w:space="0" w:color="auto"/>
        <w:right w:val="none" w:sz="0" w:space="0" w:color="auto"/>
      </w:divBdr>
    </w:div>
    <w:div w:id="2075466564">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urismoprofesional.navarra.es/eu/lurralde-garapen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262D8-B412-40E2-8F07-743C0E413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1008</Words>
  <Characters>5544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Martin Cestao, Nerea</cp:lastModifiedBy>
  <cp:revision>5</cp:revision>
  <cp:lastPrinted>2023-11-27T10:19:00Z</cp:lastPrinted>
  <dcterms:created xsi:type="dcterms:W3CDTF">2025-05-16T07:30:00Z</dcterms:created>
  <dcterms:modified xsi:type="dcterms:W3CDTF">2025-06-02T09:30:00Z</dcterms:modified>
</cp:coreProperties>
</file>