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1621" w:type="dxa"/>
        <w:tblInd w:w="-1152" w:type="dxa"/>
        <w:tblLook w:val="01E0" w:firstRow="1" w:lastRow="1" w:firstColumn="1" w:lastColumn="1" w:noHBand="0" w:noVBand="0"/>
      </w:tblPr>
      <w:tblGrid>
        <w:gridCol w:w="13876"/>
        <w:gridCol w:w="7745"/>
      </w:tblGrid>
      <w:tr w:rsidR="005C5D95" w14:paraId="7B18BECA" w14:textId="77777777" w:rsidTr="005C5D95">
        <w:tc>
          <w:tcPr>
            <w:tcW w:w="13876" w:type="dxa"/>
          </w:tcPr>
          <w:p w14:paraId="0FE52DF1" w14:textId="77777777" w:rsidR="005C5D95" w:rsidRDefault="005C5D95">
            <w:pPr>
              <w:spacing w:line="360" w:lineRule="auto"/>
              <w:ind w:left="-3384" w:right="-108"/>
              <w:jc w:val="center"/>
              <w:rPr>
                <w:rFonts w:ascii="Verdana" w:hAnsi="Verdana"/>
                <w:lang w:eastAsia="en-US"/>
              </w:rPr>
            </w:pPr>
          </w:p>
        </w:tc>
        <w:tc>
          <w:tcPr>
            <w:tcW w:w="7745" w:type="dxa"/>
          </w:tcPr>
          <w:p w14:paraId="66202AD9" w14:textId="77777777" w:rsidR="005C5D95" w:rsidRDefault="005C5D95">
            <w:pPr>
              <w:spacing w:line="360" w:lineRule="auto"/>
              <w:ind w:left="1332" w:right="-1216"/>
              <w:rPr>
                <w:rFonts w:ascii="Verdana" w:hAnsi="Verdana"/>
                <w:lang w:eastAsia="en-US"/>
              </w:rPr>
            </w:pPr>
          </w:p>
        </w:tc>
      </w:tr>
    </w:tbl>
    <w:p w14:paraId="7F5C442A" w14:textId="77777777" w:rsidR="005C5D95" w:rsidRDefault="008432FA" w:rsidP="005C5D95">
      <w:pPr>
        <w:spacing w:line="360" w:lineRule="auto"/>
        <w:ind w:firstLine="709"/>
        <w:jc w:val="both"/>
        <w:rPr>
          <w:rFonts w:ascii="Arial" w:hAnsi="Arial" w:cs="Arial"/>
          <w:b/>
          <w:bCs/>
          <w:sz w:val="22"/>
          <w:szCs w:val="22"/>
        </w:rPr>
      </w:pPr>
      <w:r>
        <w:rPr>
          <w:rFonts w:ascii="Arial" w:hAnsi="Arial" w:cs="Arial"/>
          <w:noProof/>
          <w:sz w:val="20"/>
          <w:szCs w:val="20"/>
        </w:rPr>
        <w:drawing>
          <wp:anchor distT="0" distB="0" distL="114300" distR="114300" simplePos="0" relativeHeight="251661312" behindDoc="1" locked="0" layoutInCell="1" allowOverlap="1" wp14:anchorId="791D931E" wp14:editId="7EA1EB91">
            <wp:simplePos x="0" y="0"/>
            <wp:positionH relativeFrom="page">
              <wp:align>left</wp:align>
            </wp:positionH>
            <wp:positionV relativeFrom="page">
              <wp:align>top</wp:align>
            </wp:positionV>
            <wp:extent cx="7536180" cy="204025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36180" cy="2040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FF7F8" w14:textId="77777777" w:rsidR="005C5D95" w:rsidRPr="008432FA" w:rsidRDefault="005C5D95" w:rsidP="008432FA">
      <w:pPr>
        <w:spacing w:line="360" w:lineRule="auto"/>
        <w:ind w:firstLine="709"/>
        <w:jc w:val="both"/>
        <w:rPr>
          <w:rFonts w:ascii="Arial" w:hAnsi="Arial" w:cs="Arial"/>
          <w:bCs/>
        </w:rPr>
      </w:pPr>
    </w:p>
    <w:p w14:paraId="26C8B08C" w14:textId="77777777" w:rsidR="005C5D95" w:rsidRDefault="005C5D95" w:rsidP="005C5D95">
      <w:pPr>
        <w:keepNext/>
        <w:autoSpaceDE w:val="0"/>
        <w:autoSpaceDN w:val="0"/>
        <w:adjustRightInd w:val="0"/>
        <w:spacing w:line="276" w:lineRule="auto"/>
        <w:outlineLvl w:val="0"/>
        <w:rPr>
          <w:rFonts w:ascii="Arial" w:hAnsi="Arial" w:cs="Arial"/>
          <w:sz w:val="22"/>
          <w:szCs w:val="22"/>
          <w:lang w:val="es-ES_tradnl"/>
        </w:rPr>
      </w:pPr>
    </w:p>
    <w:p w14:paraId="7C29C153" w14:textId="77777777" w:rsidR="005C5D95" w:rsidRDefault="005C5D95" w:rsidP="005C5D95">
      <w:pPr>
        <w:spacing w:line="360" w:lineRule="auto"/>
        <w:ind w:firstLine="709"/>
        <w:jc w:val="both"/>
        <w:rPr>
          <w:rFonts w:ascii="Arial" w:hAnsi="Arial" w:cs="Arial"/>
          <w:b/>
          <w:bCs/>
          <w:sz w:val="22"/>
          <w:szCs w:val="22"/>
        </w:rPr>
      </w:pPr>
    </w:p>
    <w:p w14:paraId="68EA7E84" w14:textId="77777777" w:rsidR="008432FA" w:rsidRDefault="008432FA" w:rsidP="005C5D95">
      <w:pPr>
        <w:tabs>
          <w:tab w:val="left" w:pos="709"/>
          <w:tab w:val="left" w:pos="992"/>
          <w:tab w:val="left" w:pos="1276"/>
          <w:tab w:val="center" w:pos="3827"/>
          <w:tab w:val="left" w:pos="8820"/>
        </w:tabs>
        <w:spacing w:line="360" w:lineRule="auto"/>
        <w:ind w:left="-180"/>
        <w:jc w:val="both"/>
        <w:rPr>
          <w:rFonts w:ascii="Arial" w:hAnsi="Arial" w:cs="Arial"/>
          <w:color w:val="000000"/>
          <w:sz w:val="22"/>
          <w:szCs w:val="22"/>
        </w:rPr>
      </w:pPr>
    </w:p>
    <w:p w14:paraId="0704876A" w14:textId="77777777" w:rsidR="00FA171C" w:rsidRDefault="00FA171C" w:rsidP="00FA171C">
      <w:pPr>
        <w:pStyle w:val="Default"/>
        <w:spacing w:line="360" w:lineRule="auto"/>
        <w:rPr>
          <w:rFonts w:ascii="Arial" w:hAnsi="Arial" w:cs="Arial"/>
          <w:sz w:val="22"/>
          <w:szCs w:val="22"/>
        </w:rPr>
      </w:pPr>
    </w:p>
    <w:p w14:paraId="53CBB1D7" w14:textId="77777777" w:rsidR="00520FD6" w:rsidRDefault="005C5D95" w:rsidP="0003170E">
      <w:pPr>
        <w:autoSpaceDE w:val="0"/>
        <w:autoSpaceDN w:val="0"/>
        <w:adjustRightInd w:val="0"/>
        <w:spacing w:line="360" w:lineRule="auto"/>
        <w:jc w:val="both"/>
        <w:rPr>
          <w:rFonts w:ascii="DejaVu Serif" w:hAnsi="DejaVu Serif" w:cs="Arial"/>
          <w:sz w:val="22"/>
          <w:szCs w:val="22"/>
        </w:rPr>
      </w:pPr>
      <w:r w:rsidRPr="0003170E">
        <w:rPr>
          <w:rFonts w:ascii="DejaVu Serif" w:hAnsi="DejaVu Serif" w:cs="Arial"/>
          <w:sz w:val="22"/>
          <w:szCs w:val="22"/>
        </w:rPr>
        <w:t xml:space="preserve">La Consejera de Cultura, Deporte y Turismo del Gobierno de Navarra, en relación a la </w:t>
      </w:r>
      <w:r w:rsidR="00A37707" w:rsidRPr="0003170E">
        <w:rPr>
          <w:rFonts w:ascii="DejaVu Serif" w:hAnsi="DejaVu Serif" w:cs="Arial"/>
          <w:sz w:val="22"/>
          <w:szCs w:val="22"/>
        </w:rPr>
        <w:t>Petición de información</w:t>
      </w:r>
      <w:r w:rsidR="00436602" w:rsidRPr="0003170E">
        <w:rPr>
          <w:rFonts w:ascii="DejaVu Serif" w:hAnsi="DejaVu Serif" w:cs="Arial"/>
          <w:sz w:val="22"/>
          <w:szCs w:val="22"/>
        </w:rPr>
        <w:t xml:space="preserve"> formulada por </w:t>
      </w:r>
      <w:r w:rsidR="00996D1B" w:rsidRPr="0003170E">
        <w:rPr>
          <w:rFonts w:ascii="DejaVu Serif" w:hAnsi="DejaVu Serif" w:cs="Arial"/>
          <w:sz w:val="22"/>
          <w:szCs w:val="22"/>
        </w:rPr>
        <w:t>el Parlamentario</w:t>
      </w:r>
      <w:r w:rsidRPr="0003170E">
        <w:rPr>
          <w:rFonts w:ascii="DejaVu Serif" w:hAnsi="DejaVu Serif" w:cs="Arial"/>
          <w:sz w:val="22"/>
          <w:szCs w:val="22"/>
        </w:rPr>
        <w:t xml:space="preserve"> Foral </w:t>
      </w:r>
      <w:r w:rsidR="004F146C" w:rsidRPr="0003170E">
        <w:rPr>
          <w:rFonts w:ascii="DejaVu Serif" w:hAnsi="DejaVu Serif" w:cs="Arial"/>
          <w:sz w:val="22"/>
          <w:szCs w:val="22"/>
        </w:rPr>
        <w:t>D</w:t>
      </w:r>
      <w:r w:rsidR="00996D1B" w:rsidRPr="0003170E">
        <w:rPr>
          <w:rFonts w:ascii="DejaVu Serif" w:hAnsi="DejaVu Serif" w:cs="Arial"/>
          <w:sz w:val="22"/>
          <w:szCs w:val="22"/>
        </w:rPr>
        <w:t xml:space="preserve">. </w:t>
      </w:r>
      <w:r w:rsidR="0003170E" w:rsidRPr="0003170E">
        <w:rPr>
          <w:rFonts w:ascii="DejaVu Serif" w:hAnsi="DejaVu Serif" w:cs="Arial"/>
          <w:sz w:val="22"/>
          <w:szCs w:val="22"/>
        </w:rPr>
        <w:t xml:space="preserve">Francisco Javier Trigo </w:t>
      </w:r>
      <w:proofErr w:type="spellStart"/>
      <w:r w:rsidR="0003170E" w:rsidRPr="0003170E">
        <w:rPr>
          <w:rFonts w:ascii="DejaVu Serif" w:hAnsi="DejaVu Serif" w:cs="Arial"/>
          <w:sz w:val="22"/>
          <w:szCs w:val="22"/>
        </w:rPr>
        <w:t>Oubiña</w:t>
      </w:r>
      <w:proofErr w:type="spellEnd"/>
      <w:r w:rsidR="004F146C" w:rsidRPr="0003170E">
        <w:rPr>
          <w:rFonts w:ascii="DejaVu Serif" w:hAnsi="DejaVu Serif" w:cs="Arial"/>
          <w:sz w:val="22"/>
          <w:szCs w:val="22"/>
        </w:rPr>
        <w:t>,</w:t>
      </w:r>
      <w:r w:rsidR="00165C78" w:rsidRPr="0003170E">
        <w:rPr>
          <w:rFonts w:ascii="DejaVu Serif" w:hAnsi="DejaVu Serif" w:cs="Arial"/>
          <w:sz w:val="22"/>
          <w:szCs w:val="22"/>
        </w:rPr>
        <w:t xml:space="preserve"> </w:t>
      </w:r>
      <w:r w:rsidR="00996D1B" w:rsidRPr="0003170E">
        <w:rPr>
          <w:rFonts w:ascii="DejaVu Serif" w:hAnsi="DejaVu Serif" w:cs="Arial"/>
          <w:sz w:val="22"/>
          <w:szCs w:val="22"/>
        </w:rPr>
        <w:t>adscrito</w:t>
      </w:r>
      <w:r w:rsidRPr="0003170E">
        <w:rPr>
          <w:rFonts w:ascii="DejaVu Serif" w:hAnsi="DejaVu Serif" w:cs="Arial"/>
          <w:sz w:val="22"/>
          <w:szCs w:val="22"/>
        </w:rPr>
        <w:t xml:space="preserve"> al Grupo Parlamentario </w:t>
      </w:r>
      <w:r w:rsidR="0003170E" w:rsidRPr="0003170E">
        <w:rPr>
          <w:rFonts w:ascii="DejaVu Serif" w:hAnsi="DejaVu Serif" w:cs="Arial"/>
          <w:sz w:val="22"/>
          <w:szCs w:val="22"/>
        </w:rPr>
        <w:t>UPN</w:t>
      </w:r>
      <w:r w:rsidRPr="0003170E">
        <w:rPr>
          <w:rFonts w:ascii="DejaVu Serif" w:hAnsi="DejaVu Serif" w:cs="Arial"/>
          <w:sz w:val="22"/>
          <w:szCs w:val="22"/>
        </w:rPr>
        <w:t xml:space="preserve"> </w:t>
      </w:r>
      <w:r w:rsidR="003E48EE" w:rsidRPr="0003170E">
        <w:rPr>
          <w:rFonts w:ascii="DejaVu Serif" w:hAnsi="DejaVu Serif" w:cs="Arial"/>
          <w:sz w:val="22"/>
          <w:szCs w:val="22"/>
        </w:rPr>
        <w:t>(11-25</w:t>
      </w:r>
      <w:r w:rsidRPr="0003170E">
        <w:rPr>
          <w:rFonts w:ascii="DejaVu Serif" w:hAnsi="DejaVu Serif" w:cs="Arial"/>
          <w:sz w:val="22"/>
          <w:szCs w:val="22"/>
        </w:rPr>
        <w:t>/P</w:t>
      </w:r>
      <w:r w:rsidR="00720B2A" w:rsidRPr="0003170E">
        <w:rPr>
          <w:rFonts w:ascii="DejaVu Serif" w:hAnsi="DejaVu Serif" w:cs="Arial"/>
          <w:sz w:val="22"/>
          <w:szCs w:val="22"/>
        </w:rPr>
        <w:t>ES</w:t>
      </w:r>
      <w:r w:rsidRPr="0003170E">
        <w:rPr>
          <w:rFonts w:ascii="DejaVu Serif" w:hAnsi="DejaVu Serif" w:cs="Arial"/>
          <w:sz w:val="22"/>
          <w:szCs w:val="22"/>
        </w:rPr>
        <w:t>-0</w:t>
      </w:r>
      <w:r w:rsidR="003E48EE" w:rsidRPr="0003170E">
        <w:rPr>
          <w:rFonts w:ascii="DejaVu Serif" w:hAnsi="DejaVu Serif" w:cs="Arial"/>
          <w:sz w:val="22"/>
          <w:szCs w:val="22"/>
        </w:rPr>
        <w:t>0</w:t>
      </w:r>
      <w:r w:rsidR="00A1031D">
        <w:rPr>
          <w:rFonts w:ascii="DejaVu Serif" w:hAnsi="DejaVu Serif" w:cs="Arial"/>
          <w:sz w:val="22"/>
          <w:szCs w:val="22"/>
        </w:rPr>
        <w:t>1</w:t>
      </w:r>
      <w:r w:rsidR="004E50A1">
        <w:rPr>
          <w:rFonts w:ascii="DejaVu Serif" w:hAnsi="DejaVu Serif" w:cs="Arial"/>
          <w:sz w:val="22"/>
          <w:szCs w:val="22"/>
        </w:rPr>
        <w:t>77</w:t>
      </w:r>
      <w:r w:rsidRPr="0003170E">
        <w:rPr>
          <w:rFonts w:ascii="DejaVu Serif" w:hAnsi="DejaVu Serif" w:cs="Arial"/>
          <w:sz w:val="22"/>
          <w:szCs w:val="22"/>
        </w:rPr>
        <w:t xml:space="preserve">) en la que </w:t>
      </w:r>
      <w:r w:rsidR="00720B2A" w:rsidRPr="0003170E">
        <w:rPr>
          <w:rFonts w:ascii="DejaVu Serif" w:hAnsi="DejaVu Serif" w:cs="Arial"/>
          <w:sz w:val="22"/>
          <w:szCs w:val="22"/>
        </w:rPr>
        <w:t>pregunta</w:t>
      </w:r>
      <w:r w:rsidR="00A37707" w:rsidRPr="0003170E">
        <w:rPr>
          <w:rFonts w:ascii="DejaVu Serif" w:hAnsi="DejaVu Serif" w:cs="Arial"/>
          <w:sz w:val="22"/>
          <w:szCs w:val="22"/>
        </w:rPr>
        <w:t xml:space="preserve"> </w:t>
      </w:r>
      <w:r w:rsidR="00165C78" w:rsidRPr="0003170E">
        <w:rPr>
          <w:rFonts w:ascii="DejaVu Serif" w:hAnsi="DejaVu Serif" w:cs="Arial"/>
          <w:sz w:val="22"/>
          <w:szCs w:val="22"/>
        </w:rPr>
        <w:t>sobre</w:t>
      </w:r>
      <w:r w:rsidR="004E50A1">
        <w:rPr>
          <w:rFonts w:ascii="DejaVu Serif" w:hAnsi="DejaVu Serif" w:cs="Arial"/>
          <w:sz w:val="22"/>
          <w:szCs w:val="22"/>
        </w:rPr>
        <w:t xml:space="preserve"> </w:t>
      </w:r>
      <w:r w:rsidR="004E50A1">
        <w:rPr>
          <w:rFonts w:ascii="DejaVu Serif" w:eastAsiaTheme="minorHAnsi" w:hAnsi="DejaVu Serif" w:cs="ArialMT"/>
          <w:sz w:val="22"/>
          <w:szCs w:val="22"/>
          <w:lang w:eastAsia="en-US"/>
        </w:rPr>
        <w:t>la creación del “Servicio de Atención frente a situaciones sexistas en el deporte”</w:t>
      </w:r>
      <w:r w:rsidR="00E94BB4" w:rsidRPr="0003170E">
        <w:rPr>
          <w:rFonts w:ascii="DejaVu Serif" w:eastAsiaTheme="minorHAnsi" w:hAnsi="DejaVu Serif" w:cs="Arial"/>
          <w:sz w:val="22"/>
          <w:szCs w:val="22"/>
          <w:lang w:eastAsia="en-US"/>
        </w:rPr>
        <w:t>,</w:t>
      </w:r>
      <w:r w:rsidR="00512C90" w:rsidRPr="0003170E">
        <w:rPr>
          <w:rFonts w:ascii="DejaVu Serif" w:eastAsiaTheme="minorHAnsi" w:hAnsi="DejaVu Serif" w:cs="Arial"/>
          <w:sz w:val="22"/>
          <w:szCs w:val="22"/>
          <w:lang w:eastAsia="en-US"/>
        </w:rPr>
        <w:t xml:space="preserve"> t</w:t>
      </w:r>
      <w:r w:rsidR="00044E27" w:rsidRPr="0003170E">
        <w:rPr>
          <w:rFonts w:ascii="DejaVu Serif" w:hAnsi="DejaVu Serif" w:cs="Arial"/>
          <w:sz w:val="22"/>
          <w:szCs w:val="22"/>
        </w:rPr>
        <w:t>iene el honor de informarle lo siguiente:</w:t>
      </w:r>
    </w:p>
    <w:p w14:paraId="4872781F" w14:textId="77777777" w:rsidR="0046607C" w:rsidRPr="0046607C" w:rsidRDefault="00D15959" w:rsidP="0046607C">
      <w:pPr>
        <w:pStyle w:val="NormalWeb"/>
        <w:spacing w:line="360" w:lineRule="auto"/>
        <w:jc w:val="both"/>
        <w:rPr>
          <w:rFonts w:ascii="DejaVu Serif" w:hAnsi="DejaVu Serif"/>
          <w:sz w:val="22"/>
          <w:szCs w:val="22"/>
        </w:rPr>
      </w:pPr>
      <w:r>
        <w:rPr>
          <w:rFonts w:ascii="DejaVu Serif" w:hAnsi="DejaVu Serif"/>
          <w:sz w:val="22"/>
          <w:szCs w:val="22"/>
        </w:rPr>
        <w:t>E</w:t>
      </w:r>
      <w:r w:rsidR="0046607C" w:rsidRPr="0046607C">
        <w:rPr>
          <w:rFonts w:ascii="DejaVu Serif" w:hAnsi="DejaVu Serif"/>
          <w:sz w:val="22"/>
          <w:szCs w:val="22"/>
        </w:rPr>
        <w:t>l Instituto Navarro del Deporte y la Actividad Física (INDAF) cuenta en su estructura con la Oficina de Mediación en el Deporte, un servicio orientado a promover la resolución de conflictos en el ámbito deportivo.</w:t>
      </w:r>
    </w:p>
    <w:p w14:paraId="6A771021" w14:textId="77777777" w:rsidR="0046607C" w:rsidRDefault="0046607C" w:rsidP="0046607C">
      <w:pPr>
        <w:pStyle w:val="NormalWeb"/>
        <w:spacing w:line="360" w:lineRule="auto"/>
        <w:jc w:val="both"/>
        <w:rPr>
          <w:rFonts w:ascii="DejaVu Serif" w:hAnsi="DejaVu Serif"/>
          <w:sz w:val="22"/>
          <w:szCs w:val="22"/>
        </w:rPr>
      </w:pPr>
      <w:r w:rsidRPr="0046607C">
        <w:rPr>
          <w:rFonts w:ascii="DejaVu Serif" w:hAnsi="DejaVu Serif"/>
          <w:sz w:val="22"/>
          <w:szCs w:val="22"/>
        </w:rPr>
        <w:t>Tras la aprobación de la Moción 11-23/MOC-00062, centrada en la necesidad de abordar las agresiones sexistas en el deporte, el INDAF se puso en contacto con el Instituto Navarro para la Igualdad (INAI) con el fin de planificar conjuntamente los criterios que permitan organizar de manera más eficiente los servicios ya existentes en ambas instituciones.</w:t>
      </w:r>
    </w:p>
    <w:p w14:paraId="74B2BE24" w14:textId="77777777" w:rsidR="00844EC3" w:rsidRPr="00A55BBD" w:rsidRDefault="00844EC3" w:rsidP="00844EC3">
      <w:pPr>
        <w:pStyle w:val="NormalWeb"/>
        <w:spacing w:line="360" w:lineRule="auto"/>
        <w:jc w:val="both"/>
        <w:rPr>
          <w:rFonts w:ascii="DejaVu Serif" w:hAnsi="DejaVu Serif"/>
          <w:sz w:val="22"/>
          <w:szCs w:val="22"/>
        </w:rPr>
      </w:pPr>
      <w:r w:rsidRPr="00A55BBD">
        <w:rPr>
          <w:rFonts w:ascii="DejaVu Serif" w:hAnsi="DejaVu Serif"/>
          <w:sz w:val="22"/>
          <w:szCs w:val="22"/>
        </w:rPr>
        <w:t>En este sentido, ambas entidades han elaborado un procedimiento interno de actuación en que se establecen los mecanismos de coordinación entre la Oficina de Mediación del INDAF y la Sección de Violencia contra las mujeres del INAI para:</w:t>
      </w:r>
    </w:p>
    <w:p w14:paraId="08356A76" w14:textId="025B924D" w:rsidR="00844EC3" w:rsidRPr="00A55BBD" w:rsidRDefault="0045534E" w:rsidP="00844EC3">
      <w:pPr>
        <w:pStyle w:val="NormalWeb"/>
        <w:spacing w:line="360" w:lineRule="auto"/>
        <w:jc w:val="both"/>
        <w:rPr>
          <w:rFonts w:ascii="DejaVu Serif" w:hAnsi="DejaVu Serif"/>
          <w:sz w:val="22"/>
          <w:szCs w:val="22"/>
        </w:rPr>
      </w:pPr>
      <w:r>
        <w:rPr>
          <w:rFonts w:ascii="DejaVu Serif" w:hAnsi="DejaVu Serif"/>
          <w:sz w:val="22"/>
          <w:szCs w:val="22"/>
        </w:rPr>
        <w:t xml:space="preserve">– </w:t>
      </w:r>
      <w:r w:rsidR="00844EC3" w:rsidRPr="00A55BBD">
        <w:rPr>
          <w:rFonts w:ascii="DejaVu Serif" w:hAnsi="DejaVu Serif"/>
          <w:sz w:val="22"/>
          <w:szCs w:val="22"/>
        </w:rPr>
        <w:t>Dar una respuesta rápida y efectiva.</w:t>
      </w:r>
    </w:p>
    <w:p w14:paraId="0441DC41" w14:textId="35E823FD" w:rsidR="00844EC3" w:rsidRPr="00A55BBD" w:rsidRDefault="0045534E" w:rsidP="00844EC3">
      <w:pPr>
        <w:pStyle w:val="NormalWeb"/>
        <w:spacing w:line="360" w:lineRule="auto"/>
        <w:jc w:val="both"/>
        <w:rPr>
          <w:rFonts w:ascii="DejaVu Serif" w:hAnsi="DejaVu Serif"/>
          <w:sz w:val="22"/>
          <w:szCs w:val="22"/>
        </w:rPr>
      </w:pPr>
      <w:r>
        <w:rPr>
          <w:rFonts w:ascii="DejaVu Serif" w:hAnsi="DejaVu Serif"/>
          <w:sz w:val="22"/>
          <w:szCs w:val="22"/>
        </w:rPr>
        <w:t xml:space="preserve">– </w:t>
      </w:r>
      <w:r w:rsidR="00844EC3" w:rsidRPr="00A55BBD">
        <w:rPr>
          <w:rFonts w:ascii="DejaVu Serif" w:hAnsi="DejaVu Serif"/>
          <w:sz w:val="22"/>
          <w:szCs w:val="22"/>
        </w:rPr>
        <w:t>Facilitar la identificación temprana de casos.</w:t>
      </w:r>
    </w:p>
    <w:p w14:paraId="6DAB639B" w14:textId="5736CE77" w:rsidR="00844EC3" w:rsidRPr="00A55BBD" w:rsidRDefault="0045534E" w:rsidP="00844EC3">
      <w:pPr>
        <w:pStyle w:val="NormalWeb"/>
        <w:spacing w:line="360" w:lineRule="auto"/>
        <w:jc w:val="both"/>
        <w:rPr>
          <w:rFonts w:ascii="DejaVu Serif" w:hAnsi="DejaVu Serif"/>
          <w:sz w:val="22"/>
          <w:szCs w:val="22"/>
        </w:rPr>
      </w:pPr>
      <w:r>
        <w:rPr>
          <w:rFonts w:ascii="DejaVu Serif" w:hAnsi="DejaVu Serif"/>
          <w:sz w:val="22"/>
          <w:szCs w:val="22"/>
        </w:rPr>
        <w:t xml:space="preserve">– </w:t>
      </w:r>
      <w:proofErr w:type="gramStart"/>
      <w:r w:rsidR="00844EC3" w:rsidRPr="00A55BBD">
        <w:rPr>
          <w:rFonts w:ascii="DejaVu Serif" w:hAnsi="DejaVu Serif"/>
          <w:sz w:val="22"/>
          <w:szCs w:val="22"/>
        </w:rPr>
        <w:t>Asegurar</w:t>
      </w:r>
      <w:proofErr w:type="gramEnd"/>
      <w:r w:rsidR="00844EC3" w:rsidRPr="00A55BBD">
        <w:rPr>
          <w:rFonts w:ascii="DejaVu Serif" w:hAnsi="DejaVu Serif"/>
          <w:sz w:val="22"/>
          <w:szCs w:val="22"/>
        </w:rPr>
        <w:t xml:space="preserve"> que las víctimas reciban protección integral y apoyo completo, que incluya asistencia psicológica, legal y médica.</w:t>
      </w:r>
    </w:p>
    <w:p w14:paraId="631921C6" w14:textId="77777777" w:rsidR="00A55BBD" w:rsidRDefault="00A55BBD" w:rsidP="00844EC3">
      <w:pPr>
        <w:pStyle w:val="NormalWeb"/>
        <w:spacing w:line="360" w:lineRule="auto"/>
        <w:jc w:val="both"/>
        <w:rPr>
          <w:rFonts w:ascii="DejaVu Serif" w:hAnsi="DejaVu Serif"/>
          <w:sz w:val="22"/>
          <w:szCs w:val="22"/>
        </w:rPr>
      </w:pPr>
    </w:p>
    <w:p w14:paraId="56319B7E" w14:textId="26526972" w:rsidR="00844EC3" w:rsidRPr="00A55BBD" w:rsidRDefault="0045534E" w:rsidP="00844EC3">
      <w:pPr>
        <w:pStyle w:val="NormalWeb"/>
        <w:spacing w:line="360" w:lineRule="auto"/>
        <w:jc w:val="both"/>
        <w:rPr>
          <w:rFonts w:ascii="DejaVu Serif" w:hAnsi="DejaVu Serif"/>
          <w:sz w:val="22"/>
          <w:szCs w:val="22"/>
        </w:rPr>
      </w:pPr>
      <w:r>
        <w:rPr>
          <w:rFonts w:ascii="DejaVu Serif" w:hAnsi="DejaVu Serif"/>
          <w:sz w:val="22"/>
          <w:szCs w:val="22"/>
        </w:rPr>
        <w:lastRenderedPageBreak/>
        <w:t xml:space="preserve">– </w:t>
      </w:r>
      <w:r w:rsidR="00844EC3" w:rsidRPr="00A55BBD">
        <w:rPr>
          <w:rFonts w:ascii="DejaVu Serif" w:hAnsi="DejaVu Serif"/>
          <w:sz w:val="22"/>
          <w:szCs w:val="22"/>
        </w:rPr>
        <w:t>Garantizar que todas las partes involucradas comprendan y sigan los mismos procedimientos, evitando confusiones y asegurando una respuesta coherente y coordinada para las víctimas.</w:t>
      </w:r>
    </w:p>
    <w:p w14:paraId="4827268F" w14:textId="77777777" w:rsidR="006B22A0" w:rsidRPr="006B22A0" w:rsidRDefault="0046607C" w:rsidP="00E34EA2">
      <w:pPr>
        <w:pStyle w:val="NormalWeb"/>
        <w:spacing w:line="360" w:lineRule="auto"/>
        <w:jc w:val="both"/>
        <w:rPr>
          <w:rFonts w:ascii="DejaVu Serif" w:hAnsi="DejaVu Serif" w:cs="Arial"/>
          <w:sz w:val="22"/>
          <w:szCs w:val="22"/>
        </w:rPr>
      </w:pPr>
      <w:r w:rsidRPr="0046607C">
        <w:rPr>
          <w:rFonts w:ascii="DejaVu Serif" w:hAnsi="DejaVu Serif"/>
          <w:sz w:val="22"/>
          <w:szCs w:val="22"/>
        </w:rPr>
        <w:t>El trabajo coordinado entre el INDAF y el INAI permitirá optimizar los recursos disponibles y avanzar en la implementación</w:t>
      </w:r>
      <w:r w:rsidR="00185CE5">
        <w:rPr>
          <w:rFonts w:ascii="DejaVu Serif" w:hAnsi="DejaVu Serif"/>
          <w:sz w:val="22"/>
          <w:szCs w:val="22"/>
        </w:rPr>
        <w:t xml:space="preserve"> de</w:t>
      </w:r>
      <w:r w:rsidRPr="0046607C">
        <w:rPr>
          <w:rFonts w:ascii="DejaVu Serif" w:hAnsi="DejaVu Serif"/>
          <w:sz w:val="22"/>
          <w:szCs w:val="22"/>
        </w:rPr>
        <w:t xml:space="preserve"> un servicio especializado, ágil y sensible frente a situaciones de violencia o agresión sexista en contextos deportivos. Esta actuación conjunta</w:t>
      </w:r>
      <w:r w:rsidR="00E34EA2">
        <w:rPr>
          <w:rFonts w:ascii="DejaVu Serif" w:hAnsi="DejaVu Serif"/>
          <w:sz w:val="22"/>
          <w:szCs w:val="22"/>
        </w:rPr>
        <w:t xml:space="preserve"> pretende</w:t>
      </w:r>
      <w:r w:rsidRPr="0046607C">
        <w:rPr>
          <w:rFonts w:ascii="DejaVu Serif" w:hAnsi="DejaVu Serif"/>
          <w:sz w:val="22"/>
          <w:szCs w:val="22"/>
        </w:rPr>
        <w:t xml:space="preserve"> reforzar la prevención, la sensibilización y la protección de las personas afectadas.</w:t>
      </w:r>
    </w:p>
    <w:p w14:paraId="780D145C" w14:textId="77777777" w:rsidR="00520FD6" w:rsidRPr="006B22A0" w:rsidRDefault="00BB13D7" w:rsidP="00E34EA2">
      <w:pPr>
        <w:autoSpaceDE w:val="0"/>
        <w:autoSpaceDN w:val="0"/>
        <w:adjustRightInd w:val="0"/>
        <w:spacing w:line="360" w:lineRule="auto"/>
        <w:jc w:val="center"/>
        <w:rPr>
          <w:rFonts w:ascii="DejaVu Serif" w:hAnsi="DejaVu Serif" w:cs="Arial"/>
          <w:sz w:val="22"/>
          <w:szCs w:val="22"/>
        </w:rPr>
      </w:pPr>
      <w:r w:rsidRPr="00BB13D7">
        <w:rPr>
          <w:rFonts w:ascii="DejaVu Serif" w:eastAsiaTheme="minorHAnsi" w:hAnsi="DejaVu Serif" w:cs="Century Gothic"/>
          <w:color w:val="000000"/>
          <w:sz w:val="22"/>
          <w:szCs w:val="22"/>
          <w:lang w:eastAsia="en-US"/>
        </w:rPr>
        <w:t>Es lo que puedo informar en cumplimiento de lo dispuesto en el artículo 215 del Reglamento del Parlamento de Navarra</w:t>
      </w:r>
    </w:p>
    <w:p w14:paraId="3FF2F096" w14:textId="77777777" w:rsidR="005C5D95" w:rsidRPr="006B22A0" w:rsidRDefault="00044E27" w:rsidP="006B22A0">
      <w:pPr>
        <w:spacing w:line="360" w:lineRule="auto"/>
        <w:jc w:val="center"/>
        <w:rPr>
          <w:rFonts w:ascii="DejaVu Serif" w:hAnsi="DejaVu Serif" w:cs="Arial"/>
          <w:sz w:val="22"/>
          <w:szCs w:val="22"/>
        </w:rPr>
      </w:pPr>
      <w:r w:rsidRPr="006B22A0">
        <w:rPr>
          <w:rFonts w:ascii="DejaVu Serif" w:hAnsi="DejaVu Serif" w:cs="Arial"/>
          <w:sz w:val="22"/>
          <w:szCs w:val="22"/>
        </w:rPr>
        <w:t>Pamplona,</w:t>
      </w:r>
      <w:r w:rsidR="00A55BBD">
        <w:rPr>
          <w:rFonts w:ascii="DejaVu Serif" w:hAnsi="DejaVu Serif" w:cs="Arial"/>
          <w:sz w:val="22"/>
          <w:szCs w:val="22"/>
        </w:rPr>
        <w:t xml:space="preserve"> a 5 de junio</w:t>
      </w:r>
      <w:r w:rsidR="00996D1B" w:rsidRPr="006B22A0">
        <w:rPr>
          <w:rFonts w:ascii="DejaVu Serif" w:hAnsi="DejaVu Serif" w:cs="Arial"/>
          <w:sz w:val="22"/>
          <w:szCs w:val="22"/>
        </w:rPr>
        <w:t xml:space="preserve"> de 2025</w:t>
      </w:r>
    </w:p>
    <w:p w14:paraId="260DC3CF" w14:textId="13080410" w:rsidR="00D74EC4" w:rsidRPr="006B22A0" w:rsidRDefault="0045534E" w:rsidP="006B22A0">
      <w:pPr>
        <w:spacing w:line="360" w:lineRule="auto"/>
        <w:jc w:val="center"/>
        <w:rPr>
          <w:rFonts w:ascii="DejaVu Serif" w:hAnsi="DejaVu Serif"/>
          <w:sz w:val="22"/>
          <w:szCs w:val="22"/>
        </w:rPr>
      </w:pPr>
      <w:r w:rsidRPr="006B22A0">
        <w:rPr>
          <w:rFonts w:ascii="DejaVu Serif" w:hAnsi="DejaVu Serif" w:cs="Arial"/>
          <w:sz w:val="22"/>
          <w:szCs w:val="22"/>
        </w:rPr>
        <w:t xml:space="preserve">La Consejera </w:t>
      </w:r>
      <w:r>
        <w:rPr>
          <w:rFonts w:ascii="DejaVu Serif" w:hAnsi="DejaVu Serif" w:cs="Arial"/>
          <w:sz w:val="22"/>
          <w:szCs w:val="22"/>
        </w:rPr>
        <w:t>d</w:t>
      </w:r>
      <w:r w:rsidRPr="006B22A0">
        <w:rPr>
          <w:rFonts w:ascii="DejaVu Serif" w:hAnsi="DejaVu Serif" w:cs="Arial"/>
          <w:sz w:val="22"/>
          <w:szCs w:val="22"/>
        </w:rPr>
        <w:t xml:space="preserve">e Cultura, Deporte </w:t>
      </w:r>
      <w:r>
        <w:rPr>
          <w:rFonts w:ascii="DejaVu Serif" w:hAnsi="DejaVu Serif" w:cs="Arial"/>
          <w:sz w:val="22"/>
          <w:szCs w:val="22"/>
        </w:rPr>
        <w:t>y</w:t>
      </w:r>
      <w:r w:rsidRPr="006B22A0">
        <w:rPr>
          <w:rFonts w:ascii="DejaVu Serif" w:hAnsi="DejaVu Serif" w:cs="Arial"/>
          <w:sz w:val="22"/>
          <w:szCs w:val="22"/>
        </w:rPr>
        <w:t xml:space="preserve"> Turismo</w:t>
      </w:r>
      <w:r>
        <w:rPr>
          <w:rFonts w:ascii="DejaVu Serif" w:hAnsi="DejaVu Serif" w:cs="Arial"/>
          <w:sz w:val="22"/>
          <w:szCs w:val="22"/>
        </w:rPr>
        <w:t xml:space="preserve">: </w:t>
      </w:r>
      <w:r w:rsidR="005C5D95" w:rsidRPr="006B22A0">
        <w:rPr>
          <w:rFonts w:ascii="DejaVu Serif" w:hAnsi="DejaVu Serif" w:cs="Arial"/>
          <w:sz w:val="22"/>
          <w:szCs w:val="22"/>
        </w:rPr>
        <w:t>Rebeca Esnaola Bermejo</w:t>
      </w:r>
    </w:p>
    <w:sectPr w:rsidR="00D74EC4" w:rsidRPr="006B22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erif">
    <w:altName w:val="Sylfaen"/>
    <w:charset w:val="00"/>
    <w:family w:val="roman"/>
    <w:pitch w:val="variable"/>
    <w:sig w:usb0="E50006FF" w:usb1="5200F9FB" w:usb2="0A040020" w:usb3="00000000" w:csb0="0000009F" w:csb1="00000000"/>
  </w:font>
  <w:font w:name="ArialMT">
    <w:panose1 w:val="00000000000000000000"/>
    <w:charset w:val="00"/>
    <w:family w:val="auto"/>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34A0B"/>
    <w:multiLevelType w:val="hybridMultilevel"/>
    <w:tmpl w:val="5DD05D3E"/>
    <w:lvl w:ilvl="0" w:tplc="2304CC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5E0D7542"/>
    <w:multiLevelType w:val="hybridMultilevel"/>
    <w:tmpl w:val="15BC3010"/>
    <w:lvl w:ilvl="0" w:tplc="FD6844DC">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6E4A520E"/>
    <w:multiLevelType w:val="hybridMultilevel"/>
    <w:tmpl w:val="6EE49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423A48"/>
    <w:multiLevelType w:val="hybridMultilevel"/>
    <w:tmpl w:val="470E37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591C"/>
    <w:rsid w:val="0003170E"/>
    <w:rsid w:val="00044E27"/>
    <w:rsid w:val="0008521E"/>
    <w:rsid w:val="000E24D0"/>
    <w:rsid w:val="00145C38"/>
    <w:rsid w:val="00165C78"/>
    <w:rsid w:val="00185CE5"/>
    <w:rsid w:val="00216707"/>
    <w:rsid w:val="00257D7A"/>
    <w:rsid w:val="002601DD"/>
    <w:rsid w:val="002B3F6C"/>
    <w:rsid w:val="002E62D5"/>
    <w:rsid w:val="003843A2"/>
    <w:rsid w:val="003E48EE"/>
    <w:rsid w:val="00436602"/>
    <w:rsid w:val="00444730"/>
    <w:rsid w:val="0045534E"/>
    <w:rsid w:val="00461F32"/>
    <w:rsid w:val="0046607C"/>
    <w:rsid w:val="00484F26"/>
    <w:rsid w:val="004E50A1"/>
    <w:rsid w:val="004F146C"/>
    <w:rsid w:val="00512C90"/>
    <w:rsid w:val="00520FD6"/>
    <w:rsid w:val="005234C5"/>
    <w:rsid w:val="005322EF"/>
    <w:rsid w:val="00583BDA"/>
    <w:rsid w:val="00587A69"/>
    <w:rsid w:val="005C33C7"/>
    <w:rsid w:val="005C5D95"/>
    <w:rsid w:val="005F221C"/>
    <w:rsid w:val="00662FAB"/>
    <w:rsid w:val="006B22A0"/>
    <w:rsid w:val="00720B2A"/>
    <w:rsid w:val="00733746"/>
    <w:rsid w:val="0073496C"/>
    <w:rsid w:val="0075427A"/>
    <w:rsid w:val="007E509F"/>
    <w:rsid w:val="007F3173"/>
    <w:rsid w:val="0081139A"/>
    <w:rsid w:val="00842895"/>
    <w:rsid w:val="008432FA"/>
    <w:rsid w:val="00844EC3"/>
    <w:rsid w:val="008E03B3"/>
    <w:rsid w:val="00996D1B"/>
    <w:rsid w:val="00A02DDE"/>
    <w:rsid w:val="00A1031D"/>
    <w:rsid w:val="00A37707"/>
    <w:rsid w:val="00A454EF"/>
    <w:rsid w:val="00A55BBD"/>
    <w:rsid w:val="00A579F8"/>
    <w:rsid w:val="00B21AE8"/>
    <w:rsid w:val="00B700A2"/>
    <w:rsid w:val="00B77EAC"/>
    <w:rsid w:val="00BA1AD4"/>
    <w:rsid w:val="00BA5D83"/>
    <w:rsid w:val="00BB13D7"/>
    <w:rsid w:val="00BB4A96"/>
    <w:rsid w:val="00C04996"/>
    <w:rsid w:val="00C117C2"/>
    <w:rsid w:val="00C87D03"/>
    <w:rsid w:val="00CC68D2"/>
    <w:rsid w:val="00D15959"/>
    <w:rsid w:val="00D1626C"/>
    <w:rsid w:val="00D20825"/>
    <w:rsid w:val="00D74EC4"/>
    <w:rsid w:val="00DE3F08"/>
    <w:rsid w:val="00E34EA2"/>
    <w:rsid w:val="00E57209"/>
    <w:rsid w:val="00E76858"/>
    <w:rsid w:val="00E94BB4"/>
    <w:rsid w:val="00EA3076"/>
    <w:rsid w:val="00EC3B62"/>
    <w:rsid w:val="00F16AC7"/>
    <w:rsid w:val="00F31D35"/>
    <w:rsid w:val="00FA171C"/>
    <w:rsid w:val="00FA6A1E"/>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D9B61"/>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 w:type="table" w:styleId="Tablaconcuadrcula">
    <w:name w:val="Table Grid"/>
    <w:basedOn w:val="Tablanormal"/>
    <w:rsid w:val="0073496C"/>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0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7025">
      <w:bodyDiv w:val="1"/>
      <w:marLeft w:val="0"/>
      <w:marRight w:val="0"/>
      <w:marTop w:val="0"/>
      <w:marBottom w:val="0"/>
      <w:divBdr>
        <w:top w:val="none" w:sz="0" w:space="0" w:color="auto"/>
        <w:left w:val="none" w:sz="0" w:space="0" w:color="auto"/>
        <w:bottom w:val="none" w:sz="0" w:space="0" w:color="auto"/>
        <w:right w:val="none" w:sz="0" w:space="0" w:color="auto"/>
      </w:divBdr>
    </w:div>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466750191">
      <w:bodyDiv w:val="1"/>
      <w:marLeft w:val="0"/>
      <w:marRight w:val="0"/>
      <w:marTop w:val="0"/>
      <w:marBottom w:val="0"/>
      <w:divBdr>
        <w:top w:val="none" w:sz="0" w:space="0" w:color="auto"/>
        <w:left w:val="none" w:sz="0" w:space="0" w:color="auto"/>
        <w:bottom w:val="none" w:sz="0" w:space="0" w:color="auto"/>
        <w:right w:val="none" w:sz="0" w:space="0" w:color="auto"/>
      </w:divBdr>
    </w:div>
    <w:div w:id="1726567114">
      <w:bodyDiv w:val="1"/>
      <w:marLeft w:val="0"/>
      <w:marRight w:val="0"/>
      <w:marTop w:val="0"/>
      <w:marBottom w:val="0"/>
      <w:divBdr>
        <w:top w:val="none" w:sz="0" w:space="0" w:color="auto"/>
        <w:left w:val="none" w:sz="0" w:space="0" w:color="auto"/>
        <w:bottom w:val="none" w:sz="0" w:space="0" w:color="auto"/>
        <w:right w:val="none" w:sz="0" w:space="0" w:color="auto"/>
      </w:divBdr>
    </w:div>
    <w:div w:id="207546656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075AD-438C-4D6D-9453-837F26D2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1846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Maya Calvo, Diego</cp:lastModifiedBy>
  <cp:revision>5</cp:revision>
  <cp:lastPrinted>2023-11-27T10:19:00Z</cp:lastPrinted>
  <dcterms:created xsi:type="dcterms:W3CDTF">2025-06-04T10:58:00Z</dcterms:created>
  <dcterms:modified xsi:type="dcterms:W3CDTF">2025-08-26T07:07:00Z</dcterms:modified>
</cp:coreProperties>
</file>