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45C9" w14:textId="3B357188" w:rsidR="001760A0" w:rsidRDefault="00757E54" w:rsidP="006762DA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25MOC-107</w:t>
      </w:r>
    </w:p>
    <w:p w14:paraId="0128D446" w14:textId="5B1A930D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 xml:space="preserve">Don Pablo Azcona Molinet, portavoz del grupo parlamentario de </w:t>
      </w:r>
      <w:r w:rsidR="00FC17D8" w:rsidRPr="00FC17D8">
        <w:rPr>
          <w:rFonts w:ascii="Calibri" w:hAnsi="Calibri" w:cs="Calibri"/>
        </w:rPr>
        <w:t>Geroa Bai,</w:t>
      </w:r>
      <w:r w:rsidR="00FC17D8" w:rsidRPr="001D681E"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al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amparo de lo establecido en el reglamento de la Cámara, presenta la siguiente</w:t>
      </w:r>
      <w:r>
        <w:rPr>
          <w:rFonts w:ascii="Calibri" w:hAnsi="Calibri" w:cs="Calibri"/>
        </w:rPr>
        <w:t xml:space="preserve"> </w:t>
      </w:r>
      <w:r w:rsidR="00FC17D8" w:rsidRPr="001D681E">
        <w:rPr>
          <w:rFonts w:ascii="Calibri" w:hAnsi="Calibri" w:cs="Calibri"/>
        </w:rPr>
        <w:t xml:space="preserve">moción </w:t>
      </w:r>
      <w:r w:rsidRPr="001D681E">
        <w:rPr>
          <w:rFonts w:ascii="Calibri" w:hAnsi="Calibri" w:cs="Calibri"/>
        </w:rPr>
        <w:t>para su debate y votación en el Pleno de la Cámara. El seguimiento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posterior se realizará en la Comisión de Desarrollo Rural y Medio Ambiente.</w:t>
      </w:r>
    </w:p>
    <w:p w14:paraId="240E58EA" w14:textId="3ADA1DC1" w:rsidR="00757E54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El proceso de incorporación de energías renovables a las infraestructuras agrícolas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y ganaderas y la introducción de principios de economía circular para la gestión y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tratamiento de residuos y su transformación y reutilización para un posterior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aprovechamiento energético o como elemento de fertilización orgánica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alternativa a la química o mineral constituyen estrategias que no solo están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contribuyendo a dar respuestas a la situación de emergencia climática y a la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necesidad de abordar una progresiva descarbonización de la economía, sino que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suponen, además, un factor clave de sostenibilidad y competitividad en el sector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primario. Es este, por tanto, un camino de futuro y, al mismo tiempo, una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oportunidad para que las personas, familias y empresas agrícolas y ganaderas de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Navarra puedan afrontar con garantías de futuro los desafíos a los que se está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enfrentando el sector primario de la Comunidad Foral, que actualmente, atraviesa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un momento crítico en el conjunto de Europa.</w:t>
      </w:r>
    </w:p>
    <w:p w14:paraId="653BD867" w14:textId="71A851F5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Al mismo tiempo, estas estrategias deben ser compatibles con los principios de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equilibrio territorial sostenible, el interés general de los municipios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comprometidos con las instalaciones de infraestructuras de energías renovables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y economía circular en su entorno, el bienestar y la calidad de vida de su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ciudadanía. De esta manera, estas implantaciones deben garantizar la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sostenibilidad en su triple vertiente ambiental, económica y social y es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responsabilidad de las administraciones públicas, foral o municipales, velar por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ello.</w:t>
      </w:r>
    </w:p>
    <w:p w14:paraId="71F6BD22" w14:textId="3DAAE561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El biometano es una fuente de energía renovable que se obtiene del proceso de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tratamiento de los distintos residuos orgánicos biodegradables que se generan en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las explotaciones agroganaderas para que puedan ser reutilizados en un ámbito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cercano. Hay no pocas empresas interesadas en implantar plantas de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biometanización en distintos emplazamientos de la geografía foral,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fundamentalmente en localidades de la Ribera Alta, Ribera de Tudela y Zona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Media, y esto puede ser, indudablemente, una oportunidad para el sector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primario, pero también requiere de un marco de planificación, regulación y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consenso con los agentes afectados para evitar un desarrollo desmedido y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garantizar que su implantación se realice de una manera ordenada y de acuerdo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con los principios de sostenibilidad ambiental y territorial.</w:t>
      </w:r>
    </w:p>
    <w:p w14:paraId="41D40F3E" w14:textId="57DDBAEC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Actualmente, Navarra cuenta con seis plantas de biometanización que están ya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autorizadas (en Lerín, Caparroso, Tudela, Cabanillas, Mendigorria y Arakil), otras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ocho están tramitando la correspondiente autorización ambiental ante la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Administración foral y tres más han realizado consultas previas al proyecto. En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total, 17 proyectos en distintas comarcas, lo que implica que la Administración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foral debe abordar estos proyectos desde una visión global y ser garante de su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desarrollo de manera equilibrada, atendiendo al interés general y territorial y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contando con las entidades locales afectadas.</w:t>
      </w:r>
    </w:p>
    <w:p w14:paraId="17F057DA" w14:textId="0A31CF2A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Asimismo, las dimensiones de las plantas proyectadas difieren sustancialmente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unas de otras (desde las 213.000 toneladas año previstas en Murillo el Cuende,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las 184.000 en Sesma, 140.000 en Arróniz o 124.000 en Viana, hasta otras más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reducidas como las 53.000 en Cabanillas, 45.000 en Valtierra o 26.000 en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Artajona).</w:t>
      </w:r>
    </w:p>
    <w:p w14:paraId="27CC7B0F" w14:textId="1C4CEC8A" w:rsid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lastRenderedPageBreak/>
        <w:t>La Administración debe velar también para que cada una de estas plantas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establezcan rigurosos sistemas de control de la procedencia y trazabilidad de los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residuos que reciban, el cumplimiento del plan de gestión en depósitos cubiertos,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el uso de la fertilización o energía resultante en un entorno cercano, el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cumplimiento de las distancias mínimas respecto de explotaciones agrarias o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núcleos urbanos, el control de la movilidad de tráfico pesado, las mediciones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periódicas de olfatometrías, entre otros requisitos exigibles.</w:t>
      </w:r>
    </w:p>
    <w:p w14:paraId="60A04813" w14:textId="0B0D9727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Pero así como este tipo de proyectos deben cumplir con absoluto rigor todos los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requisitos técnicos que les exige la autorización ambiental correspondiente o el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ordenamiento urbanístico municipal, al mismo tiempo deben contar también con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la información previa, la participación y el consenso de las entidades locales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afectadas, no solo de aquellas en cuyo término municipal se vaya a implantar la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instalación, sino también de las localidades colindantes que, por su cercanía,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también se vayan a ver afectadas por este tipo de proyectos.</w:t>
      </w:r>
    </w:p>
    <w:p w14:paraId="343A43CB" w14:textId="3C4F9D1F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  <w:b/>
          <w:bCs/>
        </w:rPr>
      </w:pPr>
      <w:r w:rsidRPr="001D681E">
        <w:rPr>
          <w:rFonts w:ascii="Calibri" w:hAnsi="Calibri" w:cs="Calibri"/>
        </w:rPr>
        <w:t>Atendiendo a todas estas consideraciones, se propone la siguiente</w:t>
      </w:r>
      <w:r>
        <w:rPr>
          <w:rFonts w:ascii="Calibri" w:hAnsi="Calibri" w:cs="Calibri"/>
        </w:rPr>
        <w:t xml:space="preserve"> </w:t>
      </w:r>
      <w:r w:rsidR="00FC17D8" w:rsidRPr="00FC17D8">
        <w:rPr>
          <w:rFonts w:ascii="Calibri" w:hAnsi="Calibri" w:cs="Calibri"/>
        </w:rPr>
        <w:t>propuesta de resolución</w:t>
      </w:r>
      <w:r w:rsidR="00FC17D8">
        <w:rPr>
          <w:rFonts w:ascii="Calibri" w:hAnsi="Calibri" w:cs="Calibri"/>
        </w:rPr>
        <w:t>:</w:t>
      </w:r>
    </w:p>
    <w:p w14:paraId="6A1153F4" w14:textId="56C95607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1. El Parlamento de Navarra insta al Gobierno de Navarra a elaborar un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estudio de necesidades para la instalación de plantas de biometano en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Navarra.</w:t>
      </w:r>
    </w:p>
    <w:p w14:paraId="488B2310" w14:textId="7377A956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2. El Parlamento de Navarra insta al Gobierno de Navarra a que este tipo de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proyectos se trabajen no solo con el consenso de las localidades en cuyo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término municipal se prevén instalar, sino también de aquellas entidades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locales colindantes que por su cercanía también puedan verse afectadas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por las afecciones ambientales, paisajísticas o sociales que conlleva la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implantación de estas plantas.</w:t>
      </w:r>
    </w:p>
    <w:p w14:paraId="1A9DA0AF" w14:textId="51D356C6" w:rsidR="001D681E" w:rsidRP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3. En el proyecto concreto de la instalación de la planta de biometano en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Sesma, y a la vista de que no se ha conseguido el consenso social y municipal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sobre su ubicación con las localidades directamente afectadas,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especialmente con la localidad colindante de Lodosa, directamente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afectada porque la instalación se encuentra a escasos dos kilómetros de su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casco urbano, se insta al Ayuntamiento de Sesma y a la empresa promotora,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Biometano Sesma SL, a que modifiquen la ubicación planteada inicialmente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y estudien su traslado a una de las posibles alternativas que les ha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planteado el Departamento de Desarrollo Rural y Medio Ambiente del</w:t>
      </w:r>
      <w:r>
        <w:rPr>
          <w:rFonts w:ascii="Calibri" w:hAnsi="Calibri" w:cs="Calibri"/>
        </w:rPr>
        <w:t xml:space="preserve"> </w:t>
      </w:r>
      <w:r w:rsidRPr="001D681E">
        <w:rPr>
          <w:rFonts w:ascii="Calibri" w:hAnsi="Calibri" w:cs="Calibri"/>
        </w:rPr>
        <w:t>Gobierno de Navarra.</w:t>
      </w:r>
    </w:p>
    <w:p w14:paraId="2747A397" w14:textId="6396FFC4" w:rsid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 w:rsidRPr="001D681E">
        <w:rPr>
          <w:rFonts w:ascii="Calibri" w:hAnsi="Calibri" w:cs="Calibri"/>
        </w:rPr>
        <w:t>Pamplona- Iruña, 28 de agosto de 2025</w:t>
      </w:r>
    </w:p>
    <w:p w14:paraId="2DC5BFFA" w14:textId="05E01C88" w:rsidR="001D681E" w:rsidRDefault="001D681E" w:rsidP="001D681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</w:t>
      </w:r>
      <w:r w:rsidR="000F4FC7">
        <w:rPr>
          <w:rFonts w:ascii="Calibri" w:hAnsi="Calibri" w:cs="Calibri"/>
        </w:rPr>
        <w:t>Portavoz</w:t>
      </w:r>
      <w:r>
        <w:rPr>
          <w:rFonts w:ascii="Calibri" w:hAnsi="Calibri" w:cs="Calibri"/>
        </w:rPr>
        <w:t>: Pablo Azcona Molinet</w:t>
      </w:r>
    </w:p>
    <w:sectPr w:rsidR="001D6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09429">
    <w:abstractNumId w:val="3"/>
  </w:num>
  <w:num w:numId="2" w16cid:durableId="209614445">
    <w:abstractNumId w:val="0"/>
  </w:num>
  <w:num w:numId="3" w16cid:durableId="203179108">
    <w:abstractNumId w:val="1"/>
  </w:num>
  <w:num w:numId="4" w16cid:durableId="197710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69D5"/>
    <w:rsid w:val="0004082E"/>
    <w:rsid w:val="00085BFB"/>
    <w:rsid w:val="0009758C"/>
    <w:rsid w:val="000F4FC7"/>
    <w:rsid w:val="00100867"/>
    <w:rsid w:val="00105EF8"/>
    <w:rsid w:val="00111E9B"/>
    <w:rsid w:val="001760A0"/>
    <w:rsid w:val="00176970"/>
    <w:rsid w:val="001822B7"/>
    <w:rsid w:val="00185723"/>
    <w:rsid w:val="001A7341"/>
    <w:rsid w:val="001D286B"/>
    <w:rsid w:val="001D681E"/>
    <w:rsid w:val="002B5866"/>
    <w:rsid w:val="002C2CBA"/>
    <w:rsid w:val="002F1B15"/>
    <w:rsid w:val="002F7EA0"/>
    <w:rsid w:val="0032291E"/>
    <w:rsid w:val="003623C8"/>
    <w:rsid w:val="0038056F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15798"/>
    <w:rsid w:val="00627D2E"/>
    <w:rsid w:val="00653469"/>
    <w:rsid w:val="006747A5"/>
    <w:rsid w:val="006762DA"/>
    <w:rsid w:val="006820C6"/>
    <w:rsid w:val="006B37E8"/>
    <w:rsid w:val="006F16DD"/>
    <w:rsid w:val="00715306"/>
    <w:rsid w:val="0071689D"/>
    <w:rsid w:val="0072313D"/>
    <w:rsid w:val="00727D6C"/>
    <w:rsid w:val="00757E54"/>
    <w:rsid w:val="007B3740"/>
    <w:rsid w:val="00837E2E"/>
    <w:rsid w:val="008870F1"/>
    <w:rsid w:val="008C666C"/>
    <w:rsid w:val="008E408E"/>
    <w:rsid w:val="00911504"/>
    <w:rsid w:val="0094372D"/>
    <w:rsid w:val="00960EDB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B722E"/>
    <w:rsid w:val="00BD5B8E"/>
    <w:rsid w:val="00BF3DD5"/>
    <w:rsid w:val="00BF6CCC"/>
    <w:rsid w:val="00C00F48"/>
    <w:rsid w:val="00C111F9"/>
    <w:rsid w:val="00C507D2"/>
    <w:rsid w:val="00C65956"/>
    <w:rsid w:val="00CA58B1"/>
    <w:rsid w:val="00CA6AFD"/>
    <w:rsid w:val="00D10586"/>
    <w:rsid w:val="00D207D8"/>
    <w:rsid w:val="00D60FDA"/>
    <w:rsid w:val="00D81915"/>
    <w:rsid w:val="00DA5050"/>
    <w:rsid w:val="00E02692"/>
    <w:rsid w:val="00E62334"/>
    <w:rsid w:val="00E62EC0"/>
    <w:rsid w:val="00EB49AF"/>
    <w:rsid w:val="00EF52EE"/>
    <w:rsid w:val="00F326C3"/>
    <w:rsid w:val="00F81149"/>
    <w:rsid w:val="00F849C4"/>
    <w:rsid w:val="00FC17D8"/>
    <w:rsid w:val="00FD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921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6</cp:revision>
  <dcterms:created xsi:type="dcterms:W3CDTF">2025-08-29T07:04:00Z</dcterms:created>
  <dcterms:modified xsi:type="dcterms:W3CDTF">2025-09-02T07:20:00Z</dcterms:modified>
</cp:coreProperties>
</file>