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E5AD" w14:textId="03D1303E" w:rsidR="00212DB3" w:rsidRDefault="00212DB3" w:rsidP="00822CE4">
      <w:pPr>
        <w:jc w:val="both"/>
      </w:pPr>
      <w:r>
        <w:t xml:space="preserve">2025eko uztailaren 2a</w:t>
      </w:r>
    </w:p>
    <w:p w14:paraId="53AAEED5" w14:textId="69E02C6B" w:rsidR="00822CE4" w:rsidRPr="00822CE4" w:rsidRDefault="00822CE4" w:rsidP="00822CE4">
      <w:pPr>
        <w:jc w:val="both"/>
      </w:pPr>
      <w:r>
        <w:t xml:space="preserve">EH Bildu talde parlamentarioari atxikitako foru parlamentari Adolfo Araiz Flamarique jaunak 11-25/PES-00246 galdera egin zuen, idatziz erantzun zekion, Lizarran eta inguruetan hiriarteko garraio gisa jarduten duen Tierra Estella Bus/Lizarreria Bus autobus zerbitzuaren gainean. Bada, Nafarroako Gobernuko Lurralde Kohesiorako kontseilaria naizen aldetik, honako hau jakinarazten dut egindako galderei erantzunez:</w:t>
      </w:r>
    </w:p>
    <w:p w14:paraId="5F993AC4" w14:textId="77777777" w:rsidR="00822CE4" w:rsidRPr="00822CE4" w:rsidRDefault="00822CE4" w:rsidP="00822CE4">
      <w:pPr>
        <w:jc w:val="both"/>
        <w:rPr>
          <w:b/>
          <w:bCs/>
        </w:rPr>
      </w:pPr>
      <w:r>
        <w:rPr>
          <w:b/>
        </w:rPr>
        <w:t xml:space="preserve">1.- Nork kudeatzen ditu hiriarteko garraio-linea horiek?</w:t>
      </w:r>
    </w:p>
    <w:p w14:paraId="147065CB" w14:textId="77777777" w:rsidR="00822CE4" w:rsidRPr="00822CE4" w:rsidRDefault="00822CE4" w:rsidP="00822CE4">
      <w:pPr>
        <w:jc w:val="both"/>
      </w:pPr>
      <w:r>
        <w:t xml:space="preserve">Autobuses La Estellesa SL sozietateak.</w:t>
      </w:r>
    </w:p>
    <w:p w14:paraId="45CD427A" w14:textId="391516BD" w:rsidR="00822CE4" w:rsidRPr="00822CE4" w:rsidRDefault="00822CE4" w:rsidP="00822CE4">
      <w:pPr>
        <w:jc w:val="both"/>
        <w:rPr>
          <w:b/>
          <w:bCs/>
        </w:rPr>
      </w:pPr>
      <w:r>
        <w:rPr>
          <w:b/>
        </w:rPr>
        <w:t xml:space="preserve">2.- Zer eskumen ditu Departamentuak ibilbideak eta geralekuak antolatzeko orduan?</w:t>
      </w:r>
    </w:p>
    <w:p w14:paraId="6BCA812C" w14:textId="371E9A3D" w:rsidR="00822CE4" w:rsidRPr="00822CE4" w:rsidRDefault="00822CE4" w:rsidP="00822CE4">
      <w:pPr>
        <w:jc w:val="both"/>
      </w:pPr>
      <w:r>
        <w:t xml:space="preserve">Aintzat hartuta Nafarroako Foru Komunitateak dituen eskumen historikoak, Nafarroak ibilbide osoa bere lurraldean egiten duten garraio-zerbitzuen gaineko eskumena du, bai eta, Nafarroatik irtenda ere, ibilbidearen zatirik handiena bertan egiten dutenena ere. Nafarroako eskumen historikoak honako hauek ezarritako eskumen-esparruan daude indarrean: Espainiako Konstituzioa –148.1.5 eta 149.1.21 artikuluak, eta lehen xedapen gehigarria–; 13/1982 Lege Organikoa, abuztuaren 10ekoa, Nafarroako Foru Eraentza berrezarri eta Hobetzeari buruzkoa –49.1.f) eta 49.3 artikuluak–; eta 5/1987 Lege Organikoa, uztailaren 30ekoa, estatuak errepideko garraioari eta kable bidezko garraioari buruz dituen ahalmenak autonomia-erkidegoen esku uztekoa –1.2 artikulua eta xedapen gehigarria–.</w:t>
      </w:r>
    </w:p>
    <w:p w14:paraId="5EDB4448" w14:textId="77777777" w:rsidR="00822CE4" w:rsidRDefault="00822CE4" w:rsidP="00822CE4">
      <w:pPr>
        <w:jc w:val="both"/>
      </w:pPr>
      <w:r>
        <w:t xml:space="preserve">Bada, dituen eskumen barruan, Nafarroako Foru Komunitateko Administrazioak zerbitzuen planifikazioa gauzatzen du lizitazioen aurretik, errepide bidezko garraio publikoko zerbitzuen kontratazio-espedienteak kudeatzen ditu eta errepide bidezko garraio publikoko zerbitzuen jarraipena egiten du.</w:t>
      </w:r>
      <w:r>
        <w:t xml:space="preserve"> </w:t>
      </w:r>
    </w:p>
    <w:p w14:paraId="360C8512" w14:textId="48F7A0A9" w:rsidR="00822CE4" w:rsidRPr="00822CE4" w:rsidRDefault="00822CE4" w:rsidP="00822CE4">
      <w:pPr>
        <w:jc w:val="both"/>
      </w:pPr>
      <w:r>
        <w:t xml:space="preserve">Behin kontratuak indarrean daudenean, ibilbideen eta geralekuen aldaketak kontratuan bertan eta sektoreko araudian erregulatzen dira, hau da, 16/1987 Legea, uztailaren 30ekoa, lurreko garraioen antolamenduari buruzkoa, eta 1211/1990 Errege Dekretua, irailaren 28koa, Lurreko Garraioen Antolamenduari buruzko Legearen Erregelamendua onesten duena.</w:t>
      </w:r>
    </w:p>
    <w:p w14:paraId="25A31A07" w14:textId="0D60176A" w:rsidR="00822CE4" w:rsidRPr="00822CE4" w:rsidRDefault="00822CE4" w:rsidP="00822CE4">
      <w:pPr>
        <w:jc w:val="both"/>
        <w:rPr>
          <w:b/>
          <w:bCs/>
        </w:rPr>
      </w:pPr>
      <w:r>
        <w:rPr>
          <w:b/>
        </w:rPr>
        <w:t xml:space="preserve">Ba al dago administrazio-emakidarik garraio-lerro horiek kudeatzeko?</w:t>
      </w:r>
    </w:p>
    <w:p w14:paraId="0073D754" w14:textId="578D67F7" w:rsidR="00822CE4" w:rsidRPr="00822CE4" w:rsidRDefault="00822CE4" w:rsidP="00822CE4">
      <w:pPr>
        <w:jc w:val="both"/>
      </w:pPr>
      <w:r>
        <w:t xml:space="preserve">Bai, Tierra Estella Bus/Lizarrerria Bus, Lizarra eta inguruko Abartzuza, Aiegi, Oteiza, Villatuerta eta Bearin (Deierri) herrien arteko zerbitzuak areagotzeko ezarri zena. Horretarako, Herri Lan, Garraio eta Komunikazioetako kontseilariaren uztailaren 28ko 719/2004 Lege Aginduaren bidez moldatu zen errepide bidezko bidaiarien erabilera orokorreko garraio publiko erregularreko zerbitzuen emakida Iruña eta Logroño artean, honako desbideratzeak ere aintzat hartuta: Aguilar Kodes-Lizarra, Los Arcos-Otiñano-Acedo-Lizarra, Azagra-Calahorra-Lizarra, Sartaguda-Lizarra, Mendabia-Los Arcos-Lizarra, Iruña-Lizarra Jaitzetik igarota, eta Arroitz-Lizarra Aiegitik igarota (VNA-011).</w:t>
      </w:r>
    </w:p>
    <w:p w14:paraId="7B50026B" w14:textId="755863E8" w:rsidR="00822CE4" w:rsidRPr="00822CE4" w:rsidRDefault="00822CE4" w:rsidP="00822CE4">
      <w:pPr>
        <w:jc w:val="both"/>
        <w:rPr>
          <w:b/>
          <w:bCs/>
        </w:rPr>
      </w:pPr>
      <w:r>
        <w:rPr>
          <w:b/>
        </w:rPr>
        <w:t xml:space="preserve">3.- Zer dirulaguntza jaso ditu, halakorik jaso baldin badu, hiriarteko garraio-linea horiek kudeatzen dituen pertsona juridikoak, ezarri zirenetik gaur egun arte?</w:t>
      </w:r>
    </w:p>
    <w:p w14:paraId="0F3F98CB" w14:textId="596CDAE6" w:rsidR="00822CE4" w:rsidRPr="00822CE4" w:rsidRDefault="00822CE4" w:rsidP="00822CE4">
      <w:pPr>
        <w:jc w:val="both"/>
      </w:pPr>
      <w:r>
        <w:t xml:space="preserve">Tierra Estella Bus/Lizarrerria Bus-en ustiapena defizitarioa zenez, inplikatutako administrazioen finantzaketa jasotzen zuen horretarako espresuki sinatutako lankidetza-hitzarmenen bidez. Zehazki, hitzarmenak garaiko Herri Lan, Garraio eta Komunikazio Departamentuak eta inplikatutako udalek sinatu zituzten, eta oraindik ere aplikatzen dira.</w:t>
      </w:r>
    </w:p>
    <w:p w14:paraId="76D3091F" w14:textId="05ED050D" w:rsidR="001822B7" w:rsidRDefault="00822CE4" w:rsidP="00822CE4">
      <w:pPr>
        <w:jc w:val="both"/>
      </w:pPr>
      <w:r>
        <w:t xml:space="preserve">Hitzarmenetan ezarritakoa aplikatuz, Departamenduak ustiapen-defizita honako zenbateko hauekin finantzatu du:</w:t>
      </w:r>
    </w:p>
    <w:p w14:paraId="15543827" w14:textId="77777777" w:rsidR="00822CE4" w:rsidRPr="00822CE4" w:rsidRDefault="00822CE4" w:rsidP="00822CE4">
      <w:pPr>
        <w:jc w:val="both"/>
      </w:pPr>
    </w:p>
    <w:tbl>
      <w:tblPr>
        <w:tblW w:w="0" w:type="auto"/>
        <w:tblInd w:w="3201" w:type="dxa"/>
        <w:tblLayout w:type="fixed"/>
        <w:tblCellMar>
          <w:left w:w="0" w:type="dxa"/>
          <w:right w:w="0" w:type="dxa"/>
        </w:tblCellMar>
        <w:tblLook w:val="0000" w:firstRow="0" w:lastRow="0" w:firstColumn="0" w:lastColumn="0" w:noHBand="0" w:noVBand="0"/>
      </w:tblPr>
      <w:tblGrid>
        <w:gridCol w:w="1028"/>
        <w:gridCol w:w="1201"/>
      </w:tblGrid>
      <w:tr w:rsidR="00822CE4" w:rsidRPr="00822CE4" w14:paraId="5C1BAAA0" w14:textId="77777777">
        <w:tblPrEx>
          <w:tblCellMar>
            <w:top w:w="0" w:type="dxa"/>
            <w:left w:w="0" w:type="dxa"/>
            <w:bottom w:w="0" w:type="dxa"/>
            <w:right w:w="0" w:type="dxa"/>
          </w:tblCellMar>
        </w:tblPrEx>
        <w:trPr>
          <w:trHeight w:hRule="exact" w:val="446"/>
        </w:trPr>
        <w:tc>
          <w:tcPr>
            <w:tcW w:w="1028" w:type="dxa"/>
            <w:tcBorders>
              <w:top w:val="single" w:sz="6" w:space="0" w:color="000000"/>
              <w:left w:val="single" w:sz="6" w:space="0" w:color="000000"/>
              <w:bottom w:val="single" w:sz="3" w:space="0" w:color="000000"/>
              <w:right w:val="single" w:sz="3" w:space="0" w:color="000000"/>
            </w:tcBorders>
          </w:tcPr>
          <w:p w14:paraId="5AFAFEEB" w14:textId="77777777" w:rsidR="00822CE4" w:rsidRPr="00822CE4" w:rsidRDefault="00822CE4" w:rsidP="00822CE4">
            <w:pPr>
              <w:jc w:val="both"/>
            </w:pPr>
            <w:r>
              <w:rPr>
                <w:b/>
              </w:rPr>
              <w:t xml:space="preserve">Urtea</w:t>
            </w:r>
          </w:p>
        </w:tc>
        <w:tc>
          <w:tcPr>
            <w:tcW w:w="1201" w:type="dxa"/>
            <w:tcBorders>
              <w:top w:val="single" w:sz="6" w:space="0" w:color="000000"/>
              <w:left w:val="single" w:sz="3" w:space="0" w:color="000000"/>
              <w:bottom w:val="single" w:sz="3" w:space="0" w:color="000000"/>
              <w:right w:val="single" w:sz="6" w:space="0" w:color="000000"/>
            </w:tcBorders>
          </w:tcPr>
          <w:p w14:paraId="6A125389" w14:textId="77777777" w:rsidR="00822CE4" w:rsidRPr="00822CE4" w:rsidRDefault="00822CE4" w:rsidP="00822CE4">
            <w:pPr>
              <w:jc w:val="both"/>
            </w:pPr>
            <w:r>
              <w:rPr>
                <w:b/>
              </w:rPr>
              <w:t xml:space="preserve">Zenbatekoa eurotan</w:t>
            </w:r>
          </w:p>
        </w:tc>
      </w:tr>
      <w:tr w:rsidR="00822CE4" w:rsidRPr="00822CE4" w14:paraId="675B02B3" w14:textId="77777777">
        <w:tblPrEx>
          <w:tblCellMar>
            <w:top w:w="0" w:type="dxa"/>
            <w:left w:w="0" w:type="dxa"/>
            <w:bottom w:w="0" w:type="dxa"/>
            <w:right w:w="0" w:type="dxa"/>
          </w:tblCellMar>
        </w:tblPrEx>
        <w:trPr>
          <w:trHeight w:hRule="exact" w:val="442"/>
        </w:trPr>
        <w:tc>
          <w:tcPr>
            <w:tcW w:w="1028" w:type="dxa"/>
            <w:tcBorders>
              <w:top w:val="single" w:sz="3" w:space="0" w:color="000000"/>
              <w:left w:val="single" w:sz="6" w:space="0" w:color="000000"/>
              <w:bottom w:val="single" w:sz="3" w:space="0" w:color="000000"/>
              <w:right w:val="single" w:sz="3" w:space="0" w:color="000000"/>
            </w:tcBorders>
          </w:tcPr>
          <w:p w14:paraId="2C6D9FA2" w14:textId="77777777" w:rsidR="00822CE4" w:rsidRPr="00822CE4" w:rsidRDefault="00822CE4" w:rsidP="00822CE4">
            <w:pPr>
              <w:jc w:val="both"/>
            </w:pPr>
            <w:r>
              <w:t xml:space="preserve">2004</w:t>
            </w:r>
          </w:p>
        </w:tc>
        <w:tc>
          <w:tcPr>
            <w:tcW w:w="1201" w:type="dxa"/>
            <w:tcBorders>
              <w:top w:val="single" w:sz="3" w:space="0" w:color="000000"/>
              <w:left w:val="single" w:sz="3" w:space="0" w:color="000000"/>
              <w:bottom w:val="single" w:sz="3" w:space="0" w:color="000000"/>
              <w:right w:val="single" w:sz="6" w:space="0" w:color="000000"/>
            </w:tcBorders>
          </w:tcPr>
          <w:p w14:paraId="0491C5B9" w14:textId="77777777" w:rsidR="00822CE4" w:rsidRPr="00822CE4" w:rsidRDefault="00822CE4" w:rsidP="00822CE4">
            <w:pPr>
              <w:jc w:val="both"/>
            </w:pPr>
            <w:r>
              <w:t xml:space="preserve">45.532,77</w:t>
            </w:r>
          </w:p>
        </w:tc>
      </w:tr>
      <w:tr w:rsidR="00822CE4" w:rsidRPr="00822CE4" w14:paraId="195AE59B"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29838B95" w14:textId="77777777" w:rsidR="00822CE4" w:rsidRPr="00822CE4" w:rsidRDefault="00822CE4" w:rsidP="00822CE4">
            <w:pPr>
              <w:jc w:val="both"/>
            </w:pPr>
            <w:r>
              <w:t xml:space="preserve">2005</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368EA4F4" w14:textId="77777777" w:rsidR="00822CE4" w:rsidRPr="00822CE4" w:rsidRDefault="00822CE4" w:rsidP="00822CE4">
            <w:pPr>
              <w:jc w:val="both"/>
            </w:pPr>
            <w:r>
              <w:t xml:space="preserve">144.815,77</w:t>
            </w:r>
          </w:p>
        </w:tc>
      </w:tr>
      <w:tr w:rsidR="00822CE4" w:rsidRPr="00822CE4" w14:paraId="282D48B0"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4F27314B" w14:textId="77777777" w:rsidR="00822CE4" w:rsidRPr="00822CE4" w:rsidRDefault="00822CE4" w:rsidP="00822CE4">
            <w:pPr>
              <w:jc w:val="both"/>
            </w:pPr>
            <w:r>
              <w:t xml:space="preserve">2006</w:t>
            </w:r>
          </w:p>
        </w:tc>
        <w:tc>
          <w:tcPr>
            <w:tcW w:w="1201" w:type="dxa"/>
            <w:tcBorders>
              <w:top w:val="single" w:sz="3" w:space="0" w:color="000000"/>
              <w:left w:val="single" w:sz="3" w:space="0" w:color="000000"/>
              <w:bottom w:val="single" w:sz="3" w:space="0" w:color="000000"/>
              <w:right w:val="single" w:sz="6" w:space="0" w:color="000000"/>
            </w:tcBorders>
          </w:tcPr>
          <w:p w14:paraId="2D9AD6C0" w14:textId="77777777" w:rsidR="00822CE4" w:rsidRPr="00822CE4" w:rsidRDefault="00822CE4" w:rsidP="00822CE4">
            <w:pPr>
              <w:jc w:val="both"/>
            </w:pPr>
            <w:r>
              <w:t xml:space="preserve">159.130,00</w:t>
            </w:r>
          </w:p>
        </w:tc>
      </w:tr>
      <w:tr w:rsidR="00822CE4" w:rsidRPr="00822CE4" w14:paraId="2F779F21"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6C4A3F9B" w14:textId="77777777" w:rsidR="00822CE4" w:rsidRPr="00822CE4" w:rsidRDefault="00822CE4" w:rsidP="00822CE4">
            <w:pPr>
              <w:jc w:val="both"/>
            </w:pPr>
            <w:r>
              <w:t xml:space="preserve">2007</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77771BEF" w14:textId="77777777" w:rsidR="00822CE4" w:rsidRPr="00822CE4" w:rsidRDefault="00822CE4" w:rsidP="00822CE4">
            <w:pPr>
              <w:jc w:val="both"/>
            </w:pPr>
            <w:r>
              <w:t xml:space="preserve">149.880,65</w:t>
            </w:r>
          </w:p>
        </w:tc>
      </w:tr>
      <w:tr w:rsidR="00822CE4" w:rsidRPr="00822CE4" w14:paraId="39007B32" w14:textId="77777777">
        <w:tblPrEx>
          <w:tblCellMar>
            <w:top w:w="0" w:type="dxa"/>
            <w:left w:w="0" w:type="dxa"/>
            <w:bottom w:w="0" w:type="dxa"/>
            <w:right w:w="0" w:type="dxa"/>
          </w:tblCellMar>
        </w:tblPrEx>
        <w:trPr>
          <w:trHeight w:hRule="exact" w:val="442"/>
        </w:trPr>
        <w:tc>
          <w:tcPr>
            <w:tcW w:w="1028" w:type="dxa"/>
            <w:tcBorders>
              <w:top w:val="single" w:sz="3" w:space="0" w:color="000000"/>
              <w:left w:val="single" w:sz="6" w:space="0" w:color="000000"/>
              <w:bottom w:val="single" w:sz="3" w:space="0" w:color="000000"/>
              <w:right w:val="single" w:sz="3" w:space="0" w:color="000000"/>
            </w:tcBorders>
          </w:tcPr>
          <w:p w14:paraId="1B207FD8" w14:textId="77777777" w:rsidR="00822CE4" w:rsidRPr="00822CE4" w:rsidRDefault="00822CE4" w:rsidP="00822CE4">
            <w:pPr>
              <w:jc w:val="both"/>
            </w:pPr>
            <w:r>
              <w:t xml:space="preserve">2008</w:t>
            </w:r>
          </w:p>
        </w:tc>
        <w:tc>
          <w:tcPr>
            <w:tcW w:w="1201" w:type="dxa"/>
            <w:tcBorders>
              <w:top w:val="single" w:sz="3" w:space="0" w:color="000000"/>
              <w:left w:val="single" w:sz="3" w:space="0" w:color="000000"/>
              <w:bottom w:val="single" w:sz="3" w:space="0" w:color="000000"/>
              <w:right w:val="single" w:sz="6" w:space="0" w:color="000000"/>
            </w:tcBorders>
          </w:tcPr>
          <w:p w14:paraId="48D5468D" w14:textId="77777777" w:rsidR="00822CE4" w:rsidRPr="00822CE4" w:rsidRDefault="00822CE4" w:rsidP="00822CE4">
            <w:pPr>
              <w:jc w:val="both"/>
            </w:pPr>
            <w:r>
              <w:t xml:space="preserve">169.369,41</w:t>
            </w:r>
          </w:p>
        </w:tc>
      </w:tr>
      <w:tr w:rsidR="00822CE4" w:rsidRPr="00822CE4" w14:paraId="3B9799FC"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6282FD30" w14:textId="77777777" w:rsidR="00822CE4" w:rsidRPr="00822CE4" w:rsidRDefault="00822CE4" w:rsidP="00822CE4">
            <w:pPr>
              <w:jc w:val="both"/>
            </w:pPr>
            <w:r>
              <w:t xml:space="preserve">2009</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5637F3FA" w14:textId="77777777" w:rsidR="00822CE4" w:rsidRPr="00822CE4" w:rsidRDefault="00822CE4" w:rsidP="00822CE4">
            <w:pPr>
              <w:jc w:val="both"/>
            </w:pPr>
            <w:r>
              <w:t xml:space="preserve">204.564,52</w:t>
            </w:r>
          </w:p>
        </w:tc>
      </w:tr>
      <w:tr w:rsidR="00822CE4" w:rsidRPr="00822CE4" w14:paraId="4127F030"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41FB1C0F" w14:textId="77777777" w:rsidR="00822CE4" w:rsidRPr="00822CE4" w:rsidRDefault="00822CE4" w:rsidP="00822CE4">
            <w:pPr>
              <w:jc w:val="both"/>
            </w:pPr>
            <w:r>
              <w:t xml:space="preserve">2010</w:t>
            </w:r>
          </w:p>
        </w:tc>
        <w:tc>
          <w:tcPr>
            <w:tcW w:w="1201" w:type="dxa"/>
            <w:tcBorders>
              <w:top w:val="single" w:sz="3" w:space="0" w:color="000000"/>
              <w:left w:val="single" w:sz="3" w:space="0" w:color="000000"/>
              <w:bottom w:val="single" w:sz="3" w:space="0" w:color="000000"/>
              <w:right w:val="single" w:sz="6" w:space="0" w:color="000000"/>
            </w:tcBorders>
          </w:tcPr>
          <w:p w14:paraId="5970382D" w14:textId="77777777" w:rsidR="00822CE4" w:rsidRPr="00822CE4" w:rsidRDefault="00822CE4" w:rsidP="00822CE4">
            <w:pPr>
              <w:jc w:val="both"/>
            </w:pPr>
            <w:r>
              <w:t xml:space="preserve">204.863,59</w:t>
            </w:r>
          </w:p>
        </w:tc>
      </w:tr>
      <w:tr w:rsidR="00822CE4" w:rsidRPr="00822CE4" w14:paraId="072A6C8B"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3436331C" w14:textId="77777777" w:rsidR="00822CE4" w:rsidRPr="00822CE4" w:rsidRDefault="00822CE4" w:rsidP="00822CE4">
            <w:pPr>
              <w:jc w:val="both"/>
            </w:pPr>
            <w:r>
              <w:t xml:space="preserve">2011</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1E539290" w14:textId="77777777" w:rsidR="00822CE4" w:rsidRPr="00822CE4" w:rsidRDefault="00822CE4" w:rsidP="00822CE4">
            <w:pPr>
              <w:jc w:val="both"/>
            </w:pPr>
            <w:r>
              <w:t xml:space="preserve">209.282,32</w:t>
            </w:r>
          </w:p>
        </w:tc>
      </w:tr>
      <w:tr w:rsidR="00822CE4" w:rsidRPr="00822CE4" w14:paraId="04D07CF0" w14:textId="77777777">
        <w:tblPrEx>
          <w:tblCellMar>
            <w:top w:w="0" w:type="dxa"/>
            <w:left w:w="0" w:type="dxa"/>
            <w:bottom w:w="0" w:type="dxa"/>
            <w:right w:w="0" w:type="dxa"/>
          </w:tblCellMar>
        </w:tblPrEx>
        <w:trPr>
          <w:trHeight w:hRule="exact" w:val="441"/>
        </w:trPr>
        <w:tc>
          <w:tcPr>
            <w:tcW w:w="1028" w:type="dxa"/>
            <w:tcBorders>
              <w:top w:val="single" w:sz="3" w:space="0" w:color="000000"/>
              <w:left w:val="single" w:sz="6" w:space="0" w:color="000000"/>
              <w:bottom w:val="single" w:sz="3" w:space="0" w:color="000000"/>
              <w:right w:val="single" w:sz="3" w:space="0" w:color="000000"/>
            </w:tcBorders>
          </w:tcPr>
          <w:p w14:paraId="0192B5E4" w14:textId="77777777" w:rsidR="00822CE4" w:rsidRPr="00822CE4" w:rsidRDefault="00822CE4" w:rsidP="00822CE4">
            <w:pPr>
              <w:jc w:val="both"/>
            </w:pPr>
            <w:r>
              <w:t xml:space="preserve">2012</w:t>
            </w:r>
          </w:p>
        </w:tc>
        <w:tc>
          <w:tcPr>
            <w:tcW w:w="1201" w:type="dxa"/>
            <w:tcBorders>
              <w:top w:val="single" w:sz="3" w:space="0" w:color="000000"/>
              <w:left w:val="single" w:sz="3" w:space="0" w:color="000000"/>
              <w:bottom w:val="single" w:sz="3" w:space="0" w:color="000000"/>
              <w:right w:val="single" w:sz="6" w:space="0" w:color="000000"/>
            </w:tcBorders>
          </w:tcPr>
          <w:p w14:paraId="74589170" w14:textId="77777777" w:rsidR="00822CE4" w:rsidRPr="00822CE4" w:rsidRDefault="00822CE4" w:rsidP="00822CE4">
            <w:pPr>
              <w:jc w:val="both"/>
            </w:pPr>
            <w:r>
              <w:t xml:space="preserve">212.415,32</w:t>
            </w:r>
          </w:p>
        </w:tc>
      </w:tr>
      <w:tr w:rsidR="00822CE4" w:rsidRPr="00822CE4" w14:paraId="1FED392B" w14:textId="77777777">
        <w:tblPrEx>
          <w:tblCellMar>
            <w:top w:w="0" w:type="dxa"/>
            <w:left w:w="0" w:type="dxa"/>
            <w:bottom w:w="0" w:type="dxa"/>
            <w:right w:w="0" w:type="dxa"/>
          </w:tblCellMar>
        </w:tblPrEx>
        <w:trPr>
          <w:trHeight w:hRule="exact" w:val="441"/>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4D55BCF5" w14:textId="77777777" w:rsidR="00822CE4" w:rsidRPr="00822CE4" w:rsidRDefault="00822CE4" w:rsidP="00822CE4">
            <w:pPr>
              <w:jc w:val="both"/>
            </w:pPr>
            <w:r>
              <w:t xml:space="preserve">2013</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6D3EDE90" w14:textId="77777777" w:rsidR="00822CE4" w:rsidRPr="00822CE4" w:rsidRDefault="00822CE4" w:rsidP="00822CE4">
            <w:pPr>
              <w:jc w:val="both"/>
            </w:pPr>
            <w:r>
              <w:t xml:space="preserve">215.548,11</w:t>
            </w:r>
          </w:p>
        </w:tc>
      </w:tr>
      <w:tr w:rsidR="00822CE4" w:rsidRPr="00822CE4" w14:paraId="693B466B"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6AB6EE07" w14:textId="77777777" w:rsidR="00822CE4" w:rsidRPr="00822CE4" w:rsidRDefault="00822CE4" w:rsidP="00822CE4">
            <w:pPr>
              <w:jc w:val="both"/>
            </w:pPr>
            <w:r>
              <w:t xml:space="preserve">2014</w:t>
            </w:r>
          </w:p>
        </w:tc>
        <w:tc>
          <w:tcPr>
            <w:tcW w:w="1201" w:type="dxa"/>
            <w:tcBorders>
              <w:top w:val="single" w:sz="3" w:space="0" w:color="000000"/>
              <w:left w:val="single" w:sz="3" w:space="0" w:color="000000"/>
              <w:bottom w:val="single" w:sz="3" w:space="0" w:color="000000"/>
              <w:right w:val="single" w:sz="6" w:space="0" w:color="000000"/>
            </w:tcBorders>
          </w:tcPr>
          <w:p w14:paraId="06D6605B" w14:textId="77777777" w:rsidR="00822CE4" w:rsidRPr="00822CE4" w:rsidRDefault="00822CE4" w:rsidP="00822CE4">
            <w:pPr>
              <w:jc w:val="both"/>
            </w:pPr>
            <w:r>
              <w:t xml:space="preserve">212.270,14</w:t>
            </w:r>
          </w:p>
        </w:tc>
      </w:tr>
      <w:tr w:rsidR="00822CE4" w:rsidRPr="00822CE4" w14:paraId="410DBF43"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22095C07" w14:textId="77777777" w:rsidR="00822CE4" w:rsidRPr="00822CE4" w:rsidRDefault="00822CE4" w:rsidP="00822CE4">
            <w:pPr>
              <w:jc w:val="both"/>
            </w:pPr>
            <w:r>
              <w:t xml:space="preserve">2015</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5C1C3442" w14:textId="77777777" w:rsidR="00822CE4" w:rsidRPr="00822CE4" w:rsidRDefault="00822CE4" w:rsidP="00822CE4">
            <w:pPr>
              <w:jc w:val="both"/>
            </w:pPr>
            <w:r>
              <w:t xml:space="preserve">169.644,68</w:t>
            </w:r>
          </w:p>
        </w:tc>
      </w:tr>
      <w:tr w:rsidR="00822CE4" w:rsidRPr="00822CE4" w14:paraId="7D46CC5E" w14:textId="77777777">
        <w:tblPrEx>
          <w:tblCellMar>
            <w:top w:w="0" w:type="dxa"/>
            <w:left w:w="0" w:type="dxa"/>
            <w:bottom w:w="0" w:type="dxa"/>
            <w:right w:w="0" w:type="dxa"/>
          </w:tblCellMar>
        </w:tblPrEx>
        <w:trPr>
          <w:trHeight w:hRule="exact" w:val="441"/>
        </w:trPr>
        <w:tc>
          <w:tcPr>
            <w:tcW w:w="1028" w:type="dxa"/>
            <w:tcBorders>
              <w:top w:val="single" w:sz="3" w:space="0" w:color="000000"/>
              <w:left w:val="single" w:sz="6" w:space="0" w:color="000000"/>
              <w:bottom w:val="single" w:sz="3" w:space="0" w:color="000000"/>
              <w:right w:val="single" w:sz="3" w:space="0" w:color="000000"/>
            </w:tcBorders>
          </w:tcPr>
          <w:p w14:paraId="476F4DC6" w14:textId="77777777" w:rsidR="00822CE4" w:rsidRPr="00822CE4" w:rsidRDefault="00822CE4" w:rsidP="00822CE4">
            <w:pPr>
              <w:jc w:val="both"/>
            </w:pPr>
            <w:r>
              <w:t xml:space="preserve">2016</w:t>
            </w:r>
          </w:p>
        </w:tc>
        <w:tc>
          <w:tcPr>
            <w:tcW w:w="1201" w:type="dxa"/>
            <w:tcBorders>
              <w:top w:val="single" w:sz="3" w:space="0" w:color="000000"/>
              <w:left w:val="single" w:sz="3" w:space="0" w:color="000000"/>
              <w:bottom w:val="single" w:sz="3" w:space="0" w:color="000000"/>
              <w:right w:val="single" w:sz="6" w:space="0" w:color="000000"/>
            </w:tcBorders>
          </w:tcPr>
          <w:p w14:paraId="14077601" w14:textId="77777777" w:rsidR="00822CE4" w:rsidRPr="00822CE4" w:rsidRDefault="00822CE4" w:rsidP="00822CE4">
            <w:pPr>
              <w:jc w:val="both"/>
            </w:pPr>
            <w:r>
              <w:t xml:space="preserve">165.162,00</w:t>
            </w:r>
          </w:p>
        </w:tc>
      </w:tr>
      <w:tr w:rsidR="00822CE4" w:rsidRPr="00822CE4" w14:paraId="2A11A25C" w14:textId="77777777">
        <w:tblPrEx>
          <w:tblCellMar>
            <w:top w:w="0" w:type="dxa"/>
            <w:left w:w="0" w:type="dxa"/>
            <w:bottom w:w="0" w:type="dxa"/>
            <w:right w:w="0" w:type="dxa"/>
          </w:tblCellMar>
        </w:tblPrEx>
        <w:trPr>
          <w:trHeight w:hRule="exact" w:val="441"/>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201B2158" w14:textId="77777777" w:rsidR="00822CE4" w:rsidRPr="00822CE4" w:rsidRDefault="00822CE4" w:rsidP="00822CE4">
            <w:pPr>
              <w:jc w:val="both"/>
            </w:pPr>
            <w:r>
              <w:t xml:space="preserve">2017</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4BDAF5B9" w14:textId="77777777" w:rsidR="00822CE4" w:rsidRPr="00822CE4" w:rsidRDefault="00822CE4" w:rsidP="00822CE4">
            <w:pPr>
              <w:jc w:val="both"/>
            </w:pPr>
            <w:r>
              <w:t xml:space="preserve">163.082,22</w:t>
            </w:r>
          </w:p>
        </w:tc>
      </w:tr>
      <w:tr w:rsidR="00822CE4" w:rsidRPr="00822CE4" w14:paraId="70025690"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018E6956" w14:textId="77777777" w:rsidR="00822CE4" w:rsidRPr="00822CE4" w:rsidRDefault="00822CE4" w:rsidP="00822CE4">
            <w:pPr>
              <w:jc w:val="both"/>
            </w:pPr>
            <w:r>
              <w:t xml:space="preserve">2018</w:t>
            </w:r>
          </w:p>
        </w:tc>
        <w:tc>
          <w:tcPr>
            <w:tcW w:w="1201" w:type="dxa"/>
            <w:tcBorders>
              <w:top w:val="single" w:sz="3" w:space="0" w:color="000000"/>
              <w:left w:val="single" w:sz="3" w:space="0" w:color="000000"/>
              <w:bottom w:val="single" w:sz="3" w:space="0" w:color="000000"/>
              <w:right w:val="single" w:sz="6" w:space="0" w:color="000000"/>
            </w:tcBorders>
          </w:tcPr>
          <w:p w14:paraId="4F6BA769" w14:textId="77777777" w:rsidR="00822CE4" w:rsidRPr="00822CE4" w:rsidRDefault="00822CE4" w:rsidP="00822CE4">
            <w:pPr>
              <w:jc w:val="both"/>
            </w:pPr>
            <w:r>
              <w:t xml:space="preserve">118.346,54</w:t>
            </w:r>
          </w:p>
        </w:tc>
      </w:tr>
      <w:tr w:rsidR="00822CE4" w:rsidRPr="00822CE4" w14:paraId="46A3C410"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24BFBB70" w14:textId="77777777" w:rsidR="00822CE4" w:rsidRPr="00822CE4" w:rsidRDefault="00822CE4" w:rsidP="00822CE4">
            <w:pPr>
              <w:jc w:val="both"/>
            </w:pPr>
            <w:r>
              <w:t xml:space="preserve">2019</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6A868B88" w14:textId="77777777" w:rsidR="00822CE4" w:rsidRPr="00822CE4" w:rsidRDefault="00822CE4" w:rsidP="00822CE4">
            <w:pPr>
              <w:jc w:val="both"/>
            </w:pPr>
            <w:r>
              <w:t xml:space="preserve">139.724,28</w:t>
            </w:r>
          </w:p>
        </w:tc>
      </w:tr>
      <w:tr w:rsidR="00822CE4" w:rsidRPr="00822CE4" w14:paraId="46DB2165"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13A5639F" w14:textId="77777777" w:rsidR="00822CE4" w:rsidRPr="00822CE4" w:rsidRDefault="00822CE4" w:rsidP="00822CE4">
            <w:pPr>
              <w:jc w:val="both"/>
            </w:pPr>
            <w:r>
              <w:t xml:space="preserve">2020</w:t>
            </w:r>
          </w:p>
        </w:tc>
        <w:tc>
          <w:tcPr>
            <w:tcW w:w="1201" w:type="dxa"/>
            <w:tcBorders>
              <w:top w:val="single" w:sz="3" w:space="0" w:color="000000"/>
              <w:left w:val="single" w:sz="3" w:space="0" w:color="000000"/>
              <w:bottom w:val="single" w:sz="3" w:space="0" w:color="000000"/>
              <w:right w:val="single" w:sz="6" w:space="0" w:color="000000"/>
            </w:tcBorders>
          </w:tcPr>
          <w:p w14:paraId="4AEB7B04" w14:textId="77777777" w:rsidR="00822CE4" w:rsidRPr="00822CE4" w:rsidRDefault="00822CE4" w:rsidP="00822CE4">
            <w:pPr>
              <w:jc w:val="both"/>
            </w:pPr>
            <w:r>
              <w:t xml:space="preserve">134.313,32</w:t>
            </w:r>
          </w:p>
        </w:tc>
      </w:tr>
      <w:tr w:rsidR="00822CE4" w:rsidRPr="00822CE4" w14:paraId="0B7CBCA3" w14:textId="77777777">
        <w:tblPrEx>
          <w:tblCellMar>
            <w:top w:w="0" w:type="dxa"/>
            <w:left w:w="0" w:type="dxa"/>
            <w:bottom w:w="0" w:type="dxa"/>
            <w:right w:w="0" w:type="dxa"/>
          </w:tblCellMar>
        </w:tblPrEx>
        <w:trPr>
          <w:trHeight w:hRule="exact" w:val="442"/>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5F9CEA78" w14:textId="77777777" w:rsidR="00822CE4" w:rsidRPr="00822CE4" w:rsidRDefault="00822CE4" w:rsidP="00822CE4">
            <w:pPr>
              <w:jc w:val="both"/>
            </w:pPr>
            <w:r>
              <w:t xml:space="preserve">2021</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21DBE213" w14:textId="77777777" w:rsidR="00822CE4" w:rsidRPr="00822CE4" w:rsidRDefault="00822CE4" w:rsidP="00822CE4">
            <w:pPr>
              <w:jc w:val="both"/>
            </w:pPr>
            <w:r>
              <w:t xml:space="preserve">81.929,18</w:t>
            </w:r>
          </w:p>
        </w:tc>
      </w:tr>
      <w:tr w:rsidR="00822CE4" w:rsidRPr="00822CE4" w14:paraId="73144FB7"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4B5D6280" w14:textId="77777777" w:rsidR="00822CE4" w:rsidRPr="00822CE4" w:rsidRDefault="00822CE4" w:rsidP="00822CE4">
            <w:pPr>
              <w:jc w:val="both"/>
            </w:pPr>
            <w:r>
              <w:t xml:space="preserve">2022</w:t>
            </w:r>
          </w:p>
        </w:tc>
        <w:tc>
          <w:tcPr>
            <w:tcW w:w="1201" w:type="dxa"/>
            <w:tcBorders>
              <w:top w:val="single" w:sz="3" w:space="0" w:color="000000"/>
              <w:left w:val="single" w:sz="3" w:space="0" w:color="000000"/>
              <w:bottom w:val="single" w:sz="3" w:space="0" w:color="000000"/>
              <w:right w:val="single" w:sz="6" w:space="0" w:color="000000"/>
            </w:tcBorders>
          </w:tcPr>
          <w:p w14:paraId="5898A58F" w14:textId="77777777" w:rsidR="00822CE4" w:rsidRPr="00822CE4" w:rsidRDefault="00822CE4" w:rsidP="00822CE4">
            <w:pPr>
              <w:jc w:val="both"/>
            </w:pPr>
            <w:r>
              <w:t xml:space="preserve">111.541,21</w:t>
            </w:r>
          </w:p>
        </w:tc>
      </w:tr>
      <w:tr w:rsidR="00822CE4" w:rsidRPr="00822CE4" w14:paraId="19A605AB"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shd w:val="clear" w:color="auto" w:fill="F1F1F1"/>
          </w:tcPr>
          <w:p w14:paraId="6D43077A" w14:textId="77777777" w:rsidR="00822CE4" w:rsidRPr="00822CE4" w:rsidRDefault="00822CE4" w:rsidP="00822CE4">
            <w:pPr>
              <w:jc w:val="both"/>
            </w:pPr>
            <w:r>
              <w:t xml:space="preserve">2023</w:t>
            </w:r>
          </w:p>
        </w:tc>
        <w:tc>
          <w:tcPr>
            <w:tcW w:w="1201" w:type="dxa"/>
            <w:tcBorders>
              <w:top w:val="single" w:sz="3" w:space="0" w:color="000000"/>
              <w:left w:val="single" w:sz="3" w:space="0" w:color="000000"/>
              <w:bottom w:val="single" w:sz="3" w:space="0" w:color="000000"/>
              <w:right w:val="single" w:sz="6" w:space="0" w:color="000000"/>
            </w:tcBorders>
            <w:shd w:val="clear" w:color="auto" w:fill="F1F1F1"/>
          </w:tcPr>
          <w:p w14:paraId="3F82D805" w14:textId="77777777" w:rsidR="00822CE4" w:rsidRPr="00822CE4" w:rsidRDefault="00822CE4" w:rsidP="00822CE4">
            <w:pPr>
              <w:jc w:val="both"/>
            </w:pPr>
            <w:r>
              <w:t xml:space="preserve">122.026,44</w:t>
            </w:r>
          </w:p>
        </w:tc>
      </w:tr>
      <w:tr w:rsidR="00822CE4" w:rsidRPr="00822CE4" w14:paraId="71FCB370" w14:textId="77777777">
        <w:tblPrEx>
          <w:tblCellMar>
            <w:top w:w="0" w:type="dxa"/>
            <w:left w:w="0" w:type="dxa"/>
            <w:bottom w:w="0" w:type="dxa"/>
            <w:right w:w="0" w:type="dxa"/>
          </w:tblCellMar>
        </w:tblPrEx>
        <w:trPr>
          <w:trHeight w:hRule="exact" w:val="440"/>
        </w:trPr>
        <w:tc>
          <w:tcPr>
            <w:tcW w:w="1028" w:type="dxa"/>
            <w:tcBorders>
              <w:top w:val="single" w:sz="3" w:space="0" w:color="000000"/>
              <w:left w:val="single" w:sz="6" w:space="0" w:color="000000"/>
              <w:bottom w:val="single" w:sz="3" w:space="0" w:color="000000"/>
              <w:right w:val="single" w:sz="3" w:space="0" w:color="000000"/>
            </w:tcBorders>
          </w:tcPr>
          <w:p w14:paraId="11344066" w14:textId="77777777" w:rsidR="00822CE4" w:rsidRPr="00822CE4" w:rsidRDefault="00822CE4" w:rsidP="00822CE4">
            <w:pPr>
              <w:jc w:val="both"/>
            </w:pPr>
            <w:r>
              <w:t xml:space="preserve">2024</w:t>
            </w:r>
          </w:p>
        </w:tc>
        <w:tc>
          <w:tcPr>
            <w:tcW w:w="1201" w:type="dxa"/>
            <w:tcBorders>
              <w:top w:val="single" w:sz="3" w:space="0" w:color="000000"/>
              <w:left w:val="single" w:sz="3" w:space="0" w:color="000000"/>
              <w:bottom w:val="single" w:sz="3" w:space="0" w:color="000000"/>
              <w:right w:val="single" w:sz="6" w:space="0" w:color="000000"/>
            </w:tcBorders>
          </w:tcPr>
          <w:p w14:paraId="1C974347" w14:textId="77777777" w:rsidR="00822CE4" w:rsidRPr="00822CE4" w:rsidRDefault="00822CE4" w:rsidP="00822CE4">
            <w:pPr>
              <w:jc w:val="both"/>
            </w:pPr>
            <w:r>
              <w:t xml:space="preserve">125.908,81</w:t>
            </w:r>
          </w:p>
        </w:tc>
      </w:tr>
      <w:tr w:rsidR="00822CE4" w:rsidRPr="00822CE4" w14:paraId="3AB608CF" w14:textId="77777777">
        <w:tblPrEx>
          <w:tblCellMar>
            <w:top w:w="0" w:type="dxa"/>
            <w:left w:w="0" w:type="dxa"/>
            <w:bottom w:w="0" w:type="dxa"/>
            <w:right w:w="0" w:type="dxa"/>
          </w:tblCellMar>
        </w:tblPrEx>
        <w:trPr>
          <w:trHeight w:hRule="exact" w:val="445"/>
        </w:trPr>
        <w:tc>
          <w:tcPr>
            <w:tcW w:w="1028" w:type="dxa"/>
            <w:tcBorders>
              <w:top w:val="single" w:sz="3" w:space="0" w:color="000000"/>
              <w:left w:val="single" w:sz="6" w:space="0" w:color="000000"/>
              <w:bottom w:val="single" w:sz="6" w:space="0" w:color="000000"/>
              <w:right w:val="single" w:sz="3" w:space="0" w:color="000000"/>
            </w:tcBorders>
            <w:shd w:val="clear" w:color="auto" w:fill="F1F1F1"/>
          </w:tcPr>
          <w:p w14:paraId="067CB5D2" w14:textId="77777777" w:rsidR="00822CE4" w:rsidRPr="00822CE4" w:rsidRDefault="00822CE4" w:rsidP="00822CE4">
            <w:pPr>
              <w:jc w:val="both"/>
            </w:pPr>
            <w:r>
              <w:t xml:space="preserve">2025</w:t>
            </w:r>
          </w:p>
        </w:tc>
        <w:tc>
          <w:tcPr>
            <w:tcW w:w="1201" w:type="dxa"/>
            <w:tcBorders>
              <w:top w:val="single" w:sz="3" w:space="0" w:color="000000"/>
              <w:left w:val="single" w:sz="3" w:space="0" w:color="000000"/>
              <w:bottom w:val="single" w:sz="6" w:space="0" w:color="000000"/>
              <w:right w:val="single" w:sz="6" w:space="0" w:color="000000"/>
            </w:tcBorders>
            <w:shd w:val="clear" w:color="auto" w:fill="F1F1F1"/>
          </w:tcPr>
          <w:p w14:paraId="7957DC94" w14:textId="77777777" w:rsidR="00822CE4" w:rsidRPr="00822CE4" w:rsidRDefault="00822CE4" w:rsidP="00822CE4">
            <w:pPr>
              <w:jc w:val="both"/>
            </w:pPr>
            <w:r>
              <w:t xml:space="preserve">64.096,79</w:t>
            </w:r>
          </w:p>
        </w:tc>
      </w:tr>
    </w:tbl>
    <w:p w14:paraId="3B960939" w14:textId="77777777" w:rsidR="00555FA0" w:rsidRDefault="00555FA0" w:rsidP="00822CE4">
      <w:pPr>
        <w:jc w:val="both"/>
        <w:rPr>
          <w:b/>
          <w:bCs/>
        </w:rPr>
      </w:pPr>
    </w:p>
    <w:p w14:paraId="63341166" w14:textId="77777777" w:rsidR="00555FA0" w:rsidRDefault="00555FA0">
      <w:pPr>
        <w:rPr>
          <w:b/>
          <w:bCs/>
        </w:rPr>
      </w:pPr>
      <w:r>
        <w:br w:type="page"/>
      </w:r>
    </w:p>
    <w:p w14:paraId="7E3374EE" w14:textId="05ECA9A0" w:rsidR="00822CE4" w:rsidRDefault="00822CE4" w:rsidP="00822CE4">
      <w:pPr>
        <w:jc w:val="both"/>
        <w:rPr>
          <w:b/>
          <w:bCs/>
        </w:rPr>
      </w:pPr>
      <w:r>
        <w:rPr>
          <w:b/>
        </w:rPr>
        <w:t xml:space="preserve">4.- Antzin, Legaria, Oko, Olexoa, Abaigar, Murieta eta Metautengo udalek eta Acedo, Zubielki eta Arbeitzako kontzejuek 2020an eskatu zuten hiriarteko garraioko linea bat gehiago jar zedin Tierra Estella Bus/Lizarrerria Bus-en, herri horiek Lizarrarekin lotzeko. Zergatik ez zen aintzat hartu eskaera hura?</w:t>
      </w:r>
    </w:p>
    <w:p w14:paraId="1B52EF34" w14:textId="0FDA957B" w:rsidR="00822CE4" w:rsidRPr="00822CE4" w:rsidRDefault="00822CE4" w:rsidP="00822CE4">
      <w:pPr>
        <w:jc w:val="both"/>
      </w:pPr>
      <w:r>
        <w:t xml:space="preserve">Emakidaren indarraldia dagoeneko amaituta zegoenez eta enpresak zerbitzua behin-behinean ematen zuenez administrazioak kudeaketa luzatzeko egindako errekerimenduari erantzunez, zerbitzua iraungitako emakidan ezarritako baldintza berdinetan eman behar zen ezinbestean. Horrenbestez, ezinezkoa zen une horretan herri gehiago sartzea zerbitzuan.</w:t>
      </w:r>
    </w:p>
    <w:p w14:paraId="7F262224" w14:textId="13F7BE15" w:rsidR="00822CE4" w:rsidRPr="00822CE4" w:rsidRDefault="00822CE4" w:rsidP="00822CE4">
      <w:pPr>
        <w:jc w:val="both"/>
        <w:rPr>
          <w:b/>
          <w:bCs/>
        </w:rPr>
      </w:pPr>
      <w:r>
        <w:rPr>
          <w:b/>
        </w:rPr>
        <w:t xml:space="preserve">5.- Departamentuak zer konponbide planteatzen du despopulazio-arrisku handian dauden herri horiek eta Lizarra lotzeko –bereziki, ospitalearekin–, baldin eta ez bada linea bat sortzen Tierra Estella Bus/Lizarrerria Bus-en?</w:t>
      </w:r>
    </w:p>
    <w:p w14:paraId="2D6D9463" w14:textId="1ACC3687" w:rsidR="00822CE4" w:rsidRPr="00822CE4" w:rsidRDefault="00822CE4" w:rsidP="00822CE4">
      <w:pPr>
        <w:jc w:val="both"/>
      </w:pPr>
      <w:r>
        <w:t xml:space="preserve">Garraioen eta Mugikortasun Jasangarriaren zuzendari nagusiaren apirilaren 10eko 89/2025 Ebazpenaren bidez, honako zerbitzu hau adjudikatu da: «Aholkularitza integraleko zerbitzua, Nafarroako Foru Komunitatean errepide bidezko bidaiarien erabilera orokorreko garraio publiko erregularreko zerbitzuen emakidak kontratatzeko baldintza-agiriak idazteko eta proiektuak egiteko: Iruña-Lizarra – Logroño-Donostia. Lizarra eta Erriberagoiena (NAV-008) zona». Bada, emakida horretan aztertuko da 4. galderan zehaztutako herriek zer zerbitzu behar duten.</w:t>
      </w:r>
    </w:p>
    <w:p w14:paraId="20F4EB8A" w14:textId="49E9DC45" w:rsidR="00822CE4" w:rsidRDefault="00822CE4" w:rsidP="00822CE4">
      <w:pPr>
        <w:jc w:val="both"/>
        <w:rPr>
          <w:b/>
          <w:bCs/>
        </w:rPr>
      </w:pPr>
      <w:r>
        <w:rPr>
          <w:b/>
        </w:rPr>
        <w:t xml:space="preserve">6.- Departamentuak ez al du uste herri horietako 1.700dik gora biztanlek hiriarteko garraio-zerbitzua jasotzeko eskubidea dutela, Tierra Estella Bus/Lizarrerria Bus-ek jada hartzen dituen gainontzekoek bezala?</w:t>
      </w:r>
    </w:p>
    <w:p w14:paraId="73283A7E" w14:textId="07CD2ACD" w:rsidR="00822CE4" w:rsidRPr="00822CE4" w:rsidRDefault="00822CE4" w:rsidP="00822CE4">
      <w:pPr>
        <w:jc w:val="both"/>
      </w:pPr>
      <w:r>
        <w:t xml:space="preserve">Lurralde Kohesiorako Departamentuak uste du Nafarroako herritar guzti-guztiek izan behar dutela garraio zerbitzua.</w:t>
      </w:r>
      <w:r>
        <w:t xml:space="preserve"> </w:t>
      </w:r>
      <w:r>
        <w:t xml:space="preserve">Horregatik, hain justu, uneotan adjudikazio prozesuan den Baztaneko emakidak, bertako herritarren ia ehuneko ehunari emanen dio zerbitzua.</w:t>
      </w:r>
      <w:r>
        <w:t xml:space="preserve"> </w:t>
      </w:r>
      <w:r>
        <w:t xml:space="preserve">Horretarako, lau herritarretik batek, nahieran jasoko dituzte garraio zerbitzuak, hau da, eskatzen dituztenean.</w:t>
      </w:r>
      <w:r>
        <w:t xml:space="preserve"> </w:t>
      </w:r>
      <w:r>
        <w:t xml:space="preserve">Pirinioetako emakidan ere irizpide bera erabili da, eta bertako ustiapen proiektua ere oso aurreratuta dago dagoeneko.</w:t>
      </w:r>
      <w:r>
        <w:t xml:space="preserve"> </w:t>
      </w:r>
      <w:r>
        <w:t xml:space="preserve">Lizarra eta inguruko herriei dagokienez, uneotan aurki lizitatuko den «Iruña-Lizarra – Logroño-Donostia. Lizarra eta Erriberagoiena (NAV-008) zona» emakidan ari gara lanean, eta, bertan, Antzin, Legaria, Oko, Olexoa, Abaigar, Murieta eta Metautengo udalek eta Acedo, Zubielki eta Arbeitzako kontzejuek bizi duten egoera aztertuko da, bai eta Estellerriko beste zenbait herriena ere. Tartean, herri horiek guztiek eskualdeko buru den Lizarrarekin duten konexioa ere jorratuko da.</w:t>
      </w:r>
    </w:p>
    <w:p w14:paraId="15B402A3" w14:textId="3F41E662" w:rsidR="00822CE4" w:rsidRPr="00822CE4" w:rsidRDefault="00822CE4" w:rsidP="00822CE4">
      <w:pPr>
        <w:jc w:val="both"/>
      </w:pPr>
      <w:r>
        <w:t xml:space="preserve">Bada, hori da erreferentziazko auziaren inguruan esateko dudan guztia, eta horren berri ematen dizut, dagozkion ondorioak izan ditzan.</w:t>
      </w:r>
    </w:p>
    <w:p w14:paraId="2E2CFB4A" w14:textId="38BDD2E2" w:rsidR="00822CE4" w:rsidRPr="00822CE4" w:rsidRDefault="00822CE4" w:rsidP="00822CE4">
      <w:pPr>
        <w:jc w:val="both"/>
      </w:pPr>
      <w:r>
        <w:t xml:space="preserve">Hori guztia jakinarazten dizut, Nafarroako Parlamentuko Erregelamenduaren 215. artikuluan xedatutakoa betez. Horrez gain, datuak babesteko legedian ezarritakoarekin bat, Nafarroako Parlamentuko Erregelamenduaren 14. artikuluan jasotako xedeetarako soilik erabiltzen ahalko da emandako edukia, eta betebeharra egonen da Datu pertsonalak babesteko eta eskubide digitalak bermatzeko abenduaren 5eko 3/2018 Lege Organikoan ezarritakoari men egiteko.</w:t>
      </w:r>
    </w:p>
    <w:p w14:paraId="0EB112D6" w14:textId="77777777" w:rsidR="00822CE4" w:rsidRPr="00822CE4" w:rsidRDefault="00822CE4" w:rsidP="00822CE4">
      <w:pPr>
        <w:jc w:val="both"/>
      </w:pPr>
      <w:r>
        <w:t xml:space="preserve">Iruñean, 2025eko uztailaren 1ean.</w:t>
      </w:r>
    </w:p>
    <w:p w14:paraId="198895CF" w14:textId="6B99B53F" w:rsidR="00822CE4" w:rsidRPr="001827D9" w:rsidRDefault="00822CE4" w:rsidP="00822CE4">
      <w:pPr>
        <w:jc w:val="both"/>
      </w:pPr>
      <w:r>
        <w:t xml:space="preserve">Lurralde Kohesiorako kontseilaria:</w:t>
      </w:r>
      <w:r>
        <w:t xml:space="preserve"> </w:t>
      </w:r>
      <w:r>
        <w:t xml:space="preserve">Óscar Chivite Cornago</w:t>
      </w:r>
    </w:p>
    <w:sectPr w:rsidR="00822CE4" w:rsidRPr="001827D9" w:rsidSect="00F75937">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27D9"/>
    <w:rsid w:val="00185723"/>
    <w:rsid w:val="001D286B"/>
    <w:rsid w:val="00212DB3"/>
    <w:rsid w:val="002B5866"/>
    <w:rsid w:val="002C2CBA"/>
    <w:rsid w:val="002F1B15"/>
    <w:rsid w:val="002F7EA0"/>
    <w:rsid w:val="003A50E0"/>
    <w:rsid w:val="003F7434"/>
    <w:rsid w:val="00425A91"/>
    <w:rsid w:val="0045436C"/>
    <w:rsid w:val="00474235"/>
    <w:rsid w:val="004C3D56"/>
    <w:rsid w:val="005022DF"/>
    <w:rsid w:val="005141D3"/>
    <w:rsid w:val="0051655C"/>
    <w:rsid w:val="00517634"/>
    <w:rsid w:val="00555FA0"/>
    <w:rsid w:val="005778F1"/>
    <w:rsid w:val="00600E3D"/>
    <w:rsid w:val="00627D2E"/>
    <w:rsid w:val="00653469"/>
    <w:rsid w:val="006747A5"/>
    <w:rsid w:val="006F16DD"/>
    <w:rsid w:val="0071061E"/>
    <w:rsid w:val="00715306"/>
    <w:rsid w:val="0071689D"/>
    <w:rsid w:val="0072313D"/>
    <w:rsid w:val="00727D6C"/>
    <w:rsid w:val="007A48EC"/>
    <w:rsid w:val="00822CE4"/>
    <w:rsid w:val="008A419B"/>
    <w:rsid w:val="008C666C"/>
    <w:rsid w:val="008E408E"/>
    <w:rsid w:val="00911504"/>
    <w:rsid w:val="0094372D"/>
    <w:rsid w:val="00984068"/>
    <w:rsid w:val="00A0421D"/>
    <w:rsid w:val="00A45945"/>
    <w:rsid w:val="00A62289"/>
    <w:rsid w:val="00AE2BC2"/>
    <w:rsid w:val="00AE508C"/>
    <w:rsid w:val="00B46472"/>
    <w:rsid w:val="00B93148"/>
    <w:rsid w:val="00BC565F"/>
    <w:rsid w:val="00BD5B8E"/>
    <w:rsid w:val="00BF3DD5"/>
    <w:rsid w:val="00BF6CCC"/>
    <w:rsid w:val="00C111F9"/>
    <w:rsid w:val="00C507D2"/>
    <w:rsid w:val="00CA6AFD"/>
    <w:rsid w:val="00D10586"/>
    <w:rsid w:val="00D73DFC"/>
    <w:rsid w:val="00E62334"/>
    <w:rsid w:val="00E62EC0"/>
    <w:rsid w:val="00EB2EE8"/>
    <w:rsid w:val="00F326C3"/>
    <w:rsid w:val="00F75937"/>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1173</Words>
  <Characters>6455</Characters>
  <Application>Microsoft Office Word</Application>
  <DocSecurity>0</DocSecurity>
  <Lines>53</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19</cp:revision>
  <dcterms:created xsi:type="dcterms:W3CDTF">2025-06-17T06:41:00Z</dcterms:created>
  <dcterms:modified xsi:type="dcterms:W3CDTF">2025-07-04T07:50:00Z</dcterms:modified>
</cp:coreProperties>
</file>