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BB18" w14:textId="4605F806" w:rsidR="00506DDF" w:rsidRDefault="00506DDF" w:rsidP="00506DDF">
      <w:pPr>
        <w:autoSpaceDE w:val="0"/>
        <w:autoSpaceDN w:val="0"/>
        <w:adjustRightInd w:val="0"/>
        <w:spacing w:after="120" w:line="276" w:lineRule="auto"/>
        <w:jc w:val="both"/>
        <w:rPr>
          <w:rFonts w:cstheme="minorHAnsi"/>
        </w:rPr>
      </w:pPr>
      <w:r>
        <w:rPr>
          <w:rFonts w:cstheme="minorHAnsi"/>
        </w:rPr>
        <w:t>25MOC-142</w:t>
      </w:r>
    </w:p>
    <w:p w14:paraId="64F59873" w14:textId="5547FD3F"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 xml:space="preserve">D. Pablo Azcona </w:t>
      </w:r>
      <w:proofErr w:type="spellStart"/>
      <w:r w:rsidRPr="00506DDF">
        <w:rPr>
          <w:rFonts w:cstheme="minorHAnsi"/>
        </w:rPr>
        <w:t>Molinet</w:t>
      </w:r>
      <w:proofErr w:type="spellEnd"/>
      <w:r w:rsidRPr="00506DDF">
        <w:rPr>
          <w:rFonts w:cstheme="minorHAnsi"/>
        </w:rPr>
        <w:t xml:space="preserve">, portavoz del grupo parlamentario </w:t>
      </w:r>
      <w:proofErr w:type="spellStart"/>
      <w:r w:rsidRPr="00506DDF">
        <w:rPr>
          <w:rFonts w:cstheme="minorHAnsi"/>
        </w:rPr>
        <w:t>Geroa</w:t>
      </w:r>
      <w:proofErr w:type="spellEnd"/>
      <w:r w:rsidRPr="00506DDF">
        <w:rPr>
          <w:rFonts w:cstheme="minorHAnsi"/>
        </w:rPr>
        <w:t xml:space="preserve"> Bai, al amparo de lo establecido en el reglamento de la Cámara, presenta la siguiente moción para su debate y votación en el Pleno de la Cámara del próximo 16 de octubre. El seguimiento posterior se realizará en la Comisión de Memoria y Convivencia, Acción Exterior y Euskera.</w:t>
      </w:r>
    </w:p>
    <w:p w14:paraId="3CE66A9D" w14:textId="1FBFF5EB"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Exposición de motivos</w:t>
      </w:r>
    </w:p>
    <w:p w14:paraId="50E76E28" w14:textId="2A73B2D9"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En julio de 2016, el Gobierno de Navarra adoptó el Plan de Acción Europea, que permitió medir y cuantificar las acciones llevadas a cabo por la Delegación del Gobierno de Navarra en Bruselas.</w:t>
      </w:r>
    </w:p>
    <w:p w14:paraId="007AB69D" w14:textId="16746431"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En 2017, el Gobierno de Navarra recuperó en Bruselas una nueva sede propia para Navarra, cerca de las principales instituciones europeas: Comisión Europea, Parlamento Europeo y Comité Europeo de las Regiones, así como se integró en la Eurorregión Nueva Aquitania- Euskadi-Navarra.</w:t>
      </w:r>
    </w:p>
    <w:p w14:paraId="50391EEC" w14:textId="1BAE4CCE"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En marzo de 2019, el Gobierno de Navarra aprobó la Estrategia NEXT para la ciudadanía navarra en el exterior con el objeto de fomentar el vínculo con las personas residentes fuera de la Comunidad Foral, favorecer su retorno, crear redes de trabajo y evitar la fuga de talento, así como promocionar a Navarra en el exterior.</w:t>
      </w:r>
    </w:p>
    <w:p w14:paraId="7538E5DD" w14:textId="57125241"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La legislatura 2019- 2023 trajo consigo una nueva estructura de Gobierno con la creación de la Dirección General de Acción Exterior, que nació con la vocación de coordinar, armonizar y profesionalizar la actividad exterior del Gobierno de Navarra, agrupando así distintas unidades repartidas hasta entonces en otros departamentos y adscribiendo la Delegación de Bruselas a la misma. Se añaden entonces las competencias de cooperación transfronteriza y diáspora, además de las que ya contaba de representación ante instituciones europeas.</w:t>
      </w:r>
    </w:p>
    <w:p w14:paraId="3A111493" w14:textId="605E5D27"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Navarra, tierra transfronteriza; Navarra, parte de Europa; Navarra, con una importante diáspora repartida por el mundo entero.</w:t>
      </w:r>
    </w:p>
    <w:p w14:paraId="400A5317" w14:textId="72D5216D"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Toda una serie de hitos y de pasos que han quedado recogidos en el Preámbulo del II Plan de Acción Exterior de Navarra.</w:t>
      </w:r>
    </w:p>
    <w:p w14:paraId="11365616" w14:textId="23A173E2" w:rsidR="00136447" w:rsidRPr="00506DDF" w:rsidRDefault="00506DDF" w:rsidP="00506DDF">
      <w:pPr>
        <w:spacing w:after="120" w:line="276" w:lineRule="auto"/>
        <w:jc w:val="both"/>
        <w:rPr>
          <w:rFonts w:cstheme="minorHAnsi"/>
        </w:rPr>
      </w:pPr>
      <w:r w:rsidRPr="00506DDF">
        <w:rPr>
          <w:rFonts w:cstheme="minorHAnsi"/>
        </w:rPr>
        <w:t>Pasos fundamentales mirando hacia el exterior, pero que trabajan también por mantener viva la ligazón con su tierra de nacimiento de todos aquellos navarros y navarras que un día, por diferentes razones, tuvieron que dejarla.</w:t>
      </w:r>
    </w:p>
    <w:p w14:paraId="2423EBD2" w14:textId="18988432"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Es por ello que presentamos la siguiente propuesta de resolución</w:t>
      </w:r>
      <w:r>
        <w:rPr>
          <w:rFonts w:cstheme="minorHAnsi"/>
        </w:rPr>
        <w:t>:</w:t>
      </w:r>
    </w:p>
    <w:p w14:paraId="04C68DBD" w14:textId="01EFF364"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1.- El Parlamento de Navarra insta al Gobierno de Navarra a potenciar la cooperación transfronteriza en cuanto que motor de desarrollo social y económico, basado en relaciones de vecindad, históricas, culturales, económicas, sociales y lingüísticas.</w:t>
      </w:r>
    </w:p>
    <w:p w14:paraId="16EF6981" w14:textId="087FB455"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 xml:space="preserve">2.- El Parlamento de Navarra insta al Gobierno a reforzar su participación en la </w:t>
      </w:r>
      <w:proofErr w:type="spellStart"/>
      <w:r w:rsidRPr="00506DDF">
        <w:rPr>
          <w:rFonts w:cstheme="minorHAnsi"/>
        </w:rPr>
        <w:t>Eurorregion</w:t>
      </w:r>
      <w:proofErr w:type="spellEnd"/>
      <w:r w:rsidRPr="00506DDF">
        <w:rPr>
          <w:rFonts w:cstheme="minorHAnsi"/>
        </w:rPr>
        <w:t xml:space="preserve"> Euskadi- Nueva Aquitania- Navarra.</w:t>
      </w:r>
    </w:p>
    <w:p w14:paraId="10171341" w14:textId="3A8D3EEF" w:rsidR="00506DDF" w:rsidRPr="00506DDF" w:rsidRDefault="00506DDF" w:rsidP="00506DDF">
      <w:pPr>
        <w:autoSpaceDE w:val="0"/>
        <w:autoSpaceDN w:val="0"/>
        <w:adjustRightInd w:val="0"/>
        <w:spacing w:after="120" w:line="276" w:lineRule="auto"/>
        <w:jc w:val="both"/>
        <w:rPr>
          <w:rFonts w:cstheme="minorHAnsi"/>
        </w:rPr>
      </w:pPr>
      <w:r w:rsidRPr="00506DDF">
        <w:rPr>
          <w:rFonts w:cstheme="minorHAnsi"/>
        </w:rPr>
        <w:t>3.- El Parlamento de Navarra insta al Gobierno de Navarra a explorar nuevas vías de relación con otras regiones allende nuestras fronteras, de acuerdo con lo estipulado en el Decreto Foral 7/2021.</w:t>
      </w:r>
    </w:p>
    <w:p w14:paraId="40461E0B" w14:textId="57B426B2" w:rsidR="00506DDF" w:rsidRPr="00506DDF" w:rsidRDefault="00506DDF" w:rsidP="00506DDF">
      <w:pPr>
        <w:spacing w:after="120" w:line="276" w:lineRule="auto"/>
        <w:jc w:val="both"/>
        <w:rPr>
          <w:rFonts w:cstheme="minorHAnsi"/>
        </w:rPr>
      </w:pPr>
      <w:r w:rsidRPr="00506DDF">
        <w:rPr>
          <w:rFonts w:cstheme="minorHAnsi"/>
        </w:rPr>
        <w:t>Pamplona- Iruña, 9 de octubre de 2025</w:t>
      </w:r>
    </w:p>
    <w:p w14:paraId="353D6CA2" w14:textId="56EC04DB" w:rsidR="00506DDF" w:rsidRPr="00506DDF" w:rsidRDefault="00506DDF" w:rsidP="00506DDF">
      <w:pPr>
        <w:spacing w:after="120" w:line="276" w:lineRule="auto"/>
        <w:jc w:val="both"/>
        <w:rPr>
          <w:rFonts w:cstheme="minorHAnsi"/>
        </w:rPr>
      </w:pPr>
      <w:r w:rsidRPr="00506DDF">
        <w:rPr>
          <w:rFonts w:cstheme="minorHAnsi"/>
        </w:rPr>
        <w:t xml:space="preserve">El Parlamentario Foral: Pablo Azcona </w:t>
      </w:r>
      <w:proofErr w:type="spellStart"/>
      <w:r w:rsidRPr="00506DDF">
        <w:rPr>
          <w:rFonts w:cstheme="minorHAnsi"/>
        </w:rPr>
        <w:t>Molinet</w:t>
      </w:r>
      <w:proofErr w:type="spellEnd"/>
    </w:p>
    <w:sectPr w:rsidR="00506DDF" w:rsidRPr="00506DDF" w:rsidSect="00CB5E7E">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DF"/>
    <w:rsid w:val="00136447"/>
    <w:rsid w:val="003F7B10"/>
    <w:rsid w:val="00506DDF"/>
    <w:rsid w:val="00CB5E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58C8"/>
  <w15:chartTrackingRefBased/>
  <w15:docId w15:val="{93254DB3-E633-49F3-BF2F-697EDF4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2025-10-10T06:22:00Z</dcterms:created>
  <dcterms:modified xsi:type="dcterms:W3CDTF">2025-10-10T07:17:00Z</dcterms:modified>
</cp:coreProperties>
</file>