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0B5B" w14:textId="0559C6FD"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 xml:space="preserve">El Consejero de Cohesión Territorial del Gobierno de Navarra, en relación con la pregunta para su contestación por escrito formulada por el Parlamentario Foral Ilmo. Sr. D. Adolfo Araiz Flamarique, adscrito al Grupo Parlamentario EH </w:t>
      </w:r>
      <w:r w:rsidR="00BC37BF" w:rsidRPr="004E70A6">
        <w:rPr>
          <w:rFonts w:cstheme="minorHAnsi"/>
        </w:rPr>
        <w:t>Bildu Nafarroa</w:t>
      </w:r>
      <w:r w:rsidRPr="004E70A6">
        <w:rPr>
          <w:rFonts w:cstheme="minorHAnsi"/>
        </w:rPr>
        <w:t xml:space="preserve">, sobre la información solicitada acerca de la Revisión del Plan Director del Ciclo Integral de Agua de Uso Urbano en Navarra 2019-2030 (11-25/PES-00332)”, informa lo </w:t>
      </w:r>
      <w:r w:rsidRPr="00D32595">
        <w:rPr>
          <w:rFonts w:cstheme="minorHAnsi"/>
        </w:rPr>
        <w:t>siguiente</w:t>
      </w:r>
      <w:r w:rsidRPr="004E70A6">
        <w:rPr>
          <w:rFonts w:cstheme="minorHAnsi"/>
        </w:rPr>
        <w:t>:</w:t>
      </w:r>
    </w:p>
    <w:p w14:paraId="2B0C351D" w14:textId="2EA1E86A"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1. ¿Cuántas alegaciones se han presentado a la Revisión del Plan Director del Ciclo Integral de Agua de Uso Urbano en Navarra 2019-2030?</w:t>
      </w:r>
    </w:p>
    <w:p w14:paraId="79B38B78" w14:textId="2AA815D4"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Se han recogido un total de 23 propuestas, 7 de ellas realizadas a través del portal del Gobierno Abierto, 15 a través de instancia al Gobierno de Navarra y 1 a través de NILSA.</w:t>
      </w:r>
    </w:p>
    <w:p w14:paraId="0D38A4E7" w14:textId="77777777" w:rsidR="004E70A6" w:rsidRDefault="004E70A6" w:rsidP="004E70A6">
      <w:pPr>
        <w:autoSpaceDE w:val="0"/>
        <w:autoSpaceDN w:val="0"/>
        <w:adjustRightInd w:val="0"/>
        <w:spacing w:after="120" w:line="276" w:lineRule="auto"/>
        <w:jc w:val="both"/>
        <w:rPr>
          <w:rFonts w:cstheme="minorHAnsi"/>
        </w:rPr>
      </w:pPr>
      <w:r w:rsidRPr="004E70A6">
        <w:rPr>
          <w:rFonts w:cstheme="minorHAnsi"/>
        </w:rPr>
        <w:t>Las propuestas a través del portal del Gobierno Abierto fueron las siguientes:</w:t>
      </w:r>
    </w:p>
    <w:p w14:paraId="67F8B0FC"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Técnica de Calidad de la Junta de Aguas de Tudela, presentada el 15/05/2025.</w:t>
      </w:r>
    </w:p>
    <w:p w14:paraId="6B24104F"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Asociación Ubaguaberpiztu-recuperando el Ubagua, presentada por X el 03/06/2025, con la aportación número 1.</w:t>
      </w:r>
    </w:p>
    <w:p w14:paraId="519BC3D3"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Asociación Ubaguaberpiztu-recuperando el Ubagua, presentada por X el 03/06/2025, con la aportación número 2.</w:t>
      </w:r>
    </w:p>
    <w:p w14:paraId="19D6FC7F"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El Ayuntamiento del Valle de Yerri, presentada por X el 5/06/2025, que incluye un documento con una resolución la alcaldía del Valle de Yerri y 2 aportaciones.</w:t>
      </w:r>
    </w:p>
    <w:p w14:paraId="70111D72"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El concejo de Riezu/Errezu (Valle de Yerri-Deierri), presentada por X el 05/06/2025.</w:t>
      </w:r>
    </w:p>
    <w:p w14:paraId="61064A55"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Salvemos el Ega-Ega Bizirik, presentada por X el 6/06/2025.</w:t>
      </w:r>
    </w:p>
    <w:p w14:paraId="65654A1C" w14:textId="1A198B6B" w:rsidR="004E70A6" w:rsidRPr="00D32595" w:rsidRDefault="004E70A6" w:rsidP="004E70A6">
      <w:pPr>
        <w:pStyle w:val="Prrafodelista"/>
        <w:numPr>
          <w:ilvl w:val="0"/>
          <w:numId w:val="1"/>
        </w:numPr>
        <w:autoSpaceDE w:val="0"/>
        <w:autoSpaceDN w:val="0"/>
        <w:adjustRightInd w:val="0"/>
        <w:spacing w:after="120" w:line="276" w:lineRule="auto"/>
        <w:jc w:val="both"/>
        <w:rPr>
          <w:rFonts w:cstheme="minorHAnsi"/>
        </w:rPr>
      </w:pPr>
      <w:r w:rsidRPr="00D32595">
        <w:rPr>
          <w:rFonts w:cstheme="minorHAnsi"/>
        </w:rPr>
        <w:t xml:space="preserve">Mancomunidad Aguas del Moncayo, presentada el 06/06/2025. </w:t>
      </w:r>
    </w:p>
    <w:p w14:paraId="431887B0" w14:textId="34042BD0" w:rsidR="00D32595" w:rsidRDefault="004E70A6" w:rsidP="00D32595">
      <w:pPr>
        <w:autoSpaceDE w:val="0"/>
        <w:autoSpaceDN w:val="0"/>
        <w:adjustRightInd w:val="0"/>
        <w:spacing w:after="120" w:line="276" w:lineRule="auto"/>
        <w:jc w:val="both"/>
        <w:rPr>
          <w:rFonts w:cstheme="minorHAnsi"/>
        </w:rPr>
      </w:pPr>
      <w:r w:rsidRPr="004E70A6">
        <w:rPr>
          <w:rFonts w:cstheme="minorHAnsi"/>
        </w:rPr>
        <w:t xml:space="preserve">Las propuestas a través de instancia al Gobierno de </w:t>
      </w:r>
      <w:r w:rsidR="00BC37BF" w:rsidRPr="004E70A6">
        <w:rPr>
          <w:rFonts w:cstheme="minorHAnsi"/>
        </w:rPr>
        <w:t>Navarra</w:t>
      </w:r>
      <w:r w:rsidRPr="004E70A6">
        <w:rPr>
          <w:rFonts w:cstheme="minorHAnsi"/>
        </w:rPr>
        <w:t xml:space="preserve"> fueron las siguientes:</w:t>
      </w:r>
    </w:p>
    <w:p w14:paraId="2E5C16C2" w14:textId="77777777" w:rsidR="00D32595" w:rsidRP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cstheme="minorHAnsi"/>
        </w:rPr>
        <w:t>Ayuntamiento de Abaigar, presentada por instancia al Gobierno de Navarra el 04/06/2025.</w:t>
      </w:r>
    </w:p>
    <w:p w14:paraId="06B1433D"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Ancín, presentada por instancia al Gobierno de Navarra el 06/06/2025.</w:t>
      </w:r>
    </w:p>
    <w:p w14:paraId="4D47E7BF"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Barbarin, presentada por instancia al Gobierno de Navarra el 06/06/2025.</w:t>
      </w:r>
    </w:p>
    <w:p w14:paraId="630F4780"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Etayo, presentada por instancia al Gobierno de Navarra el 02/06/2025.</w:t>
      </w:r>
    </w:p>
    <w:p w14:paraId="24CB9151"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Genevilla, presentada por instancia al Gobierno de Navarra el 05/06/2025.</w:t>
      </w:r>
    </w:p>
    <w:p w14:paraId="7C29BE0B"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Igúzquiza, presentada por instancia al Gobierno de Navarra el 04/06/2025.</w:t>
      </w:r>
    </w:p>
    <w:p w14:paraId="4FE0BB70"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Lana, presentada por instancia al Gobierno de Navarra el 03/06/2025.</w:t>
      </w:r>
    </w:p>
    <w:p w14:paraId="083BCE3F"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Legaria, presentada por instancia al Gobierno de Navarra el 02/06/2025.</w:t>
      </w:r>
    </w:p>
    <w:p w14:paraId="6A413944"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Luquin, presentada por instancia al Gobierno de Navarra el 06/06/2025.</w:t>
      </w:r>
    </w:p>
    <w:p w14:paraId="705F4BAE"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Murieta, presentada por instancia al Gobierno de Navarra el 03/06/2025.</w:t>
      </w:r>
    </w:p>
    <w:p w14:paraId="19882564"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Oco, presentada por instancia al Gobierno de Navarra el 02/06/2025.</w:t>
      </w:r>
    </w:p>
    <w:p w14:paraId="4C4878F7"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lastRenderedPageBreak/>
        <w:t>Ayuntamiento de Olejua, presentada por instancia al Gobierno de Navarra el 02/06/2025.</w:t>
      </w:r>
    </w:p>
    <w:p w14:paraId="4D401E67"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Piedramillera, presentada por instancia al Gobierno de Navarra el 06/06/2025.</w:t>
      </w:r>
    </w:p>
    <w:p w14:paraId="0F6372DA"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Ayuntamiento de Sansol, presentada por instancia al Gobierno de Navarra el 06/06/2025.</w:t>
      </w:r>
    </w:p>
    <w:p w14:paraId="4B38E627" w14:textId="327D639E" w:rsidR="004E70A6" w:rsidRP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rsidRPr="00D32595">
        <w:rPr>
          <w:rFonts w:eastAsia="SymbolMT" w:cstheme="minorHAnsi"/>
        </w:rPr>
        <w:t>Natividad Cebrián Guajardo, responsable del laboratorio ETAP Tudela de la Junta Municipal de Aguas de Tudela, presentada por instancia el 09/05/2025, así como también al correo electrónico de NILSA.</w:t>
      </w:r>
    </w:p>
    <w:p w14:paraId="69314F96" w14:textId="7EC0C46B" w:rsidR="00D32595" w:rsidRDefault="004E70A6" w:rsidP="00D32595">
      <w:pPr>
        <w:autoSpaceDE w:val="0"/>
        <w:autoSpaceDN w:val="0"/>
        <w:adjustRightInd w:val="0"/>
        <w:spacing w:after="120" w:line="276" w:lineRule="auto"/>
        <w:jc w:val="both"/>
        <w:rPr>
          <w:rFonts w:eastAsia="SymbolMT" w:cstheme="minorHAnsi"/>
        </w:rPr>
      </w:pPr>
      <w:r w:rsidRPr="004E70A6">
        <w:rPr>
          <w:rFonts w:eastAsia="SymbolMT" w:cstheme="minorHAnsi"/>
        </w:rPr>
        <w:t xml:space="preserve">Las propuestas a través de correo electrónico de </w:t>
      </w:r>
      <w:r w:rsidR="00BC37BF" w:rsidRPr="004E70A6">
        <w:rPr>
          <w:rFonts w:eastAsia="SymbolMT" w:cstheme="minorHAnsi"/>
        </w:rPr>
        <w:t>NILSA</w:t>
      </w:r>
      <w:r w:rsidRPr="004E70A6">
        <w:rPr>
          <w:rFonts w:eastAsia="SymbolMT" w:cstheme="minorHAnsi"/>
        </w:rPr>
        <w:t xml:space="preserve"> fueron las siguientes:</w:t>
      </w:r>
    </w:p>
    <w:p w14:paraId="5879320F" w14:textId="66FBE948" w:rsidR="004E70A6" w:rsidRPr="00D32595" w:rsidRDefault="004E70A6" w:rsidP="00D32595">
      <w:pPr>
        <w:pStyle w:val="Prrafodelista"/>
        <w:numPr>
          <w:ilvl w:val="0"/>
          <w:numId w:val="3"/>
        </w:numPr>
        <w:autoSpaceDE w:val="0"/>
        <w:autoSpaceDN w:val="0"/>
        <w:adjustRightInd w:val="0"/>
        <w:spacing w:after="120" w:line="276" w:lineRule="auto"/>
        <w:jc w:val="both"/>
        <w:rPr>
          <w:rFonts w:eastAsia="SymbolMT" w:cstheme="minorHAnsi"/>
        </w:rPr>
      </w:pPr>
      <w:r w:rsidRPr="00D32595">
        <w:rPr>
          <w:rFonts w:eastAsia="SymbolMT" w:cstheme="minorHAnsi"/>
        </w:rPr>
        <w:t>Ayuntamiento de Cortes, presentada por correo electrónico el 23/05/2025 al correo electrónico de NILSA.</w:t>
      </w:r>
    </w:p>
    <w:p w14:paraId="61B638F9" w14:textId="16D500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2. ¿Cuál ha sido el resultado de los procesos participativos realizados en torno a esa Revisión? ¿Cuántas alegaciones han sido aceptadas e incorporadas al texto final?</w:t>
      </w:r>
    </w:p>
    <w:p w14:paraId="3A2BE8EA" w14:textId="57C03F79"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 xml:space="preserve">El documento de revisión del Plan Director junto con sus </w:t>
      </w:r>
      <w:r w:rsidR="00BC37BF" w:rsidRPr="004E70A6">
        <w:rPr>
          <w:rFonts w:cstheme="minorHAnsi"/>
        </w:rPr>
        <w:t>anexos</w:t>
      </w:r>
      <w:r w:rsidRPr="004E70A6">
        <w:rPr>
          <w:rFonts w:cstheme="minorHAnsi"/>
        </w:rPr>
        <w:t xml:space="preserve"> fue sometido a participación pública el 7 de mayo de 2025, pudiendo realizar aportaciones desde el 7 de mayo al 6 de junio de 2025 que fueron publicadas en el portal de Gobierno Abierto del Gobierno de Navarra.</w:t>
      </w:r>
    </w:p>
    <w:p w14:paraId="41931FE4" w14:textId="777777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En paralelo, se celebraron tres encuentros participativos:</w:t>
      </w:r>
    </w:p>
    <w:p w14:paraId="443B4139" w14:textId="66818E7E" w:rsidR="004E70A6" w:rsidRPr="004E70A6" w:rsidRDefault="00BC37BF" w:rsidP="004E70A6">
      <w:pPr>
        <w:autoSpaceDE w:val="0"/>
        <w:autoSpaceDN w:val="0"/>
        <w:adjustRightInd w:val="0"/>
        <w:spacing w:after="120" w:line="276" w:lineRule="auto"/>
        <w:jc w:val="both"/>
        <w:rPr>
          <w:rFonts w:cstheme="minorHAnsi"/>
        </w:rPr>
      </w:pPr>
      <w:r>
        <w:rPr>
          <w:rFonts w:cstheme="minorHAnsi"/>
        </w:rPr>
        <w:t>–</w:t>
      </w:r>
      <w:r w:rsidR="004E70A6" w:rsidRPr="004E70A6">
        <w:rPr>
          <w:rFonts w:cstheme="minorHAnsi"/>
        </w:rPr>
        <w:t xml:space="preserve"> Marcilla el 14 de mayo de 2025, en el Castillo de Marcilla.</w:t>
      </w:r>
    </w:p>
    <w:p w14:paraId="70367E89" w14:textId="40D6105E" w:rsidR="004E70A6" w:rsidRPr="004E70A6" w:rsidRDefault="00BC37BF" w:rsidP="004E70A6">
      <w:pPr>
        <w:autoSpaceDE w:val="0"/>
        <w:autoSpaceDN w:val="0"/>
        <w:adjustRightInd w:val="0"/>
        <w:spacing w:after="120" w:line="276" w:lineRule="auto"/>
        <w:jc w:val="both"/>
        <w:rPr>
          <w:rFonts w:cstheme="minorHAnsi"/>
        </w:rPr>
      </w:pPr>
      <w:r>
        <w:rPr>
          <w:rFonts w:cstheme="minorHAnsi"/>
        </w:rPr>
        <w:t>–</w:t>
      </w:r>
      <w:r w:rsidR="004E70A6" w:rsidRPr="004E70A6">
        <w:rPr>
          <w:rFonts w:cstheme="minorHAnsi"/>
        </w:rPr>
        <w:t xml:space="preserve"> Pamplona el 16 de mayo de 2025, en el Archivo Real y General de Navarra.</w:t>
      </w:r>
    </w:p>
    <w:p w14:paraId="476744B8" w14:textId="56DC2D1F" w:rsidR="004E70A6" w:rsidRPr="004E70A6" w:rsidRDefault="00BC37BF" w:rsidP="004E70A6">
      <w:pPr>
        <w:autoSpaceDE w:val="0"/>
        <w:autoSpaceDN w:val="0"/>
        <w:adjustRightInd w:val="0"/>
        <w:spacing w:after="120" w:line="276" w:lineRule="auto"/>
        <w:jc w:val="both"/>
        <w:rPr>
          <w:rFonts w:cstheme="minorHAnsi"/>
        </w:rPr>
      </w:pPr>
      <w:r>
        <w:rPr>
          <w:rFonts w:cstheme="minorHAnsi"/>
        </w:rPr>
        <w:t>–</w:t>
      </w:r>
      <w:r w:rsidR="004E70A6" w:rsidRPr="004E70A6">
        <w:rPr>
          <w:rFonts w:cstheme="minorHAnsi"/>
        </w:rPr>
        <w:t xml:space="preserve"> Estella el 21 de mayo de 2025, en las oficinas de la Mancomunidad de Montejurra.</w:t>
      </w:r>
    </w:p>
    <w:p w14:paraId="21FF7538" w14:textId="3330B538"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En los tres encuentros se realizó una primera exposición general de los resultados del seguimiento del primer sexenio, así como las novedades y planificación para el siguiente sexenio, realizando además una exposición con las alternativas para la conexión al Canal de Navarra en la Ribera en Marcilla, así como una exposición de las alternativas estudiadas para la conexión del Canal de Navarra a la Ribera Estellesa y a la Mancomunidad de Valdizarbe en Estella.</w:t>
      </w:r>
    </w:p>
    <w:p w14:paraId="28FA048D" w14:textId="48467D9F"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Todas las exposiciones se publicaron en el portal de transparencia en el portal del Gobierno Abierto del Gobierno de Navarra.</w:t>
      </w:r>
    </w:p>
    <w:p w14:paraId="613CBCC3" w14:textId="5F2CCEC9"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Han participado 58 personas, 24 mujeres (41</w:t>
      </w:r>
      <w:r w:rsidR="00BC37BF">
        <w:rPr>
          <w:rFonts w:cstheme="minorHAnsi"/>
        </w:rPr>
        <w:t xml:space="preserve"> </w:t>
      </w:r>
      <w:r w:rsidRPr="004E70A6">
        <w:rPr>
          <w:rFonts w:cstheme="minorHAnsi"/>
        </w:rPr>
        <w:t>%) y 34 hombres (59</w:t>
      </w:r>
      <w:r w:rsidR="00BC37BF">
        <w:rPr>
          <w:rFonts w:cstheme="minorHAnsi"/>
        </w:rPr>
        <w:t xml:space="preserve"> </w:t>
      </w:r>
      <w:r w:rsidRPr="004E70A6">
        <w:rPr>
          <w:rFonts w:cstheme="minorHAnsi"/>
        </w:rPr>
        <w:t>%). No incluimos como personas participantes a los integrantes del equipo técnico que ha participado en las sesiones:</w:t>
      </w:r>
    </w:p>
    <w:p w14:paraId="2DC791AA" w14:textId="5BA116CC" w:rsidR="004E70A6" w:rsidRPr="004E70A6" w:rsidRDefault="00BC37BF" w:rsidP="004E70A6">
      <w:pPr>
        <w:autoSpaceDE w:val="0"/>
        <w:autoSpaceDN w:val="0"/>
        <w:adjustRightInd w:val="0"/>
        <w:spacing w:after="120" w:line="276" w:lineRule="auto"/>
        <w:jc w:val="both"/>
        <w:rPr>
          <w:rFonts w:cstheme="minorHAnsi"/>
        </w:rPr>
      </w:pPr>
      <w:r>
        <w:rPr>
          <w:rFonts w:cstheme="minorHAnsi"/>
        </w:rPr>
        <w:t>–</w:t>
      </w:r>
      <w:r w:rsidR="004E70A6" w:rsidRPr="004E70A6">
        <w:rPr>
          <w:rFonts w:cstheme="minorHAnsi"/>
        </w:rPr>
        <w:t xml:space="preserve"> 2 personas del Departamento de Cohesión Territorial de Gobierno de Navarra</w:t>
      </w:r>
    </w:p>
    <w:p w14:paraId="5C2C023E" w14:textId="387F73B0" w:rsidR="004E70A6" w:rsidRPr="004E70A6" w:rsidRDefault="00BC37BF" w:rsidP="004E70A6">
      <w:pPr>
        <w:autoSpaceDE w:val="0"/>
        <w:autoSpaceDN w:val="0"/>
        <w:adjustRightInd w:val="0"/>
        <w:spacing w:after="120" w:line="276" w:lineRule="auto"/>
        <w:jc w:val="both"/>
        <w:rPr>
          <w:rFonts w:cstheme="minorHAnsi"/>
        </w:rPr>
      </w:pPr>
      <w:r>
        <w:rPr>
          <w:rFonts w:cstheme="minorHAnsi"/>
        </w:rPr>
        <w:t>–</w:t>
      </w:r>
      <w:r w:rsidR="004E70A6" w:rsidRPr="004E70A6">
        <w:rPr>
          <w:rFonts w:cstheme="minorHAnsi"/>
        </w:rPr>
        <w:t xml:space="preserve"> 4 personas de NILSA</w:t>
      </w:r>
    </w:p>
    <w:p w14:paraId="1F5EFC69" w14:textId="0857CC51" w:rsidR="004E70A6" w:rsidRPr="004E70A6" w:rsidRDefault="00BC37BF" w:rsidP="004E70A6">
      <w:pPr>
        <w:autoSpaceDE w:val="0"/>
        <w:autoSpaceDN w:val="0"/>
        <w:adjustRightInd w:val="0"/>
        <w:spacing w:after="120" w:line="276" w:lineRule="auto"/>
        <w:jc w:val="both"/>
        <w:rPr>
          <w:rFonts w:cstheme="minorHAnsi"/>
        </w:rPr>
      </w:pPr>
      <w:r>
        <w:rPr>
          <w:rFonts w:cstheme="minorHAnsi"/>
        </w:rPr>
        <w:t>–</w:t>
      </w:r>
      <w:r w:rsidR="004E70A6" w:rsidRPr="004E70A6">
        <w:rPr>
          <w:rFonts w:cstheme="minorHAnsi"/>
        </w:rPr>
        <w:t xml:space="preserve"> 2 personas empresa dinamizadora (Garrapo S.L.)</w:t>
      </w:r>
    </w:p>
    <w:p w14:paraId="762AAB0C" w14:textId="73D2D93F"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Las contestaciones a las propuestas indicadas en el punto anterior se adjuntan en el documento ANEXO III.</w:t>
      </w:r>
    </w:p>
    <w:p w14:paraId="76B87A30" w14:textId="448E826A" w:rsidR="004E70A6" w:rsidRPr="004E70A6" w:rsidRDefault="004E70A6" w:rsidP="004E70A6">
      <w:pPr>
        <w:spacing w:after="120" w:line="276" w:lineRule="auto"/>
        <w:jc w:val="both"/>
        <w:rPr>
          <w:rFonts w:cstheme="minorHAnsi"/>
        </w:rPr>
      </w:pPr>
      <w:r w:rsidRPr="004E70A6">
        <w:rPr>
          <w:rFonts w:cstheme="minorHAnsi"/>
        </w:rPr>
        <w:t>3. ¿Tiene previsto atender las alegaciones presentadas por ayuntamientos, particulares y agentes sociales de Valdega?</w:t>
      </w:r>
    </w:p>
    <w:p w14:paraId="157B45D0" w14:textId="777777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lastRenderedPageBreak/>
        <w:t>La contestación a las tres propuestas son las siguientes:</w:t>
      </w:r>
    </w:p>
    <w:p w14:paraId="49A4FA85" w14:textId="6097D5AF" w:rsidR="004E70A6" w:rsidRPr="004E70A6" w:rsidRDefault="00A05468" w:rsidP="004E70A6">
      <w:pPr>
        <w:autoSpaceDE w:val="0"/>
        <w:autoSpaceDN w:val="0"/>
        <w:adjustRightInd w:val="0"/>
        <w:spacing w:after="120" w:line="276" w:lineRule="auto"/>
        <w:jc w:val="both"/>
        <w:rPr>
          <w:rFonts w:cstheme="minorHAnsi"/>
          <w:i/>
          <w:iCs/>
        </w:rPr>
      </w:pPr>
      <w:r w:rsidRPr="004E70A6">
        <w:rPr>
          <w:rFonts w:cstheme="minorHAnsi"/>
        </w:rPr>
        <w:t>Propuesta</w:t>
      </w:r>
      <w:r w:rsidR="004E70A6" w:rsidRPr="004E70A6">
        <w:rPr>
          <w:rFonts w:cstheme="minorHAnsi"/>
        </w:rPr>
        <w:t xml:space="preserve">: </w:t>
      </w:r>
      <w:r w:rsidR="004E70A6" w:rsidRPr="004E70A6">
        <w:rPr>
          <w:rFonts w:cstheme="minorHAnsi"/>
          <w:i/>
          <w:iCs/>
        </w:rPr>
        <w:t>CUMPLIR con lo acordado en el Plan Director 2019-2030 iniciando la obra de la ETAP en el segundo sexenio 2025-2030 para liberar lo antes posible la presión ambiental que suponen las extracciones de Lokiz, en concreto, reducir las extracciones previstas en Mendaza; es decir, acelerar la conexión al Canal de Navarra, garantizando así un futuro hídrico seguro y respetuoso con nuestro entorno.</w:t>
      </w:r>
    </w:p>
    <w:p w14:paraId="5E5FBAED" w14:textId="1FDFB4F3" w:rsidR="004E70A6" w:rsidRPr="004E70A6" w:rsidRDefault="00A05468" w:rsidP="004E70A6">
      <w:pPr>
        <w:autoSpaceDE w:val="0"/>
        <w:autoSpaceDN w:val="0"/>
        <w:adjustRightInd w:val="0"/>
        <w:spacing w:after="120" w:line="276" w:lineRule="auto"/>
        <w:jc w:val="both"/>
        <w:rPr>
          <w:rFonts w:cstheme="minorHAnsi"/>
        </w:rPr>
      </w:pPr>
      <w:r w:rsidRPr="004E70A6">
        <w:rPr>
          <w:rFonts w:cstheme="minorHAnsi"/>
        </w:rPr>
        <w:t>Respuesta</w:t>
      </w:r>
      <w:r w:rsidR="004E70A6" w:rsidRPr="004E70A6">
        <w:rPr>
          <w:rFonts w:cstheme="minorHAnsi"/>
        </w:rPr>
        <w:t>: La revisión del Plan Director del Ciclo Integral del Agua de Uso Urbano contempla el inicio de las obras en la Estación de Tratamiento de Agua Potable (ETAP) durante el segundo sexenio del período de planificación. Esta previsión supone un avance significativo en la consolidación de las infraestructuras estratégicas para el abastecimiento, y refleja el compromiso con una mejora progresiva y planificada del ciclo integral del agua en Navarra.</w:t>
      </w:r>
    </w:p>
    <w:p w14:paraId="1E5821A0" w14:textId="429526BD" w:rsidR="004E70A6" w:rsidRPr="004E70A6" w:rsidRDefault="00A05468" w:rsidP="004E70A6">
      <w:pPr>
        <w:autoSpaceDE w:val="0"/>
        <w:autoSpaceDN w:val="0"/>
        <w:adjustRightInd w:val="0"/>
        <w:spacing w:after="120" w:line="276" w:lineRule="auto"/>
        <w:jc w:val="both"/>
        <w:rPr>
          <w:rFonts w:cstheme="minorHAnsi"/>
          <w:i/>
          <w:iCs/>
        </w:rPr>
      </w:pPr>
      <w:r w:rsidRPr="004E70A6">
        <w:rPr>
          <w:rFonts w:cstheme="minorHAnsi"/>
        </w:rPr>
        <w:t>Propuesta</w:t>
      </w:r>
      <w:r w:rsidR="004E70A6" w:rsidRPr="004E70A6">
        <w:rPr>
          <w:rFonts w:cstheme="minorHAnsi"/>
        </w:rPr>
        <w:t xml:space="preserve">: </w:t>
      </w:r>
      <w:r w:rsidR="004E70A6" w:rsidRPr="004E70A6">
        <w:rPr>
          <w:rFonts w:cstheme="minorHAnsi"/>
          <w:i/>
          <w:iCs/>
        </w:rPr>
        <w:t>RESTABLECER las inversiones originales del Plan Director 2019-2030 en lo que respecta a conducciones y ETAP de la conexión con el Canal de Navarra para abastecer a la Ribera Estellesa: 12.000.000 €. La revisión del Plan Director y la reasignación de fondos para dicha conexión Itoiz-Canal de Navarra no solo retrasan una solución vital, sino que también perpetúan una situación de insostenibilidad ambiental con graves repercusiones en el río Ega y el acuífero de Lokiz.</w:t>
      </w:r>
    </w:p>
    <w:p w14:paraId="6BEB2BFB" w14:textId="55B71BCC" w:rsidR="004E70A6" w:rsidRPr="004E70A6" w:rsidRDefault="00A05468" w:rsidP="004E70A6">
      <w:pPr>
        <w:autoSpaceDE w:val="0"/>
        <w:autoSpaceDN w:val="0"/>
        <w:adjustRightInd w:val="0"/>
        <w:spacing w:after="120" w:line="276" w:lineRule="auto"/>
        <w:jc w:val="both"/>
        <w:rPr>
          <w:rFonts w:cstheme="minorHAnsi"/>
        </w:rPr>
      </w:pPr>
      <w:r w:rsidRPr="004E70A6">
        <w:rPr>
          <w:rFonts w:cstheme="minorHAnsi"/>
        </w:rPr>
        <w:t>Respuesta</w:t>
      </w:r>
      <w:r w:rsidR="004E70A6" w:rsidRPr="004E70A6">
        <w:rPr>
          <w:rFonts w:cstheme="minorHAnsi"/>
        </w:rPr>
        <w:t>: La alternativa 2 es la opción más adecuada para abastecer a la Ribera Estellesa desde el Canal de Navarra, con una inversión estimada de 16,62 millones de euros (sin IVA) y que incluye la construcción de una balsa propia de regulación.</w:t>
      </w:r>
    </w:p>
    <w:p w14:paraId="1FD7E5E1" w14:textId="0B48EB6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Actualmente, ninguna localidad del ámbito de la Mancomunidad de Montejurra cuenta con concesión desde el embalse de Itoiz, lo que condiciona la viabilidad administrativa de la actuación.</w:t>
      </w:r>
    </w:p>
    <w:p w14:paraId="225B8E22" w14:textId="291A6574"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Para poder llevar a cabo esta solución, deben cumplirse tres requisitos fundamentales:</w:t>
      </w:r>
    </w:p>
    <w:p w14:paraId="2D686893" w14:textId="777777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1. Conexión previa con el acuífero de Lóquiz (pozo de Mendaza):</w:t>
      </w:r>
    </w:p>
    <w:p w14:paraId="0034F6FE" w14:textId="30E9BBC9"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Tal y como establece el Plan Director, es prioritaria la ejecución completa de las actuaciones que permitan abastecer a las localidades de la Ribera Estellesa con recursos subterráneos de alta calidad.</w:t>
      </w:r>
    </w:p>
    <w:p w14:paraId="47C136C8" w14:textId="63E3F3FB"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Si bien esta actuación estaba inicialmente prevista para el primer sexenio, su ejecución se ha visto reprogramada debido a la alta concentración de inversiones en Tierra Estella, que absorbió un porcentaje muy importante de los fondos disponibles en el Plan de Inversiones Locales para toda Navarra.</w:t>
      </w:r>
    </w:p>
    <w:p w14:paraId="28CADCA2" w14:textId="61BDF950"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Quedan pendientes las actuaciones de suministro a Viana (2025), conducción de Viana a Mendavia (2028-2030) y derivación de Mendavia a Lodosa (después de 2030).</w:t>
      </w:r>
    </w:p>
    <w:p w14:paraId="097F019B" w14:textId="777777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2. Modificación de la concesión de abastecimiento desde Itoiz:</w:t>
      </w:r>
    </w:p>
    <w:p w14:paraId="30CC5F97" w14:textId="48073350"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La solicitud de concesión por parte de la Mancomunidad de Montejurra, iniciada en 2013, continúa pendiente de resolución en 2025. En este contexto, una nueva solicitud de modificación podría generar nuevos retrasos, lo que afectaría significativa</w:t>
      </w:r>
      <w:r w:rsidR="00BC37BF">
        <w:rPr>
          <w:rFonts w:cstheme="minorHAnsi"/>
        </w:rPr>
        <w:t>mente</w:t>
      </w:r>
      <w:r w:rsidRPr="004E70A6">
        <w:rPr>
          <w:rFonts w:cstheme="minorHAnsi"/>
        </w:rPr>
        <w:t xml:space="preserve"> a los plazos de ejecución previstos.</w:t>
      </w:r>
    </w:p>
    <w:p w14:paraId="2B7C02B7" w14:textId="777777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3. Disponibilidad económica para la ejecución de infraestructuras:</w:t>
      </w:r>
    </w:p>
    <w:p w14:paraId="5C7B3DA9" w14:textId="1B9ECE23"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lastRenderedPageBreak/>
        <w:t>La actuación requiere una inversión de más de 16,6 millones de euros (sin IVA), que actualmente no está contemplada en la planificación económica del segundo sexenio del Plan Director.</w:t>
      </w:r>
    </w:p>
    <w:p w14:paraId="0D0F71C7" w14:textId="09E69AC8"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En conclusión, si bien la alternativa 2 representa una solución técnicamente sólida y viable a medio plazo, su ejecución dentro del segundo sexenio no resulta realista dadas las actuales limitaciones administrativas y presupuestarias. No obstante, si se lograra agilizar la tramitación de la concesión y se priorizara la inversión correspondiente en futuras revisiones del Plan, se podrían crear las condiciones para iniciar las obras en el siguiente periodo de planificación.</w:t>
      </w:r>
    </w:p>
    <w:p w14:paraId="4F4B1B22" w14:textId="0EE2330E" w:rsidR="004E70A6" w:rsidRPr="004E70A6" w:rsidRDefault="00A05468" w:rsidP="004E70A6">
      <w:pPr>
        <w:autoSpaceDE w:val="0"/>
        <w:autoSpaceDN w:val="0"/>
        <w:adjustRightInd w:val="0"/>
        <w:spacing w:after="120" w:line="276" w:lineRule="auto"/>
        <w:jc w:val="both"/>
        <w:rPr>
          <w:rFonts w:cstheme="minorHAnsi"/>
          <w:i/>
          <w:iCs/>
        </w:rPr>
      </w:pPr>
      <w:r w:rsidRPr="004E70A6">
        <w:rPr>
          <w:rFonts w:cstheme="minorHAnsi"/>
        </w:rPr>
        <w:t>Propuesta</w:t>
      </w:r>
      <w:r w:rsidR="004E70A6" w:rsidRPr="004E70A6">
        <w:rPr>
          <w:rFonts w:cstheme="minorHAnsi"/>
        </w:rPr>
        <w:t xml:space="preserve">: </w:t>
      </w:r>
      <w:r w:rsidR="004E70A6" w:rsidRPr="004E70A6">
        <w:rPr>
          <w:rFonts w:cstheme="minorHAnsi"/>
          <w:i/>
          <w:iCs/>
        </w:rPr>
        <w:t>ANALIZAR anualmente, por medio de un estudio de detalle, el impacto de las extracciones que se realizan en el acuífero de Lokiz, así como su afección en el caudal circulante del río Ega. Este estudio debe formar parte de la documentación que trabaje la Comisión de Seguimiento del Plan y ser añadido a la Memoria que tiene que elaborar anualmente el Gobierno Foral de Navarra</w:t>
      </w:r>
      <w:r w:rsidR="00BC37BF">
        <w:rPr>
          <w:rFonts w:cstheme="minorHAnsi"/>
          <w:i/>
          <w:iCs/>
        </w:rPr>
        <w:t>.</w:t>
      </w:r>
    </w:p>
    <w:p w14:paraId="155D78A4" w14:textId="5C062443" w:rsidR="004E70A6" w:rsidRPr="004E70A6" w:rsidRDefault="00A05468" w:rsidP="004E70A6">
      <w:pPr>
        <w:autoSpaceDE w:val="0"/>
        <w:autoSpaceDN w:val="0"/>
        <w:adjustRightInd w:val="0"/>
        <w:spacing w:after="120" w:line="276" w:lineRule="auto"/>
        <w:jc w:val="both"/>
        <w:rPr>
          <w:rFonts w:cstheme="minorHAnsi"/>
        </w:rPr>
      </w:pPr>
      <w:r w:rsidRPr="004E70A6">
        <w:rPr>
          <w:rFonts w:cstheme="minorHAnsi"/>
        </w:rPr>
        <w:t>Respuesta</w:t>
      </w:r>
      <w:r w:rsidR="004E70A6" w:rsidRPr="004E70A6">
        <w:rPr>
          <w:rFonts w:cstheme="minorHAnsi"/>
        </w:rPr>
        <w:t>: Las extracciones, así como el estado del acuífero de Lóquiz y del río Ega, están siendo objeto de un seguimiento técnico detallado con carácter anual. Esta labor de análisis continuo permite valorar la evolución de los recursos hídricos y garantizar una gestión sostenible de los mismos.</w:t>
      </w:r>
    </w:p>
    <w:p w14:paraId="3DE9DFE1" w14:textId="7777777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Caudales del río Ega: Memorias de la Red de control de hidrometría:</w:t>
      </w:r>
    </w:p>
    <w:p w14:paraId="13F39671" w14:textId="0A19AD17" w:rsidR="004E70A6" w:rsidRPr="004E70A6" w:rsidRDefault="004E70A6" w:rsidP="004E70A6">
      <w:pPr>
        <w:spacing w:after="120" w:line="276" w:lineRule="auto"/>
        <w:jc w:val="both"/>
        <w:rPr>
          <w:rFonts w:cstheme="minorHAnsi"/>
        </w:rPr>
      </w:pPr>
      <w:r w:rsidRPr="004E70A6">
        <w:rPr>
          <w:rFonts w:cstheme="minorHAnsi"/>
        </w:rPr>
        <w:t>(https://www.navarra.es/home_es/Temas/Medio+Ambiente/Agua/Documentacion/Memorias/RedForonomica.htm)</w:t>
      </w:r>
    </w:p>
    <w:p w14:paraId="22A64599" w14:textId="4BC03F2C"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Estado ecológico del río Ega: Memorias del estado ecológico de red de calidad de aguas superficiales:</w:t>
      </w:r>
    </w:p>
    <w:p w14:paraId="36548238" w14:textId="29444BD5"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(https://www.navarra.es/home_es/Temas/Medio+Ambiente/Agua/Documentacion/Memorias/estadoecologico.htm)</w:t>
      </w:r>
    </w:p>
    <w:p w14:paraId="21BB471D" w14:textId="66864AA9"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Niveles y estado del acuífero de Lóquiz: Memorias de la red de control de piezometría:</w:t>
      </w:r>
    </w:p>
    <w:p w14:paraId="31E0CFBA" w14:textId="48EB2364"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(https://www.navarra.es/home_es/Temas/Medio+Ambiente/Agua/Documentacion/Memorias/RedPiezometria.htm)</w:t>
      </w:r>
    </w:p>
    <w:p w14:paraId="15CA9FCE" w14:textId="0A641393"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Extracciones de la Mancomunidad de Montejurra del acuífero de Lóquiz: Memorias de seguimiento del Plan Director:</w:t>
      </w:r>
    </w:p>
    <w:p w14:paraId="47829F2E" w14:textId="57E4F0AF"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(https://administracionlocal.admon-cfnavarra.es/areas/SIL-SEGUIMIENTO-PLAN-DIRECTOR/default.aspx)</w:t>
      </w:r>
    </w:p>
    <w:p w14:paraId="0B7FD1DD" w14:textId="4705C82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No obstante, actualmente no se dispone de datos de seguimiento sistemático sobre las extracciones realizadas por los regantes en la cabecera del río Ega, tanto en Álava como en Navarra, ni sobre las extracciones agrícolas en la zona de Valdega o las asociadas al pozo del polígono industrial de Ancín. Estas captaciones, que representan las principales presiones sobre el caudal del río Ega en periodos de estiaje, no se encuentran bajo el ámbito competencial del Plan Director.</w:t>
      </w:r>
    </w:p>
    <w:p w14:paraId="70194BCD" w14:textId="2331B4F1"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4. ¿Se va a recuperar la inversión de 12.000.000 de euros que estaba prevista en la redacción original del Plan Director para la conexión del sistema de abastecimiento al Canal de Navarra o se van a dejar 1.000.000 de euros sin horizonte temporal de ejecución más allá́ de 2030?</w:t>
      </w:r>
    </w:p>
    <w:p w14:paraId="46AB4C30" w14:textId="379E2C0F" w:rsidR="004E70A6" w:rsidRPr="004E70A6" w:rsidRDefault="004E70A6" w:rsidP="004E70A6">
      <w:pPr>
        <w:spacing w:after="120" w:line="276" w:lineRule="auto"/>
        <w:jc w:val="both"/>
        <w:rPr>
          <w:rFonts w:cstheme="minorHAnsi"/>
        </w:rPr>
      </w:pPr>
      <w:r w:rsidRPr="004E70A6">
        <w:rPr>
          <w:rFonts w:cstheme="minorHAnsi"/>
        </w:rPr>
        <w:lastRenderedPageBreak/>
        <w:t>Como se ha indicado en el punto anterior, si bien la alternativa de conexión al Canal de Navarra representa una solución técnicamente sólida y viable a medio plazo, su ejecución dentro del segundo sexenio no resulta realista dadas las actuales limitaciones administrativas y presupuestarias. No obstante, si se lograra agilizar la tramitación de la concesión y se priorizara la inversión correspondiente en futuras revisiones del Plan, se podrían crear las condiciones para iniciar las obras en el siguiente periodo de planificación.</w:t>
      </w:r>
    </w:p>
    <w:p w14:paraId="0814C6FF" w14:textId="2AC190C2"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5. ¿Para cuándo está prevista la aprobación de la Revisión del Plan Director del Ciclo Integral de Agua de Uso Urbano en Navarra 2019-2030?</w:t>
      </w:r>
    </w:p>
    <w:p w14:paraId="75B52C17" w14:textId="17759157"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Es intención del Gobierno de Navarra tratar de aprobar la revisión antes de terminar el año 2025.</w:t>
      </w:r>
    </w:p>
    <w:p w14:paraId="5F92AED7" w14:textId="2C26D58D"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Es cuanto informo en cumplimiento de lo dispuesto en el artículo 215 del Reglamento del Parlamento de Navarra.</w:t>
      </w:r>
    </w:p>
    <w:p w14:paraId="194A4579" w14:textId="0D8C6100"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Pamplona-Iruñea,</w:t>
      </w:r>
      <w:r w:rsidR="00BC37BF">
        <w:rPr>
          <w:rFonts w:cstheme="minorHAnsi"/>
        </w:rPr>
        <w:t xml:space="preserve"> </w:t>
      </w:r>
      <w:r w:rsidRPr="004E70A6">
        <w:rPr>
          <w:rFonts w:cstheme="minorHAnsi"/>
        </w:rPr>
        <w:t>14 de octubre de 2025</w:t>
      </w:r>
    </w:p>
    <w:p w14:paraId="33DB1334" w14:textId="78173BC4" w:rsidR="004E70A6" w:rsidRPr="004E70A6" w:rsidRDefault="004E70A6" w:rsidP="004E70A6">
      <w:pPr>
        <w:autoSpaceDE w:val="0"/>
        <w:autoSpaceDN w:val="0"/>
        <w:adjustRightInd w:val="0"/>
        <w:spacing w:after="120" w:line="276" w:lineRule="auto"/>
        <w:jc w:val="both"/>
        <w:rPr>
          <w:rFonts w:cstheme="minorHAnsi"/>
        </w:rPr>
      </w:pPr>
      <w:r w:rsidRPr="004E70A6">
        <w:rPr>
          <w:rFonts w:cstheme="minorHAnsi"/>
        </w:rPr>
        <w:t>El Consejero de Cohesión Territorial: Óscar Chivite Cornago</w:t>
      </w:r>
    </w:p>
    <w:sectPr w:rsidR="004E70A6" w:rsidRPr="004E70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C1CA3"/>
    <w:multiLevelType w:val="hybridMultilevel"/>
    <w:tmpl w:val="945AE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8004EBB"/>
    <w:multiLevelType w:val="hybridMultilevel"/>
    <w:tmpl w:val="2FC05BB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6D0C3104"/>
    <w:multiLevelType w:val="hybridMultilevel"/>
    <w:tmpl w:val="476A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A6"/>
    <w:rsid w:val="004E70A6"/>
    <w:rsid w:val="008B01BA"/>
    <w:rsid w:val="00A05468"/>
    <w:rsid w:val="00BC37BF"/>
    <w:rsid w:val="00D32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F84B"/>
  <w15:chartTrackingRefBased/>
  <w15:docId w15:val="{9E1B02F8-ED4B-42E2-B273-C8F2DA41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70A6"/>
    <w:rPr>
      <w:color w:val="808080"/>
    </w:rPr>
  </w:style>
  <w:style w:type="paragraph" w:styleId="Prrafodelista">
    <w:name w:val="List Paragraph"/>
    <w:basedOn w:val="Normal"/>
    <w:uiPriority w:val="34"/>
    <w:qFormat/>
    <w:rsid w:val="004E7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84F0-1814-4678-9315-B32DA9AF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1840</Words>
  <Characters>10123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2025-10-16T07:11:00Z</dcterms:created>
  <dcterms:modified xsi:type="dcterms:W3CDTF">2025-11-10T13:00:00Z</dcterms:modified>
</cp:coreProperties>
</file>