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0BD" w14:textId="64937303" w:rsidR="00BC745E" w:rsidRPr="00F52F9D" w:rsidRDefault="00E466A0" w:rsidP="00F52F9D">
      <w:pPr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15 de octubre de 2025</w:t>
      </w:r>
    </w:p>
    <w:p w14:paraId="24B444CA" w14:textId="3CB1AB4C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El Consejero de Salud del Gobierno de Navarra, en relación con la pregunta</w:t>
      </w:r>
      <w:r>
        <w:rPr>
          <w:rFonts w:cstheme="minorHAnsi"/>
        </w:rPr>
        <w:t xml:space="preserve"> </w:t>
      </w:r>
      <w:r w:rsidRPr="00F52F9D">
        <w:rPr>
          <w:rFonts w:cstheme="minorHAnsi"/>
        </w:rPr>
        <w:t>para su contestación por escrito formulada por Parlamentaria Foral Ilma. Sra.</w:t>
      </w:r>
      <w:r>
        <w:rPr>
          <w:rFonts w:cstheme="minorHAnsi"/>
        </w:rPr>
        <w:t xml:space="preserve"> </w:t>
      </w:r>
      <w:r w:rsidRPr="00F52F9D">
        <w:rPr>
          <w:rFonts w:cstheme="minorHAnsi"/>
        </w:rPr>
        <w:t>Dª Cristina López Mañero, adscrita al Grupo Parlamentario UPN Unión del</w:t>
      </w:r>
      <w:r>
        <w:rPr>
          <w:rFonts w:cstheme="minorHAnsi"/>
        </w:rPr>
        <w:t xml:space="preserve"> </w:t>
      </w:r>
      <w:r w:rsidRPr="00F52F9D">
        <w:rPr>
          <w:rFonts w:cstheme="minorHAnsi"/>
        </w:rPr>
        <w:t>Pueblo Navarro (UPN) acerca de las incidencias registradas por el servicio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Bidean (11-25/PES-00339) informa lo siguiente:</w:t>
      </w:r>
    </w:p>
    <w:p w14:paraId="6AD88EA5" w14:textId="614603F2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¿Cuáles son las principales incidencias acontecidas en el inicio de la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actividad de Bidean, tal y como se informó en el Consejo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Administración del 17 de junio de 2025?</w:t>
      </w:r>
    </w:p>
    <w:p w14:paraId="5AE61B1D" w14:textId="2EA5D871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En materia de Recursos Humanos, la principal incidencia fue la falta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actualización en los turnos del personal subrogado, información que había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sido facilitada por las empresas salientes.</w:t>
      </w:r>
    </w:p>
    <w:p w14:paraId="62C55887" w14:textId="167C7DBD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En materia de Operaciones, y únicamente en lo relativo al servicio</w:t>
      </w:r>
      <w:r>
        <w:rPr>
          <w:rFonts w:cstheme="minorHAnsi"/>
        </w:rPr>
        <w:t xml:space="preserve"> </w:t>
      </w:r>
      <w:r w:rsidRPr="00F52F9D">
        <w:rPr>
          <w:rFonts w:cstheme="minorHAnsi"/>
        </w:rPr>
        <w:t>programado, las incidencias más relevantes fueron:</w:t>
      </w:r>
    </w:p>
    <w:p w14:paraId="4A9E5787" w14:textId="3BD95A37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Deficiencias en los datos de pacientes transferidos a BIDEAN, que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presentaban información inexacta o incompleta.</w:t>
      </w:r>
    </w:p>
    <w:p w14:paraId="7623A247" w14:textId="1A3000F6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Cambio de plataforma para la gestión del servicio e implantación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tablets en cada vehículo, lo que exige la adaptación por parte del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personal a las nuevas herramientas proporcionadas.</w:t>
      </w:r>
    </w:p>
    <w:p w14:paraId="7D0791A1" w14:textId="30DC6D17" w:rsidR="00F52F9D" w:rsidRPr="00F52F9D" w:rsidRDefault="00F52F9D" w:rsidP="00F52F9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Subrogación del personal procedente de dos organizaciones privadas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distintas, que implica la integración de diferentes metodologías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trabajo y la adaptación a las normas propias del sector público.</w:t>
      </w:r>
    </w:p>
    <w:p w14:paraId="649579EF" w14:textId="510E7371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 xml:space="preserve">De manera especial ¿en qué consistieron las deficiencias </w:t>
      </w:r>
      <w:r w:rsidRPr="00F52F9D">
        <w:rPr>
          <w:rFonts w:cstheme="minorHAnsi"/>
        </w:rPr>
        <w:t>encontradas en</w:t>
      </w:r>
      <w:r w:rsidRPr="00F52F9D">
        <w:rPr>
          <w:rFonts w:cstheme="minorHAnsi"/>
        </w:rPr>
        <w:t xml:space="preserve"> los datos de los pacientes? ¿</w:t>
      </w:r>
      <w:r>
        <w:rPr>
          <w:rFonts w:cstheme="minorHAnsi"/>
        </w:rPr>
        <w:t>A</w:t>
      </w:r>
      <w:r w:rsidRPr="00F52F9D">
        <w:rPr>
          <w:rFonts w:cstheme="minorHAnsi"/>
        </w:rPr>
        <w:t xml:space="preserve"> qué creen que se pudieron deber?</w:t>
      </w:r>
    </w:p>
    <w:p w14:paraId="4B90DB1F" w14:textId="329863D6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 xml:space="preserve">Las deficiencias detectadas incluían direcciones de recogida </w:t>
      </w:r>
      <w:r w:rsidRPr="00F52F9D">
        <w:rPr>
          <w:rFonts w:cstheme="minorHAnsi"/>
        </w:rPr>
        <w:t>incorrectas, ausencia</w:t>
      </w:r>
      <w:r w:rsidRPr="00F52F9D">
        <w:rPr>
          <w:rFonts w:cstheme="minorHAnsi"/>
        </w:rPr>
        <w:t xml:space="preserve"> de autorizaciones de traslado e incluso registros asociados a</w:t>
      </w:r>
      <w:r w:rsidRPr="00F52F9D">
        <w:rPr>
          <w:rFonts w:cstheme="minorHAnsi"/>
        </w:rPr>
        <w:t xml:space="preserve">  </w:t>
      </w:r>
      <w:r w:rsidRPr="00F52F9D">
        <w:rPr>
          <w:rFonts w:cstheme="minorHAnsi"/>
        </w:rPr>
        <w:t xml:space="preserve">pacientes fallecidos. Estas incidencias procedían de una exportación de </w:t>
      </w:r>
      <w:r w:rsidRPr="00F52F9D">
        <w:rPr>
          <w:rFonts w:cstheme="minorHAnsi"/>
        </w:rPr>
        <w:t>datos realizada</w:t>
      </w:r>
      <w:r w:rsidRPr="00F52F9D">
        <w:rPr>
          <w:rFonts w:cstheme="minorHAnsi"/>
        </w:rPr>
        <w:t xml:space="preserve"> por una de las empresas privadas. La causa técnica exacta no se </w:t>
      </w:r>
      <w:r w:rsidRPr="00F52F9D">
        <w:rPr>
          <w:rFonts w:cstheme="minorHAnsi"/>
        </w:rPr>
        <w:t>ha podido</w:t>
      </w:r>
      <w:r w:rsidRPr="00F52F9D">
        <w:rPr>
          <w:rFonts w:cstheme="minorHAnsi"/>
        </w:rPr>
        <w:t xml:space="preserve"> determinar, pero las anomalías se limitaron a dicha exportación.</w:t>
      </w:r>
    </w:p>
    <w:p w14:paraId="3665B976" w14:textId="04D1C995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¿Qué consecuencias generaron dichas deficiencias en la actividad del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servicio?</w:t>
      </w:r>
    </w:p>
    <w:p w14:paraId="436F2803" w14:textId="2CA389F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Estas deficiencias ocasionaron el envío de ambulancias a direcciones de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recogida erróneas, lo que impidió en algunos casos atender los traslados en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tiempo y forma, y en otros, directamente, imposibilitó su realización.</w:t>
      </w:r>
    </w:p>
    <w:p w14:paraId="1A5ED4DB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¿Qué se ha hecho para solucionarlas?</w:t>
      </w:r>
    </w:p>
    <w:p w14:paraId="22C907DA" w14:textId="39C345F4" w:rsidR="00F52F9D" w:rsidRPr="00F52F9D" w:rsidRDefault="00F52F9D" w:rsidP="00F52F9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Validación de todos los datos contenidos en el ERP mediante contraste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directo con los usuarios finales del servicio, vía telefónica.</w:t>
      </w:r>
    </w:p>
    <w:p w14:paraId="2D8B0FA3" w14:textId="6609F34C" w:rsidR="00F52F9D" w:rsidRPr="00F52F9D" w:rsidRDefault="00F52F9D" w:rsidP="00F52F9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Verificación del histórico de autorizaciones de traslado, contrastando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la información con los datos de Prestaciones y Conciertos.</w:t>
      </w:r>
    </w:p>
    <w:p w14:paraId="4AE39A6F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¿Se han solventado a día de hoy todas ellas?</w:t>
      </w:r>
    </w:p>
    <w:p w14:paraId="014078BD" w14:textId="52803C96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Las incidencias de índole operativo como las descritas se han solventado. No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obstante, se continúa trabajando en la corrección y mejora de determinados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hábitos de gestión heredados, con el objetivo de adecuarlos plenamente a los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estándares actuales.</w:t>
      </w:r>
    </w:p>
    <w:p w14:paraId="5BFA3140" w14:textId="65CCF460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lastRenderedPageBreak/>
        <w:t>Se hace constar la confidencialidad de la información remitida, en el marco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del derecho del parlamentario a solicitar la documentación en virtud del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artículo 14 del Reglamento del Parlamento de Navarra.</w:t>
      </w:r>
    </w:p>
    <w:p w14:paraId="47596EEF" w14:textId="4C013BC0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Es cuanto informo en cumplimiento de lo dispuesto en el artículo 215 del</w:t>
      </w:r>
      <w:r w:rsidRPr="00F52F9D">
        <w:rPr>
          <w:rFonts w:cstheme="minorHAnsi"/>
        </w:rPr>
        <w:t xml:space="preserve"> </w:t>
      </w:r>
      <w:r w:rsidRPr="00F52F9D">
        <w:rPr>
          <w:rFonts w:cstheme="minorHAnsi"/>
        </w:rPr>
        <w:t>Reglamento del Parlamento de Navarra.</w:t>
      </w:r>
    </w:p>
    <w:p w14:paraId="4D01AA67" w14:textId="77777777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>Pamplona-Iruñea, 14 de octubre de 2025</w:t>
      </w:r>
    </w:p>
    <w:p w14:paraId="0FB7D06A" w14:textId="2BB02F92" w:rsidR="00F52F9D" w:rsidRPr="00F52F9D" w:rsidRDefault="00F52F9D" w:rsidP="00F52F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52F9D">
        <w:rPr>
          <w:rFonts w:cstheme="minorHAnsi"/>
        </w:rPr>
        <w:t xml:space="preserve">El Consejero de Salud: </w:t>
      </w:r>
      <w:r w:rsidRPr="00F52F9D">
        <w:rPr>
          <w:rFonts w:cstheme="minorHAnsi"/>
        </w:rPr>
        <w:t>Fernando Domínguez Cunchillos</w:t>
      </w:r>
    </w:p>
    <w:sectPr w:rsidR="00F52F9D" w:rsidRPr="00F52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45" w:hanging="309"/>
      </w:pPr>
      <w:rPr>
        <w:rFonts w:ascii="Symbol" w:hAnsi="Symbol" w:cs="Symbol"/>
        <w:b w:val="0"/>
        <w:bCs w:val="0"/>
        <w:w w:val="102"/>
        <w:sz w:val="20"/>
        <w:szCs w:val="20"/>
      </w:rPr>
    </w:lvl>
    <w:lvl w:ilvl="1">
      <w:numFmt w:val="bullet"/>
      <w:lvlText w:val="•"/>
      <w:lvlJc w:val="left"/>
      <w:pPr>
        <w:ind w:left="1975" w:hanging="309"/>
      </w:pPr>
    </w:lvl>
    <w:lvl w:ilvl="2">
      <w:numFmt w:val="bullet"/>
      <w:lvlText w:val="•"/>
      <w:lvlJc w:val="left"/>
      <w:pPr>
        <w:ind w:left="2704" w:hanging="309"/>
      </w:pPr>
    </w:lvl>
    <w:lvl w:ilvl="3">
      <w:numFmt w:val="bullet"/>
      <w:lvlText w:val="•"/>
      <w:lvlJc w:val="left"/>
      <w:pPr>
        <w:ind w:left="3434" w:hanging="309"/>
      </w:pPr>
    </w:lvl>
    <w:lvl w:ilvl="4">
      <w:numFmt w:val="bullet"/>
      <w:lvlText w:val="•"/>
      <w:lvlJc w:val="left"/>
      <w:pPr>
        <w:ind w:left="4163" w:hanging="309"/>
      </w:pPr>
    </w:lvl>
    <w:lvl w:ilvl="5">
      <w:numFmt w:val="bullet"/>
      <w:lvlText w:val="•"/>
      <w:lvlJc w:val="left"/>
      <w:pPr>
        <w:ind w:left="4892" w:hanging="309"/>
      </w:pPr>
    </w:lvl>
    <w:lvl w:ilvl="6">
      <w:numFmt w:val="bullet"/>
      <w:lvlText w:val="•"/>
      <w:lvlJc w:val="left"/>
      <w:pPr>
        <w:ind w:left="5622" w:hanging="309"/>
      </w:pPr>
    </w:lvl>
    <w:lvl w:ilvl="7">
      <w:numFmt w:val="bullet"/>
      <w:lvlText w:val="•"/>
      <w:lvlJc w:val="left"/>
      <w:pPr>
        <w:ind w:left="6351" w:hanging="309"/>
      </w:pPr>
    </w:lvl>
    <w:lvl w:ilvl="8">
      <w:numFmt w:val="bullet"/>
      <w:lvlText w:val="•"/>
      <w:lvlJc w:val="left"/>
      <w:pPr>
        <w:ind w:left="7081" w:hanging="309"/>
      </w:pPr>
    </w:lvl>
  </w:abstractNum>
  <w:abstractNum w:abstractNumId="1" w15:restartNumberingAfterBreak="0">
    <w:nsid w:val="02337CB4"/>
    <w:multiLevelType w:val="hybridMultilevel"/>
    <w:tmpl w:val="26A28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F36"/>
    <w:multiLevelType w:val="hybridMultilevel"/>
    <w:tmpl w:val="4D8EA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E6EC0"/>
    <w:multiLevelType w:val="hybridMultilevel"/>
    <w:tmpl w:val="FDA08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28073D"/>
    <w:rsid w:val="003F0373"/>
    <w:rsid w:val="00BC745E"/>
    <w:rsid w:val="00E466A0"/>
    <w:rsid w:val="00F5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073D"/>
    <w:pPr>
      <w:autoSpaceDE w:val="0"/>
      <w:autoSpaceDN w:val="0"/>
      <w:adjustRightInd w:val="0"/>
      <w:spacing w:after="0" w:line="240" w:lineRule="auto"/>
      <w:ind w:left="40"/>
    </w:pPr>
    <w:rPr>
      <w:rFonts w:ascii="Century" w:hAnsi="Century" w:cs="Century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073D"/>
    <w:rPr>
      <w:rFonts w:ascii="Century" w:hAnsi="Century" w:cs="Century"/>
      <w:sz w:val="20"/>
      <w:szCs w:val="20"/>
    </w:rPr>
  </w:style>
  <w:style w:type="paragraph" w:styleId="Prrafodelista">
    <w:name w:val="List Paragraph"/>
    <w:basedOn w:val="Normal"/>
    <w:uiPriority w:val="34"/>
    <w:qFormat/>
    <w:rsid w:val="0028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2025-10-16T07:53:00Z</dcterms:created>
  <dcterms:modified xsi:type="dcterms:W3CDTF">2025-10-16T08:05:00Z</dcterms:modified>
</cp:coreProperties>
</file>