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E0BD" w14:textId="0457EA20" w:rsidR="00BC745E" w:rsidRPr="000E5769" w:rsidRDefault="00E466A0" w:rsidP="000E5769">
      <w:pPr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15 de octubre de 2025</w:t>
      </w:r>
    </w:p>
    <w:p w14:paraId="08FED91E" w14:textId="1F9676B2" w:rsidR="000E5769" w:rsidRPr="000E5769" w:rsidRDefault="000E5769" w:rsidP="000E57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El Consejero de Salud del Gobierno de Navarra, en relación con la pregunta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para su contestación por escrito formulada por el Parlamentario Foral Ilmo. Sr.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 xml:space="preserve">D. Javier García Jiménez, adscrito al Grupo Parlamentario Partido </w:t>
      </w:r>
      <w:r>
        <w:rPr>
          <w:rFonts w:cstheme="minorHAnsi"/>
        </w:rPr>
        <w:t>P</w:t>
      </w:r>
      <w:r w:rsidRPr="000E5769">
        <w:rPr>
          <w:rFonts w:cstheme="minorHAnsi"/>
        </w:rPr>
        <w:t>opular</w:t>
      </w:r>
      <w:r>
        <w:rPr>
          <w:rFonts w:cstheme="minorHAnsi"/>
        </w:rPr>
        <w:t xml:space="preserve">, </w:t>
      </w:r>
      <w:r w:rsidRPr="000E5769">
        <w:rPr>
          <w:rFonts w:cstheme="minorHAnsi"/>
        </w:rPr>
        <w:t>sobre si el Gobierno de Navarra tiene previsto poner en marcha medidas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económicas específicas para ayudar a las personas que padecen enfermedad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celíaca o intolerancia al gluten, considerando el sobrecoste que supone su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alimentación y la necesidad médica de seguir una dieta libre de gluten (11-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25/PES-00354), informa lo siguiente:</w:t>
      </w:r>
    </w:p>
    <w:p w14:paraId="055F9EDB" w14:textId="6A544A80" w:rsidR="000E5769" w:rsidRPr="000E5769" w:rsidRDefault="000E5769" w:rsidP="000E57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La Asociación de Celiacos de Navarra se presenta a la Subvención a entidades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locales, fundaciones y asociaciones sin ánimo de lucro para programas de salud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en la línea “Subvenciones para Pacientes y familiares”.</w:t>
      </w:r>
    </w:p>
    <w:p w14:paraId="405DEFD4" w14:textId="77777777" w:rsidR="000E5769" w:rsidRPr="000E5769" w:rsidRDefault="000E5769" w:rsidP="000E57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En el año 2020 presentaron dos programas:</w:t>
      </w:r>
    </w:p>
    <w:p w14:paraId="6EC681A9" w14:textId="77777777" w:rsidR="000E5769" w:rsidRPr="000E5769" w:rsidRDefault="000E5769" w:rsidP="000E57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- El programa “Lista de alimentos aptos para enfermos celíacos”.</w:t>
      </w:r>
    </w:p>
    <w:p w14:paraId="6F20E7D3" w14:textId="2F49250F" w:rsidR="000E5769" w:rsidRPr="000E5769" w:rsidRDefault="000E5769" w:rsidP="000E57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- El programa “Atención psicológica para el enfermo celíaco”, que no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reunió los requisitos mínimos de calidad para ser aceptado.</w:t>
      </w:r>
    </w:p>
    <w:p w14:paraId="3BBD78DC" w14:textId="7C7615A9" w:rsidR="000E5769" w:rsidRPr="000E5769" w:rsidRDefault="000E5769" w:rsidP="000E5769">
      <w:pPr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La cantidad solicitada en ese año fue de 6.500 euros para el programa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aprobado, y la recibida en base a los puntos que obtuvieron (debido a una baja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puntuación) fue de 1.638 euros.</w:t>
      </w:r>
    </w:p>
    <w:p w14:paraId="1A27B28A" w14:textId="77777777" w:rsidR="000E5769" w:rsidRPr="000E5769" w:rsidRDefault="000E5769" w:rsidP="000E57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En el año 2021 presentaron dos nuevos programas que fueron subvencionados:</w:t>
      </w:r>
    </w:p>
    <w:p w14:paraId="4BA859EB" w14:textId="10DF323E" w:rsidR="000E5769" w:rsidRPr="000E5769" w:rsidRDefault="000E5769" w:rsidP="000E57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- El programa “Apoyo, asesoramiento y normalización de la vida de las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personas celiacas y familiares residentes en Navarra”, que recibió una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subvención de 13.806 euros.</w:t>
      </w:r>
    </w:p>
    <w:p w14:paraId="3FF6977A" w14:textId="112D0943" w:rsidR="000E5769" w:rsidRPr="000E5769" w:rsidRDefault="000E5769" w:rsidP="000E57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- El programa “Formación y asesoramiento a restaurantes y lugares de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comida”, que recibió una subvención de 3.074 euros (debido a una baja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puntuación).</w:t>
      </w:r>
    </w:p>
    <w:p w14:paraId="721E0566" w14:textId="77777777" w:rsidR="000E5769" w:rsidRPr="000E5769" w:rsidRDefault="000E5769" w:rsidP="000E57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La cantidad solicitada en ese año fue de 22.134 €.</w:t>
      </w:r>
    </w:p>
    <w:p w14:paraId="2420170A" w14:textId="474CA8C7" w:rsidR="000E5769" w:rsidRPr="000E5769" w:rsidRDefault="000E5769" w:rsidP="000E57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En el año 2022, se presentaron dos programas, manteniendo la línea de calidad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 xml:space="preserve">de </w:t>
      </w:r>
      <w:proofErr w:type="gramStart"/>
      <w:r w:rsidRPr="000E5769">
        <w:rPr>
          <w:rFonts w:cstheme="minorHAnsi"/>
        </w:rPr>
        <w:t>los mismos</w:t>
      </w:r>
      <w:proofErr w:type="gramEnd"/>
      <w:r w:rsidRPr="000E5769">
        <w:rPr>
          <w:rFonts w:cstheme="minorHAnsi"/>
        </w:rPr>
        <w:t xml:space="preserve"> similar al año anterior:</w:t>
      </w:r>
    </w:p>
    <w:p w14:paraId="1FD82FBF" w14:textId="33E3206E" w:rsidR="000E5769" w:rsidRPr="000E5769" w:rsidRDefault="000E5769" w:rsidP="000E57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- El programa “Apoyo, asesoramiento y normalización de la vida de las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personas celiacas y familiares residentes en Navarra” que recibió una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subvención de 10.398 euros.</w:t>
      </w:r>
    </w:p>
    <w:p w14:paraId="4C085033" w14:textId="1BA7A82C" w:rsidR="000E5769" w:rsidRPr="000E5769" w:rsidRDefault="000E5769" w:rsidP="000E57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- El programa “Formación y asesoramiento a restaurantes y lugares de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comida”, que recibió una subvención de 1.971 euros.</w:t>
      </w:r>
    </w:p>
    <w:p w14:paraId="75F9A12C" w14:textId="77777777" w:rsidR="000E5769" w:rsidRPr="000E5769" w:rsidRDefault="000E5769" w:rsidP="000E57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La cantidad solicitada en ese año fue de 25.510 €.</w:t>
      </w:r>
    </w:p>
    <w:p w14:paraId="04A8FD5D" w14:textId="77777777" w:rsidR="000E5769" w:rsidRPr="000E5769" w:rsidRDefault="000E5769" w:rsidP="000E57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En el año 2023, presentaron un programa:</w:t>
      </w:r>
    </w:p>
    <w:p w14:paraId="1695F634" w14:textId="26E76545" w:rsidR="000E5769" w:rsidRPr="000E5769" w:rsidRDefault="000E5769" w:rsidP="000E57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- El programa “Atención a pacientes celiacos y familias” que recibió una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subvención de 14.200 euros.</w:t>
      </w:r>
    </w:p>
    <w:p w14:paraId="5431A2CB" w14:textId="7B65B3BF" w:rsidR="000E5769" w:rsidRPr="000E5769" w:rsidRDefault="000E5769" w:rsidP="000E5769">
      <w:pPr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La cantidad solicitada este año fue de 27.150 €.</w:t>
      </w:r>
    </w:p>
    <w:p w14:paraId="03A13AB6" w14:textId="7F922373" w:rsidR="000E5769" w:rsidRPr="000E5769" w:rsidRDefault="000E5769" w:rsidP="000E57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En el año 2024, se presentó el mismo programa, manteniendo las actividades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que daban continuidad a las acciones desarrolladas para cubrir las necesidades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de las personas en esta situación.</w:t>
      </w:r>
    </w:p>
    <w:p w14:paraId="0EF098EE" w14:textId="1D3C50A8" w:rsidR="000E5769" w:rsidRPr="000E5769" w:rsidRDefault="000E5769" w:rsidP="000E57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- El programa “Atención a pacientes celiacos y familias”, recibió una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subvención de 10.559,33 €.</w:t>
      </w:r>
    </w:p>
    <w:p w14:paraId="3F279018" w14:textId="77777777" w:rsidR="000E5769" w:rsidRPr="000E5769" w:rsidRDefault="000E5769" w:rsidP="000E57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lastRenderedPageBreak/>
        <w:t>La cantidad solicitada este año fue de 25.500 €.</w:t>
      </w:r>
    </w:p>
    <w:p w14:paraId="1A3732D8" w14:textId="443F895F" w:rsidR="000E5769" w:rsidRPr="000E5769" w:rsidRDefault="000E5769" w:rsidP="000E57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En el año 2025 han mantenido el programa presentado en los dos años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anteriores.</w:t>
      </w:r>
    </w:p>
    <w:p w14:paraId="4DFA88B9" w14:textId="2CE6CCC2" w:rsidR="000E5769" w:rsidRPr="000E5769" w:rsidRDefault="000E5769" w:rsidP="000E57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- El programa “Atención a pacientes celiacos y familias”, recibió una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subvención de 10.550 euros.</w:t>
      </w:r>
    </w:p>
    <w:p w14:paraId="1F5C0B62" w14:textId="77777777" w:rsidR="000E5769" w:rsidRPr="000E5769" w:rsidRDefault="000E5769" w:rsidP="000E57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La cantidad solicitada este año fue de 21.600 €.</w:t>
      </w:r>
    </w:p>
    <w:p w14:paraId="2C4DBAA1" w14:textId="28182B1A" w:rsidR="000E5769" w:rsidRPr="000E5769" w:rsidRDefault="000E5769" w:rsidP="000E57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En los Presupuestos Generales de Navarra en el año 2017, se convocó la ayuda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“Subvenciones para gastos de alimentación a personas celiacas”, dotada con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una ayuda de 30.000 euros. Esta línea fue introducida en los Presupuestos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Generales de Navarra a través de una enmienda parlamentaria y se encargó al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 xml:space="preserve">Departamento de Salud la gestión de </w:t>
      </w:r>
      <w:proofErr w:type="gramStart"/>
      <w:r w:rsidRPr="000E5769">
        <w:rPr>
          <w:rFonts w:cstheme="minorHAnsi"/>
        </w:rPr>
        <w:t>la misma</w:t>
      </w:r>
      <w:proofErr w:type="gramEnd"/>
      <w:r w:rsidRPr="000E5769">
        <w:rPr>
          <w:rFonts w:cstheme="minorHAnsi"/>
        </w:rPr>
        <w:t>. Se concedieron 1.506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subvenciones, con una ayuda media de 19.92 euros, lo que demostró la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ineficiencia de la ayuda concedida, y, por tanto, provocó su desaparición.</w:t>
      </w:r>
    </w:p>
    <w:p w14:paraId="107B1A95" w14:textId="49A3E841" w:rsidR="000E5769" w:rsidRPr="000E5769" w:rsidRDefault="000E5769" w:rsidP="000E57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En la evaluación realizada, se consideró que no resulta aplicable el criterio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eficacia-eficiencia, y obliga a destinar recursos de la administración que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suponen más gasto que el beneficio que la ayuda genera, además de la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dificultad de gestión basada en la revisión de facturas de productos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alimenticios: la dinámica de esta convocatoria precisaba invertir mucho tiempo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y recursos humanos, retrasando en gran medida otras tareas del servicio.</w:t>
      </w:r>
    </w:p>
    <w:p w14:paraId="6436B02B" w14:textId="3BAFF48B" w:rsidR="000E5769" w:rsidRPr="000E5769" w:rsidRDefault="000E5769" w:rsidP="000E57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Es cuanto informo en cumplimiento de lo dispuesto en el artículo 215 del</w:t>
      </w:r>
      <w:r>
        <w:rPr>
          <w:rFonts w:cstheme="minorHAnsi"/>
        </w:rPr>
        <w:t xml:space="preserve"> </w:t>
      </w:r>
      <w:r w:rsidRPr="000E5769">
        <w:rPr>
          <w:rFonts w:cstheme="minorHAnsi"/>
        </w:rPr>
        <w:t>Reglamento del Parlamento de Navarra.</w:t>
      </w:r>
    </w:p>
    <w:p w14:paraId="21113C5D" w14:textId="77777777" w:rsidR="000E5769" w:rsidRPr="000E5769" w:rsidRDefault="000E5769" w:rsidP="000E57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Pamplona-</w:t>
      </w:r>
      <w:proofErr w:type="spellStart"/>
      <w:r w:rsidRPr="000E5769">
        <w:rPr>
          <w:rFonts w:cstheme="minorHAnsi"/>
        </w:rPr>
        <w:t>Iruñea</w:t>
      </w:r>
      <w:proofErr w:type="spellEnd"/>
      <w:r w:rsidRPr="000E5769">
        <w:rPr>
          <w:rFonts w:cstheme="minorHAnsi"/>
        </w:rPr>
        <w:t>, 14 de octubre de 2025</w:t>
      </w:r>
    </w:p>
    <w:p w14:paraId="1B990FBF" w14:textId="055CD6B3" w:rsidR="000E5769" w:rsidRPr="000E5769" w:rsidRDefault="000E5769" w:rsidP="000E5769">
      <w:pPr>
        <w:spacing w:after="120" w:line="276" w:lineRule="auto"/>
        <w:jc w:val="both"/>
        <w:rPr>
          <w:rFonts w:cstheme="minorHAnsi"/>
        </w:rPr>
      </w:pPr>
      <w:r w:rsidRPr="000E5769">
        <w:rPr>
          <w:rFonts w:cstheme="minorHAnsi"/>
        </w:rPr>
        <w:t>El Consejero de Salud</w:t>
      </w:r>
      <w:r>
        <w:rPr>
          <w:rFonts w:cstheme="minorHAnsi"/>
        </w:rPr>
        <w:t xml:space="preserve">: </w:t>
      </w:r>
      <w:r w:rsidRPr="000E5769">
        <w:rPr>
          <w:rFonts w:cstheme="minorHAnsi"/>
        </w:rPr>
        <w:t xml:space="preserve">Fernando Domínguez </w:t>
      </w:r>
      <w:proofErr w:type="spellStart"/>
      <w:r w:rsidRPr="000E5769">
        <w:rPr>
          <w:rFonts w:cstheme="minorHAnsi"/>
        </w:rPr>
        <w:t>Cunchillos</w:t>
      </w:r>
      <w:proofErr w:type="spellEnd"/>
    </w:p>
    <w:sectPr w:rsidR="000E5769" w:rsidRPr="000E57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245" w:hanging="309"/>
      </w:pPr>
      <w:rPr>
        <w:rFonts w:ascii="Symbol" w:hAnsi="Symbol" w:cs="Symbol"/>
        <w:b w:val="0"/>
        <w:bCs w:val="0"/>
        <w:w w:val="102"/>
        <w:sz w:val="20"/>
        <w:szCs w:val="20"/>
      </w:rPr>
    </w:lvl>
    <w:lvl w:ilvl="1">
      <w:numFmt w:val="bullet"/>
      <w:lvlText w:val="•"/>
      <w:lvlJc w:val="left"/>
      <w:pPr>
        <w:ind w:left="1975" w:hanging="309"/>
      </w:pPr>
    </w:lvl>
    <w:lvl w:ilvl="2">
      <w:numFmt w:val="bullet"/>
      <w:lvlText w:val="•"/>
      <w:lvlJc w:val="left"/>
      <w:pPr>
        <w:ind w:left="2704" w:hanging="309"/>
      </w:pPr>
    </w:lvl>
    <w:lvl w:ilvl="3">
      <w:numFmt w:val="bullet"/>
      <w:lvlText w:val="•"/>
      <w:lvlJc w:val="left"/>
      <w:pPr>
        <w:ind w:left="3434" w:hanging="309"/>
      </w:pPr>
    </w:lvl>
    <w:lvl w:ilvl="4">
      <w:numFmt w:val="bullet"/>
      <w:lvlText w:val="•"/>
      <w:lvlJc w:val="left"/>
      <w:pPr>
        <w:ind w:left="4163" w:hanging="309"/>
      </w:pPr>
    </w:lvl>
    <w:lvl w:ilvl="5">
      <w:numFmt w:val="bullet"/>
      <w:lvlText w:val="•"/>
      <w:lvlJc w:val="left"/>
      <w:pPr>
        <w:ind w:left="4892" w:hanging="309"/>
      </w:pPr>
    </w:lvl>
    <w:lvl w:ilvl="6">
      <w:numFmt w:val="bullet"/>
      <w:lvlText w:val="•"/>
      <w:lvlJc w:val="left"/>
      <w:pPr>
        <w:ind w:left="5622" w:hanging="309"/>
      </w:pPr>
    </w:lvl>
    <w:lvl w:ilvl="7">
      <w:numFmt w:val="bullet"/>
      <w:lvlText w:val="•"/>
      <w:lvlJc w:val="left"/>
      <w:pPr>
        <w:ind w:left="6351" w:hanging="309"/>
      </w:pPr>
    </w:lvl>
    <w:lvl w:ilvl="8">
      <w:numFmt w:val="bullet"/>
      <w:lvlText w:val="•"/>
      <w:lvlJc w:val="left"/>
      <w:pPr>
        <w:ind w:left="7081" w:hanging="309"/>
      </w:pPr>
    </w:lvl>
  </w:abstractNum>
  <w:abstractNum w:abstractNumId="1" w15:restartNumberingAfterBreak="0">
    <w:nsid w:val="02337CB4"/>
    <w:multiLevelType w:val="hybridMultilevel"/>
    <w:tmpl w:val="26A28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F4F36"/>
    <w:multiLevelType w:val="hybridMultilevel"/>
    <w:tmpl w:val="4D8EA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E6EC0"/>
    <w:multiLevelType w:val="hybridMultilevel"/>
    <w:tmpl w:val="FDA08B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5E"/>
    <w:rsid w:val="000E5769"/>
    <w:rsid w:val="0028073D"/>
    <w:rsid w:val="003F0373"/>
    <w:rsid w:val="00BC745E"/>
    <w:rsid w:val="00C5036D"/>
    <w:rsid w:val="00E466A0"/>
    <w:rsid w:val="00F5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5234"/>
  <w15:chartTrackingRefBased/>
  <w15:docId w15:val="{9F7B8570-B5B0-473F-881D-11112D77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8073D"/>
    <w:pPr>
      <w:autoSpaceDE w:val="0"/>
      <w:autoSpaceDN w:val="0"/>
      <w:adjustRightInd w:val="0"/>
      <w:spacing w:after="0" w:line="240" w:lineRule="auto"/>
      <w:ind w:left="40"/>
    </w:pPr>
    <w:rPr>
      <w:rFonts w:ascii="Century" w:hAnsi="Century" w:cs="Century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073D"/>
    <w:rPr>
      <w:rFonts w:ascii="Century" w:hAnsi="Century" w:cs="Century"/>
      <w:sz w:val="20"/>
      <w:szCs w:val="20"/>
    </w:rPr>
  </w:style>
  <w:style w:type="paragraph" w:styleId="Prrafodelista">
    <w:name w:val="List Paragraph"/>
    <w:basedOn w:val="Normal"/>
    <w:uiPriority w:val="34"/>
    <w:qFormat/>
    <w:rsid w:val="00280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619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2025-10-16T08:05:00Z</dcterms:created>
  <dcterms:modified xsi:type="dcterms:W3CDTF">2025-10-16T08:14:00Z</dcterms:modified>
</cp:coreProperties>
</file>