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C77F" w14:textId="39890D7B" w:rsidR="00D3611A" w:rsidRPr="00D3611A" w:rsidRDefault="00D3611A" w:rsidP="00D3611A">
      <w:pPr>
        <w:pStyle w:val="Default"/>
        <w:spacing w:after="120" w:line="276" w:lineRule="auto"/>
        <w:jc w:val="both"/>
        <w:rPr>
          <w:b/>
          <w:bCs/>
          <w:sz w:val="22"/>
          <w:szCs w:val="22"/>
          <w:rFonts w:asciiTheme="minorHAnsi" w:hAnsiTheme="minorHAnsi" w:cstheme="minorHAnsi"/>
        </w:rPr>
      </w:pPr>
      <w:r>
        <w:rPr>
          <w:b/>
          <w:sz w:val="22"/>
          <w:rFonts w:asciiTheme="minorHAnsi" w:hAnsiTheme="minorHAnsi"/>
        </w:rPr>
        <w:t xml:space="preserve">Nafarroako Gobernuko lehendakariaren erantzuna</w:t>
      </w:r>
    </w:p>
    <w:p w14:paraId="5FB813B9" w14:textId="77777777" w:rsidR="00D3611A" w:rsidRPr="00D3611A" w:rsidRDefault="00D3611A" w:rsidP="00D3611A">
      <w:pPr>
        <w:pStyle w:val="Default"/>
        <w:spacing w:after="120" w:line="276" w:lineRule="auto"/>
        <w:jc w:val="both"/>
        <w:rPr>
          <w:sz w:val="22"/>
          <w:szCs w:val="22"/>
          <w:rFonts w:asciiTheme="minorHAnsi" w:hAnsiTheme="minorHAnsi" w:cstheme="minorHAnsi"/>
        </w:rPr>
      </w:pPr>
      <w:r>
        <w:rPr>
          <w:sz w:val="22"/>
          <w:rFonts w:asciiTheme="minorHAnsi" w:hAnsiTheme="minorHAnsi"/>
        </w:rPr>
        <w:t xml:space="preserve">Nafarroako Gorteetako kide den eta Unión del Pueblo Navarro talde parlamentarioari atxikita dagoen Ángel Ansa Echegaray jaunak PES-00352 galdera egin zuen. Hona hemen Nafarroako Gobernuko lehendakariak horri buruz jakinarazten diona:</w:t>
      </w:r>
      <w:r>
        <w:rPr>
          <w:sz w:val="22"/>
          <w:rFonts w:asciiTheme="minorHAnsi" w:hAnsiTheme="minorHAnsi"/>
        </w:rPr>
        <w:t xml:space="preserve"> </w:t>
      </w:r>
    </w:p>
    <w:p w14:paraId="3C790A03" w14:textId="77777777" w:rsidR="00D3611A" w:rsidRPr="00D3611A" w:rsidRDefault="00D3611A" w:rsidP="00D3611A">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1. puntuari dagokionez, jo bedi 11-25/PES-00216 idatzizko galdeari eta 11-25/PES-00334 idatzizko galderari jada erantzundakora.</w:t>
      </w:r>
    </w:p>
    <w:p w14:paraId="0A81D827" w14:textId="77777777" w:rsidR="00D3611A" w:rsidRPr="00D3611A" w:rsidRDefault="00D3611A" w:rsidP="00D3611A">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2. puntuari dagokionez, lehendakariaren idatzizko oharrak dokumentu pribatua dira eta, beraz, ez dira sartzen Nafarroako Parlamentuko Erregelamenduaren 14. artikuluan foru-parlamentariek informazioa eskuratzeko duten eskubideei buruz jasotako kasuetan.</w:t>
      </w:r>
    </w:p>
    <w:p w14:paraId="79331CFA" w14:textId="77777777" w:rsidR="00D3611A" w:rsidRPr="00D3611A" w:rsidRDefault="00D3611A" w:rsidP="00D3611A">
      <w:pPr>
        <w:spacing w:after="120" w:line="276" w:lineRule="auto"/>
        <w:rPr>
          <w:sz w:val="22"/>
          <w:szCs w:val="22"/>
          <w:rFonts w:asciiTheme="minorHAnsi" w:hAnsiTheme="minorHAnsi" w:cstheme="minorHAnsi"/>
        </w:rPr>
      </w:pPr>
      <w:r>
        <w:rPr>
          <w:sz w:val="22"/>
          <w:rFonts w:asciiTheme="minorHAnsi" w:hAnsiTheme="minorHAnsi"/>
        </w:rPr>
        <w:t xml:space="preserve">Hori guztia jakinarazten dut, Nafarroako Parlamentuko Erregelamenduaren 215. artikuluan xedatutakoa betez.</w:t>
      </w:r>
    </w:p>
    <w:p w14:paraId="414A60D4" w14:textId="77777777" w:rsidR="00D3611A" w:rsidRPr="00D3611A" w:rsidRDefault="00D3611A" w:rsidP="00D3611A">
      <w:pPr>
        <w:pStyle w:val="Default"/>
        <w:spacing w:after="120" w:line="276" w:lineRule="auto"/>
        <w:jc w:val="both"/>
        <w:rPr>
          <w:sz w:val="22"/>
          <w:szCs w:val="22"/>
          <w:rFonts w:asciiTheme="minorHAnsi" w:hAnsiTheme="minorHAnsi" w:cstheme="minorHAnsi"/>
        </w:rPr>
      </w:pPr>
      <w:r>
        <w:rPr>
          <w:sz w:val="22"/>
          <w:rFonts w:asciiTheme="minorHAnsi" w:hAnsiTheme="minorHAnsi"/>
        </w:rPr>
        <w:t xml:space="preserve">Iruñean, 2025eko urriaren 27an</w:t>
      </w:r>
    </w:p>
    <w:p w14:paraId="41B6E04E" w14:textId="221A7D4E" w:rsidR="00D3611A" w:rsidRPr="00D3611A" w:rsidRDefault="00D3611A" w:rsidP="00D3611A">
      <w:pPr>
        <w:spacing w:after="120" w:line="276" w:lineRule="auto"/>
        <w:rPr>
          <w:sz w:val="22"/>
          <w:szCs w:val="22"/>
          <w:rFonts w:asciiTheme="minorHAnsi" w:hAnsiTheme="minorHAnsi" w:cstheme="minorHAnsi"/>
        </w:rPr>
      </w:pPr>
      <w:r>
        <w:rPr>
          <w:sz w:val="22"/>
          <w:rFonts w:asciiTheme="minorHAnsi" w:hAnsiTheme="minorHAnsi"/>
        </w:rPr>
        <w:t xml:space="preserve">Nafarroako lehendakaria: María Chivite Navascués</w:t>
      </w:r>
    </w:p>
    <w:p w14:paraId="4C98AFC4" w14:textId="77777777" w:rsidR="00D3611A" w:rsidRDefault="00D3611A" w:rsidP="00D3611A">
      <w:pPr>
        <w:spacing w:after="120" w:line="276" w:lineRule="auto"/>
        <w:rPr>
          <w:rFonts w:asciiTheme="minorHAnsi" w:hAnsiTheme="minorHAnsi" w:cstheme="minorHAnsi"/>
          <w:b/>
          <w:bCs/>
          <w:color w:val="000000"/>
          <w:sz w:val="22"/>
          <w:szCs w:val="22"/>
        </w:rPr>
      </w:pPr>
    </w:p>
    <w:p w14:paraId="63909175" w14:textId="7398EBBD" w:rsidR="00211860" w:rsidRPr="00D3611A" w:rsidRDefault="00D3611A" w:rsidP="00D3611A">
      <w:pPr>
        <w:spacing w:after="120" w:line="276" w:lineRule="auto"/>
        <w:rPr>
          <w:b/>
          <w:bCs/>
          <w:color w:val="000000"/>
          <w:sz w:val="22"/>
          <w:szCs w:val="22"/>
          <w:rFonts w:asciiTheme="minorHAnsi" w:hAnsiTheme="minorHAnsi" w:cstheme="minorHAnsi"/>
        </w:rPr>
      </w:pPr>
      <w:r>
        <w:rPr>
          <w:b/>
          <w:color w:val="000000"/>
          <w:sz w:val="22"/>
          <w:rFonts w:asciiTheme="minorHAnsi" w:hAnsiTheme="minorHAnsi"/>
        </w:rPr>
        <w:t xml:space="preserve">Landa Garapeneko eta Ingurumeneko kontseilariaren erantzuna</w:t>
      </w:r>
    </w:p>
    <w:p w14:paraId="3C292ED0" w14:textId="2A3AA754" w:rsidR="00934199" w:rsidRPr="00D3611A" w:rsidRDefault="00D3611A" w:rsidP="00D3611A">
      <w:pPr>
        <w:spacing w:after="120" w:line="276" w:lineRule="auto"/>
        <w:rPr>
          <w:sz w:val="22"/>
          <w:szCs w:val="22"/>
          <w:rFonts w:asciiTheme="minorHAnsi" w:hAnsiTheme="minorHAnsi" w:cstheme="minorHAnsi"/>
        </w:rPr>
      </w:pPr>
      <w:r>
        <w:rPr>
          <w:sz w:val="22"/>
          <w:rFonts w:asciiTheme="minorHAnsi" w:hAnsiTheme="minorHAnsi"/>
        </w:rPr>
        <w:t xml:space="preserve">UPN talde parlamentarioari atxikitako foru parlamentari Ángel Ansa Echegaray jaunak Hiri Zirkularra proiektuari buruzko idatzizko galdera egin zuen (11-25/PES-00352). Hona hemen Landa Garapeneko eta Ingurumeneko kontseilariak horri buruz ematen dion informazioa:</w:t>
      </w:r>
    </w:p>
    <w:p w14:paraId="78934B0B" w14:textId="77777777" w:rsidR="001E1BE8" w:rsidRPr="00D3611A" w:rsidRDefault="001E1BE8" w:rsidP="00D3611A">
      <w:pPr>
        <w:spacing w:after="120" w:line="276" w:lineRule="auto"/>
        <w:ind w:left="284" w:hanging="284"/>
        <w:rPr>
          <w:b/>
          <w:sz w:val="22"/>
          <w:szCs w:val="22"/>
          <w:rFonts w:asciiTheme="minorHAnsi" w:hAnsiTheme="minorHAnsi" w:cstheme="minorHAnsi"/>
        </w:rPr>
      </w:pPr>
      <w:r>
        <w:rPr>
          <w:b/>
          <w:sz w:val="22"/>
          <w:rFonts w:asciiTheme="minorHAnsi" w:hAnsiTheme="minorHAnsi"/>
        </w:rPr>
        <w:t xml:space="preserve">3.</w:t>
      </w:r>
      <w:r>
        <w:rPr>
          <w:b/>
          <w:sz w:val="22"/>
          <w:rFonts w:asciiTheme="minorHAnsi" w:hAnsiTheme="minorHAnsi"/>
        </w:rPr>
        <w:t xml:space="preserve"> </w:t>
      </w:r>
      <w:r>
        <w:rPr>
          <w:b/>
          <w:sz w:val="22"/>
          <w:rFonts w:asciiTheme="minorHAnsi" w:hAnsiTheme="minorHAnsi"/>
        </w:rPr>
        <w:t xml:space="preserve">Nor ziren proiektu honen sustatzaileak?</w:t>
      </w:r>
    </w:p>
    <w:p w14:paraId="45B2DD7B"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Exekuzio-proiektu bat idaztera iritsi ez bazen ere, sustatzailea Nafarroako Gobernua izan zen, Nasuvinsa sozietate publikoaren bitartez, geroago elkarlan publiko-pribatuko formulak egituratzeko asmoz, aurretik lizitazio publikoa eginda.</w:t>
      </w:r>
    </w:p>
    <w:p w14:paraId="44398E2E" w14:textId="77777777" w:rsidR="001E1BE8" w:rsidRPr="00D3611A" w:rsidRDefault="001E1BE8" w:rsidP="00D3611A">
      <w:pPr>
        <w:spacing w:after="120" w:line="276" w:lineRule="auto"/>
        <w:ind w:left="284" w:hanging="284"/>
        <w:rPr>
          <w:b/>
          <w:sz w:val="22"/>
          <w:szCs w:val="22"/>
          <w:rFonts w:asciiTheme="minorHAnsi" w:hAnsiTheme="minorHAnsi" w:cstheme="minorHAnsi"/>
        </w:rPr>
      </w:pPr>
      <w:r>
        <w:rPr>
          <w:b/>
          <w:sz w:val="22"/>
          <w:rFonts w:asciiTheme="minorHAnsi" w:hAnsiTheme="minorHAnsi"/>
        </w:rPr>
        <w:t xml:space="preserve">4.</w:t>
      </w:r>
      <w:r>
        <w:rPr>
          <w:b/>
          <w:sz w:val="22"/>
          <w:rFonts w:asciiTheme="minorHAnsi" w:hAnsiTheme="minorHAnsi"/>
        </w:rPr>
        <w:t xml:space="preserve"> </w:t>
      </w:r>
      <w:r>
        <w:rPr>
          <w:b/>
          <w:sz w:val="22"/>
          <w:rFonts w:asciiTheme="minorHAnsi" w:hAnsiTheme="minorHAnsi"/>
        </w:rPr>
        <w:t xml:space="preserve">Nondik heldu da proiektuaren 157,6 milioi euroko aurrekontua?</w:t>
      </w:r>
      <w:r>
        <w:rPr>
          <w:b/>
          <w:sz w:val="22"/>
          <w:rFonts w:asciiTheme="minorHAnsi" w:hAnsiTheme="minorHAnsi"/>
        </w:rPr>
        <w:t xml:space="preserve"> </w:t>
      </w:r>
      <w:r>
        <w:rPr>
          <w:b/>
          <w:sz w:val="22"/>
          <w:rFonts w:asciiTheme="minorHAnsi" w:hAnsiTheme="minorHAnsi"/>
        </w:rPr>
        <w:t xml:space="preserve">Zein entitatek egin behar zuten proiekturako ekarpena? Zenbat jarri behar zuen bakoitzak?</w:t>
      </w:r>
      <w:r>
        <w:rPr>
          <w:b/>
          <w:sz w:val="22"/>
          <w:rFonts w:asciiTheme="minorHAnsi" w:hAnsiTheme="minorHAnsi"/>
        </w:rPr>
        <w:t xml:space="preserve"> </w:t>
      </w:r>
      <w:r>
        <w:rPr>
          <w:b/>
          <w:sz w:val="22"/>
          <w:rFonts w:asciiTheme="minorHAnsi" w:hAnsiTheme="minorHAnsi"/>
        </w:rPr>
        <w:t xml:space="preserve">Ba al dago guztizko zenbateko hori azaltzen duen aurrekontu-banakatzeri buruzko dokumenturik?</w:t>
      </w:r>
    </w:p>
    <w:p w14:paraId="6F1048DC"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Nafarroako Gobernuak proiektu hori sartu zuen proposamenen zerrendan Next Generation-EU Europako programaren finantzaketa eskuratzeko. Proposamen horiek Nafarroa Green dokumentuan bilduta daude. Hiru urtean 157,6 milioi euroko inbertsioko gutxi gorabeherako kalkulua aurreratu da, SEMen bidez 40 milioi euro lortu ahal izango direlakoan, hargatik eragotzi gabe kalkulu hori geroago modu xehatuagoan egin ahal izatea, Europako edo Estatuko finantzaketen arabera, horiek lortuz gero.</w:t>
      </w:r>
    </w:p>
    <w:p w14:paraId="3B5D81CA" w14:textId="77777777" w:rsidR="001E1BE8" w:rsidRPr="00D3611A" w:rsidRDefault="001E1BE8" w:rsidP="00D3611A">
      <w:pPr>
        <w:spacing w:after="120" w:line="276" w:lineRule="auto"/>
        <w:ind w:left="284" w:hanging="284"/>
        <w:rPr>
          <w:b/>
          <w:sz w:val="22"/>
          <w:szCs w:val="22"/>
          <w:rFonts w:asciiTheme="minorHAnsi" w:hAnsiTheme="minorHAnsi" w:cstheme="minorHAnsi"/>
        </w:rPr>
      </w:pPr>
      <w:r>
        <w:rPr>
          <w:b/>
          <w:sz w:val="22"/>
          <w:rFonts w:asciiTheme="minorHAnsi" w:hAnsiTheme="minorHAnsi"/>
        </w:rPr>
        <w:t xml:space="preserve">5.- Zein zen proiektu horren epea eta non kokatu behar zen?</w:t>
      </w:r>
    </w:p>
    <w:p w14:paraId="0D48EA78"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Nafarroako Gobernua ez zen espedienterik izapidetzera iritsi, ez eta epedun exekuzio-proiekturik idaztera ere; nolanahi ere, Nasuvinsak kokapen posibleei buruzko alternatiben azterlan bat aurreratu zuen, eta horretatik ondorioztatzen zen NUPen UGPSa zela kokapen egokiena.</w:t>
      </w:r>
    </w:p>
    <w:p w14:paraId="2F1DC5C8" w14:textId="31A9E99A" w:rsidR="001E1BE8" w:rsidRPr="00D3611A" w:rsidRDefault="001E1BE8" w:rsidP="00D3611A">
      <w:pPr>
        <w:spacing w:after="120" w:line="276" w:lineRule="auto"/>
        <w:ind w:left="284" w:hanging="284"/>
        <w:rPr>
          <w:b/>
          <w:sz w:val="22"/>
          <w:szCs w:val="22"/>
          <w:rFonts w:asciiTheme="minorHAnsi" w:hAnsiTheme="minorHAnsi" w:cstheme="minorHAnsi"/>
        </w:rPr>
      </w:pPr>
      <w:r>
        <w:rPr>
          <w:b/>
          <w:sz w:val="22"/>
          <w:rFonts w:asciiTheme="minorHAnsi" w:hAnsiTheme="minorHAnsi"/>
        </w:rPr>
        <w:t xml:space="preserve">6.- Zenbat bilera egin zuten proiektuaren sustatzaileek orduko Etxebizitzako kontseilari José María Aierdirekin?</w:t>
      </w:r>
      <w:r>
        <w:rPr>
          <w:b/>
          <w:sz w:val="22"/>
          <w:rFonts w:asciiTheme="minorHAnsi" w:hAnsiTheme="minorHAnsi"/>
        </w:rPr>
        <w:t xml:space="preserve"> </w:t>
      </w:r>
      <w:r>
        <w:rPr>
          <w:b/>
          <w:sz w:val="22"/>
          <w:rFonts w:asciiTheme="minorHAnsi" w:hAnsiTheme="minorHAnsi"/>
        </w:rPr>
        <w:t xml:space="preserve">Nortzuk egon ziren bilera horietako bakoitzean?</w:t>
      </w:r>
    </w:p>
    <w:p w14:paraId="243960F3"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Esan den bezala, proiektuaren sustatzailea Nafarroako Gobernua zen, gero elkarlan publiko-pribaturako formulak egituratzea aurreikusten bazen ere.</w:t>
      </w:r>
      <w:r>
        <w:rPr>
          <w:sz w:val="22"/>
          <w:rFonts w:asciiTheme="minorHAnsi" w:hAnsiTheme="minorHAnsi"/>
        </w:rPr>
        <w:t xml:space="preserve"> </w:t>
      </w:r>
      <w:r>
        <w:rPr>
          <w:sz w:val="22"/>
          <w:rFonts w:asciiTheme="minorHAnsi" w:hAnsiTheme="minorHAnsi"/>
        </w:rPr>
        <w:t xml:space="preserve">Horri dagokionez, 11-25/PEI-00673 informazio-eskaeraren erantzunean adierazi bezala, kontseilari honek topaketaren bat egin zuen antzeko beste proiektu batzuen sustatzaileekin (ez dago horien erregistrorik) eta horiek helarazi zizkioten haien ezagutza teknikoak eta beste udalerri batzuetan izandako esperientziak hiri zirkularraren kontzeptu orokorra hartzen duten hainbat bektoreri dagokienez (bizitegi-garapena eta azpiegiturak, energiaren kudeaketa integrala, uraren eta hondakinen zikloa, mugikortasuna eta garraioa, eta digitalizazioa).</w:t>
      </w:r>
    </w:p>
    <w:p w14:paraId="36BF5E4F" w14:textId="13D88EED" w:rsidR="001E1BE8" w:rsidRPr="00D3611A" w:rsidRDefault="001E1BE8" w:rsidP="00D3611A">
      <w:pPr>
        <w:spacing w:after="120" w:line="276" w:lineRule="auto"/>
        <w:ind w:left="284" w:hanging="284"/>
        <w:rPr>
          <w:b/>
          <w:sz w:val="22"/>
          <w:szCs w:val="22"/>
          <w:rFonts w:asciiTheme="minorHAnsi" w:hAnsiTheme="minorHAnsi" w:cstheme="minorHAnsi"/>
        </w:rPr>
      </w:pPr>
      <w:r>
        <w:rPr>
          <w:b/>
          <w:sz w:val="22"/>
          <w:rFonts w:asciiTheme="minorHAnsi" w:hAnsiTheme="minorHAnsi"/>
        </w:rPr>
        <w:t xml:space="preserve">Zergatik sartu zuen Nafarroako Gobernuak Hiri Zirkularra proiektua “Nafarroa Green” Trantsizio Ekologikorako estrategian?</w:t>
      </w:r>
    </w:p>
    <w:p w14:paraId="6691BE2F"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Nafarroako Gobernuak proiektu hori sartu zuen proposamenen zerrendan Next Generation-EU Europako programaren finantzaketa eskuratzeko. Proposamen horiek Nafarroa Green dokumentuan bilduta daude, Europako Itun Berdearekin (European Green Deal) lerrokatuta egoten ahal diren proiektuetan eta, beraz, SEMen bidez finantzaketa lortzen ahal dute.</w:t>
      </w:r>
    </w:p>
    <w:p w14:paraId="4D4B72C2" w14:textId="0CE7A3FB" w:rsidR="001E1BE8" w:rsidRPr="00D3611A" w:rsidRDefault="001E1BE8" w:rsidP="00D3611A">
      <w:pPr>
        <w:spacing w:after="120" w:line="276" w:lineRule="auto"/>
        <w:ind w:left="284" w:hanging="284"/>
        <w:rPr>
          <w:b/>
          <w:sz w:val="22"/>
          <w:szCs w:val="22"/>
          <w:rFonts w:asciiTheme="minorHAnsi" w:hAnsiTheme="minorHAnsi" w:cstheme="minorHAnsi"/>
        </w:rPr>
      </w:pPr>
      <w:r>
        <w:rPr>
          <w:b/>
          <w:sz w:val="22"/>
          <w:rFonts w:asciiTheme="minorHAnsi" w:hAnsiTheme="minorHAnsi"/>
        </w:rPr>
        <w:t xml:space="preserve">Ba al dago proiektu horri buruzko dokumenturik, haren azalpena "Nafarroa Green" Trantsizio Ekologikorako Estrategiaren dokumentuan sartu aurretik?</w:t>
      </w:r>
      <w:r>
        <w:rPr>
          <w:b/>
          <w:sz w:val="22"/>
          <w:rFonts w:asciiTheme="minorHAnsi" w:hAnsiTheme="minorHAnsi"/>
        </w:rPr>
        <w:t xml:space="preserve"> </w:t>
      </w:r>
      <w:r>
        <w:rPr>
          <w:b/>
          <w:sz w:val="22"/>
          <w:rFonts w:asciiTheme="minorHAnsi" w:hAnsiTheme="minorHAnsi"/>
        </w:rPr>
        <w:t xml:space="preserve">Zertan oinarrituta egin da azalpena?</w:t>
      </w:r>
    </w:p>
    <w:p w14:paraId="627E6A65"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Nasuvinsak ekonomia zirkularraren eta hirigintza jasangarriaren adierazleen pean hiri-kokaguneak ezartzearen egokitasunari buruzko aurretiko analisia egin zuen, eta horretan oinarrituta sartu zen aipatu zerrendan.</w:t>
      </w:r>
      <w:r>
        <w:rPr>
          <w:sz w:val="22"/>
          <w:rFonts w:asciiTheme="minorHAnsi" w:hAnsiTheme="minorHAnsi"/>
        </w:rPr>
        <w:t xml:space="preserve"> </w:t>
      </w:r>
      <w:r>
        <w:rPr>
          <w:sz w:val="22"/>
          <w:rFonts w:asciiTheme="minorHAnsi" w:hAnsiTheme="minorHAnsi"/>
        </w:rPr>
        <w:t xml:space="preserve">Geroago, proiektuak Europako finantzaketa jasotzen ahal zuelakoan, sozietate publiko horrek hauek aurreratu zituen: aurrekontu posibleei buruzko aurretiko azterlanak, ESEPE posible bati buruzko analisi juridikoa edo elkarlan publiko-pribaturako formulak edo kokaleku posibleei buruzko alternatiben azterketak.</w:t>
      </w:r>
    </w:p>
    <w:p w14:paraId="0F8A9489" w14:textId="77777777" w:rsidR="001E1BE8" w:rsidRPr="00D3611A" w:rsidRDefault="001E1BE8" w:rsidP="00D3611A">
      <w:pPr>
        <w:spacing w:after="120" w:line="276" w:lineRule="auto"/>
        <w:rPr>
          <w:b/>
          <w:sz w:val="22"/>
          <w:szCs w:val="22"/>
          <w:rFonts w:asciiTheme="minorHAnsi" w:hAnsiTheme="minorHAnsi" w:cstheme="minorHAnsi"/>
        </w:rPr>
      </w:pPr>
      <w:r>
        <w:rPr>
          <w:b/>
          <w:sz w:val="22"/>
          <w:rFonts w:asciiTheme="minorHAnsi" w:hAnsiTheme="minorHAnsi"/>
        </w:rPr>
        <w:t xml:space="preserve">9.- Zergatik ez zen azkenean proiektua egin?</w:t>
      </w:r>
    </w:p>
    <w:p w14:paraId="5270FBA6" w14:textId="77777777" w:rsidR="001E1BE8" w:rsidRPr="00D3611A" w:rsidRDefault="001E1BE8" w:rsidP="00D3611A">
      <w:pPr>
        <w:spacing w:after="120" w:line="276" w:lineRule="auto"/>
        <w:rPr>
          <w:sz w:val="22"/>
          <w:szCs w:val="22"/>
          <w:rFonts w:asciiTheme="minorHAnsi" w:hAnsiTheme="minorHAnsi" w:cstheme="minorHAnsi"/>
        </w:rPr>
      </w:pPr>
      <w:r>
        <w:rPr>
          <w:sz w:val="22"/>
          <w:rFonts w:asciiTheme="minorHAnsi" w:hAnsiTheme="minorHAnsi"/>
        </w:rPr>
        <w:t xml:space="preserve">Ez zelako lortu finantzaketarik Next Generation-EU programaren bidez.</w:t>
      </w:r>
    </w:p>
    <w:p w14:paraId="167EA86C" w14:textId="77777777" w:rsidR="00A56CCF" w:rsidRPr="00D3611A" w:rsidRDefault="00A56CCF" w:rsidP="00D3611A">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 betez.</w:t>
      </w:r>
    </w:p>
    <w:p w14:paraId="4418FDDB" w14:textId="5A0B163B" w:rsidR="00934199" w:rsidRPr="00D3611A" w:rsidRDefault="00A56CCF" w:rsidP="00D3611A">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2025eko urriaren 27an</w:t>
      </w:r>
    </w:p>
    <w:p w14:paraId="0B574E21" w14:textId="182CBCA2" w:rsidR="0083638A" w:rsidRPr="001C5D03" w:rsidRDefault="001C5D03" w:rsidP="001C5D03">
      <w:pPr>
        <w:spacing w:after="120" w:line="276" w:lineRule="auto"/>
        <w:outlineLvl w:val="0"/>
        <w:rPr>
          <w:sz w:val="22"/>
          <w:szCs w:val="22"/>
          <w:rFonts w:asciiTheme="minorHAnsi" w:hAnsiTheme="minorHAnsi" w:cstheme="minorHAnsi"/>
        </w:rPr>
      </w:pPr>
      <w:r>
        <w:rPr>
          <w:sz w:val="22"/>
          <w:rFonts w:asciiTheme="minorHAnsi" w:hAnsiTheme="minorHAnsi"/>
        </w:rPr>
        <w:t xml:space="preserve">Landa Garapeneko eta Ingurumeneko kontseilaria: </w:t>
      </w:r>
      <w:r>
        <w:rPr>
          <w:sz w:val="22"/>
          <w:color w:val="000000"/>
          <w:rFonts w:asciiTheme="minorHAnsi" w:hAnsiTheme="minorHAnsi"/>
        </w:rPr>
        <w:t xml:space="preserve">José María Aierdi Fernández de Barrena</w:t>
      </w:r>
    </w:p>
    <w:sectPr w:rsidR="0083638A" w:rsidRPr="001C5D03"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F823" w14:textId="77777777" w:rsidR="00970F2B" w:rsidRDefault="00970F2B" w:rsidP="00381BB8">
      <w:pPr>
        <w:pStyle w:val="Encabezado"/>
      </w:pPr>
      <w:r>
        <w:separator/>
      </w:r>
    </w:p>
  </w:endnote>
  <w:endnote w:type="continuationSeparator" w:id="0">
    <w:p w14:paraId="6CE8D5EE" w14:textId="77777777" w:rsidR="00970F2B" w:rsidRDefault="00970F2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B0B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970F2B">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A80A" w14:textId="24952CBE"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EEBC" w14:textId="77777777" w:rsidR="00970F2B" w:rsidRDefault="00970F2B" w:rsidP="00381BB8">
      <w:pPr>
        <w:pStyle w:val="Encabezado"/>
      </w:pPr>
      <w:r>
        <w:separator/>
      </w:r>
    </w:p>
  </w:footnote>
  <w:footnote w:type="continuationSeparator" w:id="0">
    <w:p w14:paraId="454BF5FE" w14:textId="77777777" w:rsidR="00970F2B" w:rsidRDefault="00970F2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761F" w14:textId="0EF7D5BF"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0F724B25"/>
    <w:multiLevelType w:val="hybridMultilevel"/>
    <w:tmpl w:val="2D1CE4BA"/>
    <w:lvl w:ilvl="0" w:tplc="8D48660A">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5"/>
  </w:num>
  <w:num w:numId="5">
    <w:abstractNumId w:val="1"/>
  </w:num>
  <w:num w:numId="6">
    <w:abstractNumId w:val="14"/>
  </w:num>
  <w:num w:numId="7">
    <w:abstractNumId w:val="6"/>
  </w:num>
  <w:num w:numId="8">
    <w:abstractNumId w:val="4"/>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10"/>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2B"/>
    <w:rsid w:val="00001125"/>
    <w:rsid w:val="00001162"/>
    <w:rsid w:val="000013A3"/>
    <w:rsid w:val="00001C29"/>
    <w:rsid w:val="00001F99"/>
    <w:rsid w:val="00002839"/>
    <w:rsid w:val="0000338A"/>
    <w:rsid w:val="00003862"/>
    <w:rsid w:val="0000474A"/>
    <w:rsid w:val="00004A98"/>
    <w:rsid w:val="00006955"/>
    <w:rsid w:val="00006BD9"/>
    <w:rsid w:val="00006D23"/>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5D03"/>
    <w:rsid w:val="001C620F"/>
    <w:rsid w:val="001D0115"/>
    <w:rsid w:val="001D05EF"/>
    <w:rsid w:val="001D1016"/>
    <w:rsid w:val="001D21EA"/>
    <w:rsid w:val="001D2850"/>
    <w:rsid w:val="001D2AA7"/>
    <w:rsid w:val="001D33DA"/>
    <w:rsid w:val="001D4DFC"/>
    <w:rsid w:val="001E039C"/>
    <w:rsid w:val="001E0FC4"/>
    <w:rsid w:val="001E158F"/>
    <w:rsid w:val="001E1596"/>
    <w:rsid w:val="001E1BE8"/>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AB2"/>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55210"/>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78"/>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0F2B"/>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11A"/>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8F2E15"/>
  <w15:chartTrackingRefBased/>
  <w15:docId w15:val="{AED2C702-4CFA-4121-89C8-4BA7AFCA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11A"/>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TotalTime>
  <Pages>2</Pages>
  <Words>816</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2018-10-15T10:28:00Z</cp:lastPrinted>
  <dcterms:created xsi:type="dcterms:W3CDTF">2025-10-28T07:50:00Z</dcterms:created>
  <dcterms:modified xsi:type="dcterms:W3CDTF">2025-10-28T07:50:00Z</dcterms:modified>
</cp:coreProperties>
</file>