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00E7C" w14:textId="551D6585" w:rsidR="00C869B7" w:rsidRPr="00701C13" w:rsidRDefault="00701C13" w:rsidP="00701C13">
      <w:pPr>
        <w:spacing w:after="120" w:line="276" w:lineRule="auto"/>
        <w:jc w:val="both"/>
        <w:rPr>
          <w:rFonts w:eastAsia="Times New Roman" w:cstheme="minorHAnsi"/>
        </w:rPr>
      </w:pPr>
      <w:r>
        <w:t>2025eko azaroaren 25a</w:t>
      </w:r>
    </w:p>
    <w:p w14:paraId="5488A8DA" w14:textId="77777777" w:rsidR="00C869B7" w:rsidRPr="00701C13" w:rsidRDefault="00936E87" w:rsidP="00701C13">
      <w:pPr>
        <w:spacing w:after="120" w:line="276" w:lineRule="auto"/>
        <w:jc w:val="both"/>
        <w:rPr>
          <w:rFonts w:eastAsia="Times New Roman" w:cstheme="minorHAnsi"/>
        </w:rPr>
      </w:pPr>
      <w:r>
        <w:t xml:space="preserve">EH Bildu Nafarroa talde parlamentarioari atxikitako foru parlamentari Txomin González Martínez jaunak galdera egin du </w:t>
      </w:r>
      <w:proofErr w:type="spellStart"/>
      <w:r>
        <w:t>gabapentinoideen</w:t>
      </w:r>
      <w:proofErr w:type="spellEnd"/>
      <w:r>
        <w:t xml:space="preserve"> (</w:t>
      </w:r>
      <w:proofErr w:type="spellStart"/>
      <w:r>
        <w:t>Lyrica</w:t>
      </w:r>
      <w:proofErr w:type="spellEnd"/>
      <w:r>
        <w:t>) kontsumoari buruz (11-25-PEI-00378), idatziz erantzun dakion. Bada, Nafarroako Gobernuko Osasuneko kontseilariak informazio hau ematen du horri buruz:</w:t>
      </w:r>
    </w:p>
    <w:p w14:paraId="5786E57E" w14:textId="77777777" w:rsidR="00C869B7" w:rsidRPr="00701C13" w:rsidRDefault="00C869B7" w:rsidP="00701C13">
      <w:pPr>
        <w:spacing w:after="120" w:line="276" w:lineRule="auto"/>
        <w:jc w:val="both"/>
        <w:rPr>
          <w:rFonts w:eastAsia="Times New Roman" w:cstheme="minorHAnsi"/>
          <w:b/>
        </w:rPr>
      </w:pPr>
      <w:proofErr w:type="spellStart"/>
      <w:r>
        <w:rPr>
          <w:b/>
        </w:rPr>
        <w:t>Gabapentinoideen</w:t>
      </w:r>
      <w:proofErr w:type="spellEnd"/>
      <w:r>
        <w:rPr>
          <w:b/>
        </w:rPr>
        <w:t xml:space="preserve"> (</w:t>
      </w:r>
      <w:proofErr w:type="spellStart"/>
      <w:r>
        <w:rPr>
          <w:b/>
        </w:rPr>
        <w:t>Lyrica</w:t>
      </w:r>
      <w:proofErr w:type="spellEnd"/>
      <w:r>
        <w:rPr>
          <w:b/>
        </w:rPr>
        <w:t>...) preskripzioak zer bilakaera izan du urtez urte NOZ-Osasunbidean, azterketa egin zen urtetik (2020) gaur arte, bai oinarrizko osasun-laguntzan, bai espezializatuan?</w:t>
      </w:r>
    </w:p>
    <w:p w14:paraId="6D1EF740" w14:textId="77777777" w:rsidR="00082FD4" w:rsidRPr="00701C13" w:rsidRDefault="00082FD4" w:rsidP="00701C13">
      <w:pPr>
        <w:spacing w:after="120" w:line="276" w:lineRule="auto"/>
        <w:jc w:val="both"/>
        <w:rPr>
          <w:rFonts w:eastAsia="Times New Roman" w:cstheme="minorHAnsi"/>
        </w:rPr>
      </w:pPr>
      <w:proofErr w:type="spellStart"/>
      <w:r>
        <w:t>Gabapentinoideen</w:t>
      </w:r>
      <w:proofErr w:type="spellEnd"/>
      <w:r>
        <w:t xml:space="preserve"> erabileraren bilakaera azaltzeko kalkulu orria xehatzen da, farmazia bulegoetan errezetak emateari buruzko datuetan oinarrituta. Egunean zehaztutako dosi kopurua eta tratatutako paziente kopurua neurtzen dira.</w:t>
      </w:r>
    </w:p>
    <w:p w14:paraId="58004257" w14:textId="77777777" w:rsidR="00C869B7" w:rsidRPr="00701C13" w:rsidRDefault="00082FD4" w:rsidP="00701C13">
      <w:pPr>
        <w:spacing w:after="120" w:line="276" w:lineRule="auto"/>
        <w:jc w:val="both"/>
        <w:rPr>
          <w:rFonts w:cstheme="minorHAnsi"/>
        </w:rPr>
      </w:pPr>
      <w:r>
        <w:t>Zehaztutako eguneko dosia Osasunaren Mundu Erakundeak ezarritako medikamentuen kontsumoa neurtzeko eta alderatzeko unitate tekniko bat da.</w:t>
      </w:r>
    </w:p>
    <w:p w14:paraId="1CFDF99F" w14:textId="77777777" w:rsidR="00F511C7" w:rsidRDefault="00F511C7" w:rsidP="00364B69">
      <w:pPr>
        <w:spacing w:line="360" w:lineRule="auto"/>
        <w:jc w:val="both"/>
        <w:rPr>
          <w:rFonts w:ascii="DejaVu Serif Condensed" w:hAnsi="DejaVu Serif Condensed" w:cstheme="minorHAnsi"/>
          <w:sz w:val="24"/>
          <w:szCs w:val="24"/>
        </w:rPr>
      </w:pPr>
      <w:r>
        <w:rPr>
          <w:noProof/>
        </w:rPr>
        <w:drawing>
          <wp:inline distT="0" distB="0" distL="0" distR="0" wp14:anchorId="63166D23" wp14:editId="6E65B9A5">
            <wp:extent cx="5400040" cy="3711696"/>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711696"/>
                    </a:xfrm>
                    <a:prstGeom prst="rect">
                      <a:avLst/>
                    </a:prstGeom>
                    <a:noFill/>
                    <a:ln>
                      <a:noFill/>
                    </a:ln>
                  </pic:spPr>
                </pic:pic>
              </a:graphicData>
            </a:graphic>
          </wp:inline>
        </w:drawing>
      </w:r>
    </w:p>
    <w:p w14:paraId="6F1E1C45" w14:textId="77777777" w:rsidR="00C869B7" w:rsidRPr="00701C13" w:rsidRDefault="00C869B7" w:rsidP="00701C13">
      <w:pPr>
        <w:spacing w:after="120" w:line="276" w:lineRule="auto"/>
        <w:jc w:val="both"/>
        <w:rPr>
          <w:rFonts w:eastAsia="Times New Roman" w:cstheme="minorHAnsi"/>
          <w:b/>
        </w:rPr>
      </w:pPr>
      <w:r>
        <w:rPr>
          <w:b/>
        </w:rPr>
        <w:t xml:space="preserve">Zer kostu ekonomiko izan du urtez urte </w:t>
      </w:r>
      <w:proofErr w:type="spellStart"/>
      <w:r>
        <w:rPr>
          <w:b/>
        </w:rPr>
        <w:t>gabapentinoideen</w:t>
      </w:r>
      <w:proofErr w:type="spellEnd"/>
      <w:r>
        <w:rPr>
          <w:b/>
        </w:rPr>
        <w:t xml:space="preserve"> (</w:t>
      </w:r>
      <w:proofErr w:type="spellStart"/>
      <w:r>
        <w:rPr>
          <w:b/>
        </w:rPr>
        <w:t>Lyrica</w:t>
      </w:r>
      <w:proofErr w:type="spellEnd"/>
      <w:r>
        <w:rPr>
          <w:b/>
        </w:rPr>
        <w:t>...) erabilerak 2020tik gaur arte, bai oinarrizko osasun-laguntzan, bai espezializatuan?</w:t>
      </w:r>
    </w:p>
    <w:p w14:paraId="712F6B10" w14:textId="77777777" w:rsidR="00150810" w:rsidRPr="00701C13" w:rsidRDefault="00150810" w:rsidP="00701C13">
      <w:pPr>
        <w:spacing w:after="120" w:line="276" w:lineRule="auto"/>
        <w:jc w:val="both"/>
        <w:rPr>
          <w:rFonts w:eastAsia="Times New Roman" w:cstheme="minorHAnsi"/>
        </w:rPr>
      </w:pPr>
      <w:r>
        <w:t>Erantsitako kalkulu orrian zenbatekoaren bilakaera islatzen da, pazientearen ekarpena barne hartuta (</w:t>
      </w:r>
      <w:proofErr w:type="spellStart"/>
      <w:r>
        <w:t>gabapentinoideen</w:t>
      </w:r>
      <w:proofErr w:type="spellEnd"/>
      <w:r>
        <w:t xml:space="preserve"> kontsumoa, laburtuta).</w:t>
      </w:r>
    </w:p>
    <w:p w14:paraId="432B4983" w14:textId="77777777" w:rsidR="000F5889" w:rsidRPr="00701C13" w:rsidRDefault="00C869B7" w:rsidP="00701C13">
      <w:pPr>
        <w:spacing w:after="120" w:line="276" w:lineRule="auto"/>
        <w:jc w:val="both"/>
        <w:rPr>
          <w:rFonts w:eastAsia="Times New Roman" w:cstheme="minorHAnsi"/>
          <w:b/>
        </w:rPr>
      </w:pPr>
      <w:proofErr w:type="spellStart"/>
      <w:r>
        <w:rPr>
          <w:b/>
        </w:rPr>
        <w:t>Gabapentinoideak</w:t>
      </w:r>
      <w:proofErr w:type="spellEnd"/>
      <w:r>
        <w:rPr>
          <w:b/>
        </w:rPr>
        <w:t xml:space="preserve"> ez dira eraginkorrak fibromialgia, </w:t>
      </w:r>
      <w:proofErr w:type="spellStart"/>
      <w:r>
        <w:rPr>
          <w:b/>
        </w:rPr>
        <w:t>migraina</w:t>
      </w:r>
      <w:proofErr w:type="spellEnd"/>
      <w:r>
        <w:rPr>
          <w:b/>
        </w:rPr>
        <w:t xml:space="preserve">, lunbalgia, dardara esentziala, ebakuntza osteko oinazea eta menopausia osteko beroaldiak tratatzeko, eta, beraz, ez da gomendatzen horiek erabiltzea. Nola kontrolatzen da NOZ-Osasunbideak aholkatutako preskripzioa, eta </w:t>
      </w:r>
      <w:proofErr w:type="spellStart"/>
      <w:r>
        <w:rPr>
          <w:b/>
        </w:rPr>
        <w:t>gabapentinoideak</w:t>
      </w:r>
      <w:proofErr w:type="spellEnd"/>
      <w:r>
        <w:rPr>
          <w:b/>
        </w:rPr>
        <w:t xml:space="preserve"> (</w:t>
      </w:r>
      <w:proofErr w:type="spellStart"/>
      <w:r>
        <w:rPr>
          <w:b/>
        </w:rPr>
        <w:t>Lyrica</w:t>
      </w:r>
      <w:proofErr w:type="spellEnd"/>
      <w:r>
        <w:rPr>
          <w:b/>
        </w:rPr>
        <w:t>...) gomendatutako erabilerarako ez erabiltzeagatik jakinarazpenik egin al zaie profesionalei edo diziplinazko espedienterik abiarazi al da? Medikuntzako zenbat profesionali egin zaio halakorik urte bakoitzean?</w:t>
      </w:r>
    </w:p>
    <w:p w14:paraId="6EAFF470" w14:textId="77777777" w:rsidR="00A62E8D" w:rsidRPr="00701C13" w:rsidRDefault="00150810" w:rsidP="00701C13">
      <w:pPr>
        <w:spacing w:after="120" w:line="276" w:lineRule="auto"/>
        <w:jc w:val="both"/>
        <w:rPr>
          <w:rFonts w:eastAsia="Times New Roman" w:cstheme="minorHAnsi"/>
        </w:rPr>
      </w:pPr>
      <w:r>
        <w:lastRenderedPageBreak/>
        <w:t>Ez da optimizazio estrategiarik garatu historia klinikoan. Pixkanaka erretiratu beharreko sendagaiak direnez, ezin da bat-batean eteteko proposamenik egin.</w:t>
      </w:r>
    </w:p>
    <w:p w14:paraId="6F416253" w14:textId="77777777" w:rsidR="00150810" w:rsidRPr="00701C13" w:rsidRDefault="00150810" w:rsidP="00701C13">
      <w:pPr>
        <w:spacing w:after="120" w:line="276" w:lineRule="auto"/>
        <w:jc w:val="both"/>
        <w:rPr>
          <w:rFonts w:eastAsia="Times New Roman" w:cstheme="minorHAnsi"/>
        </w:rPr>
      </w:pPr>
      <w:r>
        <w:t xml:space="preserve">Lehen mailako arretako farmazialariek paziente </w:t>
      </w:r>
      <w:proofErr w:type="spellStart"/>
      <w:r>
        <w:t>polimedikatuen</w:t>
      </w:r>
      <w:proofErr w:type="spellEnd"/>
      <w:r>
        <w:t xml:space="preserve"> medikazioa berrikusten dutenean, preskripzioa kentzea gomendatzen da. Mezu eredu hauek ezarri dira:</w:t>
      </w:r>
    </w:p>
    <w:p w14:paraId="3A65EAE3" w14:textId="77777777" w:rsidR="0087216E" w:rsidRPr="00701C13" w:rsidRDefault="0087216E" w:rsidP="00701C13">
      <w:pPr>
        <w:pBdr>
          <w:top w:val="single" w:sz="4" w:space="1" w:color="auto"/>
          <w:left w:val="single" w:sz="4" w:space="0" w:color="auto"/>
          <w:bottom w:val="single" w:sz="4" w:space="1" w:color="auto"/>
          <w:right w:val="single" w:sz="4" w:space="1" w:color="auto"/>
        </w:pBdr>
        <w:spacing w:after="120" w:line="276" w:lineRule="auto"/>
        <w:jc w:val="both"/>
        <w:rPr>
          <w:rFonts w:eastAsia="Times New Roman" w:cstheme="minorHAnsi"/>
        </w:rPr>
      </w:pPr>
      <w:proofErr w:type="spellStart"/>
      <w:r>
        <w:rPr>
          <w:b/>
          <w:u w:val="single"/>
        </w:rPr>
        <w:t>Gabapentinoideak</w:t>
      </w:r>
      <w:proofErr w:type="spellEnd"/>
      <w:r>
        <w:rPr>
          <w:b/>
          <w:u w:val="single"/>
        </w:rPr>
        <w:t xml:space="preserve"> oinazean</w:t>
      </w:r>
      <w:r>
        <w:rPr>
          <w:b/>
        </w:rPr>
        <w:t>:</w:t>
      </w:r>
      <w:r>
        <w:t xml:space="preserve"> </w:t>
      </w:r>
      <w:proofErr w:type="spellStart"/>
      <w:r>
        <w:t>pregabalina</w:t>
      </w:r>
      <w:proofErr w:type="spellEnd"/>
      <w:r>
        <w:t xml:space="preserve"> eta </w:t>
      </w:r>
      <w:proofErr w:type="spellStart"/>
      <w:r>
        <w:t>gabapentina</w:t>
      </w:r>
      <w:proofErr w:type="spellEnd"/>
      <w:r>
        <w:t xml:space="preserve"> eraginkorrak izan litezke plazeboarekin alderatuta, lehen mailako tratamendu gisa, oinaze </w:t>
      </w:r>
      <w:proofErr w:type="spellStart"/>
      <w:r>
        <w:t>neuropatikoa</w:t>
      </w:r>
      <w:proofErr w:type="spellEnd"/>
      <w:r>
        <w:t xml:space="preserve"> tratatzeko, neuralgia </w:t>
      </w:r>
      <w:proofErr w:type="spellStart"/>
      <w:r>
        <w:t>posherpetikoa</w:t>
      </w:r>
      <w:proofErr w:type="spellEnd"/>
      <w:r>
        <w:t xml:space="preserve"> eta </w:t>
      </w:r>
      <w:proofErr w:type="spellStart"/>
      <w:r>
        <w:t>neuropatia</w:t>
      </w:r>
      <w:proofErr w:type="spellEnd"/>
      <w:r>
        <w:t xml:space="preserve"> periferiko diabetikoa duten pertsona batzuen kasuan behintzat:</w:t>
      </w:r>
    </w:p>
    <w:p w14:paraId="72F0CD1F" w14:textId="58991B03" w:rsidR="0087216E" w:rsidRPr="00701C13" w:rsidRDefault="0087216E" w:rsidP="00701C13">
      <w:pPr>
        <w:pBdr>
          <w:top w:val="single" w:sz="4" w:space="1" w:color="auto"/>
          <w:left w:val="single" w:sz="4" w:space="0" w:color="auto"/>
          <w:bottom w:val="single" w:sz="4" w:space="1" w:color="auto"/>
          <w:right w:val="single" w:sz="4" w:space="1" w:color="auto"/>
        </w:pBdr>
        <w:spacing w:after="120" w:line="276" w:lineRule="auto"/>
        <w:jc w:val="both"/>
        <w:rPr>
          <w:rFonts w:eastAsia="Times New Roman" w:cstheme="minorHAnsi"/>
        </w:rPr>
      </w:pPr>
      <w:r>
        <w:t xml:space="preserve">   100 pertsonatik 41ek vs 100 pertsonatik 15ek neuralgia </w:t>
      </w:r>
      <w:proofErr w:type="spellStart"/>
      <w:r>
        <w:t>posherpetiko</w:t>
      </w:r>
      <w:proofErr w:type="spellEnd"/>
      <w:r>
        <w:t xml:space="preserve"> neurrizko eta larrian, edo 100 pertsonatik 41ek vs 100 pertsonatik 28k </w:t>
      </w:r>
      <w:proofErr w:type="spellStart"/>
      <w:r>
        <w:t>neuropatia</w:t>
      </w:r>
      <w:proofErr w:type="spellEnd"/>
      <w:r>
        <w:t xml:space="preserve"> periferiko diabetikoa duten pazienteen kasuan, oinazea % 50 arinduko litzateke, gutxienez, </w:t>
      </w:r>
      <w:proofErr w:type="spellStart"/>
      <w:r>
        <w:t>pregabalina</w:t>
      </w:r>
      <w:proofErr w:type="spellEnd"/>
      <w:r>
        <w:t xml:space="preserve"> 600 mg/egunean hartuz gero, hasierako titulazioa vs plazeboaren ondorengo ≥8 asteetan.</w:t>
      </w:r>
    </w:p>
    <w:p w14:paraId="1AFA031E" w14:textId="04AE2260" w:rsidR="0087216E" w:rsidRPr="00701C13" w:rsidRDefault="0087216E" w:rsidP="00701C13">
      <w:pPr>
        <w:pBdr>
          <w:top w:val="single" w:sz="4" w:space="1" w:color="auto"/>
          <w:left w:val="single" w:sz="4" w:space="0" w:color="auto"/>
          <w:bottom w:val="single" w:sz="4" w:space="1" w:color="auto"/>
          <w:right w:val="single" w:sz="4" w:space="1" w:color="auto"/>
        </w:pBdr>
        <w:spacing w:after="120" w:line="276" w:lineRule="auto"/>
        <w:jc w:val="both"/>
        <w:rPr>
          <w:rFonts w:eastAsia="Times New Roman" w:cstheme="minorHAnsi"/>
        </w:rPr>
      </w:pPr>
      <w:r>
        <w:t xml:space="preserve">    100 pertsonatik 31k vs 100 pertsonatik 17k neuralgia </w:t>
      </w:r>
      <w:proofErr w:type="spellStart"/>
      <w:r>
        <w:t>posherpetiko</w:t>
      </w:r>
      <w:proofErr w:type="spellEnd"/>
      <w:r>
        <w:t xml:space="preserve"> neurrizko eta larrian, edo 100 pertsonatik 38k vs 100 pertsonatik 21ek </w:t>
      </w:r>
      <w:proofErr w:type="spellStart"/>
      <w:r>
        <w:t>neuropatia</w:t>
      </w:r>
      <w:proofErr w:type="spellEnd"/>
      <w:r>
        <w:t xml:space="preserve"> periferiko diabetikoa duten pazienteen kasuan, oinazea % 50 arinduko litzateke, gutxienez, </w:t>
      </w:r>
      <w:proofErr w:type="spellStart"/>
      <w:r>
        <w:t>pregabalina</w:t>
      </w:r>
      <w:proofErr w:type="spellEnd"/>
      <w:r>
        <w:t xml:space="preserve"> ≥1.200 mg/egunean hartuz gero, hasierako titulazioa vs plazeboaren ondorengo ≥8 asteetan.</w:t>
      </w:r>
    </w:p>
    <w:p w14:paraId="04565C43" w14:textId="30DEFFF0" w:rsidR="0087216E" w:rsidRPr="00701C13" w:rsidRDefault="0087216E" w:rsidP="00701C13">
      <w:pPr>
        <w:pBdr>
          <w:top w:val="single" w:sz="4" w:space="1" w:color="auto"/>
          <w:left w:val="single" w:sz="4" w:space="0" w:color="auto"/>
          <w:bottom w:val="single" w:sz="4" w:space="1" w:color="auto"/>
          <w:right w:val="single" w:sz="4" w:space="1" w:color="auto"/>
        </w:pBdr>
        <w:spacing w:after="120" w:line="276" w:lineRule="auto"/>
        <w:jc w:val="both"/>
        <w:rPr>
          <w:rFonts w:eastAsia="Times New Roman" w:cstheme="minorHAnsi"/>
        </w:rPr>
      </w:pPr>
      <w:r>
        <w:rPr>
          <w:b/>
        </w:rPr>
        <w:t>Fibromialgia</w:t>
      </w:r>
      <w:r>
        <w:t xml:space="preserve">ren kasuetan </w:t>
      </w:r>
      <w:proofErr w:type="spellStart"/>
      <w:r>
        <w:t>gabapentinaren</w:t>
      </w:r>
      <w:proofErr w:type="spellEnd"/>
      <w:r>
        <w:t xml:space="preserve"> eraginkortasuna ez dago argi eta garbi frogatuta, eta ez dira eraginkorrak gerrialdeko oinazerako, ziatikarako, bizkarrezurreko estenosirako edo </w:t>
      </w:r>
      <w:proofErr w:type="spellStart"/>
      <w:r>
        <w:t>migraina</w:t>
      </w:r>
      <w:proofErr w:type="spellEnd"/>
      <w:r>
        <w:t xml:space="preserve"> </w:t>
      </w:r>
      <w:proofErr w:type="spellStart"/>
      <w:r>
        <w:t>episodikorako</w:t>
      </w:r>
      <w:proofErr w:type="spellEnd"/>
      <w:r>
        <w:t>, eta ez da gomendagarria fitxa teknikotik kanpo erabiltzea gaitz horiek tratatzeko</w:t>
      </w:r>
      <w:r w:rsidR="003355D9">
        <w:t>.</w:t>
      </w:r>
    </w:p>
    <w:p w14:paraId="001E18F6" w14:textId="77777777" w:rsidR="0087216E" w:rsidRPr="00701C13" w:rsidRDefault="00701C13" w:rsidP="00701C13">
      <w:pPr>
        <w:pBdr>
          <w:top w:val="single" w:sz="4" w:space="1" w:color="auto"/>
          <w:left w:val="single" w:sz="4" w:space="0" w:color="auto"/>
          <w:bottom w:val="single" w:sz="4" w:space="1" w:color="auto"/>
          <w:right w:val="single" w:sz="4" w:space="1" w:color="auto"/>
        </w:pBdr>
        <w:spacing w:after="120" w:line="276" w:lineRule="auto"/>
        <w:jc w:val="both"/>
        <w:rPr>
          <w:rFonts w:cstheme="minorHAnsi"/>
        </w:rPr>
      </w:pPr>
      <w:hyperlink r:id="rId9" w:history="1">
        <w:r>
          <w:rPr>
            <w:rStyle w:val="Hipervnculo"/>
          </w:rPr>
          <w:t>https://www.bmj.com/content/369/bmj.m1315</w:t>
        </w:r>
      </w:hyperlink>
    </w:p>
    <w:p w14:paraId="1DB045B3" w14:textId="77777777" w:rsidR="0087216E" w:rsidRPr="00701C13" w:rsidRDefault="0087216E" w:rsidP="00701C13">
      <w:pPr>
        <w:pBdr>
          <w:top w:val="single" w:sz="4" w:space="1" w:color="auto"/>
          <w:left w:val="single" w:sz="4" w:space="0" w:color="auto"/>
          <w:bottom w:val="single" w:sz="4" w:space="1" w:color="auto"/>
          <w:right w:val="single" w:sz="4" w:space="1" w:color="auto"/>
        </w:pBdr>
        <w:spacing w:after="120" w:line="276" w:lineRule="auto"/>
        <w:jc w:val="both"/>
        <w:rPr>
          <w:rFonts w:cstheme="minorHAnsi"/>
        </w:rPr>
      </w:pPr>
      <w:r>
        <w:t>Pazienteei jakinarazi egin behar zaizkie bigarren mailako ondorioak, hala nola zorabioak, logura eta ibiltzeko arazoak, sendagaien dosia murriztu edo eten behar izatea eskatzen dutenak zenbait kasutan.</w:t>
      </w:r>
    </w:p>
    <w:p w14:paraId="0E6E9D94" w14:textId="77777777" w:rsidR="0087216E" w:rsidRPr="00701C13" w:rsidRDefault="0087216E" w:rsidP="00701C13">
      <w:pPr>
        <w:pBdr>
          <w:top w:val="single" w:sz="4" w:space="1" w:color="auto"/>
          <w:left w:val="single" w:sz="4" w:space="0" w:color="auto"/>
          <w:bottom w:val="single" w:sz="4" w:space="1" w:color="auto"/>
          <w:right w:val="single" w:sz="4" w:space="1" w:color="auto"/>
        </w:pBdr>
        <w:spacing w:after="120" w:line="276" w:lineRule="auto"/>
        <w:jc w:val="both"/>
        <w:rPr>
          <w:rFonts w:cstheme="minorHAnsi"/>
        </w:rPr>
      </w:pPr>
      <w:proofErr w:type="spellStart"/>
      <w:r>
        <w:t>FDAk</w:t>
      </w:r>
      <w:proofErr w:type="spellEnd"/>
      <w:r>
        <w:t xml:space="preserve"> ohartarazi egin zuen, 2020ko urtarrilean, </w:t>
      </w:r>
      <w:proofErr w:type="spellStart"/>
      <w:r>
        <w:t>gabapentinoideei</w:t>
      </w:r>
      <w:proofErr w:type="spellEnd"/>
      <w:r>
        <w:t xml:space="preserve"> eta arnas depresio larriari buruz, </w:t>
      </w:r>
      <w:proofErr w:type="spellStart"/>
      <w:r>
        <w:t>opioideekin</w:t>
      </w:r>
      <w:proofErr w:type="spellEnd"/>
      <w:r>
        <w:t>, nerbio sistema zentraleko beste depresore batzuetan funtsatutako tratamendua duten pazienteen artean eta biriketako gaixotasun buxatzaile kronikoko kasuetan.</w:t>
      </w:r>
    </w:p>
    <w:p w14:paraId="449FE572" w14:textId="77777777" w:rsidR="0087216E" w:rsidRPr="00701C13" w:rsidRDefault="00701C13" w:rsidP="00701C13">
      <w:pPr>
        <w:pBdr>
          <w:top w:val="single" w:sz="4" w:space="1" w:color="auto"/>
          <w:left w:val="single" w:sz="4" w:space="0" w:color="auto"/>
          <w:bottom w:val="single" w:sz="4" w:space="1" w:color="auto"/>
          <w:right w:val="single" w:sz="4" w:space="1" w:color="auto"/>
        </w:pBdr>
        <w:spacing w:after="120" w:line="276" w:lineRule="auto"/>
        <w:jc w:val="both"/>
        <w:rPr>
          <w:rFonts w:cstheme="minorHAnsi"/>
        </w:rPr>
      </w:pPr>
      <w:hyperlink r:id="rId10" w:history="1">
        <w:r>
          <w:rPr>
            <w:rStyle w:val="Hipervnculo"/>
          </w:rPr>
          <w:t>https://www.fda.gov/safety/medical-product-safety-information/neurontin-gralise-horizant-gabapentin-and-lyrica-lyrica-cr-pregabalin-drug-safety-communication</w:t>
        </w:r>
      </w:hyperlink>
    </w:p>
    <w:p w14:paraId="45322679" w14:textId="77777777" w:rsidR="0087216E" w:rsidRPr="00701C13" w:rsidRDefault="0087216E" w:rsidP="00701C13">
      <w:pPr>
        <w:pBdr>
          <w:top w:val="single" w:sz="4" w:space="1" w:color="auto"/>
          <w:left w:val="single" w:sz="4" w:space="0" w:color="auto"/>
          <w:bottom w:val="single" w:sz="4" w:space="1" w:color="auto"/>
          <w:right w:val="single" w:sz="4" w:space="1" w:color="auto"/>
        </w:pBdr>
        <w:spacing w:after="120" w:line="276" w:lineRule="auto"/>
        <w:jc w:val="both"/>
        <w:rPr>
          <w:rFonts w:cstheme="minorHAnsi"/>
        </w:rPr>
      </w:pPr>
      <w:proofErr w:type="spellStart"/>
      <w:r>
        <w:rPr>
          <w:b/>
        </w:rPr>
        <w:t>Gabapentina</w:t>
      </w:r>
      <w:proofErr w:type="spellEnd"/>
      <w:r>
        <w:t xml:space="preserve">: ez dago gomendatuta antsietatea tratatzeko. </w:t>
      </w:r>
      <w:proofErr w:type="spellStart"/>
      <w:r>
        <w:t>Pregabalinarekin</w:t>
      </w:r>
      <w:proofErr w:type="spellEnd"/>
      <w:r>
        <w:t xml:space="preserve"> probatzen ahal da, antsietate orokorrerako gomendagarria den </w:t>
      </w:r>
      <w:proofErr w:type="spellStart"/>
      <w:r>
        <w:t>gabapentinoidea</w:t>
      </w:r>
      <w:proofErr w:type="spellEnd"/>
      <w:r>
        <w:t xml:space="preserve"> izanik. Kontuan izan behar dira </w:t>
      </w:r>
      <w:proofErr w:type="spellStart"/>
      <w:r>
        <w:t>gabapentinoideekin</w:t>
      </w:r>
      <w:proofErr w:type="spellEnd"/>
      <w:r>
        <w:t xml:space="preserve"> lotutako arriskuak, hala nola zorabioa, ataxia, pisua hartzea, edema periferikoa, batez ere paziente ahulen, adindunen eta giltzurrun gutxiegitasuna edota gaixotasun kardiobaskularra dutenen kasuan.</w:t>
      </w:r>
    </w:p>
    <w:p w14:paraId="2FFAC48D" w14:textId="77777777" w:rsidR="0087216E" w:rsidRPr="00701C13" w:rsidRDefault="0087216E" w:rsidP="00701C13">
      <w:pPr>
        <w:pBdr>
          <w:top w:val="single" w:sz="4" w:space="1" w:color="auto"/>
          <w:left w:val="single" w:sz="4" w:space="0" w:color="auto"/>
          <w:bottom w:val="single" w:sz="4" w:space="1" w:color="auto"/>
          <w:right w:val="single" w:sz="4" w:space="1" w:color="auto"/>
        </w:pBdr>
        <w:spacing w:after="120" w:line="276" w:lineRule="auto"/>
        <w:jc w:val="both"/>
        <w:rPr>
          <w:rFonts w:cstheme="minorHAnsi"/>
        </w:rPr>
      </w:pPr>
      <w:r>
        <w:t xml:space="preserve">Alabaina, </w:t>
      </w:r>
      <w:proofErr w:type="spellStart"/>
      <w:r>
        <w:t>gabapentinarekin</w:t>
      </w:r>
      <w:proofErr w:type="spellEnd"/>
      <w:r>
        <w:t xml:space="preserve"> jarraitzea erabakiz gero, dosia doitu behar da, pazientearen giltzurrun gutxiegitasuna dela eta. Kasu honetan, 20 ml/min-ko glomerulu iragazketarekin, eguneko gehieneko dosia 600 miligramokoa da.</w:t>
      </w:r>
    </w:p>
    <w:p w14:paraId="425331D6" w14:textId="77777777" w:rsidR="0087216E" w:rsidRPr="00701C13" w:rsidRDefault="00701C13" w:rsidP="00701C13">
      <w:pPr>
        <w:pBdr>
          <w:top w:val="single" w:sz="4" w:space="1" w:color="auto"/>
          <w:left w:val="single" w:sz="4" w:space="0" w:color="auto"/>
          <w:bottom w:val="single" w:sz="4" w:space="1" w:color="auto"/>
          <w:right w:val="single" w:sz="4" w:space="1" w:color="auto"/>
        </w:pBdr>
        <w:spacing w:after="120" w:line="276" w:lineRule="auto"/>
        <w:jc w:val="both"/>
        <w:rPr>
          <w:rFonts w:cstheme="minorHAnsi"/>
        </w:rPr>
      </w:pPr>
      <w:hyperlink r:id="rId11" w:history="1">
        <w:r>
          <w:rPr>
            <w:rStyle w:val="Hipervnculo"/>
          </w:rPr>
          <w:t>https://www.navarra.es/NR/rdonlyres/889229EF-448A-4664-A78F-ED640B16035B/476679/Bit_v29n4.pdf</w:t>
        </w:r>
      </w:hyperlink>
    </w:p>
    <w:p w14:paraId="0CABA5B4" w14:textId="77777777" w:rsidR="00150810" w:rsidRPr="00701C13" w:rsidRDefault="00150810" w:rsidP="00701C13">
      <w:pPr>
        <w:pBdr>
          <w:top w:val="single" w:sz="4" w:space="1" w:color="auto"/>
          <w:left w:val="single" w:sz="4" w:space="0" w:color="auto"/>
          <w:bottom w:val="single" w:sz="4" w:space="1" w:color="auto"/>
          <w:right w:val="single" w:sz="4" w:space="1" w:color="auto"/>
        </w:pBdr>
        <w:spacing w:after="120" w:line="276" w:lineRule="auto"/>
        <w:jc w:val="both"/>
        <w:rPr>
          <w:rFonts w:cstheme="minorHAnsi"/>
        </w:rPr>
      </w:pPr>
    </w:p>
    <w:p w14:paraId="22C93E6B" w14:textId="77777777" w:rsidR="0099485F" w:rsidRPr="00701C13" w:rsidRDefault="00E2302B" w:rsidP="00701C13">
      <w:pPr>
        <w:spacing w:after="120" w:line="276" w:lineRule="auto"/>
        <w:jc w:val="both"/>
        <w:rPr>
          <w:rFonts w:eastAsia="Times New Roman" w:cstheme="minorHAnsi"/>
        </w:rPr>
      </w:pPr>
      <w:r>
        <w:lastRenderedPageBreak/>
        <w:t xml:space="preserve">Nafarroako Ospitale Unibertsitariotik (NOU) eta Zentroko Zerbitzuekin kontsultatu ondoren, jakinarazten dugu </w:t>
      </w:r>
      <w:proofErr w:type="spellStart"/>
      <w:r>
        <w:t>gabapentinoideak</w:t>
      </w:r>
      <w:proofErr w:type="spellEnd"/>
      <w:r>
        <w:t xml:space="preserve"> batez ere hainbat jatorritako oinaze </w:t>
      </w:r>
      <w:proofErr w:type="spellStart"/>
      <w:r>
        <w:t>neuropatikoetarako</w:t>
      </w:r>
      <w:proofErr w:type="spellEnd"/>
      <w:r>
        <w:t xml:space="preserve"> gomendioetan erabiltzen direla, batez ere patologia metabolikoarekin, infekzio ostekoarekin edo traumatikoarekin lotutakoetarako. Gehien erabiltzen diren zerbitzuen artean, hauek dira gomendio nagusiak: </w:t>
      </w:r>
    </w:p>
    <w:p w14:paraId="1D6C4B6A" w14:textId="77777777" w:rsidR="0099485F" w:rsidRPr="00701C13" w:rsidRDefault="0099485F" w:rsidP="00701C13">
      <w:pPr>
        <w:pStyle w:val="Prrafodelista"/>
        <w:numPr>
          <w:ilvl w:val="0"/>
          <w:numId w:val="4"/>
        </w:numPr>
        <w:spacing w:after="120" w:line="276" w:lineRule="auto"/>
        <w:jc w:val="both"/>
        <w:rPr>
          <w:rFonts w:eastAsia="Times New Roman" w:cstheme="minorHAnsi"/>
        </w:rPr>
      </w:pPr>
      <w:r>
        <w:t xml:space="preserve">Barne-medikuntzan oinaze </w:t>
      </w:r>
      <w:proofErr w:type="spellStart"/>
      <w:r>
        <w:t>neuropatikoetarako</w:t>
      </w:r>
      <w:proofErr w:type="spellEnd"/>
      <w:r>
        <w:t xml:space="preserve"> erabiltzen dira. Gure paziente gehienek lehen mailako arretatik (</w:t>
      </w:r>
      <w:proofErr w:type="spellStart"/>
      <w:r>
        <w:t>neuropatia</w:t>
      </w:r>
      <w:proofErr w:type="spellEnd"/>
      <w:r>
        <w:t xml:space="preserve"> diabetikoa dela eta) edota oinazearen unitatetik (oinaze </w:t>
      </w:r>
      <w:proofErr w:type="spellStart"/>
      <w:r>
        <w:t>neuropatikoak</w:t>
      </w:r>
      <w:proofErr w:type="spellEnd"/>
      <w:r>
        <w:t xml:space="preserve"> direla eta) jarraitzen dute tratamendua.</w:t>
      </w:r>
    </w:p>
    <w:p w14:paraId="5E95F25B" w14:textId="77777777" w:rsidR="0099485F" w:rsidRPr="00701C13" w:rsidRDefault="0099485F" w:rsidP="00701C13">
      <w:pPr>
        <w:pStyle w:val="Prrafodelista"/>
        <w:numPr>
          <w:ilvl w:val="0"/>
          <w:numId w:val="4"/>
        </w:numPr>
        <w:spacing w:after="120" w:line="276" w:lineRule="auto"/>
        <w:jc w:val="both"/>
        <w:rPr>
          <w:rFonts w:eastAsia="Times New Roman" w:cstheme="minorHAnsi"/>
        </w:rPr>
      </w:pPr>
      <w:r>
        <w:t xml:space="preserve">Oinazea Tratatzeko Unitatea: </w:t>
      </w:r>
      <w:proofErr w:type="spellStart"/>
      <w:r>
        <w:t>gabapentinoideak</w:t>
      </w:r>
      <w:proofErr w:type="spellEnd"/>
      <w:r>
        <w:t xml:space="preserve"> (</w:t>
      </w:r>
      <w:proofErr w:type="spellStart"/>
      <w:r>
        <w:t>gabapentina</w:t>
      </w:r>
      <w:proofErr w:type="spellEnd"/>
      <w:r>
        <w:t xml:space="preserve">, </w:t>
      </w:r>
      <w:proofErr w:type="spellStart"/>
      <w:r>
        <w:t>pregabalina</w:t>
      </w:r>
      <w:proofErr w:type="spellEnd"/>
      <w:r>
        <w:t xml:space="preserve">) oinaze </w:t>
      </w:r>
      <w:proofErr w:type="spellStart"/>
      <w:r>
        <w:t>neuropatiko</w:t>
      </w:r>
      <w:proofErr w:type="spellEnd"/>
      <w:r>
        <w:t xml:space="preserve"> kronikorako gomendatzen dira. Preskripzioa kentzeko, Lehen Mailako Arretara jo behar da (baliteke jarraipena egin behar izatea).</w:t>
      </w:r>
    </w:p>
    <w:p w14:paraId="397F6686" w14:textId="77777777" w:rsidR="0099485F" w:rsidRPr="00701C13" w:rsidRDefault="0099485F" w:rsidP="00701C13">
      <w:pPr>
        <w:pStyle w:val="Prrafodelista"/>
        <w:numPr>
          <w:ilvl w:val="0"/>
          <w:numId w:val="4"/>
        </w:numPr>
        <w:spacing w:after="120" w:line="276" w:lineRule="auto"/>
        <w:jc w:val="both"/>
        <w:rPr>
          <w:rFonts w:eastAsia="Times New Roman" w:cstheme="minorHAnsi"/>
        </w:rPr>
      </w:pPr>
      <w:r>
        <w:t xml:space="preserve">Psikiatria: unean uneko kasuetara mugatzen da erabilera, eta kasu oso zehatzetan, gainera, hala nola antsietate orokorra tratatzeko </w:t>
      </w:r>
      <w:proofErr w:type="spellStart"/>
      <w:r>
        <w:t>bentzodiazepinen</w:t>
      </w:r>
      <w:proofErr w:type="spellEnd"/>
      <w:r>
        <w:t xml:space="preserve"> alternatiba gisa edota </w:t>
      </w:r>
      <w:proofErr w:type="spellStart"/>
      <w:r>
        <w:t>bentzodiazepina</w:t>
      </w:r>
      <w:proofErr w:type="spellEnd"/>
      <w:r>
        <w:t> gabeziako kasuetan. Baita hartutako kalte zerebrala duten pazienteen afektibitate edo portaera alterazioen kasu batzuetan ere.</w:t>
      </w:r>
    </w:p>
    <w:p w14:paraId="678CF7DF" w14:textId="77777777" w:rsidR="0099485F" w:rsidRPr="00701C13" w:rsidRDefault="0099485F" w:rsidP="00701C13">
      <w:pPr>
        <w:pStyle w:val="Prrafodelista"/>
        <w:numPr>
          <w:ilvl w:val="0"/>
          <w:numId w:val="4"/>
        </w:numPr>
        <w:spacing w:after="120" w:line="276" w:lineRule="auto"/>
        <w:jc w:val="both"/>
        <w:rPr>
          <w:rFonts w:eastAsia="Times New Roman" w:cstheme="minorHAnsi"/>
        </w:rPr>
      </w:pPr>
      <w:r>
        <w:t xml:space="preserve">Neurologia: oinaze </w:t>
      </w:r>
      <w:proofErr w:type="spellStart"/>
      <w:r>
        <w:t>neuropatikoetan</w:t>
      </w:r>
      <w:proofErr w:type="spellEnd"/>
      <w:r>
        <w:t xml:space="preserve"> gomendatzen dira: </w:t>
      </w:r>
      <w:proofErr w:type="spellStart"/>
      <w:r>
        <w:t>postherpetikoetan</w:t>
      </w:r>
      <w:proofErr w:type="spellEnd"/>
      <w:r>
        <w:t xml:space="preserve">, konpresiozko </w:t>
      </w:r>
      <w:proofErr w:type="spellStart"/>
      <w:r>
        <w:t>erradikulopatietan</w:t>
      </w:r>
      <w:proofErr w:type="spellEnd"/>
      <w:r>
        <w:t xml:space="preserve"> –edo beste kausaren batekoetan– eta bestelako oinaze </w:t>
      </w:r>
      <w:proofErr w:type="spellStart"/>
      <w:r>
        <w:t>neuropatiko</w:t>
      </w:r>
      <w:proofErr w:type="spellEnd"/>
      <w:r>
        <w:t xml:space="preserve"> batzuetan.</w:t>
      </w:r>
    </w:p>
    <w:p w14:paraId="260E1402" w14:textId="77777777" w:rsidR="0099485F" w:rsidRPr="00701C13" w:rsidRDefault="0099485F" w:rsidP="00701C13">
      <w:pPr>
        <w:pStyle w:val="Prrafodelista"/>
        <w:numPr>
          <w:ilvl w:val="0"/>
          <w:numId w:val="4"/>
        </w:numPr>
        <w:spacing w:after="120" w:line="276" w:lineRule="auto"/>
        <w:jc w:val="both"/>
        <w:rPr>
          <w:rFonts w:eastAsia="Times New Roman" w:cstheme="minorHAnsi"/>
        </w:rPr>
      </w:pPr>
      <w:r>
        <w:t xml:space="preserve">Endokrinologia: soilik </w:t>
      </w:r>
      <w:proofErr w:type="spellStart"/>
      <w:r>
        <w:t>neuropatia</w:t>
      </w:r>
      <w:proofErr w:type="spellEnd"/>
      <w:r>
        <w:t xml:space="preserve"> diabetikoagatiko oinazean gomendatzen da.</w:t>
      </w:r>
    </w:p>
    <w:p w14:paraId="05225D15" w14:textId="77777777" w:rsidR="00317F7E" w:rsidRPr="00701C13" w:rsidRDefault="00202E7B" w:rsidP="00701C13">
      <w:pPr>
        <w:pStyle w:val="Prrafodelista"/>
        <w:numPr>
          <w:ilvl w:val="0"/>
          <w:numId w:val="4"/>
        </w:numPr>
        <w:spacing w:after="120" w:line="276" w:lineRule="auto"/>
        <w:jc w:val="both"/>
        <w:rPr>
          <w:rFonts w:eastAsia="Times New Roman" w:cstheme="minorHAnsi"/>
        </w:rPr>
      </w:pPr>
      <w:r>
        <w:t xml:space="preserve">Neurokirurgia: </w:t>
      </w:r>
      <w:proofErr w:type="spellStart"/>
      <w:r>
        <w:t>pregabalina</w:t>
      </w:r>
      <w:proofErr w:type="spellEnd"/>
      <w:r>
        <w:t xml:space="preserve"> dosi baxuetan erabili ohi dute (batzuetan </w:t>
      </w:r>
      <w:proofErr w:type="spellStart"/>
      <w:r>
        <w:t>gabapentina</w:t>
      </w:r>
      <w:proofErr w:type="spellEnd"/>
      <w:r>
        <w:t xml:space="preserve"> ere bai) fibromialgia eta </w:t>
      </w:r>
      <w:proofErr w:type="spellStart"/>
      <w:r>
        <w:t>neuropatiak</w:t>
      </w:r>
      <w:proofErr w:type="spellEnd"/>
      <w:r>
        <w:t xml:space="preserve"> tratatzeko. Ez da izan desohitzea beharrezkoa izan den ezein kasuren berri; paziente gehienek gaizki jasaten dute eta eten egin behar izan ohi da.</w:t>
      </w:r>
    </w:p>
    <w:p w14:paraId="1259A5A1" w14:textId="77777777" w:rsidR="0099485F" w:rsidRPr="00701C13" w:rsidRDefault="0099485F" w:rsidP="00701C13">
      <w:pPr>
        <w:pStyle w:val="Prrafodelista"/>
        <w:numPr>
          <w:ilvl w:val="0"/>
          <w:numId w:val="4"/>
        </w:numPr>
        <w:spacing w:after="120" w:line="276" w:lineRule="auto"/>
        <w:jc w:val="both"/>
        <w:rPr>
          <w:rFonts w:eastAsia="Times New Roman" w:cstheme="minorHAnsi"/>
        </w:rPr>
      </w:pPr>
      <w:r>
        <w:t>Obstetrizia eta Ginekologia Zerbitzutik adierazi digute ez direla patologia propioetan erabili ohi.</w:t>
      </w:r>
    </w:p>
    <w:p w14:paraId="22F533F0" w14:textId="77777777" w:rsidR="00C247A8" w:rsidRPr="00701C13" w:rsidRDefault="0099485F" w:rsidP="00701C13">
      <w:pPr>
        <w:spacing w:after="120" w:line="276" w:lineRule="auto"/>
        <w:jc w:val="both"/>
        <w:rPr>
          <w:rFonts w:cstheme="minorHAnsi"/>
        </w:rPr>
      </w:pPr>
      <w:r>
        <w:t>Ez dago gomendatzeko/erabiltzeko/kentzeko protokolo zehatzik.</w:t>
      </w:r>
    </w:p>
    <w:p w14:paraId="33D637A9" w14:textId="77777777" w:rsidR="00317F7E" w:rsidRPr="00701C13" w:rsidRDefault="00F511C7" w:rsidP="00701C13">
      <w:pPr>
        <w:spacing w:after="120" w:line="276" w:lineRule="auto"/>
        <w:jc w:val="both"/>
        <w:rPr>
          <w:rFonts w:eastAsia="Times New Roman" w:cstheme="minorHAnsi"/>
        </w:rPr>
      </w:pPr>
      <w:r>
        <w:t>"</w:t>
      </w:r>
      <w:proofErr w:type="spellStart"/>
      <w:r>
        <w:t>Peripheral</w:t>
      </w:r>
      <w:proofErr w:type="spellEnd"/>
      <w:r>
        <w:t xml:space="preserve"> </w:t>
      </w:r>
      <w:proofErr w:type="spellStart"/>
      <w:r>
        <w:t>Neuropathy</w:t>
      </w:r>
      <w:proofErr w:type="spellEnd"/>
      <w:r>
        <w:t xml:space="preserve">, a </w:t>
      </w:r>
      <w:proofErr w:type="spellStart"/>
      <w:r>
        <w:t>review</w:t>
      </w:r>
      <w:proofErr w:type="spellEnd"/>
      <w:r>
        <w:t xml:space="preserve">" (Michelle L. </w:t>
      </w:r>
      <w:proofErr w:type="spellStart"/>
      <w:r>
        <w:t>Mauermann</w:t>
      </w:r>
      <w:proofErr w:type="spellEnd"/>
      <w:r>
        <w:t xml:space="preserve">, MD; </w:t>
      </w:r>
      <w:proofErr w:type="spellStart"/>
      <w:r>
        <w:t>Nathan</w:t>
      </w:r>
      <w:proofErr w:type="spellEnd"/>
      <w:r>
        <w:t xml:space="preserve"> P. </w:t>
      </w:r>
      <w:proofErr w:type="spellStart"/>
      <w:r>
        <w:t>Staff</w:t>
      </w:r>
      <w:proofErr w:type="spellEnd"/>
      <w:r>
        <w:t xml:space="preserve">, MD, </w:t>
      </w:r>
      <w:proofErr w:type="spellStart"/>
      <w:r>
        <w:t>PhD</w:t>
      </w:r>
      <w:proofErr w:type="spellEnd"/>
      <w:r>
        <w:t xml:space="preserve">) izeneko duela gutxiko argitalpenean –horietarako gomendioei buruzkoan– </w:t>
      </w:r>
      <w:proofErr w:type="spellStart"/>
      <w:r>
        <w:t>NOUko</w:t>
      </w:r>
      <w:proofErr w:type="spellEnd"/>
      <w:r>
        <w:t xml:space="preserve"> zerbitzuetan ematen zaion erabilerarekin bat datozen gomendioak ematen dira.</w:t>
      </w:r>
    </w:p>
    <w:p w14:paraId="0183249C" w14:textId="6A0291DC" w:rsidR="00F11182" w:rsidRPr="00701C13" w:rsidRDefault="00F0576A" w:rsidP="00701C13">
      <w:pPr>
        <w:spacing w:after="120" w:line="276" w:lineRule="auto"/>
        <w:jc w:val="both"/>
        <w:rPr>
          <w:rFonts w:eastAsia="Times New Roman" w:cstheme="minorHAnsi"/>
        </w:rPr>
      </w:pPr>
      <w:r>
        <w:rPr>
          <w:b/>
        </w:rPr>
        <w:t>"Egin al zaie jakinarazpenik profesionalei edo diziplinazko espedienteei eta, egitekotan, medikuntzako zenbat profesionali egin zaizkie urtero?" galderaren puntu honi dagokionez,</w:t>
      </w:r>
    </w:p>
    <w:p w14:paraId="1F201425" w14:textId="77777777" w:rsidR="00F0576A" w:rsidRPr="00701C13" w:rsidRDefault="00F0576A" w:rsidP="00701C13">
      <w:pPr>
        <w:spacing w:after="120" w:line="276" w:lineRule="auto"/>
        <w:jc w:val="both"/>
        <w:rPr>
          <w:rFonts w:cstheme="minorHAnsi"/>
        </w:rPr>
      </w:pPr>
      <w:r>
        <w:t>Osasun Mentaleko Kudeatzailetzak hau erantzuten du:</w:t>
      </w:r>
    </w:p>
    <w:p w14:paraId="2CB18E02" w14:textId="77777777" w:rsidR="00F0576A" w:rsidRPr="00701C13" w:rsidRDefault="00F0576A" w:rsidP="00701C13">
      <w:pPr>
        <w:pStyle w:val="Prrafodelista"/>
        <w:numPr>
          <w:ilvl w:val="0"/>
          <w:numId w:val="3"/>
        </w:numPr>
        <w:spacing w:after="120" w:line="276" w:lineRule="auto"/>
        <w:jc w:val="both"/>
        <w:rPr>
          <w:rFonts w:eastAsia="Times New Roman" w:cstheme="minorHAnsi"/>
        </w:rPr>
      </w:pPr>
      <w:proofErr w:type="spellStart"/>
      <w:r>
        <w:t>Gabapentinoideak</w:t>
      </w:r>
      <w:proofErr w:type="spellEnd"/>
      <w:r>
        <w:t xml:space="preserve"> (</w:t>
      </w:r>
      <w:proofErr w:type="spellStart"/>
      <w:r>
        <w:t>Lyrica</w:t>
      </w:r>
      <w:proofErr w:type="spellEnd"/>
      <w:r>
        <w:t>) emateagatik ez zaio inolako diziplinazko espedienterik izapidetu ezein medikuri.</w:t>
      </w:r>
    </w:p>
    <w:p w14:paraId="32A1BB68" w14:textId="77777777" w:rsidR="00F0576A" w:rsidRPr="00701C13" w:rsidRDefault="008B2F77" w:rsidP="00701C13">
      <w:pPr>
        <w:spacing w:after="120" w:line="276" w:lineRule="auto"/>
        <w:jc w:val="both"/>
        <w:rPr>
          <w:rFonts w:cstheme="minorHAnsi"/>
        </w:rPr>
      </w:pPr>
      <w:r>
        <w:t>Lizarrako Osasun Barrutiko Kudeatzailetzak hau erantzuten du:</w:t>
      </w:r>
    </w:p>
    <w:p w14:paraId="019F4A5B" w14:textId="77777777" w:rsidR="00A17570" w:rsidRPr="00701C13" w:rsidRDefault="008B2F77" w:rsidP="00701C13">
      <w:pPr>
        <w:pStyle w:val="Prrafodelista"/>
        <w:numPr>
          <w:ilvl w:val="0"/>
          <w:numId w:val="3"/>
        </w:numPr>
        <w:spacing w:after="120" w:line="276" w:lineRule="auto"/>
        <w:jc w:val="both"/>
        <w:rPr>
          <w:rFonts w:eastAsia="Times New Roman" w:cstheme="minorHAnsi"/>
        </w:rPr>
      </w:pPr>
      <w:r>
        <w:t>Banakako jakinarazpenak egiten dira paziente jakin baten tratamendua berrikusi eta baimendutako gomendioetatik kanpo erabiltzen ari dela detektatzen dugunean, baina ez dugu modurik jakinarazpen horiek kuantifikatzeko. Ez da ezein estrategia globalik egin horrekin lotuta.</w:t>
      </w:r>
    </w:p>
    <w:p w14:paraId="730B574A" w14:textId="77777777" w:rsidR="000F5889" w:rsidRPr="00701C13" w:rsidRDefault="000F5889" w:rsidP="00701C13">
      <w:pPr>
        <w:spacing w:after="120" w:line="276" w:lineRule="auto"/>
        <w:jc w:val="both"/>
        <w:rPr>
          <w:rFonts w:eastAsia="Times New Roman" w:cstheme="minorHAnsi"/>
          <w:b/>
        </w:rPr>
      </w:pPr>
      <w:r>
        <w:rPr>
          <w:b/>
        </w:rPr>
        <w:t xml:space="preserve">Zenbat pertsonak parte hartu dute </w:t>
      </w:r>
      <w:proofErr w:type="spellStart"/>
      <w:r>
        <w:rPr>
          <w:b/>
        </w:rPr>
        <w:t>gabapentinoideen</w:t>
      </w:r>
      <w:proofErr w:type="spellEnd"/>
      <w:r>
        <w:rPr>
          <w:b/>
        </w:rPr>
        <w:t xml:space="preserve"> (</w:t>
      </w:r>
      <w:proofErr w:type="spellStart"/>
      <w:r>
        <w:rPr>
          <w:b/>
        </w:rPr>
        <w:t>Lyrica</w:t>
      </w:r>
      <w:proofErr w:type="spellEnd"/>
      <w:r>
        <w:rPr>
          <w:b/>
        </w:rPr>
        <w:t>...) preskripzioa kentzeko eta desohitzeko prozesuetan Nafarroan 2022tik?</w:t>
      </w:r>
    </w:p>
    <w:p w14:paraId="1520995D" w14:textId="77777777" w:rsidR="00A62E8D" w:rsidRPr="00701C13" w:rsidRDefault="00A62E8D" w:rsidP="00701C13">
      <w:pPr>
        <w:spacing w:after="120" w:line="276" w:lineRule="auto"/>
        <w:jc w:val="both"/>
        <w:rPr>
          <w:rFonts w:eastAsia="Times New Roman" w:cstheme="minorHAnsi"/>
        </w:rPr>
      </w:pPr>
      <w:r>
        <w:lastRenderedPageBreak/>
        <w:t>Ez daukagu datu hori. Egitekotan, medikuen ohiko jardun klinikoaren barnean izanen zen.</w:t>
      </w:r>
    </w:p>
    <w:p w14:paraId="35A2FE1A" w14:textId="77777777" w:rsidR="00C869B7" w:rsidRPr="00701C13" w:rsidRDefault="000F5889" w:rsidP="00701C13">
      <w:pPr>
        <w:spacing w:after="120" w:line="276" w:lineRule="auto"/>
        <w:jc w:val="both"/>
        <w:rPr>
          <w:rFonts w:eastAsia="Times New Roman" w:cstheme="minorHAnsi"/>
          <w:b/>
        </w:rPr>
      </w:pPr>
      <w:r>
        <w:rPr>
          <w:b/>
        </w:rPr>
        <w:t xml:space="preserve">Bidaiderik gabeko haur eta nerabe migratzaileen artean, gizarte-erakundeek </w:t>
      </w:r>
      <w:proofErr w:type="spellStart"/>
      <w:r>
        <w:rPr>
          <w:b/>
        </w:rPr>
        <w:t>gabapentinoideen</w:t>
      </w:r>
      <w:proofErr w:type="spellEnd"/>
      <w:r>
        <w:rPr>
          <w:b/>
        </w:rPr>
        <w:t xml:space="preserve"> (</w:t>
      </w:r>
      <w:proofErr w:type="spellStart"/>
      <w:r>
        <w:rPr>
          <w:b/>
        </w:rPr>
        <w:t>Lyrica</w:t>
      </w:r>
      <w:proofErr w:type="spellEnd"/>
      <w:r>
        <w:rPr>
          <w:b/>
        </w:rPr>
        <w:t>...) kontsumo handia detektatu dute. Taxutu al da programarik pertsona horiek horien kontsumotik (adikzioa) desohitzeko?</w:t>
      </w:r>
    </w:p>
    <w:p w14:paraId="48FAED02" w14:textId="77777777" w:rsidR="00A62E8D" w:rsidRPr="00701C13" w:rsidRDefault="004A34DD" w:rsidP="00701C13">
      <w:pPr>
        <w:spacing w:after="120" w:line="276" w:lineRule="auto"/>
        <w:jc w:val="both"/>
        <w:rPr>
          <w:rFonts w:eastAsia="Times New Roman" w:cstheme="minorHAnsi"/>
        </w:rPr>
      </w:pPr>
      <w:r>
        <w:t>Osasun Mentaletik honako hau jakinarazi da:</w:t>
      </w:r>
    </w:p>
    <w:p w14:paraId="5D633D17" w14:textId="77777777" w:rsidR="00A62E8D" w:rsidRPr="00701C13" w:rsidRDefault="005B7671" w:rsidP="00701C13">
      <w:pPr>
        <w:spacing w:after="120" w:line="276" w:lineRule="auto"/>
        <w:jc w:val="both"/>
        <w:rPr>
          <w:rFonts w:eastAsia="Times New Roman" w:cstheme="minorHAnsi"/>
        </w:rPr>
      </w:pPr>
      <w:r>
        <w:t>Ez dago gai horri heltzeko programa espezifikorik, errezeta elektronikoaren bidezko preskripzioaren kontrolaz, denborak mugatutako preskripzioaz eta eskura dagoen dosi txikienaz haraindi. Preskribatzen duten profesional guztien ataza da hori, hain zuzen.</w:t>
      </w:r>
    </w:p>
    <w:p w14:paraId="432B939E" w14:textId="77777777" w:rsidR="00A62E8D" w:rsidRPr="00701C13" w:rsidRDefault="005B7671" w:rsidP="00701C13">
      <w:pPr>
        <w:spacing w:after="120" w:line="276" w:lineRule="auto"/>
        <w:jc w:val="both"/>
        <w:rPr>
          <w:rFonts w:eastAsia="Times New Roman" w:cstheme="minorHAnsi"/>
        </w:rPr>
      </w:pPr>
      <w:r>
        <w:t xml:space="preserve">Izan ere, </w:t>
      </w:r>
      <w:proofErr w:type="spellStart"/>
      <w:r>
        <w:t>Lyricaren</w:t>
      </w:r>
      <w:proofErr w:type="spellEnd"/>
      <w:r>
        <w:t xml:space="preserve"> (eta </w:t>
      </w:r>
      <w:proofErr w:type="spellStart"/>
      <w:r>
        <w:t>Rivotrilen</w:t>
      </w:r>
      <w:proofErr w:type="spellEnd"/>
      <w:r>
        <w:t xml:space="preserve">) erabilera okerra eta gehiegizkoa gero eta ohikoagoa da, eta arazo handiagoak sortzen dizkie bai kontsumitzen duten biztanleei, bai preskribatzen dituzten profesionalei (preskribatzeko presioa, </w:t>
      </w:r>
      <w:proofErr w:type="spellStart"/>
      <w:r>
        <w:t>intimidazioa</w:t>
      </w:r>
      <w:proofErr w:type="spellEnd"/>
      <w:r>
        <w:t>, agresibitate gertakariak, etab.).</w:t>
      </w:r>
    </w:p>
    <w:p w14:paraId="79CADC54" w14:textId="77777777" w:rsidR="00A62E8D" w:rsidRPr="00701C13" w:rsidRDefault="00B107FB" w:rsidP="00701C13">
      <w:pPr>
        <w:spacing w:after="120" w:line="276" w:lineRule="auto"/>
        <w:jc w:val="both"/>
        <w:rPr>
          <w:rFonts w:eastAsia="Times New Roman" w:cstheme="minorHAnsi"/>
        </w:rPr>
      </w:pPr>
      <w:r>
        <w:t xml:space="preserve">Osasun Mentaleko zerbitzuek nerabeen portaera nahasmendua tratatzeko </w:t>
      </w:r>
      <w:proofErr w:type="spellStart"/>
      <w:r>
        <w:t>pregabalina</w:t>
      </w:r>
      <w:proofErr w:type="spellEnd"/>
      <w:r>
        <w:t xml:space="preserve"> (</w:t>
      </w:r>
      <w:proofErr w:type="spellStart"/>
      <w:r>
        <w:t>Lyrica</w:t>
      </w:r>
      <w:proofErr w:type="spellEnd"/>
      <w:r>
        <w:t xml:space="preserve">) erabiltzeko irizpidea funtsatuta dago antsietate orokorra eta jokabide alterazioak kontrolatzeko onartutako gomendio batean, </w:t>
      </w:r>
      <w:proofErr w:type="spellStart"/>
      <w:r>
        <w:t>bentzodiazepinen</w:t>
      </w:r>
      <w:proofErr w:type="spellEnd"/>
      <w:r>
        <w:t xml:space="preserve"> abusua eta mendekotasuna saihestuta betiere. Alabaina, okerreko erabilera ere eragin izan du. Sendagai horren trafikoa oso handia da kalean, baita espetxeratutako pertsonen artean ere.</w:t>
      </w:r>
    </w:p>
    <w:p w14:paraId="76736ABD" w14:textId="77777777" w:rsidR="00A62E8D" w:rsidRPr="00701C13" w:rsidRDefault="005B7671" w:rsidP="00701C13">
      <w:pPr>
        <w:spacing w:after="120" w:line="276" w:lineRule="auto"/>
        <w:jc w:val="both"/>
        <w:rPr>
          <w:rFonts w:eastAsia="Times New Roman" w:cstheme="minorHAnsi"/>
        </w:rPr>
      </w:pPr>
      <w:r>
        <w:t>Egia esan, ez dago adingabeengan onartutako alternatiba farmakologikorik, seguruagoak direnik eta mendekotasunik (eta trafikorik) sortzen ez dutenik. Bestalde, farmako horien erabilerak bigarren mailakoa izan behar du pertsonen ingurune naturalean bestelako jokabide eta hezkuntza arloko esku-hartzeen aurrean, planteatzen zaigun kasuan esku-hartze egokiena izanik.</w:t>
      </w:r>
    </w:p>
    <w:p w14:paraId="44D2C7FA" w14:textId="77777777" w:rsidR="00A62E8D" w:rsidRPr="00701C13" w:rsidRDefault="005B7671" w:rsidP="00701C13">
      <w:pPr>
        <w:spacing w:after="120" w:line="276" w:lineRule="auto"/>
        <w:jc w:val="both"/>
        <w:rPr>
          <w:rFonts w:eastAsia="Times New Roman" w:cstheme="minorHAnsi"/>
        </w:rPr>
      </w:pPr>
      <w:r>
        <w:t>Zalantzarik gabe, osasunaren prebentzio eta sustapen neurriak dira esku-hartzearen lehen lerroa, farmako horien eskuragarritasuna kontrolatzeaz gainera.</w:t>
      </w:r>
    </w:p>
    <w:p w14:paraId="654E8A46" w14:textId="77777777" w:rsidR="00A62E8D" w:rsidRPr="00701C13" w:rsidRDefault="005B7671" w:rsidP="00701C13">
      <w:pPr>
        <w:spacing w:after="120" w:line="276" w:lineRule="auto"/>
        <w:jc w:val="both"/>
        <w:rPr>
          <w:rFonts w:eastAsia="Times New Roman" w:cstheme="minorHAnsi"/>
        </w:rPr>
      </w:pPr>
      <w:r>
        <w:t>Substantzien heltze orokorrerako zirkuitu zehatz bat dago, kontsumoaren larritasunaren araberako mailakako esku-hartzea dakarrena berekin. Horrela, lehenenik eta behin, lehen mailako arreta zerbitzuek ebaluatu egin beharko lituzkete egoera klinikoa eta larritasuna, bai eta balizko ondorio funtzionalak ere. Gaur egun baliabide psikologikoak dituzte balorazio zehatzagoa egiteko. Kontsumo larritasun handiagoa eta patologia psikiatriko erantsia dagoenean, osasun mentaleko zentroetara (OMZ) deribatzea da gomendioa. Osasun mentaleko zentroak funts-funtsezko maila horretan ebaluatu eta esku hartu behar du. Gizakia Helburu elkartearen Suspertu programara bideratzeko aukera dago, adingabeentzako plazen gaineko itun bat egonik harekin.</w:t>
      </w:r>
    </w:p>
    <w:p w14:paraId="111B9213" w14:textId="77777777" w:rsidR="005B7671" w:rsidRPr="00701C13" w:rsidRDefault="005B7671" w:rsidP="00701C13">
      <w:pPr>
        <w:spacing w:after="120" w:line="276" w:lineRule="auto"/>
        <w:jc w:val="both"/>
        <w:rPr>
          <w:rFonts w:eastAsia="Times New Roman" w:cstheme="minorHAnsi"/>
        </w:rPr>
      </w:pPr>
      <w:r>
        <w:t xml:space="preserve">Konplikazioak handiagoak direnean eta aldi berean nahasmendu mentalekiko </w:t>
      </w:r>
      <w:proofErr w:type="spellStart"/>
      <w:r>
        <w:t>komorbilitatea</w:t>
      </w:r>
      <w:proofErr w:type="spellEnd"/>
      <w:r>
        <w:t xml:space="preserve"> dagoenean, ospitaleratze partzialeko baliabideak (Zuria Eguneko Ospitalea) behar dira, are ospitaleratze osoko akutuen unitateak kasurik larrienean.</w:t>
      </w:r>
    </w:p>
    <w:p w14:paraId="75749EDB" w14:textId="77777777" w:rsidR="0092301F" w:rsidRPr="00701C13" w:rsidRDefault="0092301F" w:rsidP="00701C13">
      <w:pPr>
        <w:spacing w:after="120" w:line="276" w:lineRule="auto"/>
        <w:jc w:val="both"/>
        <w:rPr>
          <w:rFonts w:eastAsia="Times New Roman" w:cstheme="minorHAnsi"/>
        </w:rPr>
      </w:pPr>
      <w:r>
        <w:t>Hori jakinarazten dut, Nafarroako Parlamentuko Erregelamenduaren 215. artikuluan xedatutakoa betez.</w:t>
      </w:r>
    </w:p>
    <w:p w14:paraId="7AA38A3D" w14:textId="77777777" w:rsidR="0092301F" w:rsidRPr="00701C13" w:rsidRDefault="0092301F" w:rsidP="00701C13">
      <w:pPr>
        <w:spacing w:after="120" w:line="276" w:lineRule="auto"/>
        <w:jc w:val="both"/>
        <w:rPr>
          <w:rFonts w:eastAsia="Times New Roman" w:cstheme="minorHAnsi"/>
        </w:rPr>
      </w:pPr>
      <w:r>
        <w:t>Iruñean, 2025eko azaroaren 23an</w:t>
      </w:r>
    </w:p>
    <w:p w14:paraId="04091B03" w14:textId="7E0E57B7" w:rsidR="0092301F" w:rsidRPr="00701C13" w:rsidRDefault="00701C13" w:rsidP="00701C13">
      <w:pPr>
        <w:spacing w:after="120" w:line="276" w:lineRule="auto"/>
        <w:jc w:val="both"/>
        <w:rPr>
          <w:rFonts w:eastAsia="Times New Roman" w:cstheme="minorHAnsi"/>
        </w:rPr>
      </w:pPr>
      <w:r>
        <w:t xml:space="preserve">Osasuneko kontseilaria: Fernando Domínguez </w:t>
      </w:r>
      <w:proofErr w:type="spellStart"/>
      <w:r>
        <w:t>Cunchillos</w:t>
      </w:r>
      <w:proofErr w:type="spellEnd"/>
      <w:r>
        <w:t>.</w:t>
      </w:r>
    </w:p>
    <w:sectPr w:rsidR="0092301F" w:rsidRPr="00701C13" w:rsidSect="00701C13">
      <w:pgSz w:w="11906" w:h="16838"/>
      <w:pgMar w:top="1276" w:right="1701"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F3C98" w14:textId="77777777" w:rsidR="00C800F5" w:rsidRDefault="00C800F5" w:rsidP="000C2FFD">
      <w:pPr>
        <w:spacing w:after="0" w:line="240" w:lineRule="auto"/>
      </w:pPr>
      <w:r>
        <w:separator/>
      </w:r>
    </w:p>
  </w:endnote>
  <w:endnote w:type="continuationSeparator" w:id="0">
    <w:p w14:paraId="0E8D24A4" w14:textId="77777777" w:rsidR="00C800F5" w:rsidRDefault="00C800F5" w:rsidP="000C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erif">
    <w:altName w:val="Sylfaen"/>
    <w:charset w:val="00"/>
    <w:family w:val="roman"/>
    <w:pitch w:val="variable"/>
    <w:sig w:usb0="E50006FF" w:usb1="5200F9FB" w:usb2="0A040020" w:usb3="00000000" w:csb0="0000009F" w:csb1="00000000"/>
  </w:font>
  <w:font w:name="DejaVu Serif Condensed">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C147C" w14:textId="77777777" w:rsidR="00C800F5" w:rsidRDefault="00C800F5" w:rsidP="000C2FFD">
      <w:pPr>
        <w:spacing w:after="0" w:line="240" w:lineRule="auto"/>
      </w:pPr>
      <w:r>
        <w:separator/>
      </w:r>
    </w:p>
  </w:footnote>
  <w:footnote w:type="continuationSeparator" w:id="0">
    <w:p w14:paraId="5EFB21F5" w14:textId="77777777" w:rsidR="00C800F5" w:rsidRDefault="00C800F5" w:rsidP="000C2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D7E4C"/>
    <w:multiLevelType w:val="hybridMultilevel"/>
    <w:tmpl w:val="93A805A0"/>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1" w15:restartNumberingAfterBreak="0">
    <w:nsid w:val="3A840806"/>
    <w:multiLevelType w:val="hybridMultilevel"/>
    <w:tmpl w:val="3746D080"/>
    <w:lvl w:ilvl="0" w:tplc="EEBE723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CC53DA9"/>
    <w:multiLevelType w:val="hybridMultilevel"/>
    <w:tmpl w:val="81DEAE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6CC1052E"/>
    <w:multiLevelType w:val="hybridMultilevel"/>
    <w:tmpl w:val="C46869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77088983">
    <w:abstractNumId w:val="2"/>
  </w:num>
  <w:num w:numId="2" w16cid:durableId="206601343">
    <w:abstractNumId w:val="3"/>
  </w:num>
  <w:num w:numId="3" w16cid:durableId="748888516">
    <w:abstractNumId w:val="0"/>
  </w:num>
  <w:num w:numId="4" w16cid:durableId="193928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DC5"/>
    <w:rsid w:val="000430CF"/>
    <w:rsid w:val="00082FD4"/>
    <w:rsid w:val="000C2FFD"/>
    <w:rsid w:val="000F5889"/>
    <w:rsid w:val="00150810"/>
    <w:rsid w:val="00161DC5"/>
    <w:rsid w:val="00202E7B"/>
    <w:rsid w:val="002C7C15"/>
    <w:rsid w:val="00317F7E"/>
    <w:rsid w:val="003355D9"/>
    <w:rsid w:val="00364857"/>
    <w:rsid w:val="00364B69"/>
    <w:rsid w:val="003B6B6C"/>
    <w:rsid w:val="003D738F"/>
    <w:rsid w:val="00473953"/>
    <w:rsid w:val="004A34DD"/>
    <w:rsid w:val="004A5CC7"/>
    <w:rsid w:val="00540A06"/>
    <w:rsid w:val="005600CC"/>
    <w:rsid w:val="005B7671"/>
    <w:rsid w:val="00632ACC"/>
    <w:rsid w:val="00643912"/>
    <w:rsid w:val="006700D2"/>
    <w:rsid w:val="00686B5F"/>
    <w:rsid w:val="00701C13"/>
    <w:rsid w:val="00725555"/>
    <w:rsid w:val="0087216E"/>
    <w:rsid w:val="008B2F77"/>
    <w:rsid w:val="008C76F7"/>
    <w:rsid w:val="0092301F"/>
    <w:rsid w:val="00936E87"/>
    <w:rsid w:val="0099485F"/>
    <w:rsid w:val="00A17570"/>
    <w:rsid w:val="00A62E8D"/>
    <w:rsid w:val="00B107FB"/>
    <w:rsid w:val="00B46764"/>
    <w:rsid w:val="00B57B07"/>
    <w:rsid w:val="00BA1A29"/>
    <w:rsid w:val="00C247A8"/>
    <w:rsid w:val="00C800F5"/>
    <w:rsid w:val="00C869B7"/>
    <w:rsid w:val="00C90037"/>
    <w:rsid w:val="00CC6F01"/>
    <w:rsid w:val="00CE25C0"/>
    <w:rsid w:val="00CF2077"/>
    <w:rsid w:val="00D813E9"/>
    <w:rsid w:val="00E2302B"/>
    <w:rsid w:val="00F0576A"/>
    <w:rsid w:val="00F11182"/>
    <w:rsid w:val="00F511C7"/>
    <w:rsid w:val="00F526D7"/>
    <w:rsid w:val="00F67D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61343"/>
  <w15:chartTrackingRefBased/>
  <w15:docId w15:val="{B55D9289-2848-48CA-8EA8-43CDD1B7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6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936E87"/>
    <w:rPr>
      <w:color w:val="0000FF"/>
      <w:u w:val="single"/>
    </w:rPr>
  </w:style>
  <w:style w:type="paragraph" w:styleId="Encabezado">
    <w:name w:val="header"/>
    <w:basedOn w:val="Normal"/>
    <w:link w:val="EncabezadoCar"/>
    <w:uiPriority w:val="99"/>
    <w:unhideWhenUsed/>
    <w:rsid w:val="000C2F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2FFD"/>
    <w:rPr>
      <w:lang w:val="eu-ES"/>
    </w:rPr>
  </w:style>
  <w:style w:type="paragraph" w:styleId="Piedepgina">
    <w:name w:val="footer"/>
    <w:basedOn w:val="Normal"/>
    <w:link w:val="PiedepginaCar"/>
    <w:uiPriority w:val="99"/>
    <w:unhideWhenUsed/>
    <w:rsid w:val="000C2F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2FFD"/>
    <w:rPr>
      <w:lang w:val="eu-ES"/>
    </w:rPr>
  </w:style>
  <w:style w:type="paragraph" w:styleId="Prrafodelista">
    <w:name w:val="List Paragraph"/>
    <w:basedOn w:val="Normal"/>
    <w:uiPriority w:val="34"/>
    <w:qFormat/>
    <w:rsid w:val="00364B69"/>
    <w:pPr>
      <w:ind w:left="720"/>
      <w:contextualSpacing/>
    </w:pPr>
  </w:style>
  <w:style w:type="paragraph" w:customStyle="1" w:styleId="Default">
    <w:name w:val="Default"/>
    <w:rsid w:val="0099485F"/>
    <w:pPr>
      <w:autoSpaceDE w:val="0"/>
      <w:autoSpaceDN w:val="0"/>
      <w:adjustRightInd w:val="0"/>
      <w:spacing w:after="0" w:line="240" w:lineRule="auto"/>
    </w:pPr>
    <w:rPr>
      <w:rFonts w:ascii="DejaVu Serif" w:hAnsi="DejaVu Serif" w:cs="DejaVu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6443">
      <w:bodyDiv w:val="1"/>
      <w:marLeft w:val="0"/>
      <w:marRight w:val="0"/>
      <w:marTop w:val="0"/>
      <w:marBottom w:val="0"/>
      <w:divBdr>
        <w:top w:val="none" w:sz="0" w:space="0" w:color="auto"/>
        <w:left w:val="none" w:sz="0" w:space="0" w:color="auto"/>
        <w:bottom w:val="none" w:sz="0" w:space="0" w:color="auto"/>
        <w:right w:val="none" w:sz="0" w:space="0" w:color="auto"/>
      </w:divBdr>
    </w:div>
    <w:div w:id="383021380">
      <w:bodyDiv w:val="1"/>
      <w:marLeft w:val="0"/>
      <w:marRight w:val="0"/>
      <w:marTop w:val="0"/>
      <w:marBottom w:val="0"/>
      <w:divBdr>
        <w:top w:val="none" w:sz="0" w:space="0" w:color="auto"/>
        <w:left w:val="none" w:sz="0" w:space="0" w:color="auto"/>
        <w:bottom w:val="none" w:sz="0" w:space="0" w:color="auto"/>
        <w:right w:val="none" w:sz="0" w:space="0" w:color="auto"/>
      </w:divBdr>
    </w:div>
    <w:div w:id="398215612">
      <w:bodyDiv w:val="1"/>
      <w:marLeft w:val="0"/>
      <w:marRight w:val="0"/>
      <w:marTop w:val="0"/>
      <w:marBottom w:val="0"/>
      <w:divBdr>
        <w:top w:val="none" w:sz="0" w:space="0" w:color="auto"/>
        <w:left w:val="none" w:sz="0" w:space="0" w:color="auto"/>
        <w:bottom w:val="none" w:sz="0" w:space="0" w:color="auto"/>
        <w:right w:val="none" w:sz="0" w:space="0" w:color="auto"/>
      </w:divBdr>
    </w:div>
    <w:div w:id="1030298471">
      <w:bodyDiv w:val="1"/>
      <w:marLeft w:val="0"/>
      <w:marRight w:val="0"/>
      <w:marTop w:val="0"/>
      <w:marBottom w:val="0"/>
      <w:divBdr>
        <w:top w:val="none" w:sz="0" w:space="0" w:color="auto"/>
        <w:left w:val="none" w:sz="0" w:space="0" w:color="auto"/>
        <w:bottom w:val="none" w:sz="0" w:space="0" w:color="auto"/>
        <w:right w:val="none" w:sz="0" w:space="0" w:color="auto"/>
      </w:divBdr>
    </w:div>
    <w:div w:id="1298299706">
      <w:bodyDiv w:val="1"/>
      <w:marLeft w:val="0"/>
      <w:marRight w:val="0"/>
      <w:marTop w:val="0"/>
      <w:marBottom w:val="0"/>
      <w:divBdr>
        <w:top w:val="none" w:sz="0" w:space="0" w:color="auto"/>
        <w:left w:val="none" w:sz="0" w:space="0" w:color="auto"/>
        <w:bottom w:val="none" w:sz="0" w:space="0" w:color="auto"/>
        <w:right w:val="none" w:sz="0" w:space="0" w:color="auto"/>
      </w:divBdr>
    </w:div>
    <w:div w:id="147043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varra.es/NR/rdonlyres/889229EF-448A-4664-A78F-ED640B16035B/476679/Bit_v29n4.pdf" TargetMode="External"/><Relationship Id="rId5" Type="http://schemas.openxmlformats.org/officeDocument/2006/relationships/webSettings" Target="webSettings.xml"/><Relationship Id="rId10" Type="http://schemas.openxmlformats.org/officeDocument/2006/relationships/hyperlink" Target="https://www.fda.gov/safety/medical-product-safety-information/neurontin-gralise-horizant-gabapentin-and-lyrica-lyrica-cr-pregabalin-drug-safety-communication" TargetMode="External"/><Relationship Id="rId4" Type="http://schemas.openxmlformats.org/officeDocument/2006/relationships/settings" Target="settings.xml"/><Relationship Id="rId9" Type="http://schemas.openxmlformats.org/officeDocument/2006/relationships/hyperlink" Target="https://www.bmj.com/content/369/bmj.m13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7673A-3048-4A54-9D7E-10299EE4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2381</TotalTime>
  <Pages>4</Pages>
  <Words>1669</Words>
  <Characters>9183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X081345</dc:creator>
  <cp:keywords/>
  <dc:description/>
  <cp:lastModifiedBy>Martin Cestao, Nerea</cp:lastModifiedBy>
  <cp:revision>15</cp:revision>
  <cp:lastPrinted>2025-11-22T21:24:00Z</cp:lastPrinted>
  <dcterms:created xsi:type="dcterms:W3CDTF">2025-11-13T10:46:00Z</dcterms:created>
  <dcterms:modified xsi:type="dcterms:W3CDTF">2026-01-09T06:38:00Z</dcterms:modified>
</cp:coreProperties>
</file>