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0653" w14:textId="254F2F6F" w:rsidR="00D737A4" w:rsidRPr="001D330E" w:rsidRDefault="001D330E" w:rsidP="001D330E">
      <w:pPr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25MOC-171</w:t>
      </w:r>
    </w:p>
    <w:p w14:paraId="3EA8AA50" w14:textId="244DBBAB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Doña Itxaso Soto Diaz de Cerio, parlamentaria adscrita al G.P. Geroa Bai, al amparo de lo establecido en el Reglamento de la Cámara, presenta la siguiente moción para su debate y votación en la Comisión de Educación.</w:t>
      </w:r>
    </w:p>
    <w:p w14:paraId="679A9B5F" w14:textId="150DB000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Exposición de motivos:</w:t>
      </w:r>
    </w:p>
    <w:p w14:paraId="6AE206CD" w14:textId="6D44BEB3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Tres años después de que Navarra recibiera las transferencias educativas, el Decreto Foral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76/1993, de 1 de marzo, creó el Centro de Recursos de Educación Especial, dependiente del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Departamento de Educación y Cultura de Navarra.</w:t>
      </w:r>
    </w:p>
    <w:p w14:paraId="47D76BFA" w14:textId="7F00C16D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En aquel Decreto Foral se venía a fomentar la integración promovida por la Ley Orgánica de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Ordenación General del Sistema Educativo, del 3 de octubre de 1990 (LOGSE) y, en él, la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normalización se concretó en los principios de complementariedad y subsidiariedad.</w:t>
      </w:r>
    </w:p>
    <w:p w14:paraId="18969728" w14:textId="48220145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En este sentido, se pretendía potenciar que fuesen los recursos generales quienes diesen la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respuesta específica a las necesidades del alumnado con necesidades educativas especiales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dentro de los centros educativos, contando para ello con la ayuda capacitadora y no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sustitutiva de los servicios especializados.</w:t>
      </w:r>
    </w:p>
    <w:p w14:paraId="47FAC26D" w14:textId="4E82803D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La Ley Orgánica de Educación de 2006 y, en el ámbito general, la aprobación por la ONU en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2006, ratificada por el Estado Español en 200</w:t>
      </w:r>
      <w:r w:rsidRPr="001D330E">
        <w:rPr>
          <w:rFonts w:cstheme="minorHAnsi"/>
          <w:lang w:bidi="he-IL"/>
        </w:rPr>
        <w:t>8, de la “Convención sobre los derechos de las</w:t>
      </w:r>
      <w:r>
        <w:rPr>
          <w:rFonts w:cstheme="minorHAnsi"/>
          <w:lang w:bidi="he-IL"/>
        </w:rPr>
        <w:t xml:space="preserve"> </w:t>
      </w:r>
      <w:r w:rsidRPr="001D330E">
        <w:rPr>
          <w:rFonts w:cstheme="minorHAnsi"/>
          <w:lang w:bidi="he-IL"/>
        </w:rPr>
        <w:t>personas con discapacidad” aportaron conceptos como el principio de inclusión, la calidad de</w:t>
      </w:r>
      <w:r>
        <w:rPr>
          <w:rFonts w:cstheme="minorHAnsi"/>
          <w:lang w:bidi="he-IL"/>
        </w:rPr>
        <w:t xml:space="preserve"> </w:t>
      </w:r>
      <w:r w:rsidRPr="001D330E">
        <w:rPr>
          <w:rFonts w:cstheme="minorHAnsi"/>
        </w:rPr>
        <w:t>la educación, la equidad, la no discriminación y la flexibilidad para adecuar la educación a la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diversidad de aptitudes, intereses, expectativas y necesidades del alumnado.</w:t>
      </w:r>
    </w:p>
    <w:p w14:paraId="00900C09" w14:textId="655F3914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Estos principios han regido el devenir del CREENA desde entonces, convirtiéndolo en una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entidad de referencia técnica en el ámbito de la diversidad que, como tal, debe ofrecer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asesoramiento y respuestas de calidad capaces de ayudar realmente a los centros educativos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para que estos proporcionen una atención adecuada al alumnado que presenta necesidades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específicas de apoyo educativo.</w:t>
      </w:r>
    </w:p>
    <w:p w14:paraId="2D4227B7" w14:textId="36B2F499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Por otro lado, el Decreto Foral 1/2023, en su artículo 14, relativo a las funciones de la dirección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del CREENA, establece que corresponde al/a la director/a: Coordinar con el Departamento de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Educación la propuesta y elaboración de convenios con otras instituciones u organismos,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entre otras, las entidades del tercer sector de acción social. Por tanto, y sin duda alguna,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cualquier convenio que afecte al ámbito de actuación del CREENA debe ser coordinado desde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su dirección, en diálogo con el Departamento.</w:t>
      </w:r>
    </w:p>
    <w:p w14:paraId="04E90A3E" w14:textId="7CB2C6B1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En los últimos días, hemos conocido noticias que evidencian discrepancias entre el CREENA y el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propio Departamento de Educación en relación con un convenio firmado por este último con la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Fundación Alegría; discrepancias que han desembocado en la dimisión del equipo directivo del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CREENA.</w:t>
      </w:r>
    </w:p>
    <w:p w14:paraId="44104C93" w14:textId="3EB065F9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En la actualidad, lejos de reducirse, las necesidades de acompañamiento y apoyo en los centros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educativos se están incrementando de manera notable, por lo que cobra más importancia, si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cabe, el crear las condiciones necesarias para garantizar que este Centro pueda cumplir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eficazmente sus funciones tanto interviniendo directamente como colaborando con el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profesorado, las familias y el conjunto de la comunidad educativa.</w:t>
      </w:r>
    </w:p>
    <w:p w14:paraId="52825483" w14:textId="4CFCBAE7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1D330E">
        <w:rPr>
          <w:rFonts w:cstheme="minorHAnsi"/>
        </w:rPr>
        <w:t>Por todo ello, proponemos la siguiente propuesta de resolución</w:t>
      </w:r>
      <w:r>
        <w:rPr>
          <w:rFonts w:cstheme="minorHAnsi"/>
        </w:rPr>
        <w:t>:</w:t>
      </w:r>
    </w:p>
    <w:p w14:paraId="4B160647" w14:textId="1AAFC1B6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lastRenderedPageBreak/>
        <w:t>1. El Parlamento de Navarra insta al Departamento de Educación del Gobierno de Navarra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a garantizar la inclusión, equidad, transparencia e igualdad de trato como principios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irrenunciables del sistema educativo navarro en general, y de las políticas de atención a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la diversidad en particular.</w:t>
      </w:r>
    </w:p>
    <w:p w14:paraId="3B66CBE9" w14:textId="4E727F47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2. El Parlamento de Navarra insta al Departamento de Educación del Gobierno de Navarra a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mantener la prescripción y provisión de los recursos educativos exclusivamente en los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centros y servicios públicos.</w:t>
      </w:r>
    </w:p>
    <w:p w14:paraId="3F1E5716" w14:textId="2C86A836" w:rsidR="001D330E" w:rsidRPr="001D330E" w:rsidRDefault="001D330E" w:rsidP="001D330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3. El Parlamento de Navarra insta al Departamento de Educación del Gobierno de Navarra a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reconducir el proceso basándolo en los términos establecidos por el Decreto Foral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1/2023, de 18 de enero, por el que se regula la creación, organización y funcionamiento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del Centro de Recursos para la Equidad Educativa en Navarra (CREENA).</w:t>
      </w:r>
    </w:p>
    <w:p w14:paraId="70E6B1C3" w14:textId="25728D69" w:rsidR="001D330E" w:rsidRDefault="001D330E" w:rsidP="001D330E">
      <w:pPr>
        <w:spacing w:after="120" w:line="276" w:lineRule="auto"/>
        <w:jc w:val="both"/>
        <w:rPr>
          <w:rFonts w:cstheme="minorHAnsi"/>
        </w:rPr>
      </w:pPr>
      <w:r w:rsidRPr="001D330E">
        <w:rPr>
          <w:rFonts w:cstheme="minorHAnsi"/>
        </w:rPr>
        <w:t>4. El Parlamento de Navarra insta al Departamento de Educación del Gobierno de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Navarra a trabajar cualquier convenio o propuesta que afecte a la atención a la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diversidad con la dirección del CREENA y contando con la representación de las entidades</w:t>
      </w:r>
      <w:r>
        <w:rPr>
          <w:rFonts w:cstheme="minorHAnsi"/>
        </w:rPr>
        <w:t xml:space="preserve"> </w:t>
      </w:r>
      <w:r w:rsidRPr="001D330E">
        <w:rPr>
          <w:rFonts w:cstheme="minorHAnsi"/>
        </w:rPr>
        <w:t>que participan en los espacios de colaboración regulados por el Decreto Foral 1/2023.</w:t>
      </w:r>
    </w:p>
    <w:p w14:paraId="36A7BB34" w14:textId="055AE31B" w:rsidR="004F7B1C" w:rsidRDefault="00657D24" w:rsidP="001D330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Pamplona, </w:t>
      </w:r>
      <w:r w:rsidR="004F7B1C">
        <w:rPr>
          <w:rFonts w:cstheme="minorHAnsi"/>
        </w:rPr>
        <w:t>12 de diciembre de 202</w:t>
      </w:r>
      <w:r w:rsidR="00B006D4">
        <w:rPr>
          <w:rFonts w:cstheme="minorHAnsi"/>
        </w:rPr>
        <w:t>5</w:t>
      </w:r>
    </w:p>
    <w:p w14:paraId="39B7957C" w14:textId="08C1B945" w:rsidR="00B006D4" w:rsidRPr="001D330E" w:rsidRDefault="00B006D4" w:rsidP="001D330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B006D4" w:rsidRPr="001D3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0E"/>
    <w:rsid w:val="001D330E"/>
    <w:rsid w:val="004F7B1C"/>
    <w:rsid w:val="00657D24"/>
    <w:rsid w:val="00B006D4"/>
    <w:rsid w:val="00C6426E"/>
    <w:rsid w:val="00D7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B966"/>
  <w15:chartTrackingRefBased/>
  <w15:docId w15:val="{48897290-6F07-4DCF-85FD-F0C62D10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2025-12-16T12:03:00Z</dcterms:created>
  <dcterms:modified xsi:type="dcterms:W3CDTF">2026-01-02T11:39:00Z</dcterms:modified>
</cp:coreProperties>
</file>