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6852" w14:textId="5794BFF1" w:rsidR="00751AB8" w:rsidRPr="0062450C" w:rsidRDefault="00751AB8" w:rsidP="0062450C">
      <w:pPr>
        <w:autoSpaceDE w:val="0"/>
        <w:autoSpaceDN w:val="0"/>
        <w:adjustRightInd w:val="0"/>
        <w:spacing w:after="120"/>
        <w:jc w:val="both"/>
        <w:rPr>
          <w:color w:val="000000" w:themeColor="text1"/>
          <w:rFonts w:cstheme="minorHAnsi"/>
        </w:rPr>
      </w:pPr>
      <w:r>
        <w:rPr>
          <w:color w:val="000000" w:themeColor="text1"/>
        </w:rPr>
        <w:t xml:space="preserve">Nafarroako Gobernuko Lurralde Kohesiorako kontseilariak hauxe jakinarazten du, Nafarroako Alderdi Popularra talde parlamentarioari atxikitako foru-parlamentari Irene Royo Ortín andreak interesdunek Nafarroako udaletan eskatutako erretiro partzialen tramitazioari buruz eta toki-administrazioaren arloan eskumena duen departamentuak egin dizkioten kontsultei emaniko erantzunari buruz idatziz erantzuteko egindako galderari dagokionez (11-25/PES-00427):</w:t>
      </w:r>
    </w:p>
    <w:p w14:paraId="00CCFB71" w14:textId="77777777" w:rsidR="00A95BA2" w:rsidRPr="0062450C" w:rsidRDefault="00A95BA2" w:rsidP="0062450C">
      <w:pPr>
        <w:spacing w:after="120"/>
        <w:jc w:val="both"/>
        <w:rPr>
          <w:color w:val="000000" w:themeColor="text1"/>
          <w:rFonts w:cstheme="minorHAnsi"/>
        </w:rPr>
      </w:pPr>
      <w:r>
        <w:rPr>
          <w:color w:val="000000" w:themeColor="text1"/>
        </w:rPr>
        <w:t xml:space="preserve">Alde horri loturik eta eginiko galdera bakoitzari erantzun baino lehen, zenbait gogoeta egin behar dira, eta horren ondotik emanen zaio erantzuna informazio-eskaera izenpetzen duen talde parlamentarioak egindako galdera bakoitzari.</w:t>
      </w:r>
    </w:p>
    <w:p w14:paraId="52D6D5DF" w14:textId="1F10A9EC" w:rsidR="00A95BA2" w:rsidRPr="0062450C" w:rsidRDefault="00A95BA2" w:rsidP="0062450C">
      <w:pPr>
        <w:spacing w:after="120"/>
        <w:jc w:val="both"/>
        <w:rPr>
          <w:b/>
          <w:color w:val="000000" w:themeColor="text1"/>
          <w:u w:val="single"/>
          <w:rFonts w:cstheme="minorHAnsi"/>
        </w:rPr>
      </w:pPr>
      <w:r>
        <w:rPr>
          <w:b/>
          <w:color w:val="000000" w:themeColor="text1"/>
          <w:u w:val="single"/>
        </w:rPr>
        <w:t xml:space="preserve">I.- Aldez aurreko gogoetak:</w:t>
      </w:r>
    </w:p>
    <w:p w14:paraId="16D7B238" w14:textId="77777777" w:rsidR="00A95BA2" w:rsidRPr="0062450C" w:rsidRDefault="00A95BA2" w:rsidP="0062450C">
      <w:pPr>
        <w:pStyle w:val="Prrafodelista"/>
        <w:numPr>
          <w:ilvl w:val="0"/>
          <w:numId w:val="9"/>
        </w:numPr>
        <w:spacing w:after="120" w:line="276" w:lineRule="auto"/>
        <w:jc w:val="both"/>
        <w:rPr>
          <w:b/>
          <w:color w:val="000000" w:themeColor="text1"/>
          <w:sz w:val="22"/>
          <w:szCs w:val="22"/>
          <w:rFonts w:asciiTheme="minorHAnsi" w:hAnsiTheme="minorHAnsi" w:cstheme="minorHAnsi"/>
        </w:rPr>
      </w:pPr>
      <w:r>
        <w:rPr>
          <w:b/>
          <w:color w:val="000000" w:themeColor="text1"/>
          <w:sz w:val="22"/>
          <w:rFonts w:asciiTheme="minorHAnsi" w:hAnsiTheme="minorHAnsi"/>
        </w:rPr>
        <w:t xml:space="preserve">Administrazio publikoetako langile lan-kontratudunen erretiro partziala, toki-entitateetan dihardutenena barne.</w:t>
      </w:r>
    </w:p>
    <w:p w14:paraId="0F57C337" w14:textId="77777777" w:rsidR="00A95BA2" w:rsidRPr="0062450C" w:rsidRDefault="00A95BA2" w:rsidP="0062450C">
      <w:pPr>
        <w:spacing w:after="120"/>
        <w:ind w:left="1068"/>
        <w:jc w:val="both"/>
        <w:rPr>
          <w:color w:val="000000" w:themeColor="text1"/>
          <w:rFonts w:cstheme="minorHAnsi"/>
        </w:rPr>
      </w:pPr>
      <w:r>
        <w:rPr>
          <w:color w:val="000000" w:themeColor="text1"/>
        </w:rPr>
        <w:t xml:space="preserve">Erretiro pentsioaren eta lanaren arteko bateragarritasuna hobetzeko abenduaren 23ko 11/2024 Errege Lege Dekretuaren bidez, erretiro partziala arautzeko esparru berri bat txertatu zen.</w:t>
      </w:r>
    </w:p>
    <w:p w14:paraId="34E8C3A9" w14:textId="790B7263" w:rsidR="00A95BA2" w:rsidRPr="0062450C" w:rsidRDefault="00A95BA2" w:rsidP="0062450C">
      <w:pPr>
        <w:spacing w:after="120"/>
        <w:ind w:left="1068"/>
        <w:jc w:val="both"/>
        <w:rPr>
          <w:color w:val="000000" w:themeColor="text1"/>
          <w:rFonts w:cstheme="minorHAnsi"/>
        </w:rPr>
      </w:pPr>
      <w:r>
        <w:rPr>
          <w:color w:val="000000" w:themeColor="text1"/>
        </w:rPr>
        <w:t xml:space="preserve">Zehazki, zenbait aldaketa egin ziren Gizarte Segurantzaren Lege Orokorrean eta Langileen Estatutuan, errege lege-dekretu horretako lehenengo artikuluko laugarren eta bosgarren apartatuetan eta bigarren artikuluan xedatutakoaren arabera.</w:t>
      </w:r>
    </w:p>
    <w:p w14:paraId="60A70A73" w14:textId="5A50527A" w:rsidR="00A95BA2" w:rsidRPr="0062450C" w:rsidRDefault="00A95BA2" w:rsidP="0062450C">
      <w:pPr>
        <w:spacing w:after="120"/>
        <w:ind w:left="1068"/>
        <w:jc w:val="both"/>
        <w:rPr>
          <w:color w:val="000000" w:themeColor="text1"/>
          <w:rFonts w:cstheme="minorHAnsi"/>
        </w:rPr>
      </w:pPr>
      <w:r>
        <w:rPr>
          <w:color w:val="000000" w:themeColor="text1"/>
        </w:rPr>
        <w:t xml:space="preserve">Transkribatutako erregulazio osoak 2025eko apirilaren 1ean hartu zuen indarra, arau horren azken xedapenetako hirugarrenean aurreikusitakoari jarraikiz.</w:t>
      </w:r>
    </w:p>
    <w:p w14:paraId="0348D8BD" w14:textId="77777777" w:rsidR="00A95BA2" w:rsidRPr="0062450C" w:rsidRDefault="00A95BA2" w:rsidP="0062450C">
      <w:pPr>
        <w:spacing w:after="120"/>
        <w:ind w:left="1068"/>
        <w:jc w:val="both"/>
        <w:rPr>
          <w:color w:val="000000" w:themeColor="text1"/>
          <w:rFonts w:cstheme="minorHAnsi"/>
        </w:rPr>
      </w:pPr>
      <w:r>
        <w:rPr>
          <w:color w:val="000000" w:themeColor="text1"/>
        </w:rPr>
        <w:t xml:space="preserve">Horren ondorioz, data horretatik aurrera operatibo egon zen Langileen Estatutuaren aplikazio-eremuari lotutako langile guztientzat, eta Nafarroako administrazio publikoen zerbitzura diharduten langile lan-kontratudunak, finkoak zein behin-behinekoak, ez daude inguruabar horretatik kanpo, ezta Nafarroako toki-entitateetakoak ere, hala ezartzen baitu Nafarroako Administrazio Publikoen zerbitzuko langileriaren Estatutuaren testu bategina onesten duen abuztuaren 30eko 251/1993 Legegintzako Foru Dekretuak, 1., 3., 94., 95. eta 96. artikuluetan.</w:t>
      </w:r>
    </w:p>
    <w:p w14:paraId="1CAF80E9" w14:textId="77777777" w:rsidR="00A95BA2" w:rsidRPr="0062450C" w:rsidRDefault="00A95BA2" w:rsidP="0062450C">
      <w:pPr>
        <w:spacing w:after="120"/>
        <w:ind w:left="1068"/>
        <w:jc w:val="both"/>
        <w:rPr>
          <w:color w:val="000000" w:themeColor="text1"/>
          <w:rFonts w:cstheme="minorHAnsi"/>
        </w:rPr>
      </w:pPr>
      <w:r>
        <w:rPr>
          <w:color w:val="000000" w:themeColor="text1"/>
        </w:rPr>
        <w:t xml:space="preserve">Ondorioz, apirilaren 1etik aurrera, edozein udalen zerbitzutan diharduten langileek (edo Nafarroako beste toki-entitateren batekoek, hala nola mankomunitateetakoek) hartzen ahal dute erretiro partziala, baldin eta betetzen badituzte baldintzak eta betetzen badira, berebat, esparru arautzaile berri horretako inguruabarrak.</w:t>
      </w:r>
      <w:r>
        <w:rPr>
          <w:color w:val="000000" w:themeColor="text1"/>
        </w:rPr>
        <w:t xml:space="preserve"> </w:t>
      </w:r>
    </w:p>
    <w:p w14:paraId="13F1319B" w14:textId="21BE5BEC" w:rsidR="00A95BA2" w:rsidRPr="0062450C" w:rsidRDefault="00A95BA2" w:rsidP="0062450C">
      <w:pPr>
        <w:spacing w:after="120"/>
        <w:ind w:left="1068"/>
        <w:jc w:val="both"/>
        <w:rPr>
          <w:color w:val="000000" w:themeColor="text1"/>
          <w:rFonts w:cstheme="minorHAnsi"/>
        </w:rPr>
      </w:pPr>
      <w:r>
        <w:rPr>
          <w:color w:val="000000" w:themeColor="text1"/>
        </w:rPr>
        <w:t xml:space="preserve">Esparru arautzaile berri horretan aintzat hartu beharreko baldintzen artean, hauek ageri dira:</w:t>
      </w:r>
    </w:p>
    <w:p w14:paraId="2708D250" w14:textId="77777777" w:rsidR="00A95BA2" w:rsidRPr="0062450C" w:rsidRDefault="00A95BA2" w:rsidP="0062450C">
      <w:pPr>
        <w:pStyle w:val="Prrafodelista"/>
        <w:numPr>
          <w:ilvl w:val="0"/>
          <w:numId w:val="10"/>
        </w:numPr>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Errelebolari bat eduki beharra, zeinak lanaldi osoko kontratu mugagabea sinatu beharko baitu, orain indargabetutako erregulazioan aurreikusitako behin-behinekoa (eta partziala, kasuaren arabera) eduki beharrean.</w:t>
      </w:r>
      <w:r>
        <w:rPr>
          <w:color w:val="000000" w:themeColor="text1"/>
          <w:sz w:val="22"/>
          <w:rFonts w:asciiTheme="minorHAnsi" w:hAnsiTheme="minorHAnsi"/>
        </w:rPr>
        <w:t xml:space="preserve"> </w:t>
      </w:r>
    </w:p>
    <w:p w14:paraId="18791A16" w14:textId="77777777" w:rsidR="00A95BA2" w:rsidRPr="0062450C" w:rsidRDefault="00A95BA2" w:rsidP="0062450C">
      <w:pPr>
        <w:pStyle w:val="Prrafodelista"/>
        <w:numPr>
          <w:ilvl w:val="0"/>
          <w:numId w:val="10"/>
        </w:numPr>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Errelebo-kontratu hori erretiro partziala iraungi ondoko bi urteetan mantendu beharko da.</w:t>
      </w:r>
    </w:p>
    <w:p w14:paraId="78EA7B5B" w14:textId="77777777" w:rsidR="00A95BA2" w:rsidRPr="0062450C" w:rsidRDefault="00A95BA2" w:rsidP="0062450C">
      <w:pPr>
        <w:pStyle w:val="Prrafodelista"/>
        <w:numPr>
          <w:ilvl w:val="0"/>
          <w:numId w:val="10"/>
        </w:numPr>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Errelebo-kontratua langabezian dagoen langile batekin edo enpresarekin iraupen jakin bateko kontratua duen langile batekin hitzartu beharko da.</w:t>
      </w:r>
    </w:p>
    <w:p w14:paraId="568B4932" w14:textId="77777777" w:rsidR="00A95BA2" w:rsidRPr="0062450C" w:rsidRDefault="00A95BA2" w:rsidP="0062450C">
      <w:pPr>
        <w:pStyle w:val="Prrafodelista"/>
        <w:numPr>
          <w:ilvl w:val="0"/>
          <w:numId w:val="10"/>
        </w:numPr>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Errelebolariaren lanpostua ordeztutako langilearen lanpostuaren berdina edo beste bat izaten ahal da, betiere kontuan hartzen bada bien kotizazio-oinarria bat datorrela Gizarte Segurantzaren legeriak dioenarekin.</w:t>
      </w:r>
    </w:p>
    <w:p w14:paraId="34AE4D74" w14:textId="77777777" w:rsidR="00A95BA2" w:rsidRPr="0062450C" w:rsidRDefault="00A95BA2" w:rsidP="0062450C">
      <w:pPr>
        <w:spacing w:after="120"/>
        <w:ind w:left="708"/>
        <w:jc w:val="both"/>
        <w:rPr>
          <w:color w:val="000000" w:themeColor="text1"/>
          <w:rFonts w:cstheme="minorHAnsi"/>
        </w:rPr>
      </w:pPr>
      <w:r>
        <w:rPr>
          <w:color w:val="000000" w:themeColor="text1"/>
        </w:rPr>
        <w:t xml:space="preserve">Erregulazio-berritasun hori 2025eko martxoaren 28ko Ebazpenarekin osatu behar izan zen, zeina Funtzio Publikoko Estatu Idazkaritzak eman baitzuen Sektore Publikoan langile finkoak kontratatzeari buruzko irizpide orientatzaileei loturik, abenduaren 23ko 11/2024 Errege Lege Dekretuak indarra hartu ondotik.</w:t>
      </w:r>
      <w:r>
        <w:rPr>
          <w:color w:val="000000" w:themeColor="text1"/>
        </w:rPr>
        <w:t xml:space="preserve"> </w:t>
      </w:r>
    </w:p>
    <w:p w14:paraId="1DDE1A28" w14:textId="77777777" w:rsidR="00A95BA2" w:rsidRPr="0062450C" w:rsidRDefault="00A95BA2" w:rsidP="0062450C">
      <w:pPr>
        <w:spacing w:after="120"/>
        <w:ind w:left="708"/>
        <w:jc w:val="both"/>
        <w:rPr>
          <w:color w:val="000000" w:themeColor="text1"/>
          <w:rFonts w:cstheme="minorHAnsi"/>
        </w:rPr>
      </w:pPr>
      <w:r>
        <w:rPr>
          <w:color w:val="000000" w:themeColor="text1"/>
        </w:rPr>
        <w:t xml:space="preserve">Orientabide horiek zenbait zalantza argitu zituzten esparru arautzaile berria sektore publikoan aplikatzeari buruz, baita zenbait gairen inguruan sortzen ahal zen segurtasun juridikorik ezari buruz ere.</w:t>
      </w:r>
      <w:r>
        <w:rPr>
          <w:color w:val="000000" w:themeColor="text1"/>
        </w:rPr>
        <w:t xml:space="preserve"> </w:t>
      </w:r>
      <w:r>
        <w:rPr>
          <w:color w:val="000000" w:themeColor="text1"/>
        </w:rPr>
        <w:t xml:space="preserve">Zehazki:</w:t>
      </w:r>
      <w:r>
        <w:rPr>
          <w:color w:val="000000" w:themeColor="text1"/>
        </w:rPr>
        <w:t xml:space="preserve"> </w:t>
      </w:r>
    </w:p>
    <w:p w14:paraId="0E366018" w14:textId="77777777" w:rsidR="00A95BA2" w:rsidRPr="0062450C" w:rsidRDefault="00A95BA2" w:rsidP="0062450C">
      <w:pPr>
        <w:pStyle w:val="Prrafodelista"/>
        <w:numPr>
          <w:ilvl w:val="0"/>
          <w:numId w:val="11"/>
        </w:numPr>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Errelebo-kontratuaren tasunari buruzko zalantzak.</w:t>
      </w:r>
      <w:r>
        <w:rPr>
          <w:color w:val="000000" w:themeColor="text1"/>
          <w:sz w:val="22"/>
          <w:rFonts w:asciiTheme="minorHAnsi" w:hAnsiTheme="minorHAnsi"/>
        </w:rPr>
        <w:t xml:space="preserve"> </w:t>
      </w:r>
      <w:r>
        <w:rPr>
          <w:color w:val="000000" w:themeColor="text1"/>
          <w:sz w:val="22"/>
          <w:rFonts w:asciiTheme="minorHAnsi" w:hAnsiTheme="minorHAnsi"/>
        </w:rPr>
        <w:t xml:space="preserve">Aurreko araubide juridikoak behin-behinekotzat jotzen zuen, eta arau-esparru berriak, berriz, mugagabea izatea eskatzen du; modalitate hori, bestalde, ez dago administrazio publikoetan (langile mugagabe ez-finkoez aparte, zeinak justizia-auzitegiek soilik deklaratzen ahal baitituzte).</w:t>
      </w:r>
      <w:r>
        <w:rPr>
          <w:color w:val="000000" w:themeColor="text1"/>
          <w:sz w:val="22"/>
          <w:rFonts w:asciiTheme="minorHAnsi" w:hAnsiTheme="minorHAnsi"/>
        </w:rPr>
        <w:t xml:space="preserve"> </w:t>
      </w:r>
    </w:p>
    <w:p w14:paraId="4A043E63" w14:textId="77777777" w:rsidR="00A95BA2" w:rsidRPr="0062450C" w:rsidRDefault="00A95BA2" w:rsidP="0062450C">
      <w:pPr>
        <w:pStyle w:val="Prrafodelista"/>
        <w:spacing w:after="120" w:line="276" w:lineRule="auto"/>
        <w:ind w:left="1428"/>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Horri dagokionez, ebatzitako irizpideek berretsi egiten dute administrazio publikoen eremuko tasun finkoa, eta horren barruan ulertu behar dira, hain justu, lan-araudiak oro har errelebo-kontratu mugagabeari egiten dizkion erreferentzia guztiak.</w:t>
      </w:r>
      <w:r>
        <w:rPr>
          <w:color w:val="000000" w:themeColor="text1"/>
          <w:sz w:val="22"/>
          <w:rFonts w:asciiTheme="minorHAnsi" w:hAnsiTheme="minorHAnsi"/>
        </w:rPr>
        <w:t xml:space="preserve"> </w:t>
      </w:r>
    </w:p>
    <w:p w14:paraId="1FDA2EC3" w14:textId="77777777" w:rsidR="00A95BA2" w:rsidRPr="0062450C" w:rsidRDefault="00A95BA2" w:rsidP="0062450C">
      <w:pPr>
        <w:pStyle w:val="Prrafodelista"/>
        <w:numPr>
          <w:ilvl w:val="0"/>
          <w:numId w:val="11"/>
        </w:numPr>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Ildo beretik, argitzen du administrazio publikoetan sinatu beharreko errelebo-kontratua lan-kontratu finkoa izanen dela.</w:t>
      </w:r>
      <w:r>
        <w:rPr>
          <w:color w:val="000000" w:themeColor="text1"/>
          <w:sz w:val="22"/>
          <w:rFonts w:asciiTheme="minorHAnsi" w:hAnsiTheme="minorHAnsi"/>
        </w:rPr>
        <w:t xml:space="preserve"> </w:t>
      </w:r>
    </w:p>
    <w:p w14:paraId="1040BDAB" w14:textId="77777777" w:rsidR="00A95BA2" w:rsidRPr="0062450C" w:rsidRDefault="00A95BA2" w:rsidP="0062450C">
      <w:pPr>
        <w:pStyle w:val="Prrafodelista"/>
        <w:numPr>
          <w:ilvl w:val="0"/>
          <w:numId w:val="11"/>
        </w:numPr>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Beharrezkoa da enplegu publikoa eskuratzeko berdintasun-, merezimendu- eta gaitasun-printzipioak erabat errespetatzen direla bermatzen duten hautaketa-prozesuak egitea, eta lan-arloko legerian aurreikusitakoak ez du murriztu behar enplegu publikoa eskuratzeko aukera prozedura horietan.</w:t>
      </w:r>
      <w:r>
        <w:rPr>
          <w:color w:val="000000" w:themeColor="text1"/>
          <w:sz w:val="22"/>
          <w:rFonts w:asciiTheme="minorHAnsi" w:hAnsiTheme="minorHAnsi"/>
        </w:rPr>
        <w:t xml:space="preserve"> </w:t>
      </w:r>
    </w:p>
    <w:p w14:paraId="3A3DC590" w14:textId="77777777" w:rsidR="00A95BA2" w:rsidRPr="0062450C" w:rsidRDefault="00A95BA2" w:rsidP="0062450C">
      <w:pPr>
        <w:pStyle w:val="Prrafodelista"/>
        <w:spacing w:after="120" w:line="276" w:lineRule="auto"/>
        <w:ind w:left="1428"/>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Aipamen horrekin agerian gelditzen da errelebolariari langabezia-egoeran (edo iraupen jakineko kontratazioan) egotea eskatzeak zekarren problematika; izan ere, murrizketa hori egikaritzeak enplegu publikoa eskuratzeko konstituzio-printzipioak haustea eragin lezake.</w:t>
      </w:r>
      <w:r>
        <w:rPr>
          <w:color w:val="000000" w:themeColor="text1"/>
          <w:sz w:val="22"/>
          <w:rFonts w:asciiTheme="minorHAnsi" w:hAnsiTheme="minorHAnsi"/>
        </w:rPr>
        <w:t xml:space="preserve"> </w:t>
      </w:r>
    </w:p>
    <w:p w14:paraId="6ED10930" w14:textId="77777777" w:rsidR="00A95BA2" w:rsidRPr="0062450C" w:rsidRDefault="00A95BA2" w:rsidP="0062450C">
      <w:pPr>
        <w:pStyle w:val="Prrafodelista"/>
        <w:numPr>
          <w:ilvl w:val="0"/>
          <w:numId w:val="11"/>
        </w:numPr>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2025erako birjarpen-tasa espezifiko baterako baimena eskatzeko derrigortasuna, lanpostua enplegu eskaintza publiko batean sartu ahal izateko eta, hala, errelebolaria kontratatu ahal izateko; horrek edozein zalantza argitzen du administrazio publikoetako lanpostuak behin betiko betetzeari dagokionez aurrekontuetan agertzen ahal diren mugei buruz.</w:t>
      </w:r>
      <w:r>
        <w:rPr>
          <w:color w:val="000000" w:themeColor="text1"/>
          <w:sz w:val="22"/>
          <w:rFonts w:asciiTheme="minorHAnsi" w:hAnsiTheme="minorHAnsi"/>
        </w:rPr>
        <w:t xml:space="preserve"> </w:t>
      </w:r>
    </w:p>
    <w:p w14:paraId="7E411AD7" w14:textId="4D231606" w:rsidR="00A95BA2" w:rsidRPr="0062450C" w:rsidRDefault="00A95BA2" w:rsidP="0062450C">
      <w:pPr>
        <w:spacing w:after="120"/>
        <w:ind w:left="708"/>
        <w:jc w:val="both"/>
        <w:rPr>
          <w:color w:val="000000" w:themeColor="text1"/>
          <w:rFonts w:cstheme="minorHAnsi"/>
        </w:rPr>
      </w:pPr>
      <w:r>
        <w:rPr>
          <w:color w:val="000000" w:themeColor="text1"/>
        </w:rPr>
        <w:t xml:space="preserve">Aurrekoa gorabehera, Gizarte Segurantzako Institutu Nazionalak 2025eko uztailaren 21eko 14/2025 Kudeaketa Irizpidea eman behar izan zuen, zeinak 10/2025 Irizpidea errepikatzen baitu besteak beste, “</w:t>
      </w:r>
      <w:r>
        <w:rPr>
          <w:color w:val="000000" w:themeColor="text1"/>
          <w:i/>
          <w:iCs/>
        </w:rPr>
        <w:t xml:space="preserve">ebazpen hori osatzeko</w:t>
      </w:r>
      <w:r>
        <w:rPr>
          <w:color w:val="000000" w:themeColor="text1"/>
        </w:rPr>
        <w:t xml:space="preserve"> —Funtzio Publikoko Estatu Idazkaritzak 2025eko martxoaren 28an emaniko Ebazpenari erreferentzia eginik— </w:t>
      </w:r>
      <w:r>
        <w:rPr>
          <w:color w:val="000000" w:themeColor="text1"/>
          <w:i/>
          <w:iCs/>
        </w:rPr>
        <w:t xml:space="preserve">eta arau-aldaketaren ondotik sortzen ahal diren auziak argitzeko...</w:t>
      </w:r>
      <w:r>
        <w:rPr>
          <w:color w:val="000000" w:themeColor="text1"/>
        </w:rPr>
        <w:t xml:space="preserve">”.</w:t>
      </w:r>
    </w:p>
    <w:p w14:paraId="22AFAA89" w14:textId="77777777" w:rsidR="00A95BA2" w:rsidRPr="0062450C" w:rsidRDefault="00A95BA2" w:rsidP="0062450C">
      <w:pPr>
        <w:spacing w:after="120"/>
        <w:ind w:left="708"/>
        <w:jc w:val="both"/>
        <w:rPr>
          <w:color w:val="000000" w:themeColor="text1"/>
          <w:rFonts w:cstheme="minorHAnsi"/>
        </w:rPr>
      </w:pPr>
      <w:r>
        <w:rPr>
          <w:color w:val="000000" w:themeColor="text1"/>
        </w:rPr>
        <w:t xml:space="preserve">Hemen interesatzen zaigunari dagokionez, 1. apartatuan arrazoitzen du administrazio publikoen esparruan ezinezkoa dela errelebolaria langabezian egotea, horrek kontra egiten baitie Espainiako Konstituzioaren 103.3 artikuluan enplegu publikoa eskuratzeko ezarritako printzipioei, sektore pribatuan enplegua lortzean gertatzen ez den bezala.</w:t>
      </w:r>
    </w:p>
    <w:p w14:paraId="482E0A22" w14:textId="77777777" w:rsidR="00A95BA2" w:rsidRPr="0062450C" w:rsidRDefault="00A95BA2" w:rsidP="0062450C">
      <w:pPr>
        <w:spacing w:after="120"/>
        <w:ind w:left="708"/>
        <w:jc w:val="both"/>
        <w:rPr>
          <w:color w:val="000000" w:themeColor="text1"/>
          <w:rFonts w:cstheme="minorHAnsi"/>
        </w:rPr>
      </w:pPr>
      <w:r>
        <w:rPr>
          <w:color w:val="000000" w:themeColor="text1"/>
        </w:rPr>
        <w:t xml:space="preserve">Azaldutakoa kontuan izanik, agerikoa da administrazio publikoetako erretiro partzialaren eta errelebo-kontratuaren erregulazio berria:</w:t>
      </w:r>
    </w:p>
    <w:p w14:paraId="29479551" w14:textId="77777777" w:rsidR="00A95BA2" w:rsidRPr="0062450C" w:rsidRDefault="00A95BA2" w:rsidP="0062450C">
      <w:pPr>
        <w:pStyle w:val="Prrafodelista"/>
        <w:numPr>
          <w:ilvl w:val="0"/>
          <w:numId w:val="12"/>
        </w:numPr>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11/2024 Errege Lege Dekretuaren bidez onetsi zela, eta zenbait berritasunak txertatu zituela, hala nola errelebolaria langabezian egotea, eta horrek zalantzak sortu zituela administrazio publikoetako langile lan-kontratudunetan aplikatzeari buruz.</w:t>
      </w:r>
    </w:p>
    <w:p w14:paraId="3A380B89" w14:textId="77777777" w:rsidR="00A95BA2" w:rsidRPr="0062450C" w:rsidRDefault="00A95BA2" w:rsidP="0062450C">
      <w:pPr>
        <w:pStyle w:val="Prrafodelista"/>
        <w:numPr>
          <w:ilvl w:val="0"/>
          <w:numId w:val="12"/>
        </w:numPr>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2025eko apirilaren 1ean hartu zuela indarra.</w:t>
      </w:r>
    </w:p>
    <w:p w14:paraId="131F48B6" w14:textId="77777777" w:rsidR="00A95BA2" w:rsidRPr="0062450C" w:rsidRDefault="00A95BA2" w:rsidP="0062450C">
      <w:pPr>
        <w:pStyle w:val="Prrafodelista"/>
        <w:numPr>
          <w:ilvl w:val="0"/>
          <w:numId w:val="12"/>
        </w:numPr>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Ukituriko organismo publikoek konpondu behar izan zituztela administrazio publikoetako erretiro partzialaren eta errelebo-kontratuaren espedienteak izapidetzeari buruz sortutako zalantzak, hala nola Funtzio Publikoko Estatu Idazkaritzaren 2025eko martxoaren 28ko Ebazpenak eta Gizarte Segurantzako Institutu Nazionalak onetsitako 2025eko 10. eta 14. irizpideek. Horien arabera:</w:t>
      </w:r>
      <w:r>
        <w:rPr>
          <w:color w:val="000000" w:themeColor="text1"/>
          <w:sz w:val="22"/>
          <w:rFonts w:asciiTheme="minorHAnsi" w:hAnsiTheme="minorHAnsi"/>
        </w:rPr>
        <w:t xml:space="preserve"> </w:t>
      </w:r>
    </w:p>
    <w:p w14:paraId="32351B9A"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p>
    <w:p w14:paraId="3A70A03D" w14:textId="77777777" w:rsidR="00A95BA2" w:rsidRPr="0062450C" w:rsidRDefault="00A95BA2" w:rsidP="0062450C">
      <w:pPr>
        <w:pStyle w:val="Prrafodelista"/>
        <w:spacing w:after="120" w:line="276" w:lineRule="auto"/>
        <w:ind w:left="1428"/>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Zehazten da administrazio publikoetan ez dela aplikatzen ahal errelebolaria langabezian egotearen baldintza, eta merezimendu-, gaitasun- eta berdintasun-printzipioetan oinarritutako hautaketa-prozesuak egitea eskatzen da.</w:t>
      </w:r>
    </w:p>
    <w:p w14:paraId="0DC00DF8" w14:textId="77777777" w:rsidR="00A95BA2" w:rsidRPr="0062450C" w:rsidRDefault="00A95BA2" w:rsidP="0062450C">
      <w:pPr>
        <w:pStyle w:val="Prrafodelista"/>
        <w:spacing w:after="120" w:line="276" w:lineRule="auto"/>
        <w:ind w:left="1428"/>
        <w:jc w:val="both"/>
        <w:rPr>
          <w:rFonts w:asciiTheme="minorHAnsi" w:hAnsiTheme="minorHAnsi" w:cstheme="minorHAnsi"/>
          <w:color w:val="000000" w:themeColor="text1"/>
          <w:sz w:val="22"/>
          <w:szCs w:val="22"/>
          <w:lang w:val="es-ES_tradnl"/>
        </w:rPr>
      </w:pPr>
    </w:p>
    <w:p w14:paraId="1BE4935A" w14:textId="77777777" w:rsidR="00A95BA2" w:rsidRPr="0062450C" w:rsidRDefault="00A95BA2" w:rsidP="0062450C">
      <w:pPr>
        <w:pStyle w:val="Prrafodelista"/>
        <w:numPr>
          <w:ilvl w:val="0"/>
          <w:numId w:val="9"/>
        </w:numPr>
        <w:spacing w:after="120" w:line="276" w:lineRule="auto"/>
        <w:jc w:val="both"/>
        <w:rPr>
          <w:b/>
          <w:color w:val="000000" w:themeColor="text1"/>
          <w:sz w:val="22"/>
          <w:szCs w:val="22"/>
          <w:rFonts w:asciiTheme="minorHAnsi" w:hAnsiTheme="minorHAnsi" w:cstheme="minorHAnsi"/>
        </w:rPr>
      </w:pPr>
      <w:r>
        <w:rPr>
          <w:b/>
          <w:color w:val="000000" w:themeColor="text1"/>
          <w:sz w:val="22"/>
          <w:rFonts w:asciiTheme="minorHAnsi" w:hAnsiTheme="minorHAnsi"/>
        </w:rPr>
        <w:t xml:space="preserve">Nafarroako toki-entitateen zerbitzura diharduten langileen arloko eskumenak: erretiro partziala eta errelebo-kontratua.</w:t>
      </w:r>
    </w:p>
    <w:p w14:paraId="2A92C636" w14:textId="77777777"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Nafarroako Gobernuak ditu toki-administrazioaren alorreko eskumenak, Nafarroako Foru Eraentza Berrezarri eta Hobetzeari buruzko Lege Organikoak, Toki Administrazioari buruzko Foru Legeak eta arau bereziek (adibidez, lurralde-antolamenduari buruzko legeriak) aitortzen dutenez.</w:t>
      </w:r>
      <w:r>
        <w:rPr>
          <w:color w:val="000000" w:themeColor="text1"/>
          <w:sz w:val="22"/>
          <w:rFonts w:asciiTheme="minorHAnsi" w:hAnsiTheme="minorHAnsi"/>
        </w:rPr>
        <w:t xml:space="preserve"> </w:t>
      </w:r>
      <w:r>
        <w:rPr>
          <w:color w:val="000000" w:themeColor="text1"/>
          <w:sz w:val="22"/>
          <w:rFonts w:asciiTheme="minorHAnsi" w:hAnsiTheme="minorHAnsi"/>
        </w:rPr>
        <w:t xml:space="preserve">Eskumen horiek antolaketa-erregelamenduetan zehazten dira (egiturari buruzko foru-dekretuak).</w:t>
      </w:r>
    </w:p>
    <w:p w14:paraId="0CC3CD08" w14:textId="77777777"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Nafarroako toki-entitateetako langileei dagokienez, Lurralde Kohesiorako Departamentuaren barneko Toki Administrazioaren eta Despopulazioaren Zuzendaritza Nagusiak ez du inolako eskumen erabakitzailerik Nafarroako toki-entitateetako langileen alorrean, aipatutako legeriatik eta Departamentuaren Egituraren Foru Dekretutik ondorioztatzen den bezala, baina bada salbuespen bat: foru-gaikuntza zehaztea eta ematea hala eskatzen duten lanpostuei (Idazkaritza eta/edo Kontu-hartzailetza), haiekin lankidetzan aritzea aholkulari gisa edo toki-entitateen jarduerak kontrolatzea, jarduera horiek Zuzenbidearen aurkakoak direnean eta, gainera, berezkoak ez dituzten eskumenei kalte edo oztopo egiten zaienean.</w:t>
      </w:r>
    </w:p>
    <w:p w14:paraId="04DA15DE" w14:textId="77777777"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Hori horrela izanik, Espainiako Konstituzioaren arabera —hura baita toki-autonomiaren printzipioa finkatzen duen gure Ordenamendu Juridikoaren Arau Gorena— eta kontuan harturik Toki Araubidearen Oinarriak arautzen dituen Legeak toki-entitateei esleitutako eskumenak (haietara jo behar dugu Nafarroako Foru Eraentza Berrezarri eta Hobetzeari buruzko Lege Organikoaren eta Toki Administrazioari buruzko Foru Legearen arabera), toki-entitateek beraiek kudeatu behar dituzte beren giza baliabideak, ematen zaien autoantolaketa-ahalaren adierazpen gisa.</w:t>
      </w:r>
      <w:r>
        <w:rPr>
          <w:color w:val="000000" w:themeColor="text1"/>
          <w:sz w:val="22"/>
          <w:rFonts w:asciiTheme="minorHAnsi" w:hAnsiTheme="minorHAnsi"/>
        </w:rPr>
        <w:t xml:space="preserve"> </w:t>
      </w:r>
    </w:p>
    <w:p w14:paraId="47000CF0" w14:textId="77777777"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Ondorioz, erretiroari buruzko edozein motatako tokiko langile lan-kontratudunei buruzko udal-espedienteak ez dagozkio Lurralde Kohesiorako Departamentuari (Toki Administrazioaren eta Despopulazioaren Zuzendaritza Nagusia barne), eta ez dagozkio, orobat, Nafarroako Gobernuaren oraingo, aurreko eta etorkizuneko beste departamentu batzuei.</w:t>
      </w:r>
      <w:r>
        <w:rPr>
          <w:color w:val="000000" w:themeColor="text1"/>
          <w:sz w:val="22"/>
          <w:rFonts w:asciiTheme="minorHAnsi" w:hAnsiTheme="minorHAnsi"/>
        </w:rPr>
        <w:t xml:space="preserve"> </w:t>
      </w:r>
    </w:p>
    <w:p w14:paraId="7761AF74" w14:textId="77777777"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Hori horrela, Nafarroako edozein udaletako organo eta zerbitzuek dute eskumena beren langile lan-kontratudunek eskatzen ahal dituzten erretiro partzialak tramitatzeko eta ebazteko, baita errelebo-kontratuari loturikoetarako ere.</w:t>
      </w:r>
      <w:r>
        <w:rPr>
          <w:color w:val="000000" w:themeColor="text1"/>
          <w:sz w:val="22"/>
          <w:rFonts w:asciiTheme="minorHAnsi" w:hAnsiTheme="minorHAnsi"/>
        </w:rPr>
        <w:t xml:space="preserve"> </w:t>
      </w:r>
      <w:r>
        <w:rPr>
          <w:color w:val="000000" w:themeColor="text1"/>
          <w:sz w:val="22"/>
          <w:rFonts w:asciiTheme="minorHAnsi" w:hAnsiTheme="minorHAnsi"/>
        </w:rPr>
        <w:t xml:space="preserve">Eta Zuzenbidearen arabera egin beharko dute.</w:t>
      </w:r>
    </w:p>
    <w:p w14:paraId="5FF460FA" w14:textId="77777777" w:rsidR="00A95BA2" w:rsidRPr="0062450C" w:rsidRDefault="00A95BA2" w:rsidP="0062450C">
      <w:pPr>
        <w:pStyle w:val="Prrafodelista"/>
        <w:numPr>
          <w:ilvl w:val="0"/>
          <w:numId w:val="9"/>
        </w:numPr>
        <w:spacing w:after="120" w:line="276" w:lineRule="auto"/>
        <w:jc w:val="both"/>
        <w:rPr>
          <w:b/>
          <w:color w:val="000000" w:themeColor="text1"/>
          <w:sz w:val="22"/>
          <w:szCs w:val="22"/>
          <w:rFonts w:asciiTheme="minorHAnsi" w:hAnsiTheme="minorHAnsi" w:cstheme="minorHAnsi"/>
        </w:rPr>
      </w:pPr>
      <w:r>
        <w:rPr>
          <w:b/>
          <w:color w:val="000000" w:themeColor="text1"/>
          <w:sz w:val="22"/>
          <w:rFonts w:asciiTheme="minorHAnsi" w:hAnsiTheme="minorHAnsi"/>
        </w:rPr>
        <w:t xml:space="preserve">Lurralde Kohesiorako Departamentuaren barneko Toki Administrazioko Zuzendaritza Nagusiaren jarduketak Nafarroako toki-entitateen zerbitzura diharduten langile lan-kontratudunen erretiro partzialaren arloan.</w:t>
      </w:r>
      <w:r>
        <w:rPr>
          <w:b/>
          <w:color w:val="000000" w:themeColor="text1"/>
          <w:sz w:val="22"/>
          <w:rFonts w:asciiTheme="minorHAnsi" w:hAnsiTheme="minorHAnsi"/>
        </w:rPr>
        <w:t xml:space="preserve">  </w:t>
      </w:r>
    </w:p>
    <w:p w14:paraId="57D2C0A2" w14:textId="77777777"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Toki Administrazioaren eta Despopulazioaren Zuzendaritza Nagusiaren zerbitzuek ez dute eman horri buruzko irizpenik, toki-entitate partikularren batek eskatutako aholkularitza juridikoaren ondorioz, eta ez dute argitaratu eta/edo bidali jarraibiderik Nafarroako toki-entitateen zerbitzura diharduten langile lan kontratudunen erretiro partzialak tramitatzeari eta kudeatzeari buruz.</w:t>
      </w:r>
    </w:p>
    <w:p w14:paraId="46B3B6F0" w14:textId="25485E09"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Toki Administrazioaren eta Despopulazioaren Zuzendaritza Nagusiaren zerbitzuek toki-entitate batzuek egiten dituzten kontsultak baino ez dituzte aztertu (hamabi kontsulta inguru, kopuru txikia beste gai batzuekin alderatuta), alkatetzaren edo idazkaritzaren bidez.</w:t>
      </w:r>
      <w:r>
        <w:rPr>
          <w:color w:val="000000" w:themeColor="text1"/>
          <w:sz w:val="22"/>
          <w:rFonts w:asciiTheme="minorHAnsi" w:hAnsiTheme="minorHAnsi"/>
        </w:rPr>
        <w:t xml:space="preserve"> </w:t>
      </w:r>
    </w:p>
    <w:p w14:paraId="360568AE" w14:textId="77777777"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Kontsulta-bide hori informala da, eta, logikoa denez, entitateak informazioa eta hausnarketak trukatzean ematen dituen datuetara mugatzen da.</w:t>
      </w:r>
    </w:p>
    <w:p w14:paraId="3ED20C1F" w14:textId="77777777"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Inork ez du uzten alde batera, bide horretatik kontsultak jasotzen hasi zirenetik —2025eko martxoan hasi eta eta azkenekoak jaso arte—, arau-esparrua aldatu egin dela 2024ko abenduaz geroztik, neurri berriak onetsi ondotik, 2025eko apirilean indarra hartu ondotik eta administrazio publikoen esparruan aplikagarritasuna argitzeko benetan eskudunak diren entitate eta organismoek 2025eko uztailera arte hartu behar izan dituzten ebazpen eta irizpideen ondotik.</w:t>
      </w:r>
    </w:p>
    <w:p w14:paraId="609AA24F" w14:textId="3CA5DC1B"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Horrek esan nahi du emandako aholkularitza udalek edo berezko langileak dituzten beste toki-entitate batzuek (esate baterako, mankomunitateek) planteatutako zalantzak argitzera mugatu dela, betiere kontuan izanik kontsulta bera egindako egunean aplikatu beharreko esparrua edo gerora izan diren interpretazio-berrikuntzei buruzko informazioa.</w:t>
      </w:r>
      <w:r>
        <w:rPr>
          <w:color w:val="000000" w:themeColor="text1"/>
          <w:sz w:val="22"/>
          <w:rFonts w:asciiTheme="minorHAnsi" w:hAnsiTheme="minorHAnsi"/>
        </w:rPr>
        <w:t xml:space="preserve"> </w:t>
      </w:r>
      <w:r>
        <w:rPr>
          <w:color w:val="000000" w:themeColor="text1"/>
          <w:sz w:val="22"/>
          <w:rFonts w:asciiTheme="minorHAnsi" w:hAnsiTheme="minorHAnsi"/>
        </w:rPr>
        <w:t xml:space="preserve">Ez da gauza bera udal batek 2025eko apirilean planteatutako gai bati emaniko erantzuna edo 2025eko irailean planteatutako beste bati emandakoa.</w:t>
      </w:r>
      <w:r>
        <w:rPr>
          <w:color w:val="000000" w:themeColor="text1"/>
          <w:sz w:val="22"/>
          <w:rFonts w:asciiTheme="minorHAnsi" w:hAnsiTheme="minorHAnsi"/>
        </w:rPr>
        <w:t xml:space="preserve"> </w:t>
      </w:r>
    </w:p>
    <w:p w14:paraId="009286E9" w14:textId="42266AAE"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Aholkularitzarekin batera, xede horretarako behar zen dokumentazio guztia trukatu da, hala nola zuzenbide publikoko profesionalek sinatutako azterketak —sareko zenbait plataformatan eskuratzen ahal direnak—, Funtzio Publikoaren Estatu Idazkaritzaren Ebazpena eta Gizarte Segurantzako Institutu Nazionalaren irizpideak bidaltzea, baita organo judizialek emandako epaiak ere, erregulazioaren berritasunaz eta horrek iturri horretara joz arazoak konpontzeko izaten ahal duen eragin apalaz harago.</w:t>
      </w:r>
      <w:r>
        <w:rPr>
          <w:color w:val="000000" w:themeColor="text1"/>
          <w:sz w:val="22"/>
          <w:rFonts w:asciiTheme="minorHAnsi" w:hAnsiTheme="minorHAnsi"/>
        </w:rPr>
        <w:t xml:space="preserve"> </w:t>
      </w:r>
    </w:p>
    <w:p w14:paraId="24BFEA79" w14:textId="4601BC6E" w:rsidR="00A95BA2" w:rsidRPr="0062450C" w:rsidRDefault="00A95BA2" w:rsidP="0062450C">
      <w:pPr>
        <w:pStyle w:val="Prrafodelista"/>
        <w:spacing w:after="120" w:line="276" w:lineRule="auto"/>
        <w:ind w:left="1080"/>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Beraz, Lurralde Kohesiorako Departamentuaren Toki Administrazioaren eta Despopulazioaren Zuzendaritza Nagusiak gauza bakarra egin du: erretiro partziala eta errelebo-kontratua emateko eskatzen ahal diren legezko baldintzak eta izapideak azaldu kontsulta egin dioten toki-entitateei.</w:t>
      </w:r>
    </w:p>
    <w:p w14:paraId="7192F79D" w14:textId="77777777"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p>
    <w:p w14:paraId="2E322774" w14:textId="7F2B0532" w:rsidR="00A95BA2" w:rsidRPr="0062450C" w:rsidRDefault="00A95BA2" w:rsidP="0062450C">
      <w:pPr>
        <w:spacing w:after="120"/>
        <w:jc w:val="both"/>
        <w:rPr>
          <w:b/>
          <w:color w:val="000000" w:themeColor="text1"/>
          <w:u w:val="single"/>
          <w:rFonts w:cstheme="minorHAnsi"/>
        </w:rPr>
      </w:pPr>
      <w:r>
        <w:rPr>
          <w:b/>
          <w:color w:val="000000" w:themeColor="text1"/>
          <w:u w:val="single"/>
        </w:rPr>
        <w:t xml:space="preserve">II.- Planteatutako galdera bakoitzaren erantzuna:</w:t>
      </w:r>
      <w:r>
        <w:rPr>
          <w:b/>
          <w:color w:val="000000" w:themeColor="text1"/>
          <w:u w:val="single"/>
        </w:rPr>
        <w:t xml:space="preserve">  </w:t>
      </w:r>
    </w:p>
    <w:p w14:paraId="536127CA" w14:textId="51A89202" w:rsidR="00A95BA2" w:rsidRPr="0062450C" w:rsidRDefault="00A95BA2" w:rsidP="0062450C">
      <w:pPr>
        <w:pStyle w:val="Prrafodelista"/>
        <w:numPr>
          <w:ilvl w:val="0"/>
          <w:numId w:val="13"/>
        </w:numPr>
        <w:spacing w:after="120" w:line="276" w:lineRule="auto"/>
        <w:jc w:val="both"/>
        <w:rPr>
          <w:b/>
          <w:color w:val="000000" w:themeColor="text1"/>
          <w:sz w:val="22"/>
          <w:szCs w:val="22"/>
          <w:rFonts w:asciiTheme="minorHAnsi" w:hAnsiTheme="minorHAnsi" w:cstheme="minorHAnsi"/>
        </w:rPr>
      </w:pPr>
      <w:r>
        <w:rPr>
          <w:b/>
          <w:color w:val="000000" w:themeColor="text1"/>
          <w:sz w:val="22"/>
          <w:rFonts w:asciiTheme="minorHAnsi" w:hAnsiTheme="minorHAnsi"/>
        </w:rPr>
        <w:t xml:space="preserve">Toki Administrazioko Departamentuak ba al daki zenbat pertsona dauden paralisi-egoera horren eraginpean?</w:t>
      </w:r>
    </w:p>
    <w:p w14:paraId="2E2C532F" w14:textId="4AF63104"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Ez. Toki Administrazioaren eta Despopulazioaren Zuzendaritza Nagusiak ez du Nafarroako edozein toki-entitatetan tramitatu ahal izan diren edo tramitatzen ari diren erretiro partzialeko espedienteen datuen berri, Zuzendaritza Nagusi honek eta Nafarroako Gobernua egituratzen duen zernahi departamentuk ez baitute inolako eskumenik arlo horretan.</w:t>
      </w:r>
      <w:r>
        <w:rPr>
          <w:color w:val="000000" w:themeColor="text1"/>
          <w:sz w:val="22"/>
          <w:rFonts w:asciiTheme="minorHAnsi" w:hAnsiTheme="minorHAnsi"/>
        </w:rPr>
        <w:t xml:space="preserve"> </w:t>
      </w:r>
      <w:r>
        <w:rPr>
          <w:color w:val="000000" w:themeColor="text1"/>
          <w:sz w:val="22"/>
          <w:rFonts w:asciiTheme="minorHAnsi" w:hAnsiTheme="minorHAnsi"/>
        </w:rPr>
        <w:t xml:space="preserve">Eta eskumen falta horren arrazoia da toki-entitateei dagokiela (udalei, besteak beste), erakunde horien zerbitzura diharduten langileak baitira.</w:t>
      </w:r>
    </w:p>
    <w:p w14:paraId="4CF6DA70" w14:textId="77777777" w:rsidR="00A95BA2" w:rsidRPr="0062450C" w:rsidRDefault="000D46CE"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Nafarroako Foru Komunitateko Administrazioko langileei dagokienez, berebat, ez dugu datu horren berri, departamentu honek ez baitu eskumenik gai horretan; izan ere, Gobernu honetako beste departamentu batzuei dagokie.</w:t>
      </w:r>
      <w:r>
        <w:rPr>
          <w:color w:val="000000" w:themeColor="text1"/>
          <w:sz w:val="22"/>
          <w:rFonts w:asciiTheme="minorHAnsi" w:hAnsiTheme="minorHAnsi"/>
        </w:rPr>
        <w:t xml:space="preserve">  </w:t>
      </w:r>
    </w:p>
    <w:p w14:paraId="2D919245" w14:textId="7B41584A" w:rsidR="00A95BA2" w:rsidRPr="0062450C" w:rsidRDefault="00A95BA2" w:rsidP="0062450C">
      <w:pPr>
        <w:pStyle w:val="Prrafodelista"/>
        <w:numPr>
          <w:ilvl w:val="0"/>
          <w:numId w:val="13"/>
        </w:numPr>
        <w:spacing w:after="120" w:line="276" w:lineRule="auto"/>
        <w:jc w:val="both"/>
        <w:rPr>
          <w:b/>
          <w:color w:val="000000" w:themeColor="text1"/>
          <w:sz w:val="22"/>
          <w:szCs w:val="22"/>
          <w:rFonts w:asciiTheme="minorHAnsi" w:hAnsiTheme="minorHAnsi" w:cstheme="minorHAnsi"/>
        </w:rPr>
      </w:pPr>
      <w:r>
        <w:rPr>
          <w:b/>
          <w:color w:val="000000" w:themeColor="text1"/>
          <w:sz w:val="22"/>
          <w:rFonts w:asciiTheme="minorHAnsi" w:hAnsiTheme="minorHAnsi"/>
        </w:rPr>
        <w:t xml:space="preserve">Zenbat dira Nafarroako udaletan, eta zenbat Nafarroako Gobernuan bertan, araudi berriaren arabera erretiro partziala eskatu dutenak?</w:t>
      </w:r>
    </w:p>
    <w:p w14:paraId="0DAA17CF"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Sail honek ez du datu horien berri.</w:t>
      </w:r>
      <w:r>
        <w:rPr>
          <w:color w:val="000000" w:themeColor="text1"/>
          <w:sz w:val="22"/>
          <w:rFonts w:asciiTheme="minorHAnsi" w:hAnsiTheme="minorHAnsi"/>
        </w:rPr>
        <w:t xml:space="preserve"> </w:t>
      </w:r>
    </w:p>
    <w:p w14:paraId="6C58B71B"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Toki-entitateetako langileek egin dituzten eskaerei dagokienez, lehen adierazitako arrazoiengatik, ez dugu eskumenik gai horretan esku hartzeko.</w:t>
      </w:r>
      <w:r>
        <w:rPr>
          <w:color w:val="000000" w:themeColor="text1"/>
          <w:sz w:val="22"/>
          <w:rFonts w:asciiTheme="minorHAnsi" w:hAnsiTheme="minorHAnsi"/>
        </w:rPr>
        <w:t xml:space="preserve"> </w:t>
      </w:r>
    </w:p>
    <w:p w14:paraId="0F792A7B"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Nafarroako Foru Komunitateko Administrazioko langileei dagokienez, berebat, ez dugu datu horren berri, departamentu honek ez baitu eskumenik gai horretan; izan ere, Gobernu honetako beste departamentu batzuei dagokie.</w:t>
      </w:r>
      <w:r>
        <w:rPr>
          <w:color w:val="000000" w:themeColor="text1"/>
          <w:sz w:val="22"/>
          <w:rFonts w:asciiTheme="minorHAnsi" w:hAnsiTheme="minorHAnsi"/>
        </w:rPr>
        <w:t xml:space="preserve"> </w:t>
      </w:r>
    </w:p>
    <w:p w14:paraId="064A16C9" w14:textId="2F251755" w:rsidR="00A95BA2" w:rsidRPr="0062450C" w:rsidRDefault="00A95BA2" w:rsidP="0062450C">
      <w:pPr>
        <w:pStyle w:val="Prrafodelista"/>
        <w:numPr>
          <w:ilvl w:val="0"/>
          <w:numId w:val="13"/>
        </w:numPr>
        <w:spacing w:after="120" w:line="276" w:lineRule="auto"/>
        <w:jc w:val="both"/>
        <w:rPr>
          <w:b/>
          <w:color w:val="000000" w:themeColor="text1"/>
          <w:sz w:val="22"/>
          <w:szCs w:val="22"/>
          <w:rFonts w:asciiTheme="minorHAnsi" w:hAnsiTheme="minorHAnsi" w:cstheme="minorHAnsi"/>
        </w:rPr>
      </w:pPr>
      <w:r>
        <w:rPr>
          <w:b/>
          <w:color w:val="000000" w:themeColor="text1"/>
          <w:sz w:val="22"/>
          <w:rFonts w:asciiTheme="minorHAnsi" w:hAnsiTheme="minorHAnsi"/>
        </w:rPr>
        <w:t xml:space="preserve">Funtzio Publikoko Estatu Idazkaritzaren instrukzioa eta Gizarte Segurantzako Institutu Nazionalaren kudeaketa-irizpidea ikusita, zein epetan aurreikusten du Toki Administrazioko Departamentuak blokeo-egoera bideratzea, aipatutako ebazpena eta irizpidea betez?</w:t>
      </w:r>
    </w:p>
    <w:p w14:paraId="5EB1276C"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Beste behin ere nabarmendu behar da Toki Administrazioaren arloan eskumena duen departamentu honek ez duela blokeatu toki-eremuan erretiro partzialen tramiterik; izan ere, orain arte azaldutako argudioak errepikatu beharrik gabe, ez du inolako eskumenik alor horretan.</w:t>
      </w:r>
    </w:p>
    <w:p w14:paraId="0335C7A7"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Ildo horretan jarduera bakarra egin da: Aholkularitza Juridikoko Zerbitzuak erantzuna eman die eginiko kontsultei.</w:t>
      </w:r>
      <w:r>
        <w:rPr>
          <w:color w:val="000000" w:themeColor="text1"/>
          <w:sz w:val="22"/>
          <w:rFonts w:asciiTheme="minorHAnsi" w:hAnsiTheme="minorHAnsi"/>
        </w:rPr>
        <w:t xml:space="preserve"> </w:t>
      </w:r>
    </w:p>
    <w:p w14:paraId="418A6502"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Egoera hori ikusirik, Nafarroako toki-entitateek —udalak ere barnean direla— hartu behar izan dituzte beren langileen erretiro partzialaren eskaerak tramitatzeari eta ebazteari buruzko erabakiak.</w:t>
      </w:r>
    </w:p>
    <w:p w14:paraId="5D7D41BB"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Toki Administrazioaren eta Despopulazioaren Zuzendaritza Nagusiak bide informaletik erantzun die kontsultei une oro, eta entitateak kontsulta planteatu duen unean (data) indarrean den araudi- eta interpretazio-esparrua kontuan hartuta eman dira erantzun horiek.</w:t>
      </w:r>
      <w:r>
        <w:rPr>
          <w:color w:val="000000" w:themeColor="text1"/>
          <w:sz w:val="22"/>
          <w:rFonts w:asciiTheme="minorHAnsi" w:hAnsiTheme="minorHAnsi"/>
        </w:rPr>
        <w:t xml:space="preserve"> </w:t>
      </w:r>
    </w:p>
    <w:p w14:paraId="68E88FCF"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Agerikoa da hasierako zailtasunen eta zalantzen aurrean gertatu den bilakaera, horretarako eskumena duten organismoek (ministerio-organoak eta Gizarte Segurantzako Institutu Nazionala) ebazpena behar izan baitute.</w:t>
      </w:r>
    </w:p>
    <w:p w14:paraId="3F1851BC"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Hori horrela izanik, Toki Administrazioaren eta Despopulazioaren Zuzendaritza Nagusiak ez du planifikatu behar jarduketarik, eraginkorra izan baita orain arte erabilitako bidea, eta, toki-entitateei aholkularitza juridikoa emateko eremu guztietan gertatzen den bezala (langileak, funtzionamendua, antolaketa, eskumenak, kontratazio publikoa...), eskuragarri jarraitzen baitu behar duenarentzat: iritzi juridikoak kontrastatzea, araudiari buruzko informazioa edo, are gehiago, toki-entitateek gai partikular horri buruz izaten ahal dituzten zalantzak berrestea.</w:t>
      </w:r>
    </w:p>
    <w:p w14:paraId="7CFB54CC" w14:textId="4F700A67" w:rsidR="00A95BA2" w:rsidRPr="0062450C" w:rsidRDefault="00A95BA2" w:rsidP="0062450C">
      <w:pPr>
        <w:pStyle w:val="Prrafodelista"/>
        <w:numPr>
          <w:ilvl w:val="0"/>
          <w:numId w:val="13"/>
        </w:numPr>
        <w:spacing w:after="120" w:line="276" w:lineRule="auto"/>
        <w:jc w:val="both"/>
        <w:rPr>
          <w:b/>
          <w:color w:val="000000" w:themeColor="text1"/>
          <w:sz w:val="22"/>
          <w:szCs w:val="22"/>
          <w:rFonts w:asciiTheme="minorHAnsi" w:hAnsiTheme="minorHAnsi" w:cstheme="minorHAnsi"/>
        </w:rPr>
      </w:pPr>
      <w:r>
        <w:rPr>
          <w:b/>
          <w:color w:val="000000" w:themeColor="text1"/>
          <w:sz w:val="22"/>
          <w:rFonts w:asciiTheme="minorHAnsi" w:hAnsiTheme="minorHAnsi"/>
        </w:rPr>
        <w:t xml:space="preserve">Kontuan hartuta jakin dakigun moduan maila guztietako beste administrazio batzuk (...) erretiro partzialak ematen ari direla, argi dago diskriminazio negatiboa gertatzen ari dela Nafarroako administrazioetako langile lan-kontratudunentzat. Bidezkotzat jotzen da diskriminazio hori?</w:t>
      </w:r>
    </w:p>
    <w:p w14:paraId="4B06176A"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Beste behin ere, gogorarazi behar da erretiro partzialaren eskatzailea zein administrazio publikoren mende egon, hari dagokiola espediente horien gaineko eskumena.</w:t>
      </w:r>
      <w:r>
        <w:rPr>
          <w:color w:val="000000" w:themeColor="text1"/>
          <w:sz w:val="22"/>
          <w:rFonts w:asciiTheme="minorHAnsi" w:hAnsiTheme="minorHAnsi"/>
        </w:rPr>
        <w:t xml:space="preserve"> </w:t>
      </w:r>
    </w:p>
    <w:p w14:paraId="4815E46D"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Departamentu honek ez du esku hartu, ez baitu eskumenik, Nafarroako toki-entitateek hartutako ezein erabakitan edo erabaki faltatan.</w:t>
      </w:r>
      <w:r>
        <w:rPr>
          <w:color w:val="000000" w:themeColor="text1"/>
          <w:sz w:val="22"/>
          <w:rFonts w:asciiTheme="minorHAnsi" w:hAnsiTheme="minorHAnsi"/>
        </w:rPr>
        <w:t xml:space="preserve"> </w:t>
      </w:r>
    </w:p>
    <w:p w14:paraId="292FC61C" w14:textId="3402EF59" w:rsidR="00A95BA2" w:rsidRPr="0062450C" w:rsidRDefault="00A95BA2" w:rsidP="0062450C">
      <w:pPr>
        <w:pStyle w:val="Prrafodelista"/>
        <w:numPr>
          <w:ilvl w:val="0"/>
          <w:numId w:val="13"/>
        </w:numPr>
        <w:spacing w:after="120" w:line="276" w:lineRule="auto"/>
        <w:jc w:val="both"/>
        <w:rPr>
          <w:b/>
          <w:color w:val="000000" w:themeColor="text1"/>
          <w:sz w:val="22"/>
          <w:szCs w:val="22"/>
          <w:rFonts w:asciiTheme="minorHAnsi" w:hAnsiTheme="minorHAnsi" w:cstheme="minorHAnsi"/>
        </w:rPr>
      </w:pPr>
      <w:r>
        <w:rPr>
          <w:b/>
          <w:color w:val="000000" w:themeColor="text1"/>
          <w:sz w:val="22"/>
          <w:rFonts w:asciiTheme="minorHAnsi" w:hAnsiTheme="minorHAnsi"/>
        </w:rPr>
        <w:t xml:space="preserve">Hori horrela izanik, Nafarroako administrazioetako lan-kontratudun langileei kalte egiten ari zaie, eta, unea iristen denean, eta lehen aipatutako diskriminazioa ikusita, kalte-ordainak eskatzen ahalko dituzte.</w:t>
      </w:r>
      <w:r>
        <w:rPr>
          <w:b/>
          <w:color w:val="000000" w:themeColor="text1"/>
          <w:sz w:val="22"/>
          <w:rFonts w:asciiTheme="minorHAnsi" w:hAnsiTheme="minorHAnsi"/>
        </w:rPr>
        <w:t xml:space="preserve"> </w:t>
      </w:r>
      <w:r>
        <w:rPr>
          <w:b/>
          <w:color w:val="000000" w:themeColor="text1"/>
          <w:sz w:val="22"/>
          <w:rFonts w:asciiTheme="minorHAnsi" w:hAnsiTheme="minorHAnsi"/>
        </w:rPr>
        <w:t xml:space="preserve">Ebaluatu al duzue zer kostu izan dezakeen ukitutako administrazioentzat (Nafarroako Gobernua eta udalak)?</w:t>
      </w:r>
    </w:p>
    <w:p w14:paraId="4BA90E6E"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Beste behin ere, adierazi behar da ez dela ebaluatu inolako kosturik, departamentu honen eskumen-eremutik kanpoko auzia baita, eta, beraz, haren ezein erantzukizunetik kanpokoa.</w:t>
      </w:r>
      <w:r>
        <w:rPr>
          <w:color w:val="000000" w:themeColor="text1"/>
          <w:sz w:val="22"/>
          <w:rFonts w:asciiTheme="minorHAnsi" w:hAnsiTheme="minorHAnsi"/>
        </w:rPr>
        <w:t xml:space="preserve"> </w:t>
      </w:r>
    </w:p>
    <w:p w14:paraId="767B208D" w14:textId="26133C34" w:rsidR="00A95BA2" w:rsidRPr="0062450C" w:rsidRDefault="00A95BA2" w:rsidP="0062450C">
      <w:pPr>
        <w:pStyle w:val="Prrafodelista"/>
        <w:numPr>
          <w:ilvl w:val="0"/>
          <w:numId w:val="13"/>
        </w:numPr>
        <w:spacing w:after="120" w:line="276" w:lineRule="auto"/>
        <w:jc w:val="both"/>
        <w:rPr>
          <w:b/>
          <w:color w:val="000000" w:themeColor="text1"/>
          <w:sz w:val="22"/>
          <w:szCs w:val="22"/>
          <w:rFonts w:asciiTheme="minorHAnsi" w:hAnsiTheme="minorHAnsi" w:cstheme="minorHAnsi"/>
        </w:rPr>
      </w:pPr>
      <w:r>
        <w:rPr>
          <w:b/>
          <w:color w:val="000000" w:themeColor="text1"/>
          <w:sz w:val="22"/>
          <w:rFonts w:asciiTheme="minorHAnsi" w:hAnsiTheme="minorHAnsi"/>
        </w:rPr>
        <w:t xml:space="preserve">Azkenik, Nafarroako udal askok beren indarreko hitzarmen kolektiboetan jasota daukate patronalak erretiro partzialak onartzeko betebeharra duela, unean-unean indarrean dagoen araudiaren arabera.</w:t>
      </w:r>
      <w:r>
        <w:rPr>
          <w:b/>
          <w:color w:val="000000" w:themeColor="text1"/>
          <w:sz w:val="22"/>
          <w:rFonts w:asciiTheme="minorHAnsi" w:hAnsiTheme="minorHAnsi"/>
        </w:rPr>
        <w:t xml:space="preserve"> </w:t>
      </w:r>
      <w:r>
        <w:rPr>
          <w:b/>
          <w:color w:val="000000" w:themeColor="text1"/>
          <w:sz w:val="22"/>
          <w:rFonts w:asciiTheme="minorHAnsi" w:hAnsiTheme="minorHAnsi"/>
        </w:rPr>
        <w:t xml:space="preserve">Hitzarmen kolektibo bat ez betetzeak zehapenak eta ordaina emateko bestelako ebazpen judizialak ekar ditzake, lan-auzitegiek emanak.</w:t>
      </w:r>
      <w:r>
        <w:rPr>
          <w:b/>
          <w:color w:val="000000" w:themeColor="text1"/>
          <w:sz w:val="22"/>
          <w:rFonts w:asciiTheme="minorHAnsi" w:hAnsiTheme="minorHAnsi"/>
        </w:rPr>
        <w:t xml:space="preserve"> </w:t>
      </w:r>
      <w:r>
        <w:rPr>
          <w:b/>
          <w:color w:val="000000" w:themeColor="text1"/>
          <w:sz w:val="22"/>
          <w:rFonts w:asciiTheme="minorHAnsi" w:hAnsiTheme="minorHAnsi"/>
        </w:rPr>
        <w:t xml:space="preserve">Ebaluatuta al daude hitzarmen kolektiboa ez betetzearen ondorioak? Are gehiago, administrazio publikoetako langile lan-kontratudunen erretiro partziala aplikatzeari buruzkoa aplikatuta, kendu egiten bada erreleboa hartzen duena aldez aurretik langabezian egoteko eskakizuna?</w:t>
      </w:r>
    </w:p>
    <w:p w14:paraId="5170C9E7" w14:textId="77777777" w:rsidR="00A95BA2" w:rsidRPr="0062450C" w:rsidRDefault="000D46CE"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Langile lan-kontratudunen hitzarmen kolektibo horiek aipatzeak, ikusirik entitate bakoitzaren barnean adostu ondotik direla aplikatzekoak, berretsi baino ez du egiten departamentu honen eskumen falta gai horren gainean.</w:t>
      </w:r>
      <w:r>
        <w:rPr>
          <w:color w:val="000000" w:themeColor="text1"/>
          <w:sz w:val="22"/>
          <w:rFonts w:asciiTheme="minorHAnsi" w:hAnsiTheme="minorHAnsi"/>
        </w:rPr>
        <w:t xml:space="preserve"> </w:t>
      </w:r>
    </w:p>
    <w:p w14:paraId="3574DF98" w14:textId="77777777" w:rsidR="00A95BA2" w:rsidRPr="0062450C" w:rsidRDefault="00A95BA2" w:rsidP="0062450C">
      <w:pPr>
        <w:pStyle w:val="Prrafodelista"/>
        <w:spacing w:after="120" w:line="276" w:lineRule="auto"/>
        <w:jc w:val="both"/>
        <w:rPr>
          <w:color w:val="000000" w:themeColor="text1"/>
          <w:sz w:val="22"/>
          <w:szCs w:val="22"/>
          <w:rFonts w:asciiTheme="minorHAnsi" w:hAnsiTheme="minorHAnsi" w:cstheme="minorHAnsi"/>
        </w:rPr>
      </w:pPr>
      <w:r>
        <w:rPr>
          <w:color w:val="000000" w:themeColor="text1"/>
          <w:sz w:val="22"/>
          <w:rFonts w:asciiTheme="minorHAnsi" w:hAnsiTheme="minorHAnsi"/>
        </w:rPr>
        <w:t xml:space="preserve">Finean, hitzarmena sinatu duen entitatean egin eta kontsultatu beharko da hitzarmen kolektibo bat ez betetzeak —erretiro partzialaren arloan edo beste edozein arlotan— dituen ondorioen ebaluazioa.</w:t>
      </w:r>
      <w:r>
        <w:rPr>
          <w:color w:val="000000" w:themeColor="text1"/>
          <w:sz w:val="22"/>
          <w:rFonts w:asciiTheme="minorHAnsi" w:hAnsiTheme="minorHAnsi"/>
        </w:rPr>
        <w:t xml:space="preserve"> </w:t>
      </w:r>
    </w:p>
    <w:p w14:paraId="64B11515" w14:textId="77777777" w:rsidR="00751AB8" w:rsidRPr="0062450C" w:rsidRDefault="00751AB8" w:rsidP="0062450C">
      <w:pPr>
        <w:spacing w:after="120"/>
        <w:jc w:val="both"/>
        <w:rPr>
          <w:color w:val="000000" w:themeColor="text1"/>
          <w:rFonts w:cstheme="minorHAnsi"/>
        </w:rPr>
      </w:pPr>
      <w:r>
        <w:rPr>
          <w:color w:val="000000" w:themeColor="text1"/>
        </w:rPr>
        <w:t xml:space="preserve">Hori jakinarazten dut, Nafarroako Parlamentuko Erregelamenduaren 215. artikuluan xedatutakoa betez.</w:t>
      </w:r>
    </w:p>
    <w:p w14:paraId="4A2A0109" w14:textId="77777777" w:rsidR="00130061" w:rsidRPr="0062450C" w:rsidRDefault="00130061" w:rsidP="0062450C">
      <w:pPr>
        <w:spacing w:after="120"/>
        <w:jc w:val="both"/>
        <w:rPr>
          <w:color w:val="000000" w:themeColor="text1"/>
          <w:rFonts w:cstheme="minorHAnsi"/>
        </w:rPr>
      </w:pPr>
      <w:r>
        <w:rPr>
          <w:color w:val="000000" w:themeColor="text1"/>
        </w:rPr>
        <w:t xml:space="preserve">Iruñean, 2025eko abenduaren 31n</w:t>
      </w:r>
    </w:p>
    <w:p w14:paraId="1E50061A" w14:textId="03947BDB" w:rsidR="00130061" w:rsidRPr="0062450C" w:rsidRDefault="00C82037" w:rsidP="0062450C">
      <w:pPr>
        <w:spacing w:after="120"/>
        <w:jc w:val="both"/>
        <w:rPr>
          <w:color w:val="000000" w:themeColor="text1"/>
          <w:rFonts w:cstheme="minorHAnsi"/>
        </w:rPr>
      </w:pPr>
      <w:r>
        <w:rPr>
          <w:color w:val="000000" w:themeColor="text1"/>
        </w:rPr>
        <w:t xml:space="preserve">Lurralde Kohesiorako kontseilaria: Óscar Chivite Cornago</w:t>
      </w:r>
    </w:p>
    <w:sectPr w:rsidR="00130061" w:rsidRPr="0062450C" w:rsidSect="0062450C">
      <w:headerReference w:type="default" r:id="rId7"/>
      <w:headerReference w:type="first" r:id="rId8"/>
      <w:pgSz w:w="11906" w:h="16838" w:code="9"/>
      <w:pgMar w:top="1560"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2466" w14:textId="77777777" w:rsidR="00624643" w:rsidRDefault="00624643">
      <w:pPr>
        <w:spacing w:after="0" w:line="240" w:lineRule="auto"/>
      </w:pPr>
      <w:r>
        <w:separator/>
      </w:r>
    </w:p>
  </w:endnote>
  <w:endnote w:type="continuationSeparator" w:id="0">
    <w:p w14:paraId="0B8F753A" w14:textId="77777777" w:rsidR="00624643" w:rsidRDefault="0062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D25F" w14:textId="77777777" w:rsidR="00624643" w:rsidRDefault="00624643">
      <w:pPr>
        <w:spacing w:after="0" w:line="240" w:lineRule="auto"/>
      </w:pPr>
      <w:r>
        <w:separator/>
      </w:r>
    </w:p>
  </w:footnote>
  <w:footnote w:type="continuationSeparator" w:id="0">
    <w:p w14:paraId="2245887E" w14:textId="77777777" w:rsidR="00624643" w:rsidRDefault="0062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1AE9" w14:textId="252B7312" w:rsidR="00624643" w:rsidRPr="007250F0" w:rsidRDefault="00624643"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38AC" w14:textId="0122C1AC" w:rsidR="00624643" w:rsidRDefault="00624643"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2CC54751"/>
    <w:multiLevelType w:val="hybridMultilevel"/>
    <w:tmpl w:val="FF7008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50D545DD"/>
    <w:multiLevelType w:val="hybridMultilevel"/>
    <w:tmpl w:val="7220B24E"/>
    <w:lvl w:ilvl="0" w:tplc="4E8CBDB6">
      <w:start w:val="1"/>
      <w:numFmt w:val="decimal"/>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563452FD"/>
    <w:multiLevelType w:val="hybridMultilevel"/>
    <w:tmpl w:val="218C49D6"/>
    <w:lvl w:ilvl="0" w:tplc="0C0A001B">
      <w:start w:val="1"/>
      <w:numFmt w:val="lowerRoman"/>
      <w:lvlText w:val="%1."/>
      <w:lvlJc w:val="righ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1" w15:restartNumberingAfterBreak="0">
    <w:nsid w:val="675864D3"/>
    <w:multiLevelType w:val="hybridMultilevel"/>
    <w:tmpl w:val="CD3AB54A"/>
    <w:lvl w:ilvl="0" w:tplc="0C0A001B">
      <w:start w:val="1"/>
      <w:numFmt w:val="lowerRoman"/>
      <w:lvlText w:val="%1."/>
      <w:lvlJc w:val="righ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2" w15:restartNumberingAfterBreak="0">
    <w:nsid w:val="75C31506"/>
    <w:multiLevelType w:val="hybridMultilevel"/>
    <w:tmpl w:val="90E662FE"/>
    <w:lvl w:ilvl="0" w:tplc="0C0A001B">
      <w:start w:val="1"/>
      <w:numFmt w:val="lowerRoman"/>
      <w:lvlText w:val="%1."/>
      <w:lvlJc w:val="right"/>
      <w:pPr>
        <w:ind w:left="1788" w:hanging="360"/>
      </w:pPr>
    </w:lvl>
    <w:lvl w:ilvl="1" w:tplc="0C0A0019">
      <w:start w:val="1"/>
      <w:numFmt w:val="lowerLetter"/>
      <w:lvlText w:val="%2."/>
      <w:lvlJc w:val="left"/>
      <w:pPr>
        <w:ind w:left="2508" w:hanging="360"/>
      </w:pPr>
    </w:lvl>
    <w:lvl w:ilvl="2" w:tplc="0C0A001B">
      <w:start w:val="1"/>
      <w:numFmt w:val="lowerRoman"/>
      <w:lvlText w:val="%3."/>
      <w:lvlJc w:val="right"/>
      <w:pPr>
        <w:ind w:left="3228" w:hanging="180"/>
      </w:pPr>
    </w:lvl>
    <w:lvl w:ilvl="3" w:tplc="0C0A000F">
      <w:start w:val="1"/>
      <w:numFmt w:val="decimal"/>
      <w:lvlText w:val="%4."/>
      <w:lvlJc w:val="left"/>
      <w:pPr>
        <w:ind w:left="3948" w:hanging="360"/>
      </w:pPr>
    </w:lvl>
    <w:lvl w:ilvl="4" w:tplc="0C0A0019">
      <w:start w:val="1"/>
      <w:numFmt w:val="lowerLetter"/>
      <w:lvlText w:val="%5."/>
      <w:lvlJc w:val="left"/>
      <w:pPr>
        <w:ind w:left="4668" w:hanging="360"/>
      </w:pPr>
    </w:lvl>
    <w:lvl w:ilvl="5" w:tplc="0C0A001B">
      <w:start w:val="1"/>
      <w:numFmt w:val="lowerRoman"/>
      <w:lvlText w:val="%6."/>
      <w:lvlJc w:val="right"/>
      <w:pPr>
        <w:ind w:left="5388" w:hanging="180"/>
      </w:pPr>
    </w:lvl>
    <w:lvl w:ilvl="6" w:tplc="0C0A000F">
      <w:start w:val="1"/>
      <w:numFmt w:val="decimal"/>
      <w:lvlText w:val="%7."/>
      <w:lvlJc w:val="left"/>
      <w:pPr>
        <w:ind w:left="6108" w:hanging="360"/>
      </w:pPr>
    </w:lvl>
    <w:lvl w:ilvl="7" w:tplc="0C0A0019">
      <w:start w:val="1"/>
      <w:numFmt w:val="lowerLetter"/>
      <w:lvlText w:val="%8."/>
      <w:lvlJc w:val="left"/>
      <w:pPr>
        <w:ind w:left="6828" w:hanging="360"/>
      </w:pPr>
    </w:lvl>
    <w:lvl w:ilvl="8" w:tplc="0C0A001B">
      <w:start w:val="1"/>
      <w:numFmt w:val="lowerRoman"/>
      <w:lvlText w:val="%9."/>
      <w:lvlJc w:val="right"/>
      <w:pPr>
        <w:ind w:left="7548" w:hanging="180"/>
      </w:pPr>
    </w:lvl>
  </w:abstractNum>
  <w:num w:numId="1" w16cid:durableId="131336333">
    <w:abstractNumId w:val="9"/>
  </w:num>
  <w:num w:numId="2" w16cid:durableId="822238307">
    <w:abstractNumId w:val="0"/>
  </w:num>
  <w:num w:numId="3" w16cid:durableId="106629846">
    <w:abstractNumId w:val="4"/>
  </w:num>
  <w:num w:numId="4" w16cid:durableId="698160093">
    <w:abstractNumId w:val="6"/>
  </w:num>
  <w:num w:numId="5" w16cid:durableId="1302613729">
    <w:abstractNumId w:val="7"/>
  </w:num>
  <w:num w:numId="6" w16cid:durableId="2096972101">
    <w:abstractNumId w:val="2"/>
  </w:num>
  <w:num w:numId="7" w16cid:durableId="435249675">
    <w:abstractNumId w:val="3"/>
  </w:num>
  <w:num w:numId="8" w16cid:durableId="129523570">
    <w:abstractNumId w:val="1"/>
  </w:num>
  <w:num w:numId="9" w16cid:durableId="1201824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655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0988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4996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8640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A5764"/>
    <w:rsid w:val="000C3D2F"/>
    <w:rsid w:val="000C5038"/>
    <w:rsid w:val="000D46CE"/>
    <w:rsid w:val="00130061"/>
    <w:rsid w:val="0013415E"/>
    <w:rsid w:val="001978E9"/>
    <w:rsid w:val="001D131B"/>
    <w:rsid w:val="001E17AA"/>
    <w:rsid w:val="001E6F21"/>
    <w:rsid w:val="001F111C"/>
    <w:rsid w:val="001F5039"/>
    <w:rsid w:val="00241446"/>
    <w:rsid w:val="00250BC6"/>
    <w:rsid w:val="00252F45"/>
    <w:rsid w:val="00277880"/>
    <w:rsid w:val="002E55AA"/>
    <w:rsid w:val="00327101"/>
    <w:rsid w:val="0033467F"/>
    <w:rsid w:val="003908CB"/>
    <w:rsid w:val="003A2312"/>
    <w:rsid w:val="003B5DDC"/>
    <w:rsid w:val="003C1B22"/>
    <w:rsid w:val="003E2792"/>
    <w:rsid w:val="003F736B"/>
    <w:rsid w:val="00405840"/>
    <w:rsid w:val="00413A1D"/>
    <w:rsid w:val="0042146E"/>
    <w:rsid w:val="0044543B"/>
    <w:rsid w:val="00452C14"/>
    <w:rsid w:val="00484B51"/>
    <w:rsid w:val="004936DB"/>
    <w:rsid w:val="004A39D0"/>
    <w:rsid w:val="004B626A"/>
    <w:rsid w:val="005222AF"/>
    <w:rsid w:val="00571278"/>
    <w:rsid w:val="0057322D"/>
    <w:rsid w:val="00574868"/>
    <w:rsid w:val="005938E0"/>
    <w:rsid w:val="00605C2D"/>
    <w:rsid w:val="0062450C"/>
    <w:rsid w:val="00624643"/>
    <w:rsid w:val="00663272"/>
    <w:rsid w:val="00686A5F"/>
    <w:rsid w:val="006D34A8"/>
    <w:rsid w:val="006E59AA"/>
    <w:rsid w:val="0074101C"/>
    <w:rsid w:val="00751AB8"/>
    <w:rsid w:val="00762F1B"/>
    <w:rsid w:val="007A0C8E"/>
    <w:rsid w:val="007C1B35"/>
    <w:rsid w:val="007E75F5"/>
    <w:rsid w:val="00820191"/>
    <w:rsid w:val="008A7A3C"/>
    <w:rsid w:val="008D6B5F"/>
    <w:rsid w:val="009137CC"/>
    <w:rsid w:val="00917145"/>
    <w:rsid w:val="0092426B"/>
    <w:rsid w:val="009C7C36"/>
    <w:rsid w:val="009D0B41"/>
    <w:rsid w:val="009E6DE0"/>
    <w:rsid w:val="009F1954"/>
    <w:rsid w:val="00A53C30"/>
    <w:rsid w:val="00A919C9"/>
    <w:rsid w:val="00A95BA2"/>
    <w:rsid w:val="00AA6A10"/>
    <w:rsid w:val="00AC3D71"/>
    <w:rsid w:val="00AE47EF"/>
    <w:rsid w:val="00AF0AB4"/>
    <w:rsid w:val="00B0456A"/>
    <w:rsid w:val="00B1666C"/>
    <w:rsid w:val="00B221B9"/>
    <w:rsid w:val="00B517CE"/>
    <w:rsid w:val="00B71E8F"/>
    <w:rsid w:val="00BD4011"/>
    <w:rsid w:val="00BE5E92"/>
    <w:rsid w:val="00C22203"/>
    <w:rsid w:val="00C315BC"/>
    <w:rsid w:val="00C367B3"/>
    <w:rsid w:val="00C72C75"/>
    <w:rsid w:val="00C82037"/>
    <w:rsid w:val="00CA3BE3"/>
    <w:rsid w:val="00CF3D60"/>
    <w:rsid w:val="00D24193"/>
    <w:rsid w:val="00D4500D"/>
    <w:rsid w:val="00D91717"/>
    <w:rsid w:val="00D91916"/>
    <w:rsid w:val="00DB5AD9"/>
    <w:rsid w:val="00DC6AF6"/>
    <w:rsid w:val="00DF26DC"/>
    <w:rsid w:val="00DF679B"/>
    <w:rsid w:val="00E20DFB"/>
    <w:rsid w:val="00E614D7"/>
    <w:rsid w:val="00EA46FF"/>
    <w:rsid w:val="00EA7251"/>
    <w:rsid w:val="00F05FD3"/>
    <w:rsid w:val="00F1209D"/>
    <w:rsid w:val="00F26481"/>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F5CF"/>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895573">
      <w:bodyDiv w:val="1"/>
      <w:marLeft w:val="0"/>
      <w:marRight w:val="0"/>
      <w:marTop w:val="0"/>
      <w:marBottom w:val="0"/>
      <w:divBdr>
        <w:top w:val="none" w:sz="0" w:space="0" w:color="auto"/>
        <w:left w:val="none" w:sz="0" w:space="0" w:color="auto"/>
        <w:bottom w:val="none" w:sz="0" w:space="0" w:color="auto"/>
        <w:right w:val="none" w:sz="0" w:space="0" w:color="auto"/>
      </w:divBdr>
    </w:div>
    <w:div w:id="150844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2834</Words>
  <Characters>15592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Martin Cestao, Nerea</cp:lastModifiedBy>
  <cp:revision>10</cp:revision>
  <cp:lastPrinted>2025-12-31T08:55:00Z</cp:lastPrinted>
  <dcterms:created xsi:type="dcterms:W3CDTF">2024-12-11T15:07:00Z</dcterms:created>
  <dcterms:modified xsi:type="dcterms:W3CDTF">2026-02-02T10:58:00Z</dcterms:modified>
</cp:coreProperties>
</file>