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65BA" w14:textId="557A604A" w:rsidR="00824B46" w:rsidRDefault="001D7D36" w:rsidP="00824B4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26PES-55</w:t>
      </w:r>
    </w:p>
    <w:p w14:paraId="3235B093" w14:textId="6F55E7F5" w:rsidR="001D7D36" w:rsidRPr="001D7D36" w:rsidRDefault="001D7D36" w:rsidP="001D7D36">
      <w:pPr>
        <w:spacing w:after="120" w:line="276" w:lineRule="auto"/>
        <w:jc w:val="both"/>
        <w:rPr>
          <w:rFonts w:cstheme="minorHAnsi"/>
        </w:rPr>
      </w:pPr>
      <w:r w:rsidRPr="001D7D36">
        <w:rPr>
          <w:rFonts w:cstheme="minorHAnsi"/>
        </w:rPr>
        <w:t>Doña Maribel García Malo, miembro de las Cortes de Navarra,</w:t>
      </w:r>
      <w:r>
        <w:rPr>
          <w:rFonts w:cstheme="minorHAnsi"/>
        </w:rPr>
        <w:t xml:space="preserve"> </w:t>
      </w:r>
      <w:r w:rsidRPr="001D7D36">
        <w:rPr>
          <w:rFonts w:cstheme="minorHAnsi"/>
        </w:rPr>
        <w:t>adscrita al Grupo Parlamentario Partido Popular de Navarra (PPN) y al</w:t>
      </w:r>
      <w:r>
        <w:rPr>
          <w:rFonts w:cstheme="minorHAnsi"/>
        </w:rPr>
        <w:t xml:space="preserve"> </w:t>
      </w:r>
      <w:r w:rsidRPr="001D7D36">
        <w:rPr>
          <w:rFonts w:cstheme="minorHAnsi"/>
        </w:rPr>
        <w:t>amparo de lo dispuesto en el Reglamento de la Cámara, presenta la</w:t>
      </w:r>
      <w:r>
        <w:rPr>
          <w:rFonts w:cstheme="minorHAnsi"/>
        </w:rPr>
        <w:t xml:space="preserve"> </w:t>
      </w:r>
      <w:r w:rsidRPr="001D7D36">
        <w:rPr>
          <w:rFonts w:cstheme="minorHAnsi"/>
        </w:rPr>
        <w:t>siguiente pregunta escrita, dirigida al Gobierno de Navarra.</w:t>
      </w:r>
    </w:p>
    <w:p w14:paraId="40DAB0EF" w14:textId="2861F4D5" w:rsidR="001D7D36" w:rsidRPr="001D7D36" w:rsidRDefault="001D7D36" w:rsidP="001D7D36">
      <w:pPr>
        <w:spacing w:after="120" w:line="276" w:lineRule="auto"/>
        <w:jc w:val="both"/>
        <w:rPr>
          <w:rFonts w:cstheme="minorHAnsi"/>
        </w:rPr>
      </w:pPr>
      <w:r w:rsidRPr="001D7D36">
        <w:rPr>
          <w:rFonts w:cstheme="minorHAnsi"/>
        </w:rPr>
        <w:t>El pasado 13 de febrero la Consejera de Cultura, Deporte y Turismo</w:t>
      </w:r>
      <w:r>
        <w:rPr>
          <w:rFonts w:cstheme="minorHAnsi"/>
        </w:rPr>
        <w:t xml:space="preserve"> </w:t>
      </w:r>
      <w:r w:rsidRPr="001D7D36">
        <w:rPr>
          <w:rFonts w:cstheme="minorHAnsi"/>
        </w:rPr>
        <w:t>informó en sede parlamentaria que la subvención de 2023 se liquidó</w:t>
      </w:r>
      <w:r>
        <w:rPr>
          <w:rFonts w:cstheme="minorHAnsi"/>
        </w:rPr>
        <w:t xml:space="preserve"> </w:t>
      </w:r>
      <w:r w:rsidRPr="001D7D36">
        <w:rPr>
          <w:rFonts w:cstheme="minorHAnsi"/>
        </w:rPr>
        <w:t>con una resolución del INDAF de 31 de diciembre de 2024 y esa</w:t>
      </w:r>
      <w:r>
        <w:rPr>
          <w:rFonts w:cstheme="minorHAnsi"/>
        </w:rPr>
        <w:t xml:space="preserve"> </w:t>
      </w:r>
      <w:r w:rsidRPr="001D7D36">
        <w:rPr>
          <w:rFonts w:cstheme="minorHAnsi"/>
        </w:rPr>
        <w:t>resolución no fue fiscalizada, por lo que se emitió un informe de</w:t>
      </w:r>
      <w:r>
        <w:rPr>
          <w:rFonts w:cstheme="minorHAnsi"/>
        </w:rPr>
        <w:t xml:space="preserve"> </w:t>
      </w:r>
      <w:r w:rsidRPr="001D7D36">
        <w:rPr>
          <w:rFonts w:cstheme="minorHAnsi"/>
        </w:rPr>
        <w:t>omisión de fiscalización.</w:t>
      </w:r>
    </w:p>
    <w:p w14:paraId="34294DC1" w14:textId="5E22ECAD" w:rsidR="001D7D36" w:rsidRPr="001D7D36" w:rsidRDefault="001D7D36" w:rsidP="001D7D36">
      <w:pPr>
        <w:spacing w:after="120" w:line="276" w:lineRule="auto"/>
        <w:jc w:val="both"/>
        <w:rPr>
          <w:rFonts w:cstheme="minorHAnsi"/>
        </w:rPr>
      </w:pPr>
      <w:r w:rsidRPr="001D7D36">
        <w:rPr>
          <w:rFonts w:cstheme="minorHAnsi"/>
        </w:rPr>
        <w:t>Ante estos hechos,</w:t>
      </w:r>
      <w:r w:rsidR="001D133C">
        <w:rPr>
          <w:rFonts w:cstheme="minorHAnsi"/>
        </w:rPr>
        <w:t xml:space="preserve"> </w:t>
      </w:r>
      <w:r w:rsidRPr="001D7D36">
        <w:rPr>
          <w:rFonts w:cstheme="minorHAnsi"/>
        </w:rPr>
        <w:t>¿</w:t>
      </w:r>
      <w:r w:rsidR="001D133C">
        <w:rPr>
          <w:rFonts w:cstheme="minorHAnsi"/>
        </w:rPr>
        <w:t>q</w:t>
      </w:r>
      <w:r w:rsidRPr="001D7D36">
        <w:rPr>
          <w:rFonts w:cstheme="minorHAnsi"/>
        </w:rPr>
        <w:t>ué iniciativas ha realizado el Gobierno de Navarra para</w:t>
      </w:r>
      <w:r>
        <w:rPr>
          <w:rFonts w:cstheme="minorHAnsi"/>
        </w:rPr>
        <w:t xml:space="preserve"> </w:t>
      </w:r>
      <w:r w:rsidRPr="001D7D36">
        <w:rPr>
          <w:rFonts w:cstheme="minorHAnsi"/>
        </w:rPr>
        <w:t>averiguar por qué se ha procedido sin seguir el procedimiento</w:t>
      </w:r>
      <w:r>
        <w:rPr>
          <w:rFonts w:cstheme="minorHAnsi"/>
        </w:rPr>
        <w:t xml:space="preserve"> </w:t>
      </w:r>
      <w:r w:rsidRPr="001D7D36">
        <w:rPr>
          <w:rFonts w:cstheme="minorHAnsi"/>
        </w:rPr>
        <w:t>obligatorio omitiendo un control esencial para prevenir</w:t>
      </w:r>
      <w:r>
        <w:rPr>
          <w:rFonts w:cstheme="minorHAnsi"/>
        </w:rPr>
        <w:t xml:space="preserve"> </w:t>
      </w:r>
      <w:r w:rsidRPr="001D7D36">
        <w:rPr>
          <w:rFonts w:cstheme="minorHAnsi"/>
        </w:rPr>
        <w:t>irregularidades o ilegalidades y así depurar responsabilidades?</w:t>
      </w:r>
    </w:p>
    <w:p w14:paraId="2F98A315" w14:textId="4F93693D" w:rsidR="001D7D36" w:rsidRPr="001D7D36" w:rsidRDefault="001D7D36" w:rsidP="001D7D36">
      <w:pPr>
        <w:spacing w:after="120" w:line="276" w:lineRule="auto"/>
        <w:jc w:val="both"/>
        <w:rPr>
          <w:rFonts w:cstheme="minorHAnsi"/>
        </w:rPr>
      </w:pPr>
      <w:r w:rsidRPr="00DE7FCE">
        <w:rPr>
          <w:rFonts w:cstheme="minorHAnsi"/>
        </w:rPr>
        <w:t xml:space="preserve">Pamplona, </w:t>
      </w:r>
      <w:r w:rsidR="00DE7FCE" w:rsidRPr="00DE7FCE">
        <w:rPr>
          <w:rFonts w:cstheme="minorHAnsi"/>
        </w:rPr>
        <w:t>14 de febrero de 2026</w:t>
      </w:r>
    </w:p>
    <w:p w14:paraId="52CCD79D" w14:textId="20C0F5E2" w:rsidR="001D7D36" w:rsidRPr="000808FC" w:rsidRDefault="00A80803" w:rsidP="001D7D3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="001D7D36" w:rsidRPr="001D7D36">
        <w:rPr>
          <w:rFonts w:cstheme="minorHAnsi"/>
        </w:rPr>
        <w:t>Maribel García Malo</w:t>
      </w:r>
    </w:p>
    <w:sectPr w:rsidR="001D7D36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026C4"/>
    <w:rsid w:val="000808FC"/>
    <w:rsid w:val="001D133C"/>
    <w:rsid w:val="001D7D36"/>
    <w:rsid w:val="002503C8"/>
    <w:rsid w:val="002C4DE3"/>
    <w:rsid w:val="003F0392"/>
    <w:rsid w:val="004538F2"/>
    <w:rsid w:val="004E0F51"/>
    <w:rsid w:val="00592EF6"/>
    <w:rsid w:val="00655655"/>
    <w:rsid w:val="007766BE"/>
    <w:rsid w:val="00824B46"/>
    <w:rsid w:val="008503D3"/>
    <w:rsid w:val="00A80803"/>
    <w:rsid w:val="00B063C1"/>
    <w:rsid w:val="00DE7FCE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6</cp:revision>
  <dcterms:created xsi:type="dcterms:W3CDTF">2026-02-19T09:12:00Z</dcterms:created>
  <dcterms:modified xsi:type="dcterms:W3CDTF">2026-02-25T06:39:00Z</dcterms:modified>
</cp:coreProperties>
</file>