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97DA" w14:textId="5B549E85" w:rsidR="003847ED" w:rsidRPr="005B5DD7" w:rsidRDefault="003847ED" w:rsidP="005B5DD7">
      <w:pPr>
        <w:spacing w:after="120" w:line="276" w:lineRule="auto"/>
        <w:jc w:val="both"/>
        <w:rPr>
          <w:rFonts w:asciiTheme="minorHAnsi" w:hAnsiTheme="minorHAnsi" w:cstheme="minorHAnsi"/>
          <w:sz w:val="22"/>
          <w:szCs w:val="24"/>
        </w:rPr>
      </w:pPr>
      <w:r w:rsidRPr="005B5DD7">
        <w:rPr>
          <w:rFonts w:asciiTheme="minorHAnsi" w:hAnsiTheme="minorHAnsi" w:cstheme="minorHAnsi"/>
          <w:sz w:val="22"/>
          <w:szCs w:val="24"/>
        </w:rPr>
        <w:t>La consejera de Derechos Sociales, Economía Social y Empleo del Gobierno de Navarra, en relación con la pregunta para su contestación por escrito formulada por el Parlamentario Foral Ilmo. Sr. D. Javier Arza Porras, adscrito al Grupo Parlamentario EH Bildu Nafarroa (11-25/PES-00461)</w:t>
      </w:r>
      <w:r w:rsidR="005B5DD7" w:rsidRPr="005B5DD7">
        <w:rPr>
          <w:rFonts w:asciiTheme="minorHAnsi" w:hAnsiTheme="minorHAnsi" w:cstheme="minorHAnsi"/>
          <w:sz w:val="22"/>
          <w:szCs w:val="24"/>
        </w:rPr>
        <w:t>, t</w:t>
      </w:r>
      <w:r w:rsidRPr="005B5DD7">
        <w:rPr>
          <w:rFonts w:asciiTheme="minorHAnsi" w:hAnsiTheme="minorHAnsi" w:cstheme="minorHAnsi"/>
          <w:sz w:val="22"/>
          <w:szCs w:val="24"/>
        </w:rPr>
        <w:t>iene a bien informar lo siguiente:</w:t>
      </w:r>
    </w:p>
    <w:p w14:paraId="2EDB4906" w14:textId="2C58DD5C" w:rsidR="005C558F" w:rsidRDefault="005C558F" w:rsidP="005B5DD7">
      <w:pPr>
        <w:spacing w:after="120" w:line="276" w:lineRule="auto"/>
        <w:jc w:val="both"/>
        <w:rPr>
          <w:rFonts w:asciiTheme="minorHAnsi" w:hAnsiTheme="minorHAnsi" w:cstheme="minorHAnsi"/>
          <w:sz w:val="22"/>
          <w:szCs w:val="24"/>
        </w:rPr>
      </w:pPr>
      <w:r w:rsidRPr="005B5DD7">
        <w:rPr>
          <w:rFonts w:asciiTheme="minorHAnsi" w:hAnsiTheme="minorHAnsi" w:cstheme="minorHAnsi"/>
          <w:sz w:val="22"/>
          <w:szCs w:val="24"/>
        </w:rPr>
        <w:t>Respecto a la pregunta de “¿qué entidades locales han debido reintegrar cuantías por este motivo? ¿qué cuantías?”, indicar que los procesos de revisión de la justificación y reintegro están todavía abiertos. No obstante, se adjuntan datos de 2023 y 2024. Las cuantías del año 2025 se desconocen a fecha actual, ya que las entidades locales están en proceso de justificación y presentación de memorias y el plazo finalizará el 1 de marzo.</w:t>
      </w:r>
    </w:p>
    <w:p w14:paraId="6830CC90" w14:textId="77777777" w:rsidR="005B5DD7" w:rsidRPr="005B5DD7" w:rsidRDefault="005B5DD7" w:rsidP="005B5DD7">
      <w:pPr>
        <w:spacing w:after="120" w:line="276" w:lineRule="auto"/>
        <w:jc w:val="both"/>
        <w:rPr>
          <w:rFonts w:asciiTheme="minorHAnsi" w:hAnsiTheme="minorHAnsi" w:cstheme="minorHAnsi"/>
          <w:sz w:val="22"/>
          <w:szCs w:val="24"/>
        </w:rPr>
      </w:pPr>
    </w:p>
    <w:tbl>
      <w:tblPr>
        <w:tblStyle w:val="Tablaconcuadrcula"/>
        <w:tblW w:w="8563" w:type="dxa"/>
        <w:tblLook w:val="04A0" w:firstRow="1" w:lastRow="0" w:firstColumn="1" w:lastColumn="0" w:noHBand="0" w:noVBand="1"/>
      </w:tblPr>
      <w:tblGrid>
        <w:gridCol w:w="3501"/>
        <w:gridCol w:w="1195"/>
        <w:gridCol w:w="1896"/>
        <w:gridCol w:w="1971"/>
      </w:tblGrid>
      <w:tr w:rsidR="005C558F" w14:paraId="7F40B543" w14:textId="77777777" w:rsidTr="005C558F">
        <w:tc>
          <w:tcPr>
            <w:tcW w:w="4079" w:type="dxa"/>
          </w:tcPr>
          <w:p w14:paraId="2D8D246D"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2023</w:t>
            </w:r>
          </w:p>
        </w:tc>
        <w:tc>
          <w:tcPr>
            <w:tcW w:w="236" w:type="dxa"/>
          </w:tcPr>
          <w:p w14:paraId="1ABB3ABF"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Gasto mínimo a justificar</w:t>
            </w:r>
          </w:p>
        </w:tc>
        <w:tc>
          <w:tcPr>
            <w:tcW w:w="2124" w:type="dxa"/>
          </w:tcPr>
          <w:p w14:paraId="1BC9805D"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Cuantía objeto de reintegro</w:t>
            </w:r>
          </w:p>
        </w:tc>
        <w:tc>
          <w:tcPr>
            <w:tcW w:w="2124" w:type="dxa"/>
          </w:tcPr>
          <w:p w14:paraId="1C4E347F"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 de ejecución respecto financiación DF</w:t>
            </w:r>
          </w:p>
        </w:tc>
      </w:tr>
      <w:tr w:rsidR="005C558F" w14:paraId="2821478F" w14:textId="77777777" w:rsidTr="005C558F">
        <w:tc>
          <w:tcPr>
            <w:tcW w:w="4079" w:type="dxa"/>
          </w:tcPr>
          <w:p w14:paraId="7076D654" w14:textId="77777777" w:rsidR="005C558F" w:rsidRPr="0033398C" w:rsidRDefault="005C558F" w:rsidP="0033398C">
            <w:pPr>
              <w:spacing w:line="276" w:lineRule="auto"/>
              <w:jc w:val="center"/>
              <w:rPr>
                <w:rFonts w:ascii="Arial" w:hAnsi="Arial" w:cs="Arial"/>
                <w:sz w:val="22"/>
                <w:szCs w:val="22"/>
              </w:rPr>
            </w:pPr>
            <w:r w:rsidRPr="0033398C">
              <w:rPr>
                <w:rFonts w:ascii="Arial" w:hAnsi="Arial" w:cs="Arial"/>
                <w:sz w:val="22"/>
                <w:szCs w:val="22"/>
              </w:rPr>
              <w:t>Mancomunidad de Servicios Sociales de Allo, Arellano, Arroniz, Dicastillo y Lerín</w:t>
            </w:r>
          </w:p>
        </w:tc>
        <w:tc>
          <w:tcPr>
            <w:tcW w:w="236" w:type="dxa"/>
            <w:vAlign w:val="center"/>
          </w:tcPr>
          <w:p w14:paraId="1A09529F"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13.565,56</w:t>
            </w:r>
          </w:p>
        </w:tc>
        <w:tc>
          <w:tcPr>
            <w:tcW w:w="2124" w:type="dxa"/>
            <w:vAlign w:val="center"/>
          </w:tcPr>
          <w:p w14:paraId="72B36C35"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65,85</w:t>
            </w:r>
          </w:p>
        </w:tc>
        <w:tc>
          <w:tcPr>
            <w:tcW w:w="2124" w:type="dxa"/>
            <w:vAlign w:val="center"/>
          </w:tcPr>
          <w:p w14:paraId="684B3446" w14:textId="70736FEC"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19,90</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1B0F5C8B" w14:textId="77777777" w:rsidTr="005C558F">
        <w:tc>
          <w:tcPr>
            <w:tcW w:w="4079" w:type="dxa"/>
            <w:vAlign w:val="center"/>
          </w:tcPr>
          <w:p w14:paraId="1FC30288"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Mancomunidad de Servicios Sociales de Base de Ancín-Amescoa</w:t>
            </w:r>
          </w:p>
        </w:tc>
        <w:tc>
          <w:tcPr>
            <w:tcW w:w="236" w:type="dxa"/>
            <w:vAlign w:val="center"/>
          </w:tcPr>
          <w:p w14:paraId="1744DD1F"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8.583,39</w:t>
            </w:r>
          </w:p>
        </w:tc>
        <w:tc>
          <w:tcPr>
            <w:tcW w:w="2124" w:type="dxa"/>
            <w:vAlign w:val="center"/>
          </w:tcPr>
          <w:p w14:paraId="47E3AD34"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3.298,18</w:t>
            </w:r>
          </w:p>
        </w:tc>
        <w:tc>
          <w:tcPr>
            <w:tcW w:w="2124" w:type="dxa"/>
            <w:vAlign w:val="center"/>
          </w:tcPr>
          <w:p w14:paraId="04786D8D" w14:textId="1799A0FB"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12,31</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7E641E24" w14:textId="77777777" w:rsidTr="005C558F">
        <w:tc>
          <w:tcPr>
            <w:tcW w:w="4079" w:type="dxa"/>
            <w:vAlign w:val="center"/>
          </w:tcPr>
          <w:p w14:paraId="375DFB51"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Mancomunidad de Servicios Sociales de Base de la Zona de Buñuel</w:t>
            </w:r>
          </w:p>
        </w:tc>
        <w:tc>
          <w:tcPr>
            <w:tcW w:w="236" w:type="dxa"/>
            <w:vAlign w:val="center"/>
          </w:tcPr>
          <w:p w14:paraId="2B7F1C75"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16.288,40</w:t>
            </w:r>
          </w:p>
        </w:tc>
        <w:tc>
          <w:tcPr>
            <w:tcW w:w="2124" w:type="dxa"/>
            <w:vAlign w:val="center"/>
          </w:tcPr>
          <w:p w14:paraId="467379AA"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3.849,84</w:t>
            </w:r>
          </w:p>
        </w:tc>
        <w:tc>
          <w:tcPr>
            <w:tcW w:w="2124" w:type="dxa"/>
            <w:vAlign w:val="center"/>
          </w:tcPr>
          <w:p w14:paraId="570F3B55" w14:textId="7BC1748D"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15,27</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217193ED" w14:textId="77777777" w:rsidTr="005C558F">
        <w:tc>
          <w:tcPr>
            <w:tcW w:w="4079" w:type="dxa"/>
            <w:vAlign w:val="center"/>
          </w:tcPr>
          <w:p w14:paraId="61E54B5B"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Ayuntamiento de Estella / Lizarra</w:t>
            </w:r>
          </w:p>
        </w:tc>
        <w:tc>
          <w:tcPr>
            <w:tcW w:w="236" w:type="dxa"/>
            <w:vAlign w:val="center"/>
          </w:tcPr>
          <w:p w14:paraId="3488BAB3"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17.343,10</w:t>
            </w:r>
          </w:p>
        </w:tc>
        <w:tc>
          <w:tcPr>
            <w:tcW w:w="2124" w:type="dxa"/>
            <w:vAlign w:val="center"/>
          </w:tcPr>
          <w:p w14:paraId="7C6F3A4B"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6.092,56</w:t>
            </w:r>
          </w:p>
        </w:tc>
        <w:tc>
          <w:tcPr>
            <w:tcW w:w="2124" w:type="dxa"/>
            <w:vAlign w:val="center"/>
          </w:tcPr>
          <w:p w14:paraId="521C4435" w14:textId="47A14E5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12,97</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4626A5F5" w14:textId="77777777" w:rsidTr="005C558F">
        <w:tc>
          <w:tcPr>
            <w:tcW w:w="4079" w:type="dxa"/>
            <w:vAlign w:val="center"/>
          </w:tcPr>
          <w:p w14:paraId="1D44A971"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Mancomunidad de Servicios Sociales de la Zona de Los Arcos</w:t>
            </w:r>
          </w:p>
        </w:tc>
        <w:tc>
          <w:tcPr>
            <w:tcW w:w="236" w:type="dxa"/>
            <w:vAlign w:val="center"/>
          </w:tcPr>
          <w:p w14:paraId="6E250C52"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11.757,24</w:t>
            </w:r>
          </w:p>
        </w:tc>
        <w:tc>
          <w:tcPr>
            <w:tcW w:w="2124" w:type="dxa"/>
            <w:vAlign w:val="center"/>
          </w:tcPr>
          <w:p w14:paraId="1E568F71"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7.541,23</w:t>
            </w:r>
          </w:p>
        </w:tc>
        <w:tc>
          <w:tcPr>
            <w:tcW w:w="2124" w:type="dxa"/>
            <w:vAlign w:val="center"/>
          </w:tcPr>
          <w:p w14:paraId="79C99A05" w14:textId="12474908"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7,17</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03420A70" w14:textId="77777777" w:rsidTr="005C558F">
        <w:tc>
          <w:tcPr>
            <w:tcW w:w="4079" w:type="dxa"/>
            <w:vAlign w:val="center"/>
          </w:tcPr>
          <w:p w14:paraId="53B97075"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Ayuntamiento de Tudela</w:t>
            </w:r>
          </w:p>
        </w:tc>
        <w:tc>
          <w:tcPr>
            <w:tcW w:w="236" w:type="dxa"/>
            <w:vAlign w:val="center"/>
          </w:tcPr>
          <w:p w14:paraId="0C1C2B26"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42.079,52</w:t>
            </w:r>
          </w:p>
        </w:tc>
        <w:tc>
          <w:tcPr>
            <w:tcW w:w="2124" w:type="dxa"/>
            <w:vAlign w:val="center"/>
          </w:tcPr>
          <w:p w14:paraId="2FB000D6"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11.229,13</w:t>
            </w:r>
          </w:p>
        </w:tc>
        <w:tc>
          <w:tcPr>
            <w:tcW w:w="2124" w:type="dxa"/>
            <w:vAlign w:val="center"/>
          </w:tcPr>
          <w:p w14:paraId="0E1CD5C8" w14:textId="53C9812F"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14,66</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r w:rsidR="005C558F" w14:paraId="0252A970" w14:textId="77777777" w:rsidTr="005C558F">
        <w:tc>
          <w:tcPr>
            <w:tcW w:w="4079" w:type="dxa"/>
            <w:vAlign w:val="center"/>
          </w:tcPr>
          <w:p w14:paraId="179727AF" w14:textId="77777777" w:rsidR="005C558F" w:rsidRPr="0033398C" w:rsidRDefault="005C558F" w:rsidP="0033398C">
            <w:pPr>
              <w:spacing w:line="276" w:lineRule="auto"/>
              <w:jc w:val="center"/>
              <w:rPr>
                <w:rFonts w:ascii="Arial" w:hAnsi="Arial" w:cs="Arial"/>
                <w:color w:val="000000"/>
                <w:sz w:val="22"/>
                <w:szCs w:val="22"/>
              </w:rPr>
            </w:pPr>
            <w:r w:rsidRPr="0033398C">
              <w:rPr>
                <w:rFonts w:ascii="Arial" w:hAnsi="Arial" w:cs="Arial"/>
                <w:bCs/>
                <w:color w:val="000000"/>
                <w:sz w:val="22"/>
                <w:szCs w:val="22"/>
              </w:rPr>
              <w:t>Mancomunidad de Servicios Sociales de las Villas de Arguedas, Valtierra, Villafranca, Milagro y Cadreita</w:t>
            </w:r>
          </w:p>
        </w:tc>
        <w:tc>
          <w:tcPr>
            <w:tcW w:w="236" w:type="dxa"/>
            <w:vAlign w:val="center"/>
          </w:tcPr>
          <w:p w14:paraId="1CDA1283"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20.306,77</w:t>
            </w:r>
          </w:p>
        </w:tc>
        <w:tc>
          <w:tcPr>
            <w:tcW w:w="2124" w:type="dxa"/>
            <w:vAlign w:val="center"/>
          </w:tcPr>
          <w:p w14:paraId="7504DCF7" w14:textId="77777777"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2.383,93</w:t>
            </w:r>
          </w:p>
        </w:tc>
        <w:tc>
          <w:tcPr>
            <w:tcW w:w="2124" w:type="dxa"/>
            <w:vAlign w:val="center"/>
          </w:tcPr>
          <w:p w14:paraId="569DE478" w14:textId="746DDAA3" w:rsidR="005C558F" w:rsidRPr="0033398C" w:rsidRDefault="005C558F" w:rsidP="0033398C">
            <w:pPr>
              <w:spacing w:line="276" w:lineRule="auto"/>
              <w:jc w:val="center"/>
              <w:rPr>
                <w:rFonts w:ascii="Arial" w:hAnsi="Arial" w:cs="Arial"/>
                <w:bCs/>
                <w:color w:val="000000"/>
                <w:sz w:val="22"/>
                <w:szCs w:val="22"/>
              </w:rPr>
            </w:pPr>
            <w:r w:rsidRPr="0033398C">
              <w:rPr>
                <w:rFonts w:ascii="Arial" w:hAnsi="Arial" w:cs="Arial"/>
                <w:bCs/>
                <w:color w:val="000000"/>
                <w:sz w:val="22"/>
                <w:szCs w:val="22"/>
              </w:rPr>
              <w:t>17,65</w:t>
            </w:r>
            <w:r w:rsidR="00D80D0A">
              <w:rPr>
                <w:rFonts w:ascii="Arial" w:hAnsi="Arial" w:cs="Arial"/>
                <w:bCs/>
                <w:color w:val="000000"/>
                <w:sz w:val="22"/>
                <w:szCs w:val="22"/>
              </w:rPr>
              <w:t xml:space="preserve"> </w:t>
            </w:r>
            <w:r w:rsidRPr="0033398C">
              <w:rPr>
                <w:rFonts w:ascii="Arial" w:hAnsi="Arial" w:cs="Arial"/>
                <w:bCs/>
                <w:color w:val="000000"/>
                <w:sz w:val="22"/>
                <w:szCs w:val="22"/>
              </w:rPr>
              <w:t>%</w:t>
            </w:r>
          </w:p>
        </w:tc>
      </w:tr>
    </w:tbl>
    <w:p w14:paraId="383AD8FF" w14:textId="77777777" w:rsidR="005C558F" w:rsidRDefault="005C558F" w:rsidP="003847ED">
      <w:pPr>
        <w:spacing w:line="360" w:lineRule="auto"/>
        <w:jc w:val="both"/>
        <w:rPr>
          <w:rFonts w:ascii="Arial" w:hAnsi="Arial" w:cs="Arial"/>
          <w:sz w:val="22"/>
          <w:szCs w:val="24"/>
        </w:rPr>
      </w:pPr>
    </w:p>
    <w:tbl>
      <w:tblPr>
        <w:tblStyle w:val="Tablaconcuadrcula"/>
        <w:tblW w:w="8642" w:type="dxa"/>
        <w:jc w:val="center"/>
        <w:tblLook w:val="04A0" w:firstRow="1" w:lastRow="0" w:firstColumn="1" w:lastColumn="0" w:noHBand="0" w:noVBand="1"/>
      </w:tblPr>
      <w:tblGrid>
        <w:gridCol w:w="3576"/>
        <w:gridCol w:w="1195"/>
        <w:gridCol w:w="1887"/>
        <w:gridCol w:w="1984"/>
      </w:tblGrid>
      <w:tr w:rsidR="005C558F" w14:paraId="7EBEF255" w14:textId="77777777" w:rsidTr="0033398C">
        <w:trPr>
          <w:jc w:val="center"/>
        </w:trPr>
        <w:tc>
          <w:tcPr>
            <w:tcW w:w="3576" w:type="dxa"/>
          </w:tcPr>
          <w:p w14:paraId="44A38807"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2024</w:t>
            </w:r>
          </w:p>
        </w:tc>
        <w:tc>
          <w:tcPr>
            <w:tcW w:w="1195" w:type="dxa"/>
          </w:tcPr>
          <w:p w14:paraId="50A659C5"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Gasto mínimo a justificar</w:t>
            </w:r>
          </w:p>
        </w:tc>
        <w:tc>
          <w:tcPr>
            <w:tcW w:w="1887" w:type="dxa"/>
          </w:tcPr>
          <w:p w14:paraId="18CEC39E"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Cuantía objeto de reintegro</w:t>
            </w:r>
          </w:p>
        </w:tc>
        <w:tc>
          <w:tcPr>
            <w:tcW w:w="1984" w:type="dxa"/>
          </w:tcPr>
          <w:p w14:paraId="4F335133" w14:textId="77777777" w:rsidR="005C558F" w:rsidRPr="0033398C" w:rsidRDefault="005C558F" w:rsidP="0033398C">
            <w:pPr>
              <w:spacing w:line="276" w:lineRule="auto"/>
              <w:jc w:val="center"/>
              <w:rPr>
                <w:rFonts w:ascii="Arial" w:hAnsi="Arial" w:cs="Arial"/>
                <w:b/>
                <w:sz w:val="22"/>
                <w:szCs w:val="24"/>
              </w:rPr>
            </w:pPr>
            <w:r w:rsidRPr="0033398C">
              <w:rPr>
                <w:rFonts w:ascii="Arial" w:hAnsi="Arial" w:cs="Arial"/>
                <w:b/>
                <w:sz w:val="22"/>
                <w:szCs w:val="24"/>
              </w:rPr>
              <w:t>% ejecución respecto financiación DF</w:t>
            </w:r>
          </w:p>
        </w:tc>
      </w:tr>
      <w:tr w:rsidR="005C558F" w14:paraId="7F91EB6B" w14:textId="77777777" w:rsidTr="0033398C">
        <w:trPr>
          <w:jc w:val="center"/>
        </w:trPr>
        <w:tc>
          <w:tcPr>
            <w:tcW w:w="3576" w:type="dxa"/>
          </w:tcPr>
          <w:p w14:paraId="7E639ACA" w14:textId="77777777"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Mancomunidad de Servicios Sociales de Base de Alsasua, Olazagutía y Ziordia</w:t>
            </w:r>
          </w:p>
        </w:tc>
        <w:tc>
          <w:tcPr>
            <w:tcW w:w="1195" w:type="dxa"/>
          </w:tcPr>
          <w:p w14:paraId="4E363796" w14:textId="77777777"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9.456,36</w:t>
            </w:r>
          </w:p>
        </w:tc>
        <w:tc>
          <w:tcPr>
            <w:tcW w:w="1887" w:type="dxa"/>
          </w:tcPr>
          <w:p w14:paraId="10FF473E" w14:textId="77777777"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596,69</w:t>
            </w:r>
          </w:p>
        </w:tc>
        <w:tc>
          <w:tcPr>
            <w:tcW w:w="1984" w:type="dxa"/>
          </w:tcPr>
          <w:p w14:paraId="2C5CCF85" w14:textId="35699501"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18,74</w:t>
            </w:r>
            <w:r w:rsidR="00D80D0A">
              <w:rPr>
                <w:rFonts w:ascii="Arial" w:hAnsi="Arial" w:cs="Arial"/>
                <w:sz w:val="22"/>
                <w:szCs w:val="24"/>
              </w:rPr>
              <w:t xml:space="preserve"> </w:t>
            </w:r>
            <w:r>
              <w:rPr>
                <w:rFonts w:ascii="Arial" w:hAnsi="Arial" w:cs="Arial"/>
                <w:sz w:val="22"/>
                <w:szCs w:val="24"/>
              </w:rPr>
              <w:t>%</w:t>
            </w:r>
          </w:p>
        </w:tc>
      </w:tr>
      <w:tr w:rsidR="005C558F" w14:paraId="2545B66D" w14:textId="77777777" w:rsidTr="0033398C">
        <w:trPr>
          <w:jc w:val="center"/>
        </w:trPr>
        <w:tc>
          <w:tcPr>
            <w:tcW w:w="3576" w:type="dxa"/>
          </w:tcPr>
          <w:p w14:paraId="1C015A5D" w14:textId="0F023F12"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Mancomunidad de Servicios Sociale</w:t>
            </w:r>
            <w:r w:rsidR="000643D4">
              <w:rPr>
                <w:rFonts w:ascii="Arial" w:hAnsi="Arial" w:cs="Arial"/>
                <w:sz w:val="22"/>
                <w:szCs w:val="24"/>
              </w:rPr>
              <w:t>s</w:t>
            </w:r>
            <w:r>
              <w:rPr>
                <w:rFonts w:ascii="Arial" w:hAnsi="Arial" w:cs="Arial"/>
                <w:sz w:val="22"/>
                <w:szCs w:val="24"/>
              </w:rPr>
              <w:t xml:space="preserve"> de Base de Ancín-Amescoa</w:t>
            </w:r>
          </w:p>
        </w:tc>
        <w:tc>
          <w:tcPr>
            <w:tcW w:w="1195" w:type="dxa"/>
          </w:tcPr>
          <w:p w14:paraId="7AF46A3D" w14:textId="77777777"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8.032,55</w:t>
            </w:r>
          </w:p>
        </w:tc>
        <w:tc>
          <w:tcPr>
            <w:tcW w:w="1887" w:type="dxa"/>
          </w:tcPr>
          <w:p w14:paraId="0D9C98CE" w14:textId="77777777"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4.436,81</w:t>
            </w:r>
          </w:p>
        </w:tc>
        <w:tc>
          <w:tcPr>
            <w:tcW w:w="1984" w:type="dxa"/>
          </w:tcPr>
          <w:p w14:paraId="4B9EC704" w14:textId="2E860F85" w:rsidR="005C558F" w:rsidRPr="005C558F" w:rsidRDefault="005C558F" w:rsidP="0033398C">
            <w:pPr>
              <w:spacing w:line="276" w:lineRule="auto"/>
              <w:jc w:val="center"/>
              <w:rPr>
                <w:rFonts w:ascii="Arial" w:hAnsi="Arial" w:cs="Arial"/>
                <w:sz w:val="22"/>
                <w:szCs w:val="24"/>
              </w:rPr>
            </w:pPr>
            <w:r>
              <w:rPr>
                <w:rFonts w:ascii="Arial" w:hAnsi="Arial" w:cs="Arial"/>
                <w:sz w:val="22"/>
                <w:szCs w:val="24"/>
              </w:rPr>
              <w:t>8,95</w:t>
            </w:r>
            <w:r w:rsidR="00D80D0A">
              <w:rPr>
                <w:rFonts w:ascii="Arial" w:hAnsi="Arial" w:cs="Arial"/>
                <w:sz w:val="22"/>
                <w:szCs w:val="24"/>
              </w:rPr>
              <w:t xml:space="preserve"> </w:t>
            </w:r>
            <w:r>
              <w:rPr>
                <w:rFonts w:ascii="Arial" w:hAnsi="Arial" w:cs="Arial"/>
                <w:sz w:val="22"/>
                <w:szCs w:val="24"/>
              </w:rPr>
              <w:t>%</w:t>
            </w:r>
          </w:p>
        </w:tc>
      </w:tr>
      <w:tr w:rsidR="005C558F" w14:paraId="46B4C343" w14:textId="77777777" w:rsidTr="0033398C">
        <w:trPr>
          <w:jc w:val="center"/>
        </w:trPr>
        <w:tc>
          <w:tcPr>
            <w:tcW w:w="3576" w:type="dxa"/>
          </w:tcPr>
          <w:p w14:paraId="7E74427E"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Mancomunidad de Servicios Sociales de Base de la Zona de Buñuel</w:t>
            </w:r>
          </w:p>
        </w:tc>
        <w:tc>
          <w:tcPr>
            <w:tcW w:w="1195" w:type="dxa"/>
          </w:tcPr>
          <w:p w14:paraId="4D27E63E"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16.694,81</w:t>
            </w:r>
          </w:p>
        </w:tc>
        <w:tc>
          <w:tcPr>
            <w:tcW w:w="1887" w:type="dxa"/>
          </w:tcPr>
          <w:p w14:paraId="0EB8A5C7"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161,29</w:t>
            </w:r>
          </w:p>
        </w:tc>
        <w:tc>
          <w:tcPr>
            <w:tcW w:w="1984" w:type="dxa"/>
          </w:tcPr>
          <w:p w14:paraId="5CBC812F" w14:textId="680E3815" w:rsidR="005C558F" w:rsidRDefault="005C558F" w:rsidP="0033398C">
            <w:pPr>
              <w:spacing w:line="276" w:lineRule="auto"/>
              <w:jc w:val="center"/>
              <w:rPr>
                <w:rFonts w:ascii="Arial" w:hAnsi="Arial" w:cs="Arial"/>
                <w:sz w:val="22"/>
                <w:szCs w:val="24"/>
              </w:rPr>
            </w:pPr>
            <w:r>
              <w:rPr>
                <w:rFonts w:ascii="Arial" w:hAnsi="Arial" w:cs="Arial"/>
                <w:sz w:val="22"/>
                <w:szCs w:val="24"/>
              </w:rPr>
              <w:t>19,81</w:t>
            </w:r>
            <w:r w:rsidR="00D80D0A">
              <w:rPr>
                <w:rFonts w:ascii="Arial" w:hAnsi="Arial" w:cs="Arial"/>
                <w:sz w:val="22"/>
                <w:szCs w:val="24"/>
              </w:rPr>
              <w:t xml:space="preserve"> </w:t>
            </w:r>
            <w:r>
              <w:rPr>
                <w:rFonts w:ascii="Arial" w:hAnsi="Arial" w:cs="Arial"/>
                <w:sz w:val="22"/>
                <w:szCs w:val="24"/>
              </w:rPr>
              <w:t>%</w:t>
            </w:r>
          </w:p>
        </w:tc>
      </w:tr>
      <w:tr w:rsidR="005C558F" w14:paraId="5F580707" w14:textId="77777777" w:rsidTr="0033398C">
        <w:trPr>
          <w:jc w:val="center"/>
        </w:trPr>
        <w:tc>
          <w:tcPr>
            <w:tcW w:w="3576" w:type="dxa"/>
          </w:tcPr>
          <w:p w14:paraId="1FB3BD5B"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Junta General del Valle del Roncal</w:t>
            </w:r>
          </w:p>
        </w:tc>
        <w:tc>
          <w:tcPr>
            <w:tcW w:w="1195" w:type="dxa"/>
          </w:tcPr>
          <w:p w14:paraId="4D7401A2"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5.112,37</w:t>
            </w:r>
          </w:p>
        </w:tc>
        <w:tc>
          <w:tcPr>
            <w:tcW w:w="1887" w:type="dxa"/>
          </w:tcPr>
          <w:p w14:paraId="766F78D1"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221,54</w:t>
            </w:r>
          </w:p>
        </w:tc>
        <w:tc>
          <w:tcPr>
            <w:tcW w:w="1984" w:type="dxa"/>
          </w:tcPr>
          <w:p w14:paraId="2D7AE961" w14:textId="048A6482" w:rsidR="005C558F" w:rsidRDefault="005C558F" w:rsidP="0033398C">
            <w:pPr>
              <w:spacing w:line="276" w:lineRule="auto"/>
              <w:jc w:val="center"/>
              <w:rPr>
                <w:rFonts w:ascii="Arial" w:hAnsi="Arial" w:cs="Arial"/>
                <w:sz w:val="22"/>
                <w:szCs w:val="24"/>
              </w:rPr>
            </w:pPr>
            <w:r>
              <w:rPr>
                <w:rFonts w:ascii="Arial" w:hAnsi="Arial" w:cs="Arial"/>
                <w:sz w:val="22"/>
                <w:szCs w:val="24"/>
              </w:rPr>
              <w:t>19,13</w:t>
            </w:r>
            <w:r w:rsidR="00D80D0A">
              <w:rPr>
                <w:rFonts w:ascii="Arial" w:hAnsi="Arial" w:cs="Arial"/>
                <w:sz w:val="22"/>
                <w:szCs w:val="24"/>
              </w:rPr>
              <w:t xml:space="preserve"> </w:t>
            </w:r>
            <w:r>
              <w:rPr>
                <w:rFonts w:ascii="Arial" w:hAnsi="Arial" w:cs="Arial"/>
                <w:sz w:val="22"/>
                <w:szCs w:val="24"/>
              </w:rPr>
              <w:t>%</w:t>
            </w:r>
          </w:p>
        </w:tc>
      </w:tr>
      <w:tr w:rsidR="005C558F" w14:paraId="63CA76D4" w14:textId="77777777" w:rsidTr="0033398C">
        <w:trPr>
          <w:jc w:val="center"/>
        </w:trPr>
        <w:tc>
          <w:tcPr>
            <w:tcW w:w="3576" w:type="dxa"/>
          </w:tcPr>
          <w:p w14:paraId="4F127ABF"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lastRenderedPageBreak/>
              <w:t>Mancomunidad de Servicios Sociales de la Zona de los Arcos</w:t>
            </w:r>
          </w:p>
        </w:tc>
        <w:tc>
          <w:tcPr>
            <w:tcW w:w="1195" w:type="dxa"/>
          </w:tcPr>
          <w:p w14:paraId="12FBDE1C"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11.320,25</w:t>
            </w:r>
          </w:p>
        </w:tc>
        <w:tc>
          <w:tcPr>
            <w:tcW w:w="1887" w:type="dxa"/>
          </w:tcPr>
          <w:p w14:paraId="6384A126"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5.289,82</w:t>
            </w:r>
          </w:p>
        </w:tc>
        <w:tc>
          <w:tcPr>
            <w:tcW w:w="1984" w:type="dxa"/>
          </w:tcPr>
          <w:p w14:paraId="72272BDB" w14:textId="4C3E91C3" w:rsidR="005C558F" w:rsidRDefault="005C558F" w:rsidP="0033398C">
            <w:pPr>
              <w:spacing w:line="276" w:lineRule="auto"/>
              <w:jc w:val="center"/>
              <w:rPr>
                <w:rFonts w:ascii="Arial" w:hAnsi="Arial" w:cs="Arial"/>
                <w:sz w:val="22"/>
                <w:szCs w:val="24"/>
              </w:rPr>
            </w:pPr>
            <w:r>
              <w:rPr>
                <w:rFonts w:ascii="Arial" w:hAnsi="Arial" w:cs="Arial"/>
                <w:sz w:val="22"/>
                <w:szCs w:val="24"/>
              </w:rPr>
              <w:t>10,65</w:t>
            </w:r>
            <w:r w:rsidR="00D80D0A">
              <w:rPr>
                <w:rFonts w:ascii="Arial" w:hAnsi="Arial" w:cs="Arial"/>
                <w:sz w:val="22"/>
                <w:szCs w:val="24"/>
              </w:rPr>
              <w:t xml:space="preserve"> </w:t>
            </w:r>
            <w:r>
              <w:rPr>
                <w:rFonts w:ascii="Arial" w:hAnsi="Arial" w:cs="Arial"/>
                <w:sz w:val="22"/>
                <w:szCs w:val="24"/>
              </w:rPr>
              <w:t>%</w:t>
            </w:r>
          </w:p>
        </w:tc>
      </w:tr>
      <w:tr w:rsidR="005C558F" w14:paraId="7A7D98D2" w14:textId="77777777" w:rsidTr="0033398C">
        <w:trPr>
          <w:jc w:val="center"/>
        </w:trPr>
        <w:tc>
          <w:tcPr>
            <w:tcW w:w="3576" w:type="dxa"/>
          </w:tcPr>
          <w:p w14:paraId="693D9009" w14:textId="792E9A0D" w:rsidR="005C558F" w:rsidRDefault="005C558F" w:rsidP="0033398C">
            <w:pPr>
              <w:spacing w:line="276" w:lineRule="auto"/>
              <w:jc w:val="center"/>
              <w:rPr>
                <w:rFonts w:ascii="Arial" w:hAnsi="Arial" w:cs="Arial"/>
                <w:sz w:val="22"/>
                <w:szCs w:val="24"/>
              </w:rPr>
            </w:pPr>
            <w:r>
              <w:rPr>
                <w:rFonts w:ascii="Arial" w:hAnsi="Arial" w:cs="Arial"/>
                <w:sz w:val="22"/>
                <w:szCs w:val="24"/>
              </w:rPr>
              <w:t>Mancomunidad de Servicios Sociale</w:t>
            </w:r>
            <w:r w:rsidR="00E439FC">
              <w:rPr>
                <w:rFonts w:ascii="Arial" w:hAnsi="Arial" w:cs="Arial"/>
                <w:sz w:val="22"/>
                <w:szCs w:val="24"/>
              </w:rPr>
              <w:t>s</w:t>
            </w:r>
            <w:r>
              <w:rPr>
                <w:rFonts w:ascii="Arial" w:hAnsi="Arial" w:cs="Arial"/>
                <w:sz w:val="22"/>
                <w:szCs w:val="24"/>
              </w:rPr>
              <w:t xml:space="preserve"> de Base de la Zona de Olite</w:t>
            </w:r>
          </w:p>
        </w:tc>
        <w:tc>
          <w:tcPr>
            <w:tcW w:w="1195" w:type="dxa"/>
          </w:tcPr>
          <w:p w14:paraId="79CB8E1F"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12.783,07</w:t>
            </w:r>
          </w:p>
        </w:tc>
        <w:tc>
          <w:tcPr>
            <w:tcW w:w="1887" w:type="dxa"/>
          </w:tcPr>
          <w:p w14:paraId="111827D6" w14:textId="77777777" w:rsidR="005C558F" w:rsidRDefault="005C558F" w:rsidP="0033398C">
            <w:pPr>
              <w:spacing w:line="276" w:lineRule="auto"/>
              <w:jc w:val="center"/>
              <w:rPr>
                <w:rFonts w:ascii="Arial" w:hAnsi="Arial" w:cs="Arial"/>
                <w:sz w:val="22"/>
                <w:szCs w:val="24"/>
              </w:rPr>
            </w:pPr>
            <w:r>
              <w:rPr>
                <w:rFonts w:ascii="Arial" w:hAnsi="Arial" w:cs="Arial"/>
                <w:sz w:val="22"/>
                <w:szCs w:val="24"/>
              </w:rPr>
              <w:t>3.64</w:t>
            </w:r>
            <w:r w:rsidR="0033398C">
              <w:rPr>
                <w:rFonts w:ascii="Arial" w:hAnsi="Arial" w:cs="Arial"/>
                <w:sz w:val="22"/>
                <w:szCs w:val="24"/>
              </w:rPr>
              <w:t>6,62</w:t>
            </w:r>
          </w:p>
        </w:tc>
        <w:tc>
          <w:tcPr>
            <w:tcW w:w="1984" w:type="dxa"/>
          </w:tcPr>
          <w:p w14:paraId="66BCF7DC" w14:textId="176ACB12" w:rsidR="005C558F" w:rsidRDefault="0033398C" w:rsidP="0033398C">
            <w:pPr>
              <w:spacing w:line="276" w:lineRule="auto"/>
              <w:jc w:val="center"/>
              <w:rPr>
                <w:rFonts w:ascii="Arial" w:hAnsi="Arial" w:cs="Arial"/>
                <w:sz w:val="22"/>
                <w:szCs w:val="24"/>
              </w:rPr>
            </w:pPr>
            <w:r>
              <w:rPr>
                <w:rFonts w:ascii="Arial" w:hAnsi="Arial" w:cs="Arial"/>
                <w:sz w:val="22"/>
                <w:szCs w:val="24"/>
              </w:rPr>
              <w:t>14,29</w:t>
            </w:r>
            <w:r w:rsidR="00D80D0A">
              <w:rPr>
                <w:rFonts w:ascii="Arial" w:hAnsi="Arial" w:cs="Arial"/>
                <w:sz w:val="22"/>
                <w:szCs w:val="24"/>
              </w:rPr>
              <w:t xml:space="preserve"> </w:t>
            </w:r>
            <w:r>
              <w:rPr>
                <w:rFonts w:ascii="Arial" w:hAnsi="Arial" w:cs="Arial"/>
                <w:sz w:val="22"/>
                <w:szCs w:val="24"/>
              </w:rPr>
              <w:t>%</w:t>
            </w:r>
          </w:p>
        </w:tc>
      </w:tr>
    </w:tbl>
    <w:p w14:paraId="3F5CB1B1" w14:textId="77777777" w:rsidR="005C558F" w:rsidRPr="005C558F" w:rsidRDefault="005C558F" w:rsidP="005C558F">
      <w:pPr>
        <w:spacing w:line="360" w:lineRule="auto"/>
        <w:rPr>
          <w:rFonts w:ascii="Arial" w:hAnsi="Arial" w:cs="Arial"/>
          <w:sz w:val="32"/>
          <w:szCs w:val="24"/>
        </w:rPr>
      </w:pPr>
    </w:p>
    <w:p w14:paraId="6219A173" w14:textId="77777777" w:rsidR="005C558F"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En cuanto a “los motivos que ocasionan este incumplimiento”, cabe destacar lo siguiente:</w:t>
      </w:r>
    </w:p>
    <w:p w14:paraId="7FC48B31" w14:textId="77777777" w:rsidR="0033398C"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 xml:space="preserve">La cuantía establecida en el Decreto Foral 48/2020, de 15 de julio, responde a una estimación y no a la realidad específica de cada zona. Por tanto, las necesidades reales de cobertura anual no tienen por qué coincidir con la cuantía estimada. </w:t>
      </w:r>
    </w:p>
    <w:p w14:paraId="1870E787" w14:textId="77777777" w:rsidR="0033398C"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Por otro lado, las Ayudas de apoyo a procesos de inclusión social y/o emergencia social se integran en un sistema de cobertura de necesidades ampliado que comprende, entre otros, prestaciones como RG, IMV, Programa de asistencia material básica, Ayudas extraordinarias de Inclusión Social, etc.</w:t>
      </w:r>
    </w:p>
    <w:p w14:paraId="401118AB" w14:textId="77777777" w:rsidR="0033398C"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Las Ayudas de apoyo a procesos de inclusión social y/o emergencia social se vinculan a procesos de inclusión y están sujetas a una valoración social de las profesionales de los servicios sociales y, por tanto, la no justificación de la cuantía estimada implica considerar que la cobertura de necesidades en esa zona ha sido satisfecha por el sistema de cobertura de necesidades básicas.</w:t>
      </w:r>
    </w:p>
    <w:p w14:paraId="7F2EFF9A" w14:textId="58522DB4" w:rsidR="0033398C"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Y, por último, el Decreto Foral 48/2020, introdujo la financiación directa de las ayudas de inclusión y emergencia social en los convenios, superando el modelo anterior de subvenciones. Se establece (artículo 23.3) la obligatoriedad de justificar un mínimo del 20</w:t>
      </w:r>
      <w:r w:rsidR="005B5DD7" w:rsidRPr="005B5DD7">
        <w:rPr>
          <w:rFonts w:asciiTheme="minorHAnsi" w:hAnsiTheme="minorHAnsi" w:cstheme="minorHAnsi"/>
          <w:sz w:val="22"/>
          <w:szCs w:val="22"/>
        </w:rPr>
        <w:t xml:space="preserve"> </w:t>
      </w:r>
      <w:r w:rsidRPr="005B5DD7">
        <w:rPr>
          <w:rFonts w:asciiTheme="minorHAnsi" w:hAnsiTheme="minorHAnsi" w:cstheme="minorHAnsi"/>
          <w:sz w:val="22"/>
          <w:szCs w:val="22"/>
        </w:rPr>
        <w:t xml:space="preserve">% de la aportación foral en conceptos específicos (cómo se ha indicado dicha cifra tiene un carácter meramente estimativo), conforme a los requisitos del Anexo I de los convenios </w:t>
      </w:r>
      <w:r w:rsidR="00F26538" w:rsidRPr="005B5DD7">
        <w:rPr>
          <w:rFonts w:asciiTheme="minorHAnsi" w:eastAsiaTheme="minorHAnsi" w:hAnsiTheme="minorHAnsi" w:cstheme="minorHAnsi"/>
          <w:sz w:val="22"/>
          <w:szCs w:val="22"/>
          <w:lang w:eastAsia="en-US"/>
        </w:rPr>
        <w:t>plurianuales (</w:t>
      </w:r>
      <w:hyperlink w:anchor="anexo" w:history="1">
        <w:r w:rsidR="00F26538" w:rsidRPr="005B5DD7">
          <w:rPr>
            <w:rStyle w:val="Hipervnculo"/>
            <w:rFonts w:asciiTheme="minorHAnsi" w:eastAsiaTheme="minorHAnsi" w:hAnsiTheme="minorHAnsi" w:cstheme="minorHAnsi"/>
            <w:sz w:val="22"/>
            <w:szCs w:val="22"/>
            <w:lang w:eastAsia="en-US"/>
          </w:rPr>
          <w:t>Anexo</w:t>
        </w:r>
      </w:hyperlink>
      <w:r w:rsidR="00F26538" w:rsidRPr="005B5DD7">
        <w:rPr>
          <w:rFonts w:asciiTheme="minorHAnsi" w:eastAsiaTheme="minorHAnsi" w:hAnsiTheme="minorHAnsi" w:cstheme="minorHAnsi"/>
          <w:sz w:val="22"/>
          <w:szCs w:val="22"/>
          <w:lang w:eastAsia="en-US"/>
        </w:rPr>
        <w:t>).</w:t>
      </w:r>
      <w:r w:rsidR="00F26538" w:rsidRPr="005B5DD7">
        <w:rPr>
          <w:rFonts w:asciiTheme="minorHAnsi" w:hAnsiTheme="minorHAnsi" w:cstheme="minorHAnsi"/>
          <w:sz w:val="22"/>
          <w:szCs w:val="22"/>
        </w:rPr>
        <w:t xml:space="preserve"> </w:t>
      </w:r>
      <w:r w:rsidRPr="005B5DD7">
        <w:rPr>
          <w:rFonts w:asciiTheme="minorHAnsi" w:hAnsiTheme="minorHAnsi" w:cstheme="minorHAnsi"/>
          <w:sz w:val="22"/>
          <w:szCs w:val="22"/>
        </w:rPr>
        <w:t>Dado que los municipios pueden ampliar estos criterios mediante sus propias ordenanzas, es común que el gasto real en ayudas sociales sea superior al justificado bajo este decreto.</w:t>
      </w:r>
    </w:p>
    <w:p w14:paraId="1E9D1D98" w14:textId="63B046FA" w:rsidR="0033398C" w:rsidRPr="005B5DD7" w:rsidRDefault="0033398C"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Finalmente, en relación con “las medidas orientadas a corregir dicho incumplimiento”, cabe reiterar que las ayudas de inclusión y emergencia social se integran en un sistema ampliado de protección social, que se vinculan a procesos de inclusión individual y a la valoración técnica de profesionales públicos. Asimismo, dado que el umbral del 20</w:t>
      </w:r>
      <w:r w:rsidR="005B5DD7" w:rsidRPr="005B5DD7">
        <w:rPr>
          <w:rFonts w:asciiTheme="minorHAnsi" w:hAnsiTheme="minorHAnsi" w:cstheme="minorHAnsi"/>
          <w:sz w:val="22"/>
          <w:szCs w:val="22"/>
        </w:rPr>
        <w:t xml:space="preserve"> </w:t>
      </w:r>
      <w:r w:rsidRPr="005B5DD7">
        <w:rPr>
          <w:rFonts w:asciiTheme="minorHAnsi" w:hAnsiTheme="minorHAnsi" w:cstheme="minorHAnsi"/>
          <w:sz w:val="22"/>
          <w:szCs w:val="22"/>
        </w:rPr>
        <w:t>% posee una naturaleza estrictamente estimativa, su desviación tiene un carácter meramente administrativo. Por consiguiente, el Departamento seguirá cumpliendo estrictamente el DF48/2020.</w:t>
      </w:r>
    </w:p>
    <w:p w14:paraId="6AE4CEF1" w14:textId="438FEA87" w:rsidR="00F26538" w:rsidRPr="005B5DD7" w:rsidRDefault="00F26538" w:rsidP="005B5DD7">
      <w:pPr>
        <w:spacing w:after="120" w:line="276" w:lineRule="auto"/>
        <w:jc w:val="both"/>
        <w:rPr>
          <w:rFonts w:asciiTheme="minorHAnsi" w:hAnsiTheme="minorHAnsi" w:cstheme="minorHAnsi"/>
          <w:sz w:val="22"/>
          <w:szCs w:val="24"/>
        </w:rPr>
      </w:pPr>
    </w:p>
    <w:p w14:paraId="54722F50" w14:textId="77777777" w:rsidR="00F26538" w:rsidRPr="005B5DD7" w:rsidRDefault="00F26538" w:rsidP="005B5DD7">
      <w:pPr>
        <w:spacing w:after="120" w:line="276" w:lineRule="auto"/>
        <w:ind w:right="-1"/>
        <w:jc w:val="both"/>
        <w:rPr>
          <w:rFonts w:asciiTheme="minorHAnsi" w:eastAsiaTheme="minorHAnsi" w:hAnsiTheme="minorHAnsi" w:cstheme="minorHAnsi"/>
          <w:sz w:val="22"/>
          <w:szCs w:val="22"/>
          <w:lang w:eastAsia="en-US"/>
        </w:rPr>
      </w:pPr>
      <w:r w:rsidRPr="005B5DD7">
        <w:rPr>
          <w:rFonts w:asciiTheme="minorHAnsi" w:eastAsiaTheme="minorHAnsi" w:hAnsiTheme="minorHAnsi" w:cstheme="minorHAnsi"/>
          <w:sz w:val="22"/>
          <w:szCs w:val="22"/>
          <w:lang w:eastAsia="en-US"/>
        </w:rPr>
        <w:t>ANE</w:t>
      </w:r>
      <w:bookmarkStart w:id="0" w:name="anexo"/>
      <w:bookmarkEnd w:id="0"/>
      <w:r w:rsidRPr="005B5DD7">
        <w:rPr>
          <w:rFonts w:asciiTheme="minorHAnsi" w:eastAsiaTheme="minorHAnsi" w:hAnsiTheme="minorHAnsi" w:cstheme="minorHAnsi"/>
          <w:sz w:val="22"/>
          <w:szCs w:val="22"/>
          <w:lang w:eastAsia="en-US"/>
        </w:rPr>
        <w:t>XO</w:t>
      </w:r>
    </w:p>
    <w:p w14:paraId="3B8DE4BB" w14:textId="0767F55B" w:rsidR="00F26538" w:rsidRPr="005B5DD7" w:rsidRDefault="00A31BD8" w:rsidP="005B5DD7">
      <w:pPr>
        <w:spacing w:after="120" w:line="276" w:lineRule="auto"/>
        <w:jc w:val="both"/>
        <w:rPr>
          <w:rFonts w:asciiTheme="minorHAnsi" w:hAnsiTheme="minorHAnsi" w:cstheme="minorHAnsi"/>
          <w:b/>
          <w:sz w:val="22"/>
          <w:szCs w:val="22"/>
        </w:rPr>
      </w:pPr>
      <w:r w:rsidRPr="005B5DD7">
        <w:rPr>
          <w:rFonts w:asciiTheme="minorHAnsi" w:hAnsiTheme="minorHAnsi" w:cstheme="minorHAnsi"/>
          <w:b/>
          <w:sz w:val="22"/>
          <w:szCs w:val="22"/>
        </w:rPr>
        <w:t>Requisitos que deben cumplir las ayudas de apoyo a procesos de inclusión social y/o de emergencia social concedidas por las entidades locales para la justificación del gasto en cumplimiento de la cláusula quinta 2.1.c)</w:t>
      </w:r>
    </w:p>
    <w:p w14:paraId="4D8CBD83" w14:textId="77777777" w:rsidR="00F26538" w:rsidRPr="005B5DD7" w:rsidRDefault="00F26538"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 xml:space="preserve">Se entiende por ayudas de apoyo a procesos de inclusión social y/o de emergencia social, las ayudas gestionadas por las entidades locales titulares de servicios sociales de base de la Comunidad Foral de Navarra, destinadas a aquellas personas en situación de vulnerabilidad social y que tienen por objeto apoyar en los procesos de inclusión social y garantizar la cobertura </w:t>
      </w:r>
      <w:r w:rsidRPr="005B5DD7">
        <w:rPr>
          <w:rFonts w:asciiTheme="minorHAnsi" w:hAnsiTheme="minorHAnsi" w:cstheme="minorHAnsi"/>
          <w:sz w:val="22"/>
          <w:szCs w:val="22"/>
        </w:rPr>
        <w:lastRenderedPageBreak/>
        <w:t>de aquellas necesidades sociales apremiantes de forma inmediata a aquellas unidades familiares residentes en sus municipios y que según la valoración técnica así lo requieren.</w:t>
      </w:r>
    </w:p>
    <w:p w14:paraId="2B4F33CA"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sidRPr="005B5DD7">
        <w:rPr>
          <w:rFonts w:asciiTheme="minorHAnsi" w:hAnsiTheme="minorHAnsi" w:cstheme="minorHAnsi"/>
          <w:b/>
          <w:bCs/>
          <w:color w:val="333333"/>
          <w:sz w:val="22"/>
          <w:szCs w:val="22"/>
          <w:u w:val="single"/>
        </w:rPr>
        <w:t>Definiciones</w:t>
      </w:r>
    </w:p>
    <w:p w14:paraId="675228D3"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sidRPr="005B5DD7">
        <w:rPr>
          <w:rFonts w:asciiTheme="minorHAnsi" w:hAnsiTheme="minorHAnsi" w:cstheme="minorHAnsi"/>
          <w:b/>
          <w:i/>
          <w:color w:val="333333"/>
          <w:sz w:val="22"/>
          <w:szCs w:val="22"/>
        </w:rPr>
        <w:t>Ayuda de apoyo a procesos de inclusión social y/o de emergencia social</w:t>
      </w:r>
      <w:r w:rsidRPr="005B5DD7">
        <w:rPr>
          <w:rFonts w:asciiTheme="minorHAnsi" w:hAnsiTheme="minorHAnsi" w:cstheme="minorHAnsi"/>
          <w:color w:val="333333"/>
          <w:sz w:val="22"/>
          <w:szCs w:val="22"/>
        </w:rPr>
        <w:t>: prestación económica de pago único dirigida a las unidades familiares cuyos recursos económicos resulten insuficientes para hacer frente a gastos específicos, de carácter ordinario o extraordinario, necesarios para prevenir, evitar o paliar situaciones de exclusión social.</w:t>
      </w:r>
    </w:p>
    <w:p w14:paraId="55F51B51"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Estas prestaciones tienen las siguientes características:</w:t>
      </w:r>
    </w:p>
    <w:p w14:paraId="3725C526"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Carácter finalista, por cuanto deben destinarse únicamente al objeto para el que hayan sido concedidas.</w:t>
      </w:r>
    </w:p>
    <w:p w14:paraId="58EAD6A6"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Carácter personal e intransferible, en cuanto se dirige a la unidad familiar.</w:t>
      </w:r>
    </w:p>
    <w:p w14:paraId="443995AA"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Carácter inmediato en su tramitación, en cuanto que su gestión facilita el acceso a la ayuda a la mayor brevedad.</w:t>
      </w:r>
    </w:p>
    <w:p w14:paraId="69A12BD8"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Carácter complementario de la acción profesional, en cuanto se concibe como una medida de apoyo a la intervención desarrollada por el SSB con la unidad familiar.</w:t>
      </w:r>
    </w:p>
    <w:p w14:paraId="35449F29"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sidRPr="005B5DD7">
        <w:rPr>
          <w:rFonts w:asciiTheme="minorHAnsi" w:hAnsiTheme="minorHAnsi" w:cstheme="minorHAnsi"/>
          <w:b/>
          <w:i/>
          <w:color w:val="333333"/>
          <w:sz w:val="22"/>
          <w:szCs w:val="22"/>
        </w:rPr>
        <w:t>Unidad familiar de convivencia</w:t>
      </w:r>
      <w:r w:rsidRPr="005B5DD7">
        <w:rPr>
          <w:rFonts w:asciiTheme="minorHAnsi" w:hAnsiTheme="minorHAnsi" w:cstheme="minorHAnsi"/>
          <w:color w:val="333333"/>
          <w:sz w:val="22"/>
          <w:szCs w:val="22"/>
        </w:rPr>
        <w:t>: a los efectos previstos, incluye a la persona solicitante y, en su caso, a una o más personas que convivan con ésta unidas por relación conyugal o análoga relación de afectividad o de parentesco por consanguinidad hasta el segundo grado o hasta el primer grado de afinidad.</w:t>
      </w:r>
    </w:p>
    <w:p w14:paraId="249ABE4A" w14:textId="77777777" w:rsidR="00F26538" w:rsidRPr="005B5DD7" w:rsidRDefault="00F26538" w:rsidP="005B5DD7">
      <w:pPr>
        <w:numPr>
          <w:ilvl w:val="0"/>
          <w:numId w:val="3"/>
        </w:numPr>
        <w:spacing w:after="120" w:line="276" w:lineRule="auto"/>
        <w:ind w:left="426" w:firstLine="708"/>
        <w:jc w:val="both"/>
        <w:rPr>
          <w:rFonts w:asciiTheme="minorHAnsi" w:hAnsiTheme="minorHAnsi" w:cstheme="minorHAnsi"/>
          <w:color w:val="333333"/>
          <w:sz w:val="22"/>
          <w:szCs w:val="22"/>
        </w:rPr>
      </w:pPr>
      <w:r w:rsidRPr="005B5DD7">
        <w:rPr>
          <w:rFonts w:asciiTheme="minorHAnsi" w:hAnsiTheme="minorHAnsi" w:cstheme="minorHAnsi"/>
          <w:b/>
          <w:i/>
          <w:color w:val="333333"/>
          <w:sz w:val="22"/>
          <w:szCs w:val="22"/>
        </w:rPr>
        <w:t>Recursos económicos de la unidad familiar</w:t>
      </w:r>
      <w:r w:rsidRPr="005B5DD7">
        <w:rPr>
          <w:rFonts w:asciiTheme="minorHAnsi" w:hAnsiTheme="minorHAnsi" w:cstheme="minorHAnsi"/>
          <w:color w:val="333333"/>
          <w:sz w:val="22"/>
          <w:szCs w:val="22"/>
        </w:rPr>
        <w:t>: Se considerarán como tales los ingresos imputables a la misma y su patrimonio (bienes muebles y bienes inmuebles).</w:t>
      </w:r>
    </w:p>
    <w:p w14:paraId="3AFB6E83" w14:textId="77777777" w:rsidR="00F26538" w:rsidRPr="005B5DD7" w:rsidRDefault="00F26538" w:rsidP="005B5DD7">
      <w:pPr>
        <w:spacing w:after="120" w:line="276" w:lineRule="auto"/>
        <w:ind w:left="426"/>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Serán considerados ingresos de la unidad familiar los obtenidos por cualquiera de sus integrantes en el momento de la solicitud por cualquiera de los siguientes conceptos: </w:t>
      </w:r>
    </w:p>
    <w:p w14:paraId="4B386A35"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Rendimientos de trabajo por cuenta ajena o por actividades empresariales y profesionales (cuantías brutas deducida la cotización de la Seguridad Social y las cantidades abonadas por derechos pasivos, mutualidades de carácter obligatorio o similares), prestaciones y pensiones y cualquier otro ingreso mensual. </w:t>
      </w:r>
    </w:p>
    <w:p w14:paraId="554A2C80" w14:textId="77777777" w:rsidR="00F26538" w:rsidRPr="005B5DD7" w:rsidRDefault="00F26538" w:rsidP="005B5DD7">
      <w:pPr>
        <w:numPr>
          <w:ilvl w:val="0"/>
          <w:numId w:val="1"/>
        </w:num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Rendimientos netos de los bienes inmuebles (alquileres, arriendos…) diferentes a la vivienda de uso habitual. </w:t>
      </w:r>
    </w:p>
    <w:p w14:paraId="7B4BCF9A" w14:textId="77777777" w:rsidR="00F26538" w:rsidRPr="005B5DD7" w:rsidRDefault="00F26538" w:rsidP="005B5DD7">
      <w:pPr>
        <w:spacing w:after="120" w:line="276" w:lineRule="auto"/>
        <w:ind w:left="708" w:firstLine="426"/>
        <w:jc w:val="both"/>
        <w:rPr>
          <w:rFonts w:asciiTheme="minorHAnsi" w:hAnsiTheme="minorHAnsi" w:cstheme="minorHAnsi"/>
          <w:color w:val="FF0000"/>
          <w:sz w:val="22"/>
          <w:szCs w:val="22"/>
        </w:rPr>
      </w:pPr>
      <w:r w:rsidRPr="005B5DD7">
        <w:rPr>
          <w:rFonts w:asciiTheme="minorHAnsi" w:hAnsiTheme="minorHAnsi" w:cstheme="minorHAnsi"/>
          <w:sz w:val="22"/>
          <w:szCs w:val="22"/>
        </w:rPr>
        <w:t>Los bienes muebles y los bienes inmuebles se valorarán conforme a lo establecido en apartado 2 d) y e).</w:t>
      </w:r>
    </w:p>
    <w:p w14:paraId="0705EB02"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sidRPr="005B5DD7">
        <w:rPr>
          <w:rFonts w:asciiTheme="minorHAnsi" w:hAnsiTheme="minorHAnsi" w:cstheme="minorHAnsi"/>
          <w:b/>
          <w:bCs/>
          <w:color w:val="333333"/>
          <w:sz w:val="22"/>
          <w:szCs w:val="22"/>
          <w:u w:val="single"/>
        </w:rPr>
        <w:t>Requisitos de unidades familiares beneficiarias</w:t>
      </w:r>
    </w:p>
    <w:p w14:paraId="12CFCCA1" w14:textId="77777777" w:rsidR="00F26538" w:rsidRPr="005B5DD7" w:rsidRDefault="00F26538" w:rsidP="005B5DD7">
      <w:pPr>
        <w:spacing w:after="120" w:line="276" w:lineRule="auto"/>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Los Servicios Sociales de Base deberán comprobar el cumplimiento de los siguientes requisitos para el acceso a las ayudas de apoyo a los procesos de inclusión social y/o de emergencia de las unidades familiares:</w:t>
      </w:r>
    </w:p>
    <w:p w14:paraId="48E9E9BF" w14:textId="77777777"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lastRenderedPageBreak/>
        <w:t xml:space="preserve">La persona solicitante deberá ser mayor de 18 años, o menor emancipado con menores a su cargo. </w:t>
      </w:r>
    </w:p>
    <w:p w14:paraId="50B91323" w14:textId="77777777"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La unidad familiar deberá estar empadronada en cualquiera de las localidades de Comunidad Foral de Navarra.</w:t>
      </w:r>
    </w:p>
    <w:p w14:paraId="671FFBE1" w14:textId="3FEB8B79" w:rsidR="00F26538" w:rsidRPr="005B5DD7" w:rsidRDefault="00F26538" w:rsidP="005B5DD7">
      <w:pPr>
        <w:numPr>
          <w:ilvl w:val="0"/>
          <w:numId w:val="4"/>
        </w:numPr>
        <w:spacing w:after="120" w:line="276" w:lineRule="auto"/>
        <w:ind w:firstLine="414"/>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Los ingresos económicos mensuales de todos los miembros de la unidad familiar en el momento de la solicitud, según lo </w:t>
      </w:r>
      <w:r w:rsidRPr="005B5DD7">
        <w:rPr>
          <w:rFonts w:asciiTheme="minorHAnsi" w:hAnsiTheme="minorHAnsi" w:cstheme="minorHAnsi"/>
          <w:sz w:val="22"/>
          <w:szCs w:val="22"/>
        </w:rPr>
        <w:t>señalado en el punto 1.c,</w:t>
      </w:r>
      <w:r w:rsidRPr="005B5DD7">
        <w:rPr>
          <w:rFonts w:asciiTheme="minorHAnsi" w:hAnsiTheme="minorHAnsi" w:cstheme="minorHAnsi"/>
          <w:color w:val="333333"/>
          <w:sz w:val="22"/>
          <w:szCs w:val="22"/>
        </w:rPr>
        <w:t xml:space="preserve"> no deberán ser superiores a lo contemplado en la siguiente escala progresiva en función al número de miembros de la unidad familiar:</w:t>
      </w:r>
    </w:p>
    <w:p w14:paraId="4A527B78" w14:textId="77777777" w:rsidR="005B5DD7" w:rsidRPr="00F26538" w:rsidRDefault="005B5DD7" w:rsidP="005B5DD7">
      <w:pPr>
        <w:spacing w:after="240" w:line="360" w:lineRule="auto"/>
        <w:ind w:left="1134"/>
        <w:jc w:val="both"/>
        <w:rPr>
          <w:rFonts w:ascii="Arial" w:hAnsi="Arial" w:cs="Arial"/>
          <w:color w:val="333333"/>
          <w:sz w:val="22"/>
          <w:szCs w:val="22"/>
        </w:rPr>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4008"/>
      </w:tblGrid>
      <w:tr w:rsidR="00F26538" w:rsidRPr="00F26538" w14:paraId="01E2CF71" w14:textId="77777777" w:rsidTr="00DF00D9">
        <w:trPr>
          <w:trHeight w:val="640"/>
        </w:trPr>
        <w:tc>
          <w:tcPr>
            <w:tcW w:w="4073" w:type="dxa"/>
            <w:vAlign w:val="center"/>
          </w:tcPr>
          <w:p w14:paraId="510EE298"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NÚMERO DE MIEMBROS DE LA UNIDAD FAMILIAR</w:t>
            </w:r>
          </w:p>
        </w:tc>
        <w:tc>
          <w:tcPr>
            <w:tcW w:w="4008" w:type="dxa"/>
            <w:vAlign w:val="center"/>
          </w:tcPr>
          <w:p w14:paraId="4317C4B9"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 xml:space="preserve">CUANTÍA MÁXIMA INGRESOS MENSUALES </w:t>
            </w:r>
          </w:p>
        </w:tc>
      </w:tr>
      <w:tr w:rsidR="00F26538" w:rsidRPr="00F26538" w14:paraId="1B63AC8D" w14:textId="77777777" w:rsidTr="00DF00D9">
        <w:trPr>
          <w:trHeight w:val="304"/>
        </w:trPr>
        <w:tc>
          <w:tcPr>
            <w:tcW w:w="4073" w:type="dxa"/>
            <w:vAlign w:val="center"/>
          </w:tcPr>
          <w:p w14:paraId="753CDA8B"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1</w:t>
            </w:r>
          </w:p>
        </w:tc>
        <w:tc>
          <w:tcPr>
            <w:tcW w:w="4008" w:type="dxa"/>
            <w:vAlign w:val="center"/>
          </w:tcPr>
          <w:p w14:paraId="3A99050E" w14:textId="4BE936E4"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1.255 € x Unidad </w:t>
            </w:r>
            <w:r w:rsidR="001C25CF">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638677F7" w14:textId="77777777" w:rsidTr="00DF00D9">
        <w:trPr>
          <w:trHeight w:val="320"/>
        </w:trPr>
        <w:tc>
          <w:tcPr>
            <w:tcW w:w="4073" w:type="dxa"/>
            <w:vAlign w:val="center"/>
          </w:tcPr>
          <w:p w14:paraId="59DF551E"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2</w:t>
            </w:r>
          </w:p>
        </w:tc>
        <w:tc>
          <w:tcPr>
            <w:tcW w:w="4008" w:type="dxa"/>
            <w:vAlign w:val="center"/>
          </w:tcPr>
          <w:p w14:paraId="67D14D11" w14:textId="04A74480"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1.506 € x Unidad </w:t>
            </w:r>
            <w:r w:rsidR="001C25CF">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0C988A34" w14:textId="77777777" w:rsidTr="00DF00D9">
        <w:trPr>
          <w:trHeight w:val="320"/>
        </w:trPr>
        <w:tc>
          <w:tcPr>
            <w:tcW w:w="4073" w:type="dxa"/>
            <w:vAlign w:val="center"/>
          </w:tcPr>
          <w:p w14:paraId="38B5230F"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3 </w:t>
            </w:r>
          </w:p>
        </w:tc>
        <w:tc>
          <w:tcPr>
            <w:tcW w:w="4008" w:type="dxa"/>
            <w:vAlign w:val="center"/>
          </w:tcPr>
          <w:p w14:paraId="180ED89C"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sz w:val="22"/>
                <w:szCs w:val="22"/>
              </w:rPr>
              <w:t>1.631 € x Unidad familiar</w:t>
            </w:r>
          </w:p>
        </w:tc>
      </w:tr>
      <w:tr w:rsidR="00F26538" w:rsidRPr="00F26538" w14:paraId="38378312" w14:textId="77777777" w:rsidTr="00DF00D9">
        <w:trPr>
          <w:trHeight w:val="304"/>
        </w:trPr>
        <w:tc>
          <w:tcPr>
            <w:tcW w:w="4073" w:type="dxa"/>
            <w:vAlign w:val="center"/>
          </w:tcPr>
          <w:p w14:paraId="52FAA2D7"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4</w:t>
            </w:r>
          </w:p>
        </w:tc>
        <w:tc>
          <w:tcPr>
            <w:tcW w:w="4008" w:type="dxa"/>
            <w:vAlign w:val="center"/>
          </w:tcPr>
          <w:p w14:paraId="7445E38D"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sz w:val="22"/>
                <w:szCs w:val="22"/>
              </w:rPr>
              <w:t>1.757 € x Unidad familiar</w:t>
            </w:r>
          </w:p>
        </w:tc>
      </w:tr>
      <w:tr w:rsidR="00F26538" w:rsidRPr="00F26538" w14:paraId="4CC6E7B9" w14:textId="77777777" w:rsidTr="00DF00D9">
        <w:trPr>
          <w:trHeight w:val="320"/>
        </w:trPr>
        <w:tc>
          <w:tcPr>
            <w:tcW w:w="4073" w:type="dxa"/>
            <w:vAlign w:val="center"/>
          </w:tcPr>
          <w:p w14:paraId="44AC2447"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5</w:t>
            </w:r>
          </w:p>
        </w:tc>
        <w:tc>
          <w:tcPr>
            <w:tcW w:w="4008" w:type="dxa"/>
            <w:vAlign w:val="center"/>
          </w:tcPr>
          <w:p w14:paraId="1AF8905C" w14:textId="1FFB8305" w:rsidR="00F26538" w:rsidRPr="00F26538" w:rsidRDefault="00F26538" w:rsidP="00F26538">
            <w:pPr>
              <w:spacing w:line="360" w:lineRule="auto"/>
              <w:jc w:val="center"/>
              <w:rPr>
                <w:rFonts w:ascii="Arial" w:hAnsi="Arial" w:cs="Arial"/>
                <w:sz w:val="22"/>
                <w:szCs w:val="22"/>
              </w:rPr>
            </w:pPr>
            <w:r w:rsidRPr="00F26538">
              <w:rPr>
                <w:rFonts w:ascii="Arial" w:hAnsi="Arial" w:cs="Arial"/>
                <w:sz w:val="22"/>
                <w:szCs w:val="22"/>
              </w:rPr>
              <w:t>1.882 € x Unidad familiar</w:t>
            </w:r>
          </w:p>
        </w:tc>
      </w:tr>
      <w:tr w:rsidR="00F26538" w:rsidRPr="00F26538" w14:paraId="6C6D14AE" w14:textId="77777777" w:rsidTr="00DF00D9">
        <w:trPr>
          <w:trHeight w:val="304"/>
        </w:trPr>
        <w:tc>
          <w:tcPr>
            <w:tcW w:w="4073" w:type="dxa"/>
            <w:vAlign w:val="center"/>
          </w:tcPr>
          <w:p w14:paraId="05B476EF"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6 o más</w:t>
            </w:r>
          </w:p>
        </w:tc>
        <w:tc>
          <w:tcPr>
            <w:tcW w:w="4008" w:type="dxa"/>
            <w:vAlign w:val="center"/>
          </w:tcPr>
          <w:p w14:paraId="77435050" w14:textId="77777777" w:rsidR="00F26538" w:rsidRPr="00F26538" w:rsidRDefault="00F26538" w:rsidP="00F26538">
            <w:pPr>
              <w:spacing w:line="360" w:lineRule="auto"/>
              <w:jc w:val="center"/>
              <w:rPr>
                <w:rFonts w:ascii="Arial" w:hAnsi="Arial" w:cs="Arial"/>
                <w:sz w:val="22"/>
                <w:szCs w:val="22"/>
              </w:rPr>
            </w:pPr>
            <w:r w:rsidRPr="00F26538">
              <w:rPr>
                <w:rFonts w:ascii="Arial" w:hAnsi="Arial" w:cs="Arial"/>
                <w:sz w:val="22"/>
                <w:szCs w:val="22"/>
              </w:rPr>
              <w:t>2.008 € x Unidad familiar</w:t>
            </w:r>
          </w:p>
        </w:tc>
      </w:tr>
    </w:tbl>
    <w:p w14:paraId="2FBF4EB9" w14:textId="77777777" w:rsidR="00F26538" w:rsidRPr="00F26538" w:rsidRDefault="00F26538" w:rsidP="00F26538">
      <w:pPr>
        <w:spacing w:after="240" w:line="360" w:lineRule="auto"/>
        <w:ind w:firstLine="851"/>
        <w:jc w:val="both"/>
        <w:rPr>
          <w:rFonts w:ascii="Arial" w:hAnsi="Arial" w:cs="Arial"/>
          <w:color w:val="333333"/>
          <w:sz w:val="22"/>
          <w:szCs w:val="22"/>
        </w:rPr>
      </w:pPr>
    </w:p>
    <w:p w14:paraId="593BDE41" w14:textId="77777777"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Los bienes muebles de todos los miembros de la unidad familiar no deberán superar los bienes muebles computables establecidos en la Ley Foral 15/2016, de 11 de noviembre, por la que se regulan los derechos a la Inclusión Social y a la Renta Garantizada.</w:t>
      </w:r>
    </w:p>
    <w:p w14:paraId="68CA55A7" w14:textId="183A3592"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El valor catastral de los bienes inmuebles de todos los miembros de la unidad familiar, a excepción de la vivienda habitual, no deberá superar 10 veces la Renta Garantizada para una unidad familiar de un solo miembro en términos anuales</w:t>
      </w:r>
      <w:r w:rsidR="005B5DD7" w:rsidRPr="005B5DD7">
        <w:rPr>
          <w:rFonts w:asciiTheme="minorHAnsi" w:hAnsiTheme="minorHAnsi" w:cstheme="minorHAnsi"/>
          <w:sz w:val="22"/>
          <w:szCs w:val="22"/>
        </w:rPr>
        <w:t>.</w:t>
      </w:r>
      <w:r w:rsidRPr="005B5DD7">
        <w:rPr>
          <w:rFonts w:asciiTheme="minorHAnsi" w:hAnsiTheme="minorHAnsi" w:cstheme="minorHAnsi"/>
          <w:sz w:val="22"/>
          <w:szCs w:val="22"/>
        </w:rPr>
        <w:t xml:space="preserve"> Se exceptuará este requisito en aquellos casos en que quede justificada la imposibilidad de realización de dicho patrimonio.</w:t>
      </w:r>
    </w:p>
    <w:p w14:paraId="3544D30B" w14:textId="77777777" w:rsidR="00F26538" w:rsidRPr="005B5DD7" w:rsidRDefault="00F26538" w:rsidP="005B5DD7">
      <w:pPr>
        <w:numPr>
          <w:ilvl w:val="0"/>
          <w:numId w:val="4"/>
        </w:num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Presentar una situación que dificulte el afrontamiento de gastos específicos, cuyo abono es necesario para prevenir, evitar o paliar situaciones de exclusión social.</w:t>
      </w:r>
    </w:p>
    <w:p w14:paraId="2C610BA3" w14:textId="77777777" w:rsidR="00F26538" w:rsidRPr="005B5DD7" w:rsidRDefault="00F26538"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En el caso de que las unidades familiares solicitantes sean perceptoras de la Renta Garantizada, se entenderá que cumplen los puntos c), d) y e).</w:t>
      </w:r>
    </w:p>
    <w:p w14:paraId="3199E296"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sidRPr="005B5DD7">
        <w:rPr>
          <w:rFonts w:asciiTheme="minorHAnsi" w:hAnsiTheme="minorHAnsi" w:cstheme="minorHAnsi"/>
          <w:b/>
          <w:bCs/>
          <w:color w:val="333333"/>
          <w:sz w:val="22"/>
          <w:szCs w:val="22"/>
          <w:u w:val="single"/>
        </w:rPr>
        <w:t xml:space="preserve">Disponibilidad presupuestaria de la entidad local </w:t>
      </w:r>
    </w:p>
    <w:p w14:paraId="61F3BA76" w14:textId="0C25CE07" w:rsidR="00F26538" w:rsidRPr="005B5DD7" w:rsidRDefault="00F26538"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color w:val="333333"/>
          <w:sz w:val="22"/>
          <w:szCs w:val="22"/>
        </w:rPr>
        <w:t>La Entidad Local deberá destinar en el</w:t>
      </w:r>
      <w:r w:rsidRPr="005B5DD7">
        <w:rPr>
          <w:rFonts w:asciiTheme="minorHAnsi" w:hAnsiTheme="minorHAnsi" w:cstheme="minorHAnsi"/>
          <w:sz w:val="22"/>
          <w:szCs w:val="22"/>
        </w:rPr>
        <w:t xml:space="preserve"> Presupuesto de Gastos de cada año del periodo de vigencia del presente Convenio, al menos un 20</w:t>
      </w:r>
      <w:r w:rsidR="005B5DD7" w:rsidRPr="005B5DD7">
        <w:rPr>
          <w:rFonts w:asciiTheme="minorHAnsi" w:hAnsiTheme="minorHAnsi" w:cstheme="minorHAnsi"/>
          <w:sz w:val="22"/>
          <w:szCs w:val="22"/>
        </w:rPr>
        <w:t xml:space="preserve"> </w:t>
      </w:r>
      <w:r w:rsidRPr="005B5DD7">
        <w:rPr>
          <w:rFonts w:asciiTheme="minorHAnsi" w:hAnsiTheme="minorHAnsi" w:cstheme="minorHAnsi"/>
          <w:sz w:val="22"/>
          <w:szCs w:val="22"/>
        </w:rPr>
        <w:t>% de la cuantía financiada por el Gobierno de Navarra en concepto de Costes Específicos, que será concretada en la adenda al Convenio que se firmará por ambas partes anualmente, sin perjuicio de una mayor dotación presupuestaria en el ejercicio de sus competencias.</w:t>
      </w:r>
    </w:p>
    <w:p w14:paraId="1F9F3B14" w14:textId="77777777" w:rsidR="00F26538" w:rsidRPr="005B5DD7" w:rsidRDefault="00F26538" w:rsidP="005B5DD7">
      <w:pPr>
        <w:numPr>
          <w:ilvl w:val="0"/>
          <w:numId w:val="2"/>
        </w:numPr>
        <w:spacing w:after="120" w:line="276" w:lineRule="auto"/>
        <w:ind w:left="426" w:hanging="424"/>
        <w:jc w:val="both"/>
        <w:rPr>
          <w:rFonts w:asciiTheme="minorHAnsi" w:hAnsiTheme="minorHAnsi" w:cstheme="minorHAnsi"/>
          <w:b/>
          <w:bCs/>
          <w:color w:val="333333"/>
          <w:sz w:val="22"/>
          <w:szCs w:val="22"/>
          <w:u w:val="single"/>
        </w:rPr>
      </w:pPr>
      <w:r w:rsidRPr="005B5DD7">
        <w:rPr>
          <w:rFonts w:asciiTheme="minorHAnsi" w:hAnsiTheme="minorHAnsi" w:cstheme="minorHAnsi"/>
          <w:b/>
          <w:bCs/>
          <w:color w:val="333333"/>
          <w:sz w:val="22"/>
          <w:szCs w:val="22"/>
          <w:u w:val="single"/>
        </w:rPr>
        <w:lastRenderedPageBreak/>
        <w:t>Gastos justificables por la entidad local a efectos de este convenio</w:t>
      </w:r>
    </w:p>
    <w:p w14:paraId="2E94E866" w14:textId="77777777" w:rsidR="00F26538" w:rsidRPr="005B5DD7" w:rsidRDefault="00F26538"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color w:val="333333"/>
          <w:sz w:val="22"/>
          <w:szCs w:val="22"/>
        </w:rPr>
        <w:t xml:space="preserve">Se consideran gastos justificables aquellos que respondan a la naturaleza de las ayudas, resulten estrictamente necesarios, favorezcan los procesos de inclusión social de las personas y se realicen durante </w:t>
      </w:r>
      <w:r w:rsidRPr="005B5DD7">
        <w:rPr>
          <w:rFonts w:asciiTheme="minorHAnsi" w:hAnsiTheme="minorHAnsi" w:cstheme="minorHAnsi"/>
          <w:sz w:val="22"/>
          <w:szCs w:val="22"/>
        </w:rPr>
        <w:t>el periodo comprendido entre el 1 de enero y el 31 de diciembre de cada anualidad comprendida en el periodo de vigencia del presente Convenio.</w:t>
      </w:r>
    </w:p>
    <w:p w14:paraId="21A46A99" w14:textId="77777777" w:rsidR="00F26538" w:rsidRPr="005B5DD7" w:rsidRDefault="00F26538" w:rsidP="005B5DD7">
      <w:pPr>
        <w:spacing w:after="120" w:line="276" w:lineRule="auto"/>
        <w:jc w:val="both"/>
        <w:rPr>
          <w:rFonts w:asciiTheme="minorHAnsi" w:hAnsiTheme="minorHAnsi" w:cstheme="minorHAnsi"/>
          <w:sz w:val="22"/>
          <w:szCs w:val="22"/>
        </w:rPr>
      </w:pPr>
      <w:r w:rsidRPr="005B5DD7">
        <w:rPr>
          <w:rFonts w:asciiTheme="minorHAnsi" w:hAnsiTheme="minorHAnsi" w:cstheme="minorHAnsi"/>
          <w:sz w:val="22"/>
          <w:szCs w:val="22"/>
        </w:rPr>
        <w:t xml:space="preserve">Será justificable hasta la cuantía límite establecida en cada categoría o subcategoría, con un tope máximo por unidad familiar en su conjunto de 3.000 euros anuales. </w:t>
      </w:r>
    </w:p>
    <w:p w14:paraId="3B9A2562" w14:textId="77777777" w:rsidR="00F26538" w:rsidRPr="005B5DD7" w:rsidRDefault="00F26538" w:rsidP="005B5DD7">
      <w:pPr>
        <w:spacing w:after="120" w:line="276" w:lineRule="auto"/>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Los gastos justificables deberán estar incluidos en alguna de las categorías siguientes:</w:t>
      </w:r>
    </w:p>
    <w:p w14:paraId="2398E41D"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b/>
          <w:color w:val="333333"/>
          <w:sz w:val="22"/>
          <w:szCs w:val="22"/>
        </w:rPr>
        <w:t>a) Alojamiento</w:t>
      </w:r>
    </w:p>
    <w:p w14:paraId="3B73F943"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a.1) Pago del alquiler de la vivienda, pago de la cuota de préstamo hipotecario de la vivienda, pago de habitación en vivienda compartida, pago de otro tipo de alojamiento (pensión, hotel, etc.), gastos comunidad de vecinos.</w:t>
      </w:r>
    </w:p>
    <w:p w14:paraId="6B2E592D"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color w:val="333333"/>
          <w:sz w:val="22"/>
          <w:szCs w:val="22"/>
        </w:rPr>
        <w:t xml:space="preserve">La cuantía límite por este concepto será hasta un máximo </w:t>
      </w:r>
      <w:r w:rsidRPr="005B5DD7">
        <w:rPr>
          <w:rFonts w:asciiTheme="minorHAnsi" w:hAnsiTheme="minorHAnsi" w:cstheme="minorHAnsi"/>
          <w:sz w:val="22"/>
          <w:szCs w:val="22"/>
        </w:rPr>
        <w:t>de 3.000 euros anuales por unidad familiar.</w:t>
      </w:r>
    </w:p>
    <w:p w14:paraId="6C200B61"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 xml:space="preserve">a.2) Contrato de nueva vivienda en alquiler, que vaya a ser la residencia habitual real y efectiva de quien la solicita, cuando suponga un desembolso inicial extraordinario y con sus recursos económicos pueda garantizar el pago habitual de la vivienda. </w:t>
      </w:r>
    </w:p>
    <w:p w14:paraId="24618825"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La cuantía límite por este concepto será hasta un máximo de 2.000 euros anuales por unidad familiar.</w:t>
      </w:r>
    </w:p>
    <w:p w14:paraId="4CB0A950"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No será imputable a efectos de justificación, el gasto por este concepto de aquellas ayudas concedidas a unidades familiares que perciban en el momento de la solicitud ayudas para la misma finalidad reguladas en la Ley Foral 28/2018, de 26 de diciembre, sobre el derecho subjetivo a la vivienda en Navarra.</w:t>
      </w:r>
    </w:p>
    <w:p w14:paraId="305C52E8"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333333"/>
          <w:sz w:val="22"/>
          <w:szCs w:val="22"/>
        </w:rPr>
      </w:pPr>
      <w:r w:rsidRPr="005B5DD7">
        <w:rPr>
          <w:rFonts w:asciiTheme="minorHAnsi" w:hAnsiTheme="minorHAnsi" w:cstheme="minorHAnsi"/>
          <w:b/>
          <w:color w:val="333333"/>
          <w:sz w:val="22"/>
          <w:szCs w:val="22"/>
        </w:rPr>
        <w:t>b) Suministros básicos</w:t>
      </w:r>
    </w:p>
    <w:p w14:paraId="60E556E3"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b.1) Gastos de distribución de agua fría y otros servicios (alcantarillado, recogida de basura, etc.).</w:t>
      </w:r>
    </w:p>
    <w:p w14:paraId="59431CAD"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b.2) Gastos de electricidad, gas, calefacción y agua caliente central y otros combustibles (leña, carbón, gasoil para calefacción, etc.).</w:t>
      </w:r>
    </w:p>
    <w:p w14:paraId="7EB00D5C"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La cuantía límite por los conceptos b.1) y b.2) conjuntamente será hasta un máximo de 800 euros anuales por unidad familiar.</w:t>
      </w:r>
    </w:p>
    <w:p w14:paraId="42FD6D92"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b.3) Altas de contratos de suministros básicos de la vivienda habitual, se concederá como máximo la cuantía que suponga el coste del alta.</w:t>
      </w:r>
    </w:p>
    <w:p w14:paraId="0F614A4A"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La cuantía límite por este concepto será hasta un máximo </w:t>
      </w:r>
      <w:r w:rsidRPr="005B5DD7">
        <w:rPr>
          <w:rFonts w:asciiTheme="minorHAnsi" w:hAnsiTheme="minorHAnsi" w:cstheme="minorHAnsi"/>
          <w:sz w:val="22"/>
          <w:szCs w:val="22"/>
        </w:rPr>
        <w:t xml:space="preserve">de 2.000 euros </w:t>
      </w:r>
      <w:r w:rsidRPr="005B5DD7">
        <w:rPr>
          <w:rFonts w:asciiTheme="minorHAnsi" w:hAnsiTheme="minorHAnsi" w:cstheme="minorHAnsi"/>
          <w:color w:val="333333"/>
          <w:sz w:val="22"/>
          <w:szCs w:val="22"/>
        </w:rPr>
        <w:t>anuales por unidad familiar.</w:t>
      </w:r>
    </w:p>
    <w:p w14:paraId="226BC0F7"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No se contemplan los gastos de comunicación e información.</w:t>
      </w:r>
    </w:p>
    <w:p w14:paraId="1AD69388"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FF0000"/>
          <w:sz w:val="22"/>
          <w:szCs w:val="22"/>
        </w:rPr>
      </w:pPr>
      <w:r w:rsidRPr="005B5DD7">
        <w:rPr>
          <w:rFonts w:asciiTheme="minorHAnsi" w:hAnsiTheme="minorHAnsi" w:cstheme="minorHAnsi"/>
          <w:b/>
          <w:color w:val="333333"/>
          <w:sz w:val="22"/>
          <w:szCs w:val="22"/>
        </w:rPr>
        <w:t xml:space="preserve">c) </w:t>
      </w:r>
      <w:r w:rsidRPr="005B5DD7">
        <w:rPr>
          <w:rFonts w:asciiTheme="minorHAnsi" w:hAnsiTheme="minorHAnsi" w:cstheme="minorHAnsi"/>
          <w:b/>
          <w:sz w:val="22"/>
          <w:szCs w:val="22"/>
        </w:rPr>
        <w:t>Nutrición e higiene</w:t>
      </w:r>
    </w:p>
    <w:p w14:paraId="34E68D0B"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lastRenderedPageBreak/>
        <w:t>c.1) Gastos en alimentación diaria e higiene (elementos básicos para la higiene personal y del hogar) de las personas integrantes de la unidad familiar.</w:t>
      </w:r>
    </w:p>
    <w:p w14:paraId="0BBDA129" w14:textId="6E830D08"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La cuantía máxima anual para este concepto será la siguiente en función del número de miembros de la unidad familiar:</w:t>
      </w:r>
    </w:p>
    <w:p w14:paraId="3497D82E" w14:textId="77777777" w:rsidR="00F26538" w:rsidRPr="00F26538" w:rsidRDefault="00F26538" w:rsidP="00F26538">
      <w:pPr>
        <w:spacing w:after="240" w:line="360" w:lineRule="auto"/>
        <w:ind w:firstLine="851"/>
        <w:jc w:val="both"/>
        <w:rPr>
          <w:rFonts w:ascii="Arial" w:hAnsi="Arial" w:cs="Arial"/>
          <w:color w:val="333333"/>
          <w:sz w:val="22"/>
          <w:szCs w:val="22"/>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83"/>
      </w:tblGrid>
      <w:tr w:rsidR="00F26538" w:rsidRPr="00F26538" w14:paraId="177807B5" w14:textId="77777777" w:rsidTr="00DF00D9">
        <w:tc>
          <w:tcPr>
            <w:tcW w:w="3505" w:type="dxa"/>
            <w:vAlign w:val="center"/>
          </w:tcPr>
          <w:p w14:paraId="04DC6449"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MIEMBROS UNIDAD FAMILIAR</w:t>
            </w:r>
          </w:p>
        </w:tc>
        <w:tc>
          <w:tcPr>
            <w:tcW w:w="3583" w:type="dxa"/>
            <w:vAlign w:val="center"/>
          </w:tcPr>
          <w:p w14:paraId="15FFF573"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TOPES MÁXIMOS ANUALES</w:t>
            </w:r>
          </w:p>
        </w:tc>
      </w:tr>
      <w:tr w:rsidR="00F26538" w:rsidRPr="00F26538" w14:paraId="1918C47D" w14:textId="77777777" w:rsidTr="00DF00D9">
        <w:tc>
          <w:tcPr>
            <w:tcW w:w="3505" w:type="dxa"/>
            <w:vAlign w:val="center"/>
          </w:tcPr>
          <w:p w14:paraId="72CC76CE"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1 persona</w:t>
            </w:r>
          </w:p>
        </w:tc>
        <w:tc>
          <w:tcPr>
            <w:tcW w:w="3583" w:type="dxa"/>
            <w:vAlign w:val="center"/>
          </w:tcPr>
          <w:p w14:paraId="28F6A4B0" w14:textId="53E834F6"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500 euros/año Unidad </w:t>
            </w:r>
            <w:r w:rsidR="00E5155C">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0A7ADF59" w14:textId="77777777" w:rsidTr="00DF00D9">
        <w:tc>
          <w:tcPr>
            <w:tcW w:w="3505" w:type="dxa"/>
            <w:vAlign w:val="center"/>
          </w:tcPr>
          <w:p w14:paraId="6636AD00" w14:textId="6D557406"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2 persona</w:t>
            </w:r>
            <w:r w:rsidR="00E5155C">
              <w:rPr>
                <w:rFonts w:ascii="Arial" w:hAnsi="Arial" w:cs="Arial"/>
                <w:bCs/>
                <w:color w:val="333333"/>
                <w:sz w:val="22"/>
                <w:szCs w:val="22"/>
              </w:rPr>
              <w:t>s</w:t>
            </w:r>
          </w:p>
        </w:tc>
        <w:tc>
          <w:tcPr>
            <w:tcW w:w="3583" w:type="dxa"/>
            <w:vAlign w:val="center"/>
          </w:tcPr>
          <w:p w14:paraId="5A97BEAD" w14:textId="788A575B"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700 euros/año Unidad </w:t>
            </w:r>
            <w:r w:rsidR="00E5155C">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24C6BD87" w14:textId="77777777" w:rsidTr="00DF00D9">
        <w:tc>
          <w:tcPr>
            <w:tcW w:w="3505" w:type="dxa"/>
            <w:vAlign w:val="center"/>
          </w:tcPr>
          <w:p w14:paraId="26D70D69" w14:textId="02510CA2"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3 persona</w:t>
            </w:r>
            <w:r w:rsidR="00E5155C">
              <w:rPr>
                <w:rFonts w:ascii="Arial" w:hAnsi="Arial" w:cs="Arial"/>
                <w:bCs/>
                <w:color w:val="333333"/>
                <w:sz w:val="22"/>
                <w:szCs w:val="22"/>
              </w:rPr>
              <w:t>s</w:t>
            </w:r>
          </w:p>
        </w:tc>
        <w:tc>
          <w:tcPr>
            <w:tcW w:w="3583" w:type="dxa"/>
            <w:vAlign w:val="center"/>
          </w:tcPr>
          <w:p w14:paraId="232A31D7" w14:textId="14EF8332"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940 euros/año Unidad </w:t>
            </w:r>
            <w:r w:rsidR="00E5155C">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46BEEBF8" w14:textId="77777777" w:rsidTr="00DF00D9">
        <w:tc>
          <w:tcPr>
            <w:tcW w:w="3505" w:type="dxa"/>
            <w:vAlign w:val="center"/>
          </w:tcPr>
          <w:p w14:paraId="7761B543" w14:textId="25F29E9F"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4 persona</w:t>
            </w:r>
            <w:r w:rsidR="00E5155C">
              <w:rPr>
                <w:rFonts w:ascii="Arial" w:hAnsi="Arial" w:cs="Arial"/>
                <w:bCs/>
                <w:color w:val="333333"/>
                <w:sz w:val="22"/>
                <w:szCs w:val="22"/>
              </w:rPr>
              <w:t>s</w:t>
            </w:r>
          </w:p>
        </w:tc>
        <w:tc>
          <w:tcPr>
            <w:tcW w:w="3583" w:type="dxa"/>
            <w:vAlign w:val="center"/>
          </w:tcPr>
          <w:p w14:paraId="7A73C7A5" w14:textId="7562E0C2"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1.220 euros/año Unidad </w:t>
            </w:r>
            <w:r w:rsidR="00E5155C">
              <w:rPr>
                <w:rFonts w:ascii="Arial" w:hAnsi="Arial" w:cs="Arial"/>
                <w:bCs/>
                <w:color w:val="333333"/>
                <w:sz w:val="22"/>
                <w:szCs w:val="22"/>
              </w:rPr>
              <w:t>f</w:t>
            </w:r>
            <w:r w:rsidRPr="00F26538">
              <w:rPr>
                <w:rFonts w:ascii="Arial" w:hAnsi="Arial" w:cs="Arial"/>
                <w:bCs/>
                <w:color w:val="333333"/>
                <w:sz w:val="22"/>
                <w:szCs w:val="22"/>
              </w:rPr>
              <w:t>amiliar</w:t>
            </w:r>
          </w:p>
        </w:tc>
      </w:tr>
    </w:tbl>
    <w:p w14:paraId="256F59A5" w14:textId="77777777" w:rsidR="00F26538" w:rsidRPr="00F26538" w:rsidRDefault="00F26538" w:rsidP="00F26538">
      <w:pPr>
        <w:spacing w:after="240" w:line="360" w:lineRule="auto"/>
        <w:ind w:firstLine="851"/>
        <w:jc w:val="both"/>
        <w:rPr>
          <w:rFonts w:ascii="Arial" w:hAnsi="Arial" w:cs="Arial"/>
          <w:sz w:val="22"/>
          <w:szCs w:val="22"/>
        </w:rPr>
      </w:pPr>
    </w:p>
    <w:p w14:paraId="3BCECC88"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No será imputable a efectos de justificación, el gasto por este concepto de aquellas ayudas concedidas a unidades familiares que perciban en el momento de la solicitud la renta garantizada regulada en la Ley Foral 15/2016, de 11 de noviembre o normativa en vigor.</w:t>
      </w:r>
    </w:p>
    <w:p w14:paraId="07896316"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b/>
          <w:color w:val="FF0000"/>
          <w:sz w:val="22"/>
          <w:szCs w:val="22"/>
        </w:rPr>
      </w:pPr>
      <w:r w:rsidRPr="005B5DD7">
        <w:rPr>
          <w:rFonts w:asciiTheme="minorHAnsi" w:hAnsiTheme="minorHAnsi" w:cstheme="minorHAnsi"/>
          <w:b/>
          <w:color w:val="333333"/>
          <w:sz w:val="22"/>
          <w:szCs w:val="22"/>
        </w:rPr>
        <w:t>d</w:t>
      </w:r>
      <w:r w:rsidRPr="005B5DD7">
        <w:rPr>
          <w:rFonts w:asciiTheme="minorHAnsi" w:hAnsiTheme="minorHAnsi" w:cstheme="minorHAnsi"/>
          <w:b/>
          <w:sz w:val="22"/>
          <w:szCs w:val="22"/>
        </w:rPr>
        <w:t>) Formación e integración sociolaboral</w:t>
      </w:r>
    </w:p>
    <w:p w14:paraId="3CAB0920"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d.1) Gastos dirigidos a la participación en actividades formativas no regladas y/o sociolaborales dirigidas a la capacitación personal, dentro del proceso de inclusión</w:t>
      </w:r>
    </w:p>
    <w:p w14:paraId="0889EB11" w14:textId="77777777"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 xml:space="preserve">Hasta un máximo de 800 euros anuales por unidad familiar </w:t>
      </w:r>
    </w:p>
    <w:p w14:paraId="2E0BA7DE" w14:textId="77777777" w:rsidR="00F26538" w:rsidRPr="005B5DD7" w:rsidRDefault="00F26538" w:rsidP="005B5DD7">
      <w:pPr>
        <w:pBdr>
          <w:top w:val="single" w:sz="4" w:space="1" w:color="auto"/>
          <w:left w:val="single" w:sz="4" w:space="4" w:color="auto"/>
          <w:bottom w:val="single" w:sz="4" w:space="1" w:color="auto"/>
          <w:right w:val="single" w:sz="4" w:space="4" w:color="auto"/>
        </w:pBd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b/>
          <w:color w:val="333333"/>
          <w:sz w:val="22"/>
          <w:szCs w:val="22"/>
        </w:rPr>
        <w:t>e) Otras necesidades básicas</w:t>
      </w:r>
    </w:p>
    <w:p w14:paraId="1033CE70" w14:textId="77777777" w:rsidR="00F26538" w:rsidRPr="005B5DD7" w:rsidRDefault="00F26538" w:rsidP="005B5DD7">
      <w:pPr>
        <w:spacing w:after="120" w:line="276" w:lineRule="auto"/>
        <w:ind w:firstLine="851"/>
        <w:jc w:val="both"/>
        <w:rPr>
          <w:rFonts w:asciiTheme="minorHAnsi" w:hAnsiTheme="minorHAnsi" w:cstheme="minorHAnsi"/>
          <w:sz w:val="22"/>
          <w:szCs w:val="22"/>
        </w:rPr>
      </w:pPr>
      <w:r w:rsidRPr="005B5DD7">
        <w:rPr>
          <w:rFonts w:asciiTheme="minorHAnsi" w:hAnsiTheme="minorHAnsi" w:cstheme="minorHAnsi"/>
          <w:sz w:val="22"/>
          <w:szCs w:val="22"/>
        </w:rPr>
        <w:t>Se contemplarán en este apartado aquellas ayudas no especificadas en los apartados anteriores, siempre que se justifique mediante valoración técnica</w:t>
      </w:r>
      <w:r w:rsidRPr="005B5DD7">
        <w:rPr>
          <w:rFonts w:asciiTheme="minorHAnsi" w:hAnsiTheme="minorHAnsi" w:cstheme="minorHAnsi"/>
          <w:color w:val="FF0000"/>
          <w:sz w:val="22"/>
          <w:szCs w:val="22"/>
        </w:rPr>
        <w:t xml:space="preserve"> </w:t>
      </w:r>
      <w:r w:rsidRPr="005B5DD7">
        <w:rPr>
          <w:rFonts w:asciiTheme="minorHAnsi" w:hAnsiTheme="minorHAnsi" w:cstheme="minorHAnsi"/>
          <w:sz w:val="22"/>
          <w:szCs w:val="22"/>
        </w:rPr>
        <w:t>del SSB la necesidad de su concesión.</w:t>
      </w:r>
    </w:p>
    <w:p w14:paraId="2E83498C" w14:textId="17AC346C" w:rsidR="00F26538" w:rsidRPr="005B5DD7" w:rsidRDefault="00F26538" w:rsidP="005B5DD7">
      <w:pPr>
        <w:spacing w:after="120" w:line="276" w:lineRule="auto"/>
        <w:ind w:firstLine="851"/>
        <w:jc w:val="both"/>
        <w:rPr>
          <w:rFonts w:asciiTheme="minorHAnsi" w:hAnsiTheme="minorHAnsi" w:cstheme="minorHAnsi"/>
          <w:color w:val="333333"/>
          <w:sz w:val="22"/>
          <w:szCs w:val="22"/>
        </w:rPr>
      </w:pPr>
      <w:r w:rsidRPr="005B5DD7">
        <w:rPr>
          <w:rFonts w:asciiTheme="minorHAnsi" w:hAnsiTheme="minorHAnsi" w:cstheme="minorHAnsi"/>
          <w:color w:val="333333"/>
          <w:sz w:val="22"/>
          <w:szCs w:val="22"/>
        </w:rPr>
        <w:t>La cuantía máxima anual para este concepto será la siguiente en función del número de miembros de la unidad familiar:</w:t>
      </w:r>
    </w:p>
    <w:p w14:paraId="4463D758" w14:textId="77777777" w:rsidR="005B5DD7" w:rsidRPr="00F26538" w:rsidRDefault="005B5DD7" w:rsidP="00F26538">
      <w:pPr>
        <w:spacing w:after="240" w:line="360" w:lineRule="auto"/>
        <w:ind w:firstLine="851"/>
        <w:jc w:val="both"/>
        <w:rPr>
          <w:rFonts w:ascii="Arial" w:hAnsi="Arial" w:cs="Arial"/>
          <w:color w:val="333333"/>
          <w:sz w:val="22"/>
          <w:szCs w:val="22"/>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83"/>
      </w:tblGrid>
      <w:tr w:rsidR="00F26538" w:rsidRPr="00F26538" w14:paraId="0C449F41" w14:textId="77777777" w:rsidTr="00DF00D9">
        <w:tc>
          <w:tcPr>
            <w:tcW w:w="3505" w:type="dxa"/>
            <w:vAlign w:val="center"/>
          </w:tcPr>
          <w:p w14:paraId="7DA955CC"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MIEMBROS UNIDAD FAMILIAR</w:t>
            </w:r>
          </w:p>
        </w:tc>
        <w:tc>
          <w:tcPr>
            <w:tcW w:w="3583" w:type="dxa"/>
            <w:vAlign w:val="center"/>
          </w:tcPr>
          <w:p w14:paraId="644D806C" w14:textId="77777777" w:rsidR="00F26538" w:rsidRPr="00F26538" w:rsidRDefault="00F26538" w:rsidP="00F26538">
            <w:pPr>
              <w:spacing w:line="360" w:lineRule="auto"/>
              <w:jc w:val="center"/>
              <w:rPr>
                <w:rFonts w:ascii="Arial" w:hAnsi="Arial" w:cs="Arial"/>
                <w:b/>
                <w:bCs/>
                <w:color w:val="333333"/>
                <w:sz w:val="22"/>
                <w:szCs w:val="22"/>
              </w:rPr>
            </w:pPr>
            <w:r w:rsidRPr="00F26538">
              <w:rPr>
                <w:rFonts w:ascii="Arial" w:hAnsi="Arial" w:cs="Arial"/>
                <w:b/>
                <w:bCs/>
                <w:color w:val="333333"/>
                <w:sz w:val="22"/>
                <w:szCs w:val="22"/>
              </w:rPr>
              <w:t>TOPES MÁXIMOS ANUALES</w:t>
            </w:r>
          </w:p>
        </w:tc>
      </w:tr>
      <w:tr w:rsidR="00F26538" w:rsidRPr="00F26538" w14:paraId="4D807CFD" w14:textId="77777777" w:rsidTr="00DF00D9">
        <w:tc>
          <w:tcPr>
            <w:tcW w:w="3505" w:type="dxa"/>
            <w:vAlign w:val="center"/>
          </w:tcPr>
          <w:p w14:paraId="3F9E494B" w14:textId="77777777"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1 persona</w:t>
            </w:r>
          </w:p>
        </w:tc>
        <w:tc>
          <w:tcPr>
            <w:tcW w:w="3583" w:type="dxa"/>
            <w:vAlign w:val="center"/>
          </w:tcPr>
          <w:p w14:paraId="366EA36E" w14:textId="2706DA98"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500 euros/año Unidad </w:t>
            </w:r>
            <w:r w:rsidR="00D15CA5">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38C108D2" w14:textId="77777777" w:rsidTr="00DF00D9">
        <w:tc>
          <w:tcPr>
            <w:tcW w:w="3505" w:type="dxa"/>
            <w:vAlign w:val="center"/>
          </w:tcPr>
          <w:p w14:paraId="5547E16E" w14:textId="3A356130"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2 persona</w:t>
            </w:r>
            <w:r w:rsidR="00D15CA5">
              <w:rPr>
                <w:rFonts w:ascii="Arial" w:hAnsi="Arial" w:cs="Arial"/>
                <w:bCs/>
                <w:color w:val="333333"/>
                <w:sz w:val="22"/>
                <w:szCs w:val="22"/>
              </w:rPr>
              <w:t>s</w:t>
            </w:r>
          </w:p>
        </w:tc>
        <w:tc>
          <w:tcPr>
            <w:tcW w:w="3583" w:type="dxa"/>
            <w:vAlign w:val="center"/>
          </w:tcPr>
          <w:p w14:paraId="41A02BE7" w14:textId="15CD2B14"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700 euros/año Unidad </w:t>
            </w:r>
            <w:r w:rsidR="00D15CA5">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402DF7AD" w14:textId="77777777" w:rsidTr="00DF00D9">
        <w:tc>
          <w:tcPr>
            <w:tcW w:w="3505" w:type="dxa"/>
            <w:vAlign w:val="center"/>
          </w:tcPr>
          <w:p w14:paraId="607C3A34" w14:textId="2CDE5338"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3 persona</w:t>
            </w:r>
            <w:r w:rsidR="00D15CA5">
              <w:rPr>
                <w:rFonts w:ascii="Arial" w:hAnsi="Arial" w:cs="Arial"/>
                <w:bCs/>
                <w:color w:val="333333"/>
                <w:sz w:val="22"/>
                <w:szCs w:val="22"/>
              </w:rPr>
              <w:t>s</w:t>
            </w:r>
          </w:p>
        </w:tc>
        <w:tc>
          <w:tcPr>
            <w:tcW w:w="3583" w:type="dxa"/>
            <w:vAlign w:val="center"/>
          </w:tcPr>
          <w:p w14:paraId="18D1B589" w14:textId="71EAA300"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940 euros/año Unidad </w:t>
            </w:r>
            <w:r w:rsidR="00D15CA5">
              <w:rPr>
                <w:rFonts w:ascii="Arial" w:hAnsi="Arial" w:cs="Arial"/>
                <w:bCs/>
                <w:color w:val="333333"/>
                <w:sz w:val="22"/>
                <w:szCs w:val="22"/>
              </w:rPr>
              <w:t>f</w:t>
            </w:r>
            <w:r w:rsidRPr="00F26538">
              <w:rPr>
                <w:rFonts w:ascii="Arial" w:hAnsi="Arial" w:cs="Arial"/>
                <w:bCs/>
                <w:color w:val="333333"/>
                <w:sz w:val="22"/>
                <w:szCs w:val="22"/>
              </w:rPr>
              <w:t>amiliar</w:t>
            </w:r>
          </w:p>
        </w:tc>
      </w:tr>
      <w:tr w:rsidR="00F26538" w:rsidRPr="00F26538" w14:paraId="16E24477" w14:textId="77777777" w:rsidTr="00DF00D9">
        <w:tc>
          <w:tcPr>
            <w:tcW w:w="3505" w:type="dxa"/>
            <w:vAlign w:val="center"/>
          </w:tcPr>
          <w:p w14:paraId="3E837673" w14:textId="682B4A95"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4 persona</w:t>
            </w:r>
            <w:r w:rsidR="00D15CA5">
              <w:rPr>
                <w:rFonts w:ascii="Arial" w:hAnsi="Arial" w:cs="Arial"/>
                <w:bCs/>
                <w:color w:val="333333"/>
                <w:sz w:val="22"/>
                <w:szCs w:val="22"/>
              </w:rPr>
              <w:t>s</w:t>
            </w:r>
          </w:p>
        </w:tc>
        <w:tc>
          <w:tcPr>
            <w:tcW w:w="3583" w:type="dxa"/>
            <w:vAlign w:val="center"/>
          </w:tcPr>
          <w:p w14:paraId="5463E202" w14:textId="243F2492" w:rsidR="00F26538" w:rsidRPr="00F26538" w:rsidRDefault="00F26538" w:rsidP="00F26538">
            <w:pPr>
              <w:spacing w:line="360" w:lineRule="auto"/>
              <w:jc w:val="center"/>
              <w:rPr>
                <w:rFonts w:ascii="Arial" w:hAnsi="Arial" w:cs="Arial"/>
                <w:bCs/>
                <w:color w:val="333333"/>
                <w:sz w:val="22"/>
                <w:szCs w:val="22"/>
              </w:rPr>
            </w:pPr>
            <w:r w:rsidRPr="00F26538">
              <w:rPr>
                <w:rFonts w:ascii="Arial" w:hAnsi="Arial" w:cs="Arial"/>
                <w:bCs/>
                <w:color w:val="333333"/>
                <w:sz w:val="22"/>
                <w:szCs w:val="22"/>
              </w:rPr>
              <w:t xml:space="preserve">1.220 euros/año Unidad </w:t>
            </w:r>
            <w:r w:rsidR="00D15CA5">
              <w:rPr>
                <w:rFonts w:ascii="Arial" w:hAnsi="Arial" w:cs="Arial"/>
                <w:bCs/>
                <w:color w:val="333333"/>
                <w:sz w:val="22"/>
                <w:szCs w:val="22"/>
              </w:rPr>
              <w:t>f</w:t>
            </w:r>
            <w:r w:rsidRPr="00F26538">
              <w:rPr>
                <w:rFonts w:ascii="Arial" w:hAnsi="Arial" w:cs="Arial"/>
                <w:bCs/>
                <w:color w:val="333333"/>
                <w:sz w:val="22"/>
                <w:szCs w:val="22"/>
              </w:rPr>
              <w:t>amiliar</w:t>
            </w:r>
          </w:p>
        </w:tc>
      </w:tr>
    </w:tbl>
    <w:p w14:paraId="016945A0" w14:textId="77777777" w:rsidR="00F26538" w:rsidRPr="00F26538" w:rsidRDefault="00F26538" w:rsidP="00F26538">
      <w:pPr>
        <w:spacing w:line="360" w:lineRule="auto"/>
        <w:ind w:firstLine="851"/>
        <w:rPr>
          <w:rFonts w:ascii="Arial" w:hAnsi="Arial" w:cs="Arial"/>
          <w:b/>
          <w:bCs/>
          <w:color w:val="333333"/>
          <w:sz w:val="22"/>
          <w:szCs w:val="22"/>
        </w:rPr>
      </w:pPr>
    </w:p>
    <w:p w14:paraId="65A3B891" w14:textId="77777777" w:rsidR="003847ED" w:rsidRPr="005B5DD7" w:rsidRDefault="003847ED" w:rsidP="005B5DD7">
      <w:pPr>
        <w:spacing w:after="120" w:line="276" w:lineRule="auto"/>
        <w:jc w:val="both"/>
        <w:rPr>
          <w:rFonts w:asciiTheme="minorHAnsi" w:hAnsiTheme="minorHAnsi" w:cstheme="minorHAnsi"/>
          <w:sz w:val="22"/>
          <w:szCs w:val="24"/>
        </w:rPr>
      </w:pPr>
      <w:r w:rsidRPr="005B5DD7">
        <w:rPr>
          <w:rFonts w:asciiTheme="minorHAnsi" w:hAnsiTheme="minorHAnsi" w:cstheme="minorHAnsi"/>
          <w:sz w:val="22"/>
          <w:szCs w:val="24"/>
        </w:rPr>
        <w:t>Es cuanto informo en cumplimiento de lo dispuesto en el artículo 215 del Reglamento del Parlamento de Navarra.</w:t>
      </w:r>
    </w:p>
    <w:p w14:paraId="10EB8903" w14:textId="77777777" w:rsidR="003847ED" w:rsidRPr="005B5DD7" w:rsidRDefault="003847ED" w:rsidP="005B5DD7">
      <w:pPr>
        <w:spacing w:after="120" w:line="276" w:lineRule="auto"/>
        <w:jc w:val="both"/>
        <w:rPr>
          <w:rFonts w:asciiTheme="minorHAnsi" w:hAnsiTheme="minorHAnsi" w:cstheme="minorHAnsi"/>
          <w:sz w:val="22"/>
          <w:szCs w:val="24"/>
        </w:rPr>
      </w:pPr>
      <w:r w:rsidRPr="005B5DD7">
        <w:rPr>
          <w:rFonts w:asciiTheme="minorHAnsi" w:hAnsiTheme="minorHAnsi" w:cstheme="minorHAnsi"/>
          <w:sz w:val="22"/>
          <w:szCs w:val="24"/>
        </w:rPr>
        <w:t>Pamplona-Iruñea</w:t>
      </w:r>
      <w:r w:rsidR="0033398C" w:rsidRPr="005B5DD7">
        <w:rPr>
          <w:rFonts w:asciiTheme="minorHAnsi" w:hAnsiTheme="minorHAnsi" w:cstheme="minorHAnsi"/>
          <w:sz w:val="22"/>
          <w:szCs w:val="24"/>
        </w:rPr>
        <w:t>, 4 de febrero de 2026</w:t>
      </w:r>
    </w:p>
    <w:p w14:paraId="418BE465" w14:textId="12EFA228" w:rsidR="002D6AAC" w:rsidRPr="005B5DD7" w:rsidRDefault="005B5DD7" w:rsidP="005B5DD7">
      <w:pPr>
        <w:spacing w:after="120" w:line="276" w:lineRule="auto"/>
        <w:jc w:val="both"/>
        <w:rPr>
          <w:rFonts w:asciiTheme="minorHAnsi" w:hAnsiTheme="minorHAnsi" w:cstheme="minorHAnsi"/>
        </w:rPr>
      </w:pPr>
      <w:r w:rsidRPr="005B5DD7">
        <w:rPr>
          <w:rFonts w:asciiTheme="minorHAnsi" w:hAnsiTheme="minorHAnsi" w:cstheme="minorHAnsi"/>
          <w:sz w:val="22"/>
          <w:szCs w:val="24"/>
        </w:rPr>
        <w:lastRenderedPageBreak/>
        <w:t>La Consejera de Derechos Sociales, Economía Social y Empleo: María Carmen Maeztu Villafranca</w:t>
      </w:r>
    </w:p>
    <w:sectPr w:rsidR="002D6AAC" w:rsidRPr="005B5DD7" w:rsidSect="005C558F">
      <w:footerReference w:type="default" r:id="rId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3D2D" w14:textId="77777777" w:rsidR="00D72721" w:rsidRDefault="00D72721" w:rsidP="003847ED">
      <w:r>
        <w:separator/>
      </w:r>
    </w:p>
  </w:endnote>
  <w:endnote w:type="continuationSeparator" w:id="0">
    <w:p w14:paraId="6C3B2BAD" w14:textId="77777777" w:rsidR="00D72721" w:rsidRDefault="00D72721" w:rsidP="0038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5B57" w14:textId="77777777" w:rsidR="005C558F" w:rsidRDefault="005C558F" w:rsidP="005C558F">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9392" w14:textId="77777777" w:rsidR="00D72721" w:rsidRDefault="00D72721" w:rsidP="003847ED">
      <w:r>
        <w:separator/>
      </w:r>
    </w:p>
  </w:footnote>
  <w:footnote w:type="continuationSeparator" w:id="0">
    <w:p w14:paraId="5A09507F" w14:textId="77777777" w:rsidR="00D72721" w:rsidRDefault="00D72721" w:rsidP="0038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034"/>
    <w:multiLevelType w:val="hybridMultilevel"/>
    <w:tmpl w:val="54B4E1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8C535E"/>
    <w:multiLevelType w:val="hybridMultilevel"/>
    <w:tmpl w:val="ECEA644C"/>
    <w:lvl w:ilvl="0" w:tplc="8D36DCE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3F0B38"/>
    <w:multiLevelType w:val="hybridMultilevel"/>
    <w:tmpl w:val="F2786FD6"/>
    <w:lvl w:ilvl="0" w:tplc="EABCC21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572D13"/>
    <w:multiLevelType w:val="hybridMultilevel"/>
    <w:tmpl w:val="B7CE092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3"/>
    <w:rsid w:val="000643D4"/>
    <w:rsid w:val="001605C8"/>
    <w:rsid w:val="001C25CF"/>
    <w:rsid w:val="002D6AAC"/>
    <w:rsid w:val="0033398C"/>
    <w:rsid w:val="003847ED"/>
    <w:rsid w:val="005B5DD7"/>
    <w:rsid w:val="005C558F"/>
    <w:rsid w:val="00865F4C"/>
    <w:rsid w:val="00A31BD8"/>
    <w:rsid w:val="00B22A93"/>
    <w:rsid w:val="00BE045E"/>
    <w:rsid w:val="00C17DF6"/>
    <w:rsid w:val="00C73E2D"/>
    <w:rsid w:val="00D15CA5"/>
    <w:rsid w:val="00D72721"/>
    <w:rsid w:val="00D80D0A"/>
    <w:rsid w:val="00E439FC"/>
    <w:rsid w:val="00E5155C"/>
    <w:rsid w:val="00F265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6027"/>
  <w15:chartTrackingRefBased/>
  <w15:docId w15:val="{CE6E3A25-CB8C-4F3F-B556-C1CD2E7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ED"/>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47ED"/>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847ED"/>
  </w:style>
  <w:style w:type="paragraph" w:styleId="Piedepgina">
    <w:name w:val="footer"/>
    <w:basedOn w:val="Normal"/>
    <w:link w:val="PiedepginaCar"/>
    <w:unhideWhenUsed/>
    <w:rsid w:val="003847ED"/>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3847ED"/>
  </w:style>
  <w:style w:type="paragraph" w:styleId="Textoindependiente">
    <w:name w:val="Body Text"/>
    <w:basedOn w:val="Normal"/>
    <w:link w:val="TextoindependienteCar"/>
    <w:rsid w:val="003847ED"/>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3847ED"/>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3847ED"/>
  </w:style>
  <w:style w:type="table" w:styleId="Tablaconcuadrcula">
    <w:name w:val="Table Grid"/>
    <w:basedOn w:val="Tablanormal"/>
    <w:uiPriority w:val="39"/>
    <w:rsid w:val="005C5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605C8"/>
    <w:rPr>
      <w:sz w:val="16"/>
      <w:szCs w:val="16"/>
    </w:rPr>
  </w:style>
  <w:style w:type="paragraph" w:styleId="Textocomentario">
    <w:name w:val="annotation text"/>
    <w:basedOn w:val="Normal"/>
    <w:link w:val="TextocomentarioCar"/>
    <w:uiPriority w:val="99"/>
    <w:semiHidden/>
    <w:unhideWhenUsed/>
    <w:rsid w:val="001605C8"/>
  </w:style>
  <w:style w:type="character" w:customStyle="1" w:styleId="TextocomentarioCar">
    <w:name w:val="Texto comentario Car"/>
    <w:basedOn w:val="Fuentedeprrafopredeter"/>
    <w:link w:val="Textocomentario"/>
    <w:uiPriority w:val="99"/>
    <w:semiHidden/>
    <w:rsid w:val="001605C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605C8"/>
    <w:rPr>
      <w:b/>
      <w:bCs/>
    </w:rPr>
  </w:style>
  <w:style w:type="character" w:customStyle="1" w:styleId="AsuntodelcomentarioCar">
    <w:name w:val="Asunto del comentario Car"/>
    <w:basedOn w:val="TextocomentarioCar"/>
    <w:link w:val="Asuntodelcomentario"/>
    <w:uiPriority w:val="99"/>
    <w:semiHidden/>
    <w:rsid w:val="001605C8"/>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1605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5C8"/>
    <w:rPr>
      <w:rFonts w:ascii="Segoe UI" w:eastAsia="Times New Roman" w:hAnsi="Segoe UI" w:cs="Segoe UI"/>
      <w:sz w:val="18"/>
      <w:szCs w:val="18"/>
      <w:lang w:val="es-ES_tradnl" w:eastAsia="es-ES"/>
    </w:rPr>
  </w:style>
  <w:style w:type="character" w:styleId="Hipervnculo">
    <w:name w:val="Hyperlink"/>
    <w:basedOn w:val="Fuentedeprrafopredeter"/>
    <w:unhideWhenUsed/>
    <w:rsid w:val="00F26538"/>
    <w:rPr>
      <w:color w:val="0563C1" w:themeColor="hyperlink"/>
      <w:u w:val="single"/>
    </w:rPr>
  </w:style>
  <w:style w:type="character" w:styleId="Hipervnculovisitado">
    <w:name w:val="FollowedHyperlink"/>
    <w:basedOn w:val="Fuentedeprrafopredeter"/>
    <w:uiPriority w:val="99"/>
    <w:semiHidden/>
    <w:unhideWhenUsed/>
    <w:rsid w:val="00F26538"/>
    <w:rPr>
      <w:color w:val="954F72" w:themeColor="followedHyperlink"/>
      <w:u w:val="single"/>
    </w:rPr>
  </w:style>
  <w:style w:type="paragraph" w:styleId="Prrafodelista">
    <w:name w:val="List Paragraph"/>
    <w:basedOn w:val="Normal"/>
    <w:uiPriority w:val="34"/>
    <w:qFormat/>
    <w:rsid w:val="00F26538"/>
    <w:pPr>
      <w:ind w:left="720"/>
      <w:contextualSpacing/>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128B-C173-49B5-A27A-43FF06DB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1942</Words>
  <Characters>11770</Characters>
  <Application>Microsoft Office Word</Application>
  <DocSecurity>0</DocSecurity>
  <Lines>653</Lines>
  <Paragraphs>721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10</cp:revision>
  <dcterms:created xsi:type="dcterms:W3CDTF">2026-02-04T13:44:00Z</dcterms:created>
  <dcterms:modified xsi:type="dcterms:W3CDTF">2026-03-11T15:31:00Z</dcterms:modified>
</cp:coreProperties>
</file>