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2B8A" w14:textId="0A47076C" w:rsidR="00520FD6" w:rsidRPr="002A6349" w:rsidRDefault="005C5D95" w:rsidP="002A6349">
      <w:pPr>
        <w:autoSpaceDE w:val="0"/>
        <w:autoSpaceDN w:val="0"/>
        <w:adjustRightInd w:val="0"/>
        <w:spacing w:after="120" w:line="276" w:lineRule="auto"/>
        <w:jc w:val="both"/>
        <w:rPr>
          <w:rFonts w:asciiTheme="minorHAnsi" w:hAnsiTheme="minorHAnsi" w:cstheme="minorHAnsi"/>
          <w:sz w:val="22"/>
          <w:szCs w:val="22"/>
        </w:rPr>
      </w:pPr>
      <w:r>
        <w:rPr>
          <w:rFonts w:asciiTheme="minorHAnsi" w:hAnsiTheme="minorHAnsi"/>
          <w:sz w:val="22"/>
        </w:rPr>
        <w:t>UPN</w:t>
      </w:r>
      <w:r>
        <w:rPr>
          <w:rFonts w:asciiTheme="minorHAnsi" w:hAnsiTheme="minorHAnsi"/>
          <w:color w:val="FF0000"/>
          <w:sz w:val="22"/>
        </w:rPr>
        <w:t xml:space="preserve"> </w:t>
      </w:r>
      <w:r>
        <w:rPr>
          <w:rFonts w:asciiTheme="minorHAnsi" w:hAnsiTheme="minorHAnsi"/>
          <w:sz w:val="22"/>
        </w:rPr>
        <w:t>talde parlamentarioari atxikitako foru-parlamentari Francisco Javier Trigo Oubiña jaunak 11-26/PES-00042 idatzizko galdera egin zuen. Hona hemen Nafarroako Gobernuko Kultura, Kirol eta Turismoko kontseilariak horretaz ematen dion informazioa:</w:t>
      </w:r>
    </w:p>
    <w:p w14:paraId="5EAD9D30" w14:textId="71DEF61D"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Nafarroako errendimenduko kirola eta haren katalogazioak araututa daude otsailaren 22ko 9/2012 Foru Dekretuan, Nafarroako Foru Komunitateko errendimenduko kirola eta goi mailako kirolarien zerrenda arautzekoan.</w:t>
      </w:r>
      <w:r>
        <w:rPr>
          <w:rFonts w:asciiTheme="minorHAnsi" w:hAnsiTheme="minorHAnsi"/>
          <w:color w:val="333333"/>
          <w:sz w:val="22"/>
        </w:rPr>
        <w:t xml:space="preserve"> </w:t>
      </w:r>
      <w:r>
        <w:rPr>
          <w:rFonts w:asciiTheme="minorHAnsi" w:hAnsiTheme="minorHAnsi"/>
          <w:color w:val="000000"/>
          <w:sz w:val="22"/>
        </w:rPr>
        <w:t>Arauan, 3. artikuluan, estamentuak eta errendimenduko kirolaren maila hauek zehazten dira: Nafarroako goi mailako kirolaria, Nafarroako goi errendimenduko kirolaria, hobekuntzako kirolaria eta oinarrizko errendimenduko kirolaria.</w:t>
      </w:r>
    </w:p>
    <w:p w14:paraId="160EC1D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Gerora, 9/2012 Foru Dekretua garatu zuten, batetik, martxoaren 30eko 240/2015 Ebazpenak, Nafarroako Kirolaren eta Gazteriaren Institutuko zuzendari kudeatzaileak emanak —haren bidez Nafarroako goi mailako kirolari bihurtzeko bete behar diren kirol betebehar teknikoak aldatu baitziren, eta honako hauek arautzen baitira: Nafarroako errendimenduko kiroleko epaile, teknikari eta kirolari izaeraren iraunaldia, Foru Komunitateko kirol administrazioak Nafarroako errendimenduko kiroleko epaile, teknikari eta kirolariei ematen dizkien prestazioak eta, azkenik, kirol federazioen ziurtagiriaren eredua eta norbanakoen eskabidearen eredua Nafarroako Foru Komunitateko goi mailako kirolari, teknikari edo epaile izendatzeko—, eta bestetik, maiatzaren 29ko 329/2015 Foru Aginduak, Gizarte Politiketako kontseilariak emanak (prozedura arautzen duena Nafarroan goi errendimenduko kirolean, hobekuntzako kirolean eta oinarrizko errendimendukoan sartzeko).</w:t>
      </w:r>
    </w:p>
    <w:p w14:paraId="75FCD02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 xml:space="preserve">Araudi horretan maila guztietan Nafarroako errendimenduko kirolari gisa katalogatzeko behar diren irizpide orokorrak nahiz teknikoak azaltzen dira. </w:t>
      </w:r>
    </w:p>
    <w:p w14:paraId="53BD4094" w14:textId="1FFB2F0D"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Errendimenduko kirolariaren katalogazioarekin lotuta informazioa eskatutako kirolariek hirugarren postua erdietsi zuten Espainiako kluben 3x3 Saskibaloi Txapelketan (Cuencan, 2025eko ekainaren 13tik 15era bitartean, egin zen), zeinean, gizonezkoen kategorian, 40 taldek parte hartu baitzuten.</w:t>
      </w:r>
    </w:p>
    <w:p w14:paraId="63D57EED"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Kasu horretan, nabarmendu behar dugu absolutua baino beheragoko kategoria bat izanik emaitzak ez dakarrela Nafarroako goi mailako kirolari katalogatzea; izan ere, kategoria absolutukoak baino ez dira hartzen, ohiko bidean, Nafarroako goi mailakotzat, eta horrela ikusten da eskatutako sailkapeneko emaitzak erakusten dituzten tauletan, ikusgai aurretik esandako martxoaren 30eko 240/2015 Ebazpenaren I. eranskineko II. kapituluan. Aurkeztutako kasuan junior kategoriakoak dira; alegia, absolutua baino apalagoak.</w:t>
      </w:r>
    </w:p>
    <w:p w14:paraId="2C41FF58"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Txostenean baloratutako kirolariek ez dute betetzen, gainera, Nafarroako goi errendimenduko kirolari katalogatzeko baldintza teknikoetako bakar bat ere (errendimenduko kirolariaren 2. katalogazioa). Baldintzak maiatzaren 29ko 329/2015 Foru Aginduaren I. eranskineko 3. puntuan jasota daude.</w:t>
      </w:r>
    </w:p>
    <w:p w14:paraId="0881B01A"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Azkenik, 329/2015 Foru Aginduaren I. eranskineko 4. eta 5. puntuetan azaldutako kasuak ere ez dituzte betetzen; hau da, hobekuntza kirolariaren edo oinarrizko errendimenduko kirolariaren katalogazioan sartzeko kasuak, bertan batez ere Nafarroako Selekzioetako kirolariak daude.</w:t>
      </w:r>
    </w:p>
    <w:p w14:paraId="251185D2" w14:textId="403B7BDE" w:rsidR="00ED756C" w:rsidRPr="002A6349" w:rsidRDefault="00ED756C" w:rsidP="002A6349">
      <w:pPr>
        <w:autoSpaceDE w:val="0"/>
        <w:autoSpaceDN w:val="0"/>
        <w:adjustRightInd w:val="0"/>
        <w:spacing w:after="120" w:line="276" w:lineRule="auto"/>
        <w:jc w:val="both"/>
        <w:rPr>
          <w:rFonts w:asciiTheme="minorHAnsi" w:hAnsiTheme="minorHAnsi" w:cstheme="minorHAnsi"/>
          <w:b/>
          <w:color w:val="000000"/>
          <w:sz w:val="22"/>
          <w:szCs w:val="22"/>
        </w:rPr>
      </w:pPr>
      <w:r>
        <w:rPr>
          <w:rFonts w:asciiTheme="minorHAnsi" w:hAnsiTheme="minorHAnsi"/>
          <w:b/>
          <w:color w:val="000000"/>
          <w:sz w:val="22"/>
        </w:rPr>
        <w:t>ONDORIOA</w:t>
      </w:r>
      <w:r w:rsidR="00A00328">
        <w:rPr>
          <w:rFonts w:asciiTheme="minorHAnsi" w:hAnsiTheme="minorHAnsi"/>
          <w:b/>
          <w:color w:val="000000"/>
          <w:sz w:val="22"/>
        </w:rPr>
        <w:t>:</w:t>
      </w:r>
    </w:p>
    <w:p w14:paraId="4FBDA387" w14:textId="750206B3" w:rsidR="00ED756C" w:rsidRPr="002A6349" w:rsidRDefault="00ED756C" w:rsidP="002A6349">
      <w:pPr>
        <w:autoSpaceDE w:val="0"/>
        <w:autoSpaceDN w:val="0"/>
        <w:adjustRightInd w:val="0"/>
        <w:spacing w:after="120" w:line="276" w:lineRule="auto"/>
        <w:jc w:val="both"/>
        <w:rPr>
          <w:rFonts w:asciiTheme="minorHAnsi" w:hAnsiTheme="minorHAnsi" w:cstheme="minorHAnsi"/>
          <w:sz w:val="22"/>
          <w:szCs w:val="22"/>
        </w:rPr>
      </w:pPr>
      <w:r>
        <w:rPr>
          <w:rFonts w:asciiTheme="minorHAnsi" w:hAnsiTheme="minorHAnsi"/>
          <w:sz w:val="22"/>
        </w:rPr>
        <w:lastRenderedPageBreak/>
        <w:t>Baieztatzen ahal dugu, gaur gaurkoz, indarrean dagoen araudian oinarrituta, kontsultaren xede diren kirolariek EZ dituztela betetzen Nafarroako errendimenduko kirolari gisa katalogatzeko baldintza teknikoak.</w:t>
      </w:r>
    </w:p>
    <w:p w14:paraId="1905332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Garrantzitsua da nabarmentzea, halere, Errendimenduko Kirolaren Dekretu berria laster argitaratuko dela, eta kontuan hartuta zirriborro berrian eskatutako baldintza teknikoak, emaitza horrekin etorkizunean Nafarroako goi errendimenduko kirolari katalogatzeko aukera izanen luketela, parte hartutako autonomia-erkidegoen eta taldeen kopuruagatik, ondotiko taulan azaldu bezala.</w:t>
      </w:r>
    </w:p>
    <w:p w14:paraId="5AADA01E" w14:textId="77777777" w:rsidR="00ED756C" w:rsidRPr="00ED756C" w:rsidRDefault="00ED756C" w:rsidP="00ED756C">
      <w:pPr>
        <w:autoSpaceDE w:val="0"/>
        <w:autoSpaceDN w:val="0"/>
        <w:adjustRightInd w:val="0"/>
        <w:spacing w:line="360" w:lineRule="auto"/>
        <w:jc w:val="both"/>
        <w:rPr>
          <w:rFonts w:ascii="Garamond" w:hAnsi="Garamond" w:cstheme="majorHAnsi"/>
          <w:color w:val="000000"/>
        </w:rPr>
      </w:pPr>
    </w:p>
    <w:tbl>
      <w:tblPr>
        <w:tblStyle w:val="Tablaconcuadrcula"/>
        <w:tblW w:w="9073" w:type="dxa"/>
        <w:tblInd w:w="-289" w:type="dxa"/>
        <w:tblLook w:val="04A0" w:firstRow="1" w:lastRow="0" w:firstColumn="1" w:lastColumn="0" w:noHBand="0" w:noVBand="1"/>
      </w:tblPr>
      <w:tblGrid>
        <w:gridCol w:w="1554"/>
        <w:gridCol w:w="1408"/>
        <w:gridCol w:w="1382"/>
        <w:gridCol w:w="1189"/>
        <w:gridCol w:w="1108"/>
        <w:gridCol w:w="1027"/>
        <w:gridCol w:w="1405"/>
      </w:tblGrid>
      <w:tr w:rsidR="00ED756C" w14:paraId="3EFDEFAD" w14:textId="77777777" w:rsidTr="00855CD7">
        <w:tc>
          <w:tcPr>
            <w:tcW w:w="4548" w:type="dxa"/>
            <w:gridSpan w:val="3"/>
            <w:shd w:val="clear" w:color="auto" w:fill="D9D9D9" w:themeFill="background1" w:themeFillShade="D9"/>
          </w:tcPr>
          <w:p w14:paraId="51E495CF" w14:textId="77777777" w:rsidR="00ED756C" w:rsidRPr="00B905E5" w:rsidRDefault="00ED756C" w:rsidP="006935BC">
            <w:pPr>
              <w:autoSpaceDE w:val="0"/>
              <w:autoSpaceDN w:val="0"/>
              <w:adjustRightInd w:val="0"/>
              <w:jc w:val="center"/>
              <w:rPr>
                <w:rFonts w:asciiTheme="majorHAnsi" w:hAnsiTheme="majorHAnsi" w:cstheme="majorHAnsi"/>
                <w:b/>
                <w:color w:val="000000"/>
              </w:rPr>
            </w:pPr>
            <w:r>
              <w:rPr>
                <w:rFonts w:asciiTheme="majorHAnsi" w:hAnsiTheme="majorHAnsi"/>
                <w:b/>
                <w:color w:val="000000"/>
              </w:rPr>
              <w:t>JO / Munduko Tx. / Europako Tx.</w:t>
            </w:r>
          </w:p>
        </w:tc>
        <w:tc>
          <w:tcPr>
            <w:tcW w:w="3107" w:type="dxa"/>
            <w:gridSpan w:val="3"/>
            <w:shd w:val="clear" w:color="auto" w:fill="D9D9D9" w:themeFill="background1" w:themeFillShade="D9"/>
          </w:tcPr>
          <w:p w14:paraId="49540A27" w14:textId="77777777" w:rsidR="00ED756C" w:rsidRPr="00B905E5" w:rsidRDefault="00ED756C" w:rsidP="006935BC">
            <w:pPr>
              <w:autoSpaceDE w:val="0"/>
              <w:autoSpaceDN w:val="0"/>
              <w:adjustRightInd w:val="0"/>
              <w:jc w:val="center"/>
              <w:rPr>
                <w:rFonts w:asciiTheme="majorHAnsi" w:hAnsiTheme="majorHAnsi" w:cstheme="majorHAnsi"/>
                <w:b/>
                <w:color w:val="000000"/>
              </w:rPr>
            </w:pPr>
            <w:r>
              <w:rPr>
                <w:rFonts w:asciiTheme="majorHAnsi" w:hAnsiTheme="majorHAnsi"/>
                <w:b/>
                <w:color w:val="000000"/>
              </w:rPr>
              <w:t>Espainiako Tx. / Estatuko sailkapena</w:t>
            </w:r>
          </w:p>
          <w:p w14:paraId="38165FD9" w14:textId="69C7F204" w:rsidR="00ED756C" w:rsidRPr="00B905E5" w:rsidRDefault="00ED756C" w:rsidP="006935BC">
            <w:pPr>
              <w:autoSpaceDE w:val="0"/>
              <w:autoSpaceDN w:val="0"/>
              <w:adjustRightInd w:val="0"/>
              <w:jc w:val="center"/>
              <w:rPr>
                <w:rFonts w:asciiTheme="majorHAnsi" w:hAnsiTheme="majorHAnsi" w:cstheme="majorHAnsi"/>
                <w:b/>
                <w:color w:val="000000"/>
              </w:rPr>
            </w:pPr>
            <w:r>
              <w:rPr>
                <w:rFonts w:asciiTheme="majorHAnsi" w:hAnsiTheme="majorHAnsi"/>
                <w:b/>
                <w:color w:val="000000"/>
              </w:rPr>
              <w:t>75 pertzentila. % 25 TOP</w:t>
            </w:r>
          </w:p>
        </w:tc>
        <w:tc>
          <w:tcPr>
            <w:tcW w:w="1418" w:type="dxa"/>
            <w:shd w:val="clear" w:color="auto" w:fill="D9D9D9" w:themeFill="background1" w:themeFillShade="D9"/>
          </w:tcPr>
          <w:p w14:paraId="4D67CDF7" w14:textId="77777777" w:rsidR="00ED756C" w:rsidRPr="00B905E5" w:rsidRDefault="00ED756C" w:rsidP="006935BC">
            <w:pPr>
              <w:autoSpaceDE w:val="0"/>
              <w:autoSpaceDN w:val="0"/>
              <w:adjustRightInd w:val="0"/>
              <w:jc w:val="center"/>
              <w:rPr>
                <w:rFonts w:asciiTheme="majorHAnsi" w:hAnsiTheme="majorHAnsi" w:cstheme="majorHAnsi"/>
                <w:b/>
                <w:color w:val="000000"/>
              </w:rPr>
            </w:pPr>
            <w:r>
              <w:rPr>
                <w:rFonts w:asciiTheme="majorHAnsi" w:hAnsiTheme="majorHAnsi"/>
                <w:b/>
                <w:color w:val="000000"/>
              </w:rPr>
              <w:t>Parte hartutako taldeak (8 herrialde eta 4 autonomia-erkidego gutxienez)</w:t>
            </w:r>
          </w:p>
          <w:p w14:paraId="2255572C" w14:textId="77777777" w:rsidR="00ED756C" w:rsidRPr="00B905E5" w:rsidRDefault="00ED756C" w:rsidP="006935BC">
            <w:pPr>
              <w:autoSpaceDE w:val="0"/>
              <w:autoSpaceDN w:val="0"/>
              <w:adjustRightInd w:val="0"/>
              <w:jc w:val="center"/>
              <w:rPr>
                <w:rFonts w:asciiTheme="majorHAnsi" w:hAnsiTheme="majorHAnsi" w:cstheme="majorHAnsi"/>
                <w:b/>
                <w:color w:val="000000"/>
              </w:rPr>
            </w:pPr>
          </w:p>
        </w:tc>
      </w:tr>
      <w:tr w:rsidR="00ED756C" w14:paraId="5C083F61" w14:textId="77777777" w:rsidTr="00855CD7">
        <w:tc>
          <w:tcPr>
            <w:tcW w:w="1622" w:type="dxa"/>
          </w:tcPr>
          <w:p w14:paraId="2EE09EA2"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463" w:type="dxa"/>
          </w:tcPr>
          <w:p w14:paraId="7A327E12"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463" w:type="dxa"/>
          </w:tcPr>
          <w:p w14:paraId="7E1B74D7"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076" w:type="dxa"/>
          </w:tcPr>
          <w:p w14:paraId="7E5E697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4</w:t>
            </w:r>
          </w:p>
        </w:tc>
        <w:tc>
          <w:tcPr>
            <w:tcW w:w="934" w:type="dxa"/>
          </w:tcPr>
          <w:p w14:paraId="0701FDB0"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3</w:t>
            </w:r>
          </w:p>
        </w:tc>
        <w:tc>
          <w:tcPr>
            <w:tcW w:w="1097" w:type="dxa"/>
          </w:tcPr>
          <w:p w14:paraId="726E069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4</w:t>
            </w:r>
          </w:p>
        </w:tc>
        <w:tc>
          <w:tcPr>
            <w:tcW w:w="1418" w:type="dxa"/>
          </w:tcPr>
          <w:p w14:paraId="02002E98"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+20</w:t>
            </w:r>
          </w:p>
        </w:tc>
      </w:tr>
      <w:tr w:rsidR="00ED756C" w14:paraId="63725E0D" w14:textId="77777777" w:rsidTr="00855CD7">
        <w:tc>
          <w:tcPr>
            <w:tcW w:w="1622" w:type="dxa"/>
          </w:tcPr>
          <w:p w14:paraId="437454F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463" w:type="dxa"/>
          </w:tcPr>
          <w:p w14:paraId="60ED5C34"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463" w:type="dxa"/>
          </w:tcPr>
          <w:p w14:paraId="0CF71F1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076" w:type="dxa"/>
          </w:tcPr>
          <w:p w14:paraId="7F718EC5"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2</w:t>
            </w:r>
          </w:p>
        </w:tc>
        <w:tc>
          <w:tcPr>
            <w:tcW w:w="934" w:type="dxa"/>
          </w:tcPr>
          <w:p w14:paraId="427F29B5"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1</w:t>
            </w:r>
          </w:p>
        </w:tc>
        <w:tc>
          <w:tcPr>
            <w:tcW w:w="1097" w:type="dxa"/>
          </w:tcPr>
          <w:p w14:paraId="236FCE43"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2</w:t>
            </w:r>
          </w:p>
        </w:tc>
        <w:tc>
          <w:tcPr>
            <w:tcW w:w="1418" w:type="dxa"/>
          </w:tcPr>
          <w:p w14:paraId="13489B16"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10-20</w:t>
            </w:r>
          </w:p>
        </w:tc>
      </w:tr>
      <w:tr w:rsidR="00ED756C" w14:paraId="62E2F31F" w14:textId="77777777" w:rsidTr="00855CD7">
        <w:tc>
          <w:tcPr>
            <w:tcW w:w="1622" w:type="dxa"/>
          </w:tcPr>
          <w:p w14:paraId="358F085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463" w:type="dxa"/>
          </w:tcPr>
          <w:p w14:paraId="4B40CA5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463" w:type="dxa"/>
          </w:tcPr>
          <w:p w14:paraId="0F9FAE1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Parte-hartzea</w:t>
            </w:r>
          </w:p>
        </w:tc>
        <w:tc>
          <w:tcPr>
            <w:tcW w:w="1076" w:type="dxa"/>
          </w:tcPr>
          <w:p w14:paraId="7BE7A36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1</w:t>
            </w:r>
          </w:p>
        </w:tc>
        <w:tc>
          <w:tcPr>
            <w:tcW w:w="934" w:type="dxa"/>
          </w:tcPr>
          <w:p w14:paraId="007516A4"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1</w:t>
            </w:r>
          </w:p>
        </w:tc>
        <w:tc>
          <w:tcPr>
            <w:tcW w:w="1097" w:type="dxa"/>
          </w:tcPr>
          <w:p w14:paraId="26F2523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1</w:t>
            </w:r>
          </w:p>
        </w:tc>
        <w:tc>
          <w:tcPr>
            <w:tcW w:w="1418" w:type="dxa"/>
          </w:tcPr>
          <w:p w14:paraId="3949E500"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5-10</w:t>
            </w:r>
          </w:p>
        </w:tc>
      </w:tr>
      <w:tr w:rsidR="00ED756C" w14:paraId="4466B917" w14:textId="77777777" w:rsidTr="00855CD7">
        <w:tc>
          <w:tcPr>
            <w:tcW w:w="1622" w:type="dxa"/>
          </w:tcPr>
          <w:p w14:paraId="3795E4B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Absolutua</w:t>
            </w:r>
          </w:p>
        </w:tc>
        <w:tc>
          <w:tcPr>
            <w:tcW w:w="1463" w:type="dxa"/>
          </w:tcPr>
          <w:p w14:paraId="0C75503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Txikiagoa</w:t>
            </w:r>
          </w:p>
        </w:tc>
        <w:tc>
          <w:tcPr>
            <w:tcW w:w="1463" w:type="dxa"/>
          </w:tcPr>
          <w:p w14:paraId="0B937693"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Txik. Abs.</w:t>
            </w:r>
          </w:p>
        </w:tc>
        <w:tc>
          <w:tcPr>
            <w:tcW w:w="1076" w:type="dxa"/>
          </w:tcPr>
          <w:p w14:paraId="33388D0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Absolutua</w:t>
            </w:r>
          </w:p>
        </w:tc>
        <w:tc>
          <w:tcPr>
            <w:tcW w:w="934" w:type="dxa"/>
          </w:tcPr>
          <w:p w14:paraId="1B8795D9"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Txikiagoa</w:t>
            </w:r>
          </w:p>
        </w:tc>
        <w:tc>
          <w:tcPr>
            <w:tcW w:w="1097" w:type="dxa"/>
          </w:tcPr>
          <w:p w14:paraId="3B8C57C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olor w:val="000000"/>
              </w:rPr>
              <w:t>Txik. Abs.</w:t>
            </w:r>
          </w:p>
        </w:tc>
        <w:tc>
          <w:tcPr>
            <w:tcW w:w="1418" w:type="dxa"/>
          </w:tcPr>
          <w:p w14:paraId="12117FF6" w14:textId="77777777" w:rsidR="00ED756C" w:rsidRDefault="00ED756C" w:rsidP="006935BC">
            <w:pPr>
              <w:autoSpaceDE w:val="0"/>
              <w:autoSpaceDN w:val="0"/>
              <w:adjustRightInd w:val="0"/>
              <w:jc w:val="both"/>
              <w:rPr>
                <w:rFonts w:asciiTheme="majorHAnsi" w:hAnsiTheme="majorHAnsi" w:cstheme="majorHAnsi"/>
                <w:color w:val="000000"/>
              </w:rPr>
            </w:pPr>
          </w:p>
        </w:tc>
      </w:tr>
    </w:tbl>
    <w:p w14:paraId="33D76E17" w14:textId="77777777" w:rsidR="00ED756C" w:rsidRDefault="00ED756C" w:rsidP="00ED756C">
      <w:pPr>
        <w:autoSpaceDE w:val="0"/>
        <w:autoSpaceDN w:val="0"/>
        <w:adjustRightInd w:val="0"/>
        <w:jc w:val="both"/>
        <w:rPr>
          <w:rFonts w:asciiTheme="majorHAnsi" w:hAnsiTheme="majorHAnsi" w:cstheme="majorHAnsi"/>
          <w:color w:val="000000"/>
        </w:rPr>
      </w:pPr>
    </w:p>
    <w:p w14:paraId="2A956D04"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Pr>
          <w:rFonts w:asciiTheme="minorHAnsi" w:hAnsiTheme="minorHAnsi"/>
          <w:color w:val="000000"/>
          <w:sz w:val="22"/>
        </w:rPr>
        <w:t>Espainiako Txapelketaren mailan bai autonomia-erkidegoen araberako txapelketak, bai kluben araberako txapelketak hartuko dira kontuan.</w:t>
      </w:r>
    </w:p>
    <w:p w14:paraId="7D495F6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b/>
          <w:i/>
          <w:sz w:val="22"/>
          <w:szCs w:val="22"/>
        </w:rPr>
      </w:pPr>
      <w:r>
        <w:rPr>
          <w:rFonts w:asciiTheme="minorHAnsi" w:hAnsiTheme="minorHAnsi"/>
          <w:b/>
          <w:i/>
          <w:sz w:val="22"/>
        </w:rPr>
        <w:t>LOTUTAKO ARAUDIA:</w:t>
      </w:r>
    </w:p>
    <w:p w14:paraId="3225DED1" w14:textId="77777777" w:rsidR="00ED756C" w:rsidRPr="002A6349" w:rsidRDefault="00ED756C" w:rsidP="002A6349">
      <w:pPr>
        <w:pStyle w:val="Prrafodelista"/>
        <w:numPr>
          <w:ilvl w:val="0"/>
          <w:numId w:val="11"/>
        </w:numPr>
        <w:autoSpaceDE w:val="0"/>
        <w:autoSpaceDN w:val="0"/>
        <w:adjustRightInd w:val="0"/>
        <w:spacing w:after="120" w:line="276" w:lineRule="auto"/>
        <w:contextualSpacing/>
        <w:jc w:val="both"/>
        <w:rPr>
          <w:rFonts w:asciiTheme="minorHAnsi" w:hAnsiTheme="minorHAnsi" w:cstheme="minorHAnsi"/>
          <w:sz w:val="22"/>
          <w:szCs w:val="22"/>
        </w:rPr>
      </w:pPr>
      <w:r>
        <w:rPr>
          <w:rFonts w:asciiTheme="minorHAnsi" w:hAnsiTheme="minorHAnsi"/>
          <w:sz w:val="22"/>
        </w:rPr>
        <w:t>9/2012 Foru Dekretua, otsailaren 22koa, Nafarroako Foru Komunitateko errendimenduko kirola eta goi mailako kirolarien zerrenda arautzen dituena. http://www.lexnavarra.navarra.es/detalle.asp?r=5925761</w:t>
      </w:r>
    </w:p>
    <w:p w14:paraId="71E1D4FD" w14:textId="40EA1653" w:rsidR="00ED756C" w:rsidRPr="002A6349" w:rsidRDefault="002A6349" w:rsidP="002A6349">
      <w:pPr>
        <w:pStyle w:val="Prrafodelista"/>
        <w:numPr>
          <w:ilvl w:val="0"/>
          <w:numId w:val="11"/>
        </w:numPr>
        <w:autoSpaceDE w:val="0"/>
        <w:autoSpaceDN w:val="0"/>
        <w:adjustRightInd w:val="0"/>
        <w:spacing w:after="120" w:line="276" w:lineRule="auto"/>
        <w:contextualSpacing/>
        <w:jc w:val="both"/>
        <w:rPr>
          <w:rFonts w:asciiTheme="minorHAnsi" w:hAnsiTheme="minorHAnsi" w:cstheme="minorHAnsi"/>
          <w:sz w:val="22"/>
          <w:szCs w:val="22"/>
        </w:rPr>
      </w:pPr>
      <w:r>
        <w:rPr>
          <w:rFonts w:asciiTheme="minorHAnsi" w:hAnsiTheme="minorHAnsi"/>
          <w:sz w:val="22"/>
        </w:rPr>
        <w:t>240/2015 Ebazpena, martxoaren 30ekoa, Nafarroako Kirolaren eta Gazteriaren Institutuko zuzendari kudeatzaileak emana, Nafarroako goi mailako kirolari izateko kirol betekizun teknikoak aldatu eta Nafarroako errendimenduko kiroleko epaile, teknikari eta kirolari izaeraren iraunaldia, Foru Komunitateko kirol administrazioak Nafarroako errendimenduko kiroleko epaile, teknikari eta kirolariei ematen dizkien prestazioak eta kirol federazioen ziurtagiriaren eredua eta Nafarroako Foru Komunitateko goi mailako kirolari, teknikari edo epaile izateko norbanakoen eskabidearena arautzen dituena.</w:t>
      </w:r>
    </w:p>
    <w:p w14:paraId="7FB4CF50" w14:textId="77777777" w:rsidR="00ED756C" w:rsidRPr="002A6349" w:rsidRDefault="00ED756C" w:rsidP="002A6349">
      <w:pPr>
        <w:autoSpaceDE w:val="0"/>
        <w:autoSpaceDN w:val="0"/>
        <w:adjustRightInd w:val="0"/>
        <w:spacing w:after="120" w:line="276" w:lineRule="auto"/>
        <w:ind w:firstLine="708"/>
        <w:jc w:val="both"/>
        <w:rPr>
          <w:rFonts w:asciiTheme="minorHAnsi" w:hAnsiTheme="minorHAnsi" w:cstheme="minorHAnsi"/>
          <w:sz w:val="22"/>
          <w:szCs w:val="22"/>
        </w:rPr>
      </w:pPr>
      <w:r>
        <w:rPr>
          <w:rFonts w:asciiTheme="minorHAnsi" w:hAnsiTheme="minorHAnsi"/>
          <w:sz w:val="22"/>
        </w:rPr>
        <w:t>https://bon.navarra.es/eu/iragarkia/-/texto/2015/85/8/</w:t>
      </w:r>
    </w:p>
    <w:p w14:paraId="5682355C" w14:textId="77777777" w:rsidR="00ED756C" w:rsidRPr="002A6349" w:rsidRDefault="00ED756C" w:rsidP="002A6349">
      <w:pPr>
        <w:pStyle w:val="Prrafodelista"/>
        <w:numPr>
          <w:ilvl w:val="0"/>
          <w:numId w:val="12"/>
        </w:numPr>
        <w:autoSpaceDE w:val="0"/>
        <w:autoSpaceDN w:val="0"/>
        <w:adjustRightInd w:val="0"/>
        <w:spacing w:after="120" w:line="276" w:lineRule="auto"/>
        <w:contextualSpacing/>
        <w:jc w:val="both"/>
        <w:rPr>
          <w:rFonts w:asciiTheme="minorHAnsi" w:hAnsiTheme="minorHAnsi" w:cstheme="minorHAnsi"/>
          <w:sz w:val="22"/>
          <w:szCs w:val="22"/>
        </w:rPr>
      </w:pPr>
      <w:r>
        <w:rPr>
          <w:rFonts w:asciiTheme="minorHAnsi" w:hAnsiTheme="minorHAnsi"/>
          <w:sz w:val="22"/>
        </w:rPr>
        <w:lastRenderedPageBreak/>
        <w:t>329/2015 Foru Agindua, maiatzaren 29koa, Gizarte Politiketako kontseilariak emana, prozedura arautzen duena Nafarroan goi errendimenduko kirolean, hobekuntzako kirolean eta oinarrizko errendimendukoan sartzeko.</w:t>
      </w:r>
    </w:p>
    <w:p w14:paraId="5C45E9A8" w14:textId="77777777" w:rsidR="00ED756C" w:rsidRPr="002A6349" w:rsidRDefault="00ED756C" w:rsidP="002A6349">
      <w:pPr>
        <w:pStyle w:val="Prrafodelista"/>
        <w:autoSpaceDE w:val="0"/>
        <w:autoSpaceDN w:val="0"/>
        <w:adjustRightInd w:val="0"/>
        <w:spacing w:after="120" w:line="276" w:lineRule="auto"/>
        <w:jc w:val="both"/>
        <w:rPr>
          <w:rFonts w:asciiTheme="minorHAnsi" w:hAnsiTheme="minorHAnsi" w:cstheme="minorHAnsi"/>
          <w:sz w:val="22"/>
          <w:szCs w:val="22"/>
        </w:rPr>
      </w:pPr>
      <w:r>
        <w:rPr>
          <w:rFonts w:asciiTheme="minorHAnsi" w:hAnsiTheme="minorHAnsi"/>
          <w:sz w:val="22"/>
        </w:rPr>
        <w:t>https://bon.navarra.es/eu/iragarkia/-/texto/2015/141/10/</w:t>
      </w:r>
    </w:p>
    <w:p w14:paraId="63573C76" w14:textId="77777777" w:rsidR="00520FD6" w:rsidRPr="002A6349" w:rsidRDefault="005C5D95" w:rsidP="002A6349">
      <w:pPr>
        <w:tabs>
          <w:tab w:val="left" w:pos="709"/>
          <w:tab w:val="left" w:pos="992"/>
          <w:tab w:val="left" w:pos="1276"/>
          <w:tab w:val="center" w:pos="3827"/>
        </w:tabs>
        <w:spacing w:after="120" w:line="276" w:lineRule="auto"/>
        <w:ind w:right="-1"/>
        <w:jc w:val="both"/>
        <w:rPr>
          <w:rFonts w:asciiTheme="minorHAnsi" w:hAnsiTheme="minorHAnsi" w:cstheme="minorHAnsi"/>
          <w:sz w:val="22"/>
          <w:szCs w:val="22"/>
        </w:rPr>
      </w:pPr>
      <w:r>
        <w:rPr>
          <w:rFonts w:asciiTheme="minorHAnsi" w:hAnsiTheme="minorHAnsi"/>
          <w:sz w:val="22"/>
        </w:rPr>
        <w:t>Horixe jakinarazten ahal dut, Nafarroako Parlamentuko Erregelamenduaren 215. artikuluan xedatutakoa betez.</w:t>
      </w:r>
    </w:p>
    <w:p w14:paraId="28F98601" w14:textId="77777777" w:rsidR="005C5D95" w:rsidRPr="002A6349" w:rsidRDefault="00044E27" w:rsidP="002A6349">
      <w:pPr>
        <w:spacing w:after="120" w:line="276" w:lineRule="auto"/>
        <w:jc w:val="both"/>
        <w:rPr>
          <w:rFonts w:asciiTheme="minorHAnsi" w:hAnsiTheme="minorHAnsi" w:cstheme="minorHAnsi"/>
          <w:sz w:val="22"/>
          <w:szCs w:val="22"/>
        </w:rPr>
      </w:pPr>
      <w:r>
        <w:rPr>
          <w:rFonts w:asciiTheme="minorHAnsi" w:hAnsiTheme="minorHAnsi"/>
          <w:sz w:val="22"/>
        </w:rPr>
        <w:t>Iruñean, 2026ko martxoaren 9an</w:t>
      </w:r>
    </w:p>
    <w:p w14:paraId="1E1574A0" w14:textId="7FCBA34E" w:rsidR="00D74EC4" w:rsidRPr="002A6349" w:rsidRDefault="002A6349" w:rsidP="002A6349">
      <w:pPr>
        <w:spacing w:after="120" w:line="276" w:lineRule="auto"/>
        <w:jc w:val="both"/>
        <w:rPr>
          <w:rFonts w:asciiTheme="minorHAnsi" w:hAnsiTheme="minorHAnsi" w:cstheme="minorHAnsi"/>
          <w:sz w:val="22"/>
          <w:szCs w:val="22"/>
        </w:rPr>
      </w:pPr>
      <w:r>
        <w:rPr>
          <w:rFonts w:asciiTheme="minorHAnsi" w:hAnsiTheme="minorHAnsi"/>
          <w:sz w:val="22"/>
        </w:rPr>
        <w:t>Kultura, Kirol eta Turismoko kontseilaria: Rebeca Esnaola Bermejo</w:t>
      </w:r>
    </w:p>
    <w:sectPr w:rsidR="00D74EC4" w:rsidRPr="002A6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F33E5F"/>
    <w:multiLevelType w:val="hybridMultilevel"/>
    <w:tmpl w:val="1E6426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4ABD741F"/>
    <w:multiLevelType w:val="hybridMultilevel"/>
    <w:tmpl w:val="3B360B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63560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155157">
    <w:abstractNumId w:val="5"/>
  </w:num>
  <w:num w:numId="3" w16cid:durableId="1489662875">
    <w:abstractNumId w:val="0"/>
  </w:num>
  <w:num w:numId="4" w16cid:durableId="1005209176">
    <w:abstractNumId w:val="3"/>
  </w:num>
  <w:num w:numId="5" w16cid:durableId="1331523633">
    <w:abstractNumId w:val="9"/>
  </w:num>
  <w:num w:numId="6" w16cid:durableId="1345479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044555">
    <w:abstractNumId w:val="10"/>
  </w:num>
  <w:num w:numId="8" w16cid:durableId="1508132818">
    <w:abstractNumId w:val="8"/>
  </w:num>
  <w:num w:numId="9" w16cid:durableId="1116562292">
    <w:abstractNumId w:val="7"/>
  </w:num>
  <w:num w:numId="10" w16cid:durableId="818768740">
    <w:abstractNumId w:val="2"/>
  </w:num>
  <w:num w:numId="11" w16cid:durableId="1826899228">
    <w:abstractNumId w:val="1"/>
  </w:num>
  <w:num w:numId="12" w16cid:durableId="452990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25481"/>
    <w:rsid w:val="00145C38"/>
    <w:rsid w:val="00165C78"/>
    <w:rsid w:val="00240870"/>
    <w:rsid w:val="00257D7A"/>
    <w:rsid w:val="002601DD"/>
    <w:rsid w:val="002A6349"/>
    <w:rsid w:val="002B3F6C"/>
    <w:rsid w:val="002E62D5"/>
    <w:rsid w:val="00322385"/>
    <w:rsid w:val="003C031B"/>
    <w:rsid w:val="003E0FC6"/>
    <w:rsid w:val="003E48EE"/>
    <w:rsid w:val="00436602"/>
    <w:rsid w:val="00444730"/>
    <w:rsid w:val="00484F26"/>
    <w:rsid w:val="004D46C0"/>
    <w:rsid w:val="004F146C"/>
    <w:rsid w:val="00512C90"/>
    <w:rsid w:val="00520FD6"/>
    <w:rsid w:val="005234C5"/>
    <w:rsid w:val="005322EF"/>
    <w:rsid w:val="005646DE"/>
    <w:rsid w:val="00583BDA"/>
    <w:rsid w:val="00587A69"/>
    <w:rsid w:val="005C33C7"/>
    <w:rsid w:val="005C5D95"/>
    <w:rsid w:val="005D19BA"/>
    <w:rsid w:val="00733746"/>
    <w:rsid w:val="0073496C"/>
    <w:rsid w:val="0075427A"/>
    <w:rsid w:val="007E509F"/>
    <w:rsid w:val="0081139A"/>
    <w:rsid w:val="00842895"/>
    <w:rsid w:val="008432FA"/>
    <w:rsid w:val="00855CD7"/>
    <w:rsid w:val="008E03B3"/>
    <w:rsid w:val="008E6CDA"/>
    <w:rsid w:val="00941772"/>
    <w:rsid w:val="00996D1B"/>
    <w:rsid w:val="009A5BAE"/>
    <w:rsid w:val="00A00328"/>
    <w:rsid w:val="00A02DDE"/>
    <w:rsid w:val="00A454EF"/>
    <w:rsid w:val="00AC1E58"/>
    <w:rsid w:val="00B02ACA"/>
    <w:rsid w:val="00B21AE8"/>
    <w:rsid w:val="00B24A9A"/>
    <w:rsid w:val="00B700A2"/>
    <w:rsid w:val="00B77EAC"/>
    <w:rsid w:val="00BA1AD4"/>
    <w:rsid w:val="00BA5D83"/>
    <w:rsid w:val="00BB4A96"/>
    <w:rsid w:val="00C04996"/>
    <w:rsid w:val="00C27355"/>
    <w:rsid w:val="00D1626C"/>
    <w:rsid w:val="00D20825"/>
    <w:rsid w:val="00D32093"/>
    <w:rsid w:val="00D36E14"/>
    <w:rsid w:val="00D72524"/>
    <w:rsid w:val="00D74EC4"/>
    <w:rsid w:val="00DB14ED"/>
    <w:rsid w:val="00DC4BD1"/>
    <w:rsid w:val="00E57209"/>
    <w:rsid w:val="00E76858"/>
    <w:rsid w:val="00E94BB4"/>
    <w:rsid w:val="00EA3076"/>
    <w:rsid w:val="00EC3B62"/>
    <w:rsid w:val="00ED756C"/>
    <w:rsid w:val="00F16AC7"/>
    <w:rsid w:val="00F31D35"/>
    <w:rsid w:val="00F8416F"/>
    <w:rsid w:val="00F87295"/>
    <w:rsid w:val="00FA171C"/>
    <w:rsid w:val="00FA26CE"/>
    <w:rsid w:val="00FA5CF9"/>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3986"/>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uiPriority w:val="39"/>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AD14-CC1E-49A9-A7FA-F1A4B76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3</cp:revision>
  <cp:lastPrinted>2023-11-27T10:19:00Z</cp:lastPrinted>
  <dcterms:created xsi:type="dcterms:W3CDTF">2026-03-10T08:19:00Z</dcterms:created>
  <dcterms:modified xsi:type="dcterms:W3CDTF">2026-04-07T06:24:00Z</dcterms:modified>
</cp:coreProperties>
</file>