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AAEE" w14:textId="409E3465" w:rsidR="00AD0B74" w:rsidRPr="00E3461F" w:rsidRDefault="00E24338"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Nafarroako Gobernuko Barneko, Funtzio Publikoko eta Justiziako kontseilariak hauxe jakinarazten du, Nafarroako Gorteetako kide eta Unión del Pueblo Navarro talde parlamentarioari atxikitako foru parlamentari Cristina López Mañero andreak, Parlamentuko Erregelamenduan ezartzen denaren babesean, Nafarroako Gobernuari idatziz erantzuteko eginiko 11-26/PES-00079 galderari buruz:</w:t>
      </w:r>
    </w:p>
    <w:p w14:paraId="4F535FF2" w14:textId="7D71BBD8" w:rsidR="00AD0B74" w:rsidRPr="00E3461F" w:rsidRDefault="00AD0B74"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Arrazakeriaren eta xenofobiaren aurka borrokatzeko apirilaren 5eko 13/2023 Foru Legearen helburua da Nafarroako Foru Komunitatean eraginkorra izatea berdintasunerako eta etnia- edo arraza-jatorriagatik diskriminatua ez izateko oinarrizko eskubidea, arrazoi hauetako edozein aitzakiatzat hartzen duen diskriminazio-mota oro desagerrarazita: lurralde edo nazio jatorria eta xenofobia, arraza, jatorri etnikoa edo larruazalaren kolorea, eta edozein arrazakeria mota, antisemitismoa edo antigitanismoa, kasu, hizkuntza edo kultur identitatea, edo etnia- edo arraza-jatorriaren beste edozein ezaugarri, inguruabar edo adierazpide, egiazkoa nahiz egotzia, nazioarteko zuzenbideko tresnek aitortzen dituztenak.</w:t>
      </w:r>
    </w:p>
    <w:p w14:paraId="7C83424F" w14:textId="10DC4DE6" w:rsidR="00AD0B74" w:rsidRPr="00E3461F" w:rsidRDefault="00AD0B74"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Delitu jokabideak pertsonen jatorriarekin lotzeko adierazleak jasotzen dituzten “ad hoc” txostenak egiteak baliteke berdintasunaren eta diskriminaziorik ezeko printzipioak urratzea, haiek erabiltzea berariaz debekatuta baitago arrazakeriaren eta xenofobiaren aurka borrokatzeko apirilaren 5eko 13/2023 Foru Legean: “19. artikulua.</w:t>
      </w:r>
      <w:r>
        <w:rPr>
          <w:sz w:val="22"/>
          <w:rFonts w:asciiTheme="majorHAnsi" w:hAnsiTheme="majorHAnsi"/>
        </w:rPr>
        <w:t xml:space="preserve"> </w:t>
      </w:r>
      <w:r>
        <w:rPr>
          <w:sz w:val="22"/>
          <w:rFonts w:asciiTheme="majorHAnsi" w:hAnsiTheme="majorHAnsi"/>
        </w:rPr>
        <w:t xml:space="preserve">Segurtasunaren, babes zibilaren eta larrialdien arloko neurriak.</w:t>
      </w:r>
      <w:r>
        <w:rPr>
          <w:sz w:val="22"/>
          <w:rFonts w:asciiTheme="majorHAnsi" w:hAnsiTheme="majorHAnsi"/>
        </w:rPr>
        <w:t xml:space="preserve"> </w:t>
      </w:r>
      <w:r>
        <w:rPr>
          <w:sz w:val="22"/>
          <w:rFonts w:asciiTheme="majorHAnsi" w:hAnsiTheme="majorHAnsi"/>
        </w:rPr>
        <w:t xml:space="preserve">1.</w:t>
      </w:r>
      <w:r>
        <w:rPr>
          <w:sz w:val="22"/>
          <w:rFonts w:asciiTheme="majorHAnsi" w:hAnsiTheme="majorHAnsi"/>
        </w:rPr>
        <w:t xml:space="preserve"> </w:t>
      </w:r>
      <w:r>
        <w:rPr>
          <w:sz w:val="22"/>
          <w:rFonts w:asciiTheme="majorHAnsi" w:hAnsiTheme="majorHAnsi"/>
        </w:rPr>
        <w:t xml:space="preserve">Foru lege honen ondorioetarako, ez da erabiliko etnia- edo arraza-ezaugarrietan oinarritutako profilik.</w:t>
      </w:r>
      <w:r>
        <w:rPr>
          <w:sz w:val="22"/>
          <w:rFonts w:asciiTheme="majorHAnsi" w:hAnsiTheme="majorHAnsi"/>
        </w:rPr>
        <w:t xml:space="preserve"> </w:t>
      </w:r>
      <w:r>
        <w:rPr>
          <w:sz w:val="22"/>
          <w:rFonts w:asciiTheme="majorHAnsi" w:hAnsiTheme="majorHAnsi"/>
        </w:rPr>
        <w:t xml:space="preserve">Arrazarekin, etniarekin, erlijioarekin edo jatorri nazionalarekin lotutako adierazleak ezin izanen dira delitu-jokabide baten adierazle gisa erabili”.</w:t>
      </w:r>
    </w:p>
    <w:p w14:paraId="0A4F306D" w14:textId="6B47FCFD" w:rsidR="00AD0B74" w:rsidRPr="00E3461F" w:rsidRDefault="00AD0B74"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Era berean, arau horren 2. artikuluak honela definitzen du tratu-berdintasunaren printzipioa: etnia- edo arraza-jatorriagatiko diskriminaziorik eza.</w:t>
      </w:r>
      <w:r>
        <w:rPr>
          <w:sz w:val="22"/>
          <w:rFonts w:asciiTheme="majorHAnsi" w:hAnsiTheme="majorHAnsi"/>
        </w:rPr>
        <w:t xml:space="preserve"> </w:t>
      </w:r>
      <w:r>
        <w:rPr>
          <w:sz w:val="22"/>
          <w:rFonts w:asciiTheme="majorHAnsi" w:hAnsiTheme="majorHAnsi"/>
        </w:rPr>
        <w:t xml:space="preserve">Zeharkako diskriminazioa hartzen du barne, honela definituta: “itxuraz neutroa den xedapen, irizpide, interpretazio edo jardunbide batek etnia- edo arraza-jatorri jakin bateko pertsonak desabantaila berezian jartzen dituenean beste pertsona batzuen aldean, salbu eta xedapen, irizpide edo jardunbide hori objektiboki justifika badaiteke helburu legitimo batez, eta salbu eta helburu hori lortzeko bitartekoak egokiak eta beharrezkoak badira”.</w:t>
      </w:r>
    </w:p>
    <w:p w14:paraId="23C231BD" w14:textId="77777777" w:rsidR="00AD0B74" w:rsidRPr="00E3461F" w:rsidRDefault="00AD0B74"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Atxilotuen jatorri nazionala xehatzen duten txosten espezifikoak egitea, formulazio neutroa izanda ere, zeharkako diskriminazio bihurtu da, berdintasuneko eta diskriminaziorik ezeko oinarrizko printzipioak potentzialki urratzen dituen praktika baita.</w:t>
      </w:r>
    </w:p>
    <w:p w14:paraId="1359F6AC" w14:textId="43C16B53" w:rsidR="00AD0B74" w:rsidRPr="00E3461F" w:rsidRDefault="00AD0B74"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Jatorri nazionala atxilotutako pertsonekin lotzeak erakundeen neutraltasun-printzipioa urratzen du, eta delinkuentziaren eta jatorriaren arteko lotura inplizitua sustatzen du.</w:t>
      </w:r>
      <w:r>
        <w:rPr>
          <w:sz w:val="22"/>
          <w:rFonts w:asciiTheme="majorHAnsi" w:hAnsiTheme="majorHAnsi"/>
        </w:rPr>
        <w:t xml:space="preserve"> </w:t>
      </w:r>
      <w:r>
        <w:rPr>
          <w:sz w:val="22"/>
          <w:rFonts w:asciiTheme="majorHAnsi" w:hAnsiTheme="majorHAnsi"/>
        </w:rPr>
        <w:t xml:space="preserve">Praktika horrek estigmatizazio kolektiboa sustatzen du guztiz indibidualak baino ez diren jokabideengatik, eta erantzukizun pertsonala nortasun kolektiboetara darama. Horrek segurtasunaren eta migrazioaren gaineko pertzepzio desitxuratua sortzen du.</w:t>
      </w:r>
      <w:r>
        <w:rPr>
          <w:sz w:val="22"/>
          <w:rFonts w:asciiTheme="majorHAnsi" w:hAnsiTheme="majorHAnsi"/>
        </w:rPr>
        <w:t xml:space="preserve"> </w:t>
      </w:r>
      <w:r>
        <w:rPr>
          <w:sz w:val="22"/>
          <w:rFonts w:asciiTheme="majorHAnsi" w:hAnsiTheme="majorHAnsi"/>
        </w:rPr>
        <w:t xml:space="preserve">Era berean, datuak errepikatzeak gizarte-kohesioa higatzen duen metatze inpaktua eragiten du, eta errazten du diskriminazio jokabideak, polarizazioa eta kolektibo espezifikoen aurkako indarkeria sinboliko edo fisikoko era anitzetako moduak agertzea.</w:t>
      </w:r>
    </w:p>
    <w:p w14:paraId="534DD674" w14:textId="77777777" w:rsidR="00AD0B74" w:rsidRPr="00E3461F" w:rsidRDefault="00AD0B74"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Are gehiago, adierazi behar da Nafarroako Foruzaingoaren jarduera kriminalitatearen azterketa teknikoak arautzen duela, eta ez pertsonen ezaugarri pertsonalek, demografikoek eta jatorriak.</w:t>
      </w:r>
    </w:p>
    <w:p w14:paraId="7CCB4FAD" w14:textId="6E3F1AE7" w:rsidR="00AD0B74" w:rsidRPr="00E3461F" w:rsidRDefault="00AD0B74"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Nafarroako Foru Komunitateko kriminalitateari buruzko estatistika ofizialaren gaineko informazioa iturri ofizialaren bidez lortu behar da, hura osoa, integrala eta sistematika metodologiko bakar baten araberakoa izan dadin: Kriminalitateari buruzko Estatistika Sistema (SEC), zeinari atxikita baitago Nafarroako Foruzaingoa.</w:t>
      </w:r>
      <w:r>
        <w:rPr>
          <w:sz w:val="22"/>
          <w:rFonts w:asciiTheme="majorHAnsi" w:hAnsiTheme="majorHAnsi"/>
        </w:rPr>
        <w:t xml:space="preserve"> </w:t>
      </w:r>
      <w:r>
        <w:rPr>
          <w:sz w:val="22"/>
          <w:rFonts w:asciiTheme="majorHAnsi" w:hAnsiTheme="majorHAnsi"/>
        </w:rPr>
        <w:t xml:space="preserve">Hartarako, Kriminalitateari buruzko Estatistika Ataria da Segurtasun Indar eta Kidegoen jarduerari buruzko informazio estatistikoa eskuratzeko eta zabaltzeko tresna ofiziala. Informazioa Kriminalitateari buruzko Estatistika Sisteman (SEC) finkatutako datuetan oinarrituta egiten da.</w:t>
      </w:r>
    </w:p>
    <w:p w14:paraId="15CF52D6" w14:textId="77777777" w:rsidR="00E24338" w:rsidRPr="00E3461F" w:rsidRDefault="00E24338"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Hori guztia jakinarazten dut, Nafarroako Parlamentuko Erregelamenduaren 215. artikuluan xedatutakoa betez.</w:t>
      </w:r>
    </w:p>
    <w:p w14:paraId="6B2A8F07" w14:textId="167B7F03" w:rsidR="00E24338" w:rsidRPr="00E3461F" w:rsidRDefault="00E24338"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Iruñean, 2026ko apirilaren 10ean</w:t>
      </w:r>
    </w:p>
    <w:p w14:paraId="5ABE0045" w14:textId="64CBCE18" w:rsidR="00E24338" w:rsidRPr="00E3461F" w:rsidRDefault="00E3461F" w:rsidP="00E3461F">
      <w:pPr>
        <w:spacing w:after="120" w:line="276" w:lineRule="auto"/>
        <w:jc w:val="both"/>
        <w:rPr>
          <w:sz w:val="22"/>
          <w:szCs w:val="22"/>
          <w:rFonts w:asciiTheme="majorHAnsi" w:hAnsiTheme="majorHAnsi" w:cstheme="majorHAnsi"/>
        </w:rPr>
      </w:pPr>
      <w:r>
        <w:rPr>
          <w:sz w:val="22"/>
          <w:rFonts w:asciiTheme="majorHAnsi" w:hAnsiTheme="majorHAnsi"/>
        </w:rPr>
        <w:t xml:space="preserve">Barneko, Funtzio Publikoko eta Justiziako kontseilaria: Inmaculada Jurío Macaya</w:t>
      </w:r>
    </w:p>
    <w:sectPr w:rsidR="00E24338" w:rsidRPr="00E3461F" w:rsidSect="00E3461F">
      <w:headerReference w:type="default" r:id="rId6"/>
      <w:headerReference w:type="first" r:id="rId7"/>
      <w:pgSz w:w="11906" w:h="16838" w:code="9"/>
      <w:pgMar w:top="1701" w:right="1700" w:bottom="568" w:left="1276" w:header="284"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F78D" w14:textId="77777777" w:rsidR="00E62527" w:rsidRDefault="00E62527">
      <w:r>
        <w:separator/>
      </w:r>
    </w:p>
  </w:endnote>
  <w:endnote w:type="continuationSeparator" w:id="0">
    <w:p w14:paraId="71159CED" w14:textId="77777777" w:rsidR="00E62527" w:rsidRDefault="00E6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93C3" w14:textId="77777777" w:rsidR="00E62527" w:rsidRDefault="00E62527">
      <w:r>
        <w:separator/>
      </w:r>
    </w:p>
  </w:footnote>
  <w:footnote w:type="continuationSeparator" w:id="0">
    <w:p w14:paraId="598F047D" w14:textId="77777777" w:rsidR="00E62527" w:rsidRDefault="00E6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B231" w14:textId="0334F29A" w:rsidR="00F344C7" w:rsidRDefault="00192064" w:rsidP="00192064">
    <w:pPr>
      <w:pStyle w:val="Encabezado"/>
      <w:tabs>
        <w:tab w:val="left" w:pos="5355"/>
      </w:tabs>
    </w:pPr>
    <w:r>
      <w:tab/>
    </w:r>
  </w:p>
  <w:p w14:paraId="0647C70A" w14:textId="77777777" w:rsidR="00F344C7" w:rsidRDefault="00F344C7" w:rsidP="00F344C7">
    <w:pPr>
      <w:pStyle w:val="Encabezado"/>
      <w:jc w:val="center"/>
    </w:pPr>
  </w:p>
  <w:p w14:paraId="0AAB77D1"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7E0B" w14:textId="67FD5703" w:rsidR="00696F6F" w:rsidRDefault="00696F6F" w:rsidP="0080744F">
    <w:pPr>
      <w:pStyle w:val="Encabezado"/>
      <w:ind w:left="-993"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742DA"/>
    <w:rsid w:val="00084475"/>
    <w:rsid w:val="000847B7"/>
    <w:rsid w:val="0009463A"/>
    <w:rsid w:val="000B64A1"/>
    <w:rsid w:val="000D4336"/>
    <w:rsid w:val="000F39BA"/>
    <w:rsid w:val="00122E14"/>
    <w:rsid w:val="00190AB4"/>
    <w:rsid w:val="00192064"/>
    <w:rsid w:val="001A2FB7"/>
    <w:rsid w:val="001D3D7C"/>
    <w:rsid w:val="00211391"/>
    <w:rsid w:val="00273425"/>
    <w:rsid w:val="00277C9A"/>
    <w:rsid w:val="002F09C8"/>
    <w:rsid w:val="00310283"/>
    <w:rsid w:val="00332DCE"/>
    <w:rsid w:val="00353353"/>
    <w:rsid w:val="003A4FD0"/>
    <w:rsid w:val="003F1206"/>
    <w:rsid w:val="0040789F"/>
    <w:rsid w:val="004151ED"/>
    <w:rsid w:val="00444B00"/>
    <w:rsid w:val="005367EB"/>
    <w:rsid w:val="00587C37"/>
    <w:rsid w:val="005B095B"/>
    <w:rsid w:val="005D0495"/>
    <w:rsid w:val="005E4840"/>
    <w:rsid w:val="00624590"/>
    <w:rsid w:val="006410A5"/>
    <w:rsid w:val="00667019"/>
    <w:rsid w:val="00696F6F"/>
    <w:rsid w:val="006A5952"/>
    <w:rsid w:val="006E3D86"/>
    <w:rsid w:val="006E7DBE"/>
    <w:rsid w:val="006F54EC"/>
    <w:rsid w:val="007018B0"/>
    <w:rsid w:val="0072604C"/>
    <w:rsid w:val="007506FD"/>
    <w:rsid w:val="007646B0"/>
    <w:rsid w:val="00793F61"/>
    <w:rsid w:val="00794754"/>
    <w:rsid w:val="00795DEE"/>
    <w:rsid w:val="00803AE4"/>
    <w:rsid w:val="0080744F"/>
    <w:rsid w:val="00822987"/>
    <w:rsid w:val="0082507E"/>
    <w:rsid w:val="00842610"/>
    <w:rsid w:val="008E48C8"/>
    <w:rsid w:val="008F7588"/>
    <w:rsid w:val="00907701"/>
    <w:rsid w:val="00943144"/>
    <w:rsid w:val="00952708"/>
    <w:rsid w:val="009735C5"/>
    <w:rsid w:val="00985B5C"/>
    <w:rsid w:val="00994342"/>
    <w:rsid w:val="009E202F"/>
    <w:rsid w:val="009E381E"/>
    <w:rsid w:val="009F278F"/>
    <w:rsid w:val="00A077F0"/>
    <w:rsid w:val="00A117E7"/>
    <w:rsid w:val="00A2145B"/>
    <w:rsid w:val="00A357A5"/>
    <w:rsid w:val="00A52259"/>
    <w:rsid w:val="00A76DCB"/>
    <w:rsid w:val="00AA59D7"/>
    <w:rsid w:val="00AB50BD"/>
    <w:rsid w:val="00AC4472"/>
    <w:rsid w:val="00AC502E"/>
    <w:rsid w:val="00AD0B74"/>
    <w:rsid w:val="00AE76D9"/>
    <w:rsid w:val="00B00F2E"/>
    <w:rsid w:val="00B46857"/>
    <w:rsid w:val="00B662C6"/>
    <w:rsid w:val="00B96F7E"/>
    <w:rsid w:val="00BA7B9D"/>
    <w:rsid w:val="00BD6A02"/>
    <w:rsid w:val="00BE2BD3"/>
    <w:rsid w:val="00BE7011"/>
    <w:rsid w:val="00BF05F5"/>
    <w:rsid w:val="00BF265F"/>
    <w:rsid w:val="00C40353"/>
    <w:rsid w:val="00C53C66"/>
    <w:rsid w:val="00C649F7"/>
    <w:rsid w:val="00C74B54"/>
    <w:rsid w:val="00C9563D"/>
    <w:rsid w:val="00CA2943"/>
    <w:rsid w:val="00CB03BC"/>
    <w:rsid w:val="00CC1284"/>
    <w:rsid w:val="00CC459A"/>
    <w:rsid w:val="00CE0838"/>
    <w:rsid w:val="00D479C3"/>
    <w:rsid w:val="00D651E0"/>
    <w:rsid w:val="00DA2591"/>
    <w:rsid w:val="00DF6784"/>
    <w:rsid w:val="00DF6847"/>
    <w:rsid w:val="00E14714"/>
    <w:rsid w:val="00E24338"/>
    <w:rsid w:val="00E3461F"/>
    <w:rsid w:val="00E51A02"/>
    <w:rsid w:val="00E61330"/>
    <w:rsid w:val="00E62527"/>
    <w:rsid w:val="00E8181E"/>
    <w:rsid w:val="00EA5400"/>
    <w:rsid w:val="00EC5374"/>
    <w:rsid w:val="00EF1EE8"/>
    <w:rsid w:val="00EF2A4C"/>
    <w:rsid w:val="00F037C2"/>
    <w:rsid w:val="00F3063F"/>
    <w:rsid w:val="00F344C7"/>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78906"/>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79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4</cp:revision>
  <cp:lastPrinted>2024-05-27T11:15:00Z</cp:lastPrinted>
  <dcterms:created xsi:type="dcterms:W3CDTF">2026-04-10T09:53:00Z</dcterms:created>
  <dcterms:modified xsi:type="dcterms:W3CDTF">2026-04-16T10:44:00Z</dcterms:modified>
</cp:coreProperties>
</file>