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429B" w14:textId="03193C52" w:rsidR="00ED7BBD" w:rsidRDefault="00ED7BBD" w:rsidP="00ED7BBD">
      <w:pPr>
        <w:spacing w:after="120" w:line="276" w:lineRule="auto"/>
        <w:jc w:val="both"/>
      </w:pPr>
      <w:r>
        <w:t>26MOC-84</w:t>
      </w:r>
    </w:p>
    <w:p w14:paraId="65520908" w14:textId="56503AEC" w:rsidR="00ED7BBD" w:rsidRDefault="00ED7BBD" w:rsidP="00ED7BBD">
      <w:pPr>
        <w:spacing w:after="120" w:line="276" w:lineRule="auto"/>
        <w:jc w:val="both"/>
      </w:pPr>
      <w:r>
        <w:t xml:space="preserve">Doña Irene Royo Ortín, parlamentaria foral, adscrita al Grupo Parlamentario Partido Popular de Navarra (PPN), al amparo de lo dispuesto en el Reglamento de la Cámara, solicita la inclusión de la siguiente </w:t>
      </w:r>
      <w:r w:rsidR="00CD04E6">
        <w:t xml:space="preserve">moción </w:t>
      </w:r>
      <w:r>
        <w:t>para su debate en la Comisión de Desarrollo Rural y Medio Ambiente:</w:t>
      </w:r>
    </w:p>
    <w:p w14:paraId="173175CA" w14:textId="3DE1A7EE" w:rsidR="00ED7BBD" w:rsidRDefault="00BE7EF1" w:rsidP="00ED7BBD">
      <w:pPr>
        <w:spacing w:after="120" w:line="276" w:lineRule="auto"/>
        <w:jc w:val="both"/>
      </w:pPr>
      <w:r>
        <w:t>Exposición de motivos</w:t>
      </w:r>
    </w:p>
    <w:p w14:paraId="2EE315FF" w14:textId="21074154" w:rsidR="00ED7BBD" w:rsidRDefault="00ED7BBD" w:rsidP="00ED7BBD">
      <w:pPr>
        <w:spacing w:after="120" w:line="276" w:lineRule="auto"/>
        <w:jc w:val="both"/>
      </w:pPr>
      <w:r>
        <w:t>El sector agrario navarro viene soportando un incremento extraordinario y sostenido de los costes de producción, especialmente en los vinculados a la energía —electricidad y gasóleo agrícola— y a los fertilizantes minerales. Este encarecimiento responde tanto a factores estructurales, como la elevada dependencia energética y de insumos importados, como a circunstancias geopolíticas recientes que han tensionado los mercados internacionales de materias primas y energía. Estos sobrecostes inciden de forma directa en la rentabilidad de las explotaciones agrícolas y ganaderas, con especial impacto en cultivos extensivos, regadíos, ganadería intensiva y, en general, en aquellas actividades con alto consumo energético, comprometiendo la viabilidad económica de numerosas explotaciones, en particular las de carácter familiar y profesional.</w:t>
      </w:r>
    </w:p>
    <w:p w14:paraId="604C9FCD" w14:textId="5490F27F" w:rsidR="00ED7BBD" w:rsidRDefault="00ED7BBD" w:rsidP="00ED7BBD">
      <w:pPr>
        <w:spacing w:after="120" w:line="276" w:lineRule="auto"/>
        <w:jc w:val="both"/>
      </w:pPr>
      <w:r>
        <w:t>El Gobierno de España y el Gobierno de Navarra han adoptado diversas medidas para mitigar estos efectos, entre las que se incluyen ayudas vinculadas al consumo de gasóleo agrario, compensaciones por hectárea para el incremento del coste de los fertilizantes, reducciones temporales de la fiscalidad energética, aplazamientos tributarios y subvenciones a inversiones en eficiencia y transición energética. Si bien estas actuaciones han contribuido a aliviar parcialmente la situación, se vuelven en estos momentos limitadas e insuficientes.</w:t>
      </w:r>
    </w:p>
    <w:p w14:paraId="144E4DB9" w14:textId="2D886D5F" w:rsidR="00ED7BBD" w:rsidRDefault="00ED7BBD" w:rsidP="00ED7BBD">
      <w:pPr>
        <w:spacing w:after="120" w:line="276" w:lineRule="auto"/>
        <w:jc w:val="both"/>
      </w:pPr>
      <w:r>
        <w:t>En este contexto, algunas comunidades autónomas han optado por complementar las medidas existentes con ayudas directas extraordinarias de cuantía fija por explotación, diseñadas para garantizar un apoyo mínimo común y facilitar una inyección rápida de liquidez mediante procedimientos administrativos simplificados. Desde un punto de vista técnico, este tipo de instrumento destaca por su agilidad, su impacto inmediato en la capacidad financiera de las explotaciones y su fácil articulación a través de los registros agrarios ya disponibles.</w:t>
      </w:r>
    </w:p>
    <w:p w14:paraId="03DA89E6" w14:textId="2AE0A6A6" w:rsidR="00ED7BBD" w:rsidRDefault="00ED7BBD" w:rsidP="00ED7BBD">
      <w:pPr>
        <w:spacing w:after="120" w:line="276" w:lineRule="auto"/>
        <w:jc w:val="both"/>
      </w:pPr>
      <w:r>
        <w:t>La posible implantación en Navarra de una ayuda directa extraordinaria y de carácter temporal, compatible con las medidas vigentes, permitiría mejorar la liquidez en campañas marcadas por una elevada presión de costes, complementar las ayudas vinculadas al consumo o a la inversión y reducir cargas administrativas, contribuyendo además a prevenir el abandono de la actividad agraria en un escenario de elevada incertidumbre.</w:t>
      </w:r>
    </w:p>
    <w:p w14:paraId="0574B6C9" w14:textId="00DFDFCF" w:rsidR="00ED7BBD" w:rsidRDefault="00ED7BBD" w:rsidP="00ED7BBD">
      <w:pPr>
        <w:spacing w:after="120" w:line="276" w:lineRule="auto"/>
        <w:jc w:val="both"/>
      </w:pPr>
      <w:r>
        <w:t>Desde el punto de vista jurídico y presupuestario, una medida de estas características podría encuadrarse en la normativa foral sobre subvenciones extraordinarias, permitiendo establecer un importe mínimo por explotación o profesional agrario, fijar un límite global acorde con la disponibilidad presupuestaria y, en su caso, articular un segundo tramo condicionado a criterios objetivos y verificables. El objetivo último de esta actuación sería preservar la continuidad del tejido productivo agrario navarro, sostener el empleo en el medio rural y garantizar la capacidad productiva del sector ante una coyuntura de costes excepcional, contribuyendo a la estabilidad económica y social de la Comunidad Foral.</w:t>
      </w:r>
    </w:p>
    <w:p w14:paraId="2557E4EA" w14:textId="12EB5B3A" w:rsidR="00ED7BBD" w:rsidRDefault="00ED7BBD" w:rsidP="00ED7BBD">
      <w:pPr>
        <w:spacing w:after="120" w:line="276" w:lineRule="auto"/>
        <w:jc w:val="both"/>
      </w:pPr>
      <w:r>
        <w:t xml:space="preserve">Por todo lo expuesto, se propone la </w:t>
      </w:r>
      <w:r w:rsidR="00CD04E6">
        <w:t>siguiente propuesta de resolución:</w:t>
      </w:r>
    </w:p>
    <w:p w14:paraId="7DA05B6B" w14:textId="4F755D75" w:rsidR="00ED7BBD" w:rsidRDefault="00ED7BBD" w:rsidP="00ED7BBD">
      <w:pPr>
        <w:spacing w:after="120" w:line="276" w:lineRule="auto"/>
        <w:jc w:val="both"/>
      </w:pPr>
      <w:r>
        <w:lastRenderedPageBreak/>
        <w:t>El Parlamento de Navarra insta al Gobierno de Navarra a habilitar una línea de ayudas directas extraordinarias, con una dotación mínima de 10 millones de euros, destinada a compensar el incremento de los costes energéticos y de los insumos agrarios (gasóleo agrícola, fertilizantes y abonos), que presente, al menos, las siguientes características:</w:t>
      </w:r>
    </w:p>
    <w:p w14:paraId="2E282CBD" w14:textId="665B6034" w:rsidR="00ED7BBD" w:rsidRDefault="00ED7BBD" w:rsidP="00ED7BBD">
      <w:pPr>
        <w:spacing w:after="120" w:line="276" w:lineRule="auto"/>
        <w:jc w:val="both"/>
      </w:pPr>
      <w:r>
        <w:t>• Un importe mínimo garantizado de 1.000 euros por agricultor o ganadero profesional.</w:t>
      </w:r>
    </w:p>
    <w:p w14:paraId="14E2A744" w14:textId="7876434A" w:rsidR="00ED7BBD" w:rsidRDefault="00ED7BBD" w:rsidP="00ED7BBD">
      <w:pPr>
        <w:spacing w:after="120" w:line="276" w:lineRule="auto"/>
        <w:jc w:val="both"/>
      </w:pPr>
      <w:r>
        <w:t>• Un importe adicional de carácter variable, condicionado a la justificación objetiva de los sobrecostes efectivamente soportados, hasta alcanzar el límite máximo global de 10 millones de euros para el conjunto de la medida.</w:t>
      </w:r>
    </w:p>
    <w:p w14:paraId="064AF6AC" w14:textId="6748EC18" w:rsidR="00ED7BBD" w:rsidRDefault="00ED7BBD" w:rsidP="00ED7BBD">
      <w:pPr>
        <w:spacing w:after="120" w:line="276" w:lineRule="auto"/>
        <w:jc w:val="both"/>
      </w:pPr>
      <w:r>
        <w:t>• Un procedimiento de concesión ágil y simplificado, que permita el abono inmediato del importe mínimo sin necesidad de justificación individualizada, estableciendo, en su caso, los mecanismos de control necesarios para la concesión del tramo variable.</w:t>
      </w:r>
    </w:p>
    <w:p w14:paraId="5EC116EB" w14:textId="64907208" w:rsidR="00ED7BBD" w:rsidRDefault="00ED7BBD" w:rsidP="00ED7BBD">
      <w:pPr>
        <w:spacing w:after="120" w:line="276" w:lineRule="auto"/>
        <w:jc w:val="both"/>
      </w:pPr>
      <w:r>
        <w:t>• Un ámbito subjetivo amplio, que incluya como personas beneficiarias a agricultores, ganaderos, cultivadores de champiñón y apicultores profesionales.</w:t>
      </w:r>
    </w:p>
    <w:p w14:paraId="30990D91" w14:textId="77777777" w:rsidR="00ED7BBD" w:rsidRDefault="00ED7BBD" w:rsidP="00ED7BBD">
      <w:pPr>
        <w:spacing w:after="120" w:line="276" w:lineRule="auto"/>
        <w:jc w:val="both"/>
      </w:pPr>
      <w:r>
        <w:t>Pamplona, 10 de mayo de 2026</w:t>
      </w:r>
    </w:p>
    <w:p w14:paraId="7AAA3622" w14:textId="27CF0A64" w:rsidR="00ED7BBD" w:rsidRDefault="00BE7EF1" w:rsidP="00ED7BBD">
      <w:pPr>
        <w:spacing w:after="120" w:line="276" w:lineRule="auto"/>
        <w:jc w:val="both"/>
      </w:pPr>
      <w:r>
        <w:t xml:space="preserve">La Parlamentaria Foral: </w:t>
      </w:r>
      <w:r w:rsidR="00ED7BBD">
        <w:t>Irene Royo Ortín</w:t>
      </w:r>
    </w:p>
    <w:sectPr w:rsidR="00ED7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BE7EF1"/>
    <w:rsid w:val="00CD04E6"/>
    <w:rsid w:val="00CD7E54"/>
    <w:rsid w:val="00ED7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2026-05-11T07:33:00Z</dcterms:created>
  <dcterms:modified xsi:type="dcterms:W3CDTF">2026-05-14T11:11:00Z</dcterms:modified>
</cp:coreProperties>
</file>