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D43C" w14:textId="6B3523F6" w:rsidR="00212828" w:rsidRPr="0028404A" w:rsidRDefault="00A56755" w:rsidP="0028404A">
      <w:pPr>
        <w:spacing w:after="120" w:line="276" w:lineRule="auto"/>
        <w:rPr>
          <w:sz w:val="22"/>
          <w:szCs w:val="22"/>
          <w:rFonts w:asciiTheme="minorHAnsi" w:hAnsiTheme="minorHAnsi" w:cstheme="minorHAnsi"/>
        </w:rPr>
      </w:pPr>
      <w:r>
        <w:rPr>
          <w:sz w:val="22"/>
          <w:rFonts w:asciiTheme="minorHAnsi" w:hAnsiTheme="minorHAnsi"/>
        </w:rPr>
        <w:t xml:space="preserve">2026-05-08</w:t>
      </w:r>
    </w:p>
    <w:p w14:paraId="740ED976" w14:textId="07ED4F43" w:rsidR="00934199" w:rsidRPr="0028404A" w:rsidRDefault="00B07455" w:rsidP="0028404A">
      <w:pPr>
        <w:spacing w:after="120" w:line="276" w:lineRule="auto"/>
        <w:rPr>
          <w:sz w:val="22"/>
          <w:szCs w:val="18"/>
          <w:rFonts w:asciiTheme="minorHAnsi" w:hAnsiTheme="minorHAnsi" w:cstheme="minorHAnsi"/>
        </w:rPr>
      </w:pPr>
      <w:r>
        <w:rPr>
          <w:sz w:val="22"/>
          <w:rFonts w:asciiTheme="minorHAnsi" w:hAnsiTheme="minorHAnsi"/>
        </w:rPr>
        <w:t xml:space="preserve">UPN talde parlamentarioari atxikitako foru parlamentari</w:t>
      </w:r>
      <w:r>
        <w:rPr>
          <w:sz w:val="22"/>
          <w:rFonts w:asciiTheme="minorHAnsi" w:hAnsiTheme="minorHAnsi"/>
        </w:rPr>
        <w:t xml:space="preserve"> Félix Zapatero Soria </w:t>
      </w:r>
      <w:r>
        <w:rPr>
          <w:sz w:val="22"/>
          <w:rFonts w:asciiTheme="minorHAnsi" w:hAnsiTheme="minorHAnsi"/>
        </w:rPr>
        <w:t xml:space="preserve">jaunak 11-26/PES-00092 galdera egin du, idatziz erantzun dakion, birpotentziatzeagatik edo bizitza baliagarria amaitzeagatik birziklatzeko aerosorgailuen palen eta beste osagai batzuen bolumenari buruz. Hona hemen Landa Garapeneko eta Ingurumeneko kontseilariak horri buruz ematen dion informazioa:</w:t>
      </w:r>
    </w:p>
    <w:p w14:paraId="7D495819" w14:textId="77777777" w:rsidR="001367B1" w:rsidRPr="0028404A" w:rsidRDefault="001367B1" w:rsidP="0028404A">
      <w:pPr>
        <w:spacing w:after="120" w:line="276" w:lineRule="auto"/>
        <w:rPr>
          <w:b/>
          <w:bCs/>
          <w:sz w:val="22"/>
          <w:szCs w:val="18"/>
          <w:rFonts w:asciiTheme="minorHAnsi" w:hAnsiTheme="minorHAnsi" w:cstheme="minorHAnsi"/>
        </w:rPr>
      </w:pPr>
      <w:r>
        <w:rPr>
          <w:sz w:val="22"/>
          <w:b/>
          <w:rFonts w:asciiTheme="minorHAnsi" w:hAnsiTheme="minorHAnsi"/>
        </w:rPr>
        <w:t xml:space="preserve">Lehenengo galdera:</w:t>
      </w:r>
      <w:r>
        <w:rPr>
          <w:sz w:val="22"/>
          <w:rFonts w:asciiTheme="minorHAnsi" w:hAnsiTheme="minorHAnsi"/>
        </w:rPr>
        <w:t xml:space="preserve"> </w:t>
      </w:r>
      <w:r>
        <w:rPr>
          <w:sz w:val="22"/>
          <w:b/>
          <w:rFonts w:asciiTheme="minorHAnsi" w:hAnsiTheme="minorHAnsi"/>
        </w:rPr>
        <w:t xml:space="preserve">aerosorgailuen palen eta beste osagai ez-metaliko batzuen bolumen osoaren zentsua (tonatan).</w:t>
      </w:r>
    </w:p>
    <w:p w14:paraId="01C5A7DA" w14:textId="77777777" w:rsidR="001367B1" w:rsidRPr="0028404A" w:rsidRDefault="001367B1" w:rsidP="0028404A">
      <w:pPr>
        <w:spacing w:after="120" w:line="276" w:lineRule="auto"/>
        <w:rPr>
          <w:sz w:val="22"/>
          <w:szCs w:val="18"/>
          <w:rFonts w:asciiTheme="minorHAnsi" w:hAnsiTheme="minorHAnsi" w:cstheme="minorHAnsi"/>
        </w:rPr>
      </w:pPr>
      <w:r>
        <w:rPr>
          <w:sz w:val="22"/>
          <w:rFonts w:asciiTheme="minorHAnsi" w:hAnsiTheme="minorHAnsi"/>
        </w:rPr>
        <w:t xml:space="preserve">Batzordearen 2014/955/EB Erabakiaren bidez onartutako Europako Hondakinen Zerrendak ez du LER kode espezifikorik jasotzen aerosorgailuen paletarako.</w:t>
      </w:r>
      <w:r>
        <w:rPr>
          <w:sz w:val="22"/>
          <w:rFonts w:asciiTheme="minorHAnsi" w:hAnsiTheme="minorHAnsi"/>
        </w:rPr>
        <w:t xml:space="preserve"> </w:t>
      </w:r>
      <w:r>
        <w:rPr>
          <w:sz w:val="22"/>
          <w:rFonts w:asciiTheme="minorHAnsi" w:hAnsiTheme="minorHAnsi"/>
        </w:rPr>
        <w:t xml:space="preserve">Ildo horretan, Ekonomia Zirkularraren eta Berrikuntzaren Zerbitzuak ez du aerosorgailuen palen eta beste osagai ez-metaliko batzuen zentsurik, Nafarroan 2026tik 2030era bitartean birpotentziatze prozesuen edo bizitza baliagarriaren amaieraren ondorioz sortuko direnena.</w:t>
      </w:r>
      <w:r>
        <w:rPr>
          <w:sz w:val="22"/>
          <w:rFonts w:asciiTheme="minorHAnsi" w:hAnsiTheme="minorHAnsi"/>
        </w:rPr>
        <w:t xml:space="preserve"> </w:t>
      </w:r>
    </w:p>
    <w:p w14:paraId="16C517E9" w14:textId="77777777" w:rsidR="001367B1" w:rsidRPr="0028404A" w:rsidRDefault="001367B1" w:rsidP="0028404A">
      <w:pPr>
        <w:spacing w:after="120" w:line="276" w:lineRule="auto"/>
        <w:rPr>
          <w:sz w:val="22"/>
          <w:szCs w:val="18"/>
          <w:rFonts w:asciiTheme="minorHAnsi" w:hAnsiTheme="minorHAnsi" w:cstheme="minorHAnsi"/>
        </w:rPr>
      </w:pPr>
      <w:r>
        <w:rPr>
          <w:sz w:val="22"/>
          <w:rFonts w:asciiTheme="minorHAnsi" w:hAnsiTheme="minorHAnsi"/>
        </w:rPr>
        <w:t xml:space="preserve">Informazio falta horren arrazoia da birpotentziatze jarduketak nagusiki eolikoen operadore bakoitzaren eta energia plangintzaz arduratzen diren administrazioen enpresa eta energia plangintzan sartzen direla, funtsean Estatuko Administrazio Orokorrarenean eta, hala badagokio, Industria eta Trantsizio Ekologiko eta Digitalaren Departamentukoan.</w:t>
      </w:r>
      <w:r>
        <w:rPr>
          <w:sz w:val="22"/>
          <w:rFonts w:asciiTheme="minorHAnsi" w:hAnsiTheme="minorHAnsi"/>
        </w:rPr>
        <w:t xml:space="preserve"> </w:t>
      </w:r>
    </w:p>
    <w:p w14:paraId="1A43CF27" w14:textId="77777777" w:rsidR="001367B1" w:rsidRPr="0028404A" w:rsidRDefault="001367B1" w:rsidP="0028404A">
      <w:pPr>
        <w:spacing w:after="120" w:line="276" w:lineRule="auto"/>
        <w:rPr>
          <w:b/>
          <w:bCs/>
          <w:sz w:val="22"/>
          <w:szCs w:val="18"/>
          <w:rFonts w:asciiTheme="minorHAnsi" w:hAnsiTheme="minorHAnsi" w:cstheme="minorHAnsi"/>
        </w:rPr>
      </w:pPr>
      <w:r>
        <w:rPr>
          <w:b/>
          <w:sz w:val="22"/>
          <w:rFonts w:asciiTheme="minorHAnsi" w:hAnsiTheme="minorHAnsi"/>
        </w:rPr>
        <w:t xml:space="preserve">Bigarren galdera: ingurumen kontroleko ikuskapenak hasitako birziklatze prozesuetan erretxinak lurpera lixibiatzea saihesteko.</w:t>
      </w:r>
    </w:p>
    <w:p w14:paraId="366ECAC8" w14:textId="3F524F9D" w:rsidR="001367B1" w:rsidRPr="0028404A" w:rsidRDefault="001367B1" w:rsidP="0028404A">
      <w:pPr>
        <w:spacing w:after="120" w:line="276" w:lineRule="auto"/>
        <w:rPr>
          <w:sz w:val="22"/>
          <w:szCs w:val="18"/>
          <w:rFonts w:asciiTheme="minorHAnsi" w:hAnsiTheme="minorHAnsi" w:cstheme="minorHAnsi"/>
        </w:rPr>
      </w:pPr>
      <w:r>
        <w:rPr>
          <w:sz w:val="22"/>
          <w:rFonts w:asciiTheme="minorHAnsi" w:hAnsiTheme="minorHAnsi"/>
        </w:rPr>
        <w:t xml:space="preserve">Hondakin horiek tratatzeko baimendutako instalazioak Kutsaduraren Prebentzio eta Kontrol Integratuaren Legearen testu bategina onartzen duen abenduaren 16ko 1/2016 Legegintzako Errege Dekretuan eta Ingurumenean eragina duten jarduerak arautzen dituen abenduaren 16ko 17/2020 Foru Legean aurreikusitako ingurumen ikuskaritza eta kontroleko araubide orokorraren mende daude, dagokien ingurumen baimenean ezarritako baldintzetan.</w:t>
      </w:r>
    </w:p>
    <w:p w14:paraId="53663CA9" w14:textId="77777777" w:rsidR="001367B1" w:rsidRPr="0028404A" w:rsidRDefault="001367B1" w:rsidP="0028404A">
      <w:pPr>
        <w:spacing w:after="120" w:line="276" w:lineRule="auto"/>
        <w:rPr>
          <w:sz w:val="22"/>
          <w:szCs w:val="18"/>
          <w:rFonts w:asciiTheme="minorHAnsi" w:hAnsiTheme="minorHAnsi" w:cstheme="minorHAnsi"/>
        </w:rPr>
      </w:pPr>
      <w:r>
        <w:rPr>
          <w:sz w:val="22"/>
          <w:rFonts w:asciiTheme="minorHAnsi" w:hAnsiTheme="minorHAnsi"/>
        </w:rPr>
        <w:t xml:space="preserve">Ingurumen Zuzendaritza Nagusiak aerosorgailu berrien instalazioaren eta ingurune naturala leheneratzeko neurrien (lur mugimenduak, landareztatzea...) ingurumen jarraipena egiten du, bizitza baliagarriaren amaieran aerosorgailuak kentzetik erator daitezkeenena.</w:t>
      </w:r>
      <w:r>
        <w:rPr>
          <w:sz w:val="22"/>
          <w:rFonts w:asciiTheme="minorHAnsi" w:hAnsiTheme="minorHAnsi"/>
        </w:rPr>
        <w:t xml:space="preserve"> </w:t>
      </w:r>
      <w:r>
        <w:rPr>
          <w:sz w:val="22"/>
          <w:rFonts w:asciiTheme="minorHAnsi" w:hAnsiTheme="minorHAnsi"/>
        </w:rPr>
        <w:t xml:space="preserve">Gainera, egiaztatzen du lurrean ez dela geratzen materialik, hondakinik, oliorik eta bestelakorik. Ez dugu inolako esku hartzerik hondakin horiek kudeatzeko moduari dagokionez.</w:t>
      </w:r>
      <w:r>
        <w:rPr>
          <w:sz w:val="22"/>
          <w:rFonts w:asciiTheme="minorHAnsi" w:hAnsiTheme="minorHAnsi"/>
        </w:rPr>
        <w:t xml:space="preserve"> </w:t>
      </w:r>
    </w:p>
    <w:p w14:paraId="14320FB7" w14:textId="4ACC55F7" w:rsidR="001367B1" w:rsidRPr="0028404A" w:rsidRDefault="001367B1" w:rsidP="0028404A">
      <w:pPr>
        <w:spacing w:after="120" w:line="276" w:lineRule="auto"/>
        <w:rPr>
          <w:sz w:val="22"/>
          <w:szCs w:val="18"/>
          <w:rFonts w:asciiTheme="minorHAnsi" w:hAnsiTheme="minorHAnsi" w:cstheme="minorHAnsi"/>
        </w:rPr>
      </w:pPr>
      <w:r>
        <w:rPr>
          <w:sz w:val="22"/>
          <w:rFonts w:asciiTheme="minorHAnsi" w:hAnsiTheme="minorHAnsi"/>
        </w:rPr>
        <w:t xml:space="preserve">Nolanahi ere, jakinarazi behar da Foru Komunitatearen eremuan baimendutako bi birpotentziatze jarduketa bakarrik daudela, eta egikaritze fasean daudela.</w:t>
      </w:r>
      <w:r>
        <w:rPr>
          <w:sz w:val="22"/>
          <w:rFonts w:asciiTheme="minorHAnsi" w:hAnsiTheme="minorHAnsi"/>
        </w:rPr>
        <w:t xml:space="preserve"> </w:t>
      </w:r>
      <w:r>
        <w:rPr>
          <w:sz w:val="22"/>
          <w:rFonts w:asciiTheme="minorHAnsi" w:hAnsiTheme="minorHAnsi"/>
        </w:rPr>
        <w:t xml:space="preserve">Beste bi izapidetze fasean daude.</w:t>
      </w:r>
      <w:r>
        <w:rPr>
          <w:sz w:val="22"/>
          <w:rFonts w:asciiTheme="minorHAnsi" w:hAnsiTheme="minorHAnsi"/>
        </w:rPr>
        <w:t xml:space="preserve"> </w:t>
      </w:r>
    </w:p>
    <w:p w14:paraId="705AA02E" w14:textId="77777777" w:rsidR="001367B1" w:rsidRPr="0028404A" w:rsidRDefault="001367B1" w:rsidP="0028404A">
      <w:pPr>
        <w:spacing w:after="120" w:line="276" w:lineRule="auto"/>
        <w:rPr>
          <w:b/>
          <w:bCs/>
          <w:sz w:val="22"/>
          <w:szCs w:val="18"/>
          <w:rFonts w:asciiTheme="minorHAnsi" w:hAnsiTheme="minorHAnsi" w:cstheme="minorHAnsi"/>
        </w:rPr>
      </w:pPr>
      <w:r>
        <w:rPr>
          <w:b/>
          <w:sz w:val="22"/>
          <w:rFonts w:asciiTheme="minorHAnsi" w:hAnsiTheme="minorHAnsi"/>
        </w:rPr>
        <w:t xml:space="preserve">Hirugarren galdera: “alderantzizko ekodiseinuaren” berariazko neurriak edo desegite planak</w:t>
      </w:r>
    </w:p>
    <w:p w14:paraId="5FBFF69A" w14:textId="77777777" w:rsidR="001367B1" w:rsidRPr="0028404A" w:rsidRDefault="001367B1" w:rsidP="0028404A">
      <w:pPr>
        <w:spacing w:after="120" w:line="276" w:lineRule="auto"/>
        <w:rPr>
          <w:sz w:val="22"/>
          <w:szCs w:val="18"/>
          <w:rFonts w:asciiTheme="minorHAnsi" w:hAnsiTheme="minorHAnsi" w:cstheme="minorHAnsi"/>
        </w:rPr>
      </w:pPr>
      <w:r>
        <w:rPr>
          <w:sz w:val="22"/>
          <w:rFonts w:asciiTheme="minorHAnsi" w:hAnsiTheme="minorHAnsi"/>
        </w:rPr>
        <w:t xml:space="preserve">Aerosorgailuei eta haien osagaiei aplikatutako ekodiseinu betebeharrak Ingurumen Zuzendaritza Nagusiaren eskumenetatik kanpo geratzen dira.</w:t>
      </w:r>
    </w:p>
    <w:p w14:paraId="62644F61" w14:textId="77777777" w:rsidR="001367B1" w:rsidRPr="0028404A" w:rsidRDefault="001367B1" w:rsidP="0028404A">
      <w:pPr>
        <w:spacing w:after="120" w:line="276" w:lineRule="auto"/>
        <w:rPr>
          <w:sz w:val="22"/>
          <w:szCs w:val="18"/>
          <w:rFonts w:asciiTheme="minorHAnsi" w:hAnsiTheme="minorHAnsi" w:cstheme="minorHAnsi"/>
        </w:rPr>
      </w:pPr>
      <w:r>
        <w:rPr>
          <w:sz w:val="22"/>
          <w:rFonts w:asciiTheme="minorHAnsi" w:hAnsiTheme="minorHAnsi"/>
        </w:rPr>
        <w:t xml:space="preserve">Desegite planei dagokienez, horien eskakizuna eta edukia organo substantibo eskudunak, hots, Industriako eta Trantsizio Ekologiko eta Digitalerako Departamentuak emandako administrazio-baimenean zehazten dira, hala badagokio. Baimen horretan, kendutako aerosorgailuen kudeaketari buruzko baldintzak ezartzen ahal dira.</w:t>
      </w:r>
    </w:p>
    <w:p w14:paraId="3D46297C" w14:textId="1677FDC5" w:rsidR="001367B1" w:rsidRPr="0028404A" w:rsidRDefault="001367B1" w:rsidP="0028404A">
      <w:pPr>
        <w:spacing w:after="120" w:line="276" w:lineRule="auto"/>
        <w:rPr>
          <w:sz w:val="22"/>
          <w:szCs w:val="18"/>
          <w:rFonts w:asciiTheme="minorHAnsi" w:hAnsiTheme="minorHAnsi" w:cstheme="minorHAnsi"/>
        </w:rPr>
      </w:pPr>
      <w:r>
        <w:rPr>
          <w:sz w:val="22"/>
          <w:rFonts w:asciiTheme="minorHAnsi" w:hAnsiTheme="minorHAnsi"/>
        </w:rPr>
        <w:t xml:space="preserve">Ingurumen izapidetzeari dagokionez, Ingurumen Inpaktuaren Adierazpenaren barruan, aurreikusten diren baldintzak, instalazioaren bizitza baliagarria amaitu ondoren, ingurunea leheneratzera eta hasierako egoerara itzultzera bideratuta daude.</w:t>
      </w:r>
    </w:p>
    <w:p w14:paraId="6482C649" w14:textId="77777777" w:rsidR="001367B1" w:rsidRPr="0028404A" w:rsidRDefault="001367B1" w:rsidP="0028404A">
      <w:pPr>
        <w:spacing w:after="120" w:line="276" w:lineRule="auto"/>
        <w:rPr>
          <w:b/>
          <w:bCs/>
          <w:sz w:val="22"/>
          <w:szCs w:val="18"/>
          <w:rFonts w:asciiTheme="minorHAnsi" w:hAnsiTheme="minorHAnsi" w:cstheme="minorHAnsi"/>
        </w:rPr>
      </w:pPr>
      <w:r>
        <w:rPr>
          <w:sz w:val="22"/>
          <w:b/>
          <w:rFonts w:asciiTheme="minorHAnsi" w:hAnsiTheme="minorHAnsi"/>
        </w:rPr>
        <w:t xml:space="preserve">Laugarren galdera.</w:t>
      </w:r>
      <w:r>
        <w:rPr>
          <w:sz w:val="22"/>
          <w:rFonts w:asciiTheme="minorHAnsi" w:hAnsiTheme="minorHAnsi"/>
        </w:rPr>
        <w:t xml:space="preserve"> </w:t>
      </w:r>
      <w:r>
        <w:rPr>
          <w:sz w:val="22"/>
          <w:b/>
          <w:rFonts w:asciiTheme="minorHAnsi" w:hAnsiTheme="minorHAnsi"/>
        </w:rPr>
        <w:t xml:space="preserve">Abifaunaren eta kiropteroen heriotza tasaren azterlan konparatiboak</w:t>
      </w:r>
    </w:p>
    <w:p w14:paraId="07FDD835" w14:textId="77777777" w:rsidR="001367B1" w:rsidRPr="0028404A" w:rsidRDefault="001367B1" w:rsidP="0028404A">
      <w:pPr>
        <w:spacing w:after="120" w:line="276" w:lineRule="auto"/>
        <w:rPr>
          <w:sz w:val="22"/>
          <w:szCs w:val="18"/>
          <w:rFonts w:asciiTheme="minorHAnsi" w:hAnsiTheme="minorHAnsi" w:cstheme="minorHAnsi"/>
        </w:rPr>
      </w:pPr>
      <w:r>
        <w:rPr>
          <w:sz w:val="22"/>
          <w:rFonts w:asciiTheme="minorHAnsi" w:hAnsiTheme="minorHAnsi"/>
        </w:rPr>
        <w:t xml:space="preserve">Birpotentziatze proiektuek abifaunan eta kiropteroetan dituzten ondorioen ebaluazioa Ingurumen-ebaluazioari buruzko abenduaren 9ko 21/2013 Legearen arabera egin behar da.</w:t>
      </w:r>
    </w:p>
    <w:p w14:paraId="305C1C22" w14:textId="54BBD894" w:rsidR="006F7C60" w:rsidRPr="0028404A" w:rsidRDefault="00680830" w:rsidP="0028404A">
      <w:pPr>
        <w:spacing w:after="120" w:line="276" w:lineRule="auto"/>
        <w:rPr>
          <w:sz w:val="22"/>
          <w:szCs w:val="18"/>
          <w:rFonts w:asciiTheme="minorHAnsi" w:hAnsiTheme="minorHAnsi" w:cstheme="minorHAnsi"/>
        </w:rPr>
      </w:pPr>
      <w:r>
        <w:rPr>
          <w:sz w:val="22"/>
          <w:rFonts w:asciiTheme="minorHAnsi" w:hAnsiTheme="minorHAnsi"/>
        </w:rPr>
        <w:t xml:space="preserve">Martxan ari den instalazio eoliko bakoitzerako, sustatzaileei eskatzen zaie ingurumen-inpaktuaren azterketak hegaztien eta kiropteroen jarraipenari buruzko informazioa jasotzea urteko ziklo oso batean.</w:t>
      </w:r>
      <w:r>
        <w:rPr>
          <w:sz w:val="22"/>
          <w:rFonts w:asciiTheme="minorHAnsi" w:hAnsiTheme="minorHAnsi"/>
        </w:rPr>
        <w:t xml:space="preserve"> </w:t>
      </w:r>
      <w:r>
        <w:rPr>
          <w:sz w:val="22"/>
          <w:rFonts w:asciiTheme="minorHAnsi" w:hAnsiTheme="minorHAnsi"/>
        </w:rPr>
        <w:t xml:space="preserve">Informazio horri esker, parke bakoitza jarri behar den eremuan dauden espezieek talka egiteko duten arriskua zehazten da (aerosorgailuen kokapenaren eta haien ezaugarri teknikoen mende dago, bereziki haien dimentsioen mende).</w:t>
      </w:r>
      <w:r>
        <w:rPr>
          <w:sz w:val="22"/>
          <w:rFonts w:asciiTheme="minorHAnsi" w:hAnsiTheme="minorHAnsi"/>
        </w:rPr>
        <w:t xml:space="preserve"> </w:t>
      </w:r>
      <w:r>
        <w:rPr>
          <w:sz w:val="22"/>
          <w:rFonts w:asciiTheme="minorHAnsi" w:hAnsiTheme="minorHAnsi"/>
        </w:rPr>
        <w:t xml:space="preserve">Ondorioz, ingurumen-ebaluazioak aerosorgailu bakoitzaren bideragarritasuna zehazten du.</w:t>
      </w:r>
      <w:r>
        <w:rPr>
          <w:sz w:val="22"/>
          <w:rFonts w:asciiTheme="minorHAnsi" w:hAnsiTheme="minorHAnsi"/>
        </w:rPr>
        <w:t xml:space="preserve"> </w:t>
      </w:r>
    </w:p>
    <w:p w14:paraId="58B004A4" w14:textId="512EC359" w:rsidR="006F7C60" w:rsidRPr="0028404A" w:rsidRDefault="006F7C60" w:rsidP="0028404A">
      <w:pPr>
        <w:spacing w:after="120" w:line="276" w:lineRule="auto"/>
        <w:rPr>
          <w:sz w:val="22"/>
          <w:szCs w:val="22"/>
          <w:rFonts w:asciiTheme="minorHAnsi" w:hAnsiTheme="minorHAnsi" w:cstheme="minorHAnsi"/>
        </w:rPr>
      </w:pPr>
      <w:r>
        <w:rPr>
          <w:sz w:val="22"/>
          <w:rFonts w:asciiTheme="minorHAnsi" w:hAnsiTheme="minorHAnsi"/>
        </w:rPr>
        <w:t xml:space="preserve">Nolanahi ere, parke eolikoak babes bereziko eremuen edo migrazio korridoreen barnean edo kanpoan dauden gorabehera, Ingurumeneko Ebaluazio Atal honek sustatzaileek martxan ari diren parke eolikoetan egiten duten jarraipenean jasotako abifaunaren eta kiropteroen heriotza tasari buruzko datuak ditu, instalazio horiek birpotentziatzeko ingurumen-inpaktuaren adierazpenak (IIA) egiteko.</w:t>
      </w:r>
    </w:p>
    <w:p w14:paraId="73AEDB92" w14:textId="77777777" w:rsidR="006F7C60" w:rsidRPr="0028404A" w:rsidRDefault="006F7C60" w:rsidP="0028404A">
      <w:pPr>
        <w:spacing w:after="120" w:line="276" w:lineRule="auto"/>
        <w:rPr>
          <w:sz w:val="22"/>
          <w:szCs w:val="22"/>
          <w:rFonts w:asciiTheme="minorHAnsi" w:hAnsiTheme="minorHAnsi" w:cstheme="minorHAnsi"/>
        </w:rPr>
      </w:pPr>
      <w:r>
        <w:rPr>
          <w:sz w:val="22"/>
          <w:rFonts w:asciiTheme="minorHAnsi" w:hAnsiTheme="minorHAnsi"/>
        </w:rPr>
        <w:t xml:space="preserve">Halaber, parke eoliko zehatz bakoitzaren eremuan fauna hegalariak erabiltzen duen espazioari buruzko azterlana dago, sustatzaileek gutxienez urteko ziklo oso batean garatzen dutena.</w:t>
      </w:r>
      <w:r>
        <w:rPr>
          <w:sz w:val="22"/>
          <w:rFonts w:asciiTheme="minorHAnsi" w:hAnsiTheme="minorHAnsi"/>
        </w:rPr>
        <w:t xml:space="preserve"> </w:t>
      </w:r>
      <w:r>
        <w:rPr>
          <w:sz w:val="22"/>
          <w:rFonts w:asciiTheme="minorHAnsi" w:hAnsiTheme="minorHAnsi"/>
        </w:rPr>
        <w:t xml:space="preserve">Azterlan hori ingurumen-inpaktuaren adierazpena egiteko aurkeztu behar den ingurumen-inpaktuaren azterketaren parte da.</w:t>
      </w:r>
    </w:p>
    <w:p w14:paraId="162A61A2" w14:textId="77777777" w:rsidR="001367B1" w:rsidRPr="0028404A" w:rsidRDefault="00680830" w:rsidP="0028404A">
      <w:pPr>
        <w:spacing w:after="120" w:line="276" w:lineRule="auto"/>
        <w:rPr>
          <w:sz w:val="22"/>
          <w:szCs w:val="18"/>
          <w:rFonts w:asciiTheme="minorHAnsi" w:hAnsiTheme="minorHAnsi" w:cstheme="minorHAnsi"/>
        </w:rPr>
      </w:pPr>
      <w:r>
        <w:rPr>
          <w:sz w:val="22"/>
          <w:rFonts w:asciiTheme="minorHAnsi" w:hAnsiTheme="minorHAnsi"/>
        </w:rPr>
        <w:t xml:space="preserve">Oraindik ez dago lekuan bertan birpotentziatutako parkerik martxan, eta, beraz, ezin da dorrearen altuerak eta palen tamainak hegaztien heriotza tasan duten inpaktuaren azterketa konparatiborik egin.</w:t>
      </w:r>
      <w:r>
        <w:rPr>
          <w:sz w:val="22"/>
          <w:rFonts w:asciiTheme="minorHAnsi" w:hAnsiTheme="minorHAnsi"/>
        </w:rPr>
        <w:t xml:space="preserve"> </w:t>
      </w:r>
      <w:r>
        <w:rPr>
          <w:sz w:val="22"/>
          <w:rFonts w:asciiTheme="minorHAnsi" w:hAnsiTheme="minorHAnsi"/>
        </w:rPr>
        <w:t xml:space="preserve">Birpotentziatutako parke berriak eraikitzen joan ahala, egoera aztertzen ahalko da.</w:t>
      </w:r>
    </w:p>
    <w:p w14:paraId="3664961A" w14:textId="3AA49244" w:rsidR="00A56CCF" w:rsidRPr="0028404A" w:rsidRDefault="00A56CCF" w:rsidP="0028404A">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Hori guztia jakinarazten dizut, Nafarroako Parlamentuko Erregelamenduaren 215. artikuluan xedatzen dena betez.</w:t>
      </w:r>
    </w:p>
    <w:p w14:paraId="4F2AA096" w14:textId="575BC5E6" w:rsidR="00934199" w:rsidRPr="0028404A" w:rsidRDefault="00212828" w:rsidP="0028404A">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Iruñean, 2026ko maiatzaren 6an</w:t>
      </w:r>
    </w:p>
    <w:p w14:paraId="0CD4CD29" w14:textId="054B63CB" w:rsidR="00D77C2F" w:rsidRPr="0028404A" w:rsidRDefault="00A56755" w:rsidP="0028404A">
      <w:pPr>
        <w:spacing w:after="120" w:line="276" w:lineRule="auto"/>
        <w:outlineLvl w:val="0"/>
        <w:rPr>
          <w:color w:val="000000"/>
          <w:sz w:val="22"/>
          <w:szCs w:val="22"/>
          <w:rFonts w:asciiTheme="minorHAnsi" w:hAnsiTheme="minorHAnsi" w:cstheme="minorHAnsi"/>
        </w:rPr>
      </w:pPr>
      <w:r>
        <w:rPr>
          <w:sz w:val="22"/>
          <w:rFonts w:asciiTheme="minorHAnsi" w:hAnsiTheme="minorHAnsi"/>
        </w:rPr>
        <w:t xml:space="preserve">Landa Garapeneko eta Ingurumeneko kontseilaria: José María Aierdi Fernández de Barrena</w:t>
      </w:r>
    </w:p>
    <w:sectPr w:rsidR="00D77C2F" w:rsidRPr="0028404A" w:rsidSect="00211860">
      <w:headerReference w:type="default" r:id="rId7"/>
      <w:footerReference w:type="even" r:id="rId8"/>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ABC7" w14:textId="77777777" w:rsidR="00D930B8" w:rsidRDefault="00D930B8" w:rsidP="00381BB8">
      <w:pPr>
        <w:pStyle w:val="Encabezado"/>
      </w:pPr>
      <w:r>
        <w:separator/>
      </w:r>
    </w:p>
  </w:endnote>
  <w:endnote w:type="continuationSeparator" w:id="0">
    <w:p w14:paraId="7D66222F" w14:textId="77777777" w:rsidR="00D930B8" w:rsidRDefault="00D930B8"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E911"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A80413">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DFA6" w14:textId="77777777" w:rsidR="00D930B8" w:rsidRDefault="00D930B8" w:rsidP="00381BB8">
      <w:pPr>
        <w:pStyle w:val="Encabezado"/>
      </w:pPr>
      <w:r>
        <w:separator/>
      </w:r>
    </w:p>
  </w:footnote>
  <w:footnote w:type="continuationSeparator" w:id="0">
    <w:p w14:paraId="0C1EF7A2" w14:textId="77777777" w:rsidR="00D930B8" w:rsidRDefault="00D930B8"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2981" w14:textId="5F45358C"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5FA4C99"/>
    <w:multiLevelType w:val="hybridMultilevel"/>
    <w:tmpl w:val="75F2550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164B6EA2"/>
    <w:multiLevelType w:val="hybridMultilevel"/>
    <w:tmpl w:val="C6E496E6"/>
    <w:lvl w:ilvl="0" w:tplc="45F08A30">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9"/>
  </w:num>
  <w:num w:numId="2">
    <w:abstractNumId w:val="3"/>
  </w:num>
  <w:num w:numId="3">
    <w:abstractNumId w:val="10"/>
  </w:num>
  <w:num w:numId="4">
    <w:abstractNumId w:val="16"/>
  </w:num>
  <w:num w:numId="5">
    <w:abstractNumId w:val="1"/>
  </w:num>
  <w:num w:numId="6">
    <w:abstractNumId w:val="15"/>
  </w:num>
  <w:num w:numId="7">
    <w:abstractNumId w:val="7"/>
  </w:num>
  <w:num w:numId="8">
    <w:abstractNumId w:val="4"/>
  </w:num>
  <w:num w:numId="9">
    <w:abstractNumId w:val="8"/>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4"/>
  </w:num>
  <w:num w:numId="15">
    <w:abstractNumId w:val="0"/>
  </w:num>
  <w:num w:numId="16">
    <w:abstractNumId w:val="11"/>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413"/>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2EE8"/>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367B1"/>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83C"/>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2828"/>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0CD2"/>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04A"/>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3B1"/>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1F48"/>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830"/>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6F7C60"/>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128"/>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7F6"/>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755"/>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0413"/>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35F00"/>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0B8"/>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6DD5"/>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BE2"/>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8A89C"/>
  <w15:chartTrackingRefBased/>
  <w15:docId w15:val="{0AB98691-25C1-404B-BA88-2849758D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810199238">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873</Words>
  <Characters>4805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D167402</dc:creator>
  <cp:keywords/>
  <cp:lastModifiedBy>Fernández Pérez, Beatriz</cp:lastModifiedBy>
  <cp:revision>5</cp:revision>
  <cp:lastPrinted>2018-10-15T10:28:00Z</cp:lastPrinted>
  <dcterms:created xsi:type="dcterms:W3CDTF">2026-05-08T06:52:00Z</dcterms:created>
  <dcterms:modified xsi:type="dcterms:W3CDTF">2026-05-08T07:49:00Z</dcterms:modified>
</cp:coreProperties>
</file>