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BFA0" w14:textId="57691BF9" w:rsidR="003309C7" w:rsidRPr="004036AA" w:rsidRDefault="003309C7" w:rsidP="004036AA">
      <w:pPr>
        <w:spacing w:after="120" w:line="276" w:lineRule="auto"/>
        <w:jc w:val="both"/>
        <w:rPr>
          <w:rFonts w:asciiTheme="minorHAnsi" w:hAnsiTheme="minorHAnsi" w:cstheme="minorHAnsi"/>
          <w:sz w:val="22"/>
          <w:szCs w:val="24"/>
        </w:rPr>
      </w:pPr>
      <w:r>
        <w:rPr>
          <w:rFonts w:asciiTheme="minorHAnsi" w:hAnsiTheme="minorHAnsi"/>
          <w:sz w:val="22"/>
        </w:rPr>
        <w:t>Unión del Pueblo Navarro talde parlamentarioari atxikitako foru</w:t>
      </w:r>
      <w:r w:rsidR="00C37279">
        <w:rPr>
          <w:rFonts w:asciiTheme="minorHAnsi" w:hAnsiTheme="minorHAnsi"/>
          <w:sz w:val="22"/>
        </w:rPr>
        <w:t>-</w:t>
      </w:r>
      <w:r>
        <w:rPr>
          <w:rFonts w:asciiTheme="minorHAnsi" w:hAnsiTheme="minorHAnsi"/>
          <w:sz w:val="22"/>
        </w:rPr>
        <w:t>parlamentari Cristina López Mañero andreak 11-26/PES-00111 galdera egin zuen, idatziz erantzun zekion. Bada, Eskubide Sozialetako, Ekonomia Sozialeko eta Enpleguko kontseilariak honako hau erantzun du:</w:t>
      </w:r>
    </w:p>
    <w:p w14:paraId="20358F87" w14:textId="2DA2367A"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 xml:space="preserve">Apirilaren 18an, goizean, baliabideko adingabe batek pisukide batekin lotutako gertakari batzuk kontatu zizkion hezitzaileari. Hurrengo egunean, adingabekoak salaketa bat jartzea erabaki zuen Poliziaren aurrean, eta berarekin joan zen, baina ezin izan zuen salaketa aurkeztu, berandu baitzen. Arratsalde-gauean, adingabea etxera itzultzean, pisukidea eta beste adingabe batzuk kalera jaitsi ziren errieta egitera (nola neskatoari hala harekin zeuden lagunei). Hezitzailea egoera lasaitzen saiatu zen, baina nahastea ikusirik, poliziari jakinarazi zitzaion atxilotuta eramanen zutela adingabe protagonista. </w:t>
      </w:r>
    </w:p>
    <w:p w14:paraId="60CEC8AF" w14:textId="77777777"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 xml:space="preserve">Etxebizitza oinarrizko egoitza harrerarako baliabidea da, eta 8 leku ditu; apirilaren 19an zazpi leku zeuden beteta. </w:t>
      </w:r>
    </w:p>
    <w:p w14:paraId="29D8BB09" w14:textId="77777777"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Baliabideak, normalki, honako hezitzaile hauek izan ohi ditu (gehi lantalde teknikoa):</w:t>
      </w:r>
    </w:p>
    <w:p w14:paraId="10756061" w14:textId="77777777" w:rsidR="00AF0612" w:rsidRDefault="00AF0612" w:rsidP="003309C7">
      <w:pPr>
        <w:spacing w:line="360" w:lineRule="auto"/>
        <w:jc w:val="both"/>
        <w:rPr>
          <w:rFonts w:ascii="Arial" w:hAnsi="Arial" w:cs="Arial"/>
          <w:sz w:val="22"/>
          <w:szCs w:val="24"/>
        </w:rPr>
      </w:pPr>
    </w:p>
    <w:p w14:paraId="01FF1573" w14:textId="77777777" w:rsidR="00AF0612" w:rsidRPr="00AF0612" w:rsidRDefault="00AF0612" w:rsidP="003309C7">
      <w:pPr>
        <w:spacing w:line="360" w:lineRule="auto"/>
        <w:jc w:val="both"/>
        <w:rPr>
          <w:rFonts w:ascii="Arial" w:hAnsi="Arial" w:cs="Arial"/>
          <w:i/>
          <w:sz w:val="22"/>
          <w:szCs w:val="24"/>
        </w:rPr>
      </w:pPr>
      <w:r>
        <w:rPr>
          <w:rFonts w:ascii="Arial" w:hAnsi="Arial"/>
          <w:i/>
          <w:sz w:val="22"/>
        </w:rPr>
        <w:t>Zuzeneko arretako hezitzaileak: B mailako funtzioak (2. taldea)</w:t>
      </w:r>
    </w:p>
    <w:tbl>
      <w:tblPr>
        <w:tblStyle w:val="Tablaconcuadrcula"/>
        <w:tblW w:w="0" w:type="auto"/>
        <w:tblLook w:val="04A0" w:firstRow="1" w:lastRow="0" w:firstColumn="1" w:lastColumn="0" w:noHBand="0" w:noVBand="1"/>
      </w:tblPr>
      <w:tblGrid>
        <w:gridCol w:w="1181"/>
        <w:gridCol w:w="1170"/>
        <w:gridCol w:w="1032"/>
        <w:gridCol w:w="1213"/>
        <w:gridCol w:w="1044"/>
        <w:gridCol w:w="873"/>
        <w:gridCol w:w="1075"/>
        <w:gridCol w:w="906"/>
      </w:tblGrid>
      <w:tr w:rsidR="00AF0612" w14:paraId="2154C66C" w14:textId="77777777" w:rsidTr="00AF0612">
        <w:tc>
          <w:tcPr>
            <w:tcW w:w="1052" w:type="dxa"/>
          </w:tcPr>
          <w:p w14:paraId="31E696B3" w14:textId="77777777" w:rsidR="00AF0612" w:rsidRDefault="00AF0612" w:rsidP="00AF0612">
            <w:pPr>
              <w:spacing w:line="360" w:lineRule="auto"/>
              <w:jc w:val="center"/>
              <w:rPr>
                <w:rFonts w:ascii="Arial" w:hAnsi="Arial" w:cs="Arial"/>
                <w:sz w:val="22"/>
                <w:szCs w:val="24"/>
              </w:rPr>
            </w:pPr>
          </w:p>
        </w:tc>
        <w:tc>
          <w:tcPr>
            <w:tcW w:w="1021" w:type="dxa"/>
          </w:tcPr>
          <w:p w14:paraId="7630142A" w14:textId="77777777" w:rsidR="00AF0612" w:rsidRDefault="00AF0612" w:rsidP="00AF0612">
            <w:pPr>
              <w:spacing w:line="360" w:lineRule="auto"/>
              <w:jc w:val="center"/>
              <w:rPr>
                <w:rFonts w:ascii="Arial" w:hAnsi="Arial" w:cs="Arial"/>
                <w:sz w:val="22"/>
                <w:szCs w:val="24"/>
              </w:rPr>
            </w:pPr>
            <w:r>
              <w:rPr>
                <w:rFonts w:ascii="Arial" w:hAnsi="Arial"/>
                <w:sz w:val="22"/>
              </w:rPr>
              <w:t>Astelehena</w:t>
            </w:r>
          </w:p>
        </w:tc>
        <w:tc>
          <w:tcPr>
            <w:tcW w:w="1034" w:type="dxa"/>
          </w:tcPr>
          <w:p w14:paraId="2D827683" w14:textId="77777777" w:rsidR="00AF0612" w:rsidRDefault="00AF0612" w:rsidP="00AF0612">
            <w:pPr>
              <w:spacing w:line="360" w:lineRule="auto"/>
              <w:jc w:val="center"/>
              <w:rPr>
                <w:rFonts w:ascii="Arial" w:hAnsi="Arial" w:cs="Arial"/>
                <w:sz w:val="22"/>
                <w:szCs w:val="24"/>
              </w:rPr>
            </w:pPr>
            <w:r>
              <w:rPr>
                <w:rFonts w:ascii="Arial" w:hAnsi="Arial"/>
                <w:sz w:val="22"/>
              </w:rPr>
              <w:t>Asteartea</w:t>
            </w:r>
          </w:p>
        </w:tc>
        <w:tc>
          <w:tcPr>
            <w:tcW w:w="1158" w:type="dxa"/>
          </w:tcPr>
          <w:p w14:paraId="01093EC2" w14:textId="77777777" w:rsidR="00AF0612" w:rsidRDefault="00AF0612" w:rsidP="00AF0612">
            <w:pPr>
              <w:spacing w:line="360" w:lineRule="auto"/>
              <w:jc w:val="center"/>
              <w:rPr>
                <w:rFonts w:ascii="Arial" w:hAnsi="Arial" w:cs="Arial"/>
                <w:sz w:val="22"/>
                <w:szCs w:val="24"/>
              </w:rPr>
            </w:pPr>
            <w:r>
              <w:rPr>
                <w:rFonts w:ascii="Arial" w:hAnsi="Arial"/>
                <w:sz w:val="22"/>
              </w:rPr>
              <w:t>Asteazkena</w:t>
            </w:r>
          </w:p>
        </w:tc>
        <w:tc>
          <w:tcPr>
            <w:tcW w:w="1038" w:type="dxa"/>
          </w:tcPr>
          <w:p w14:paraId="5AB950AC" w14:textId="77777777" w:rsidR="00AF0612" w:rsidRDefault="00AF0612" w:rsidP="00AF0612">
            <w:pPr>
              <w:spacing w:line="360" w:lineRule="auto"/>
              <w:jc w:val="center"/>
              <w:rPr>
                <w:rFonts w:ascii="Arial" w:hAnsi="Arial" w:cs="Arial"/>
                <w:sz w:val="22"/>
                <w:szCs w:val="24"/>
              </w:rPr>
            </w:pPr>
            <w:r>
              <w:rPr>
                <w:rFonts w:ascii="Arial" w:hAnsi="Arial"/>
                <w:sz w:val="22"/>
              </w:rPr>
              <w:t>Osteguna</w:t>
            </w:r>
          </w:p>
        </w:tc>
        <w:tc>
          <w:tcPr>
            <w:tcW w:w="1046" w:type="dxa"/>
          </w:tcPr>
          <w:p w14:paraId="1258B92B" w14:textId="77777777" w:rsidR="00AF0612" w:rsidRDefault="00AF0612" w:rsidP="00AF0612">
            <w:pPr>
              <w:spacing w:line="360" w:lineRule="auto"/>
              <w:jc w:val="center"/>
              <w:rPr>
                <w:rFonts w:ascii="Arial" w:hAnsi="Arial" w:cs="Arial"/>
                <w:sz w:val="22"/>
                <w:szCs w:val="24"/>
              </w:rPr>
            </w:pPr>
            <w:r>
              <w:rPr>
                <w:rFonts w:ascii="Arial" w:hAnsi="Arial"/>
                <w:sz w:val="22"/>
              </w:rPr>
              <w:t>Ostirala</w:t>
            </w:r>
          </w:p>
        </w:tc>
        <w:tc>
          <w:tcPr>
            <w:tcW w:w="1048" w:type="dxa"/>
          </w:tcPr>
          <w:p w14:paraId="70C46E06" w14:textId="77777777" w:rsidR="00AF0612" w:rsidRDefault="00AF0612" w:rsidP="00AF0612">
            <w:pPr>
              <w:spacing w:line="360" w:lineRule="auto"/>
              <w:jc w:val="center"/>
              <w:rPr>
                <w:rFonts w:ascii="Arial" w:hAnsi="Arial" w:cs="Arial"/>
                <w:sz w:val="22"/>
                <w:szCs w:val="24"/>
              </w:rPr>
            </w:pPr>
            <w:r>
              <w:rPr>
                <w:rFonts w:ascii="Arial" w:hAnsi="Arial"/>
                <w:sz w:val="22"/>
              </w:rPr>
              <w:t>Larunbata</w:t>
            </w:r>
          </w:p>
        </w:tc>
        <w:tc>
          <w:tcPr>
            <w:tcW w:w="1097" w:type="dxa"/>
          </w:tcPr>
          <w:p w14:paraId="3ABDE05B" w14:textId="77777777" w:rsidR="00AF0612" w:rsidRDefault="00AF0612" w:rsidP="00AF0612">
            <w:pPr>
              <w:spacing w:line="360" w:lineRule="auto"/>
              <w:jc w:val="center"/>
              <w:rPr>
                <w:rFonts w:ascii="Arial" w:hAnsi="Arial" w:cs="Arial"/>
                <w:sz w:val="22"/>
                <w:szCs w:val="24"/>
              </w:rPr>
            </w:pPr>
            <w:r>
              <w:rPr>
                <w:rFonts w:ascii="Arial" w:hAnsi="Arial"/>
                <w:sz w:val="22"/>
              </w:rPr>
              <w:t>Igandea</w:t>
            </w:r>
          </w:p>
        </w:tc>
      </w:tr>
      <w:tr w:rsidR="00AF0612" w14:paraId="3285225C" w14:textId="77777777" w:rsidTr="00AF0612">
        <w:tc>
          <w:tcPr>
            <w:tcW w:w="1052" w:type="dxa"/>
          </w:tcPr>
          <w:p w14:paraId="4C4CDC06" w14:textId="77777777" w:rsidR="00AF0612" w:rsidRDefault="00AF0612" w:rsidP="00AF0612">
            <w:pPr>
              <w:spacing w:line="360" w:lineRule="auto"/>
              <w:jc w:val="center"/>
              <w:rPr>
                <w:rFonts w:ascii="Arial" w:hAnsi="Arial" w:cs="Arial"/>
                <w:sz w:val="22"/>
                <w:szCs w:val="24"/>
              </w:rPr>
            </w:pPr>
            <w:r>
              <w:rPr>
                <w:rFonts w:ascii="Arial" w:hAnsi="Arial"/>
                <w:sz w:val="22"/>
              </w:rPr>
              <w:t>Goizez (08:00-14:00)</w:t>
            </w:r>
          </w:p>
        </w:tc>
        <w:tc>
          <w:tcPr>
            <w:tcW w:w="1021" w:type="dxa"/>
          </w:tcPr>
          <w:p w14:paraId="3BA1B443" w14:textId="77777777" w:rsidR="00AF0612" w:rsidRDefault="00AF0612" w:rsidP="00AF0612">
            <w:pPr>
              <w:spacing w:line="360" w:lineRule="auto"/>
              <w:jc w:val="center"/>
              <w:rPr>
                <w:rFonts w:ascii="Arial" w:hAnsi="Arial" w:cs="Arial"/>
                <w:sz w:val="22"/>
                <w:szCs w:val="24"/>
              </w:rPr>
            </w:pPr>
            <w:r>
              <w:rPr>
                <w:rFonts w:ascii="Arial" w:hAnsi="Arial"/>
                <w:sz w:val="22"/>
              </w:rPr>
              <w:t>1</w:t>
            </w:r>
          </w:p>
        </w:tc>
        <w:tc>
          <w:tcPr>
            <w:tcW w:w="1034" w:type="dxa"/>
          </w:tcPr>
          <w:p w14:paraId="458D3F43" w14:textId="77777777" w:rsidR="00AF0612" w:rsidRDefault="00AF0612" w:rsidP="00AF0612">
            <w:pPr>
              <w:spacing w:line="360" w:lineRule="auto"/>
              <w:jc w:val="center"/>
              <w:rPr>
                <w:rFonts w:ascii="Arial" w:hAnsi="Arial" w:cs="Arial"/>
                <w:sz w:val="22"/>
                <w:szCs w:val="24"/>
              </w:rPr>
            </w:pPr>
            <w:r>
              <w:rPr>
                <w:rFonts w:ascii="Arial" w:hAnsi="Arial"/>
                <w:sz w:val="22"/>
              </w:rPr>
              <w:t>1</w:t>
            </w:r>
          </w:p>
        </w:tc>
        <w:tc>
          <w:tcPr>
            <w:tcW w:w="1158" w:type="dxa"/>
          </w:tcPr>
          <w:p w14:paraId="56C0CDC6" w14:textId="77777777" w:rsidR="00AF0612" w:rsidRDefault="00AF0612" w:rsidP="00AF0612">
            <w:pPr>
              <w:spacing w:line="360" w:lineRule="auto"/>
              <w:jc w:val="center"/>
              <w:rPr>
                <w:rFonts w:ascii="Arial" w:hAnsi="Arial" w:cs="Arial"/>
                <w:sz w:val="22"/>
                <w:szCs w:val="24"/>
              </w:rPr>
            </w:pPr>
            <w:r>
              <w:rPr>
                <w:rFonts w:ascii="Arial" w:hAnsi="Arial"/>
                <w:sz w:val="22"/>
              </w:rPr>
              <w:t>1</w:t>
            </w:r>
          </w:p>
        </w:tc>
        <w:tc>
          <w:tcPr>
            <w:tcW w:w="1038" w:type="dxa"/>
          </w:tcPr>
          <w:p w14:paraId="3DA2F601" w14:textId="77777777" w:rsidR="00AF0612" w:rsidRDefault="00AF0612" w:rsidP="00AF0612">
            <w:pPr>
              <w:spacing w:line="360" w:lineRule="auto"/>
              <w:jc w:val="center"/>
              <w:rPr>
                <w:rFonts w:ascii="Arial" w:hAnsi="Arial" w:cs="Arial"/>
                <w:sz w:val="22"/>
                <w:szCs w:val="24"/>
              </w:rPr>
            </w:pPr>
            <w:r>
              <w:rPr>
                <w:rFonts w:ascii="Arial" w:hAnsi="Arial"/>
                <w:sz w:val="22"/>
              </w:rPr>
              <w:t>1</w:t>
            </w:r>
          </w:p>
        </w:tc>
        <w:tc>
          <w:tcPr>
            <w:tcW w:w="1046" w:type="dxa"/>
          </w:tcPr>
          <w:p w14:paraId="2FC44C5F" w14:textId="77777777" w:rsidR="00AF0612" w:rsidRDefault="00AF0612" w:rsidP="00AF0612">
            <w:pPr>
              <w:spacing w:line="360" w:lineRule="auto"/>
              <w:jc w:val="center"/>
              <w:rPr>
                <w:rFonts w:ascii="Arial" w:hAnsi="Arial" w:cs="Arial"/>
                <w:sz w:val="22"/>
                <w:szCs w:val="24"/>
              </w:rPr>
            </w:pPr>
            <w:r>
              <w:rPr>
                <w:rFonts w:ascii="Arial" w:hAnsi="Arial"/>
                <w:sz w:val="22"/>
              </w:rPr>
              <w:t>1</w:t>
            </w:r>
          </w:p>
        </w:tc>
        <w:tc>
          <w:tcPr>
            <w:tcW w:w="1048" w:type="dxa"/>
          </w:tcPr>
          <w:p w14:paraId="18B2A158"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97" w:type="dxa"/>
          </w:tcPr>
          <w:p w14:paraId="17E475BA" w14:textId="77777777" w:rsidR="00AF0612" w:rsidRDefault="00AF0612" w:rsidP="00AF0612">
            <w:pPr>
              <w:spacing w:line="360" w:lineRule="auto"/>
              <w:jc w:val="center"/>
              <w:rPr>
                <w:rFonts w:ascii="Arial" w:hAnsi="Arial" w:cs="Arial"/>
                <w:sz w:val="22"/>
                <w:szCs w:val="24"/>
              </w:rPr>
            </w:pPr>
            <w:r>
              <w:rPr>
                <w:rFonts w:ascii="Arial" w:hAnsi="Arial"/>
                <w:sz w:val="22"/>
              </w:rPr>
              <w:t>2</w:t>
            </w:r>
          </w:p>
        </w:tc>
      </w:tr>
      <w:tr w:rsidR="00AF0612" w14:paraId="2F81CD58" w14:textId="77777777" w:rsidTr="00AF0612">
        <w:tc>
          <w:tcPr>
            <w:tcW w:w="1052" w:type="dxa"/>
          </w:tcPr>
          <w:p w14:paraId="3883E955" w14:textId="77777777" w:rsidR="00AF0612" w:rsidRDefault="00AF0612" w:rsidP="00AF0612">
            <w:pPr>
              <w:spacing w:line="360" w:lineRule="auto"/>
              <w:jc w:val="center"/>
              <w:rPr>
                <w:rFonts w:ascii="Arial" w:hAnsi="Arial" w:cs="Arial"/>
                <w:sz w:val="22"/>
                <w:szCs w:val="24"/>
              </w:rPr>
            </w:pPr>
            <w:r>
              <w:rPr>
                <w:rFonts w:ascii="Arial" w:hAnsi="Arial"/>
                <w:sz w:val="22"/>
              </w:rPr>
              <w:t>Arratsaldez (14:00-22:00)</w:t>
            </w:r>
          </w:p>
        </w:tc>
        <w:tc>
          <w:tcPr>
            <w:tcW w:w="1021" w:type="dxa"/>
          </w:tcPr>
          <w:p w14:paraId="379B276A"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34" w:type="dxa"/>
          </w:tcPr>
          <w:p w14:paraId="5643D690"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158" w:type="dxa"/>
          </w:tcPr>
          <w:p w14:paraId="038B2FFA"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38" w:type="dxa"/>
          </w:tcPr>
          <w:p w14:paraId="0DBC3F3F"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46" w:type="dxa"/>
          </w:tcPr>
          <w:p w14:paraId="09D31AEC"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48" w:type="dxa"/>
          </w:tcPr>
          <w:p w14:paraId="02BC8AB5" w14:textId="77777777" w:rsidR="00AF0612" w:rsidRDefault="00AF0612" w:rsidP="00AF0612">
            <w:pPr>
              <w:spacing w:line="360" w:lineRule="auto"/>
              <w:jc w:val="center"/>
              <w:rPr>
                <w:rFonts w:ascii="Arial" w:hAnsi="Arial" w:cs="Arial"/>
                <w:sz w:val="22"/>
                <w:szCs w:val="24"/>
              </w:rPr>
            </w:pPr>
            <w:r>
              <w:rPr>
                <w:rFonts w:ascii="Arial" w:hAnsi="Arial"/>
                <w:sz w:val="22"/>
              </w:rPr>
              <w:t>2</w:t>
            </w:r>
          </w:p>
        </w:tc>
        <w:tc>
          <w:tcPr>
            <w:tcW w:w="1097" w:type="dxa"/>
          </w:tcPr>
          <w:p w14:paraId="1621F35C" w14:textId="77777777" w:rsidR="00AF0612" w:rsidRDefault="00AF0612" w:rsidP="00AF0612">
            <w:pPr>
              <w:spacing w:line="360" w:lineRule="auto"/>
              <w:jc w:val="center"/>
              <w:rPr>
                <w:rFonts w:ascii="Arial" w:hAnsi="Arial" w:cs="Arial"/>
                <w:sz w:val="22"/>
                <w:szCs w:val="24"/>
              </w:rPr>
            </w:pPr>
            <w:r>
              <w:rPr>
                <w:rFonts w:ascii="Arial" w:hAnsi="Arial"/>
                <w:sz w:val="22"/>
              </w:rPr>
              <w:t>2</w:t>
            </w:r>
          </w:p>
        </w:tc>
      </w:tr>
    </w:tbl>
    <w:p w14:paraId="21AF66F0" w14:textId="77777777" w:rsidR="00AF0612" w:rsidRPr="00AF0612" w:rsidRDefault="00AF0612" w:rsidP="003309C7">
      <w:pPr>
        <w:spacing w:line="360" w:lineRule="auto"/>
        <w:jc w:val="both"/>
        <w:rPr>
          <w:rFonts w:ascii="Arial" w:hAnsi="Arial" w:cs="Arial"/>
          <w:i/>
          <w:sz w:val="22"/>
          <w:szCs w:val="24"/>
        </w:rPr>
      </w:pPr>
    </w:p>
    <w:p w14:paraId="610CC0FB" w14:textId="77777777" w:rsidR="00AF0612" w:rsidRPr="00AF0612" w:rsidRDefault="00AF0612" w:rsidP="003309C7">
      <w:pPr>
        <w:spacing w:line="360" w:lineRule="auto"/>
        <w:jc w:val="both"/>
        <w:rPr>
          <w:rFonts w:ascii="Arial" w:hAnsi="Arial" w:cs="Arial"/>
          <w:i/>
          <w:sz w:val="22"/>
          <w:szCs w:val="24"/>
        </w:rPr>
      </w:pPr>
      <w:r>
        <w:rPr>
          <w:rFonts w:ascii="Arial" w:hAnsi="Arial"/>
          <w:i/>
          <w:sz w:val="22"/>
        </w:rPr>
        <w:t>Laguntzeko eta lagun egiteko hezitzaileak (3. taldea)</w:t>
      </w:r>
    </w:p>
    <w:tbl>
      <w:tblPr>
        <w:tblStyle w:val="Tablaconcuadrcula"/>
        <w:tblW w:w="0" w:type="auto"/>
        <w:tblLook w:val="04A0" w:firstRow="1" w:lastRow="0" w:firstColumn="1" w:lastColumn="0" w:noHBand="0" w:noVBand="1"/>
      </w:tblPr>
      <w:tblGrid>
        <w:gridCol w:w="855"/>
        <w:gridCol w:w="1224"/>
        <w:gridCol w:w="1078"/>
        <w:gridCol w:w="1269"/>
        <w:gridCol w:w="1090"/>
        <w:gridCol w:w="910"/>
        <w:gridCol w:w="1123"/>
        <w:gridCol w:w="945"/>
      </w:tblGrid>
      <w:tr w:rsidR="00AF0612" w14:paraId="74151874" w14:textId="77777777" w:rsidTr="007E6F91">
        <w:tc>
          <w:tcPr>
            <w:tcW w:w="1052" w:type="dxa"/>
          </w:tcPr>
          <w:p w14:paraId="41543513" w14:textId="77777777" w:rsidR="00AF0612" w:rsidRDefault="00AF0612" w:rsidP="007E6F91">
            <w:pPr>
              <w:spacing w:line="360" w:lineRule="auto"/>
              <w:jc w:val="center"/>
              <w:rPr>
                <w:rFonts w:ascii="Arial" w:hAnsi="Arial" w:cs="Arial"/>
                <w:sz w:val="22"/>
                <w:szCs w:val="24"/>
              </w:rPr>
            </w:pPr>
          </w:p>
        </w:tc>
        <w:tc>
          <w:tcPr>
            <w:tcW w:w="1021" w:type="dxa"/>
          </w:tcPr>
          <w:p w14:paraId="5684F637" w14:textId="77777777" w:rsidR="00AF0612" w:rsidRDefault="00AF0612" w:rsidP="007E6F91">
            <w:pPr>
              <w:spacing w:line="360" w:lineRule="auto"/>
              <w:jc w:val="center"/>
              <w:rPr>
                <w:rFonts w:ascii="Arial" w:hAnsi="Arial" w:cs="Arial"/>
                <w:sz w:val="22"/>
                <w:szCs w:val="24"/>
              </w:rPr>
            </w:pPr>
            <w:r>
              <w:rPr>
                <w:rFonts w:ascii="Arial" w:hAnsi="Arial"/>
                <w:sz w:val="22"/>
              </w:rPr>
              <w:t>Astelehena</w:t>
            </w:r>
          </w:p>
        </w:tc>
        <w:tc>
          <w:tcPr>
            <w:tcW w:w="1034" w:type="dxa"/>
          </w:tcPr>
          <w:p w14:paraId="45E66D6D" w14:textId="77777777" w:rsidR="00AF0612" w:rsidRDefault="00AF0612" w:rsidP="007E6F91">
            <w:pPr>
              <w:spacing w:line="360" w:lineRule="auto"/>
              <w:jc w:val="center"/>
              <w:rPr>
                <w:rFonts w:ascii="Arial" w:hAnsi="Arial" w:cs="Arial"/>
                <w:sz w:val="22"/>
                <w:szCs w:val="24"/>
              </w:rPr>
            </w:pPr>
            <w:r>
              <w:rPr>
                <w:rFonts w:ascii="Arial" w:hAnsi="Arial"/>
                <w:sz w:val="22"/>
              </w:rPr>
              <w:t>Asteartea</w:t>
            </w:r>
          </w:p>
        </w:tc>
        <w:tc>
          <w:tcPr>
            <w:tcW w:w="1158" w:type="dxa"/>
          </w:tcPr>
          <w:p w14:paraId="3400D972" w14:textId="77777777" w:rsidR="00AF0612" w:rsidRDefault="00AF0612" w:rsidP="007E6F91">
            <w:pPr>
              <w:spacing w:line="360" w:lineRule="auto"/>
              <w:jc w:val="center"/>
              <w:rPr>
                <w:rFonts w:ascii="Arial" w:hAnsi="Arial" w:cs="Arial"/>
                <w:sz w:val="22"/>
                <w:szCs w:val="24"/>
              </w:rPr>
            </w:pPr>
            <w:r>
              <w:rPr>
                <w:rFonts w:ascii="Arial" w:hAnsi="Arial"/>
                <w:sz w:val="22"/>
              </w:rPr>
              <w:t>Asteazkena</w:t>
            </w:r>
          </w:p>
        </w:tc>
        <w:tc>
          <w:tcPr>
            <w:tcW w:w="1038" w:type="dxa"/>
          </w:tcPr>
          <w:p w14:paraId="1FA2C501" w14:textId="77777777" w:rsidR="00AF0612" w:rsidRDefault="00AF0612" w:rsidP="007E6F91">
            <w:pPr>
              <w:spacing w:line="360" w:lineRule="auto"/>
              <w:jc w:val="center"/>
              <w:rPr>
                <w:rFonts w:ascii="Arial" w:hAnsi="Arial" w:cs="Arial"/>
                <w:sz w:val="22"/>
                <w:szCs w:val="24"/>
              </w:rPr>
            </w:pPr>
            <w:r>
              <w:rPr>
                <w:rFonts w:ascii="Arial" w:hAnsi="Arial"/>
                <w:sz w:val="22"/>
              </w:rPr>
              <w:t>Osteguna</w:t>
            </w:r>
          </w:p>
        </w:tc>
        <w:tc>
          <w:tcPr>
            <w:tcW w:w="1046" w:type="dxa"/>
          </w:tcPr>
          <w:p w14:paraId="426C81FE" w14:textId="77777777" w:rsidR="00AF0612" w:rsidRDefault="00AF0612" w:rsidP="007E6F91">
            <w:pPr>
              <w:spacing w:line="360" w:lineRule="auto"/>
              <w:jc w:val="center"/>
              <w:rPr>
                <w:rFonts w:ascii="Arial" w:hAnsi="Arial" w:cs="Arial"/>
                <w:sz w:val="22"/>
                <w:szCs w:val="24"/>
              </w:rPr>
            </w:pPr>
            <w:r>
              <w:rPr>
                <w:rFonts w:ascii="Arial" w:hAnsi="Arial"/>
                <w:sz w:val="22"/>
              </w:rPr>
              <w:t>Ostirala</w:t>
            </w:r>
          </w:p>
        </w:tc>
        <w:tc>
          <w:tcPr>
            <w:tcW w:w="1048" w:type="dxa"/>
          </w:tcPr>
          <w:p w14:paraId="57C3C3D1" w14:textId="77777777" w:rsidR="00AF0612" w:rsidRDefault="00AF0612" w:rsidP="007E6F91">
            <w:pPr>
              <w:spacing w:line="360" w:lineRule="auto"/>
              <w:jc w:val="center"/>
              <w:rPr>
                <w:rFonts w:ascii="Arial" w:hAnsi="Arial" w:cs="Arial"/>
                <w:sz w:val="22"/>
                <w:szCs w:val="24"/>
              </w:rPr>
            </w:pPr>
            <w:r>
              <w:rPr>
                <w:rFonts w:ascii="Arial" w:hAnsi="Arial"/>
                <w:sz w:val="22"/>
              </w:rPr>
              <w:t>Larunbata</w:t>
            </w:r>
          </w:p>
        </w:tc>
        <w:tc>
          <w:tcPr>
            <w:tcW w:w="1097" w:type="dxa"/>
          </w:tcPr>
          <w:p w14:paraId="0C3BFAE7" w14:textId="77777777" w:rsidR="00AF0612" w:rsidRDefault="00AF0612" w:rsidP="007E6F91">
            <w:pPr>
              <w:spacing w:line="360" w:lineRule="auto"/>
              <w:jc w:val="center"/>
              <w:rPr>
                <w:rFonts w:ascii="Arial" w:hAnsi="Arial" w:cs="Arial"/>
                <w:sz w:val="22"/>
                <w:szCs w:val="24"/>
              </w:rPr>
            </w:pPr>
            <w:r>
              <w:rPr>
                <w:rFonts w:ascii="Arial" w:hAnsi="Arial"/>
                <w:sz w:val="22"/>
              </w:rPr>
              <w:t>Igandea</w:t>
            </w:r>
          </w:p>
        </w:tc>
      </w:tr>
      <w:tr w:rsidR="00AF0612" w14:paraId="0430F7A9" w14:textId="77777777" w:rsidTr="007E6F91">
        <w:tc>
          <w:tcPr>
            <w:tcW w:w="1052" w:type="dxa"/>
          </w:tcPr>
          <w:p w14:paraId="6857FE3E" w14:textId="77777777" w:rsidR="00AF0612" w:rsidRDefault="00AF0612" w:rsidP="007E6F91">
            <w:pPr>
              <w:spacing w:line="360" w:lineRule="auto"/>
              <w:jc w:val="center"/>
              <w:rPr>
                <w:rFonts w:ascii="Arial" w:hAnsi="Arial" w:cs="Arial"/>
                <w:sz w:val="22"/>
                <w:szCs w:val="24"/>
              </w:rPr>
            </w:pPr>
            <w:r>
              <w:rPr>
                <w:rFonts w:ascii="Arial" w:hAnsi="Arial"/>
                <w:sz w:val="22"/>
              </w:rPr>
              <w:t>Gauez (22:00-08:00)</w:t>
            </w:r>
          </w:p>
        </w:tc>
        <w:tc>
          <w:tcPr>
            <w:tcW w:w="1021" w:type="dxa"/>
          </w:tcPr>
          <w:p w14:paraId="12C18424"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034" w:type="dxa"/>
          </w:tcPr>
          <w:p w14:paraId="24F716F9"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158" w:type="dxa"/>
          </w:tcPr>
          <w:p w14:paraId="36390348"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038" w:type="dxa"/>
          </w:tcPr>
          <w:p w14:paraId="443FBD2B"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046" w:type="dxa"/>
          </w:tcPr>
          <w:p w14:paraId="5C48F68F"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048" w:type="dxa"/>
          </w:tcPr>
          <w:p w14:paraId="7627A0EA" w14:textId="77777777" w:rsidR="00AF0612" w:rsidRDefault="00AF0612" w:rsidP="007E6F91">
            <w:pPr>
              <w:spacing w:line="360" w:lineRule="auto"/>
              <w:jc w:val="center"/>
              <w:rPr>
                <w:rFonts w:ascii="Arial" w:hAnsi="Arial" w:cs="Arial"/>
                <w:sz w:val="22"/>
                <w:szCs w:val="24"/>
              </w:rPr>
            </w:pPr>
            <w:r>
              <w:rPr>
                <w:rFonts w:ascii="Arial" w:hAnsi="Arial"/>
                <w:sz w:val="22"/>
              </w:rPr>
              <w:t>1</w:t>
            </w:r>
          </w:p>
        </w:tc>
        <w:tc>
          <w:tcPr>
            <w:tcW w:w="1097" w:type="dxa"/>
          </w:tcPr>
          <w:p w14:paraId="69553075" w14:textId="77777777" w:rsidR="00AF0612" w:rsidRDefault="00AF0612" w:rsidP="007E6F91">
            <w:pPr>
              <w:spacing w:line="360" w:lineRule="auto"/>
              <w:jc w:val="center"/>
              <w:rPr>
                <w:rFonts w:ascii="Arial" w:hAnsi="Arial" w:cs="Arial"/>
                <w:sz w:val="22"/>
                <w:szCs w:val="24"/>
              </w:rPr>
            </w:pPr>
            <w:r>
              <w:rPr>
                <w:rFonts w:ascii="Arial" w:hAnsi="Arial"/>
                <w:sz w:val="22"/>
              </w:rPr>
              <w:t>1</w:t>
            </w:r>
          </w:p>
        </w:tc>
      </w:tr>
    </w:tbl>
    <w:p w14:paraId="6599CB3C" w14:textId="77777777" w:rsidR="00AF0612" w:rsidRDefault="00AF0612" w:rsidP="003309C7">
      <w:pPr>
        <w:spacing w:line="360" w:lineRule="auto"/>
        <w:jc w:val="both"/>
        <w:rPr>
          <w:rFonts w:ascii="Arial" w:hAnsi="Arial" w:cs="Arial"/>
          <w:sz w:val="22"/>
          <w:szCs w:val="24"/>
        </w:rPr>
      </w:pPr>
    </w:p>
    <w:p w14:paraId="5816A984" w14:textId="77777777"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Alabaina, apirilaren 19ko gauean zuzeneko arretako bi hezitzaile zeuden txanda horretan, eta baliabidean presente zeuden.</w:t>
      </w:r>
    </w:p>
    <w:p w14:paraId="4CB4664D" w14:textId="3C391F84" w:rsidR="00AF0612" w:rsidRPr="004036AA" w:rsidRDefault="004C6B2A" w:rsidP="004036AA">
      <w:pPr>
        <w:spacing w:after="120" w:line="276" w:lineRule="auto"/>
        <w:jc w:val="both"/>
        <w:rPr>
          <w:rFonts w:asciiTheme="minorHAnsi" w:hAnsiTheme="minorHAnsi" w:cstheme="minorHAnsi"/>
          <w:sz w:val="22"/>
          <w:szCs w:val="24"/>
        </w:rPr>
      </w:pPr>
      <w:r>
        <w:rPr>
          <w:rFonts w:asciiTheme="minorHAnsi" w:hAnsiTheme="minorHAnsi"/>
          <w:sz w:val="22"/>
        </w:rPr>
        <w:t xml:space="preserve">Errekurtsoaren bidez helarazitako txostenaren arabera, adingabeari laguntza egokia eman zitzaion, eta hezkuntza taldea indartu egin zen gauez, zailtasunak izateko arriskua zegoelakoan. </w:t>
      </w:r>
      <w:r>
        <w:rPr>
          <w:rFonts w:asciiTheme="minorHAnsi" w:hAnsiTheme="minorHAnsi"/>
          <w:sz w:val="22"/>
        </w:rPr>
        <w:lastRenderedPageBreak/>
        <w:t>Halaber, gertakariaren protagonista den gaztearekin hitz egin zen, baina bi hezitzaileek ezin izan zioten egoerari kontrolpean izan, eta gaztearen jokabidea ikusita, poliziaren esku-hartzea eskatu zuten.</w:t>
      </w:r>
    </w:p>
    <w:p w14:paraId="1597BFA2" w14:textId="77777777"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Bestalde, adierazi behar da gatazka egoerak talde guztietan gertatu ohi direla; babes sistemak haurrekin eta nerabeekin lan egiten du gatazka horiei aurre egiteko eta konpontzen saiatzeko, indarkeria egoerak saiheste aldera.</w:t>
      </w:r>
    </w:p>
    <w:p w14:paraId="72D4A549" w14:textId="6FFCEC5D" w:rsidR="00AF0612" w:rsidRPr="004036AA" w:rsidRDefault="00AF0612" w:rsidP="004036AA">
      <w:pPr>
        <w:spacing w:after="120" w:line="276" w:lineRule="auto"/>
        <w:jc w:val="both"/>
        <w:rPr>
          <w:rFonts w:asciiTheme="minorHAnsi" w:hAnsiTheme="minorHAnsi" w:cstheme="minorHAnsi"/>
          <w:sz w:val="22"/>
          <w:szCs w:val="24"/>
        </w:rPr>
      </w:pPr>
      <w:r>
        <w:rPr>
          <w:rFonts w:asciiTheme="minorHAnsi" w:hAnsiTheme="minorHAnsi"/>
          <w:sz w:val="22"/>
        </w:rPr>
        <w:t>Nafarroako Gobernuak lanean jarraitzen du babes sisteman arreta hobetzeko, eta horretarako baliabide nagusia profesionalen prestakuntza etengabe hobetzea da. Gero eta konplexuagoak dira lagun egiten dieten adingabeen inguruko egoerak, eta balorazio zehatzagoa eta esku-hartze espezifikoagoa behar dute; beraz, prestakuntza funtsezkoa da. Laster esku hartzeko eredu bat (CARE) pilotatuko da hainbat pisu eta etxetan, profesionalei baliabide berriez hornitze aldera adingabe horiek pairatzen duten ondoeza hobetzeko. Gainera, langileen ratioak doitzen ari dira 2022a baino lehenagoko itunetan (hura itun horietako bat zen).</w:t>
      </w:r>
    </w:p>
    <w:p w14:paraId="7CD965DF" w14:textId="77777777" w:rsidR="003309C7" w:rsidRPr="004036AA" w:rsidRDefault="003309C7" w:rsidP="004036AA">
      <w:pPr>
        <w:spacing w:after="120" w:line="276" w:lineRule="auto"/>
        <w:jc w:val="both"/>
        <w:rPr>
          <w:rFonts w:asciiTheme="minorHAnsi" w:hAnsiTheme="minorHAnsi" w:cstheme="minorHAnsi"/>
          <w:sz w:val="22"/>
          <w:szCs w:val="24"/>
        </w:rPr>
      </w:pPr>
      <w:r>
        <w:rPr>
          <w:rFonts w:asciiTheme="minorHAnsi" w:hAnsiTheme="minorHAnsi"/>
          <w:sz w:val="22"/>
        </w:rPr>
        <w:t>Hori guztia jakinarazten dut, Nafarroako Parlamentuko Erregelamenduaren 215. artikuluan ezarritakoa betez.</w:t>
      </w:r>
    </w:p>
    <w:p w14:paraId="40DE72AD" w14:textId="77777777" w:rsidR="003309C7" w:rsidRPr="004036AA" w:rsidRDefault="003309C7" w:rsidP="004036AA">
      <w:pPr>
        <w:spacing w:after="120" w:line="276" w:lineRule="auto"/>
        <w:jc w:val="both"/>
        <w:rPr>
          <w:rFonts w:asciiTheme="minorHAnsi" w:hAnsiTheme="minorHAnsi" w:cstheme="minorHAnsi"/>
          <w:sz w:val="22"/>
          <w:szCs w:val="24"/>
        </w:rPr>
      </w:pPr>
      <w:r>
        <w:rPr>
          <w:rFonts w:asciiTheme="minorHAnsi" w:hAnsiTheme="minorHAnsi"/>
          <w:sz w:val="22"/>
        </w:rPr>
        <w:t>Iruñean, 2026ko maiatzaren 20an</w:t>
      </w:r>
    </w:p>
    <w:p w14:paraId="4A67BB1D" w14:textId="2C79749D" w:rsidR="003309C7" w:rsidRPr="004036AA" w:rsidRDefault="004036AA" w:rsidP="004036AA">
      <w:pPr>
        <w:spacing w:after="120" w:line="276" w:lineRule="auto"/>
        <w:jc w:val="both"/>
        <w:rPr>
          <w:rFonts w:asciiTheme="minorHAnsi" w:hAnsiTheme="minorHAnsi" w:cstheme="minorHAnsi"/>
          <w:sz w:val="22"/>
          <w:szCs w:val="24"/>
        </w:rPr>
      </w:pPr>
      <w:r>
        <w:rPr>
          <w:rFonts w:asciiTheme="minorHAnsi" w:hAnsiTheme="minorHAnsi"/>
          <w:sz w:val="22"/>
        </w:rPr>
        <w:t>Eskubide Sozialetako, Ekonomia Sozialeko eta Enpleguko kontseilaria: María Carmen Maeztu Villafranca</w:t>
      </w:r>
    </w:p>
    <w:sectPr w:rsidR="003309C7" w:rsidRPr="004036AA" w:rsidSect="00015348">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0F2F" w14:textId="77777777" w:rsidR="009E3EF4" w:rsidRDefault="009E3EF4" w:rsidP="003309C7">
      <w:r>
        <w:separator/>
      </w:r>
    </w:p>
  </w:endnote>
  <w:endnote w:type="continuationSeparator" w:id="0">
    <w:p w14:paraId="11E215F1" w14:textId="77777777" w:rsidR="009E3EF4" w:rsidRDefault="009E3EF4" w:rsidP="0033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46A4" w14:textId="77777777" w:rsidR="009E3EF4" w:rsidRDefault="009E3EF4"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C6BE" w14:textId="77777777" w:rsidR="009E3EF4" w:rsidRDefault="009E3EF4" w:rsidP="003309C7">
      <w:r>
        <w:separator/>
      </w:r>
    </w:p>
  </w:footnote>
  <w:footnote w:type="continuationSeparator" w:id="0">
    <w:p w14:paraId="7BCEC115" w14:textId="77777777" w:rsidR="009E3EF4" w:rsidRDefault="009E3EF4" w:rsidP="0033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42"/>
    <w:rsid w:val="002D6AAC"/>
    <w:rsid w:val="003309C7"/>
    <w:rsid w:val="004036AA"/>
    <w:rsid w:val="004C6B2A"/>
    <w:rsid w:val="00580542"/>
    <w:rsid w:val="00667CA2"/>
    <w:rsid w:val="009E3EF4"/>
    <w:rsid w:val="00AF0612"/>
    <w:rsid w:val="00C37279"/>
    <w:rsid w:val="00C73E2D"/>
    <w:rsid w:val="00F20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8B9C"/>
  <w15:chartTrackingRefBased/>
  <w15:docId w15:val="{AD675AE0-0736-490B-B27D-656628DC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9C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09C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09C7"/>
  </w:style>
  <w:style w:type="paragraph" w:styleId="Piedepgina">
    <w:name w:val="footer"/>
    <w:basedOn w:val="Normal"/>
    <w:link w:val="PiedepginaCar"/>
    <w:unhideWhenUsed/>
    <w:rsid w:val="003309C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309C7"/>
  </w:style>
  <w:style w:type="paragraph" w:styleId="Textoindependiente">
    <w:name w:val="Body Text"/>
    <w:basedOn w:val="Normal"/>
    <w:link w:val="TextoindependienteCar"/>
    <w:rsid w:val="003309C7"/>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3309C7"/>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3309C7"/>
  </w:style>
  <w:style w:type="table" w:styleId="Tablaconcuadrcula">
    <w:name w:val="Table Grid"/>
    <w:basedOn w:val="Tablanormal"/>
    <w:uiPriority w:val="39"/>
    <w:rsid w:val="00AF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423</Words>
  <Characters>2626</Characters>
  <Application>Microsoft Office Word</Application>
  <DocSecurity>0</DocSecurity>
  <Lines>125</Lines>
  <Paragraphs>112</Paragraphs>
  <ScaleCrop>false</ScaleCrop>
  <Company>Gobierno de Navarra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3</cp:revision>
  <dcterms:created xsi:type="dcterms:W3CDTF">2026-05-20T13:21:00Z</dcterms:created>
  <dcterms:modified xsi:type="dcterms:W3CDTF">2026-06-25T06:43:00Z</dcterms:modified>
</cp:coreProperties>
</file>