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1BFA0" w14:textId="799AF469" w:rsidR="003309C7" w:rsidRPr="004036AA" w:rsidRDefault="003309C7" w:rsidP="004036A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4036AA">
        <w:rPr>
          <w:rFonts w:asciiTheme="minorHAnsi" w:hAnsiTheme="minorHAnsi" w:cstheme="minorHAnsi"/>
          <w:sz w:val="22"/>
          <w:szCs w:val="24"/>
        </w:rPr>
        <w:t xml:space="preserve">La consejera de Derechos Sociales, Economía Social y Empleo del Gobierno de Navarra, en relación con la pregunta </w:t>
      </w:r>
      <w:r w:rsidR="004036AA" w:rsidRPr="004036AA">
        <w:rPr>
          <w:rFonts w:asciiTheme="minorHAnsi" w:hAnsiTheme="minorHAnsi" w:cstheme="minorHAnsi"/>
          <w:sz w:val="22"/>
          <w:szCs w:val="24"/>
        </w:rPr>
        <w:t xml:space="preserve">(11-26/PES-00111) </w:t>
      </w:r>
      <w:r w:rsidRPr="004036AA">
        <w:rPr>
          <w:rFonts w:asciiTheme="minorHAnsi" w:hAnsiTheme="minorHAnsi" w:cstheme="minorHAnsi"/>
          <w:sz w:val="22"/>
          <w:szCs w:val="24"/>
        </w:rPr>
        <w:t>para su contestación por escrito formulada por la Parlamentaria Foral Ilma. Sra. D</w:t>
      </w:r>
      <w:r w:rsidR="004036AA" w:rsidRPr="004036AA">
        <w:rPr>
          <w:rFonts w:asciiTheme="minorHAnsi" w:hAnsiTheme="minorHAnsi" w:cstheme="minorHAnsi"/>
          <w:sz w:val="22"/>
          <w:szCs w:val="24"/>
        </w:rPr>
        <w:t>.</w:t>
      </w:r>
      <w:r w:rsidRPr="004036AA">
        <w:rPr>
          <w:rFonts w:asciiTheme="minorHAnsi" w:hAnsiTheme="minorHAnsi" w:cstheme="minorHAnsi"/>
          <w:sz w:val="22"/>
          <w:szCs w:val="24"/>
        </w:rPr>
        <w:t xml:space="preserve">ª Cristina López Mañero, adscrita al Grupo Parlamentario Unión del Pueblo Navarro, </w:t>
      </w:r>
      <w:r w:rsidR="004036AA" w:rsidRPr="004036AA">
        <w:rPr>
          <w:rFonts w:asciiTheme="minorHAnsi" w:hAnsiTheme="minorHAnsi" w:cstheme="minorHAnsi"/>
          <w:sz w:val="22"/>
          <w:szCs w:val="24"/>
        </w:rPr>
        <w:t>t</w:t>
      </w:r>
      <w:r w:rsidRPr="004036AA">
        <w:rPr>
          <w:rFonts w:asciiTheme="minorHAnsi" w:hAnsiTheme="minorHAnsi" w:cstheme="minorHAnsi"/>
          <w:sz w:val="22"/>
          <w:szCs w:val="24"/>
        </w:rPr>
        <w:t>iene a bien informar lo siguiente:</w:t>
      </w:r>
    </w:p>
    <w:p w14:paraId="20358F87" w14:textId="2DA2367A" w:rsidR="00AF0612" w:rsidRPr="004036AA" w:rsidRDefault="00AF0612" w:rsidP="004036A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4036AA">
        <w:rPr>
          <w:rFonts w:asciiTheme="minorHAnsi" w:hAnsiTheme="minorHAnsi" w:cstheme="minorHAnsi"/>
          <w:sz w:val="22"/>
          <w:szCs w:val="24"/>
        </w:rPr>
        <w:t xml:space="preserve">El día 18 de abril por la mañana, una menor del recurso relata al educador unos hechos </w:t>
      </w:r>
      <w:r w:rsidR="004036AA" w:rsidRPr="004036AA">
        <w:rPr>
          <w:rFonts w:asciiTheme="minorHAnsi" w:hAnsiTheme="minorHAnsi" w:cstheme="minorHAnsi"/>
          <w:sz w:val="22"/>
          <w:szCs w:val="24"/>
        </w:rPr>
        <w:t>en relación con</w:t>
      </w:r>
      <w:r w:rsidRPr="004036AA">
        <w:rPr>
          <w:rFonts w:asciiTheme="minorHAnsi" w:hAnsiTheme="minorHAnsi" w:cstheme="minorHAnsi"/>
          <w:sz w:val="22"/>
          <w:szCs w:val="24"/>
        </w:rPr>
        <w:t xml:space="preserve"> un compañero de piso. La menor decide al día siguiente interponer una denuncia ante la policía por los mismos y se le acompaña, aunque por la hora en la que acude no puede hacerse efectiva. Cuando por la tarde-noche la menor vuelve al hogar, el compañero de piso junto con otros menores, bajan a la call</w:t>
      </w:r>
      <w:r w:rsidR="004036AA" w:rsidRPr="004036AA">
        <w:rPr>
          <w:rFonts w:asciiTheme="minorHAnsi" w:hAnsiTheme="minorHAnsi" w:cstheme="minorHAnsi"/>
          <w:sz w:val="22"/>
          <w:szCs w:val="24"/>
        </w:rPr>
        <w:t>e</w:t>
      </w:r>
      <w:r w:rsidRPr="004036AA">
        <w:rPr>
          <w:rFonts w:asciiTheme="minorHAnsi" w:hAnsiTheme="minorHAnsi" w:cstheme="minorHAnsi"/>
          <w:sz w:val="22"/>
          <w:szCs w:val="24"/>
        </w:rPr>
        <w:t xml:space="preserve"> a increparla (a ella y a los amigos con los que estaba). Los educadores intentan calmar la situación, pero ante la deriva, se avisa a policía que se lleva detenido al menor protagonista. </w:t>
      </w:r>
    </w:p>
    <w:p w14:paraId="60CEC8AF" w14:textId="77777777" w:rsidR="00AF0612" w:rsidRPr="004036AA" w:rsidRDefault="00AF0612" w:rsidP="004036A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4036AA">
        <w:rPr>
          <w:rFonts w:asciiTheme="minorHAnsi" w:hAnsiTheme="minorHAnsi" w:cstheme="minorHAnsi"/>
          <w:sz w:val="22"/>
          <w:szCs w:val="24"/>
        </w:rPr>
        <w:t xml:space="preserve">El piso es un recurso de acogimiento residencial básico y cuenta con 8 plazas; a fecha 19 de abril estaban ocupadas siete plazas. </w:t>
      </w:r>
    </w:p>
    <w:p w14:paraId="29D8BB09" w14:textId="77777777" w:rsidR="00AF0612" w:rsidRPr="004036AA" w:rsidRDefault="00AF0612" w:rsidP="004036A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4036AA">
        <w:rPr>
          <w:rFonts w:asciiTheme="minorHAnsi" w:hAnsiTheme="minorHAnsi" w:cstheme="minorHAnsi"/>
          <w:sz w:val="22"/>
          <w:szCs w:val="24"/>
        </w:rPr>
        <w:t>El recurso cuenta habitualmente con el siguiente personal educativo (más el equipo técnico):</w:t>
      </w:r>
    </w:p>
    <w:p w14:paraId="10756061" w14:textId="77777777" w:rsidR="00AF0612" w:rsidRDefault="00AF0612" w:rsidP="003309C7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p w14:paraId="01FF1573" w14:textId="77777777" w:rsidR="00AF0612" w:rsidRPr="00AF0612" w:rsidRDefault="00AF0612" w:rsidP="003309C7">
      <w:pPr>
        <w:spacing w:line="360" w:lineRule="auto"/>
        <w:jc w:val="both"/>
        <w:rPr>
          <w:rFonts w:ascii="Arial" w:hAnsi="Arial" w:cs="Arial"/>
          <w:i/>
          <w:sz w:val="22"/>
          <w:szCs w:val="24"/>
        </w:rPr>
      </w:pPr>
      <w:r w:rsidRPr="00AF0612">
        <w:rPr>
          <w:rFonts w:ascii="Arial" w:hAnsi="Arial" w:cs="Arial"/>
          <w:i/>
          <w:sz w:val="22"/>
          <w:szCs w:val="24"/>
        </w:rPr>
        <w:t>Educadores de atención directa: funciones nivel B (grupo 2)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"/>
        <w:gridCol w:w="1021"/>
        <w:gridCol w:w="1034"/>
        <w:gridCol w:w="1158"/>
        <w:gridCol w:w="1038"/>
        <w:gridCol w:w="1046"/>
        <w:gridCol w:w="1048"/>
        <w:gridCol w:w="1097"/>
      </w:tblGrid>
      <w:tr w:rsidR="00AF0612" w14:paraId="2154C66C" w14:textId="77777777" w:rsidTr="00AF0612">
        <w:tc>
          <w:tcPr>
            <w:tcW w:w="1052" w:type="dxa"/>
          </w:tcPr>
          <w:p w14:paraId="31E696B3" w14:textId="77777777" w:rsidR="00AF0612" w:rsidRDefault="00AF0612" w:rsidP="00AF061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21" w:type="dxa"/>
          </w:tcPr>
          <w:p w14:paraId="7630142A" w14:textId="77777777" w:rsidR="00AF0612" w:rsidRDefault="00AF0612" w:rsidP="00AF061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Lunes</w:t>
            </w:r>
          </w:p>
        </w:tc>
        <w:tc>
          <w:tcPr>
            <w:tcW w:w="1034" w:type="dxa"/>
          </w:tcPr>
          <w:p w14:paraId="2D827683" w14:textId="77777777" w:rsidR="00AF0612" w:rsidRDefault="00AF0612" w:rsidP="00AF061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Martes</w:t>
            </w:r>
          </w:p>
        </w:tc>
        <w:tc>
          <w:tcPr>
            <w:tcW w:w="1158" w:type="dxa"/>
          </w:tcPr>
          <w:p w14:paraId="01093EC2" w14:textId="77777777" w:rsidR="00AF0612" w:rsidRDefault="00AF0612" w:rsidP="00AF061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Miércoles</w:t>
            </w:r>
          </w:p>
        </w:tc>
        <w:tc>
          <w:tcPr>
            <w:tcW w:w="1038" w:type="dxa"/>
          </w:tcPr>
          <w:p w14:paraId="5AB950AC" w14:textId="77777777" w:rsidR="00AF0612" w:rsidRDefault="00AF0612" w:rsidP="00AF061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Jueves</w:t>
            </w:r>
          </w:p>
        </w:tc>
        <w:tc>
          <w:tcPr>
            <w:tcW w:w="1046" w:type="dxa"/>
          </w:tcPr>
          <w:p w14:paraId="1258B92B" w14:textId="77777777" w:rsidR="00AF0612" w:rsidRDefault="00AF0612" w:rsidP="00AF061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Viernes</w:t>
            </w:r>
          </w:p>
        </w:tc>
        <w:tc>
          <w:tcPr>
            <w:tcW w:w="1048" w:type="dxa"/>
          </w:tcPr>
          <w:p w14:paraId="70C46E06" w14:textId="77777777" w:rsidR="00AF0612" w:rsidRDefault="00AF0612" w:rsidP="00AF061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Sábado</w:t>
            </w:r>
          </w:p>
        </w:tc>
        <w:tc>
          <w:tcPr>
            <w:tcW w:w="1097" w:type="dxa"/>
          </w:tcPr>
          <w:p w14:paraId="3ABDE05B" w14:textId="77777777" w:rsidR="00AF0612" w:rsidRDefault="00AF0612" w:rsidP="00AF061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Domingo</w:t>
            </w:r>
          </w:p>
        </w:tc>
      </w:tr>
      <w:tr w:rsidR="00AF0612" w14:paraId="3285225C" w14:textId="77777777" w:rsidTr="00AF0612">
        <w:tc>
          <w:tcPr>
            <w:tcW w:w="1052" w:type="dxa"/>
          </w:tcPr>
          <w:p w14:paraId="4C4CDC06" w14:textId="77777777" w:rsidR="00AF0612" w:rsidRDefault="00AF0612" w:rsidP="00AF061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Mañana (8:00-14:00)</w:t>
            </w:r>
          </w:p>
        </w:tc>
        <w:tc>
          <w:tcPr>
            <w:tcW w:w="1021" w:type="dxa"/>
          </w:tcPr>
          <w:p w14:paraId="3BA1B443" w14:textId="77777777" w:rsidR="00AF0612" w:rsidRDefault="00AF0612" w:rsidP="00AF061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1034" w:type="dxa"/>
          </w:tcPr>
          <w:p w14:paraId="458D3F43" w14:textId="77777777" w:rsidR="00AF0612" w:rsidRDefault="00AF0612" w:rsidP="00AF061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1158" w:type="dxa"/>
          </w:tcPr>
          <w:p w14:paraId="56C0CDC6" w14:textId="77777777" w:rsidR="00AF0612" w:rsidRDefault="00AF0612" w:rsidP="00AF061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1038" w:type="dxa"/>
          </w:tcPr>
          <w:p w14:paraId="3DA2F601" w14:textId="77777777" w:rsidR="00AF0612" w:rsidRDefault="00AF0612" w:rsidP="00AF061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1046" w:type="dxa"/>
          </w:tcPr>
          <w:p w14:paraId="2FC44C5F" w14:textId="77777777" w:rsidR="00AF0612" w:rsidRDefault="00AF0612" w:rsidP="00AF061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1048" w:type="dxa"/>
          </w:tcPr>
          <w:p w14:paraId="18B2A158" w14:textId="77777777" w:rsidR="00AF0612" w:rsidRDefault="00AF0612" w:rsidP="00AF061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2</w:t>
            </w:r>
          </w:p>
        </w:tc>
        <w:tc>
          <w:tcPr>
            <w:tcW w:w="1097" w:type="dxa"/>
          </w:tcPr>
          <w:p w14:paraId="17E475BA" w14:textId="77777777" w:rsidR="00AF0612" w:rsidRDefault="00AF0612" w:rsidP="00AF061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2</w:t>
            </w:r>
          </w:p>
        </w:tc>
      </w:tr>
      <w:tr w:rsidR="00AF0612" w14:paraId="2F81CD58" w14:textId="77777777" w:rsidTr="00AF0612">
        <w:tc>
          <w:tcPr>
            <w:tcW w:w="1052" w:type="dxa"/>
          </w:tcPr>
          <w:p w14:paraId="3883E955" w14:textId="77777777" w:rsidR="00AF0612" w:rsidRDefault="00AF0612" w:rsidP="00AF061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Tarde (14:00-22:00)</w:t>
            </w:r>
          </w:p>
        </w:tc>
        <w:tc>
          <w:tcPr>
            <w:tcW w:w="1021" w:type="dxa"/>
          </w:tcPr>
          <w:p w14:paraId="379B276A" w14:textId="77777777" w:rsidR="00AF0612" w:rsidRDefault="00AF0612" w:rsidP="00AF061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2</w:t>
            </w:r>
          </w:p>
        </w:tc>
        <w:tc>
          <w:tcPr>
            <w:tcW w:w="1034" w:type="dxa"/>
          </w:tcPr>
          <w:p w14:paraId="5643D690" w14:textId="77777777" w:rsidR="00AF0612" w:rsidRDefault="00AF0612" w:rsidP="00AF061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2</w:t>
            </w:r>
          </w:p>
        </w:tc>
        <w:tc>
          <w:tcPr>
            <w:tcW w:w="1158" w:type="dxa"/>
          </w:tcPr>
          <w:p w14:paraId="038B2FFA" w14:textId="77777777" w:rsidR="00AF0612" w:rsidRDefault="00AF0612" w:rsidP="00AF061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2</w:t>
            </w:r>
          </w:p>
        </w:tc>
        <w:tc>
          <w:tcPr>
            <w:tcW w:w="1038" w:type="dxa"/>
          </w:tcPr>
          <w:p w14:paraId="0DBC3F3F" w14:textId="77777777" w:rsidR="00AF0612" w:rsidRDefault="00AF0612" w:rsidP="00AF061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2</w:t>
            </w:r>
          </w:p>
        </w:tc>
        <w:tc>
          <w:tcPr>
            <w:tcW w:w="1046" w:type="dxa"/>
          </w:tcPr>
          <w:p w14:paraId="09D31AEC" w14:textId="77777777" w:rsidR="00AF0612" w:rsidRDefault="00AF0612" w:rsidP="00AF061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2</w:t>
            </w:r>
          </w:p>
        </w:tc>
        <w:tc>
          <w:tcPr>
            <w:tcW w:w="1048" w:type="dxa"/>
          </w:tcPr>
          <w:p w14:paraId="02BC8AB5" w14:textId="77777777" w:rsidR="00AF0612" w:rsidRDefault="00AF0612" w:rsidP="00AF061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2</w:t>
            </w:r>
          </w:p>
        </w:tc>
        <w:tc>
          <w:tcPr>
            <w:tcW w:w="1097" w:type="dxa"/>
          </w:tcPr>
          <w:p w14:paraId="1621F35C" w14:textId="77777777" w:rsidR="00AF0612" w:rsidRDefault="00AF0612" w:rsidP="00AF061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2</w:t>
            </w:r>
          </w:p>
        </w:tc>
      </w:tr>
    </w:tbl>
    <w:p w14:paraId="21AF66F0" w14:textId="77777777" w:rsidR="00AF0612" w:rsidRPr="00AF0612" w:rsidRDefault="00AF0612" w:rsidP="003309C7">
      <w:pPr>
        <w:spacing w:line="360" w:lineRule="auto"/>
        <w:jc w:val="both"/>
        <w:rPr>
          <w:rFonts w:ascii="Arial" w:hAnsi="Arial" w:cs="Arial"/>
          <w:i/>
          <w:sz w:val="22"/>
          <w:szCs w:val="24"/>
        </w:rPr>
      </w:pPr>
    </w:p>
    <w:p w14:paraId="610CC0FB" w14:textId="77777777" w:rsidR="00AF0612" w:rsidRPr="00AF0612" w:rsidRDefault="00AF0612" w:rsidP="003309C7">
      <w:pPr>
        <w:spacing w:line="360" w:lineRule="auto"/>
        <w:jc w:val="both"/>
        <w:rPr>
          <w:rFonts w:ascii="Arial" w:hAnsi="Arial" w:cs="Arial"/>
          <w:i/>
          <w:sz w:val="22"/>
          <w:szCs w:val="24"/>
        </w:rPr>
      </w:pPr>
      <w:r w:rsidRPr="00AF0612">
        <w:rPr>
          <w:rFonts w:ascii="Arial" w:hAnsi="Arial" w:cs="Arial"/>
          <w:i/>
          <w:sz w:val="22"/>
          <w:szCs w:val="24"/>
        </w:rPr>
        <w:t>Educadores de apoyo y acompañamiento (grupo 3)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"/>
        <w:gridCol w:w="1021"/>
        <w:gridCol w:w="1034"/>
        <w:gridCol w:w="1158"/>
        <w:gridCol w:w="1038"/>
        <w:gridCol w:w="1046"/>
        <w:gridCol w:w="1048"/>
        <w:gridCol w:w="1097"/>
      </w:tblGrid>
      <w:tr w:rsidR="00AF0612" w14:paraId="74151874" w14:textId="77777777" w:rsidTr="007E6F91">
        <w:tc>
          <w:tcPr>
            <w:tcW w:w="1052" w:type="dxa"/>
          </w:tcPr>
          <w:p w14:paraId="41543513" w14:textId="77777777" w:rsidR="00AF0612" w:rsidRDefault="00AF0612" w:rsidP="007E6F9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21" w:type="dxa"/>
          </w:tcPr>
          <w:p w14:paraId="5684F637" w14:textId="77777777" w:rsidR="00AF0612" w:rsidRDefault="00AF0612" w:rsidP="007E6F9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Lunes</w:t>
            </w:r>
          </w:p>
        </w:tc>
        <w:tc>
          <w:tcPr>
            <w:tcW w:w="1034" w:type="dxa"/>
          </w:tcPr>
          <w:p w14:paraId="45E66D6D" w14:textId="77777777" w:rsidR="00AF0612" w:rsidRDefault="00AF0612" w:rsidP="007E6F9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Martes</w:t>
            </w:r>
          </w:p>
        </w:tc>
        <w:tc>
          <w:tcPr>
            <w:tcW w:w="1158" w:type="dxa"/>
          </w:tcPr>
          <w:p w14:paraId="3400D972" w14:textId="77777777" w:rsidR="00AF0612" w:rsidRDefault="00AF0612" w:rsidP="007E6F9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Miércoles</w:t>
            </w:r>
          </w:p>
        </w:tc>
        <w:tc>
          <w:tcPr>
            <w:tcW w:w="1038" w:type="dxa"/>
          </w:tcPr>
          <w:p w14:paraId="1FA2C501" w14:textId="77777777" w:rsidR="00AF0612" w:rsidRDefault="00AF0612" w:rsidP="007E6F9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Jueves</w:t>
            </w:r>
          </w:p>
        </w:tc>
        <w:tc>
          <w:tcPr>
            <w:tcW w:w="1046" w:type="dxa"/>
          </w:tcPr>
          <w:p w14:paraId="426C81FE" w14:textId="77777777" w:rsidR="00AF0612" w:rsidRDefault="00AF0612" w:rsidP="007E6F9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Viernes</w:t>
            </w:r>
          </w:p>
        </w:tc>
        <w:tc>
          <w:tcPr>
            <w:tcW w:w="1048" w:type="dxa"/>
          </w:tcPr>
          <w:p w14:paraId="57C3C3D1" w14:textId="77777777" w:rsidR="00AF0612" w:rsidRDefault="00AF0612" w:rsidP="007E6F9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Sábado</w:t>
            </w:r>
          </w:p>
        </w:tc>
        <w:tc>
          <w:tcPr>
            <w:tcW w:w="1097" w:type="dxa"/>
          </w:tcPr>
          <w:p w14:paraId="0C3BFAE7" w14:textId="77777777" w:rsidR="00AF0612" w:rsidRDefault="00AF0612" w:rsidP="007E6F9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Domingo</w:t>
            </w:r>
          </w:p>
        </w:tc>
      </w:tr>
      <w:tr w:rsidR="00AF0612" w14:paraId="0430F7A9" w14:textId="77777777" w:rsidTr="007E6F91">
        <w:tc>
          <w:tcPr>
            <w:tcW w:w="1052" w:type="dxa"/>
          </w:tcPr>
          <w:p w14:paraId="6857FE3E" w14:textId="77777777" w:rsidR="00AF0612" w:rsidRDefault="00AF0612" w:rsidP="007E6F9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Noche (22:00-08:00)</w:t>
            </w:r>
          </w:p>
        </w:tc>
        <w:tc>
          <w:tcPr>
            <w:tcW w:w="1021" w:type="dxa"/>
          </w:tcPr>
          <w:p w14:paraId="12C18424" w14:textId="77777777" w:rsidR="00AF0612" w:rsidRDefault="00AF0612" w:rsidP="007E6F9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1034" w:type="dxa"/>
          </w:tcPr>
          <w:p w14:paraId="24F716F9" w14:textId="77777777" w:rsidR="00AF0612" w:rsidRDefault="00AF0612" w:rsidP="007E6F9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1158" w:type="dxa"/>
          </w:tcPr>
          <w:p w14:paraId="36390348" w14:textId="77777777" w:rsidR="00AF0612" w:rsidRDefault="00AF0612" w:rsidP="007E6F9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1038" w:type="dxa"/>
          </w:tcPr>
          <w:p w14:paraId="443FBD2B" w14:textId="77777777" w:rsidR="00AF0612" w:rsidRDefault="00AF0612" w:rsidP="007E6F9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1046" w:type="dxa"/>
          </w:tcPr>
          <w:p w14:paraId="5C48F68F" w14:textId="77777777" w:rsidR="00AF0612" w:rsidRDefault="00AF0612" w:rsidP="007E6F9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1048" w:type="dxa"/>
          </w:tcPr>
          <w:p w14:paraId="7627A0EA" w14:textId="77777777" w:rsidR="00AF0612" w:rsidRDefault="00AF0612" w:rsidP="007E6F9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1097" w:type="dxa"/>
          </w:tcPr>
          <w:p w14:paraId="69553075" w14:textId="77777777" w:rsidR="00AF0612" w:rsidRDefault="00AF0612" w:rsidP="007E6F9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</w:t>
            </w:r>
          </w:p>
        </w:tc>
      </w:tr>
    </w:tbl>
    <w:p w14:paraId="6599CB3C" w14:textId="77777777" w:rsidR="00AF0612" w:rsidRDefault="00AF0612" w:rsidP="003309C7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p w14:paraId="5816A984" w14:textId="77777777" w:rsidR="00AF0612" w:rsidRPr="004036AA" w:rsidRDefault="00AF0612" w:rsidP="004036A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4036AA">
        <w:rPr>
          <w:rFonts w:asciiTheme="minorHAnsi" w:hAnsiTheme="minorHAnsi" w:cstheme="minorHAnsi"/>
          <w:sz w:val="22"/>
          <w:szCs w:val="24"/>
        </w:rPr>
        <w:t>Sin embargo, la noche del 19 de abril había dos educadores de atención directa en ese turno y estaban presentes en el recurso.</w:t>
      </w:r>
    </w:p>
    <w:p w14:paraId="4CB4664D" w14:textId="3C391F84" w:rsidR="00AF0612" w:rsidRPr="004036AA" w:rsidRDefault="004C6B2A" w:rsidP="004036A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4036AA">
        <w:rPr>
          <w:rFonts w:asciiTheme="minorHAnsi" w:hAnsiTheme="minorHAnsi" w:cstheme="minorHAnsi"/>
          <w:sz w:val="22"/>
          <w:szCs w:val="24"/>
        </w:rPr>
        <w:t>Según el informe trasladado desde el recurso, se realizó el acompañamiento oportuno a la menor, y se reforzó el equipo educativo por la noche ante posibles dificultades. As</w:t>
      </w:r>
      <w:r w:rsidR="004036AA">
        <w:rPr>
          <w:rFonts w:asciiTheme="minorHAnsi" w:hAnsiTheme="minorHAnsi" w:cstheme="minorHAnsi"/>
          <w:sz w:val="22"/>
          <w:szCs w:val="24"/>
        </w:rPr>
        <w:t>i</w:t>
      </w:r>
      <w:r w:rsidRPr="004036AA">
        <w:rPr>
          <w:rFonts w:asciiTheme="minorHAnsi" w:hAnsiTheme="minorHAnsi" w:cstheme="minorHAnsi"/>
          <w:sz w:val="22"/>
          <w:szCs w:val="24"/>
        </w:rPr>
        <w:t>mismo, se intervino con el joven protagonista del suceso, pero ante la conducta del joven, los dos educadores no pudieron contener la situación y pidieron la intervención de la policía.</w:t>
      </w:r>
    </w:p>
    <w:p w14:paraId="1597BFA2" w14:textId="77777777" w:rsidR="00AF0612" w:rsidRPr="004036AA" w:rsidRDefault="00AF0612" w:rsidP="004036A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4036AA">
        <w:rPr>
          <w:rFonts w:asciiTheme="minorHAnsi" w:hAnsiTheme="minorHAnsi" w:cstheme="minorHAnsi"/>
          <w:sz w:val="22"/>
          <w:szCs w:val="24"/>
        </w:rPr>
        <w:t>Por otra parte, es necesario señalar que las situaciones de conflicto se dan en todos los grupos, desde el sistema de protección se trabaja con los niños, niñas y adolescentes en cómo abordar esos conflictos e intentar resolverlos sin llegar a situaciones de violencia.</w:t>
      </w:r>
    </w:p>
    <w:p w14:paraId="72D4A549" w14:textId="6FFCEC5D" w:rsidR="00AF0612" w:rsidRPr="004036AA" w:rsidRDefault="00AF0612" w:rsidP="004036A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4036AA">
        <w:rPr>
          <w:rFonts w:asciiTheme="minorHAnsi" w:hAnsiTheme="minorHAnsi" w:cstheme="minorHAnsi"/>
          <w:sz w:val="22"/>
          <w:szCs w:val="24"/>
        </w:rPr>
        <w:lastRenderedPageBreak/>
        <w:t>Desde el Gobierno de Navarra seguimos trabajando en la mejora de la atención en el sistema de protección, y la principal herramienta es la mejora continua de la formación de los profesionales. Las situaciones que abordan y que rodean a los y las menores a los que acompañan cada vez son más complejas y requieren de una valoración más exhaustiva y una intervención más específica, por lo que la formación es clave. Próximamente se va a pilotar un modelo de intervención (CARE) en diferentes pisos y hogares, con el fin de dotas a los profesionales de nuevas herramientas para mejorar la situación de malestar que sufren estos menores. Además, se están ajustando las ratios de personal en aquellos conciertos anteriores a 2022 (</w:t>
      </w:r>
      <w:r w:rsidR="004036AA" w:rsidRPr="004036AA">
        <w:rPr>
          <w:rFonts w:asciiTheme="minorHAnsi" w:hAnsiTheme="minorHAnsi" w:cstheme="minorHAnsi"/>
          <w:sz w:val="22"/>
          <w:szCs w:val="24"/>
        </w:rPr>
        <w:t>e</w:t>
      </w:r>
      <w:r w:rsidRPr="004036AA">
        <w:rPr>
          <w:rFonts w:asciiTheme="minorHAnsi" w:hAnsiTheme="minorHAnsi" w:cstheme="minorHAnsi"/>
          <w:sz w:val="22"/>
          <w:szCs w:val="24"/>
        </w:rPr>
        <w:t>ste era uno de ellos).</w:t>
      </w:r>
    </w:p>
    <w:p w14:paraId="7CD965DF" w14:textId="77777777" w:rsidR="003309C7" w:rsidRPr="004036AA" w:rsidRDefault="003309C7" w:rsidP="004036A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4036AA">
        <w:rPr>
          <w:rFonts w:asciiTheme="minorHAnsi" w:hAnsiTheme="minorHAnsi" w:cstheme="minorHAnsi"/>
          <w:sz w:val="22"/>
          <w:szCs w:val="24"/>
        </w:rPr>
        <w:t>Es cuanto informo en cumplimiento de lo dispuesto en el artículo 215 del Reglamento del Parlamento de Navarra.</w:t>
      </w:r>
    </w:p>
    <w:p w14:paraId="40DE72AD" w14:textId="078970B0" w:rsidR="003309C7" w:rsidRPr="004036AA" w:rsidRDefault="003309C7" w:rsidP="004036A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4036AA">
        <w:rPr>
          <w:rFonts w:asciiTheme="minorHAnsi" w:hAnsiTheme="minorHAnsi" w:cstheme="minorHAnsi"/>
          <w:sz w:val="22"/>
          <w:szCs w:val="24"/>
        </w:rPr>
        <w:t>Pamplona-Iruña</w:t>
      </w:r>
      <w:r w:rsidR="00667CA2" w:rsidRPr="004036AA">
        <w:rPr>
          <w:rFonts w:asciiTheme="minorHAnsi" w:hAnsiTheme="minorHAnsi" w:cstheme="minorHAnsi"/>
          <w:sz w:val="22"/>
          <w:szCs w:val="24"/>
        </w:rPr>
        <w:t>, 20</w:t>
      </w:r>
      <w:r w:rsidRPr="004036AA">
        <w:rPr>
          <w:rFonts w:asciiTheme="minorHAnsi" w:hAnsiTheme="minorHAnsi" w:cstheme="minorHAnsi"/>
          <w:sz w:val="22"/>
          <w:szCs w:val="24"/>
        </w:rPr>
        <w:t xml:space="preserve"> de mayo de 2026</w:t>
      </w:r>
    </w:p>
    <w:p w14:paraId="4A67BB1D" w14:textId="2C79749D" w:rsidR="003309C7" w:rsidRPr="004036AA" w:rsidRDefault="004036AA" w:rsidP="004036A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4036AA">
        <w:rPr>
          <w:rFonts w:asciiTheme="minorHAnsi" w:hAnsiTheme="minorHAnsi" w:cstheme="minorHAnsi"/>
          <w:sz w:val="22"/>
          <w:szCs w:val="24"/>
        </w:rPr>
        <w:t>La Consejera de Derechos Sociales, Economía Social y Empleo: María Carmen Maeztu Villafranca</w:t>
      </w:r>
    </w:p>
    <w:sectPr w:rsidR="003309C7" w:rsidRPr="004036AA" w:rsidSect="00015348">
      <w:footerReference w:type="default" r:id="rId6"/>
      <w:pgSz w:w="11906" w:h="16838"/>
      <w:pgMar w:top="1417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2BE9A" w14:textId="77777777" w:rsidR="003309C7" w:rsidRDefault="003309C7" w:rsidP="003309C7">
      <w:r>
        <w:separator/>
      </w:r>
    </w:p>
  </w:endnote>
  <w:endnote w:type="continuationSeparator" w:id="0">
    <w:p w14:paraId="4E5B33BE" w14:textId="77777777" w:rsidR="003309C7" w:rsidRDefault="003309C7" w:rsidP="00330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A46A4" w14:textId="77777777" w:rsidR="00015348" w:rsidRDefault="00304FB8" w:rsidP="00015348">
    <w:pPr>
      <w:pStyle w:val="Piedepgina"/>
      <w:tabs>
        <w:tab w:val="clear" w:pos="4252"/>
        <w:tab w:val="clear" w:pos="8504"/>
        <w:tab w:val="left" w:pos="37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89D77" w14:textId="77777777" w:rsidR="003309C7" w:rsidRDefault="003309C7" w:rsidP="003309C7">
      <w:r>
        <w:separator/>
      </w:r>
    </w:p>
  </w:footnote>
  <w:footnote w:type="continuationSeparator" w:id="0">
    <w:p w14:paraId="29044871" w14:textId="77777777" w:rsidR="003309C7" w:rsidRDefault="003309C7" w:rsidP="00330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542"/>
    <w:rsid w:val="002D6AAC"/>
    <w:rsid w:val="00304FB8"/>
    <w:rsid w:val="003309C7"/>
    <w:rsid w:val="004036AA"/>
    <w:rsid w:val="004C6B2A"/>
    <w:rsid w:val="00580542"/>
    <w:rsid w:val="00667CA2"/>
    <w:rsid w:val="00AF0612"/>
    <w:rsid w:val="00C7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8B9C"/>
  <w15:chartTrackingRefBased/>
  <w15:docId w15:val="{AD675AE0-0736-490B-B27D-656628DC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09C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309C7"/>
  </w:style>
  <w:style w:type="paragraph" w:styleId="Piedepgina">
    <w:name w:val="footer"/>
    <w:basedOn w:val="Normal"/>
    <w:link w:val="PiedepginaCar"/>
    <w:unhideWhenUsed/>
    <w:rsid w:val="003309C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3309C7"/>
  </w:style>
  <w:style w:type="paragraph" w:styleId="Textoindependiente">
    <w:name w:val="Body Text"/>
    <w:basedOn w:val="Normal"/>
    <w:link w:val="TextoindependienteCar"/>
    <w:rsid w:val="003309C7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3309C7"/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3309C7"/>
  </w:style>
  <w:style w:type="table" w:styleId="Tablaconcuadrcula">
    <w:name w:val="Table Grid"/>
    <w:basedOn w:val="Tablanormal"/>
    <w:uiPriority w:val="39"/>
    <w:rsid w:val="00AF0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496</Words>
  <Characters>2728</Characters>
  <Application>Microsoft Office Word</Application>
  <DocSecurity>0</DocSecurity>
  <Lines>22</Lines>
  <Paragraphs>6</Paragraphs>
  <ScaleCrop>false</ScaleCrop>
  <Company>Gobierno de Navarra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Cigudosa González, Vega (Secretaria de Gabinete Derechos Sociale</dc:creator>
  <cp:keywords/>
  <dc:description/>
  <cp:lastModifiedBy>Fernández Pérez, Beatriz</cp:lastModifiedBy>
  <cp:revision>3</cp:revision>
  <dcterms:created xsi:type="dcterms:W3CDTF">2026-05-20T13:21:00Z</dcterms:created>
  <dcterms:modified xsi:type="dcterms:W3CDTF">2026-06-25T06:55:00Z</dcterms:modified>
</cp:coreProperties>
</file>