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A7BD" w14:textId="0DB9C360" w:rsidR="005C6F85" w:rsidRPr="00C650E0" w:rsidRDefault="005C6F85" w:rsidP="00C650E0">
      <w:pPr>
        <w:spacing w:after="120" w:line="276" w:lineRule="auto"/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650E0">
        <w:rPr>
          <w:rFonts w:asciiTheme="majorHAnsi" w:hAnsiTheme="majorHAnsi" w:cstheme="majorHAnsi"/>
          <w:sz w:val="22"/>
          <w:szCs w:val="22"/>
        </w:rPr>
        <w:t>La</w:t>
      </w:r>
      <w:r w:rsidR="00C45E0E" w:rsidRPr="00C650E0">
        <w:rPr>
          <w:rFonts w:asciiTheme="majorHAnsi" w:hAnsiTheme="majorHAnsi" w:cstheme="majorHAnsi"/>
          <w:sz w:val="22"/>
          <w:szCs w:val="22"/>
        </w:rPr>
        <w:t xml:space="preserve"> Consejer</w:t>
      </w:r>
      <w:r w:rsidRPr="00C650E0">
        <w:rPr>
          <w:rFonts w:asciiTheme="majorHAnsi" w:hAnsiTheme="majorHAnsi" w:cstheme="majorHAnsi"/>
          <w:sz w:val="22"/>
          <w:szCs w:val="22"/>
        </w:rPr>
        <w:t xml:space="preserve">a de </w:t>
      </w:r>
      <w:r w:rsidR="00C45E0E" w:rsidRPr="00C650E0">
        <w:rPr>
          <w:rFonts w:asciiTheme="majorHAnsi" w:hAnsiTheme="majorHAnsi" w:cstheme="majorHAnsi"/>
          <w:sz w:val="22"/>
          <w:szCs w:val="22"/>
        </w:rPr>
        <w:t>Vivienda, Juventud y Políticas Migratorias</w:t>
      </w:r>
      <w:r w:rsidRPr="00C650E0">
        <w:rPr>
          <w:rFonts w:asciiTheme="majorHAnsi" w:hAnsiTheme="majorHAnsi" w:cstheme="majorHAnsi"/>
          <w:sz w:val="22"/>
          <w:szCs w:val="22"/>
        </w:rPr>
        <w:t xml:space="preserve"> del Gobierno de Navarra, en relación </w:t>
      </w:r>
      <w:r w:rsidR="00D76DC5" w:rsidRPr="00C650E0">
        <w:rPr>
          <w:rFonts w:asciiTheme="majorHAnsi" w:hAnsiTheme="majorHAnsi" w:cstheme="majorHAnsi"/>
          <w:sz w:val="22"/>
          <w:szCs w:val="22"/>
        </w:rPr>
        <w:t xml:space="preserve">con la pregunta para su contestación por escrito formulada por </w:t>
      </w:r>
      <w:r w:rsidR="00890456" w:rsidRPr="00C650E0">
        <w:rPr>
          <w:rFonts w:asciiTheme="majorHAnsi" w:hAnsiTheme="majorHAnsi" w:cstheme="majorHAnsi"/>
          <w:sz w:val="22"/>
          <w:szCs w:val="22"/>
        </w:rPr>
        <w:t>el</w:t>
      </w:r>
      <w:r w:rsidRPr="00C650E0">
        <w:rPr>
          <w:rFonts w:asciiTheme="majorHAnsi" w:hAnsiTheme="majorHAnsi" w:cstheme="majorHAnsi"/>
          <w:sz w:val="22"/>
          <w:szCs w:val="22"/>
        </w:rPr>
        <w:t xml:space="preserve"> Parlamentari</w:t>
      </w:r>
      <w:r w:rsidR="00890456" w:rsidRPr="00C650E0">
        <w:rPr>
          <w:rFonts w:asciiTheme="majorHAnsi" w:hAnsiTheme="majorHAnsi" w:cstheme="majorHAnsi"/>
          <w:sz w:val="22"/>
          <w:szCs w:val="22"/>
        </w:rPr>
        <w:t>o Foral Ilm</w:t>
      </w:r>
      <w:r w:rsidR="00CD13AF" w:rsidRPr="00C650E0">
        <w:rPr>
          <w:rFonts w:asciiTheme="majorHAnsi" w:hAnsiTheme="majorHAnsi" w:cstheme="majorHAnsi"/>
          <w:sz w:val="22"/>
          <w:szCs w:val="22"/>
        </w:rPr>
        <w:t>o</w:t>
      </w:r>
      <w:r w:rsidR="00C45E0E" w:rsidRPr="00C650E0">
        <w:rPr>
          <w:rFonts w:asciiTheme="majorHAnsi" w:hAnsiTheme="majorHAnsi" w:cstheme="majorHAnsi"/>
          <w:sz w:val="22"/>
          <w:szCs w:val="22"/>
        </w:rPr>
        <w:t>. Sr</w:t>
      </w:r>
      <w:r w:rsidR="0014013D" w:rsidRPr="00C650E0">
        <w:rPr>
          <w:rFonts w:asciiTheme="majorHAnsi" w:hAnsiTheme="majorHAnsi" w:cstheme="majorHAnsi"/>
          <w:sz w:val="22"/>
          <w:szCs w:val="22"/>
        </w:rPr>
        <w:t>.</w:t>
      </w:r>
      <w:r w:rsidR="00C45E0E" w:rsidRPr="00C650E0">
        <w:rPr>
          <w:rFonts w:asciiTheme="majorHAnsi" w:hAnsiTheme="majorHAnsi" w:cstheme="majorHAnsi"/>
          <w:sz w:val="22"/>
          <w:szCs w:val="22"/>
        </w:rPr>
        <w:t xml:space="preserve"> </w:t>
      </w:r>
      <w:r w:rsidR="00890456" w:rsidRPr="00C650E0">
        <w:rPr>
          <w:rFonts w:asciiTheme="majorHAnsi" w:hAnsiTheme="majorHAnsi" w:cstheme="majorHAnsi"/>
          <w:sz w:val="22"/>
          <w:szCs w:val="22"/>
        </w:rPr>
        <w:t>D. Mikel Zabaleta Aramendia</w:t>
      </w:r>
      <w:r w:rsidR="00CD13AF" w:rsidRPr="00C650E0">
        <w:rPr>
          <w:rFonts w:asciiTheme="majorHAnsi" w:hAnsiTheme="majorHAnsi" w:cstheme="majorHAnsi"/>
          <w:sz w:val="22"/>
          <w:szCs w:val="22"/>
        </w:rPr>
        <w:t>,</w:t>
      </w:r>
      <w:r w:rsidR="005F6D5D" w:rsidRPr="00C650E0">
        <w:rPr>
          <w:rFonts w:asciiTheme="majorHAnsi" w:hAnsiTheme="majorHAnsi" w:cstheme="majorHAnsi"/>
          <w:sz w:val="22"/>
          <w:szCs w:val="22"/>
        </w:rPr>
        <w:t xml:space="preserve"> adscrit</w:t>
      </w:r>
      <w:r w:rsidR="00890456" w:rsidRPr="00C650E0">
        <w:rPr>
          <w:rFonts w:asciiTheme="majorHAnsi" w:hAnsiTheme="majorHAnsi" w:cstheme="majorHAnsi"/>
          <w:sz w:val="22"/>
          <w:szCs w:val="22"/>
        </w:rPr>
        <w:t>o</w:t>
      </w:r>
      <w:r w:rsidRPr="00C650E0">
        <w:rPr>
          <w:rFonts w:asciiTheme="majorHAnsi" w:hAnsiTheme="majorHAnsi" w:cstheme="majorHAnsi"/>
          <w:sz w:val="22"/>
          <w:szCs w:val="22"/>
        </w:rPr>
        <w:t xml:space="preserve"> al </w:t>
      </w:r>
      <w:r w:rsidR="00253366" w:rsidRPr="00C650E0">
        <w:rPr>
          <w:rFonts w:asciiTheme="majorHAnsi" w:hAnsiTheme="majorHAnsi" w:cstheme="majorHAnsi"/>
          <w:sz w:val="22"/>
          <w:szCs w:val="22"/>
        </w:rPr>
        <w:t xml:space="preserve">grupo parlamentario </w:t>
      </w:r>
      <w:r w:rsidR="00890456" w:rsidRPr="00C650E0">
        <w:rPr>
          <w:rFonts w:asciiTheme="majorHAnsi" w:hAnsiTheme="majorHAnsi" w:cstheme="majorHAnsi"/>
          <w:sz w:val="22"/>
          <w:szCs w:val="22"/>
        </w:rPr>
        <w:t xml:space="preserve">EH </w:t>
      </w:r>
      <w:r w:rsidR="00C650E0" w:rsidRPr="00C650E0">
        <w:rPr>
          <w:rFonts w:asciiTheme="majorHAnsi" w:hAnsiTheme="majorHAnsi" w:cstheme="majorHAnsi"/>
          <w:sz w:val="22"/>
          <w:szCs w:val="22"/>
        </w:rPr>
        <w:t>Bildu Nafarroa</w:t>
      </w:r>
      <w:r w:rsidRPr="00C650E0">
        <w:rPr>
          <w:rFonts w:asciiTheme="majorHAnsi" w:hAnsiTheme="majorHAnsi" w:cstheme="majorHAnsi"/>
          <w:sz w:val="22"/>
          <w:szCs w:val="22"/>
        </w:rPr>
        <w:t xml:space="preserve">, </w:t>
      </w:r>
      <w:r w:rsidR="00D76DC5" w:rsidRPr="00C650E0">
        <w:rPr>
          <w:rFonts w:asciiTheme="majorHAnsi" w:hAnsiTheme="majorHAnsi" w:cstheme="majorHAnsi"/>
          <w:sz w:val="22"/>
          <w:szCs w:val="22"/>
        </w:rPr>
        <w:t xml:space="preserve">sobre </w:t>
      </w:r>
      <w:r w:rsidR="00C45E0E" w:rsidRPr="00C650E0">
        <w:rPr>
          <w:rFonts w:asciiTheme="majorHAnsi" w:hAnsiTheme="majorHAnsi" w:cstheme="majorHAnsi"/>
          <w:sz w:val="22"/>
          <w:szCs w:val="22"/>
        </w:rPr>
        <w:t xml:space="preserve">petición </w:t>
      </w:r>
      <w:r w:rsidRPr="00C650E0">
        <w:rPr>
          <w:rFonts w:asciiTheme="majorHAnsi" w:hAnsiTheme="majorHAnsi" w:cstheme="majorHAnsi"/>
          <w:sz w:val="22"/>
          <w:szCs w:val="22"/>
        </w:rPr>
        <w:t>11-2</w:t>
      </w:r>
      <w:r w:rsidR="00890160" w:rsidRPr="00C650E0">
        <w:rPr>
          <w:rFonts w:asciiTheme="majorHAnsi" w:hAnsiTheme="majorHAnsi" w:cstheme="majorHAnsi"/>
          <w:sz w:val="22"/>
          <w:szCs w:val="22"/>
        </w:rPr>
        <w:t>6</w:t>
      </w:r>
      <w:r w:rsidRPr="00C650E0">
        <w:rPr>
          <w:rFonts w:asciiTheme="majorHAnsi" w:hAnsiTheme="majorHAnsi" w:cstheme="majorHAnsi"/>
          <w:sz w:val="22"/>
          <w:szCs w:val="22"/>
        </w:rPr>
        <w:t>/PE</w:t>
      </w:r>
      <w:r w:rsidR="00DB4349" w:rsidRPr="00C650E0">
        <w:rPr>
          <w:rFonts w:asciiTheme="majorHAnsi" w:hAnsiTheme="majorHAnsi" w:cstheme="majorHAnsi"/>
          <w:sz w:val="22"/>
          <w:szCs w:val="22"/>
        </w:rPr>
        <w:t>S</w:t>
      </w:r>
      <w:r w:rsidRPr="00C650E0">
        <w:rPr>
          <w:rFonts w:asciiTheme="majorHAnsi" w:hAnsiTheme="majorHAnsi" w:cstheme="majorHAnsi"/>
          <w:sz w:val="22"/>
          <w:szCs w:val="22"/>
        </w:rPr>
        <w:t>-00</w:t>
      </w:r>
      <w:r w:rsidR="000C3111" w:rsidRPr="00C650E0">
        <w:rPr>
          <w:rFonts w:asciiTheme="majorHAnsi" w:hAnsiTheme="majorHAnsi" w:cstheme="majorHAnsi"/>
          <w:sz w:val="22"/>
          <w:szCs w:val="22"/>
        </w:rPr>
        <w:t>123</w:t>
      </w:r>
      <w:r w:rsidRPr="00C650E0">
        <w:rPr>
          <w:rFonts w:asciiTheme="majorHAnsi" w:hAnsiTheme="majorHAnsi" w:cstheme="majorHAnsi"/>
          <w:sz w:val="22"/>
          <w:szCs w:val="22"/>
        </w:rPr>
        <w:t>, informa lo siguiente:</w:t>
      </w:r>
    </w:p>
    <w:p w14:paraId="1757395E" w14:textId="2C818189" w:rsidR="00C6698E" w:rsidRPr="00C650E0" w:rsidRDefault="000C3111" w:rsidP="00C650E0">
      <w:pPr>
        <w:spacing w:after="120" w:line="276" w:lineRule="auto"/>
        <w:ind w:firstLine="708"/>
        <w:jc w:val="both"/>
        <w:rPr>
          <w:rFonts w:asciiTheme="majorHAnsi" w:hAnsiTheme="majorHAnsi" w:cstheme="majorHAnsi"/>
          <w:i/>
          <w:sz w:val="22"/>
          <w:szCs w:val="22"/>
        </w:rPr>
      </w:pPr>
      <w:r w:rsidRPr="00C650E0">
        <w:rPr>
          <w:rFonts w:asciiTheme="majorHAnsi" w:hAnsiTheme="majorHAnsi" w:cstheme="majorHAnsi"/>
          <w:i/>
          <w:sz w:val="22"/>
          <w:szCs w:val="22"/>
        </w:rPr>
        <w:t>¿Cuándo va a remi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 xml:space="preserve">r el Gobierno de Navarra, según lo establecido en la </w:t>
      </w:r>
      <w:r w:rsidR="00C650E0" w:rsidRPr="00C650E0">
        <w:rPr>
          <w:rFonts w:asciiTheme="majorHAnsi" w:hAnsiTheme="majorHAnsi" w:cstheme="majorHAnsi"/>
          <w:i/>
          <w:sz w:val="22"/>
          <w:szCs w:val="22"/>
        </w:rPr>
        <w:t xml:space="preserve">disposición adicional única </w:t>
      </w:r>
      <w:r w:rsidRPr="00C650E0">
        <w:rPr>
          <w:rFonts w:asciiTheme="majorHAnsi" w:hAnsiTheme="majorHAnsi" w:cstheme="majorHAnsi"/>
          <w:i/>
          <w:sz w:val="22"/>
          <w:szCs w:val="22"/>
        </w:rPr>
        <w:t>de la Ley Foral 28/2018, el informe anual sobre el derecho subje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>vo a la vivienda, incluyendo la información rela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>va al Registro de Viviendas Deshabitadas, correspondiente al ejercicio 2025?</w:t>
      </w:r>
    </w:p>
    <w:p w14:paraId="2D6BF01E" w14:textId="77777777" w:rsidR="00827DEE" w:rsidRPr="00C650E0" w:rsidRDefault="000C3111" w:rsidP="00C650E0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650E0">
        <w:rPr>
          <w:rFonts w:asciiTheme="majorHAnsi" w:hAnsiTheme="majorHAnsi" w:cstheme="majorHAnsi"/>
          <w:sz w:val="22"/>
          <w:szCs w:val="22"/>
        </w:rPr>
        <w:t xml:space="preserve">Se </w:t>
      </w:r>
      <w:r w:rsidR="00FE16D1" w:rsidRPr="00C650E0">
        <w:rPr>
          <w:rFonts w:asciiTheme="majorHAnsi" w:hAnsiTheme="majorHAnsi" w:cstheme="majorHAnsi"/>
          <w:sz w:val="22"/>
          <w:szCs w:val="22"/>
        </w:rPr>
        <w:t>ha remitido el mismo con fecha 1 de junio de 2026</w:t>
      </w:r>
      <w:r w:rsidRPr="00C650E0">
        <w:rPr>
          <w:rFonts w:asciiTheme="majorHAnsi" w:hAnsiTheme="majorHAnsi" w:cstheme="majorHAnsi"/>
          <w:sz w:val="22"/>
          <w:szCs w:val="22"/>
        </w:rPr>
        <w:t>.</w:t>
      </w:r>
    </w:p>
    <w:p w14:paraId="6B1CC75C" w14:textId="1B7BCAB5" w:rsidR="00771BD1" w:rsidRPr="00C650E0" w:rsidRDefault="000C3111" w:rsidP="00C650E0">
      <w:pPr>
        <w:spacing w:after="120" w:line="276" w:lineRule="auto"/>
        <w:ind w:firstLine="708"/>
        <w:jc w:val="both"/>
        <w:rPr>
          <w:rFonts w:asciiTheme="majorHAnsi" w:hAnsiTheme="majorHAnsi" w:cstheme="majorHAnsi"/>
          <w:i/>
          <w:sz w:val="22"/>
          <w:szCs w:val="22"/>
        </w:rPr>
      </w:pPr>
      <w:r w:rsidRPr="00C650E0">
        <w:rPr>
          <w:rFonts w:asciiTheme="majorHAnsi" w:hAnsiTheme="majorHAnsi" w:cstheme="majorHAnsi"/>
          <w:i/>
          <w:sz w:val="22"/>
          <w:szCs w:val="22"/>
        </w:rPr>
        <w:t>¿Cuáles son las razones por las que el Observatorio de la Vivienda de Navarra no recoge actualmente los informes anuales rela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>vos al Registro de Viviendas Deshabitadas, ni dispone de un apartado específico dedicado a este instrumento, ni sobre los datos sobre la vivienda deshabitada en Navarra, cuando en todos los informes anuales se destaca su importancia?</w:t>
      </w:r>
    </w:p>
    <w:p w14:paraId="3C0014EA" w14:textId="77777777" w:rsidR="000C3111" w:rsidRPr="00C650E0" w:rsidRDefault="000C3111" w:rsidP="00C650E0">
      <w:pPr>
        <w:spacing w:after="120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C650E0">
        <w:rPr>
          <w:rFonts w:asciiTheme="majorHAnsi" w:hAnsiTheme="majorHAnsi" w:cstheme="majorHAnsi"/>
          <w:sz w:val="22"/>
          <w:szCs w:val="22"/>
        </w:rPr>
        <w:t>Como se apuntó en el momento de presentación del Observatorio, la herramienta se ha desplegado en una versión inicial, con 16 cuadros de mando básicos que corresponden, fundamentalmente, a aquellos indicadores que se recogen en los informes trimestrales que elabora la Dirección General de Vivienda. La vocación del Observatorio es seguir creciendo e incorporando nuevas estadísticas e indicadores. De hecho, está previsto que en los próximos días se publiquen dos nuevos cuadros de mando con estadística acerca de las viviendas declaradas deshabitadas y con las estimaciones sobre posibles viviendas deshabitadas.</w:t>
      </w:r>
    </w:p>
    <w:p w14:paraId="2E19B888" w14:textId="4F7C1DEA" w:rsidR="00827DEE" w:rsidRPr="00C650E0" w:rsidRDefault="000C3111" w:rsidP="00C650E0">
      <w:pPr>
        <w:spacing w:after="120" w:line="276" w:lineRule="auto"/>
        <w:ind w:firstLine="708"/>
        <w:jc w:val="both"/>
        <w:rPr>
          <w:rFonts w:asciiTheme="majorHAnsi" w:hAnsiTheme="majorHAnsi" w:cstheme="majorHAnsi"/>
          <w:i/>
          <w:sz w:val="22"/>
          <w:szCs w:val="22"/>
        </w:rPr>
      </w:pPr>
      <w:r w:rsidRPr="00C650E0">
        <w:rPr>
          <w:rFonts w:asciiTheme="majorHAnsi" w:hAnsiTheme="majorHAnsi" w:cstheme="majorHAnsi"/>
          <w:i/>
          <w:sz w:val="22"/>
          <w:szCs w:val="22"/>
        </w:rPr>
        <w:t>¿Tiene previsto el Gobierno de Navarra habilitar en el Observatorio de la Vivienda de Navarra un espacio específico que garan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>ce la publicación sistemá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>ca, accesible y actualizada de los informes anuales sobre el derecho subje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>vo a la vivienda y, en par</w:t>
      </w:r>
      <w:r w:rsidRPr="00C650E0">
        <w:rPr>
          <w:rFonts w:asciiTheme="majorHAnsi" w:eastAsia="Arial" w:hAnsiTheme="majorHAnsi" w:cstheme="majorHAnsi"/>
          <w:i/>
          <w:sz w:val="22"/>
          <w:szCs w:val="22"/>
        </w:rPr>
        <w:t>ti</w:t>
      </w:r>
      <w:r w:rsidRPr="00C650E0">
        <w:rPr>
          <w:rFonts w:asciiTheme="majorHAnsi" w:hAnsiTheme="majorHAnsi" w:cstheme="majorHAnsi"/>
          <w:i/>
          <w:sz w:val="22"/>
          <w:szCs w:val="22"/>
        </w:rPr>
        <w:t>cular, del Registro de Viviendas Deshabitadas?</w:t>
      </w:r>
    </w:p>
    <w:p w14:paraId="5BD48AFB" w14:textId="77777777" w:rsidR="007058D9" w:rsidRPr="00C650E0" w:rsidRDefault="000C3111" w:rsidP="00C650E0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650E0">
        <w:rPr>
          <w:rFonts w:asciiTheme="majorHAnsi" w:hAnsiTheme="majorHAnsi" w:cstheme="majorHAnsi"/>
          <w:sz w:val="22"/>
          <w:szCs w:val="22"/>
        </w:rPr>
        <w:t>Como se ha señalado, en los próximos días se publicarán dos nuevos cuadros de mando con esta información.</w:t>
      </w:r>
    </w:p>
    <w:p w14:paraId="74C96199" w14:textId="77777777" w:rsidR="005C6F85" w:rsidRPr="00C650E0" w:rsidRDefault="005C6F85" w:rsidP="00C650E0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650E0">
        <w:rPr>
          <w:rFonts w:asciiTheme="majorHAnsi" w:hAnsiTheme="majorHAnsi" w:cstheme="majorHAnsi"/>
          <w:sz w:val="22"/>
          <w:szCs w:val="22"/>
        </w:rPr>
        <w:t xml:space="preserve">Es cuanto informo en cumplimiento de lo dispuesto en el artículo </w:t>
      </w:r>
      <w:r w:rsidR="00840386" w:rsidRPr="00C650E0">
        <w:rPr>
          <w:rFonts w:asciiTheme="majorHAnsi" w:hAnsiTheme="majorHAnsi" w:cstheme="majorHAnsi"/>
          <w:sz w:val="22"/>
          <w:szCs w:val="22"/>
        </w:rPr>
        <w:t>2</w:t>
      </w:r>
      <w:r w:rsidRPr="00C650E0">
        <w:rPr>
          <w:rFonts w:asciiTheme="majorHAnsi" w:hAnsiTheme="majorHAnsi" w:cstheme="majorHAnsi"/>
          <w:sz w:val="22"/>
          <w:szCs w:val="22"/>
        </w:rPr>
        <w:t>15 del Reglamento del Parlamento de Navarra.</w:t>
      </w:r>
    </w:p>
    <w:p w14:paraId="3BEFD7C6" w14:textId="1B327960" w:rsidR="003A51EA" w:rsidRPr="00C650E0" w:rsidRDefault="003A51EA" w:rsidP="00C650E0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650E0">
        <w:rPr>
          <w:rFonts w:asciiTheme="majorHAnsi" w:hAnsiTheme="majorHAnsi" w:cstheme="majorHAnsi"/>
          <w:color w:val="000000"/>
          <w:sz w:val="22"/>
          <w:szCs w:val="22"/>
        </w:rPr>
        <w:t xml:space="preserve">En Pamplona, </w:t>
      </w:r>
      <w:r w:rsidR="00CD13AF" w:rsidRPr="00C650E0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="000C3111" w:rsidRPr="00C650E0">
        <w:rPr>
          <w:rFonts w:asciiTheme="majorHAnsi" w:hAnsiTheme="majorHAnsi" w:cstheme="majorHAnsi"/>
          <w:color w:val="000000"/>
          <w:sz w:val="22"/>
          <w:szCs w:val="22"/>
        </w:rPr>
        <w:t>1 de junio de 2026</w:t>
      </w:r>
    </w:p>
    <w:p w14:paraId="6F04DB80" w14:textId="60307D6E" w:rsidR="003A51EA" w:rsidRPr="00C650E0" w:rsidRDefault="00C650E0" w:rsidP="00C650E0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</w:t>
      </w:r>
      <w:r w:rsidRPr="00C650E0">
        <w:rPr>
          <w:rFonts w:asciiTheme="majorHAnsi" w:hAnsiTheme="majorHAnsi" w:cstheme="majorHAnsi"/>
          <w:sz w:val="22"/>
          <w:szCs w:val="22"/>
        </w:rPr>
        <w:t>Vicepresidenta Tercera y Consejera de Vivienda,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650E0">
        <w:rPr>
          <w:rFonts w:asciiTheme="majorHAnsi" w:hAnsiTheme="majorHAnsi" w:cstheme="majorHAnsi"/>
          <w:sz w:val="22"/>
          <w:szCs w:val="22"/>
        </w:rPr>
        <w:t>Juventud y Políticas Migratorias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3A51EA" w:rsidRPr="00C650E0">
        <w:rPr>
          <w:rFonts w:asciiTheme="majorHAnsi" w:hAnsiTheme="majorHAnsi" w:cstheme="majorHAnsi"/>
          <w:color w:val="000000"/>
          <w:sz w:val="22"/>
          <w:szCs w:val="22"/>
        </w:rPr>
        <w:t>Begoña Alfaro García</w:t>
      </w:r>
    </w:p>
    <w:sectPr w:rsidR="003A51EA" w:rsidRPr="00C650E0" w:rsidSect="00C650E0">
      <w:headerReference w:type="first" r:id="rId7"/>
      <w:footerReference w:type="first" r:id="rId8"/>
      <w:pgSz w:w="11901" w:h="16817" w:code="9"/>
      <w:pgMar w:top="1843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8E62" w14:textId="77777777" w:rsidR="006A7F53" w:rsidRDefault="006A7F53">
      <w:r>
        <w:separator/>
      </w:r>
    </w:p>
  </w:endnote>
  <w:endnote w:type="continuationSeparator" w:id="0">
    <w:p w14:paraId="0B2FE8A8" w14:textId="77777777" w:rsidR="006A7F53" w:rsidRDefault="006A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73C8" w14:textId="77777777" w:rsidR="006A7F53" w:rsidRPr="00A2145B" w:rsidRDefault="006A7F5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2D6E" w14:textId="77777777" w:rsidR="006A7F53" w:rsidRDefault="006A7F53">
      <w:r>
        <w:separator/>
      </w:r>
    </w:p>
  </w:footnote>
  <w:footnote w:type="continuationSeparator" w:id="0">
    <w:p w14:paraId="720DBCED" w14:textId="77777777" w:rsidR="006A7F53" w:rsidRDefault="006A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ED55" w14:textId="77777777" w:rsidR="006A7F53" w:rsidRDefault="006A7F5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09C91B" wp14:editId="7B750339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2C2"/>
    <w:multiLevelType w:val="hybridMultilevel"/>
    <w:tmpl w:val="3DBA7E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513"/>
    <w:multiLevelType w:val="hybridMultilevel"/>
    <w:tmpl w:val="A06A8E20"/>
    <w:lvl w:ilvl="0" w:tplc="B036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75A"/>
    <w:multiLevelType w:val="hybridMultilevel"/>
    <w:tmpl w:val="A9582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3B3E"/>
    <w:multiLevelType w:val="hybridMultilevel"/>
    <w:tmpl w:val="A2BA6398"/>
    <w:lvl w:ilvl="0" w:tplc="D2300C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6FEC"/>
    <w:multiLevelType w:val="hybridMultilevel"/>
    <w:tmpl w:val="FD94B536"/>
    <w:lvl w:ilvl="0" w:tplc="67209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341E"/>
    <w:multiLevelType w:val="hybridMultilevel"/>
    <w:tmpl w:val="F8B6FD8C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D3A"/>
    <w:multiLevelType w:val="hybridMultilevel"/>
    <w:tmpl w:val="BF70C812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315C"/>
    <w:multiLevelType w:val="hybridMultilevel"/>
    <w:tmpl w:val="B0E6F7CC"/>
    <w:lvl w:ilvl="0" w:tplc="F58246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E14E90"/>
    <w:multiLevelType w:val="hybridMultilevel"/>
    <w:tmpl w:val="F120F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60D0"/>
    <w:multiLevelType w:val="hybridMultilevel"/>
    <w:tmpl w:val="90C203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B80EA0"/>
    <w:multiLevelType w:val="hybridMultilevel"/>
    <w:tmpl w:val="C4BCDDAE"/>
    <w:lvl w:ilvl="0" w:tplc="50D0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F5241"/>
    <w:multiLevelType w:val="hybridMultilevel"/>
    <w:tmpl w:val="A1E69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91E7F"/>
    <w:multiLevelType w:val="hybridMultilevel"/>
    <w:tmpl w:val="B3B6D2A2"/>
    <w:lvl w:ilvl="0" w:tplc="C49C06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96500"/>
    <w:multiLevelType w:val="hybridMultilevel"/>
    <w:tmpl w:val="13B67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E2C70"/>
    <w:multiLevelType w:val="hybridMultilevel"/>
    <w:tmpl w:val="DF7894DA"/>
    <w:lvl w:ilvl="0" w:tplc="67209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13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50D95"/>
    <w:rsid w:val="000631E5"/>
    <w:rsid w:val="000729E0"/>
    <w:rsid w:val="00083C0A"/>
    <w:rsid w:val="0009463A"/>
    <w:rsid w:val="000B64A1"/>
    <w:rsid w:val="000C3111"/>
    <w:rsid w:val="000D79CF"/>
    <w:rsid w:val="00116AF7"/>
    <w:rsid w:val="0014013D"/>
    <w:rsid w:val="00165095"/>
    <w:rsid w:val="00166C59"/>
    <w:rsid w:val="001671B2"/>
    <w:rsid w:val="00170AFF"/>
    <w:rsid w:val="001B1ACE"/>
    <w:rsid w:val="001F5AE6"/>
    <w:rsid w:val="00247EB5"/>
    <w:rsid w:val="00253366"/>
    <w:rsid w:val="00277C9A"/>
    <w:rsid w:val="00280F08"/>
    <w:rsid w:val="002F09C8"/>
    <w:rsid w:val="00304004"/>
    <w:rsid w:val="0030747A"/>
    <w:rsid w:val="00311477"/>
    <w:rsid w:val="00374714"/>
    <w:rsid w:val="00384363"/>
    <w:rsid w:val="003A51EA"/>
    <w:rsid w:val="003C1CF1"/>
    <w:rsid w:val="003F1206"/>
    <w:rsid w:val="00443A44"/>
    <w:rsid w:val="004B47C0"/>
    <w:rsid w:val="00524CFD"/>
    <w:rsid w:val="005367EB"/>
    <w:rsid w:val="005A7259"/>
    <w:rsid w:val="005B095B"/>
    <w:rsid w:val="005C6849"/>
    <w:rsid w:val="005C6F85"/>
    <w:rsid w:val="005E5D10"/>
    <w:rsid w:val="005F55EF"/>
    <w:rsid w:val="005F5C77"/>
    <w:rsid w:val="005F6D5D"/>
    <w:rsid w:val="006557F1"/>
    <w:rsid w:val="00663B51"/>
    <w:rsid w:val="00683497"/>
    <w:rsid w:val="00696F6F"/>
    <w:rsid w:val="006A249B"/>
    <w:rsid w:val="006A5952"/>
    <w:rsid w:val="006A7F53"/>
    <w:rsid w:val="007018B0"/>
    <w:rsid w:val="007058D9"/>
    <w:rsid w:val="0071169E"/>
    <w:rsid w:val="0072285D"/>
    <w:rsid w:val="00767509"/>
    <w:rsid w:val="00771BD1"/>
    <w:rsid w:val="00793F61"/>
    <w:rsid w:val="007B10AA"/>
    <w:rsid w:val="007C55BD"/>
    <w:rsid w:val="007C68F3"/>
    <w:rsid w:val="007F2C1A"/>
    <w:rsid w:val="007F433A"/>
    <w:rsid w:val="00827DEE"/>
    <w:rsid w:val="00834D40"/>
    <w:rsid w:val="008354B9"/>
    <w:rsid w:val="00840386"/>
    <w:rsid w:val="00843157"/>
    <w:rsid w:val="008518CC"/>
    <w:rsid w:val="008642B3"/>
    <w:rsid w:val="00890160"/>
    <w:rsid w:val="00890456"/>
    <w:rsid w:val="008A6304"/>
    <w:rsid w:val="009022B4"/>
    <w:rsid w:val="0090494F"/>
    <w:rsid w:val="0093759B"/>
    <w:rsid w:val="00954697"/>
    <w:rsid w:val="00994342"/>
    <w:rsid w:val="009C2ED9"/>
    <w:rsid w:val="009C74F8"/>
    <w:rsid w:val="009E202F"/>
    <w:rsid w:val="009E22FA"/>
    <w:rsid w:val="009E381E"/>
    <w:rsid w:val="00A077F0"/>
    <w:rsid w:val="00A117E7"/>
    <w:rsid w:val="00A2145B"/>
    <w:rsid w:val="00A4393A"/>
    <w:rsid w:val="00A52259"/>
    <w:rsid w:val="00A85153"/>
    <w:rsid w:val="00A95321"/>
    <w:rsid w:val="00B13A40"/>
    <w:rsid w:val="00B46857"/>
    <w:rsid w:val="00B662C6"/>
    <w:rsid w:val="00B67FDD"/>
    <w:rsid w:val="00B96F7E"/>
    <w:rsid w:val="00BB36D2"/>
    <w:rsid w:val="00BD378D"/>
    <w:rsid w:val="00BD6A02"/>
    <w:rsid w:val="00BE2BD3"/>
    <w:rsid w:val="00BF4CC5"/>
    <w:rsid w:val="00C45E0E"/>
    <w:rsid w:val="00C650E0"/>
    <w:rsid w:val="00C6698E"/>
    <w:rsid w:val="00C9552C"/>
    <w:rsid w:val="00CA2943"/>
    <w:rsid w:val="00CC1284"/>
    <w:rsid w:val="00CD13AF"/>
    <w:rsid w:val="00CE65F5"/>
    <w:rsid w:val="00D304C8"/>
    <w:rsid w:val="00D76DC5"/>
    <w:rsid w:val="00D9466D"/>
    <w:rsid w:val="00DA599A"/>
    <w:rsid w:val="00DB4349"/>
    <w:rsid w:val="00DD353F"/>
    <w:rsid w:val="00DF056E"/>
    <w:rsid w:val="00DF6784"/>
    <w:rsid w:val="00E04602"/>
    <w:rsid w:val="00E42AA5"/>
    <w:rsid w:val="00E43027"/>
    <w:rsid w:val="00E45FC9"/>
    <w:rsid w:val="00E5027B"/>
    <w:rsid w:val="00E54191"/>
    <w:rsid w:val="00E8181E"/>
    <w:rsid w:val="00E96713"/>
    <w:rsid w:val="00EB05BE"/>
    <w:rsid w:val="00EB7016"/>
    <w:rsid w:val="00F037C2"/>
    <w:rsid w:val="00F145C3"/>
    <w:rsid w:val="00F344C7"/>
    <w:rsid w:val="00FE16D1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F1E34B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9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  <w:style w:type="paragraph" w:customStyle="1" w:styleId="xmsonormal">
    <w:name w:val="x_msonormal"/>
    <w:basedOn w:val="Normal"/>
    <w:rsid w:val="007C68F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3</cp:revision>
  <cp:lastPrinted>2024-10-22T07:46:00Z</cp:lastPrinted>
  <dcterms:created xsi:type="dcterms:W3CDTF">2026-06-01T13:11:00Z</dcterms:created>
  <dcterms:modified xsi:type="dcterms:W3CDTF">2026-06-01T13:13:00Z</dcterms:modified>
</cp:coreProperties>
</file>