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83E3" w14:textId="2AD663F4" w:rsidR="005C6F85" w:rsidRPr="008D7B3A" w:rsidRDefault="005C6F85" w:rsidP="008D7B3A">
      <w:pPr>
        <w:spacing w:after="120" w:line="276" w:lineRule="auto"/>
        <w:jc w:val="both"/>
        <w:rPr>
          <w:rFonts w:asciiTheme="majorHAnsi" w:hAnsiTheme="majorHAnsi" w:cstheme="majorHAnsi"/>
          <w:sz w:val="22"/>
          <w:szCs w:val="22"/>
        </w:rPr>
      </w:pPr>
      <w:r>
        <w:rPr>
          <w:rFonts w:asciiTheme="majorHAnsi" w:hAnsiTheme="majorHAnsi"/>
          <w:sz w:val="22"/>
        </w:rPr>
        <w:t>EH Bildu Nafarroa talde parlamentarioari atxikitako foru</w:t>
      </w:r>
      <w:r w:rsidR="00FA7835">
        <w:rPr>
          <w:rFonts w:asciiTheme="majorHAnsi" w:hAnsiTheme="majorHAnsi"/>
          <w:sz w:val="22"/>
        </w:rPr>
        <w:t>-</w:t>
      </w:r>
      <w:r>
        <w:rPr>
          <w:rFonts w:asciiTheme="majorHAnsi" w:hAnsiTheme="majorHAnsi"/>
          <w:sz w:val="22"/>
        </w:rPr>
        <w:t>parlamentari Oihana Gallo San Román andreak idatziz erantzuteko galdera egin du 11-26/PES-00118 eskariari buruz. Hona hemen Nafarroako Gobernuaren Etxebizitzako, Gazteriako eta Migrazio Politiketako kontseilariak horren harira ematen dion informazioa:</w:t>
      </w:r>
    </w:p>
    <w:p w14:paraId="530A8288" w14:textId="77777777" w:rsidR="00313137" w:rsidRPr="008D7B3A" w:rsidRDefault="00313137" w:rsidP="008D7B3A">
      <w:pPr>
        <w:spacing w:after="120" w:line="276" w:lineRule="auto"/>
        <w:jc w:val="both"/>
        <w:rPr>
          <w:rFonts w:asciiTheme="majorHAnsi" w:hAnsiTheme="majorHAnsi" w:cstheme="majorHAnsi"/>
          <w:b/>
          <w:i/>
          <w:sz w:val="22"/>
          <w:szCs w:val="22"/>
        </w:rPr>
      </w:pPr>
      <w:r>
        <w:rPr>
          <w:rFonts w:asciiTheme="majorHAnsi" w:hAnsiTheme="majorHAnsi"/>
          <w:b/>
          <w:i/>
          <w:sz w:val="22"/>
        </w:rPr>
        <w:t>1. Etxeko eta zainketen esparruko langileen aurkako zenbat diskriminazio kasu artatu dituzte Migrazio Politiketako Zuzendaritza Nagusiko zerbitzuek? Nola jokatu da kasu horietan?</w:t>
      </w:r>
    </w:p>
    <w:p w14:paraId="56A954A1"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Migrazio Politiketako Zuzendaritza Nagusiak migratutako biztanleei zuzeneko arreta emateko hainbat zerbitzu publiko ditu. Besteak beste, Arrazakeriaren eta Xenofobiaren aurkako Arreta Zerbitzua (AXAZ) eta Atzerritartasunaren Arloan Arreta eta Aholkularitza Emateko Zerbitzua (AAAZ).</w:t>
      </w:r>
    </w:p>
    <w:p w14:paraId="2F926311"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 xml:space="preserve">AXAZk lau kasu artatu zituen 2025ean, eta horien diskriminazio esparrua enpleguan kokatzen zen, zehazki, etxeko lanarekin eta zaintza lanekin lotutako jardueretan, nola familia etxeetan, hala adinekoentzako egoitza baliabideetan. Halaber, etxeko emakume langileek egindako bi kontsultari erantzun zien. </w:t>
      </w:r>
    </w:p>
    <w:p w14:paraId="016044AF" w14:textId="77777777" w:rsidR="00313137" w:rsidRPr="008D7B3A" w:rsidRDefault="00623C9A" w:rsidP="008D7B3A">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 xml:space="preserve">2026ko urtarriletik apirilera bitartean, etxeko eta zaintzako langileei dagozkien hiru kasu erregistratu dira. </w:t>
      </w:r>
    </w:p>
    <w:p w14:paraId="20A912BA"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 xml:space="preserve">Kasu guztiei zerbitzuak ematen duen arreta integrala eskaini zitzaien: gizarte eta hezkuntza arreta, arreta juridikoa eta arreta psikologikoa. </w:t>
      </w:r>
    </w:p>
    <w:p w14:paraId="679259E5" w14:textId="77777777" w:rsidR="00313137" w:rsidRPr="008D7B3A" w:rsidRDefault="00313137" w:rsidP="008D7B3A">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 xml:space="preserve">Bestalde, AAAZn ez da horrelako diskriminazio kasurik jaso, baina kasu batzuetan badirudi lan abusua egon dela egoera administratibo irregularrean egonik etxeetan eta zaintza lanetan diharduten emakume migratuen aurka. Kasu horietan, dituzten eskubideei buruzko informazioa eman zaie, bai eta arlo horretako beste baliabide batzuei buruzkoa ere: NABIren zerbitzuak, AXAZ, etab. </w:t>
      </w:r>
    </w:p>
    <w:p w14:paraId="430C839A" w14:textId="77777777" w:rsidR="00313137" w:rsidRPr="008D7B3A" w:rsidRDefault="00313137" w:rsidP="008D7B3A">
      <w:pPr>
        <w:spacing w:after="120" w:line="276" w:lineRule="auto"/>
        <w:jc w:val="both"/>
        <w:rPr>
          <w:rFonts w:asciiTheme="majorHAnsi" w:hAnsiTheme="majorHAnsi" w:cstheme="majorHAnsi"/>
          <w:b/>
          <w:i/>
          <w:sz w:val="22"/>
          <w:szCs w:val="22"/>
        </w:rPr>
      </w:pPr>
      <w:r>
        <w:rPr>
          <w:rFonts w:asciiTheme="majorHAnsi" w:hAnsiTheme="majorHAnsi"/>
          <w:b/>
          <w:i/>
          <w:sz w:val="22"/>
        </w:rPr>
        <w:t>2. Prestakuntzako zenbat esku-hartze egin dira antiarrazakeriari eta feminismoari buruz zainketetan eta mendekotasunean esku hartzen duten langileekin?</w:t>
      </w:r>
    </w:p>
    <w:p w14:paraId="689FBF55" w14:textId="77777777" w:rsidR="00313137" w:rsidRPr="008D7B3A" w:rsidRDefault="00313137" w:rsidP="008D7B3A">
      <w:pPr>
        <w:spacing w:after="120" w:line="276" w:lineRule="auto"/>
        <w:jc w:val="both"/>
        <w:rPr>
          <w:rFonts w:asciiTheme="majorHAnsi" w:hAnsiTheme="majorHAnsi" w:cstheme="majorHAnsi"/>
          <w:sz w:val="22"/>
          <w:szCs w:val="22"/>
        </w:rPr>
      </w:pPr>
      <w:r>
        <w:rPr>
          <w:rFonts w:asciiTheme="majorHAnsi" w:hAnsiTheme="majorHAnsi"/>
          <w:sz w:val="22"/>
        </w:rPr>
        <w:t xml:space="preserve">2025an honako prestakuntza jarduera hauek egin ziren: </w:t>
      </w:r>
    </w:p>
    <w:p w14:paraId="56D451C1" w14:textId="711FCAF9" w:rsidR="00313137" w:rsidRPr="008D7B3A" w:rsidRDefault="00313137" w:rsidP="008D7B3A">
      <w:pPr>
        <w:pStyle w:val="Prrafodelista"/>
        <w:numPr>
          <w:ilvl w:val="0"/>
          <w:numId w:val="17"/>
        </w:numPr>
        <w:spacing w:after="120" w:line="276" w:lineRule="auto"/>
        <w:jc w:val="both"/>
        <w:rPr>
          <w:rFonts w:asciiTheme="majorHAnsi" w:hAnsiTheme="majorHAnsi" w:cstheme="majorHAnsi"/>
          <w:sz w:val="22"/>
          <w:szCs w:val="22"/>
        </w:rPr>
      </w:pPr>
      <w:r>
        <w:rPr>
          <w:rFonts w:asciiTheme="majorHAnsi" w:hAnsiTheme="majorHAnsi"/>
          <w:sz w:val="22"/>
        </w:rPr>
        <w:t xml:space="preserve">SOS Arrazakeria Nafarroak "Arrazakeria eta Xenofobiaren aurkako prebentzio eta borrokarako estrategiak antiarrazakeriaren ikuspegitik" proiektua garatu du, Migrazio Politiketako Zuzendaritza Nagusiak finantzatuta. Horren barruan, "Atzerritarrei buruzko Legea, arrazakeria instituzionalaren paradigma" izeneko bi prestakuntza saio egin ziren, etxeko eta zaintzako langile diren emakume migratuentzat, bakoitza 4 ordukoa. </w:t>
      </w:r>
    </w:p>
    <w:p w14:paraId="2A5147C9" w14:textId="77777777" w:rsidR="00313137" w:rsidRPr="008D7B3A" w:rsidRDefault="00313137" w:rsidP="008D7B3A">
      <w:pPr>
        <w:pStyle w:val="Prrafodelista"/>
        <w:numPr>
          <w:ilvl w:val="0"/>
          <w:numId w:val="17"/>
        </w:numPr>
        <w:spacing w:after="120" w:line="276" w:lineRule="auto"/>
        <w:jc w:val="both"/>
        <w:rPr>
          <w:rFonts w:asciiTheme="majorHAnsi" w:hAnsiTheme="majorHAnsi" w:cstheme="majorHAnsi"/>
          <w:sz w:val="22"/>
          <w:szCs w:val="22"/>
        </w:rPr>
      </w:pPr>
      <w:r>
        <w:rPr>
          <w:rFonts w:asciiTheme="majorHAnsi" w:hAnsiTheme="majorHAnsi"/>
          <w:sz w:val="22"/>
        </w:rPr>
        <w:t>Zaska Nafarroak, 2025erako Migrazio Politiketako Zuzendaritza Nagusiarekin sinatutako hitzarmenaren esparruan, lau prestakuntza jarduera gauzatu ditu, batez ere etxeko eta zaintzako eremuan diharduten emakume migratuei zuzendutakoak. Guztira 29 ordu eman dira eta 11 nazionalitatetako 97 emakumek parte hartu dute horietan.</w:t>
      </w:r>
    </w:p>
    <w:p w14:paraId="0AB6B00F" w14:textId="6BBAA3D2" w:rsidR="00313137" w:rsidRPr="008D7B3A" w:rsidRDefault="00313137" w:rsidP="008D7B3A">
      <w:pPr>
        <w:spacing w:after="120" w:line="276" w:lineRule="auto"/>
        <w:jc w:val="both"/>
        <w:rPr>
          <w:rFonts w:asciiTheme="majorHAnsi" w:hAnsiTheme="majorHAnsi" w:cstheme="majorHAnsi"/>
          <w:b/>
          <w:i/>
          <w:sz w:val="22"/>
          <w:szCs w:val="22"/>
        </w:rPr>
      </w:pPr>
      <w:r>
        <w:rPr>
          <w:rFonts w:asciiTheme="majorHAnsi" w:hAnsiTheme="majorHAnsi"/>
          <w:b/>
          <w:i/>
          <w:sz w:val="22"/>
        </w:rPr>
        <w:t>3. Arrazakeriaren aurkako Planean aipatzen diren arraza diskriminazioko, xenofobiako edo intersekzionaleko gertakarien aurrean jarduteko eta salatzeko protokoloetan, berariaz jasotzen al da etxeko eta mendekotasuneko langileen diskriminazioaren kasua?</w:t>
      </w:r>
    </w:p>
    <w:p w14:paraId="4348F47B" w14:textId="7FA5ACB9" w:rsidR="004C2A95" w:rsidRPr="008D7B3A" w:rsidRDefault="004C2A95" w:rsidP="008D7B3A">
      <w:pPr>
        <w:spacing w:after="120" w:line="276" w:lineRule="auto"/>
        <w:jc w:val="both"/>
        <w:rPr>
          <w:rFonts w:asciiTheme="majorHAnsi" w:hAnsiTheme="majorHAnsi" w:cstheme="majorHAnsi"/>
          <w:sz w:val="22"/>
          <w:szCs w:val="22"/>
        </w:rPr>
      </w:pPr>
      <w:r>
        <w:rPr>
          <w:rFonts w:asciiTheme="majorHAnsi" w:hAnsiTheme="majorHAnsi"/>
          <w:sz w:val="22"/>
        </w:rPr>
        <w:t xml:space="preserve">Arrazakeriaren eta Xenofobiaren aurkako 2021-2026 Planak jarduketa protokoloak aktibatzea proposatzen du arrazagatiko eta jatorri etniko/migratzaileagatiko bereizkeriaren eta bereizkeria </w:t>
      </w:r>
      <w:r>
        <w:rPr>
          <w:rFonts w:asciiTheme="majorHAnsi" w:hAnsiTheme="majorHAnsi"/>
          <w:sz w:val="22"/>
        </w:rPr>
        <w:lastRenderedPageBreak/>
        <w:t>intersekzionalaren aurrean, eta gorroto delituen aurrean, pertsona babesteko neurri zehatzekin bereizkeria esparruaren arabera (administrazio publikoa, lana, etxebizitza, osasuna, hezkuntza, kirola eta aisia, eta denbora librea).</w:t>
      </w:r>
    </w:p>
    <w:p w14:paraId="5873ED03" w14:textId="77777777" w:rsidR="004C2A95" w:rsidRPr="008D7B3A" w:rsidRDefault="004C2A95" w:rsidP="008D7B3A">
      <w:pPr>
        <w:spacing w:after="120" w:line="276" w:lineRule="auto"/>
        <w:jc w:val="both"/>
        <w:rPr>
          <w:rFonts w:asciiTheme="majorHAnsi" w:hAnsiTheme="majorHAnsi" w:cstheme="majorHAnsi"/>
          <w:sz w:val="22"/>
          <w:szCs w:val="22"/>
        </w:rPr>
      </w:pPr>
      <w:r>
        <w:rPr>
          <w:rFonts w:asciiTheme="majorHAnsi" w:hAnsiTheme="majorHAnsi"/>
          <w:sz w:val="22"/>
        </w:rPr>
        <w:t>SARXen jarduketa protokolo orokor bat dago arraza edo jatorri etniko/migratzaileagatiko diskriminazio orori eta diskriminazio intersekzionalari erantzuteko, eta protokolo horrek etxeko langileentzako diskriminazio kasuak eta mendekotasun kasuak biltzen ditu.</w:t>
      </w:r>
    </w:p>
    <w:p w14:paraId="45CF3BAC" w14:textId="77777777" w:rsidR="005C6F85" w:rsidRPr="008D7B3A" w:rsidRDefault="005C6F85" w:rsidP="008D7B3A">
      <w:pPr>
        <w:spacing w:after="120" w:line="276" w:lineRule="auto"/>
        <w:jc w:val="both"/>
        <w:rPr>
          <w:rFonts w:asciiTheme="majorHAnsi" w:hAnsiTheme="majorHAnsi" w:cstheme="majorHAnsi"/>
          <w:sz w:val="22"/>
          <w:szCs w:val="22"/>
        </w:rPr>
      </w:pPr>
      <w:r>
        <w:rPr>
          <w:rFonts w:asciiTheme="majorHAnsi" w:hAnsiTheme="majorHAnsi"/>
          <w:sz w:val="22"/>
        </w:rPr>
        <w:t>Hori guztia jakinarazten dut, Nafarroako Parlamentuko Erregelamenduaren 215. artikuluan ezarritakoa betez.</w:t>
      </w:r>
    </w:p>
    <w:p w14:paraId="7D5A44B4" w14:textId="11E02454" w:rsidR="00C75B33" w:rsidRPr="008D7B3A" w:rsidRDefault="00C75B33" w:rsidP="008D7B3A">
      <w:pPr>
        <w:spacing w:after="120" w:line="276" w:lineRule="auto"/>
        <w:jc w:val="both"/>
        <w:rPr>
          <w:rFonts w:asciiTheme="majorHAnsi" w:hAnsiTheme="majorHAnsi" w:cstheme="majorHAnsi"/>
          <w:color w:val="000000"/>
          <w:sz w:val="22"/>
          <w:szCs w:val="22"/>
        </w:rPr>
      </w:pPr>
      <w:r>
        <w:rPr>
          <w:rFonts w:asciiTheme="majorHAnsi" w:hAnsiTheme="majorHAnsi"/>
          <w:color w:val="000000"/>
          <w:sz w:val="22"/>
        </w:rPr>
        <w:t>Iruñean, 2026ko maiatzaren 19an</w:t>
      </w:r>
    </w:p>
    <w:p w14:paraId="5EB5B6C2" w14:textId="286EB3B5" w:rsidR="00C75B33" w:rsidRPr="008D7B3A" w:rsidRDefault="008D7B3A" w:rsidP="008D7B3A">
      <w:pPr>
        <w:spacing w:after="120" w:line="276" w:lineRule="auto"/>
        <w:jc w:val="both"/>
        <w:rPr>
          <w:rFonts w:asciiTheme="majorHAnsi" w:hAnsiTheme="majorHAnsi" w:cstheme="majorHAnsi"/>
          <w:sz w:val="22"/>
          <w:szCs w:val="22"/>
        </w:rPr>
      </w:pPr>
      <w:r>
        <w:rPr>
          <w:rFonts w:asciiTheme="majorHAnsi" w:hAnsiTheme="majorHAnsi"/>
          <w:sz w:val="22"/>
        </w:rPr>
        <w:t>Hirugarren lehendakariorde eta Etxebizitzako, Gazteriako eta Migrazio Politiketako kontseilaria: Begoña Alfaro García</w:t>
      </w:r>
    </w:p>
    <w:sectPr w:rsidR="00C75B33" w:rsidRPr="008D7B3A" w:rsidSect="008D7B3A">
      <w:headerReference w:type="first" r:id="rId7"/>
      <w:footerReference w:type="first" r:id="rId8"/>
      <w:pgSz w:w="11901" w:h="16817" w:code="9"/>
      <w:pgMar w:top="1701" w:right="1418" w:bottom="184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90B5" w14:textId="77777777" w:rsidR="007711DD" w:rsidRDefault="007711DD">
      <w:r>
        <w:separator/>
      </w:r>
    </w:p>
  </w:endnote>
  <w:endnote w:type="continuationSeparator" w:id="0">
    <w:p w14:paraId="24C656E9" w14:textId="77777777" w:rsidR="007711DD" w:rsidRDefault="0077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67E"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C351" w14:textId="77777777" w:rsidR="007711DD" w:rsidRDefault="007711DD">
      <w:r>
        <w:separator/>
      </w:r>
    </w:p>
  </w:footnote>
  <w:footnote w:type="continuationSeparator" w:id="0">
    <w:p w14:paraId="5519A934" w14:textId="77777777" w:rsidR="007711DD" w:rsidRDefault="0077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2296"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028AB39A" wp14:editId="1E18D671">
          <wp:simplePos x="419100" y="542925"/>
          <wp:positionH relativeFrom="page">
            <wp:align>left</wp:align>
          </wp:positionH>
          <wp:positionV relativeFrom="page">
            <wp:align>top</wp:align>
          </wp:positionV>
          <wp:extent cx="7560000" cy="1796400"/>
          <wp:effectExtent l="0" t="0" r="317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175203"/>
    <w:multiLevelType w:val="hybridMultilevel"/>
    <w:tmpl w:val="EAD0CDA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A3727B"/>
    <w:multiLevelType w:val="hybridMultilevel"/>
    <w:tmpl w:val="A04055C2"/>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090349655">
    <w:abstractNumId w:val="1"/>
  </w:num>
  <w:num w:numId="2" w16cid:durableId="1777630215">
    <w:abstractNumId w:val="12"/>
  </w:num>
  <w:num w:numId="3" w16cid:durableId="338119991">
    <w:abstractNumId w:val="3"/>
  </w:num>
  <w:num w:numId="4" w16cid:durableId="699470676">
    <w:abstractNumId w:val="5"/>
  </w:num>
  <w:num w:numId="5" w16cid:durableId="246381502">
    <w:abstractNumId w:val="15"/>
  </w:num>
  <w:num w:numId="6" w16cid:durableId="1968120359">
    <w:abstractNumId w:val="9"/>
  </w:num>
  <w:num w:numId="7" w16cid:durableId="1217156372">
    <w:abstractNumId w:val="2"/>
  </w:num>
  <w:num w:numId="8" w16cid:durableId="639264920">
    <w:abstractNumId w:val="10"/>
  </w:num>
  <w:num w:numId="9" w16cid:durableId="1185902200">
    <w:abstractNumId w:val="13"/>
  </w:num>
  <w:num w:numId="10" w16cid:durableId="71708593">
    <w:abstractNumId w:val="7"/>
  </w:num>
  <w:num w:numId="11" w16cid:durableId="319382284">
    <w:abstractNumId w:val="4"/>
  </w:num>
  <w:num w:numId="12" w16cid:durableId="785123527">
    <w:abstractNumId w:val="16"/>
  </w:num>
  <w:num w:numId="13" w16cid:durableId="2012489357">
    <w:abstractNumId w:val="8"/>
  </w:num>
  <w:num w:numId="14" w16cid:durableId="1799257639">
    <w:abstractNumId w:val="0"/>
  </w:num>
  <w:num w:numId="15" w16cid:durableId="369452410">
    <w:abstractNumId w:val="11"/>
  </w:num>
  <w:num w:numId="16" w16cid:durableId="128019530">
    <w:abstractNumId w:val="14"/>
  </w:num>
  <w:num w:numId="17" w16cid:durableId="548956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116AF7"/>
    <w:rsid w:val="0014013D"/>
    <w:rsid w:val="00165095"/>
    <w:rsid w:val="00166C59"/>
    <w:rsid w:val="001671B2"/>
    <w:rsid w:val="00170AFF"/>
    <w:rsid w:val="00186702"/>
    <w:rsid w:val="001B1ACE"/>
    <w:rsid w:val="001F5AE6"/>
    <w:rsid w:val="00247EB5"/>
    <w:rsid w:val="00253366"/>
    <w:rsid w:val="00277C9A"/>
    <w:rsid w:val="00280F08"/>
    <w:rsid w:val="002F09C8"/>
    <w:rsid w:val="00304004"/>
    <w:rsid w:val="00311477"/>
    <w:rsid w:val="00313137"/>
    <w:rsid w:val="003566BA"/>
    <w:rsid w:val="00374714"/>
    <w:rsid w:val="00384363"/>
    <w:rsid w:val="003A51EA"/>
    <w:rsid w:val="003C1CF1"/>
    <w:rsid w:val="003E62BD"/>
    <w:rsid w:val="003F1206"/>
    <w:rsid w:val="00443A44"/>
    <w:rsid w:val="004B47C0"/>
    <w:rsid w:val="004C2A95"/>
    <w:rsid w:val="00524CFD"/>
    <w:rsid w:val="005367EB"/>
    <w:rsid w:val="005A7259"/>
    <w:rsid w:val="005B095B"/>
    <w:rsid w:val="005B5B3B"/>
    <w:rsid w:val="005C6849"/>
    <w:rsid w:val="005C6F85"/>
    <w:rsid w:val="005E5D10"/>
    <w:rsid w:val="005F55EF"/>
    <w:rsid w:val="005F5C77"/>
    <w:rsid w:val="005F6D5D"/>
    <w:rsid w:val="00623C9A"/>
    <w:rsid w:val="006557F1"/>
    <w:rsid w:val="00663B51"/>
    <w:rsid w:val="00683497"/>
    <w:rsid w:val="00696F6F"/>
    <w:rsid w:val="006A249B"/>
    <w:rsid w:val="006A5952"/>
    <w:rsid w:val="006A7F53"/>
    <w:rsid w:val="007018B0"/>
    <w:rsid w:val="007058D9"/>
    <w:rsid w:val="0071169E"/>
    <w:rsid w:val="0072285D"/>
    <w:rsid w:val="00767509"/>
    <w:rsid w:val="007711DD"/>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8D7B3A"/>
    <w:rsid w:val="009022B4"/>
    <w:rsid w:val="0090494F"/>
    <w:rsid w:val="0093759B"/>
    <w:rsid w:val="00954697"/>
    <w:rsid w:val="00994342"/>
    <w:rsid w:val="009C2ED9"/>
    <w:rsid w:val="009C74F8"/>
    <w:rsid w:val="009E202F"/>
    <w:rsid w:val="009E22FA"/>
    <w:rsid w:val="009E381E"/>
    <w:rsid w:val="00A077F0"/>
    <w:rsid w:val="00A117E7"/>
    <w:rsid w:val="00A2145B"/>
    <w:rsid w:val="00A2779D"/>
    <w:rsid w:val="00A52259"/>
    <w:rsid w:val="00A85153"/>
    <w:rsid w:val="00A95321"/>
    <w:rsid w:val="00B13A40"/>
    <w:rsid w:val="00B46857"/>
    <w:rsid w:val="00B662C6"/>
    <w:rsid w:val="00B67FDD"/>
    <w:rsid w:val="00B930F6"/>
    <w:rsid w:val="00B96F7E"/>
    <w:rsid w:val="00BB36D2"/>
    <w:rsid w:val="00BD378D"/>
    <w:rsid w:val="00BD6A02"/>
    <w:rsid w:val="00BE2BD3"/>
    <w:rsid w:val="00BF4CC5"/>
    <w:rsid w:val="00C45E0E"/>
    <w:rsid w:val="00C6698E"/>
    <w:rsid w:val="00C75B33"/>
    <w:rsid w:val="00C9552C"/>
    <w:rsid w:val="00CA2943"/>
    <w:rsid w:val="00CC1284"/>
    <w:rsid w:val="00CD13AF"/>
    <w:rsid w:val="00CE65F5"/>
    <w:rsid w:val="00D304C8"/>
    <w:rsid w:val="00D76DC5"/>
    <w:rsid w:val="00D9466D"/>
    <w:rsid w:val="00DA599A"/>
    <w:rsid w:val="00DB1E2F"/>
    <w:rsid w:val="00DB4349"/>
    <w:rsid w:val="00DD353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20DB9"/>
    <w:rsid w:val="00F344C7"/>
    <w:rsid w:val="00FA7835"/>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B4F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516</Words>
  <Characters>3331</Characters>
  <Application>Microsoft Office Word</Application>
  <DocSecurity>0</DocSecurity>
  <Lines>97</Lines>
  <Paragraphs>66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3</cp:revision>
  <cp:lastPrinted>2024-10-22T07:46:00Z</cp:lastPrinted>
  <dcterms:created xsi:type="dcterms:W3CDTF">2026-05-19T11:09:00Z</dcterms:created>
  <dcterms:modified xsi:type="dcterms:W3CDTF">2026-06-25T07:13:00Z</dcterms:modified>
</cp:coreProperties>
</file>