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6D053C" w:rsidRDefault="00FA495F" w:rsidP="002F488B">
      <w:pPr>
        <w:pStyle w:val="EstiloPortada"/>
        <w:ind w:left="3402"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5E20" w:rsidRPr="002C7026" w:rsidRDefault="00D85E20"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D85E20" w:rsidRPr="002C7026" w:rsidRDefault="00D85E2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D85E20" w:rsidRPr="002C7026" w:rsidRDefault="00D85E2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D85E20" w:rsidRPr="002C7026" w:rsidRDefault="00D85E20"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D85E20" w:rsidRPr="002C7026" w:rsidRDefault="00D85E20"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D85E20" w:rsidRPr="002C7026" w:rsidRDefault="00D85E20"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85E20" w:rsidRPr="002C7026" w:rsidRDefault="00D85E20"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D85E20" w:rsidRPr="002C7026" w:rsidRDefault="00D85E2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D85E20" w:rsidRPr="002C7026" w:rsidRDefault="00D85E2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D85E20" w:rsidRPr="002C7026" w:rsidRDefault="00D85E20"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D85E20" w:rsidRPr="002C7026" w:rsidRDefault="00D85E20"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D85E20" w:rsidRPr="002C7026" w:rsidRDefault="00D85E20"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2F488B" w:rsidRDefault="002F488B" w:rsidP="002F488B">
      <w:pPr>
        <w:pStyle w:val="EstiloPortada"/>
        <w:ind w:left="3402" w:right="0"/>
        <w:rPr>
          <w:sz w:val="52"/>
          <w:szCs w:val="52"/>
        </w:rPr>
      </w:pPr>
      <w:r w:rsidRPr="002F488B">
        <w:rPr>
          <w:sz w:val="52"/>
          <w:szCs w:val="52"/>
        </w:rPr>
        <w:t>Delegación de Navarra en Bruselas</w:t>
      </w:r>
      <w:r w:rsidR="00160DBF">
        <w:rPr>
          <w:sz w:val="52"/>
          <w:szCs w:val="52"/>
        </w:rPr>
        <w:t xml:space="preserve"> (2003</w:t>
      </w:r>
      <w:r>
        <w:rPr>
          <w:sz w:val="52"/>
          <w:szCs w:val="52"/>
        </w:rPr>
        <w:t>-2014)</w:t>
      </w:r>
    </w:p>
    <w:p w:rsidR="001C3A32" w:rsidRPr="00204979" w:rsidRDefault="001C3A32" w:rsidP="00891D73">
      <w:pPr>
        <w:pStyle w:val="texto"/>
      </w:pPr>
    </w:p>
    <w:p w:rsidR="001C3A32" w:rsidRPr="00204979" w:rsidRDefault="001C3A32" w:rsidP="00891D73">
      <w:pPr>
        <w:pStyle w:val="texto"/>
      </w:pPr>
    </w:p>
    <w:p w:rsidR="001C3A32" w:rsidRPr="002D7A42"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0F5BB4" w:rsidRDefault="000F5BB4" w:rsidP="002D7A42">
      <w:pPr>
        <w:pStyle w:val="texto"/>
      </w:pPr>
    </w:p>
    <w:p w:rsidR="000F5BB4" w:rsidRDefault="000F5BB4" w:rsidP="002D7A42">
      <w:pPr>
        <w:pStyle w:val="texto"/>
      </w:pPr>
    </w:p>
    <w:p w:rsidR="002D7A42" w:rsidRDefault="002D7A42" w:rsidP="002D7A42">
      <w:pPr>
        <w:pStyle w:val="texto"/>
      </w:pPr>
    </w:p>
    <w:p w:rsidR="00716463" w:rsidRPr="001D4F09" w:rsidRDefault="006D053C" w:rsidP="009936FC">
      <w:pPr>
        <w:pStyle w:val="Fechaportada"/>
      </w:pPr>
      <w:r>
        <w:t>Enero de 2016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2F488B" w:rsidRDefault="002F488B" w:rsidP="002F488B">
      <w:pPr>
        <w:pStyle w:val="ndice"/>
      </w:pPr>
      <w:r w:rsidRPr="00891D73">
        <w:lastRenderedPageBreak/>
        <w:t>Índice</w:t>
      </w:r>
    </w:p>
    <w:p w:rsidR="002F488B" w:rsidRPr="004740FB" w:rsidRDefault="002F488B" w:rsidP="002F488B">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2D7A42"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0523185" w:history="1">
        <w:r w:rsidR="002D7A42" w:rsidRPr="00ED61A3">
          <w:rPr>
            <w:rStyle w:val="Hipervnculo"/>
            <w:noProof/>
          </w:rPr>
          <w:t>I. Introducción</w:t>
        </w:r>
        <w:r w:rsidR="002D7A42">
          <w:rPr>
            <w:noProof/>
            <w:webHidden/>
          </w:rPr>
          <w:tab/>
        </w:r>
        <w:r w:rsidR="002D7A42">
          <w:rPr>
            <w:noProof/>
            <w:webHidden/>
          </w:rPr>
          <w:fldChar w:fldCharType="begin"/>
        </w:r>
        <w:r w:rsidR="002D7A42">
          <w:rPr>
            <w:noProof/>
            <w:webHidden/>
          </w:rPr>
          <w:instrText xml:space="preserve"> PAGEREF _Toc440523185 \h </w:instrText>
        </w:r>
        <w:r w:rsidR="002D7A42">
          <w:rPr>
            <w:noProof/>
            <w:webHidden/>
          </w:rPr>
        </w:r>
        <w:r w:rsidR="002D7A42">
          <w:rPr>
            <w:noProof/>
            <w:webHidden/>
          </w:rPr>
          <w:fldChar w:fldCharType="separate"/>
        </w:r>
        <w:r w:rsidR="00E418F9">
          <w:rPr>
            <w:noProof/>
            <w:webHidden/>
          </w:rPr>
          <w:t>3</w:t>
        </w:r>
        <w:r w:rsidR="002D7A42">
          <w:rPr>
            <w:noProof/>
            <w:webHidden/>
          </w:rPr>
          <w:fldChar w:fldCharType="end"/>
        </w:r>
      </w:hyperlink>
    </w:p>
    <w:p w:rsidR="002D7A42" w:rsidRDefault="00134A1D">
      <w:pPr>
        <w:pStyle w:val="TDC1"/>
        <w:rPr>
          <w:rFonts w:asciiTheme="minorHAnsi" w:eastAsiaTheme="minorEastAsia" w:hAnsiTheme="minorHAnsi" w:cstheme="minorBidi"/>
          <w:smallCaps w:val="0"/>
          <w:noProof/>
          <w:szCs w:val="22"/>
          <w:lang w:val="es-ES" w:eastAsia="es-ES"/>
        </w:rPr>
      </w:pPr>
      <w:hyperlink w:anchor="_Toc440523186" w:history="1">
        <w:r w:rsidR="002D7A42" w:rsidRPr="00ED61A3">
          <w:rPr>
            <w:rStyle w:val="Hipervnculo"/>
            <w:noProof/>
          </w:rPr>
          <w:t>II. La Delegación de Navarra en Bruselas</w:t>
        </w:r>
        <w:r w:rsidR="002D7A42">
          <w:rPr>
            <w:noProof/>
            <w:webHidden/>
          </w:rPr>
          <w:tab/>
        </w:r>
        <w:r w:rsidR="002D7A42">
          <w:rPr>
            <w:noProof/>
            <w:webHidden/>
          </w:rPr>
          <w:fldChar w:fldCharType="begin"/>
        </w:r>
        <w:r w:rsidR="002D7A42">
          <w:rPr>
            <w:noProof/>
            <w:webHidden/>
          </w:rPr>
          <w:instrText xml:space="preserve"> PAGEREF _Toc440523186 \h </w:instrText>
        </w:r>
        <w:r w:rsidR="002D7A42">
          <w:rPr>
            <w:noProof/>
            <w:webHidden/>
          </w:rPr>
        </w:r>
        <w:r w:rsidR="002D7A42">
          <w:rPr>
            <w:noProof/>
            <w:webHidden/>
          </w:rPr>
          <w:fldChar w:fldCharType="separate"/>
        </w:r>
        <w:r w:rsidR="00E418F9">
          <w:rPr>
            <w:noProof/>
            <w:webHidden/>
          </w:rPr>
          <w:t>4</w:t>
        </w:r>
        <w:r w:rsidR="002D7A42">
          <w:rPr>
            <w:noProof/>
            <w:webHidden/>
          </w:rPr>
          <w:fldChar w:fldCharType="end"/>
        </w:r>
      </w:hyperlink>
    </w:p>
    <w:p w:rsidR="002D7A42" w:rsidRDefault="00134A1D">
      <w:pPr>
        <w:pStyle w:val="TDC2"/>
        <w:rPr>
          <w:rFonts w:asciiTheme="minorHAnsi" w:eastAsiaTheme="minorEastAsia" w:hAnsiTheme="minorHAnsi" w:cstheme="minorBidi"/>
          <w:noProof/>
          <w:szCs w:val="22"/>
          <w:lang w:val="es-ES" w:eastAsia="es-ES"/>
        </w:rPr>
      </w:pPr>
      <w:hyperlink w:anchor="_Toc440523187" w:history="1">
        <w:r w:rsidR="002D7A42" w:rsidRPr="00ED61A3">
          <w:rPr>
            <w:rStyle w:val="Hipervnculo"/>
            <w:noProof/>
          </w:rPr>
          <w:t>II.1. Antecedentes, creación y funciones</w:t>
        </w:r>
        <w:r w:rsidR="002D7A42">
          <w:rPr>
            <w:noProof/>
            <w:webHidden/>
          </w:rPr>
          <w:tab/>
        </w:r>
        <w:r w:rsidR="002D7A42">
          <w:rPr>
            <w:noProof/>
            <w:webHidden/>
          </w:rPr>
          <w:fldChar w:fldCharType="begin"/>
        </w:r>
        <w:r w:rsidR="002D7A42">
          <w:rPr>
            <w:noProof/>
            <w:webHidden/>
          </w:rPr>
          <w:instrText xml:space="preserve"> PAGEREF _Toc440523187 \h </w:instrText>
        </w:r>
        <w:r w:rsidR="002D7A42">
          <w:rPr>
            <w:noProof/>
            <w:webHidden/>
          </w:rPr>
        </w:r>
        <w:r w:rsidR="002D7A42">
          <w:rPr>
            <w:noProof/>
            <w:webHidden/>
          </w:rPr>
          <w:fldChar w:fldCharType="separate"/>
        </w:r>
        <w:r w:rsidR="00E418F9">
          <w:rPr>
            <w:noProof/>
            <w:webHidden/>
          </w:rPr>
          <w:t>4</w:t>
        </w:r>
        <w:r w:rsidR="002D7A42">
          <w:rPr>
            <w:noProof/>
            <w:webHidden/>
          </w:rPr>
          <w:fldChar w:fldCharType="end"/>
        </w:r>
      </w:hyperlink>
    </w:p>
    <w:p w:rsidR="002D7A42" w:rsidRDefault="00134A1D">
      <w:pPr>
        <w:pStyle w:val="TDC2"/>
        <w:rPr>
          <w:rFonts w:asciiTheme="minorHAnsi" w:eastAsiaTheme="minorEastAsia" w:hAnsiTheme="minorHAnsi" w:cstheme="minorBidi"/>
          <w:noProof/>
          <w:szCs w:val="22"/>
          <w:lang w:val="es-ES" w:eastAsia="es-ES"/>
        </w:rPr>
      </w:pPr>
      <w:hyperlink w:anchor="_Toc440523188" w:history="1">
        <w:r w:rsidR="002D7A42" w:rsidRPr="00ED61A3">
          <w:rPr>
            <w:rStyle w:val="Hipervnculo"/>
            <w:noProof/>
          </w:rPr>
          <w:t>II.2. Gastos de la Delegación</w:t>
        </w:r>
        <w:r w:rsidR="002D7A42">
          <w:rPr>
            <w:noProof/>
            <w:webHidden/>
          </w:rPr>
          <w:tab/>
        </w:r>
        <w:r w:rsidR="002D7A42">
          <w:rPr>
            <w:noProof/>
            <w:webHidden/>
          </w:rPr>
          <w:fldChar w:fldCharType="begin"/>
        </w:r>
        <w:r w:rsidR="002D7A42">
          <w:rPr>
            <w:noProof/>
            <w:webHidden/>
          </w:rPr>
          <w:instrText xml:space="preserve"> PAGEREF _Toc440523188 \h </w:instrText>
        </w:r>
        <w:r w:rsidR="002D7A42">
          <w:rPr>
            <w:noProof/>
            <w:webHidden/>
          </w:rPr>
        </w:r>
        <w:r w:rsidR="002D7A42">
          <w:rPr>
            <w:noProof/>
            <w:webHidden/>
          </w:rPr>
          <w:fldChar w:fldCharType="separate"/>
        </w:r>
        <w:r w:rsidR="00E418F9">
          <w:rPr>
            <w:noProof/>
            <w:webHidden/>
          </w:rPr>
          <w:t>6</w:t>
        </w:r>
        <w:r w:rsidR="002D7A42">
          <w:rPr>
            <w:noProof/>
            <w:webHidden/>
          </w:rPr>
          <w:fldChar w:fldCharType="end"/>
        </w:r>
      </w:hyperlink>
    </w:p>
    <w:p w:rsidR="002D7A42" w:rsidRDefault="00134A1D">
      <w:pPr>
        <w:pStyle w:val="TDC1"/>
        <w:rPr>
          <w:rFonts w:asciiTheme="minorHAnsi" w:eastAsiaTheme="minorEastAsia" w:hAnsiTheme="minorHAnsi" w:cstheme="minorBidi"/>
          <w:smallCaps w:val="0"/>
          <w:noProof/>
          <w:szCs w:val="22"/>
          <w:lang w:val="es-ES" w:eastAsia="es-ES"/>
        </w:rPr>
      </w:pPr>
      <w:hyperlink w:anchor="_Toc440523189" w:history="1">
        <w:r w:rsidR="002D7A42" w:rsidRPr="00ED61A3">
          <w:rPr>
            <w:rStyle w:val="Hipervnculo"/>
            <w:noProof/>
          </w:rPr>
          <w:t>III. Objetivo</w:t>
        </w:r>
        <w:r w:rsidR="002D7A42">
          <w:rPr>
            <w:noProof/>
            <w:webHidden/>
          </w:rPr>
          <w:tab/>
        </w:r>
        <w:r w:rsidR="002D7A42">
          <w:rPr>
            <w:noProof/>
            <w:webHidden/>
          </w:rPr>
          <w:fldChar w:fldCharType="begin"/>
        </w:r>
        <w:r w:rsidR="002D7A42">
          <w:rPr>
            <w:noProof/>
            <w:webHidden/>
          </w:rPr>
          <w:instrText xml:space="preserve"> PAGEREF _Toc440523189 \h </w:instrText>
        </w:r>
        <w:r w:rsidR="002D7A42">
          <w:rPr>
            <w:noProof/>
            <w:webHidden/>
          </w:rPr>
        </w:r>
        <w:r w:rsidR="002D7A42">
          <w:rPr>
            <w:noProof/>
            <w:webHidden/>
          </w:rPr>
          <w:fldChar w:fldCharType="separate"/>
        </w:r>
        <w:r w:rsidR="00E418F9">
          <w:rPr>
            <w:noProof/>
            <w:webHidden/>
          </w:rPr>
          <w:t>8</w:t>
        </w:r>
        <w:r w:rsidR="002D7A42">
          <w:rPr>
            <w:noProof/>
            <w:webHidden/>
          </w:rPr>
          <w:fldChar w:fldCharType="end"/>
        </w:r>
      </w:hyperlink>
    </w:p>
    <w:p w:rsidR="002D7A42" w:rsidRDefault="00134A1D">
      <w:pPr>
        <w:pStyle w:val="TDC1"/>
        <w:rPr>
          <w:rFonts w:asciiTheme="minorHAnsi" w:eastAsiaTheme="minorEastAsia" w:hAnsiTheme="minorHAnsi" w:cstheme="minorBidi"/>
          <w:smallCaps w:val="0"/>
          <w:noProof/>
          <w:szCs w:val="22"/>
          <w:lang w:val="es-ES" w:eastAsia="es-ES"/>
        </w:rPr>
      </w:pPr>
      <w:hyperlink w:anchor="_Toc440523190" w:history="1">
        <w:r w:rsidR="002D7A42" w:rsidRPr="00ED61A3">
          <w:rPr>
            <w:rStyle w:val="Hipervnculo"/>
            <w:noProof/>
          </w:rPr>
          <w:t>IV. Alcance y limitaciones</w:t>
        </w:r>
        <w:r w:rsidR="002D7A42">
          <w:rPr>
            <w:noProof/>
            <w:webHidden/>
          </w:rPr>
          <w:tab/>
        </w:r>
        <w:r w:rsidR="002D7A42">
          <w:rPr>
            <w:noProof/>
            <w:webHidden/>
          </w:rPr>
          <w:fldChar w:fldCharType="begin"/>
        </w:r>
        <w:r w:rsidR="002D7A42">
          <w:rPr>
            <w:noProof/>
            <w:webHidden/>
          </w:rPr>
          <w:instrText xml:space="preserve"> PAGEREF _Toc440523190 \h </w:instrText>
        </w:r>
        <w:r w:rsidR="002D7A42">
          <w:rPr>
            <w:noProof/>
            <w:webHidden/>
          </w:rPr>
        </w:r>
        <w:r w:rsidR="002D7A42">
          <w:rPr>
            <w:noProof/>
            <w:webHidden/>
          </w:rPr>
          <w:fldChar w:fldCharType="separate"/>
        </w:r>
        <w:r w:rsidR="00E418F9">
          <w:rPr>
            <w:noProof/>
            <w:webHidden/>
          </w:rPr>
          <w:t>9</w:t>
        </w:r>
        <w:r w:rsidR="002D7A42">
          <w:rPr>
            <w:noProof/>
            <w:webHidden/>
          </w:rPr>
          <w:fldChar w:fldCharType="end"/>
        </w:r>
      </w:hyperlink>
    </w:p>
    <w:p w:rsidR="002D7A42" w:rsidRDefault="00134A1D">
      <w:pPr>
        <w:pStyle w:val="TDC1"/>
        <w:rPr>
          <w:rFonts w:asciiTheme="minorHAnsi" w:eastAsiaTheme="minorEastAsia" w:hAnsiTheme="minorHAnsi" w:cstheme="minorBidi"/>
          <w:smallCaps w:val="0"/>
          <w:noProof/>
          <w:szCs w:val="22"/>
          <w:lang w:val="es-ES" w:eastAsia="es-ES"/>
        </w:rPr>
      </w:pPr>
      <w:hyperlink w:anchor="_Toc440523191" w:history="1">
        <w:r w:rsidR="002D7A42" w:rsidRPr="00ED61A3">
          <w:rPr>
            <w:rStyle w:val="Hipervnculo"/>
            <w:noProof/>
          </w:rPr>
          <w:t>V. Conclusiones y recomendaciones</w:t>
        </w:r>
        <w:r w:rsidR="002D7A42">
          <w:rPr>
            <w:noProof/>
            <w:webHidden/>
          </w:rPr>
          <w:tab/>
        </w:r>
        <w:r w:rsidR="002D7A42">
          <w:rPr>
            <w:noProof/>
            <w:webHidden/>
          </w:rPr>
          <w:fldChar w:fldCharType="begin"/>
        </w:r>
        <w:r w:rsidR="002D7A42">
          <w:rPr>
            <w:noProof/>
            <w:webHidden/>
          </w:rPr>
          <w:instrText xml:space="preserve"> PAGEREF _Toc440523191 \h </w:instrText>
        </w:r>
        <w:r w:rsidR="002D7A42">
          <w:rPr>
            <w:noProof/>
            <w:webHidden/>
          </w:rPr>
        </w:r>
        <w:r w:rsidR="002D7A42">
          <w:rPr>
            <w:noProof/>
            <w:webHidden/>
          </w:rPr>
          <w:fldChar w:fldCharType="separate"/>
        </w:r>
        <w:r w:rsidR="00E418F9">
          <w:rPr>
            <w:noProof/>
            <w:webHidden/>
          </w:rPr>
          <w:t>11</w:t>
        </w:r>
        <w:r w:rsidR="002D7A42">
          <w:rPr>
            <w:noProof/>
            <w:webHidden/>
          </w:rPr>
          <w:fldChar w:fldCharType="end"/>
        </w:r>
      </w:hyperlink>
    </w:p>
    <w:p w:rsidR="002D7A42" w:rsidRDefault="00134A1D">
      <w:pPr>
        <w:pStyle w:val="TDC2"/>
        <w:rPr>
          <w:rFonts w:asciiTheme="minorHAnsi" w:eastAsiaTheme="minorEastAsia" w:hAnsiTheme="minorHAnsi" w:cstheme="minorBidi"/>
          <w:noProof/>
          <w:szCs w:val="22"/>
          <w:lang w:val="es-ES" w:eastAsia="es-ES"/>
        </w:rPr>
      </w:pPr>
      <w:hyperlink w:anchor="_Toc440523192" w:history="1">
        <w:r w:rsidR="002D7A42" w:rsidRPr="00ED61A3">
          <w:rPr>
            <w:rStyle w:val="Hipervnculo"/>
            <w:noProof/>
          </w:rPr>
          <w:t>V.1. Evolución del gasto de la Delegación Navarra en Bruselas (2003-2014)</w:t>
        </w:r>
        <w:r w:rsidR="002D7A42">
          <w:rPr>
            <w:noProof/>
            <w:webHidden/>
          </w:rPr>
          <w:tab/>
        </w:r>
        <w:r w:rsidR="002D7A42">
          <w:rPr>
            <w:noProof/>
            <w:webHidden/>
          </w:rPr>
          <w:fldChar w:fldCharType="begin"/>
        </w:r>
        <w:r w:rsidR="002D7A42">
          <w:rPr>
            <w:noProof/>
            <w:webHidden/>
          </w:rPr>
          <w:instrText xml:space="preserve"> PAGEREF _Toc440523192 \h </w:instrText>
        </w:r>
        <w:r w:rsidR="002D7A42">
          <w:rPr>
            <w:noProof/>
            <w:webHidden/>
          </w:rPr>
        </w:r>
        <w:r w:rsidR="002D7A42">
          <w:rPr>
            <w:noProof/>
            <w:webHidden/>
          </w:rPr>
          <w:fldChar w:fldCharType="separate"/>
        </w:r>
        <w:r w:rsidR="00E418F9">
          <w:rPr>
            <w:noProof/>
            <w:webHidden/>
          </w:rPr>
          <w:t>11</w:t>
        </w:r>
        <w:r w:rsidR="002D7A42">
          <w:rPr>
            <w:noProof/>
            <w:webHidden/>
          </w:rPr>
          <w:fldChar w:fldCharType="end"/>
        </w:r>
      </w:hyperlink>
    </w:p>
    <w:p w:rsidR="002D7A42" w:rsidRDefault="00134A1D">
      <w:pPr>
        <w:pStyle w:val="TDC2"/>
        <w:rPr>
          <w:rFonts w:asciiTheme="minorHAnsi" w:eastAsiaTheme="minorEastAsia" w:hAnsiTheme="minorHAnsi" w:cstheme="minorBidi"/>
          <w:noProof/>
          <w:szCs w:val="22"/>
          <w:lang w:val="es-ES" w:eastAsia="es-ES"/>
        </w:rPr>
      </w:pPr>
      <w:hyperlink w:anchor="_Toc440523193" w:history="1">
        <w:r w:rsidR="002D7A42" w:rsidRPr="00ED61A3">
          <w:rPr>
            <w:rStyle w:val="Hipervnculo"/>
            <w:noProof/>
          </w:rPr>
          <w:t>V.2. Revisión de gastos de la DNB</w:t>
        </w:r>
        <w:r w:rsidR="002D7A42">
          <w:rPr>
            <w:noProof/>
            <w:webHidden/>
          </w:rPr>
          <w:tab/>
        </w:r>
        <w:r w:rsidR="002D7A42">
          <w:rPr>
            <w:noProof/>
            <w:webHidden/>
          </w:rPr>
          <w:fldChar w:fldCharType="begin"/>
        </w:r>
        <w:r w:rsidR="002D7A42">
          <w:rPr>
            <w:noProof/>
            <w:webHidden/>
          </w:rPr>
          <w:instrText xml:space="preserve"> PAGEREF _Toc440523193 \h </w:instrText>
        </w:r>
        <w:r w:rsidR="002D7A42">
          <w:rPr>
            <w:noProof/>
            <w:webHidden/>
          </w:rPr>
        </w:r>
        <w:r w:rsidR="002D7A42">
          <w:rPr>
            <w:noProof/>
            <w:webHidden/>
          </w:rPr>
          <w:fldChar w:fldCharType="separate"/>
        </w:r>
        <w:r w:rsidR="00E418F9">
          <w:rPr>
            <w:noProof/>
            <w:webHidden/>
          </w:rPr>
          <w:t>12</w:t>
        </w:r>
        <w:r w:rsidR="002D7A42">
          <w:rPr>
            <w:noProof/>
            <w:webHidden/>
          </w:rPr>
          <w:fldChar w:fldCharType="end"/>
        </w:r>
      </w:hyperlink>
    </w:p>
    <w:p w:rsidR="002D7A42" w:rsidRDefault="00134A1D">
      <w:pPr>
        <w:pStyle w:val="TDC2"/>
        <w:rPr>
          <w:rFonts w:asciiTheme="minorHAnsi" w:eastAsiaTheme="minorEastAsia" w:hAnsiTheme="minorHAnsi" w:cstheme="minorBidi"/>
          <w:noProof/>
          <w:szCs w:val="22"/>
          <w:lang w:val="es-ES" w:eastAsia="es-ES"/>
        </w:rPr>
      </w:pPr>
      <w:hyperlink w:anchor="_Toc440523194" w:history="1">
        <w:r w:rsidR="002D7A42" w:rsidRPr="00ED61A3">
          <w:rPr>
            <w:rStyle w:val="Hipervnculo"/>
            <w:noProof/>
          </w:rPr>
          <w:t>V.3. Análisis de las actividades de la Delegación de Navarra en Bruselas</w:t>
        </w:r>
        <w:r w:rsidR="002D7A42">
          <w:rPr>
            <w:noProof/>
            <w:webHidden/>
          </w:rPr>
          <w:tab/>
        </w:r>
        <w:r w:rsidR="002D7A42">
          <w:rPr>
            <w:noProof/>
            <w:webHidden/>
          </w:rPr>
          <w:fldChar w:fldCharType="begin"/>
        </w:r>
        <w:r w:rsidR="002D7A42">
          <w:rPr>
            <w:noProof/>
            <w:webHidden/>
          </w:rPr>
          <w:instrText xml:space="preserve"> PAGEREF _Toc440523194 \h </w:instrText>
        </w:r>
        <w:r w:rsidR="002D7A42">
          <w:rPr>
            <w:noProof/>
            <w:webHidden/>
          </w:rPr>
        </w:r>
        <w:r w:rsidR="002D7A42">
          <w:rPr>
            <w:noProof/>
            <w:webHidden/>
          </w:rPr>
          <w:fldChar w:fldCharType="separate"/>
        </w:r>
        <w:r w:rsidR="00E418F9">
          <w:rPr>
            <w:noProof/>
            <w:webHidden/>
          </w:rPr>
          <w:t>14</w:t>
        </w:r>
        <w:r w:rsidR="002D7A42">
          <w:rPr>
            <w:noProof/>
            <w:webHidden/>
          </w:rPr>
          <w:fldChar w:fldCharType="end"/>
        </w:r>
      </w:hyperlink>
    </w:p>
    <w:p w:rsidR="00891D73" w:rsidRDefault="0014728F" w:rsidP="0017136A">
      <w:pPr>
        <w:pStyle w:val="texto"/>
      </w:pPr>
      <w:r>
        <w:fldChar w:fldCharType="end"/>
      </w:r>
    </w:p>
    <w:p w:rsidR="00891D73" w:rsidRDefault="00891D73" w:rsidP="00BC2996">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2F488B" w:rsidRPr="00341874" w:rsidRDefault="002F488B" w:rsidP="002F488B">
      <w:pPr>
        <w:pStyle w:val="atitulo1"/>
      </w:pPr>
      <w:bookmarkStart w:id="1" w:name="_Toc291067874"/>
      <w:bookmarkStart w:id="2" w:name="_Toc121293081"/>
      <w:bookmarkStart w:id="3" w:name="_Toc121292758"/>
      <w:bookmarkStart w:id="4" w:name="_Toc432757078"/>
      <w:bookmarkStart w:id="5" w:name="_Toc437411095"/>
      <w:bookmarkStart w:id="6" w:name="_Toc440523185"/>
      <w:r w:rsidRPr="00341874">
        <w:lastRenderedPageBreak/>
        <w:t>I. Introducción</w:t>
      </w:r>
      <w:bookmarkEnd w:id="1"/>
      <w:bookmarkEnd w:id="2"/>
      <w:bookmarkEnd w:id="3"/>
      <w:bookmarkEnd w:id="4"/>
      <w:bookmarkEnd w:id="5"/>
      <w:bookmarkEnd w:id="6"/>
    </w:p>
    <w:p w:rsidR="000D394A" w:rsidRDefault="002F488B" w:rsidP="002F488B">
      <w:pPr>
        <w:pStyle w:val="texto"/>
        <w:tabs>
          <w:tab w:val="clear" w:pos="2835"/>
          <w:tab w:val="clear" w:pos="3969"/>
          <w:tab w:val="clear" w:pos="5103"/>
          <w:tab w:val="clear" w:pos="6237"/>
          <w:tab w:val="clear" w:pos="7371"/>
        </w:tabs>
      </w:pPr>
      <w:r>
        <w:t>El 2</w:t>
      </w:r>
      <w:r w:rsidR="000279E3">
        <w:t>1</w:t>
      </w:r>
      <w:r>
        <w:t xml:space="preserve"> de septiembre de 2015 </w:t>
      </w:r>
      <w:r w:rsidR="000279E3">
        <w:t>la Junta de Portavoces del Parlamento de Nav</w:t>
      </w:r>
      <w:r w:rsidR="000279E3">
        <w:t>a</w:t>
      </w:r>
      <w:r w:rsidR="000279E3">
        <w:t xml:space="preserve">rra aprobó solicitar a la Cámara de Comptos, a instancias del grupo Podemos-Ahal Dugu, </w:t>
      </w:r>
      <w:r>
        <w:t>la emisión de un informe sobre</w:t>
      </w:r>
      <w:r w:rsidR="000D394A">
        <w:t>:</w:t>
      </w:r>
    </w:p>
    <w:p w:rsidR="002F488B" w:rsidRPr="000D394A" w:rsidRDefault="002F488B" w:rsidP="002F488B">
      <w:pPr>
        <w:pStyle w:val="texto"/>
        <w:tabs>
          <w:tab w:val="clear" w:pos="2835"/>
          <w:tab w:val="clear" w:pos="3969"/>
          <w:tab w:val="clear" w:pos="5103"/>
          <w:tab w:val="clear" w:pos="6237"/>
          <w:tab w:val="clear" w:pos="7371"/>
        </w:tabs>
        <w:rPr>
          <w:szCs w:val="26"/>
        </w:rPr>
      </w:pPr>
      <w:r w:rsidRPr="000D394A">
        <w:rPr>
          <w:i/>
          <w:szCs w:val="26"/>
        </w:rPr>
        <w:t>“…la oficina de Navarra en Bruselas, las actividades realizadas desde su fundación hasta la actualidad, así como de los costes asociados a las mismas y su eficacia…”.</w:t>
      </w:r>
    </w:p>
    <w:p w:rsidR="002F488B" w:rsidRPr="00FE18A4" w:rsidRDefault="002F488B" w:rsidP="002F488B">
      <w:pPr>
        <w:pStyle w:val="texto"/>
      </w:pPr>
      <w:r w:rsidRPr="00FE18A4">
        <w:t xml:space="preserve">El trabajo lo realizó entre el mes de </w:t>
      </w:r>
      <w:r>
        <w:t>noviembre y diciembre</w:t>
      </w:r>
      <w:r w:rsidRPr="00FE18A4">
        <w:t xml:space="preserve"> un equipo int</w:t>
      </w:r>
      <w:r w:rsidRPr="00FE18A4">
        <w:t>e</w:t>
      </w:r>
      <w:r w:rsidRPr="00FE18A4">
        <w:t xml:space="preserve">grado por </w:t>
      </w:r>
      <w:r>
        <w:t>un</w:t>
      </w:r>
      <w:r w:rsidRPr="00FE18A4">
        <w:t xml:space="preserve"> técnic</w:t>
      </w:r>
      <w:r>
        <w:t>o</w:t>
      </w:r>
      <w:r w:rsidRPr="00FE18A4">
        <w:t xml:space="preserve"> de auditoría y una auditora, con la colaboración de los servicios jurídicos, informáticos y administrativos de la Cámara de Comptos.</w:t>
      </w:r>
    </w:p>
    <w:p w:rsidR="002F488B" w:rsidRPr="00FE18A4" w:rsidRDefault="002F488B" w:rsidP="002F488B">
      <w:pPr>
        <w:pStyle w:val="texto"/>
      </w:pPr>
      <w:r w:rsidRPr="00FE18A4">
        <w:t xml:space="preserve">El informe se estructura en </w:t>
      </w:r>
      <w:r>
        <w:t xml:space="preserve">cinco </w:t>
      </w:r>
      <w:r w:rsidRPr="00FE18A4">
        <w:t>epígrafes incluida esta introducción; en el segundo se rea</w:t>
      </w:r>
      <w:r>
        <w:t>liza una descripción general de la Delegación de Navarra en Bruselas (en adelante DNB)</w:t>
      </w:r>
      <w:r w:rsidRPr="00FE18A4">
        <w:t>; el tercero y cuarto contienen los objetivos, alca</w:t>
      </w:r>
      <w:r w:rsidRPr="00FE18A4">
        <w:t>n</w:t>
      </w:r>
      <w:r w:rsidRPr="00FE18A4">
        <w:t xml:space="preserve">ce y limitaciones del informe; </w:t>
      </w:r>
      <w:r>
        <w:t xml:space="preserve">por último, </w:t>
      </w:r>
      <w:r w:rsidRPr="00FE18A4">
        <w:t>el quinto describe las conclusiones y recomendaciones de</w:t>
      </w:r>
      <w:r>
        <w:t xml:space="preserve"> nuestro</w:t>
      </w:r>
      <w:r w:rsidRPr="00FE18A4">
        <w:t xml:space="preserve"> trabajo. </w:t>
      </w:r>
    </w:p>
    <w:p w:rsidR="002F488B" w:rsidRPr="00FE18A4" w:rsidRDefault="002F488B" w:rsidP="002F488B">
      <w:pPr>
        <w:pStyle w:val="texto"/>
      </w:pPr>
      <w:r w:rsidRPr="00FE18A4">
        <w:t>Agradecemos al personal de l</w:t>
      </w:r>
      <w:r>
        <w:t>a DNB, de l</w:t>
      </w:r>
      <w:r w:rsidRPr="00FE18A4">
        <w:t xml:space="preserve">os Departamentos de </w:t>
      </w:r>
      <w:r w:rsidR="000279E3">
        <w:t>“</w:t>
      </w:r>
      <w:r w:rsidRPr="00FE18A4">
        <w:t>Hacienda</w:t>
      </w:r>
      <w:r>
        <w:t xml:space="preserve"> y Política Financiera</w:t>
      </w:r>
      <w:r w:rsidR="000279E3">
        <w:t>”</w:t>
      </w:r>
      <w:r w:rsidRPr="00FE18A4">
        <w:t xml:space="preserve">, </w:t>
      </w:r>
      <w:r w:rsidR="000279E3">
        <w:t>“</w:t>
      </w:r>
      <w:r w:rsidRPr="00FE18A4">
        <w:t xml:space="preserve">Presidencia, </w:t>
      </w:r>
      <w:r>
        <w:t xml:space="preserve">Función Pública, Interior y </w:t>
      </w:r>
      <w:r w:rsidRPr="00FE18A4">
        <w:t>Justicia</w:t>
      </w:r>
      <w:r w:rsidR="000279E3">
        <w:t>”</w:t>
      </w:r>
      <w:r w:rsidRPr="00FE18A4">
        <w:t>,</w:t>
      </w:r>
      <w:r>
        <w:t xml:space="preserve"> </w:t>
      </w:r>
      <w:r w:rsidR="000279E3">
        <w:t>“</w:t>
      </w:r>
      <w:r>
        <w:t>Des</w:t>
      </w:r>
      <w:r>
        <w:t>a</w:t>
      </w:r>
      <w:r>
        <w:t>rrollo Económico</w:t>
      </w:r>
      <w:r w:rsidR="000279E3">
        <w:t>”</w:t>
      </w:r>
      <w:r>
        <w:t xml:space="preserve"> y </w:t>
      </w:r>
      <w:r w:rsidR="000279E3">
        <w:t>“</w:t>
      </w:r>
      <w:r>
        <w:t>Relaciones Ciudadanas e Institucionales</w:t>
      </w:r>
      <w:r w:rsidR="000279E3">
        <w:t>”</w:t>
      </w:r>
      <w:r w:rsidRPr="00FE18A4">
        <w:t xml:space="preserve"> la colaboración prestada en la realización del presente trabajo.</w:t>
      </w:r>
    </w:p>
    <w:p w:rsidR="002F488B" w:rsidRPr="00FE18A4" w:rsidRDefault="002F488B" w:rsidP="002F488B">
      <w:pPr>
        <w:pStyle w:val="texto"/>
      </w:pPr>
    </w:p>
    <w:p w:rsidR="002F488B" w:rsidRDefault="002F488B" w:rsidP="002F488B">
      <w:pPr>
        <w:pStyle w:val="texto"/>
      </w:pPr>
    </w:p>
    <w:p w:rsidR="002F488B" w:rsidRPr="004B2F01" w:rsidRDefault="002F488B" w:rsidP="002F488B">
      <w:pPr>
        <w:pStyle w:val="texto"/>
      </w:pPr>
    </w:p>
    <w:p w:rsidR="002F488B" w:rsidRDefault="002F488B" w:rsidP="002F488B">
      <w:pPr>
        <w:spacing w:after="0"/>
        <w:ind w:firstLine="0"/>
        <w:jc w:val="left"/>
        <w:rPr>
          <w:spacing w:val="6"/>
          <w:sz w:val="26"/>
          <w:szCs w:val="24"/>
        </w:rPr>
      </w:pPr>
      <w:r>
        <w:br w:type="page"/>
      </w:r>
    </w:p>
    <w:p w:rsidR="00E435FC" w:rsidRPr="00977F0F" w:rsidRDefault="00E435FC" w:rsidP="00E435FC">
      <w:pPr>
        <w:pStyle w:val="atitulo1"/>
        <w:rPr>
          <w:rFonts w:cs="Arial"/>
        </w:rPr>
      </w:pPr>
      <w:bookmarkStart w:id="7" w:name="_Toc121292759"/>
      <w:bookmarkStart w:id="8" w:name="_Toc121293082"/>
      <w:bookmarkStart w:id="9" w:name="_Toc291067875"/>
      <w:bookmarkStart w:id="10" w:name="_Toc432757079"/>
      <w:bookmarkStart w:id="11" w:name="_Toc437411096"/>
      <w:bookmarkStart w:id="12" w:name="_Toc440523186"/>
      <w:r w:rsidRPr="00341874">
        <w:lastRenderedPageBreak/>
        <w:t xml:space="preserve">II. </w:t>
      </w:r>
      <w:bookmarkEnd w:id="7"/>
      <w:bookmarkEnd w:id="8"/>
      <w:bookmarkEnd w:id="9"/>
      <w:bookmarkEnd w:id="10"/>
      <w:r>
        <w:t>La Delegación de Navarra en Bruselas</w:t>
      </w:r>
      <w:bookmarkEnd w:id="11"/>
      <w:bookmarkEnd w:id="12"/>
    </w:p>
    <w:p w:rsidR="00E435FC" w:rsidRPr="00327922" w:rsidRDefault="00E435FC" w:rsidP="00E435FC">
      <w:pPr>
        <w:pStyle w:val="atitulo2"/>
      </w:pPr>
      <w:bookmarkStart w:id="13" w:name="_Toc437411097"/>
      <w:bookmarkStart w:id="14" w:name="_Toc440523187"/>
      <w:r w:rsidRPr="00327922">
        <w:t>II.1. Antecedentes, creación y funciones</w:t>
      </w:r>
      <w:bookmarkEnd w:id="13"/>
      <w:bookmarkEnd w:id="14"/>
    </w:p>
    <w:p w:rsidR="00E435FC" w:rsidRDefault="00E435FC" w:rsidP="00E435FC">
      <w:pPr>
        <w:pStyle w:val="texto"/>
        <w:tabs>
          <w:tab w:val="clear" w:pos="2835"/>
          <w:tab w:val="clear" w:pos="3969"/>
          <w:tab w:val="clear" w:pos="5103"/>
          <w:tab w:val="clear" w:pos="6237"/>
          <w:tab w:val="clear" w:pos="7371"/>
        </w:tabs>
      </w:pPr>
      <w:r>
        <w:t>El Decreto Foral 216/1987, de 5 de noviembre, que estableció la estructura orgánica del Departamento de Economía y Hacienda, contempló por primera vez la existencia de funciones y competencias del Gobierno de Navarra en rel</w:t>
      </w:r>
      <w:r>
        <w:t>a</w:t>
      </w:r>
      <w:r>
        <w:t>ción con la Unión Europea. Este decreto motivó la creación de la “Sección de Asuntos Comunitarios” adscrita al Servicio de Economía.</w:t>
      </w:r>
    </w:p>
    <w:p w:rsidR="00E435FC" w:rsidRDefault="00E435FC" w:rsidP="00E435FC">
      <w:pPr>
        <w:pStyle w:val="texto"/>
        <w:tabs>
          <w:tab w:val="clear" w:pos="2835"/>
          <w:tab w:val="clear" w:pos="3969"/>
          <w:tab w:val="clear" w:pos="5103"/>
          <w:tab w:val="clear" w:pos="6237"/>
          <w:tab w:val="clear" w:pos="7371"/>
        </w:tabs>
      </w:pPr>
      <w:r>
        <w:t>En 1992, la sección citada pasó a depender de la Secretaría General del D</w:t>
      </w:r>
      <w:r>
        <w:t>e</w:t>
      </w:r>
      <w:r>
        <w:t>partamento de Presidencia</w:t>
      </w:r>
      <w:r w:rsidR="00C63FE5">
        <w:t>,</w:t>
      </w:r>
      <w:r>
        <w:t xml:space="preserve"> denominándose “Sección de Acción Exterior”.</w:t>
      </w:r>
    </w:p>
    <w:p w:rsidR="00E435FC" w:rsidRDefault="00E435FC" w:rsidP="00E435FC">
      <w:pPr>
        <w:pStyle w:val="texto"/>
        <w:tabs>
          <w:tab w:val="clear" w:pos="2835"/>
          <w:tab w:val="clear" w:pos="3969"/>
          <w:tab w:val="clear" w:pos="5103"/>
          <w:tab w:val="clear" w:pos="6237"/>
          <w:tab w:val="clear" w:pos="7371"/>
        </w:tabs>
      </w:pPr>
      <w:r>
        <w:t>En octubre de 1993 se inicia la presencia del Gobierno de Navarra en Brus</w:t>
      </w:r>
      <w:r>
        <w:t>e</w:t>
      </w:r>
      <w:r>
        <w:t>las con la firma de un contrato de asesoramiento con una empresa belga. Para esta fecha ya existía representación en Bruselas de otras comunidades autón</w:t>
      </w:r>
      <w:r>
        <w:t>o</w:t>
      </w:r>
      <w:r>
        <w:t xml:space="preserve">mas de España. </w:t>
      </w:r>
    </w:p>
    <w:p w:rsidR="00E435FC" w:rsidRDefault="00E435FC" w:rsidP="00E435FC">
      <w:pPr>
        <w:pStyle w:val="texto"/>
        <w:tabs>
          <w:tab w:val="clear" w:pos="2835"/>
          <w:tab w:val="clear" w:pos="3969"/>
          <w:tab w:val="clear" w:pos="5103"/>
          <w:tab w:val="clear" w:pos="6237"/>
          <w:tab w:val="clear" w:pos="7371"/>
        </w:tabs>
      </w:pPr>
      <w:r>
        <w:t>En 1995 se creó la Sociedad de Desarrollo Exterior de Navarra S.L. (</w:t>
      </w:r>
      <w:proofErr w:type="spellStart"/>
      <w:r>
        <w:t>S</w:t>
      </w:r>
      <w:r>
        <w:t>o</w:t>
      </w:r>
      <w:r>
        <w:t>dexna</w:t>
      </w:r>
      <w:proofErr w:type="spellEnd"/>
      <w:r>
        <w:t xml:space="preserve">), que pertenecía en un 60 por ciento a la Sociedad Pública </w:t>
      </w:r>
      <w:proofErr w:type="spellStart"/>
      <w:r>
        <w:t>Nafinco</w:t>
      </w:r>
      <w:proofErr w:type="spellEnd"/>
      <w:r>
        <w:t xml:space="preserve"> y en un 40 por ciento a la Sociedad Pública </w:t>
      </w:r>
      <w:proofErr w:type="spellStart"/>
      <w:r>
        <w:t>Sodena</w:t>
      </w:r>
      <w:proofErr w:type="spellEnd"/>
      <w:r>
        <w:t>. Sus funciones eran las que se atribuyen posteriormente a la DNB y que se describen en la página siguiente.</w:t>
      </w:r>
    </w:p>
    <w:p w:rsidR="00E435FC" w:rsidRDefault="00E435FC" w:rsidP="00E435FC">
      <w:pPr>
        <w:pStyle w:val="texto"/>
        <w:tabs>
          <w:tab w:val="clear" w:pos="2835"/>
          <w:tab w:val="clear" w:pos="3969"/>
          <w:tab w:val="clear" w:pos="5103"/>
          <w:tab w:val="clear" w:pos="6237"/>
          <w:tab w:val="clear" w:pos="7371"/>
        </w:tabs>
      </w:pPr>
      <w:r>
        <w:t>Según consta, en 1996 en esta sociedad trabajaban tres personas: el respo</w:t>
      </w:r>
      <w:r>
        <w:t>n</w:t>
      </w:r>
      <w:r>
        <w:t>sable o delegado (el cual ya recibía esta denominación), un asistente del del</w:t>
      </w:r>
      <w:r>
        <w:t>e</w:t>
      </w:r>
      <w:r>
        <w:t>gado y una secretaria. La actividad de la sociedad era financiada por el G</w:t>
      </w:r>
      <w:r>
        <w:t>o</w:t>
      </w:r>
      <w:r>
        <w:t>bierno de Navarra a través de un convenio asumiendo</w:t>
      </w:r>
      <w:r w:rsidR="00C63FE5">
        <w:t>,</w:t>
      </w:r>
      <w:r>
        <w:t xml:space="preserve"> además, el pago del a</w:t>
      </w:r>
      <w:r>
        <w:t>l</w:t>
      </w:r>
      <w:r>
        <w:t xml:space="preserve">quiler de la oficina en la que se ubicaba el personal mencionado en Bruselas. </w:t>
      </w:r>
    </w:p>
    <w:p w:rsidR="00E435FC" w:rsidRDefault="00E435FC" w:rsidP="00E435FC">
      <w:pPr>
        <w:pStyle w:val="texto"/>
        <w:tabs>
          <w:tab w:val="clear" w:pos="2835"/>
          <w:tab w:val="clear" w:pos="3969"/>
          <w:tab w:val="clear" w:pos="5103"/>
          <w:tab w:val="clear" w:pos="6237"/>
          <w:tab w:val="clear" w:pos="7371"/>
        </w:tabs>
      </w:pPr>
      <w:r>
        <w:t>En 1996 la Sección de Acción Exterior se reconvierte en “servicio” y se ad</w:t>
      </w:r>
      <w:r>
        <w:t>s</w:t>
      </w:r>
      <w:r>
        <w:t>cribe al Departamento de Economía.</w:t>
      </w:r>
    </w:p>
    <w:p w:rsidR="00E435FC" w:rsidRDefault="00E435FC" w:rsidP="00E435FC">
      <w:pPr>
        <w:pStyle w:val="texto"/>
        <w:tabs>
          <w:tab w:val="clear" w:pos="2835"/>
          <w:tab w:val="clear" w:pos="3969"/>
          <w:tab w:val="clear" w:pos="5103"/>
          <w:tab w:val="clear" w:pos="6237"/>
          <w:tab w:val="clear" w:pos="7371"/>
        </w:tabs>
      </w:pPr>
      <w:r>
        <w:t xml:space="preserve">El Decreto Foral 38/1999, de 15 de febrero, establece la necesidad de ir asumiendo paulatinamente las funciones encomendadas a </w:t>
      </w:r>
      <w:proofErr w:type="spellStart"/>
      <w:r>
        <w:t>Sodexna</w:t>
      </w:r>
      <w:proofErr w:type="spellEnd"/>
      <w:r>
        <w:t xml:space="preserve"> dotando de las siguientes plazas al “Servicio de Acción Exterior”:</w:t>
      </w:r>
    </w:p>
    <w:p w:rsidR="00E435FC" w:rsidRPr="00E435FC" w:rsidRDefault="00E435FC"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E435FC">
        <w:rPr>
          <w:rFonts w:cs="Arial"/>
        </w:rPr>
        <w:t>Delegado de Gobierno de Navarra en Bruselas de carácter eventual de libre designación con las retribuciones que establezca anualmente la ley foral de pr</w:t>
      </w:r>
      <w:r w:rsidRPr="00E435FC">
        <w:rPr>
          <w:rFonts w:cs="Arial"/>
        </w:rPr>
        <w:t>e</w:t>
      </w:r>
      <w:r w:rsidRPr="00E435FC">
        <w:rPr>
          <w:rFonts w:cs="Arial"/>
        </w:rPr>
        <w:t>supuestos generales de Navarra.</w:t>
      </w:r>
    </w:p>
    <w:p w:rsidR="00E435FC" w:rsidRPr="00E435FC" w:rsidRDefault="000279E3"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Titulado</w:t>
      </w:r>
      <w:r w:rsidR="00E435FC" w:rsidRPr="00E435FC">
        <w:rPr>
          <w:rFonts w:cs="Arial"/>
        </w:rPr>
        <w:t xml:space="preserve"> superior de nivel A al que se le asignan determinados compleme</w:t>
      </w:r>
      <w:r w:rsidR="00E435FC" w:rsidRPr="00E435FC">
        <w:rPr>
          <w:rFonts w:cs="Arial"/>
        </w:rPr>
        <w:t>n</w:t>
      </w:r>
      <w:r w:rsidR="00E435FC" w:rsidRPr="00E435FC">
        <w:rPr>
          <w:rFonts w:cs="Arial"/>
        </w:rPr>
        <w:t>tos retributivos.</w:t>
      </w:r>
    </w:p>
    <w:p w:rsidR="00E435FC" w:rsidRPr="00E435FC" w:rsidRDefault="000279E3"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Auxiliar</w:t>
      </w:r>
      <w:r w:rsidR="00E435FC" w:rsidRPr="00E435FC">
        <w:rPr>
          <w:rFonts w:cs="Arial"/>
        </w:rPr>
        <w:t xml:space="preserve"> administrativo de nivel D con sus complementos retributivos.</w:t>
      </w:r>
    </w:p>
    <w:p w:rsidR="00E435FC" w:rsidRDefault="00E435FC" w:rsidP="00E435FC">
      <w:pPr>
        <w:pStyle w:val="texto"/>
        <w:tabs>
          <w:tab w:val="clear" w:pos="2835"/>
          <w:tab w:val="clear" w:pos="3969"/>
          <w:tab w:val="clear" w:pos="5103"/>
          <w:tab w:val="clear" w:pos="6237"/>
          <w:tab w:val="clear" w:pos="7371"/>
        </w:tabs>
      </w:pPr>
      <w:r>
        <w:t xml:space="preserve">Por lo tanto, </w:t>
      </w:r>
      <w:r w:rsidR="000279E3">
        <w:t xml:space="preserve">con este </w:t>
      </w:r>
      <w:r w:rsidR="004E1381">
        <w:t>d</w:t>
      </w:r>
      <w:r w:rsidR="000279E3">
        <w:t>ecreto, en 1999</w:t>
      </w:r>
      <w:r>
        <w:t>, la DNB no fue creada como tal y no se le asignaron funciones o competencias, sino que tan solo se crearon las pl</w:t>
      </w:r>
      <w:r>
        <w:t>a</w:t>
      </w:r>
      <w:r>
        <w:t>zas anteriores.</w:t>
      </w:r>
    </w:p>
    <w:p w:rsidR="00E435FC" w:rsidRDefault="00E435FC" w:rsidP="00E435FC">
      <w:pPr>
        <w:pStyle w:val="texto"/>
        <w:tabs>
          <w:tab w:val="clear" w:pos="2835"/>
          <w:tab w:val="clear" w:pos="3969"/>
          <w:tab w:val="clear" w:pos="5103"/>
          <w:tab w:val="clear" w:pos="6237"/>
          <w:tab w:val="clear" w:pos="7371"/>
        </w:tabs>
      </w:pPr>
      <w:r>
        <w:lastRenderedPageBreak/>
        <w:t xml:space="preserve">En 2003 además del “Servicio de Acción Exterior” ya existente, se crea el “Servicio de Participación en el proceso de construcción europea”. </w:t>
      </w:r>
    </w:p>
    <w:p w:rsidR="00E435FC" w:rsidRDefault="00E435FC" w:rsidP="00E435FC">
      <w:pPr>
        <w:pStyle w:val="texto"/>
        <w:tabs>
          <w:tab w:val="clear" w:pos="2835"/>
          <w:tab w:val="clear" w:pos="3969"/>
          <w:tab w:val="clear" w:pos="5103"/>
          <w:tab w:val="clear" w:pos="6237"/>
          <w:tab w:val="clear" w:pos="7371"/>
        </w:tabs>
      </w:pPr>
      <w:r>
        <w:t>Es en 2007 cuando por primera vez el Decreto Foral 118/2007 adscribe e</w:t>
      </w:r>
      <w:r>
        <w:t>x</w:t>
      </w:r>
      <w:r>
        <w:t>presamente la DNB a la Dirección General de Desarrollo Internacional del Se</w:t>
      </w:r>
      <w:r>
        <w:t>r</w:t>
      </w:r>
      <w:r>
        <w:t xml:space="preserve">vicio de Acción Exterior, </w:t>
      </w:r>
      <w:r w:rsidR="004E1381">
        <w:t xml:space="preserve">con rango de servicio, </w:t>
      </w:r>
      <w:r>
        <w:t>si bien no se reguló nada más al respecto.</w:t>
      </w:r>
    </w:p>
    <w:p w:rsidR="00E435FC" w:rsidRDefault="00E435FC" w:rsidP="00E435FC">
      <w:pPr>
        <w:pStyle w:val="texto"/>
        <w:tabs>
          <w:tab w:val="clear" w:pos="2835"/>
          <w:tab w:val="clear" w:pos="3969"/>
          <w:tab w:val="clear" w:pos="5103"/>
          <w:tab w:val="clear" w:pos="6237"/>
          <w:tab w:val="clear" w:pos="7371"/>
        </w:tabs>
      </w:pPr>
      <w:r>
        <w:t>En 2011 desaparece uno de los servicios creados en 2003 y se mantiene ún</w:t>
      </w:r>
      <w:r>
        <w:t>i</w:t>
      </w:r>
      <w:r>
        <w:t xml:space="preserve">camente el denominado “Servicio de Proyección Internacional”. </w:t>
      </w:r>
    </w:p>
    <w:p w:rsidR="00E435FC" w:rsidRDefault="00E435FC" w:rsidP="00E435FC">
      <w:pPr>
        <w:pStyle w:val="texto"/>
        <w:tabs>
          <w:tab w:val="clear" w:pos="2835"/>
          <w:tab w:val="clear" w:pos="3969"/>
          <w:tab w:val="clear" w:pos="5103"/>
          <w:tab w:val="clear" w:pos="6237"/>
          <w:tab w:val="clear" w:pos="7371"/>
        </w:tabs>
      </w:pPr>
      <w:r>
        <w:t>El Decreto Foral 4/2013, de 16 de enero, continúa adscribiendo la DNB al Departamento de Economía, Hacienda, Industria y Empleo, y además, establece por primera vez de forma expresa sus funciones que son las siguientes:</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“…Representación de los intereses de Navarra ante la Unión Europea sin perjuicio de las co</w:t>
      </w:r>
      <w:r w:rsidRPr="00E435FC">
        <w:rPr>
          <w:rFonts w:cs="Arial"/>
          <w:i/>
          <w:sz w:val="20"/>
          <w:szCs w:val="20"/>
        </w:rPr>
        <w:t>m</w:t>
      </w:r>
      <w:r w:rsidRPr="00E435FC">
        <w:rPr>
          <w:rFonts w:cs="Arial"/>
          <w:i/>
          <w:sz w:val="20"/>
          <w:szCs w:val="20"/>
        </w:rPr>
        <w:t>petencias que puedan estar atribuidas a otros órganos de la Administración de la Comunidad Foral de Navarra, con respecto a los cuales ejercerá labores de impulso y apoyo.</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Colaboración con la Representación Permanente del Reino de España ante la Unión Europea y con las oficinas de otras Comunidades Autónomas de España o entes similares de otros Estados miembros, instaladas en Bruselas.</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Coordinación de las relaciones y contactos entre la Administración de la Comunidad Foral de Navarra y las Instituciones Comunitarias para el seguimiento de proyectos y programas de interés para Navarra.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Colaboración en la promoción y proyección exterior de la Comunidad Foral de Navarra.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Apoyo a los intereses socioeconómicos de la Comunidad Foral de Navarra, en la medida en que las acciones o programas comunitarios incidan en ellos.</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Asesoramiento e información en relación con las políticas y programas comunitarios.</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Seguimiento del proceso de toma de decisiones de las Instituciones de la Unión Europea y o</w:t>
      </w:r>
      <w:r w:rsidRPr="00E435FC">
        <w:rPr>
          <w:rFonts w:cs="Arial"/>
          <w:i/>
          <w:sz w:val="20"/>
          <w:szCs w:val="20"/>
        </w:rPr>
        <w:t>b</w:t>
      </w:r>
      <w:r w:rsidRPr="00E435FC">
        <w:rPr>
          <w:rFonts w:cs="Arial"/>
          <w:i/>
          <w:sz w:val="20"/>
          <w:szCs w:val="20"/>
        </w:rPr>
        <w:t>tención de información durante los procedimientos de producción normativa de dichas Instituciones, en lo que afecte a los intereses de la Comunidad Foral de Navarra.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Seguimiento de los trabajos del Comité de las Regiones de la Unión Europea.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Búsqueda activa de oportunidades empresariales y financieras para el sector público y privado de la Comunidad Foral de Navarra.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Asesoramiento técnico, como centro logístico de apoyo, de las entidades públicas y privadas de la Comunidad Foral de Navarra.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Cualquier otro cometido que le fuese encomendado por la Directora General de Política Ec</w:t>
      </w:r>
      <w:r w:rsidRPr="00E435FC">
        <w:rPr>
          <w:rFonts w:cs="Arial"/>
          <w:i/>
          <w:sz w:val="20"/>
          <w:szCs w:val="20"/>
        </w:rPr>
        <w:t>o</w:t>
      </w:r>
      <w:r w:rsidRPr="00E435FC">
        <w:rPr>
          <w:rFonts w:cs="Arial"/>
          <w:i/>
          <w:sz w:val="20"/>
          <w:szCs w:val="20"/>
        </w:rPr>
        <w:t>nómica y Empresarial o que le atribuyan las disposiciones en vigor.</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E435FC">
        <w:rPr>
          <w:rFonts w:cs="Arial"/>
          <w:i/>
          <w:sz w:val="20"/>
          <w:szCs w:val="20"/>
        </w:rPr>
        <w:t>Representación de los intereses de Navarra ante la Unión Europea, sin perjuicio de las comp</w:t>
      </w:r>
      <w:r w:rsidRPr="00E435FC">
        <w:rPr>
          <w:rFonts w:cs="Arial"/>
          <w:i/>
          <w:sz w:val="20"/>
          <w:szCs w:val="20"/>
        </w:rPr>
        <w:t>e</w:t>
      </w:r>
      <w:r w:rsidRPr="00E435FC">
        <w:rPr>
          <w:rFonts w:cs="Arial"/>
          <w:i/>
          <w:sz w:val="20"/>
          <w:szCs w:val="20"/>
        </w:rPr>
        <w:t>tencias que puedan estar atribuidas a otros órganos de la Administración de la Comunidad Foral de Navarra, con respecto a los cuales ejercerá labores de impulso y apoyo…”</w:t>
      </w:r>
    </w:p>
    <w:p w:rsidR="00E435FC" w:rsidRPr="00E435FC" w:rsidRDefault="000279E3" w:rsidP="00E435FC">
      <w:pPr>
        <w:pStyle w:val="texto"/>
      </w:pPr>
      <w:r>
        <w:t xml:space="preserve">La adscripción de la DNB al Departamento de Economía </w:t>
      </w:r>
      <w:r w:rsidR="00E435FC" w:rsidRPr="00E435FC">
        <w:t>se mantuvo hasta junio de 2015, momento en el que la estructura del Gobierno de Navarra se modifica significativamente tras la celebración de las elecciones de mayo. Así, el Servicio de Proyección Internacional se integra en el Departamento de Des</w:t>
      </w:r>
      <w:r w:rsidR="00E435FC" w:rsidRPr="00E435FC">
        <w:t>a</w:t>
      </w:r>
      <w:r w:rsidR="00E435FC" w:rsidRPr="00E435FC">
        <w:t xml:space="preserve">rrollo Económico, y la DNB en el Departamento de Relaciones Ciudadanas e </w:t>
      </w:r>
      <w:r w:rsidR="00E435FC" w:rsidRPr="00E435FC">
        <w:lastRenderedPageBreak/>
        <w:t xml:space="preserve">Institucionales. Además, el Decreto Foral 129/2015 otorga a la DNB el rango de Dirección General </w:t>
      </w:r>
      <w:r w:rsidR="004E1381">
        <w:t xml:space="preserve">(en lugar del rango de servicio atribuido hasta la fecha) </w:t>
      </w:r>
      <w:r w:rsidR="00E435FC" w:rsidRPr="00E435FC">
        <w:t>y le atribuye las mismas funciones citadas previamente.</w:t>
      </w:r>
    </w:p>
    <w:p w:rsidR="00E435FC" w:rsidRPr="00E435FC" w:rsidRDefault="00E435FC" w:rsidP="00E435FC">
      <w:pPr>
        <w:pStyle w:val="texto"/>
        <w:spacing w:after="240"/>
      </w:pPr>
      <w:r w:rsidRPr="00E435FC">
        <w:t>En la actualidad existe, y ha existido durante todo el periodo analizado, r</w:t>
      </w:r>
      <w:r w:rsidRPr="00E435FC">
        <w:t>e</w:t>
      </w:r>
      <w:r w:rsidRPr="00E435FC">
        <w:t>presentación de todas las comunidades autónomas de España en Bruselas</w:t>
      </w:r>
      <w:r w:rsidR="004703AF">
        <w:t>.</w:t>
      </w:r>
      <w:r w:rsidRPr="00E435FC">
        <w:t xml:space="preserve"> </w:t>
      </w:r>
      <w:r w:rsidR="004E1381">
        <w:t>S</w:t>
      </w:r>
      <w:r w:rsidR="004E1381">
        <w:t>e</w:t>
      </w:r>
      <w:r w:rsidR="004E1381">
        <w:t>gún el registro de oficinas regionales del Comité de las Regiones Europeo exi</w:t>
      </w:r>
      <w:r w:rsidR="004E1381">
        <w:t>s</w:t>
      </w:r>
      <w:r w:rsidR="004E1381">
        <w:t>ten 242 oficinas de los 28 estados miembros de la Unión Europea.</w:t>
      </w:r>
    </w:p>
    <w:p w:rsidR="00E435FC" w:rsidRPr="00CA5B44" w:rsidRDefault="00E435FC" w:rsidP="00E435FC">
      <w:pPr>
        <w:pStyle w:val="atitulo2"/>
      </w:pPr>
      <w:bookmarkStart w:id="15" w:name="_Toc433976368"/>
      <w:bookmarkStart w:id="16" w:name="_Toc437411098"/>
      <w:bookmarkStart w:id="17" w:name="_Toc440523188"/>
      <w:r w:rsidRPr="00CA5B44">
        <w:t>II.2</w:t>
      </w:r>
      <w:r>
        <w:t>.</w:t>
      </w:r>
      <w:r w:rsidRPr="00CA5B44">
        <w:t xml:space="preserve"> </w:t>
      </w:r>
      <w:r>
        <w:t>Gastos de la Delegación</w:t>
      </w:r>
      <w:bookmarkEnd w:id="15"/>
      <w:bookmarkEnd w:id="16"/>
      <w:bookmarkEnd w:id="17"/>
    </w:p>
    <w:p w:rsidR="00E435FC" w:rsidRDefault="00E435FC" w:rsidP="00E435FC">
      <w:pPr>
        <w:pStyle w:val="texto"/>
        <w:tabs>
          <w:tab w:val="clear" w:pos="2835"/>
          <w:tab w:val="clear" w:pos="3969"/>
          <w:tab w:val="clear" w:pos="5103"/>
          <w:tab w:val="clear" w:pos="6237"/>
          <w:tab w:val="clear" w:pos="7371"/>
        </w:tabs>
      </w:pPr>
      <w:r>
        <w:t>Los gastos de la DNB se componen básicamente del correspondiente al pe</w:t>
      </w:r>
      <w:r>
        <w:t>r</w:t>
      </w:r>
      <w:r>
        <w:t>sonal y los destinados al funcionamiento de la misma.</w:t>
      </w:r>
    </w:p>
    <w:p w:rsidR="00E435FC" w:rsidRPr="00DA6A17" w:rsidRDefault="00E435FC" w:rsidP="000D394A">
      <w:pPr>
        <w:pStyle w:val="atitulo3"/>
        <w:spacing w:before="240"/>
      </w:pPr>
      <w:r w:rsidRPr="00DA6A17">
        <w:t xml:space="preserve">Gastos de </w:t>
      </w:r>
      <w:r>
        <w:t>personal</w:t>
      </w:r>
    </w:p>
    <w:p w:rsidR="00E435FC" w:rsidRDefault="00E435FC" w:rsidP="00E435FC">
      <w:pPr>
        <w:pStyle w:val="texto"/>
        <w:tabs>
          <w:tab w:val="clear" w:pos="2835"/>
          <w:tab w:val="clear" w:pos="3969"/>
          <w:tab w:val="clear" w:pos="5103"/>
          <w:tab w:val="clear" w:pos="6237"/>
          <w:tab w:val="clear" w:pos="7371"/>
        </w:tabs>
      </w:pPr>
      <w:r>
        <w:t xml:space="preserve">Los puestos de delegado y de auxiliar administrativo han estado cubiertos de forma continua, mientras que el correspondiente al titulado superior nivel A no ha estado ocupado nunca; de hecho, a partir de 2008, la plaza ya no aparece en la plantilla orgánica. </w:t>
      </w:r>
    </w:p>
    <w:p w:rsidR="00E435FC" w:rsidRDefault="00E435FC" w:rsidP="00E435FC">
      <w:pPr>
        <w:pStyle w:val="texto"/>
        <w:tabs>
          <w:tab w:val="clear" w:pos="2835"/>
          <w:tab w:val="clear" w:pos="3969"/>
          <w:tab w:val="clear" w:pos="5103"/>
          <w:tab w:val="clear" w:pos="6237"/>
          <w:tab w:val="clear" w:pos="7371"/>
        </w:tabs>
        <w:spacing w:after="100"/>
      </w:pPr>
      <w:r>
        <w:t>La retribución del Delegado de Navarra se establece en la Ley Foral de Pr</w:t>
      </w:r>
      <w:r>
        <w:t>e</w:t>
      </w:r>
      <w:r>
        <w:t>supuestos Generales de Navarra. En el periodo 2012-2015 asciende a 75.410 euros anuales sin perjuicio, en el caso de que el personal sea funcionario, de la percepción de la retribución por grado y antigüedad que pudiera corresponde</w:t>
      </w:r>
      <w:r>
        <w:t>r</w:t>
      </w:r>
      <w:r>
        <w:t xml:space="preserve">les según la normativa vigente. </w:t>
      </w:r>
    </w:p>
    <w:p w:rsidR="00E435FC" w:rsidRDefault="00E435FC" w:rsidP="00E435FC">
      <w:pPr>
        <w:pStyle w:val="texto"/>
        <w:tabs>
          <w:tab w:val="clear" w:pos="2835"/>
          <w:tab w:val="clear" w:pos="3969"/>
          <w:tab w:val="clear" w:pos="5103"/>
          <w:tab w:val="clear" w:pos="6237"/>
          <w:tab w:val="clear" w:pos="7371"/>
        </w:tabs>
        <w:spacing w:after="120"/>
      </w:pPr>
      <w:r>
        <w:t>El puesto del personal administrativo, hasta el año 2007, se cubre con una plaza de nivel D tal y como constaba en su creación. A partir de este año, el n</w:t>
      </w:r>
      <w:r>
        <w:t>i</w:t>
      </w:r>
      <w:r>
        <w:t>vel en el que se encuadra esta plaza pasa a ser C. Los complementos retribut</w:t>
      </w:r>
      <w:r>
        <w:t>i</w:t>
      </w:r>
      <w:r>
        <w:t xml:space="preserve">vos </w:t>
      </w:r>
      <w:r w:rsidR="00D85E20">
        <w:t xml:space="preserve">asociados a este puesto han ascendido al 97,2 por ciento </w:t>
      </w:r>
      <w:r>
        <w:t xml:space="preserve">en </w:t>
      </w:r>
      <w:r w:rsidR="00D85E20">
        <w:t>todos los años d</w:t>
      </w:r>
      <w:r>
        <w:t>el periodo 200</w:t>
      </w:r>
      <w:r w:rsidR="00594FBF">
        <w:t>3</w:t>
      </w:r>
      <w:r>
        <w:t>-2015</w:t>
      </w:r>
      <w:r w:rsidR="00E7172B">
        <w:t>, independientemente del nivel de la plaza.</w:t>
      </w:r>
    </w:p>
    <w:p w:rsidR="00E435FC" w:rsidRDefault="00E435FC" w:rsidP="000279E3">
      <w:pPr>
        <w:pStyle w:val="texto"/>
        <w:tabs>
          <w:tab w:val="clear" w:pos="2835"/>
          <w:tab w:val="clear" w:pos="3969"/>
          <w:tab w:val="clear" w:pos="5103"/>
          <w:tab w:val="clear" w:pos="6237"/>
          <w:tab w:val="clear" w:pos="7371"/>
        </w:tabs>
        <w:spacing w:after="120"/>
      </w:pPr>
      <w:r>
        <w:t>Añadido a lo anterior, en el periodo 200</w:t>
      </w:r>
      <w:r w:rsidR="00594FBF">
        <w:t>3</w:t>
      </w:r>
      <w:r>
        <w:t>-2010 el Gobierno de Navarra, en colaboración con la Universidad Pública de Navarra, convocó becas para la formación de alumnos postgraduados en temas relacionados con la Unión E</w:t>
      </w:r>
      <w:r>
        <w:t>u</w:t>
      </w:r>
      <w:r>
        <w:t>ropea. La duración de la beca era anual desempeñando parte de las tareas en Pamplona y parte en la DNB. Según datos proporcionados por la DNB, han s</w:t>
      </w:r>
      <w:r>
        <w:t>i</w:t>
      </w:r>
      <w:r>
        <w:t>do 23 los becarios que han prestado sus servicios en el periodo señalado.</w:t>
      </w:r>
      <w:r w:rsidR="000279E3">
        <w:t xml:space="preserve"> </w:t>
      </w:r>
      <w:r>
        <w:t>A pa</w:t>
      </w:r>
      <w:r>
        <w:t>r</w:t>
      </w:r>
      <w:r>
        <w:t xml:space="preserve">tir de 2011 no </w:t>
      </w:r>
      <w:r w:rsidR="000279E3">
        <w:t>constan</w:t>
      </w:r>
      <w:r>
        <w:t xml:space="preserve"> gastos por este tipo de becas.</w:t>
      </w:r>
    </w:p>
    <w:p w:rsidR="00E435FC" w:rsidRPr="00B27767" w:rsidRDefault="00E435FC" w:rsidP="000D394A">
      <w:pPr>
        <w:pStyle w:val="atitulo3"/>
        <w:spacing w:before="240"/>
      </w:pPr>
      <w:r w:rsidRPr="00DA6A17">
        <w:t>Gastos de funcionamiento</w:t>
      </w:r>
    </w:p>
    <w:p w:rsidR="00E435FC" w:rsidRDefault="00E435FC" w:rsidP="00E435FC">
      <w:pPr>
        <w:pStyle w:val="texto"/>
        <w:tabs>
          <w:tab w:val="clear" w:pos="2835"/>
          <w:tab w:val="clear" w:pos="3969"/>
          <w:tab w:val="clear" w:pos="5103"/>
          <w:tab w:val="clear" w:pos="6237"/>
          <w:tab w:val="clear" w:pos="7371"/>
        </w:tabs>
      </w:pPr>
      <w:r>
        <w:t>En 2003 existía una partida presupuestaria específica para contabilizar los gastos de funcionamiento de la DNB; a partir de 2004, existe, además de la a</w:t>
      </w:r>
      <w:r>
        <w:t>n</w:t>
      </w:r>
      <w:r>
        <w:t xml:space="preserve">terior, otra para contabilizar los gastos ocasionados por el alquiler de la sede de la DNB hasta 2012. </w:t>
      </w:r>
    </w:p>
    <w:p w:rsidR="00E435FC" w:rsidRDefault="00E435FC" w:rsidP="00E435FC">
      <w:pPr>
        <w:pStyle w:val="texto"/>
        <w:tabs>
          <w:tab w:val="clear" w:pos="2835"/>
          <w:tab w:val="clear" w:pos="3969"/>
          <w:tab w:val="clear" w:pos="5103"/>
          <w:tab w:val="clear" w:pos="6237"/>
          <w:tab w:val="clear" w:pos="7371"/>
        </w:tabs>
      </w:pPr>
      <w:r>
        <w:lastRenderedPageBreak/>
        <w:t>Los gastos de alquiler de</w:t>
      </w:r>
      <w:r w:rsidR="00594FBF">
        <w:t>l año</w:t>
      </w:r>
      <w:r>
        <w:t xml:space="preserve"> 2003 y parte de 2004 aparecen registrados en una partida presupuestaria no específica de la DNB sino del Servicio de Acción Exterior. A partir de 2012, la DNB se traslada a la sede de la Representación Permanente de España ante la Unión Europea (en adelante REPER) y el gasto por este concepto, y por lo tanto la partida, desaparece.</w:t>
      </w:r>
    </w:p>
    <w:p w:rsidR="00E435FC" w:rsidRDefault="00E435FC" w:rsidP="00E435FC">
      <w:pPr>
        <w:pStyle w:val="texto"/>
        <w:tabs>
          <w:tab w:val="clear" w:pos="2835"/>
          <w:tab w:val="clear" w:pos="3969"/>
          <w:tab w:val="clear" w:pos="5103"/>
          <w:tab w:val="clear" w:pos="6237"/>
          <w:tab w:val="clear" w:pos="7371"/>
        </w:tabs>
      </w:pPr>
      <w:r>
        <w:t xml:space="preserve">No se han detectado más partidas presupuestarias que registren gastos de la DNB. </w:t>
      </w:r>
    </w:p>
    <w:p w:rsidR="00E435FC" w:rsidRDefault="00E435FC" w:rsidP="00E435FC">
      <w:pPr>
        <w:pStyle w:val="texto"/>
        <w:tabs>
          <w:tab w:val="clear" w:pos="2835"/>
          <w:tab w:val="clear" w:pos="3969"/>
          <w:tab w:val="clear" w:pos="5103"/>
          <w:tab w:val="clear" w:pos="6237"/>
          <w:tab w:val="clear" w:pos="7371"/>
        </w:tabs>
      </w:pPr>
      <w:r>
        <w:t>El procedimiento de gestión presupuestaria de estos gastos se recoge en las leyes forales que regulan los presupuestos generales del Gobierno de Navarra que especifican lo siguiente:</w:t>
      </w:r>
    </w:p>
    <w:p w:rsidR="00E435FC" w:rsidRDefault="00E435FC" w:rsidP="00E435FC">
      <w:pPr>
        <w:pStyle w:val="texto"/>
        <w:numPr>
          <w:ilvl w:val="0"/>
          <w:numId w:val="11"/>
        </w:numPr>
        <w:tabs>
          <w:tab w:val="clear" w:pos="2835"/>
          <w:tab w:val="clear" w:pos="3969"/>
          <w:tab w:val="clear" w:pos="5103"/>
          <w:tab w:val="clear" w:pos="6237"/>
          <w:tab w:val="clear" w:pos="7371"/>
        </w:tabs>
        <w:spacing w:after="120"/>
        <w:ind w:left="0" w:firstLine="284"/>
      </w:pPr>
      <w:r>
        <w:t>Todos los gastos necesarios para el funcionamiento de la representación del Gobierno de Navarra en Bruselas serán abonados a través de anticipos de caja fija o en su caso de órdenes de pago a justificar.</w:t>
      </w:r>
    </w:p>
    <w:p w:rsidR="00E435FC" w:rsidRDefault="00E435FC" w:rsidP="00E435FC">
      <w:pPr>
        <w:pStyle w:val="texto"/>
        <w:tabs>
          <w:tab w:val="clear" w:pos="2835"/>
          <w:tab w:val="clear" w:pos="3969"/>
          <w:tab w:val="clear" w:pos="5103"/>
          <w:tab w:val="clear" w:pos="6237"/>
          <w:tab w:val="clear" w:pos="7371"/>
        </w:tabs>
      </w:pPr>
      <w:r>
        <w:t>Al respecto</w:t>
      </w:r>
      <w:r w:rsidR="00C63FE5">
        <w:t>,</w:t>
      </w:r>
      <w:r>
        <w:t xml:space="preserve"> hay que tener en cuenta que los anticipos de caja fija y órdenes de pago a justificar se regulan en la Ley Foral 13/2007 de Hacienda Pública de Navarra que derogó a la Ley Foral 8/1988.</w:t>
      </w:r>
    </w:p>
    <w:p w:rsidR="00E435FC" w:rsidRDefault="00E435FC" w:rsidP="00E435FC">
      <w:pPr>
        <w:pStyle w:val="texto"/>
        <w:numPr>
          <w:ilvl w:val="0"/>
          <w:numId w:val="11"/>
        </w:numPr>
        <w:tabs>
          <w:tab w:val="clear" w:pos="2835"/>
          <w:tab w:val="clear" w:pos="3969"/>
          <w:tab w:val="clear" w:pos="5103"/>
          <w:tab w:val="clear" w:pos="6237"/>
          <w:tab w:val="clear" w:pos="7371"/>
        </w:tabs>
        <w:ind w:left="0" w:firstLine="284"/>
      </w:pPr>
      <w:r>
        <w:t>El Delegado del Gobierno de Navarra en Bruselas puede autorizar los gastos y pagos anteriores, siendo necesaria la autorización previa de la Dire</w:t>
      </w:r>
      <w:r>
        <w:t>c</w:t>
      </w:r>
      <w:r>
        <w:t>ción General correspondiente para aquellos que excedan de determinados i</w:t>
      </w:r>
      <w:r>
        <w:t>m</w:t>
      </w:r>
      <w:r>
        <w:t>portes que varían entre 3.000 y 12.000 euros en el periodo analizado.</w:t>
      </w:r>
    </w:p>
    <w:p w:rsidR="00E435FC" w:rsidRDefault="00E435FC" w:rsidP="00E435FC">
      <w:pPr>
        <w:pStyle w:val="texto"/>
        <w:numPr>
          <w:ilvl w:val="0"/>
          <w:numId w:val="11"/>
        </w:numPr>
        <w:tabs>
          <w:tab w:val="clear" w:pos="2835"/>
          <w:tab w:val="clear" w:pos="3969"/>
          <w:tab w:val="clear" w:pos="5103"/>
          <w:tab w:val="clear" w:pos="6237"/>
          <w:tab w:val="clear" w:pos="7371"/>
        </w:tabs>
        <w:ind w:left="0" w:firstLine="284"/>
      </w:pPr>
      <w:r>
        <w:t>A partir de 2011, la intervención general del Gobierno de Navarra supe</w:t>
      </w:r>
      <w:r>
        <w:t>r</w:t>
      </w:r>
      <w:r>
        <w:t xml:space="preserve">visará en todo caso las justificaciones y gastos efectuados en la DNB.  </w:t>
      </w:r>
    </w:p>
    <w:p w:rsidR="00E435FC" w:rsidRDefault="00E435FC" w:rsidP="00E435FC">
      <w:pPr>
        <w:pStyle w:val="texto"/>
        <w:tabs>
          <w:tab w:val="clear" w:pos="2835"/>
          <w:tab w:val="clear" w:pos="3969"/>
          <w:tab w:val="clear" w:pos="5103"/>
          <w:tab w:val="clear" w:pos="6237"/>
          <w:tab w:val="clear" w:pos="7371"/>
        </w:tabs>
        <w:spacing w:after="240"/>
      </w:pPr>
      <w:r>
        <w:t>Los gastos de la DNB en 2014 ascendieron a 154.697 euros de los cuales el 86 por ciento se corresponden con personal y el 14 por ciento restante</w:t>
      </w:r>
      <w:r w:rsidRPr="004D12D3">
        <w:rPr>
          <w:b/>
          <w:color w:val="FF0000"/>
        </w:rPr>
        <w:t xml:space="preserve"> </w:t>
      </w:r>
      <w:r>
        <w:t>con ga</w:t>
      </w:r>
      <w:r>
        <w:t>s</w:t>
      </w:r>
      <w:r>
        <w:t>tos de funcionamiento. Descendieron un uno y un 33 por ciento respecto a 2013 y 2012 respectivamente. El motivo de esta bajada tan significativa sobre los gastos de 2012 fue el traslado de la DNB a la sede de la REPER; este cambio supuso elimina</w:t>
      </w:r>
      <w:r w:rsidR="00E7172B">
        <w:t>r</w:t>
      </w:r>
      <w:r>
        <w:t xml:space="preserve"> los gastos de alquiler (76.730 euros) y añadir una cuantía a los gastos de funcionamiento significativamente menor (8.829 euros), tal y como se describe en el epígrafe V.2 de este informe. </w:t>
      </w:r>
    </w:p>
    <w:p w:rsidR="00477C53" w:rsidRDefault="00E435FC" w:rsidP="00E435FC">
      <w:pPr>
        <w:pStyle w:val="atitulo1"/>
      </w:pPr>
      <w:r w:rsidRPr="0068560A">
        <w:br w:type="page"/>
      </w:r>
    </w:p>
    <w:p w:rsidR="005E27A0" w:rsidRPr="00341874" w:rsidRDefault="005E27A0" w:rsidP="005E27A0">
      <w:pPr>
        <w:pStyle w:val="atitulo1"/>
      </w:pPr>
      <w:bookmarkStart w:id="18" w:name="_Toc311633164"/>
      <w:bookmarkStart w:id="19" w:name="_Toc311633173"/>
      <w:bookmarkStart w:id="20" w:name="_Toc432757080"/>
      <w:bookmarkStart w:id="21" w:name="_Toc437411099"/>
      <w:bookmarkStart w:id="22" w:name="_Toc440523189"/>
      <w:r w:rsidRPr="00983EB9">
        <w:lastRenderedPageBreak/>
        <w:t xml:space="preserve">III. </w:t>
      </w:r>
      <w:bookmarkEnd w:id="18"/>
      <w:bookmarkEnd w:id="19"/>
      <w:r w:rsidRPr="00341874">
        <w:t>Objetivo</w:t>
      </w:r>
      <w:bookmarkEnd w:id="20"/>
      <w:bookmarkEnd w:id="21"/>
      <w:bookmarkEnd w:id="22"/>
    </w:p>
    <w:p w:rsidR="005E27A0" w:rsidRPr="00D87B9C" w:rsidRDefault="005E27A0" w:rsidP="005E27A0">
      <w:pPr>
        <w:pStyle w:val="texto"/>
      </w:pPr>
      <w:r>
        <w:t>Teniendo en cuenta la petición parlamentaria, l</w:t>
      </w:r>
      <w:r w:rsidRPr="00D87B9C">
        <w:t>os objetivos de este trabajo son:</w:t>
      </w:r>
    </w:p>
    <w:p w:rsidR="005E27A0" w:rsidRPr="00D87B9C"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87B9C">
        <w:rPr>
          <w:rFonts w:cs="Arial"/>
        </w:rPr>
        <w:t xml:space="preserve">Analizar la evolución del gasto </w:t>
      </w:r>
      <w:r>
        <w:rPr>
          <w:rFonts w:cs="Arial"/>
        </w:rPr>
        <w:t>de la DNB</w:t>
      </w:r>
      <w:r w:rsidRPr="00D87B9C">
        <w:rPr>
          <w:rFonts w:cs="Arial"/>
        </w:rPr>
        <w:t xml:space="preserve"> en el período 20</w:t>
      </w:r>
      <w:r w:rsidR="00160DBF">
        <w:rPr>
          <w:rFonts w:cs="Arial"/>
        </w:rPr>
        <w:t>03</w:t>
      </w:r>
      <w:r w:rsidRPr="00D87B9C">
        <w:rPr>
          <w:rFonts w:cs="Arial"/>
        </w:rPr>
        <w:t>-2014.</w:t>
      </w:r>
    </w:p>
    <w:p w:rsidR="005E27A0" w:rsidRPr="00D87B9C"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Revisar los gastos de la DNB de varios años del periodo anterior</w:t>
      </w:r>
      <w:r w:rsidRPr="00D87B9C">
        <w:rPr>
          <w:rFonts w:cs="Arial"/>
        </w:rPr>
        <w:t>.</w:t>
      </w:r>
    </w:p>
    <w:p w:rsidR="005E27A0"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Analizar las actividades realizadas por la DNB en el periodo indicado y la eficacia de las mismas</w:t>
      </w:r>
      <w:r w:rsidRPr="00D87B9C">
        <w:rPr>
          <w:rFonts w:cs="Arial"/>
        </w:rPr>
        <w:t>.</w:t>
      </w:r>
    </w:p>
    <w:p w:rsidR="005E27A0" w:rsidRPr="00D87B9C" w:rsidRDefault="005E27A0" w:rsidP="005E27A0">
      <w:pPr>
        <w:pStyle w:val="texto"/>
      </w:pPr>
      <w:r w:rsidRPr="00D87B9C">
        <w:tab/>
        <w:t>El trabajo se ha ejecutado de acuerdo con los principios y normas de audit</w:t>
      </w:r>
      <w:r w:rsidRPr="00D87B9C">
        <w:t>o</w:t>
      </w:r>
      <w:r w:rsidRPr="00D87B9C">
        <w:t>ría del sector público aprobados por la Comisión de Coordinación  de los Órg</w:t>
      </w:r>
      <w:r w:rsidRPr="00D87B9C">
        <w:t>a</w:t>
      </w:r>
      <w:r w:rsidRPr="00D87B9C">
        <w:t xml:space="preserve">nos Públicos de Control Externo de España y desarrollados por esta Cámara de Comptos en su Manual de Fiscalización; dentro de estas normas, se ha aplicado la ISSAI-ES </w:t>
      </w:r>
      <w:r>
        <w:t>200 “Principios fundamentales del cumplimiento de la fiscaliz</w:t>
      </w:r>
      <w:r>
        <w:t>a</w:t>
      </w:r>
      <w:r>
        <w:t xml:space="preserve">ción o auditoría financiera” y la </w:t>
      </w:r>
      <w:r w:rsidRPr="00D87B9C">
        <w:t>300 “Principios fundamentales de la fiscaliz</w:t>
      </w:r>
      <w:r w:rsidRPr="00D87B9C">
        <w:t>a</w:t>
      </w:r>
      <w:r w:rsidRPr="00D87B9C">
        <w:t>ción operativa”</w:t>
      </w:r>
      <w:bookmarkStart w:id="23" w:name="_Toc131822566"/>
      <w:bookmarkStart w:id="24" w:name="_Toc226346794"/>
      <w:r w:rsidRPr="00D87B9C">
        <w:t xml:space="preserve">. </w:t>
      </w:r>
    </w:p>
    <w:bookmarkEnd w:id="23"/>
    <w:bookmarkEnd w:id="24"/>
    <w:p w:rsidR="005E27A0" w:rsidRPr="00D87B9C" w:rsidRDefault="005E27A0" w:rsidP="005E27A0">
      <w:pPr>
        <w:pStyle w:val="texto"/>
      </w:pPr>
    </w:p>
    <w:p w:rsidR="005E27A0" w:rsidRDefault="005E27A0" w:rsidP="005E27A0">
      <w:pPr>
        <w:spacing w:after="0"/>
        <w:ind w:firstLine="0"/>
        <w:jc w:val="left"/>
        <w:rPr>
          <w:spacing w:val="6"/>
          <w:sz w:val="26"/>
          <w:szCs w:val="24"/>
        </w:rPr>
      </w:pPr>
      <w:r>
        <w:br w:type="page"/>
      </w:r>
    </w:p>
    <w:p w:rsidR="005E27A0" w:rsidRPr="001E6C76" w:rsidRDefault="005E27A0" w:rsidP="005E27A0">
      <w:pPr>
        <w:pStyle w:val="atitulo1"/>
      </w:pPr>
      <w:bookmarkStart w:id="25" w:name="_Toc432757081"/>
      <w:bookmarkStart w:id="26" w:name="_Toc437411100"/>
      <w:bookmarkStart w:id="27" w:name="_Toc440523190"/>
      <w:r w:rsidRPr="001E6C76">
        <w:lastRenderedPageBreak/>
        <w:t>IV. Alcance y limitaciones</w:t>
      </w:r>
      <w:bookmarkEnd w:id="25"/>
      <w:bookmarkEnd w:id="26"/>
      <w:bookmarkEnd w:id="27"/>
    </w:p>
    <w:p w:rsidR="005E27A0" w:rsidRPr="006401D3" w:rsidRDefault="005E27A0" w:rsidP="006401D3">
      <w:pPr>
        <w:pStyle w:val="texto"/>
      </w:pPr>
      <w:r w:rsidRPr="006401D3">
        <w:t>Para alcanzar los anteriores objetivos hemos analizado la siguiente inform</w:t>
      </w:r>
      <w:r w:rsidRPr="006401D3">
        <w:t>a</w:t>
      </w:r>
      <w:r w:rsidRPr="006401D3">
        <w:t>ción: ejecución de los gastos presupuestarios de personal y de bienes corrientes y servicios de la DNB en el periodo 200</w:t>
      </w:r>
      <w:r w:rsidR="00160DBF">
        <w:t>3</w:t>
      </w:r>
      <w:r w:rsidRPr="006401D3">
        <w:t>-2014; una muestra de los gastos ant</w:t>
      </w:r>
      <w:r w:rsidRPr="006401D3">
        <w:t>e</w:t>
      </w:r>
      <w:r w:rsidRPr="006401D3">
        <w:t>riores compuesta por los correspondientes a los años 2011, 2012, 2013 y 2014; la información disponible sobre las actividades desarrolladas por la DNB en el periodo 200</w:t>
      </w:r>
      <w:r w:rsidR="00160DBF">
        <w:t>3</w:t>
      </w:r>
      <w:r w:rsidRPr="006401D3">
        <w:t>-2014.</w:t>
      </w:r>
    </w:p>
    <w:p w:rsidR="005E27A0" w:rsidRDefault="005E27A0" w:rsidP="006401D3">
      <w:pPr>
        <w:pStyle w:val="texto"/>
      </w:pPr>
      <w:r w:rsidRPr="006401D3">
        <w:t xml:space="preserve">La actual aplicación informática que gestiona la contabilidad del Gobierno de Navarra (SAP) no permite extraer información anterior a 2001; además, </w:t>
      </w:r>
      <w:r w:rsidR="00160DBF">
        <w:t>desde el Departamento de Presidencia, Función Pública, Interior y Justicia no nos han podido proporcionar los gastos de personal anteriores a 2003</w:t>
      </w:r>
      <w:r w:rsidRPr="006401D3">
        <w:t>. Estas circunstancias han provocado que el alcance temporal del informe se delimite al periodo indicado, a pesar de que la petición parlamentaria solicitaba la rev</w:t>
      </w:r>
      <w:r w:rsidRPr="006401D3">
        <w:t>i</w:t>
      </w:r>
      <w:r w:rsidRPr="006401D3">
        <w:t xml:space="preserve">sión de los aspectos anteriores desde que la DNB se creó. Entendemos que las conclusiones de nuestro informe no cambiarían aunque incluyésemos los gastos previos. </w:t>
      </w:r>
    </w:p>
    <w:p w:rsidR="00D85E20" w:rsidRPr="006401D3" w:rsidRDefault="00D85E20" w:rsidP="006401D3">
      <w:pPr>
        <w:pStyle w:val="texto"/>
      </w:pPr>
      <w:r>
        <w:t>El trabajo se ha realizado teniendo en cuenta la información proporcionada por la DNB al no considerarse oportuno desplazarse a la sede de la delegación en Bruselas.</w:t>
      </w:r>
    </w:p>
    <w:p w:rsidR="005E27A0" w:rsidRPr="006401D3" w:rsidRDefault="005E27A0" w:rsidP="006401D3">
      <w:pPr>
        <w:pStyle w:val="texto"/>
      </w:pPr>
      <w:r w:rsidRPr="006401D3">
        <w:t>Las limitaciones que han afectado a la realización de este trabajo están rel</w:t>
      </w:r>
      <w:r w:rsidRPr="006401D3">
        <w:t>a</w:t>
      </w:r>
      <w:r w:rsidRPr="006401D3">
        <w:t>cionadas con los siguientes aspectos:</w:t>
      </w:r>
    </w:p>
    <w:p w:rsidR="005E27A0" w:rsidRPr="006401D3"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01D3">
        <w:rPr>
          <w:rFonts w:cs="Arial"/>
        </w:rPr>
        <w:t>Análisis de las actividades de la DNB: la DNB nos ha proporcionado una memoria de actividades para los años 2008 y 2009 y un resumen de las activ</w:t>
      </w:r>
      <w:r w:rsidRPr="006401D3">
        <w:rPr>
          <w:rFonts w:cs="Arial"/>
        </w:rPr>
        <w:t>i</w:t>
      </w:r>
      <w:r w:rsidRPr="006401D3">
        <w:rPr>
          <w:rFonts w:cs="Arial"/>
        </w:rPr>
        <w:t xml:space="preserve">dades para el periodo que va de enero de 2014 a junio de 2015. Para el resto de años no consta </w:t>
      </w:r>
      <w:r w:rsidR="004E1381">
        <w:rPr>
          <w:rFonts w:cs="Arial"/>
        </w:rPr>
        <w:t>memoria</w:t>
      </w:r>
      <w:r w:rsidRPr="006401D3">
        <w:rPr>
          <w:rFonts w:cs="Arial"/>
        </w:rPr>
        <w:t xml:space="preserve"> al respecto. </w:t>
      </w:r>
    </w:p>
    <w:p w:rsidR="005E27A0" w:rsidRDefault="005E27A0" w:rsidP="005E27A0">
      <w:pPr>
        <w:pStyle w:val="texto"/>
        <w:tabs>
          <w:tab w:val="clear" w:pos="2835"/>
          <w:tab w:val="clear" w:pos="3969"/>
          <w:tab w:val="clear" w:pos="5103"/>
          <w:tab w:val="clear" w:pos="6237"/>
          <w:tab w:val="clear" w:pos="7371"/>
          <w:tab w:val="left" w:pos="480"/>
          <w:tab w:val="num" w:pos="720"/>
          <w:tab w:val="num" w:pos="1320"/>
          <w:tab w:val="num" w:pos="1948"/>
        </w:tabs>
      </w:pPr>
      <w:r>
        <w:t xml:space="preserve">Además, la información proporcionada no se presenta con el mismo formato lo que dificulta la comparación entre los datos disponibles.  </w:t>
      </w:r>
    </w:p>
    <w:p w:rsidR="005E27A0" w:rsidRPr="006401D3" w:rsidRDefault="005E27A0" w:rsidP="006401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01D3">
        <w:rPr>
          <w:rFonts w:cs="Arial"/>
        </w:rPr>
        <w:t xml:space="preserve">Eficacia de las actividades: el programa presupuestario que incluye a la DNB no tiene establecidos </w:t>
      </w:r>
      <w:r w:rsidR="00B64D7F">
        <w:rPr>
          <w:rFonts w:cs="Arial"/>
        </w:rPr>
        <w:t>objetivos cuantificados ni indicadores</w:t>
      </w:r>
      <w:r w:rsidRPr="006401D3">
        <w:rPr>
          <w:rFonts w:cs="Arial"/>
        </w:rPr>
        <w:t xml:space="preserve"> que permitan evaluar la eficacia y eficiencia de su actividad.</w:t>
      </w:r>
    </w:p>
    <w:p w:rsidR="005E27A0" w:rsidRDefault="005E27A0" w:rsidP="005E27A0">
      <w:pPr>
        <w:pStyle w:val="texto"/>
        <w:tabs>
          <w:tab w:val="clear" w:pos="2835"/>
          <w:tab w:val="clear" w:pos="3969"/>
          <w:tab w:val="clear" w:pos="5103"/>
          <w:tab w:val="clear" w:pos="6237"/>
          <w:tab w:val="clear" w:pos="7371"/>
          <w:tab w:val="left" w:pos="480"/>
          <w:tab w:val="num" w:pos="720"/>
          <w:tab w:val="num" w:pos="1320"/>
          <w:tab w:val="num" w:pos="1948"/>
        </w:tabs>
      </w:pPr>
      <w:r>
        <w:t>Asimismo, las consecuencias que se pueden derivar de las funciones asign</w:t>
      </w:r>
      <w:r>
        <w:t>a</w:t>
      </w:r>
      <w:r>
        <w:t xml:space="preserve">das a la DNB son difícilmente medibles y </w:t>
      </w:r>
      <w:r w:rsidR="004E1381">
        <w:t>su impacto</w:t>
      </w:r>
      <w:r>
        <w:t xml:space="preserve"> no siempre se producirá </w:t>
      </w:r>
      <w:r w:rsidR="004E1381">
        <w:t xml:space="preserve">a </w:t>
      </w:r>
      <w:r>
        <w:t xml:space="preserve">corto plazo. </w:t>
      </w:r>
      <w:r w:rsidR="00B64D7F">
        <w:t>Además</w:t>
      </w:r>
      <w:r>
        <w:t>, los resultados obtenidos gracias a las actividades desarr</w:t>
      </w:r>
      <w:r>
        <w:t>o</w:t>
      </w:r>
      <w:r>
        <w:t>lladas por la DNB se visualizarían en otros departamentos del Gobierno de N</w:t>
      </w:r>
      <w:r>
        <w:t>a</w:t>
      </w:r>
      <w:r>
        <w:t xml:space="preserve">varra, entes locales, empresas privadas, etc., a los que la </w:t>
      </w:r>
      <w:r w:rsidR="00E7172B">
        <w:t xml:space="preserve">delegación </w:t>
      </w:r>
      <w:r>
        <w:t>puede as</w:t>
      </w:r>
      <w:r>
        <w:t>e</w:t>
      </w:r>
      <w:r>
        <w:t xml:space="preserve">sorar o informar. </w:t>
      </w:r>
    </w:p>
    <w:p w:rsidR="00337982" w:rsidRDefault="00337982" w:rsidP="005E27A0">
      <w:pPr>
        <w:pStyle w:val="texto"/>
        <w:tabs>
          <w:tab w:val="clear" w:pos="2835"/>
          <w:tab w:val="clear" w:pos="3969"/>
          <w:tab w:val="clear" w:pos="5103"/>
          <w:tab w:val="clear" w:pos="6237"/>
          <w:tab w:val="clear" w:pos="7371"/>
          <w:tab w:val="left" w:pos="480"/>
          <w:tab w:val="num" w:pos="720"/>
          <w:tab w:val="num" w:pos="1320"/>
          <w:tab w:val="num" w:pos="1948"/>
        </w:tabs>
      </w:pPr>
      <w:r>
        <w:t xml:space="preserve">De igual forma, hay que tener en cuenta que las funciones de la DNB están relacionadas directamente con la gestión de intangibles (establecimiento de </w:t>
      </w:r>
      <w:r>
        <w:lastRenderedPageBreak/>
        <w:t>contactos, asistencia a personal del Gobierno, recopilación de información s</w:t>
      </w:r>
      <w:r>
        <w:t>o</w:t>
      </w:r>
      <w:r>
        <w:t>bre financiación para proyectos, lobby, etc.).</w:t>
      </w:r>
    </w:p>
    <w:p w:rsidR="005E27A0" w:rsidRDefault="005E27A0" w:rsidP="005E27A0">
      <w:pPr>
        <w:pStyle w:val="texto"/>
        <w:tabs>
          <w:tab w:val="clear" w:pos="2835"/>
          <w:tab w:val="clear" w:pos="3969"/>
          <w:tab w:val="clear" w:pos="5103"/>
          <w:tab w:val="clear" w:pos="6237"/>
          <w:tab w:val="clear" w:pos="7371"/>
          <w:tab w:val="left" w:pos="480"/>
          <w:tab w:val="num" w:pos="1320"/>
          <w:tab w:val="num" w:pos="1948"/>
        </w:tabs>
      </w:pPr>
      <w:r>
        <w:t xml:space="preserve">Todo lo anterior dificulta de forma significativa </w:t>
      </w:r>
      <w:r w:rsidR="00B64D7F">
        <w:t>la emisión de</w:t>
      </w:r>
      <w:r>
        <w:t xml:space="preserve"> una concl</w:t>
      </w:r>
      <w:r>
        <w:t>u</w:t>
      </w:r>
      <w:r>
        <w:t xml:space="preserve">sión de la eficacia de las </w:t>
      </w:r>
      <w:r w:rsidR="00B64D7F">
        <w:t>actividade</w:t>
      </w:r>
      <w:r>
        <w:t xml:space="preserve">s </w:t>
      </w:r>
      <w:r w:rsidR="00B64D7F">
        <w:t>de la DNB</w:t>
      </w:r>
      <w:r>
        <w:t xml:space="preserve">. </w:t>
      </w:r>
    </w:p>
    <w:p w:rsidR="005E27A0" w:rsidRPr="002C2BA4"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pPr>
      <w:r w:rsidRPr="002C2BA4">
        <w:rPr>
          <w:rFonts w:cs="Arial"/>
        </w:rPr>
        <w:t>Cuantificación de los gastos de la DNB: se ha verificado la existencia de partidas presupuestarias de gasto específicas</w:t>
      </w:r>
      <w:r>
        <w:rPr>
          <w:rFonts w:cs="Arial"/>
        </w:rPr>
        <w:t xml:space="preserve"> de la DNB</w:t>
      </w:r>
      <w:r w:rsidRPr="002C2BA4">
        <w:rPr>
          <w:rFonts w:cs="Arial"/>
        </w:rPr>
        <w:t xml:space="preserve"> para el periodo objeto de análisis. Asimismo</w:t>
      </w:r>
      <w:r w:rsidR="00C63FE5">
        <w:rPr>
          <w:rFonts w:cs="Arial"/>
        </w:rPr>
        <w:t>,</w:t>
      </w:r>
      <w:r w:rsidRPr="002C2BA4">
        <w:rPr>
          <w:rFonts w:cs="Arial"/>
        </w:rPr>
        <w:t xml:space="preserve"> para </w:t>
      </w:r>
      <w:r w:rsidR="00160DBF">
        <w:rPr>
          <w:rFonts w:cs="Arial"/>
        </w:rPr>
        <w:t>el año</w:t>
      </w:r>
      <w:r w:rsidRPr="002C2BA4">
        <w:rPr>
          <w:rFonts w:cs="Arial"/>
        </w:rPr>
        <w:t xml:space="preserve"> 2003 y parte del 2004 se ha detectado la contabilización de los gastos de alquiler de la oficina de la DNB en una partida presupuestaria </w:t>
      </w:r>
      <w:r>
        <w:rPr>
          <w:rFonts w:cs="Arial"/>
        </w:rPr>
        <w:t xml:space="preserve">del Servicio de Acción Exterior. </w:t>
      </w:r>
    </w:p>
    <w:p w:rsidR="006401D3" w:rsidRDefault="005E27A0" w:rsidP="006401D3">
      <w:pPr>
        <w:pStyle w:val="texto"/>
        <w:tabs>
          <w:tab w:val="clear" w:pos="2835"/>
          <w:tab w:val="clear" w:pos="3969"/>
          <w:tab w:val="clear" w:pos="5103"/>
          <w:tab w:val="clear" w:pos="6237"/>
          <w:tab w:val="clear" w:pos="7371"/>
          <w:tab w:val="left" w:pos="480"/>
          <w:tab w:val="num" w:pos="1320"/>
          <w:tab w:val="num" w:pos="1948"/>
        </w:tabs>
      </w:pPr>
      <w:r>
        <w:t>Desconocemos si existen otros gastos de la DNB contabilizados en otras pa</w:t>
      </w:r>
      <w:r>
        <w:t>r</w:t>
      </w:r>
      <w:r>
        <w:t>tidas presupuestarias</w:t>
      </w:r>
      <w:r w:rsidRPr="001E6C76">
        <w:t>.</w:t>
      </w:r>
      <w:r>
        <w:t xml:space="preserve"> A pesar de esto, entendemos que serían gastos poco si</w:t>
      </w:r>
      <w:r>
        <w:t>g</w:t>
      </w:r>
      <w:r>
        <w:t>nificativos que no alterarían las conclusiones alcanzadas sobre esta parte de nuestro trabajo.</w:t>
      </w:r>
    </w:p>
    <w:p w:rsidR="005E27A0" w:rsidRDefault="005E27A0" w:rsidP="006401D3">
      <w:pPr>
        <w:pStyle w:val="texto"/>
        <w:tabs>
          <w:tab w:val="clear" w:pos="2835"/>
          <w:tab w:val="clear" w:pos="3969"/>
          <w:tab w:val="clear" w:pos="5103"/>
          <w:tab w:val="clear" w:pos="6237"/>
          <w:tab w:val="clear" w:pos="7371"/>
          <w:tab w:val="left" w:pos="480"/>
          <w:tab w:val="num" w:pos="1320"/>
          <w:tab w:val="num" w:pos="1948"/>
        </w:tabs>
      </w:pPr>
      <w:r>
        <w:br w:type="page"/>
      </w:r>
    </w:p>
    <w:p w:rsidR="00972260" w:rsidRDefault="00972260" w:rsidP="00972260">
      <w:pPr>
        <w:pStyle w:val="atitulo1"/>
      </w:pPr>
      <w:bookmarkStart w:id="28" w:name="_Toc432757082"/>
      <w:bookmarkStart w:id="29" w:name="_Toc437411101"/>
      <w:bookmarkStart w:id="30" w:name="_Toc440523191"/>
      <w:r w:rsidRPr="009826F4">
        <w:lastRenderedPageBreak/>
        <w:t xml:space="preserve">V. </w:t>
      </w:r>
      <w:r>
        <w:t>Conclusiones y recomendaciones</w:t>
      </w:r>
      <w:bookmarkEnd w:id="28"/>
      <w:bookmarkEnd w:id="29"/>
      <w:bookmarkEnd w:id="30"/>
    </w:p>
    <w:p w:rsidR="00972260" w:rsidRDefault="00972260" w:rsidP="00972260">
      <w:pPr>
        <w:pStyle w:val="texto"/>
      </w:pPr>
      <w:r w:rsidRPr="00554BE6">
        <w:t>Se exponen a continuación las principales conclusiones y recomendaciones del trabajo realizado:</w:t>
      </w:r>
    </w:p>
    <w:p w:rsidR="00972260" w:rsidRPr="00954F1F" w:rsidRDefault="00972260" w:rsidP="00972260">
      <w:pPr>
        <w:pStyle w:val="atitulo2"/>
      </w:pPr>
      <w:bookmarkStart w:id="31" w:name="_Toc430848039"/>
      <w:bookmarkStart w:id="32" w:name="_Toc431210966"/>
      <w:bookmarkStart w:id="33" w:name="_Toc431540920"/>
      <w:bookmarkStart w:id="34" w:name="_Toc431557231"/>
      <w:bookmarkStart w:id="35" w:name="_Toc431557269"/>
      <w:bookmarkStart w:id="36" w:name="_Toc432757083"/>
      <w:bookmarkStart w:id="37" w:name="_Toc437411102"/>
      <w:bookmarkStart w:id="38" w:name="_Toc440523192"/>
      <w:r w:rsidRPr="00051744">
        <w:t xml:space="preserve">V.1. Evolución del gasto </w:t>
      </w:r>
      <w:bookmarkEnd w:id="31"/>
      <w:bookmarkEnd w:id="32"/>
      <w:bookmarkEnd w:id="33"/>
      <w:bookmarkEnd w:id="34"/>
      <w:bookmarkEnd w:id="35"/>
      <w:bookmarkEnd w:id="36"/>
      <w:r>
        <w:t>de la Delegación Navarra en Bruselas (200</w:t>
      </w:r>
      <w:r w:rsidR="00160DBF">
        <w:t>3</w:t>
      </w:r>
      <w:r>
        <w:t>-2014)</w:t>
      </w:r>
      <w:bookmarkEnd w:id="37"/>
      <w:bookmarkEnd w:id="38"/>
      <w:r w:rsidRPr="00954F1F">
        <w:t xml:space="preserve"> </w:t>
      </w:r>
    </w:p>
    <w:p w:rsidR="00972260" w:rsidRDefault="00972260" w:rsidP="00972260">
      <w:pPr>
        <w:pStyle w:val="texto"/>
        <w:spacing w:after="240"/>
      </w:pPr>
      <w:r>
        <w:t>El cuadro siguiente muestra la evolución del gasto de la DNB para el periodo 200</w:t>
      </w:r>
      <w:r w:rsidR="00160DBF">
        <w:t>3</w:t>
      </w:r>
      <w:r>
        <w:t>-2014:</w:t>
      </w:r>
    </w:p>
    <w:tbl>
      <w:tblPr>
        <w:tblW w:w="8885"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1324"/>
        <w:gridCol w:w="1559"/>
        <w:gridCol w:w="2221"/>
        <w:gridCol w:w="1890"/>
        <w:gridCol w:w="1891"/>
      </w:tblGrid>
      <w:tr w:rsidR="00972260" w:rsidRPr="00410F05" w:rsidTr="00BD5343">
        <w:trPr>
          <w:trHeight w:val="198"/>
          <w:jc w:val="center"/>
        </w:trPr>
        <w:tc>
          <w:tcPr>
            <w:tcW w:w="1324" w:type="dxa"/>
            <w:vMerge w:val="restart"/>
            <w:shd w:val="clear" w:color="auto" w:fill="8DB3E2" w:themeFill="text2" w:themeFillTint="66"/>
            <w:noWrap/>
            <w:vAlign w:val="center"/>
            <w:hideMark/>
          </w:tcPr>
          <w:p w:rsidR="00972260" w:rsidRPr="000F20D8" w:rsidRDefault="00972260" w:rsidP="00BD5343">
            <w:pPr>
              <w:spacing w:after="0"/>
              <w:ind w:firstLine="0"/>
              <w:jc w:val="left"/>
              <w:rPr>
                <w:rFonts w:ascii="Arial" w:hAnsi="Arial" w:cs="Arial"/>
                <w:color w:val="000000"/>
                <w:sz w:val="18"/>
                <w:szCs w:val="18"/>
                <w:lang w:val="es-ES" w:eastAsia="es-ES"/>
              </w:rPr>
            </w:pPr>
            <w:r w:rsidRPr="000F20D8">
              <w:rPr>
                <w:rFonts w:ascii="Arial" w:hAnsi="Arial" w:cs="Arial"/>
                <w:color w:val="000000"/>
                <w:sz w:val="18"/>
                <w:szCs w:val="18"/>
                <w:lang w:val="es-ES" w:eastAsia="es-ES"/>
              </w:rPr>
              <w:t>Año</w:t>
            </w:r>
          </w:p>
        </w:tc>
        <w:tc>
          <w:tcPr>
            <w:tcW w:w="7561" w:type="dxa"/>
            <w:gridSpan w:val="4"/>
            <w:tcBorders>
              <w:top w:val="single" w:sz="4" w:space="0" w:color="auto"/>
              <w:bottom w:val="single" w:sz="2" w:space="0" w:color="auto"/>
            </w:tcBorders>
            <w:shd w:val="clear" w:color="auto" w:fill="8DB3E2" w:themeFill="text2" w:themeFillTint="66"/>
            <w:vAlign w:val="center"/>
          </w:tcPr>
          <w:p w:rsidR="00972260" w:rsidRPr="00410F05" w:rsidRDefault="00972260" w:rsidP="00972260">
            <w:pPr>
              <w:spacing w:after="0"/>
              <w:ind w:firstLine="0"/>
              <w:jc w:val="center"/>
              <w:rPr>
                <w:rFonts w:ascii="Arial" w:hAnsi="Arial" w:cs="Arial"/>
                <w:color w:val="000000"/>
                <w:sz w:val="18"/>
                <w:szCs w:val="18"/>
                <w:lang w:val="es-ES" w:eastAsia="es-ES"/>
              </w:rPr>
            </w:pPr>
            <w:r w:rsidRPr="000F20D8">
              <w:rPr>
                <w:rFonts w:ascii="Arial" w:hAnsi="Arial" w:cs="Arial"/>
                <w:color w:val="000000"/>
                <w:sz w:val="18"/>
                <w:szCs w:val="18"/>
                <w:lang w:val="es-ES" w:eastAsia="es-ES"/>
              </w:rPr>
              <w:t>Obligaciones Reconocidas Netas</w:t>
            </w:r>
          </w:p>
        </w:tc>
      </w:tr>
      <w:tr w:rsidR="00972260" w:rsidRPr="00410F05" w:rsidTr="00BD5343">
        <w:trPr>
          <w:trHeight w:val="198"/>
          <w:jc w:val="center"/>
        </w:trPr>
        <w:tc>
          <w:tcPr>
            <w:tcW w:w="1324" w:type="dxa"/>
            <w:vMerge/>
            <w:tcBorders>
              <w:bottom w:val="single" w:sz="4" w:space="0" w:color="auto"/>
            </w:tcBorders>
            <w:shd w:val="clear" w:color="auto" w:fill="8DB3E2" w:themeFill="text2" w:themeFillTint="66"/>
            <w:noWrap/>
            <w:vAlign w:val="center"/>
          </w:tcPr>
          <w:p w:rsidR="00972260" w:rsidRPr="00410F05" w:rsidRDefault="00972260" w:rsidP="00BD5343">
            <w:pPr>
              <w:spacing w:after="0"/>
              <w:ind w:firstLine="0"/>
              <w:jc w:val="left"/>
              <w:rPr>
                <w:rFonts w:ascii="Arial" w:hAnsi="Arial" w:cs="Arial"/>
                <w:color w:val="000000"/>
                <w:sz w:val="18"/>
                <w:szCs w:val="18"/>
                <w:lang w:val="es-ES" w:eastAsia="es-ES"/>
              </w:rPr>
            </w:pPr>
          </w:p>
        </w:tc>
        <w:tc>
          <w:tcPr>
            <w:tcW w:w="1559"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lang w:val="es-ES" w:eastAsia="es-ES"/>
              </w:rPr>
            </w:pPr>
            <w:r w:rsidRPr="00410F05">
              <w:rPr>
                <w:rFonts w:ascii="Arial" w:hAnsi="Arial" w:cs="Arial"/>
                <w:color w:val="000000"/>
                <w:sz w:val="18"/>
                <w:szCs w:val="18"/>
                <w:lang w:val="es-ES" w:eastAsia="es-ES"/>
              </w:rPr>
              <w:t xml:space="preserve">Gastos </w:t>
            </w:r>
            <w:r>
              <w:rPr>
                <w:rFonts w:ascii="Arial" w:hAnsi="Arial" w:cs="Arial"/>
                <w:color w:val="000000"/>
                <w:sz w:val="18"/>
                <w:szCs w:val="18"/>
                <w:lang w:val="es-ES" w:eastAsia="es-ES"/>
              </w:rPr>
              <w:t>personal</w:t>
            </w:r>
          </w:p>
        </w:tc>
        <w:tc>
          <w:tcPr>
            <w:tcW w:w="2221" w:type="dxa"/>
            <w:tcBorders>
              <w:top w:val="single" w:sz="2" w:space="0" w:color="auto"/>
              <w:bottom w:val="single" w:sz="4" w:space="0" w:color="auto"/>
            </w:tcBorders>
            <w:shd w:val="clear" w:color="auto" w:fill="8DB3E2" w:themeFill="text2" w:themeFillTint="66"/>
            <w:noWrap/>
            <w:vAlign w:val="center"/>
          </w:tcPr>
          <w:p w:rsidR="00972260" w:rsidRPr="00410F05" w:rsidRDefault="00972260" w:rsidP="00BD5343">
            <w:pPr>
              <w:spacing w:after="0"/>
              <w:ind w:firstLine="0"/>
              <w:jc w:val="right"/>
              <w:rPr>
                <w:rFonts w:ascii="Arial" w:hAnsi="Arial" w:cs="Arial"/>
                <w:color w:val="000000"/>
                <w:sz w:val="18"/>
                <w:szCs w:val="18"/>
                <w:lang w:val="es-ES" w:eastAsia="es-ES"/>
              </w:rPr>
            </w:pPr>
            <w:r w:rsidRPr="00410F05">
              <w:rPr>
                <w:rFonts w:ascii="Arial" w:hAnsi="Arial" w:cs="Arial"/>
                <w:color w:val="000000"/>
                <w:sz w:val="18"/>
                <w:szCs w:val="18"/>
                <w:lang w:val="es-ES" w:eastAsia="es-ES"/>
              </w:rPr>
              <w:t>Gastos funcionamiento</w:t>
            </w:r>
          </w:p>
        </w:tc>
        <w:tc>
          <w:tcPr>
            <w:tcW w:w="1890"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lang w:val="es-ES" w:eastAsia="es-ES"/>
              </w:rPr>
            </w:pPr>
            <w:r w:rsidRPr="00410F05">
              <w:rPr>
                <w:rFonts w:ascii="Arial" w:hAnsi="Arial" w:cs="Arial"/>
                <w:color w:val="000000"/>
                <w:sz w:val="18"/>
                <w:szCs w:val="18"/>
                <w:lang w:val="es-ES" w:eastAsia="es-ES"/>
              </w:rPr>
              <w:t>Gastos alquiler</w:t>
            </w:r>
          </w:p>
        </w:tc>
        <w:tc>
          <w:tcPr>
            <w:tcW w:w="1891"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lang w:val="es-ES" w:eastAsia="es-ES"/>
              </w:rPr>
            </w:pPr>
            <w:r w:rsidRPr="00410F05">
              <w:rPr>
                <w:rFonts w:ascii="Arial" w:hAnsi="Arial" w:cs="Arial"/>
                <w:color w:val="000000"/>
                <w:sz w:val="18"/>
                <w:szCs w:val="18"/>
                <w:lang w:val="es-ES" w:eastAsia="es-ES"/>
              </w:rPr>
              <w:t>Gasto total</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2003</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102.446</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44.655</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57.125</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204.226</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2004</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105.485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39.943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57.147</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202.575</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2005</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109.597</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43.997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59.786</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213.380</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2006</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112.475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37.053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55.154</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204.682</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2007</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117.782</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45.607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75.078</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238.467</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2008</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123.785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47.013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65.194</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235.992</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2009</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128.871</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46.774</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71.299</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246.944</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lang w:val="es-ES" w:eastAsia="es-ES"/>
              </w:rPr>
            </w:pPr>
            <w:r w:rsidRPr="000F20D8">
              <w:rPr>
                <w:rFonts w:ascii="Arial Narrow" w:hAnsi="Arial Narrow" w:cs="Arial"/>
                <w:color w:val="000000"/>
                <w:lang w:val="es-ES" w:eastAsia="es-ES"/>
              </w:rPr>
              <w:t>2010</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127.511</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55.646</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68.852</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252.009</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lang w:val="es-ES" w:eastAsia="es-ES"/>
              </w:rPr>
            </w:pPr>
            <w:r w:rsidRPr="000F20D8">
              <w:rPr>
                <w:rFonts w:ascii="Arial Narrow" w:hAnsi="Arial Narrow" w:cs="Arial"/>
                <w:color w:val="000000"/>
                <w:lang w:val="es-ES" w:eastAsia="es-ES"/>
              </w:rPr>
              <w:t>2011</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126.448</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47.431</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71.650</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245.529</w:t>
            </w:r>
          </w:p>
        </w:tc>
      </w:tr>
      <w:tr w:rsidR="00160DBF" w:rsidRPr="000F20D8" w:rsidTr="00BD5343">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lang w:val="es-ES" w:eastAsia="es-ES"/>
              </w:rPr>
            </w:pPr>
            <w:r w:rsidRPr="000F20D8">
              <w:rPr>
                <w:rFonts w:ascii="Arial Narrow" w:hAnsi="Arial Narrow" w:cs="Arial"/>
                <w:color w:val="000000"/>
                <w:lang w:val="es-ES" w:eastAsia="es-ES"/>
              </w:rPr>
              <w:t>2012</w:t>
            </w:r>
          </w:p>
        </w:tc>
        <w:tc>
          <w:tcPr>
            <w:tcW w:w="1559"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121.077</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32.208</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76.730</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230.015</w:t>
            </w:r>
          </w:p>
        </w:tc>
      </w:tr>
      <w:tr w:rsidR="00160DBF" w:rsidRPr="000F20D8" w:rsidTr="00BD5343">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lang w:val="es-ES" w:eastAsia="es-ES"/>
              </w:rPr>
            </w:pPr>
            <w:r w:rsidRPr="000F20D8">
              <w:rPr>
                <w:rFonts w:ascii="Arial Narrow" w:hAnsi="Arial Narrow" w:cs="Arial"/>
                <w:color w:val="000000"/>
                <w:lang w:val="es-ES" w:eastAsia="es-ES"/>
              </w:rPr>
              <w:t>2013</w:t>
            </w:r>
          </w:p>
        </w:tc>
        <w:tc>
          <w:tcPr>
            <w:tcW w:w="1559"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104.403</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20.667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32.123</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157.193</w:t>
            </w:r>
          </w:p>
        </w:tc>
      </w:tr>
      <w:tr w:rsidR="00160DBF" w:rsidRPr="000F20D8" w:rsidTr="00BD5343">
        <w:trPr>
          <w:trHeight w:val="198"/>
          <w:jc w:val="center"/>
        </w:trPr>
        <w:tc>
          <w:tcPr>
            <w:tcW w:w="1324" w:type="dxa"/>
            <w:tcBorders>
              <w:top w:val="single" w:sz="2" w:space="0" w:color="auto"/>
              <w:bottom w:val="single" w:sz="4"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lang w:val="es-ES" w:eastAsia="es-ES"/>
              </w:rPr>
            </w:pPr>
            <w:r w:rsidRPr="000F20D8">
              <w:rPr>
                <w:rFonts w:ascii="Arial Narrow" w:hAnsi="Arial Narrow" w:cs="Arial"/>
                <w:color w:val="000000"/>
                <w:lang w:val="es-ES" w:eastAsia="es-ES"/>
              </w:rPr>
              <w:t>2014</w:t>
            </w:r>
          </w:p>
        </w:tc>
        <w:tc>
          <w:tcPr>
            <w:tcW w:w="1559"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133.594</w:t>
            </w:r>
          </w:p>
        </w:tc>
        <w:tc>
          <w:tcPr>
            <w:tcW w:w="2221" w:type="dxa"/>
            <w:tcBorders>
              <w:top w:val="single" w:sz="2" w:space="0" w:color="auto"/>
              <w:bottom w:val="single" w:sz="4"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21.103</w:t>
            </w:r>
          </w:p>
        </w:tc>
        <w:tc>
          <w:tcPr>
            <w:tcW w:w="1890"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w:t>
            </w:r>
          </w:p>
        </w:tc>
        <w:tc>
          <w:tcPr>
            <w:tcW w:w="1891"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lang w:val="es-ES" w:eastAsia="es-ES"/>
              </w:rPr>
            </w:pPr>
            <w:r w:rsidRPr="00160DBF">
              <w:rPr>
                <w:rFonts w:ascii="Arial Narrow" w:hAnsi="Arial Narrow" w:cs="Arial"/>
                <w:color w:val="000000"/>
                <w:lang w:val="es-ES" w:eastAsia="es-ES"/>
              </w:rPr>
              <w:t>154.697</w:t>
            </w:r>
          </w:p>
        </w:tc>
      </w:tr>
      <w:tr w:rsidR="00160DBF" w:rsidRPr="00F7218F" w:rsidTr="00BD5343">
        <w:trPr>
          <w:trHeight w:val="255"/>
          <w:jc w:val="center"/>
        </w:trPr>
        <w:tc>
          <w:tcPr>
            <w:tcW w:w="1324" w:type="dxa"/>
            <w:tcBorders>
              <w:top w:val="single" w:sz="4" w:space="0" w:color="auto"/>
              <w:bottom w:val="single" w:sz="4" w:space="0" w:color="auto"/>
            </w:tcBorders>
            <w:shd w:val="clear" w:color="auto" w:fill="8DB3E2" w:themeFill="text2" w:themeFillTint="66"/>
            <w:noWrap/>
            <w:vAlign w:val="center"/>
          </w:tcPr>
          <w:p w:rsidR="00160DBF" w:rsidRPr="00F7218F" w:rsidRDefault="00160DBF" w:rsidP="00BD5343">
            <w:pPr>
              <w:spacing w:after="0"/>
              <w:ind w:firstLine="0"/>
              <w:jc w:val="left"/>
              <w:rPr>
                <w:rFonts w:ascii="Arial" w:hAnsi="Arial" w:cs="Arial"/>
                <w:color w:val="000000"/>
                <w:sz w:val="18"/>
                <w:szCs w:val="18"/>
                <w:lang w:val="es-ES" w:eastAsia="es-ES"/>
              </w:rPr>
            </w:pPr>
            <w:r w:rsidRPr="00F7218F">
              <w:rPr>
                <w:rFonts w:ascii="Arial" w:hAnsi="Arial" w:cs="Arial"/>
                <w:color w:val="000000"/>
                <w:sz w:val="18"/>
                <w:szCs w:val="18"/>
                <w:lang w:val="es-ES" w:eastAsia="es-ES"/>
              </w:rPr>
              <w:t>Total</w:t>
            </w:r>
          </w:p>
        </w:tc>
        <w:tc>
          <w:tcPr>
            <w:tcW w:w="1559"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lang w:val="es-ES" w:eastAsia="es-ES"/>
              </w:rPr>
            </w:pPr>
            <w:r w:rsidRPr="00160DBF">
              <w:rPr>
                <w:rFonts w:ascii="Arial" w:hAnsi="Arial" w:cs="Arial"/>
                <w:color w:val="000000"/>
                <w:sz w:val="18"/>
                <w:szCs w:val="18"/>
                <w:lang w:val="es-ES" w:eastAsia="es-ES"/>
              </w:rPr>
              <w:t>1.413.474</w:t>
            </w:r>
          </w:p>
        </w:tc>
        <w:tc>
          <w:tcPr>
            <w:tcW w:w="2221" w:type="dxa"/>
            <w:tcBorders>
              <w:top w:val="single" w:sz="4" w:space="0" w:color="auto"/>
              <w:bottom w:val="single" w:sz="4" w:space="0" w:color="auto"/>
            </w:tcBorders>
            <w:shd w:val="clear" w:color="auto" w:fill="8DB3E2" w:themeFill="text2" w:themeFillTint="66"/>
            <w:noWrap/>
            <w:vAlign w:val="center"/>
          </w:tcPr>
          <w:p w:rsidR="00160DBF" w:rsidRPr="00160DBF" w:rsidRDefault="00160DBF" w:rsidP="00160DBF">
            <w:pPr>
              <w:spacing w:after="0"/>
              <w:ind w:firstLine="0"/>
              <w:jc w:val="right"/>
              <w:rPr>
                <w:rFonts w:ascii="Arial" w:hAnsi="Arial" w:cs="Arial"/>
                <w:color w:val="000000"/>
                <w:sz w:val="18"/>
                <w:szCs w:val="18"/>
                <w:lang w:val="es-ES" w:eastAsia="es-ES"/>
              </w:rPr>
            </w:pPr>
            <w:r w:rsidRPr="00160DBF">
              <w:rPr>
                <w:rFonts w:ascii="Arial" w:hAnsi="Arial" w:cs="Arial"/>
                <w:color w:val="000000"/>
                <w:sz w:val="18"/>
                <w:szCs w:val="18"/>
                <w:lang w:val="es-ES" w:eastAsia="es-ES"/>
              </w:rPr>
              <w:t>482.097</w:t>
            </w:r>
          </w:p>
        </w:tc>
        <w:tc>
          <w:tcPr>
            <w:tcW w:w="1890"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lang w:val="es-ES" w:eastAsia="es-ES"/>
              </w:rPr>
            </w:pPr>
            <w:r w:rsidRPr="00160DBF">
              <w:rPr>
                <w:rFonts w:ascii="Arial" w:hAnsi="Arial" w:cs="Arial"/>
                <w:color w:val="000000"/>
                <w:sz w:val="18"/>
                <w:szCs w:val="18"/>
                <w:lang w:val="es-ES" w:eastAsia="es-ES"/>
              </w:rPr>
              <w:t>690.138</w:t>
            </w:r>
          </w:p>
        </w:tc>
        <w:tc>
          <w:tcPr>
            <w:tcW w:w="1891"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lang w:val="es-ES" w:eastAsia="es-ES"/>
              </w:rPr>
            </w:pPr>
            <w:r w:rsidRPr="00160DBF">
              <w:rPr>
                <w:rFonts w:ascii="Arial" w:hAnsi="Arial" w:cs="Arial"/>
                <w:color w:val="000000"/>
                <w:sz w:val="18"/>
                <w:szCs w:val="18"/>
                <w:lang w:val="es-ES" w:eastAsia="es-ES"/>
              </w:rPr>
              <w:t>2.585.709</w:t>
            </w:r>
          </w:p>
        </w:tc>
      </w:tr>
    </w:tbl>
    <w:p w:rsidR="00045B84" w:rsidRDefault="00972260" w:rsidP="00BD5343">
      <w:pPr>
        <w:pStyle w:val="texto"/>
        <w:spacing w:before="240"/>
      </w:pPr>
      <w:r w:rsidRPr="00045B84">
        <w:t xml:space="preserve">Como se observa, </w:t>
      </w:r>
      <w:r w:rsidR="00045B84">
        <w:t xml:space="preserve">en el periodo indicado los gastos de la DNB han ascendido a 2,6 millones de euros con un gasto medio anual de 215.476 euros. Los gastos de personal suponen el 55 por ciento del gasto total, el gasto en alquiler el 27 por ciento y los gastos de funcionamiento el 18 por ciento restante. </w:t>
      </w:r>
    </w:p>
    <w:p w:rsidR="00045B84" w:rsidRDefault="00045B84" w:rsidP="00B17D34">
      <w:pPr>
        <w:pStyle w:val="texto"/>
        <w:tabs>
          <w:tab w:val="clear" w:pos="2835"/>
          <w:tab w:val="clear" w:pos="3969"/>
          <w:tab w:val="clear" w:pos="5103"/>
          <w:tab w:val="clear" w:pos="6237"/>
          <w:tab w:val="clear" w:pos="7371"/>
        </w:tabs>
        <w:spacing w:before="240"/>
      </w:pPr>
      <w:r>
        <w:t>Destaca la disminución del gasto total en 2013 y 2014 respecto a años ant</w:t>
      </w:r>
      <w:r w:rsidR="00B17D34">
        <w:t>e</w:t>
      </w:r>
      <w:r>
        <w:t>riores debido</w:t>
      </w:r>
      <w:r w:rsidR="004E1381">
        <w:t>, fundamentalmente,</w:t>
      </w:r>
      <w:r>
        <w:t xml:space="preserve"> a la reducción significativa en 2013 y </w:t>
      </w:r>
      <w:r w:rsidR="00C63FE5">
        <w:t xml:space="preserve">a la </w:t>
      </w:r>
      <w:r>
        <w:t xml:space="preserve">desaparición del gasto en alquiler en 2014. </w:t>
      </w:r>
    </w:p>
    <w:p w:rsidR="00972260" w:rsidRDefault="00972260" w:rsidP="00BD5343">
      <w:pPr>
        <w:pStyle w:val="texto"/>
      </w:pPr>
      <w:r>
        <w:t>El 94 por ciento de los gastos de funcionamiento del periodo objeto de anál</w:t>
      </w:r>
      <w:r>
        <w:t>i</w:t>
      </w:r>
      <w:r>
        <w:t>sis se han regido por el sistema de fondos a justificar, y el seis por ciento re</w:t>
      </w:r>
      <w:r>
        <w:t>s</w:t>
      </w:r>
      <w:r w:rsidR="00C63FE5">
        <w:t>tante</w:t>
      </w:r>
      <w:r>
        <w:t xml:space="preserve"> se corresponde con gastos autorizados directamente por la Dirección G</w:t>
      </w:r>
      <w:r>
        <w:t>e</w:t>
      </w:r>
      <w:r>
        <w:t xml:space="preserve">neral correspondiente. </w:t>
      </w:r>
    </w:p>
    <w:p w:rsidR="00972260" w:rsidRDefault="00972260" w:rsidP="00BD5343">
      <w:pPr>
        <w:pStyle w:val="texto"/>
      </w:pPr>
      <w:r>
        <w:t>Respecto a los fondos a justificar, periódicamente la DNB remite al G</w:t>
      </w:r>
      <w:r>
        <w:t>o</w:t>
      </w:r>
      <w:r>
        <w:t>bierno de Navarra el resumen de gastos soportados con la correspondiente fa</w:t>
      </w:r>
      <w:r>
        <w:t>c</w:t>
      </w:r>
      <w:r>
        <w:t xml:space="preserve">tura original, extractos bancarios y autorización de pago del responsable de la </w:t>
      </w:r>
      <w:r w:rsidR="00E7172B">
        <w:t>delegación</w:t>
      </w:r>
      <w:r>
        <w:t xml:space="preserve">. El Departamento competente en materia de economía contrasta las facturas con el resumen de gastos y con los extractos bancarios. </w:t>
      </w:r>
    </w:p>
    <w:p w:rsidR="00BD5343" w:rsidRDefault="00BD5343" w:rsidP="00B64D7F">
      <w:pPr>
        <w:pStyle w:val="texto"/>
      </w:pPr>
      <w:r w:rsidRPr="00BD5343">
        <w:t xml:space="preserve">Asimismo, la intervención </w:t>
      </w:r>
      <w:r w:rsidR="00B64D7F">
        <w:t xml:space="preserve">realiza muestreos sobre gastos menores no sujetos a </w:t>
      </w:r>
      <w:r w:rsidRPr="00BD5343">
        <w:t>fiscalización previa</w:t>
      </w:r>
      <w:r w:rsidR="00B64D7F">
        <w:t xml:space="preserve">, entre los cuales pueden estar </w:t>
      </w:r>
      <w:r w:rsidRPr="00BD5343">
        <w:t>los gastos autorizados d</w:t>
      </w:r>
      <w:r w:rsidRPr="00BD5343">
        <w:t>i</w:t>
      </w:r>
      <w:r w:rsidRPr="00BD5343">
        <w:t>rectamente por el Servicio de Acción Exterior</w:t>
      </w:r>
      <w:r>
        <w:t xml:space="preserve">. </w:t>
      </w:r>
      <w:r>
        <w:br w:type="page"/>
      </w:r>
    </w:p>
    <w:p w:rsidR="00B45056" w:rsidRPr="00051744" w:rsidRDefault="00B45056" w:rsidP="00B45056">
      <w:pPr>
        <w:pStyle w:val="atitulo2"/>
        <w:rPr>
          <w:i/>
        </w:rPr>
      </w:pPr>
      <w:bookmarkStart w:id="39" w:name="_Toc430848038"/>
      <w:bookmarkStart w:id="40" w:name="_Toc431210965"/>
      <w:bookmarkStart w:id="41" w:name="_Toc431540919"/>
      <w:bookmarkStart w:id="42" w:name="_Toc431557230"/>
      <w:bookmarkStart w:id="43" w:name="_Toc431557268"/>
      <w:bookmarkStart w:id="44" w:name="_Toc432757084"/>
      <w:bookmarkStart w:id="45" w:name="_Toc437411103"/>
      <w:bookmarkStart w:id="46" w:name="_Toc440523193"/>
      <w:r w:rsidRPr="00051744">
        <w:lastRenderedPageBreak/>
        <w:t xml:space="preserve">V.2. </w:t>
      </w:r>
      <w:bookmarkEnd w:id="39"/>
      <w:bookmarkEnd w:id="40"/>
      <w:bookmarkEnd w:id="41"/>
      <w:bookmarkEnd w:id="42"/>
      <w:bookmarkEnd w:id="43"/>
      <w:bookmarkEnd w:id="44"/>
      <w:r>
        <w:t>Revisión de gastos de la DNB</w:t>
      </w:r>
      <w:bookmarkEnd w:id="45"/>
      <w:bookmarkEnd w:id="46"/>
    </w:p>
    <w:p w:rsidR="00B45056" w:rsidRDefault="00B45056" w:rsidP="00B45056">
      <w:pPr>
        <w:pStyle w:val="texto"/>
      </w:pPr>
      <w:r>
        <w:t>Hemos verificado que en la muestra revisada formada por todos los gastos de la DNB</w:t>
      </w:r>
      <w:r w:rsidR="00C63FE5">
        <w:t>,</w:t>
      </w:r>
      <w:r>
        <w:t xml:space="preserve"> en el periodo 2011-2014, todos ellos están justificados y soportados, habiéndose contabilizado y tramitado adecuadamente. </w:t>
      </w:r>
    </w:p>
    <w:p w:rsidR="00B45056" w:rsidRDefault="00B45056" w:rsidP="00B45056">
      <w:pPr>
        <w:pStyle w:val="texto"/>
      </w:pPr>
      <w:r>
        <w:t>De la fiscalización realizada destacan los siguientes aspectos:</w:t>
      </w:r>
    </w:p>
    <w:p w:rsidR="00B45056" w:rsidRPr="00B459C9" w:rsidRDefault="00B45056" w:rsidP="00B459C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80" w:after="180"/>
        <w:ind w:left="0" w:firstLine="289"/>
        <w:rPr>
          <w:rFonts w:cs="Arial"/>
        </w:rPr>
      </w:pPr>
      <w:r w:rsidRPr="00B459C9">
        <w:rPr>
          <w:rFonts w:cs="Arial"/>
        </w:rPr>
        <w:t xml:space="preserve">Los gastos de funcionamiento de la DNB regidos por el sistema de fondos a justificar se pueden clasificar en los siguientes conceptos: </w:t>
      </w:r>
    </w:p>
    <w:tbl>
      <w:tblPr>
        <w:tblW w:w="8725" w:type="dxa"/>
        <w:jc w:val="center"/>
        <w:tblCellMar>
          <w:left w:w="70" w:type="dxa"/>
          <w:right w:w="70" w:type="dxa"/>
        </w:tblCellMar>
        <w:tblLook w:val="04A0" w:firstRow="1" w:lastRow="0" w:firstColumn="1" w:lastColumn="0" w:noHBand="0" w:noVBand="1"/>
      </w:tblPr>
      <w:tblGrid>
        <w:gridCol w:w="3961"/>
        <w:gridCol w:w="733"/>
        <w:gridCol w:w="733"/>
        <w:gridCol w:w="733"/>
        <w:gridCol w:w="733"/>
        <w:gridCol w:w="851"/>
        <w:gridCol w:w="981"/>
      </w:tblGrid>
      <w:tr w:rsidR="00B45056" w:rsidRPr="00DB0015" w:rsidTr="00B459C9">
        <w:trPr>
          <w:trHeight w:val="198"/>
          <w:jc w:val="center"/>
        </w:trPr>
        <w:tc>
          <w:tcPr>
            <w:tcW w:w="3961"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firstLine="0"/>
              <w:jc w:val="left"/>
              <w:rPr>
                <w:rFonts w:ascii="Arial" w:hAnsi="Arial" w:cs="Arial"/>
                <w:sz w:val="18"/>
                <w:szCs w:val="18"/>
                <w:lang w:val="es-ES" w:eastAsia="es-ES"/>
              </w:rPr>
            </w:pPr>
            <w:r w:rsidRPr="00DB0015">
              <w:rPr>
                <w:rFonts w:ascii="Arial" w:hAnsi="Arial" w:cs="Arial"/>
                <w:sz w:val="18"/>
                <w:szCs w:val="18"/>
                <w:lang w:val="es-ES" w:eastAsia="es-ES"/>
              </w:rPr>
              <w:t>Concepto</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r w:rsidRPr="00DB0015">
              <w:rPr>
                <w:rFonts w:ascii="Arial" w:hAnsi="Arial" w:cs="Arial"/>
                <w:sz w:val="18"/>
                <w:szCs w:val="18"/>
                <w:lang w:val="es-ES" w:eastAsia="es-ES"/>
              </w:rPr>
              <w:t>2011</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r w:rsidRPr="00DB0015">
              <w:rPr>
                <w:rFonts w:ascii="Arial" w:hAnsi="Arial" w:cs="Arial"/>
                <w:sz w:val="18"/>
                <w:szCs w:val="18"/>
                <w:lang w:val="es-ES" w:eastAsia="es-ES"/>
              </w:rPr>
              <w:t>2012</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r w:rsidRPr="00DB0015">
              <w:rPr>
                <w:rFonts w:ascii="Arial" w:hAnsi="Arial" w:cs="Arial"/>
                <w:sz w:val="18"/>
                <w:szCs w:val="18"/>
                <w:lang w:val="es-ES" w:eastAsia="es-ES"/>
              </w:rPr>
              <w:t>2013</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r w:rsidRPr="00DB0015">
              <w:rPr>
                <w:rFonts w:ascii="Arial" w:hAnsi="Arial" w:cs="Arial"/>
                <w:sz w:val="18"/>
                <w:szCs w:val="18"/>
                <w:lang w:val="es-ES" w:eastAsia="es-ES"/>
              </w:rPr>
              <w:t>2014</w:t>
            </w:r>
          </w:p>
        </w:tc>
        <w:tc>
          <w:tcPr>
            <w:tcW w:w="1832" w:type="dxa"/>
            <w:gridSpan w:val="2"/>
            <w:tcBorders>
              <w:top w:val="single" w:sz="4" w:space="0" w:color="auto"/>
              <w:bottom w:val="single" w:sz="2" w:space="0" w:color="auto"/>
            </w:tcBorders>
            <w:shd w:val="clear" w:color="auto" w:fill="8DB3E2" w:themeFill="text2" w:themeFillTint="66"/>
            <w:noWrap/>
            <w:vAlign w:val="center"/>
            <w:hideMark/>
          </w:tcPr>
          <w:p w:rsidR="00B45056" w:rsidRPr="00DB0015" w:rsidRDefault="00B45056" w:rsidP="00B45056">
            <w:pPr>
              <w:spacing w:after="0"/>
              <w:ind w:firstLine="0"/>
              <w:jc w:val="center"/>
              <w:rPr>
                <w:rFonts w:ascii="Arial" w:hAnsi="Arial" w:cs="Arial"/>
                <w:sz w:val="18"/>
                <w:szCs w:val="18"/>
                <w:lang w:val="es-ES" w:eastAsia="es-ES"/>
              </w:rPr>
            </w:pPr>
            <w:r w:rsidRPr="00DB0015">
              <w:rPr>
                <w:rFonts w:ascii="Arial" w:hAnsi="Arial" w:cs="Arial"/>
                <w:sz w:val="18"/>
                <w:szCs w:val="18"/>
                <w:lang w:val="es-ES" w:eastAsia="es-ES"/>
              </w:rPr>
              <w:t>Total 2011-2014</w:t>
            </w:r>
          </w:p>
        </w:tc>
      </w:tr>
      <w:tr w:rsidR="00B45056" w:rsidRPr="00DB0015" w:rsidTr="00B459C9">
        <w:trPr>
          <w:trHeight w:val="198"/>
          <w:jc w:val="center"/>
        </w:trPr>
        <w:tc>
          <w:tcPr>
            <w:tcW w:w="3961"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056">
            <w:pPr>
              <w:spacing w:after="0"/>
              <w:ind w:firstLine="0"/>
              <w:jc w:val="left"/>
              <w:rPr>
                <w:rFonts w:ascii="Arial" w:hAnsi="Arial" w:cs="Arial"/>
                <w:sz w:val="18"/>
                <w:szCs w:val="18"/>
                <w:lang w:val="es-ES" w:eastAsia="es-ES"/>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lang w:val="es-ES" w:eastAsia="es-ES"/>
              </w:rPr>
            </w:pPr>
          </w:p>
        </w:tc>
        <w:tc>
          <w:tcPr>
            <w:tcW w:w="851" w:type="dxa"/>
            <w:tcBorders>
              <w:top w:val="single" w:sz="2"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sz w:val="18"/>
                <w:szCs w:val="18"/>
                <w:lang w:val="es-ES" w:eastAsia="es-ES"/>
              </w:rPr>
            </w:pPr>
            <w:r w:rsidRPr="00DB0015">
              <w:rPr>
                <w:rFonts w:ascii="Arial" w:hAnsi="Arial" w:cs="Arial"/>
                <w:sz w:val="18"/>
                <w:szCs w:val="18"/>
                <w:lang w:val="es-ES" w:eastAsia="es-ES"/>
              </w:rPr>
              <w:t>Importe</w:t>
            </w:r>
          </w:p>
        </w:tc>
        <w:tc>
          <w:tcPr>
            <w:tcW w:w="981" w:type="dxa"/>
            <w:tcBorders>
              <w:top w:val="single" w:sz="2"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sz w:val="18"/>
                <w:szCs w:val="18"/>
                <w:lang w:val="es-ES" w:eastAsia="es-ES"/>
              </w:rPr>
            </w:pPr>
            <w:r w:rsidRPr="00DB0015">
              <w:rPr>
                <w:rFonts w:ascii="Arial" w:hAnsi="Arial" w:cs="Arial"/>
                <w:sz w:val="18"/>
                <w:szCs w:val="18"/>
                <w:lang w:val="es-ES" w:eastAsia="es-ES"/>
              </w:rPr>
              <w:t>% s/ total</w:t>
            </w:r>
          </w:p>
        </w:tc>
      </w:tr>
      <w:tr w:rsidR="00B45056" w:rsidRPr="00DB0015" w:rsidTr="00B459C9">
        <w:trPr>
          <w:trHeight w:val="198"/>
          <w:jc w:val="center"/>
        </w:trPr>
        <w:tc>
          <w:tcPr>
            <w:tcW w:w="3961" w:type="dxa"/>
            <w:tcBorders>
              <w:top w:val="single" w:sz="4"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Cánones y Tasas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1.789</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1.789</w:t>
            </w:r>
          </w:p>
        </w:tc>
        <w:tc>
          <w:tcPr>
            <w:tcW w:w="981"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1,6</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Pr>
                <w:rFonts w:ascii="Arial Narrow" w:hAnsi="Arial Narrow"/>
                <w:lang w:val="es-ES" w:eastAsia="es-ES"/>
              </w:rPr>
              <w:t>Material oficina e informático</w:t>
            </w:r>
            <w:r w:rsidRPr="00DB0015">
              <w:rPr>
                <w:rFonts w:ascii="Arial Narrow" w:hAnsi="Arial Narrow"/>
                <w:lang w:val="es-ES" w:eastAsia="es-ES"/>
              </w:rPr>
              <w:t xml:space="preserve"> no </w:t>
            </w:r>
            <w:proofErr w:type="spellStart"/>
            <w:r w:rsidRPr="00DB0015">
              <w:rPr>
                <w:rFonts w:ascii="Arial Narrow" w:hAnsi="Arial Narrow"/>
                <w:lang w:val="es-ES" w:eastAsia="es-ES"/>
              </w:rPr>
              <w:t>inventariable</w:t>
            </w:r>
            <w:proofErr w:type="spellEnd"/>
            <w:r w:rsidRPr="00DB0015">
              <w:rPr>
                <w:rFonts w:ascii="Arial Narrow" w:hAnsi="Arial Narrow"/>
                <w:lang w:val="es-ES" w:eastAsia="es-ES"/>
              </w:rPr>
              <w:t xml:space="preserve">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838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602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1.439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Prensa, revistas, libros y otras publicaciones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3.393</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2.038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1.690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7.121</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6,3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Productos alimenticios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86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315</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410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Otros suministros especiales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1.175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245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1.420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Comunicaciones telf., post, </w:t>
            </w:r>
            <w:proofErr w:type="spellStart"/>
            <w:r w:rsidRPr="00DB0015">
              <w:rPr>
                <w:rFonts w:ascii="Arial Narrow" w:hAnsi="Arial Narrow"/>
                <w:lang w:val="es-ES" w:eastAsia="es-ES"/>
              </w:rPr>
              <w:t>teleg</w:t>
            </w:r>
            <w:proofErr w:type="spellEnd"/>
            <w:r w:rsidRPr="00DB0015">
              <w:rPr>
                <w:rFonts w:ascii="Arial Narrow" w:hAnsi="Arial Narrow"/>
                <w:lang w:val="es-ES" w:eastAsia="es-ES"/>
              </w:rPr>
              <w:t xml:space="preserve">, </w:t>
            </w:r>
            <w:proofErr w:type="spellStart"/>
            <w:r w:rsidRPr="00DB0015">
              <w:rPr>
                <w:rFonts w:ascii="Arial Narrow" w:hAnsi="Arial Narrow"/>
                <w:lang w:val="es-ES" w:eastAsia="es-ES"/>
              </w:rPr>
              <w:t>telex</w:t>
            </w:r>
            <w:proofErr w:type="spellEnd"/>
            <w:r w:rsidRPr="00DB0015">
              <w:rPr>
                <w:rFonts w:ascii="Arial Narrow" w:hAnsi="Arial Narrow"/>
                <w:lang w:val="es-ES" w:eastAsia="es-ES"/>
              </w:rPr>
              <w:t xml:space="preserve">, </w:t>
            </w:r>
            <w:proofErr w:type="spellStart"/>
            <w:r w:rsidRPr="00DB0015">
              <w:rPr>
                <w:rFonts w:ascii="Arial Narrow" w:hAnsi="Arial Narrow"/>
                <w:lang w:val="es-ES" w:eastAsia="es-ES"/>
              </w:rPr>
              <w:t>tefax</w:t>
            </w:r>
            <w:proofErr w:type="spellEnd"/>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3.422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1.938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994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1.446</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7.800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6,9</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Comunicaciones transmisión datos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4.274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4.336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66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549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9.225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8,1</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Gastos de transportes y fletes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574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328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208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139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1.249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1,1</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Primas de seguros de edificios y locales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109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116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225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Primas de seguros. Otro inmovilizado</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231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236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467</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Atenciones protocolarias y representativas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1.804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1.047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271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979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4.102</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3,6</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Otros </w:t>
            </w:r>
            <w:r>
              <w:rPr>
                <w:rFonts w:ascii="Arial Narrow" w:hAnsi="Arial Narrow"/>
                <w:lang w:val="es-ES" w:eastAsia="es-ES"/>
              </w:rPr>
              <w:t>g</w:t>
            </w:r>
            <w:r w:rsidRPr="00DB0015">
              <w:rPr>
                <w:rFonts w:ascii="Arial Narrow" w:hAnsi="Arial Narrow"/>
                <w:lang w:val="es-ES" w:eastAsia="es-ES"/>
              </w:rPr>
              <w:t xml:space="preserve">astos </w:t>
            </w:r>
            <w:r>
              <w:rPr>
                <w:rFonts w:ascii="Arial Narrow" w:hAnsi="Arial Narrow"/>
                <w:lang w:val="es-ES" w:eastAsia="es-ES"/>
              </w:rPr>
              <w:t>d</w:t>
            </w:r>
            <w:r w:rsidRPr="00DB0015">
              <w:rPr>
                <w:rFonts w:ascii="Arial Narrow" w:hAnsi="Arial Narrow"/>
                <w:lang w:val="es-ES" w:eastAsia="es-ES"/>
              </w:rPr>
              <w:t xml:space="preserve">iversos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7.716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7.725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2.700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2.725</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20.866</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18,3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Servicios de limpieza y aseo</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3.956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3.391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7.347</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6,5</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Servicios informáticos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787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61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997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61</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1.904</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1,7</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 xml:space="preserve">Servicios de seguridad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503</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552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1.055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0,9</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4E1381">
            <w:pPr>
              <w:spacing w:after="0"/>
              <w:ind w:firstLine="0"/>
              <w:jc w:val="left"/>
              <w:rPr>
                <w:rFonts w:ascii="Arial Narrow" w:hAnsi="Arial Narrow"/>
                <w:lang w:val="es-ES" w:eastAsia="es-ES"/>
              </w:rPr>
            </w:pPr>
            <w:r w:rsidRPr="00DB0015">
              <w:rPr>
                <w:rFonts w:ascii="Arial Narrow" w:hAnsi="Arial Narrow"/>
                <w:lang w:val="es-ES" w:eastAsia="es-ES"/>
              </w:rPr>
              <w:t xml:space="preserve">Servicios de </w:t>
            </w:r>
            <w:r w:rsidR="004E1381">
              <w:rPr>
                <w:rFonts w:ascii="Arial Narrow" w:hAnsi="Arial Narrow"/>
                <w:lang w:val="es-ES" w:eastAsia="es-ES"/>
              </w:rPr>
              <w:t>catering</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6.298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1.121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350</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7.769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6,8</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Otros trabajos por terceros</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264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264</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Energía eléctrica</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4.070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1.121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-159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5.032</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4,4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Material limpieza y aseo</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780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187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966</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0,8</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sidRPr="00DB0015">
              <w:rPr>
                <w:rFonts w:ascii="Arial Narrow" w:hAnsi="Arial Narrow"/>
                <w:lang w:val="es-ES" w:eastAsia="es-ES"/>
              </w:rPr>
              <w:t>Dietas, locomoción y gastos de viaje</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5.627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4.919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576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5.009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16.131</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14,2</w:t>
            </w:r>
          </w:p>
        </w:tc>
      </w:tr>
      <w:tr w:rsidR="00B45056" w:rsidRPr="00DB0015" w:rsidTr="00B459C9">
        <w:trPr>
          <w:trHeight w:val="198"/>
          <w:jc w:val="center"/>
        </w:trPr>
        <w:tc>
          <w:tcPr>
            <w:tcW w:w="3961" w:type="dxa"/>
            <w:tcBorders>
              <w:top w:val="single" w:sz="2" w:space="0" w:color="auto"/>
              <w:bottom w:val="single" w:sz="4"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lang w:val="es-ES" w:eastAsia="es-ES"/>
              </w:rPr>
            </w:pPr>
            <w:r>
              <w:rPr>
                <w:rFonts w:ascii="Arial Narrow" w:hAnsi="Arial Narrow"/>
                <w:lang w:val="es-ES" w:eastAsia="es-ES"/>
              </w:rPr>
              <w:t>Representación Permanente de España ante la UE</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 </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8.400</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lang w:val="es-ES" w:eastAsia="es-ES"/>
              </w:rPr>
            </w:pPr>
            <w:r w:rsidRPr="00DB0015">
              <w:rPr>
                <w:rFonts w:ascii="Arial Narrow" w:hAnsi="Arial Narrow"/>
                <w:lang w:val="es-ES" w:eastAsia="es-ES"/>
              </w:rPr>
              <w:t>8.829</w:t>
            </w:r>
          </w:p>
        </w:tc>
        <w:tc>
          <w:tcPr>
            <w:tcW w:w="851"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lang w:val="es-ES" w:eastAsia="es-ES"/>
              </w:rPr>
            </w:pPr>
            <w:r w:rsidRPr="00DB0015">
              <w:rPr>
                <w:rFonts w:ascii="Arial Narrow" w:hAnsi="Arial Narrow"/>
                <w:lang w:val="es-ES" w:eastAsia="es-ES"/>
              </w:rPr>
              <w:t>17.229</w:t>
            </w:r>
          </w:p>
        </w:tc>
        <w:tc>
          <w:tcPr>
            <w:tcW w:w="981"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lang w:val="es-ES" w:eastAsia="es-ES"/>
              </w:rPr>
            </w:pPr>
            <w:r w:rsidRPr="00DB0015">
              <w:rPr>
                <w:rFonts w:ascii="Arial Narrow" w:hAnsi="Arial Narrow"/>
                <w:bCs/>
                <w:lang w:val="es-ES" w:eastAsia="es-ES"/>
              </w:rPr>
              <w:t>15,1</w:t>
            </w:r>
          </w:p>
        </w:tc>
      </w:tr>
      <w:tr w:rsidR="00B45056" w:rsidRPr="00DB0015" w:rsidTr="00B459C9">
        <w:trPr>
          <w:trHeight w:val="255"/>
          <w:jc w:val="center"/>
        </w:trPr>
        <w:tc>
          <w:tcPr>
            <w:tcW w:w="396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firstLine="0"/>
              <w:jc w:val="left"/>
              <w:rPr>
                <w:rFonts w:ascii="Arial" w:hAnsi="Arial" w:cs="Arial"/>
                <w:bCs/>
                <w:sz w:val="18"/>
                <w:szCs w:val="18"/>
                <w:lang w:val="es-ES" w:eastAsia="es-ES"/>
              </w:rPr>
            </w:pPr>
            <w:r w:rsidRPr="00DB0015">
              <w:rPr>
                <w:rFonts w:ascii="Arial" w:hAnsi="Arial" w:cs="Arial"/>
                <w:bCs/>
                <w:sz w:val="18"/>
                <w:szCs w:val="18"/>
                <w:lang w:val="es-ES" w:eastAsia="es-ES"/>
              </w:rPr>
              <w:t>Total</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lang w:val="es-ES" w:eastAsia="es-ES"/>
              </w:rPr>
            </w:pPr>
            <w:r w:rsidRPr="00DB0015">
              <w:rPr>
                <w:rFonts w:ascii="Arial" w:hAnsi="Arial" w:cs="Arial"/>
                <w:bCs/>
                <w:sz w:val="18"/>
                <w:szCs w:val="18"/>
                <w:lang w:val="es-ES" w:eastAsia="es-ES"/>
              </w:rPr>
              <w:t>47.431</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lang w:val="es-ES" w:eastAsia="es-ES"/>
              </w:rPr>
            </w:pPr>
            <w:r w:rsidRPr="00DB0015">
              <w:rPr>
                <w:rFonts w:ascii="Arial" w:hAnsi="Arial" w:cs="Arial"/>
                <w:bCs/>
                <w:sz w:val="18"/>
                <w:szCs w:val="18"/>
                <w:lang w:val="es-ES" w:eastAsia="es-ES"/>
              </w:rPr>
              <w:t>29.991</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lang w:val="es-ES" w:eastAsia="es-ES"/>
              </w:rPr>
            </w:pPr>
            <w:r w:rsidRPr="00DB0015">
              <w:rPr>
                <w:rFonts w:ascii="Arial" w:hAnsi="Arial" w:cs="Arial"/>
                <w:bCs/>
                <w:sz w:val="18"/>
                <w:szCs w:val="18"/>
                <w:lang w:val="es-ES" w:eastAsia="es-ES"/>
              </w:rPr>
              <w:t>15.987</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lang w:val="es-ES" w:eastAsia="es-ES"/>
              </w:rPr>
            </w:pPr>
            <w:r w:rsidRPr="00DB0015">
              <w:rPr>
                <w:rFonts w:ascii="Arial" w:hAnsi="Arial" w:cs="Arial"/>
                <w:bCs/>
                <w:sz w:val="18"/>
                <w:szCs w:val="18"/>
                <w:lang w:val="es-ES" w:eastAsia="es-ES"/>
              </w:rPr>
              <w:t>20.401</w:t>
            </w:r>
          </w:p>
        </w:tc>
        <w:tc>
          <w:tcPr>
            <w:tcW w:w="85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bCs/>
                <w:sz w:val="18"/>
                <w:szCs w:val="18"/>
                <w:lang w:val="es-ES" w:eastAsia="es-ES"/>
              </w:rPr>
            </w:pPr>
            <w:r w:rsidRPr="00DB0015">
              <w:rPr>
                <w:rFonts w:ascii="Arial" w:hAnsi="Arial" w:cs="Arial"/>
                <w:bCs/>
                <w:sz w:val="18"/>
                <w:szCs w:val="18"/>
                <w:lang w:val="es-ES" w:eastAsia="es-ES"/>
              </w:rPr>
              <w:t>113.810</w:t>
            </w:r>
          </w:p>
        </w:tc>
        <w:tc>
          <w:tcPr>
            <w:tcW w:w="98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bCs/>
                <w:sz w:val="18"/>
                <w:szCs w:val="18"/>
                <w:lang w:val="es-ES" w:eastAsia="es-ES"/>
              </w:rPr>
            </w:pPr>
            <w:r w:rsidRPr="00DB0015">
              <w:rPr>
                <w:rFonts w:ascii="Arial" w:hAnsi="Arial" w:cs="Arial"/>
                <w:bCs/>
                <w:sz w:val="18"/>
                <w:szCs w:val="18"/>
                <w:lang w:val="es-ES" w:eastAsia="es-ES"/>
              </w:rPr>
              <w:t>100</w:t>
            </w:r>
          </w:p>
        </w:tc>
      </w:tr>
    </w:tbl>
    <w:p w:rsidR="00D85E20" w:rsidRDefault="00D85E20" w:rsidP="00D85E20">
      <w:pPr>
        <w:pStyle w:val="texto"/>
        <w:spacing w:after="0"/>
      </w:pPr>
    </w:p>
    <w:p w:rsidR="00B45056" w:rsidRPr="00B459C9" w:rsidRDefault="00B45056" w:rsidP="00B459C9">
      <w:pPr>
        <w:pStyle w:val="texto"/>
      </w:pPr>
      <w:r w:rsidRPr="00B459C9">
        <w:t>Los gastos diversos son los que mayor importe presentan en el conjunto con un 18 por ciento. Se corresponden con el abono de las cuotas por pertenecer al Consejo de Lisboa y a la Red de Investigación e Innovación de las Regiones de Europa.</w:t>
      </w:r>
    </w:p>
    <w:p w:rsidR="00B45056" w:rsidRPr="00B459C9" w:rsidRDefault="00B45056" w:rsidP="00B459C9">
      <w:pPr>
        <w:pStyle w:val="texto"/>
      </w:pPr>
      <w:r w:rsidRPr="00B459C9">
        <w:t>Los gastos de la REPER suponen el 15 por ciento del total</w:t>
      </w:r>
      <w:r w:rsidR="00C63FE5">
        <w:t>,</w:t>
      </w:r>
      <w:r w:rsidRPr="00B459C9">
        <w:t xml:space="preserve"> concentrándose en 2013 y 2014. El convenio que rige la utilización de la sede como ubicación de la DNB desde 2013 especificaba que ésta contribuiría a los gastos totales de funcionamiento de la REPER en función del número de personas que tuviera dicha delegación (dos en el caso de Navarra); este mismo criterio está establ</w:t>
      </w:r>
      <w:r w:rsidRPr="00B459C9">
        <w:t>e</w:t>
      </w:r>
      <w:r w:rsidRPr="00B459C9">
        <w:t>cido para las otras cinco comunidades autónomas que tienen su sede ahí. El gasto máximo estimado anual por persona se establece en 7.000 euros.</w:t>
      </w:r>
    </w:p>
    <w:p w:rsidR="00B45056" w:rsidRPr="00B459C9" w:rsidRDefault="00B45056" w:rsidP="00B459C9">
      <w:pPr>
        <w:pStyle w:val="texto"/>
      </w:pPr>
      <w:r w:rsidRPr="00B459C9">
        <w:lastRenderedPageBreak/>
        <w:t xml:space="preserve">El procedimiento contable seguido es la contabilización trimestral de </w:t>
      </w:r>
      <w:r w:rsidR="004E1381">
        <w:t>la e</w:t>
      </w:r>
      <w:r w:rsidR="004E1381">
        <w:t>s</w:t>
      </w:r>
      <w:r w:rsidR="004E1381">
        <w:t xml:space="preserve">timación del </w:t>
      </w:r>
      <w:r w:rsidRPr="00B459C9">
        <w:t xml:space="preserve">gasto </w:t>
      </w:r>
      <w:r w:rsidR="004E1381">
        <w:t>anual</w:t>
      </w:r>
      <w:r w:rsidRPr="00B459C9">
        <w:t xml:space="preserve"> y la realización de una liquidación al final del año ut</w:t>
      </w:r>
      <w:r w:rsidRPr="00B459C9">
        <w:t>i</w:t>
      </w:r>
      <w:r w:rsidRPr="00B459C9">
        <w:t xml:space="preserve">lizando los </w:t>
      </w:r>
      <w:r w:rsidR="004E1381">
        <w:t>da</w:t>
      </w:r>
      <w:r w:rsidRPr="00B459C9">
        <w:t>tos reales de</w:t>
      </w:r>
      <w:r w:rsidR="004E1381">
        <w:t xml:space="preserve"> gasto</w:t>
      </w:r>
      <w:r w:rsidRPr="00B459C9">
        <w:t xml:space="preserve"> la REPER. </w:t>
      </w:r>
    </w:p>
    <w:p w:rsidR="00B45056" w:rsidRPr="00B459C9" w:rsidRDefault="004703AF" w:rsidP="00B459C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pPr>
      <w:r w:rsidRPr="004703AF">
        <w:rPr>
          <w:rFonts w:cs="Arial"/>
        </w:rPr>
        <w:t>En noviembre de 2012, el Gobierno de Navarra acordó trasladar la DNB a la sede de la REPER como una medida de ahorro. En efecto, este cambio de ubicación, supuso</w:t>
      </w:r>
      <w:r>
        <w:rPr>
          <w:rFonts w:cs="Arial"/>
        </w:rPr>
        <w:t xml:space="preserve"> </w:t>
      </w:r>
      <w:r w:rsidR="00B45056" w:rsidRPr="00B459C9">
        <w:t xml:space="preserve">en 2013 y 2014 </w:t>
      </w:r>
      <w:r>
        <w:t>uno</w:t>
      </w:r>
      <w:r w:rsidR="00B45056" w:rsidRPr="00B459C9">
        <w:t>s gastos de 8.400 y 8.829 euros respect</w:t>
      </w:r>
      <w:r w:rsidR="00B45056" w:rsidRPr="00B459C9">
        <w:t>i</w:t>
      </w:r>
      <w:r w:rsidR="00B45056" w:rsidRPr="00B459C9">
        <w:t>vamente</w:t>
      </w:r>
      <w:r>
        <w:t>,</w:t>
      </w:r>
      <w:r w:rsidR="00B45056" w:rsidRPr="00B459C9">
        <w:t xml:space="preserve"> frente a los 76.730 que supuso el alquiler en 2012 considerando todos los conceptos que conformaban el gasto total de esta partida presupuestaria (contrato de alquiler, tasas e impuestos correspondientes, cargas del edificio, etc.).</w:t>
      </w:r>
    </w:p>
    <w:p w:rsidR="004703AF" w:rsidRDefault="00B45056" w:rsidP="00B459C9">
      <w:pPr>
        <w:pStyle w:val="texto"/>
      </w:pPr>
      <w:r w:rsidRPr="00B459C9">
        <w:tab/>
      </w:r>
      <w:r w:rsidR="0017136A">
        <w:t>Destaca</w:t>
      </w:r>
      <w:r w:rsidR="004703AF">
        <w:t xml:space="preserve"> </w:t>
      </w:r>
      <w:r w:rsidRPr="00B459C9">
        <w:t>como hecho posterior al alcance de este informe</w:t>
      </w:r>
      <w:r w:rsidR="004703AF">
        <w:t xml:space="preserve"> lo siguiente:</w:t>
      </w:r>
      <w:r w:rsidRPr="00B459C9">
        <w:t xml:space="preserve"> el co</w:t>
      </w:r>
      <w:r w:rsidRPr="00B459C9">
        <w:t>n</w:t>
      </w:r>
      <w:r w:rsidRPr="00B459C9">
        <w:t>trato de alquiler entre el Gobierno de Navarra y el propietario del local para ubicar la DNB, ya existía en 2002 y tenía una duración de tres años</w:t>
      </w:r>
      <w:r w:rsidR="00C63FE5">
        <w:t>.</w:t>
      </w:r>
      <w:r w:rsidRPr="00B459C9">
        <w:t xml:space="preserve"> </w:t>
      </w:r>
      <w:r w:rsidR="00C63FE5">
        <w:t>Dicho co</w:t>
      </w:r>
      <w:r w:rsidR="00C63FE5">
        <w:t>n</w:t>
      </w:r>
      <w:r w:rsidR="00C63FE5">
        <w:t>trato</w:t>
      </w:r>
      <w:r w:rsidR="004703AF">
        <w:t xml:space="preserve"> se renovaba</w:t>
      </w:r>
      <w:r w:rsidRPr="00B459C9">
        <w:t xml:space="preserve"> automáticamente a no ser q</w:t>
      </w:r>
      <w:r w:rsidR="00E32533">
        <w:t>ue, con una fecha mínima de v</w:t>
      </w:r>
      <w:r w:rsidR="00E32533">
        <w:t>a</w:t>
      </w:r>
      <w:r w:rsidR="00E32533">
        <w:t>rios</w:t>
      </w:r>
      <w:r w:rsidRPr="00B459C9">
        <w:t xml:space="preserve"> meses de antelación, una de las partes indicara que quería resolver el co</w:t>
      </w:r>
      <w:r w:rsidRPr="00B459C9">
        <w:t>n</w:t>
      </w:r>
      <w:r w:rsidRPr="00B459C9">
        <w:t xml:space="preserve">trato. </w:t>
      </w:r>
    </w:p>
    <w:p w:rsidR="00E32533" w:rsidRDefault="00B45056" w:rsidP="00B459C9">
      <w:pPr>
        <w:pStyle w:val="texto"/>
      </w:pPr>
      <w:r w:rsidRPr="00B459C9">
        <w:t>En noviembre de 2012 se prorrogó el contrato de alquiler hasta noviembre de 2015</w:t>
      </w:r>
      <w:r w:rsidR="004703AF">
        <w:t>,</w:t>
      </w:r>
      <w:r w:rsidRPr="00B459C9">
        <w:t xml:space="preserve"> sin que ninguna de las partes se hubiera opuesto a ello previamente. </w:t>
      </w:r>
      <w:r w:rsidR="00E32533">
        <w:t>En diciembre de 2012, el Ministerio de Asuntos Exteriores y de Cooperación de España ofreció a las comunidades autónomas trasladarse a la sede de la REPER con el fin de ahorrar y aprovechar las instalaciones disponibles. El Gobierno de Navarra valoró las distintas opciones existentes, teniendo en cuenta las cond</w:t>
      </w:r>
      <w:r w:rsidR="00E32533">
        <w:t>i</w:t>
      </w:r>
      <w:r w:rsidR="00E32533">
        <w:t>ciones que regían su contrato de alquiler; tras recabar asesoramiento jurídico externo, se decantó por la resolución de este contrato, al entender que se aplic</w:t>
      </w:r>
      <w:r w:rsidR="00E32533">
        <w:t>a</w:t>
      </w:r>
      <w:r w:rsidR="00E32533">
        <w:t>ría un artículo del mismo que suponía abonar al propietario del local una i</w:t>
      </w:r>
      <w:r w:rsidR="00E32533">
        <w:t>n</w:t>
      </w:r>
      <w:r w:rsidR="00E32533">
        <w:t xml:space="preserve">demnización de seis meses. </w:t>
      </w:r>
    </w:p>
    <w:p w:rsidR="00B45056" w:rsidRDefault="00E32533" w:rsidP="00B459C9">
      <w:pPr>
        <w:pStyle w:val="texto"/>
      </w:pPr>
      <w:r>
        <w:t>Por este motivo</w:t>
      </w:r>
      <w:r w:rsidR="00B45056" w:rsidRPr="00B459C9">
        <w:t xml:space="preserve">, </w:t>
      </w:r>
      <w:r w:rsidR="004703AF">
        <w:t xml:space="preserve">tras el acuerdo de gobierno citado, </w:t>
      </w:r>
      <w:r w:rsidR="00B45056" w:rsidRPr="00B459C9">
        <w:t xml:space="preserve">en diciembre de 2012 se firma un protocolo general de colaboración entre el Gobierno de Navarra y el Ministerio de Asuntos Exteriores y de Cooperación de España para trasladar la Delegación a los locales de la REPER. </w:t>
      </w:r>
    </w:p>
    <w:p w:rsidR="00B45056" w:rsidRDefault="00B45056" w:rsidP="00B459C9">
      <w:pPr>
        <w:pStyle w:val="texto"/>
      </w:pPr>
      <w:r w:rsidRPr="00B459C9">
        <w:t>Dado que el contrato de alquiler de la antigua ubicación ya había comenzado en noviembre de 2012, el propietario del local denunció esta situación aludie</w:t>
      </w:r>
      <w:r w:rsidRPr="00B459C9">
        <w:t>n</w:t>
      </w:r>
      <w:r w:rsidRPr="00B459C9">
        <w:t>do a la cláusula de renovación automática citada en los párrafos anteriores. Tras la celebración de diversos actos de conciliación entre la inmobiliaria y el Gobierno de Navarra, se acaba estimando la demanda de la empresa que sup</w:t>
      </w:r>
      <w:r w:rsidRPr="00B459C9">
        <w:t>o</w:t>
      </w:r>
      <w:r w:rsidRPr="00B459C9">
        <w:t>nía abonar a la empresa dueña del local 193.507 euros correspondientes al a</w:t>
      </w:r>
      <w:r w:rsidRPr="00B459C9">
        <w:t>l</w:t>
      </w:r>
      <w:r w:rsidRPr="00B459C9">
        <w:t xml:space="preserve">quiler hasta noviembre de 2015 por incumplimiento de contrato. </w:t>
      </w:r>
      <w:r w:rsidR="004703AF">
        <w:t>El importe f</w:t>
      </w:r>
      <w:r w:rsidR="004703AF">
        <w:t>i</w:t>
      </w:r>
      <w:r w:rsidR="004703AF">
        <w:t xml:space="preserve">nalmente abonado </w:t>
      </w:r>
      <w:r w:rsidR="00C63FE5">
        <w:t xml:space="preserve">a </w:t>
      </w:r>
      <w:r w:rsidR="004703AF">
        <w:t>la empresa inmobiliaria en 2015 ha ascendido a 196.935 euros</w:t>
      </w:r>
      <w:r w:rsidRPr="00B459C9">
        <w:t xml:space="preserve">. </w:t>
      </w:r>
    </w:p>
    <w:p w:rsidR="004703AF" w:rsidRPr="00B459C9" w:rsidRDefault="004703AF" w:rsidP="00B459C9">
      <w:pPr>
        <w:pStyle w:val="texto"/>
      </w:pPr>
      <w:r>
        <w:lastRenderedPageBreak/>
        <w:t>En definitiva, la pretensión de ahorro del Gobierno de Navarra con el trasl</w:t>
      </w:r>
      <w:r>
        <w:t>a</w:t>
      </w:r>
      <w:r>
        <w:t>do de la DNB a la sede de la REPER no se ha conseguido durante el periodo 2013-2015, ya que</w:t>
      </w:r>
      <w:r w:rsidR="007866D4">
        <w:t>,</w:t>
      </w:r>
      <w:r>
        <w:t xml:space="preserve"> durante estos años</w:t>
      </w:r>
      <w:r w:rsidR="007866D4">
        <w:t>,</w:t>
      </w:r>
      <w:r>
        <w:t xml:space="preserve"> se ha abonado tanto el alquiler de la a</w:t>
      </w:r>
      <w:r>
        <w:t>n</w:t>
      </w:r>
      <w:r>
        <w:t>tigua sede, por falta de previsión de cumplimiento de contrato, como los gastos derivados de la ubicación en la sede del Ministerio de Asuntos Exteriores y de Cooperación.</w:t>
      </w:r>
    </w:p>
    <w:p w:rsidR="00B45056" w:rsidRPr="00051744" w:rsidRDefault="00B45056" w:rsidP="00B45056">
      <w:pPr>
        <w:pStyle w:val="atitulo2"/>
        <w:rPr>
          <w:i/>
        </w:rPr>
      </w:pPr>
      <w:bookmarkStart w:id="47" w:name="_Toc431210967"/>
      <w:bookmarkStart w:id="48" w:name="_Toc431540921"/>
      <w:bookmarkStart w:id="49" w:name="_Toc431557232"/>
      <w:bookmarkStart w:id="50" w:name="_Toc431557270"/>
      <w:bookmarkStart w:id="51" w:name="_Toc432757085"/>
      <w:bookmarkStart w:id="52" w:name="_Toc437411104"/>
      <w:bookmarkStart w:id="53" w:name="_Toc440523194"/>
      <w:r w:rsidRPr="00051744">
        <w:t>V.</w:t>
      </w:r>
      <w:r>
        <w:t>3</w:t>
      </w:r>
      <w:r w:rsidRPr="00051744">
        <w:t xml:space="preserve">. </w:t>
      </w:r>
      <w:bookmarkEnd w:id="47"/>
      <w:bookmarkEnd w:id="48"/>
      <w:bookmarkEnd w:id="49"/>
      <w:bookmarkEnd w:id="50"/>
      <w:bookmarkEnd w:id="51"/>
      <w:r>
        <w:t>Análisis de las actividades de la Delegación de Navarra en Bruselas</w:t>
      </w:r>
      <w:bookmarkEnd w:id="52"/>
      <w:bookmarkEnd w:id="53"/>
    </w:p>
    <w:p w:rsidR="00337982" w:rsidRDefault="00337982" w:rsidP="00B45056">
      <w:pPr>
        <w:pStyle w:val="texto"/>
        <w:rPr>
          <w:lang w:val="es-ES"/>
        </w:rPr>
      </w:pPr>
      <w:r>
        <w:rPr>
          <w:lang w:val="es-ES"/>
        </w:rPr>
        <w:t>La DNB nos ha facilitado</w:t>
      </w:r>
      <w:r w:rsidR="00B45056">
        <w:rPr>
          <w:lang w:val="es-ES"/>
        </w:rPr>
        <w:t xml:space="preserve"> información referida a las actividades llevadas a cabo en 2008, 2009, 2014 y para el periodo enero-junio de 2015</w:t>
      </w:r>
      <w:r>
        <w:rPr>
          <w:lang w:val="es-ES"/>
        </w:rPr>
        <w:t>.</w:t>
      </w:r>
      <w:r w:rsidR="00B45056">
        <w:rPr>
          <w:lang w:val="es-ES"/>
        </w:rPr>
        <w:t xml:space="preserve"> </w:t>
      </w:r>
    </w:p>
    <w:p w:rsidR="00B45056" w:rsidRDefault="00B45056" w:rsidP="00B45056">
      <w:pPr>
        <w:pStyle w:val="texto"/>
        <w:rPr>
          <w:lang w:val="es-ES"/>
        </w:rPr>
      </w:pPr>
      <w:r>
        <w:rPr>
          <w:lang w:val="es-ES"/>
        </w:rPr>
        <w:t>La información no se presenta siguiendo un formato determinado y se mide de diferente forma en cada año lo que dificulta su comparación, siendo los d</w:t>
      </w:r>
      <w:r>
        <w:rPr>
          <w:lang w:val="es-ES"/>
        </w:rPr>
        <w:t>a</w:t>
      </w:r>
      <w:r>
        <w:rPr>
          <w:lang w:val="es-ES"/>
        </w:rPr>
        <w:t>tos más exhaustivos los correspondientes a 2009. Hay que destacar que, en t</w:t>
      </w:r>
      <w:r>
        <w:rPr>
          <w:lang w:val="es-ES"/>
        </w:rPr>
        <w:t>o</w:t>
      </w:r>
      <w:r>
        <w:rPr>
          <w:lang w:val="es-ES"/>
        </w:rPr>
        <w:t>dos los casos, se proporcionan datos sobre la actividad sin que exista una con</w:t>
      </w:r>
      <w:r>
        <w:rPr>
          <w:lang w:val="es-ES"/>
        </w:rPr>
        <w:t>e</w:t>
      </w:r>
      <w:r>
        <w:rPr>
          <w:lang w:val="es-ES"/>
        </w:rPr>
        <w:t xml:space="preserve">xión con el resultado de dicha actividad, lo que dificulta la evaluación de la eficacia. </w:t>
      </w:r>
    </w:p>
    <w:p w:rsidR="00B45056" w:rsidRDefault="00B45056" w:rsidP="0042275C">
      <w:pPr>
        <w:pStyle w:val="texto"/>
        <w:spacing w:after="240"/>
        <w:rPr>
          <w:lang w:val="es-ES"/>
        </w:rPr>
      </w:pPr>
      <w:r>
        <w:rPr>
          <w:lang w:val="es-ES"/>
        </w:rPr>
        <w:t>A modo de ejemplo, presentamos a continuación algunos de los datos que  nos ha facilitado la DNB para 2009:</w:t>
      </w:r>
    </w:p>
    <w:tbl>
      <w:tblPr>
        <w:tblStyle w:val="Tablaconcuadrcula"/>
        <w:tblW w:w="9458" w:type="dxa"/>
        <w:jc w:val="center"/>
        <w:tblInd w:w="439"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1426"/>
        <w:gridCol w:w="829"/>
        <w:gridCol w:w="172"/>
        <w:gridCol w:w="1771"/>
        <w:gridCol w:w="546"/>
        <w:gridCol w:w="460"/>
        <w:gridCol w:w="1639"/>
        <w:gridCol w:w="664"/>
      </w:tblGrid>
      <w:tr w:rsidR="00E7172B" w:rsidRPr="00B752CC" w:rsidTr="00E7172B">
        <w:trPr>
          <w:trHeight w:val="255"/>
          <w:jc w:val="center"/>
        </w:trPr>
        <w:tc>
          <w:tcPr>
            <w:tcW w:w="1951" w:type="dxa"/>
            <w:tcBorders>
              <w:bottom w:val="single" w:sz="4" w:space="0" w:color="auto"/>
            </w:tcBorders>
            <w:shd w:val="clear" w:color="auto" w:fill="8DB3E2" w:themeFill="text2" w:themeFillTint="66"/>
            <w:vAlign w:val="center"/>
          </w:tcPr>
          <w:p w:rsidR="00B45056" w:rsidRPr="00B752CC" w:rsidRDefault="00B45056" w:rsidP="00B45056">
            <w:pPr>
              <w:pStyle w:val="texto"/>
              <w:spacing w:after="0"/>
              <w:ind w:firstLine="0"/>
              <w:rPr>
                <w:rFonts w:ascii="Arial" w:hAnsi="Arial" w:cs="Arial"/>
                <w:sz w:val="18"/>
                <w:szCs w:val="18"/>
                <w:lang w:val="es-ES"/>
              </w:rPr>
            </w:pPr>
          </w:p>
        </w:tc>
        <w:tc>
          <w:tcPr>
            <w:tcW w:w="2255" w:type="dxa"/>
            <w:gridSpan w:val="2"/>
            <w:tcBorders>
              <w:bottom w:val="single" w:sz="4" w:space="0" w:color="auto"/>
            </w:tcBorders>
            <w:shd w:val="clear" w:color="auto" w:fill="8DB3E2" w:themeFill="text2" w:themeFillTint="66"/>
            <w:vAlign w:val="center"/>
          </w:tcPr>
          <w:p w:rsidR="00E7172B" w:rsidRDefault="00B45056" w:rsidP="0042275C">
            <w:pPr>
              <w:pStyle w:val="texto"/>
              <w:spacing w:after="0"/>
              <w:ind w:right="122" w:firstLine="0"/>
              <w:jc w:val="center"/>
              <w:rPr>
                <w:rFonts w:ascii="Arial" w:hAnsi="Arial" w:cs="Arial"/>
                <w:sz w:val="18"/>
                <w:szCs w:val="18"/>
                <w:lang w:val="es-ES"/>
              </w:rPr>
            </w:pPr>
            <w:r>
              <w:rPr>
                <w:rFonts w:ascii="Arial" w:hAnsi="Arial" w:cs="Arial"/>
                <w:sz w:val="18"/>
                <w:szCs w:val="18"/>
                <w:lang w:val="es-ES"/>
              </w:rPr>
              <w:t xml:space="preserve">Al Gobierno de </w:t>
            </w:r>
          </w:p>
          <w:p w:rsidR="00B45056" w:rsidRPr="00B752CC" w:rsidRDefault="00B45056" w:rsidP="0042275C">
            <w:pPr>
              <w:pStyle w:val="texto"/>
              <w:spacing w:after="0"/>
              <w:ind w:right="122" w:firstLine="0"/>
              <w:jc w:val="center"/>
              <w:rPr>
                <w:rFonts w:ascii="Arial" w:hAnsi="Arial" w:cs="Arial"/>
                <w:sz w:val="18"/>
                <w:szCs w:val="18"/>
                <w:lang w:val="es-ES"/>
              </w:rPr>
            </w:pPr>
            <w:r>
              <w:rPr>
                <w:rFonts w:ascii="Arial" w:hAnsi="Arial" w:cs="Arial"/>
                <w:sz w:val="18"/>
                <w:szCs w:val="18"/>
                <w:lang w:val="es-ES"/>
              </w:rPr>
              <w:t>Navarra</w:t>
            </w:r>
          </w:p>
        </w:tc>
        <w:tc>
          <w:tcPr>
            <w:tcW w:w="2949" w:type="dxa"/>
            <w:gridSpan w:val="4"/>
            <w:tcBorders>
              <w:bottom w:val="single" w:sz="4" w:space="0" w:color="auto"/>
            </w:tcBorders>
            <w:shd w:val="clear" w:color="auto" w:fill="8DB3E2" w:themeFill="text2" w:themeFillTint="66"/>
            <w:vAlign w:val="center"/>
          </w:tcPr>
          <w:p w:rsidR="00B45056" w:rsidRDefault="00B45056" w:rsidP="0042275C">
            <w:pPr>
              <w:pStyle w:val="texto"/>
              <w:spacing w:after="0"/>
              <w:ind w:firstLine="0"/>
              <w:jc w:val="center"/>
              <w:rPr>
                <w:rFonts w:ascii="Arial" w:hAnsi="Arial" w:cs="Arial"/>
                <w:sz w:val="18"/>
                <w:szCs w:val="18"/>
                <w:lang w:val="es-ES"/>
              </w:rPr>
            </w:pPr>
            <w:r>
              <w:rPr>
                <w:rFonts w:ascii="Arial" w:hAnsi="Arial" w:cs="Arial"/>
                <w:sz w:val="18"/>
                <w:szCs w:val="18"/>
                <w:lang w:val="es-ES"/>
              </w:rPr>
              <w:t>A otros</w:t>
            </w:r>
          </w:p>
          <w:p w:rsidR="00B45056" w:rsidRDefault="00B45056" w:rsidP="00E7172B">
            <w:pPr>
              <w:pStyle w:val="texto"/>
              <w:spacing w:after="0"/>
              <w:ind w:firstLine="0"/>
              <w:jc w:val="right"/>
              <w:rPr>
                <w:rFonts w:ascii="Arial" w:hAnsi="Arial" w:cs="Arial"/>
                <w:sz w:val="18"/>
                <w:szCs w:val="18"/>
                <w:lang w:val="es-ES"/>
              </w:rPr>
            </w:pPr>
            <w:r>
              <w:rPr>
                <w:rFonts w:ascii="Arial" w:hAnsi="Arial" w:cs="Arial"/>
                <w:sz w:val="18"/>
                <w:szCs w:val="18"/>
                <w:lang w:val="es-ES"/>
              </w:rPr>
              <w:t>(</w:t>
            </w:r>
            <w:proofErr w:type="spellStart"/>
            <w:r>
              <w:rPr>
                <w:rFonts w:ascii="Arial" w:hAnsi="Arial" w:cs="Arial"/>
                <w:sz w:val="18"/>
                <w:szCs w:val="18"/>
                <w:lang w:val="es-ES"/>
              </w:rPr>
              <w:t>ay</w:t>
            </w:r>
            <w:r w:rsidR="00E7172B">
              <w:rPr>
                <w:rFonts w:ascii="Arial" w:hAnsi="Arial" w:cs="Arial"/>
                <w:sz w:val="18"/>
                <w:szCs w:val="18"/>
                <w:lang w:val="es-ES"/>
              </w:rPr>
              <w:t>tos</w:t>
            </w:r>
            <w:proofErr w:type="spellEnd"/>
            <w:r w:rsidR="00E7172B">
              <w:rPr>
                <w:rFonts w:ascii="Arial" w:hAnsi="Arial" w:cs="Arial"/>
                <w:sz w:val="18"/>
                <w:szCs w:val="18"/>
                <w:lang w:val="es-ES"/>
              </w:rPr>
              <w:t>.</w:t>
            </w:r>
            <w:r>
              <w:rPr>
                <w:rFonts w:ascii="Arial" w:hAnsi="Arial" w:cs="Arial"/>
                <w:sz w:val="18"/>
                <w:szCs w:val="18"/>
                <w:lang w:val="es-ES"/>
              </w:rPr>
              <w:t>, empresas, etc.)</w:t>
            </w:r>
          </w:p>
        </w:tc>
        <w:tc>
          <w:tcPr>
            <w:tcW w:w="2303" w:type="dxa"/>
            <w:gridSpan w:val="2"/>
            <w:tcBorders>
              <w:bottom w:val="single" w:sz="4" w:space="0" w:color="auto"/>
            </w:tcBorders>
            <w:shd w:val="clear" w:color="auto" w:fill="8DB3E2" w:themeFill="text2" w:themeFillTint="66"/>
            <w:vAlign w:val="center"/>
          </w:tcPr>
          <w:p w:rsidR="00B45056" w:rsidRPr="00B752CC" w:rsidRDefault="00B45056" w:rsidP="00B45056">
            <w:pPr>
              <w:pStyle w:val="texto"/>
              <w:spacing w:after="0"/>
              <w:ind w:firstLine="0"/>
              <w:jc w:val="center"/>
              <w:rPr>
                <w:rFonts w:ascii="Arial" w:hAnsi="Arial" w:cs="Arial"/>
                <w:sz w:val="18"/>
                <w:szCs w:val="18"/>
                <w:lang w:val="es-ES"/>
              </w:rPr>
            </w:pPr>
            <w:r>
              <w:rPr>
                <w:rFonts w:ascii="Arial" w:hAnsi="Arial" w:cs="Arial"/>
                <w:sz w:val="18"/>
                <w:szCs w:val="18"/>
                <w:lang w:val="es-ES"/>
              </w:rPr>
              <w:t>Total</w:t>
            </w:r>
          </w:p>
        </w:tc>
      </w:tr>
      <w:tr w:rsidR="00E7172B" w:rsidRPr="00E7172B" w:rsidTr="00E7172B">
        <w:trPr>
          <w:trHeight w:val="198"/>
          <w:jc w:val="center"/>
        </w:trPr>
        <w:tc>
          <w:tcPr>
            <w:tcW w:w="1951" w:type="dxa"/>
            <w:tcBorders>
              <w:bottom w:val="single" w:sz="4" w:space="0" w:color="auto"/>
            </w:tcBorders>
            <w:vAlign w:val="center"/>
          </w:tcPr>
          <w:p w:rsidR="00B45056" w:rsidRPr="00B752CC" w:rsidRDefault="00B45056" w:rsidP="00B45056">
            <w:pPr>
              <w:pStyle w:val="texto"/>
              <w:spacing w:after="0"/>
              <w:ind w:firstLine="0"/>
              <w:rPr>
                <w:rFonts w:ascii="Arial Narrow" w:hAnsi="Arial Narrow"/>
                <w:sz w:val="20"/>
                <w:szCs w:val="20"/>
                <w:lang w:val="es-ES"/>
              </w:rPr>
            </w:pPr>
          </w:p>
        </w:tc>
        <w:tc>
          <w:tcPr>
            <w:tcW w:w="1426" w:type="dxa"/>
            <w:tcBorders>
              <w:bottom w:val="single" w:sz="4" w:space="0" w:color="auto"/>
            </w:tcBorders>
            <w:vAlign w:val="center"/>
          </w:tcPr>
          <w:p w:rsidR="00B45056" w:rsidRPr="00E7172B" w:rsidRDefault="00B45056" w:rsidP="0042275C">
            <w:pPr>
              <w:pStyle w:val="texto"/>
              <w:spacing w:after="0"/>
              <w:ind w:left="-124" w:right="-94" w:firstLine="0"/>
              <w:jc w:val="right"/>
              <w:rPr>
                <w:rFonts w:ascii="Arial" w:hAnsi="Arial" w:cs="Arial"/>
                <w:sz w:val="16"/>
                <w:szCs w:val="16"/>
                <w:lang w:val="es-ES"/>
              </w:rPr>
            </w:pPr>
            <w:r w:rsidRPr="00E7172B">
              <w:rPr>
                <w:rFonts w:ascii="Arial" w:hAnsi="Arial" w:cs="Arial"/>
                <w:sz w:val="16"/>
                <w:szCs w:val="16"/>
                <w:lang w:val="es-ES"/>
              </w:rPr>
              <w:t>Sobre proyectos</w:t>
            </w:r>
          </w:p>
        </w:tc>
        <w:tc>
          <w:tcPr>
            <w:tcW w:w="1001" w:type="dxa"/>
            <w:gridSpan w:val="2"/>
            <w:tcBorders>
              <w:bottom w:val="single" w:sz="4" w:space="0" w:color="auto"/>
            </w:tcBorders>
            <w:vAlign w:val="center"/>
          </w:tcPr>
          <w:p w:rsidR="00B45056" w:rsidRPr="00E7172B" w:rsidRDefault="00B45056" w:rsidP="0042275C">
            <w:pPr>
              <w:pStyle w:val="texto"/>
              <w:spacing w:after="0"/>
              <w:ind w:left="-388" w:right="388" w:firstLine="0"/>
              <w:jc w:val="right"/>
              <w:rPr>
                <w:rFonts w:ascii="Arial" w:hAnsi="Arial" w:cs="Arial"/>
                <w:sz w:val="16"/>
                <w:szCs w:val="16"/>
                <w:lang w:val="es-ES"/>
              </w:rPr>
            </w:pPr>
            <w:r w:rsidRPr="00E7172B">
              <w:rPr>
                <w:rFonts w:ascii="Arial" w:hAnsi="Arial" w:cs="Arial"/>
                <w:sz w:val="16"/>
                <w:szCs w:val="16"/>
                <w:lang w:val="es-ES"/>
              </w:rPr>
              <w:t>Resto</w:t>
            </w:r>
          </w:p>
        </w:tc>
        <w:tc>
          <w:tcPr>
            <w:tcW w:w="1771" w:type="dxa"/>
            <w:tcBorders>
              <w:bottom w:val="single" w:sz="4" w:space="0" w:color="auto"/>
            </w:tcBorders>
            <w:vAlign w:val="center"/>
          </w:tcPr>
          <w:p w:rsidR="00B45056" w:rsidRPr="00E7172B" w:rsidRDefault="00B45056" w:rsidP="0042275C">
            <w:pPr>
              <w:pStyle w:val="texto"/>
              <w:spacing w:after="0"/>
              <w:ind w:right="244" w:firstLine="0"/>
              <w:jc w:val="right"/>
              <w:rPr>
                <w:rFonts w:ascii="Arial" w:hAnsi="Arial" w:cs="Arial"/>
                <w:sz w:val="16"/>
                <w:szCs w:val="16"/>
                <w:lang w:val="es-ES"/>
              </w:rPr>
            </w:pPr>
            <w:r w:rsidRPr="00E7172B">
              <w:rPr>
                <w:rFonts w:ascii="Arial" w:hAnsi="Arial" w:cs="Arial"/>
                <w:sz w:val="16"/>
                <w:szCs w:val="16"/>
                <w:lang w:val="es-ES"/>
              </w:rPr>
              <w:t>Sobre proyectos</w:t>
            </w:r>
          </w:p>
        </w:tc>
        <w:tc>
          <w:tcPr>
            <w:tcW w:w="1006" w:type="dxa"/>
            <w:gridSpan w:val="2"/>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lang w:val="es-ES"/>
              </w:rPr>
            </w:pPr>
            <w:r w:rsidRPr="00E7172B">
              <w:rPr>
                <w:rFonts w:ascii="Arial" w:hAnsi="Arial" w:cs="Arial"/>
                <w:sz w:val="16"/>
                <w:szCs w:val="16"/>
                <w:lang w:val="es-ES"/>
              </w:rPr>
              <w:t>Resto</w:t>
            </w:r>
          </w:p>
        </w:tc>
        <w:tc>
          <w:tcPr>
            <w:tcW w:w="1639" w:type="dxa"/>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lang w:val="es-ES"/>
              </w:rPr>
            </w:pPr>
            <w:r w:rsidRPr="00E7172B">
              <w:rPr>
                <w:rFonts w:ascii="Arial" w:hAnsi="Arial" w:cs="Arial"/>
                <w:sz w:val="16"/>
                <w:szCs w:val="16"/>
                <w:lang w:val="es-ES"/>
              </w:rPr>
              <w:t>Sobre proyectos</w:t>
            </w:r>
          </w:p>
        </w:tc>
        <w:tc>
          <w:tcPr>
            <w:tcW w:w="664" w:type="dxa"/>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lang w:val="es-ES"/>
              </w:rPr>
            </w:pPr>
            <w:r w:rsidRPr="00E7172B">
              <w:rPr>
                <w:rFonts w:ascii="Arial" w:hAnsi="Arial" w:cs="Arial"/>
                <w:sz w:val="16"/>
                <w:szCs w:val="16"/>
                <w:lang w:val="es-ES"/>
              </w:rPr>
              <w:t>Resto</w:t>
            </w:r>
          </w:p>
        </w:tc>
      </w:tr>
      <w:tr w:rsidR="00E7172B" w:rsidRPr="00E7172B" w:rsidTr="00E7172B">
        <w:trPr>
          <w:trHeight w:val="198"/>
          <w:jc w:val="center"/>
        </w:trPr>
        <w:tc>
          <w:tcPr>
            <w:tcW w:w="1951" w:type="dxa"/>
            <w:tcBorders>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r w:rsidRPr="00E7172B">
              <w:rPr>
                <w:rFonts w:ascii="Arial Narrow" w:hAnsi="Arial Narrow"/>
                <w:sz w:val="18"/>
                <w:szCs w:val="18"/>
                <w:lang w:val="es-ES"/>
              </w:rPr>
              <w:t xml:space="preserve">Nº informes enviados </w:t>
            </w:r>
          </w:p>
        </w:tc>
        <w:tc>
          <w:tcPr>
            <w:tcW w:w="1426" w:type="dxa"/>
            <w:tcBorders>
              <w:bottom w:val="single" w:sz="2"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lang w:val="es-ES"/>
              </w:rPr>
            </w:pPr>
            <w:r w:rsidRPr="00E7172B">
              <w:rPr>
                <w:rFonts w:ascii="Arial Narrow" w:hAnsi="Arial Narrow"/>
                <w:sz w:val="18"/>
                <w:szCs w:val="18"/>
                <w:lang w:val="es-ES"/>
              </w:rPr>
              <w:t>74</w:t>
            </w:r>
          </w:p>
        </w:tc>
        <w:tc>
          <w:tcPr>
            <w:tcW w:w="1001" w:type="dxa"/>
            <w:gridSpan w:val="2"/>
            <w:tcBorders>
              <w:bottom w:val="single" w:sz="2"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lang w:val="es-ES"/>
              </w:rPr>
            </w:pPr>
            <w:r w:rsidRPr="00E7172B">
              <w:rPr>
                <w:rFonts w:ascii="Arial Narrow" w:hAnsi="Arial Narrow"/>
                <w:sz w:val="18"/>
                <w:szCs w:val="18"/>
                <w:lang w:val="es-ES"/>
              </w:rPr>
              <w:t>631</w:t>
            </w:r>
          </w:p>
        </w:tc>
        <w:tc>
          <w:tcPr>
            <w:tcW w:w="1771" w:type="dxa"/>
            <w:tcBorders>
              <w:bottom w:val="single" w:sz="2"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lang w:val="es-ES"/>
              </w:rPr>
            </w:pPr>
            <w:r w:rsidRPr="00E7172B">
              <w:rPr>
                <w:rFonts w:ascii="Arial Narrow" w:hAnsi="Arial Narrow"/>
                <w:sz w:val="18"/>
                <w:szCs w:val="18"/>
                <w:lang w:val="es-ES"/>
              </w:rPr>
              <w:t>49</w:t>
            </w:r>
          </w:p>
        </w:tc>
        <w:tc>
          <w:tcPr>
            <w:tcW w:w="1006" w:type="dxa"/>
            <w:gridSpan w:val="2"/>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57</w:t>
            </w:r>
          </w:p>
        </w:tc>
        <w:tc>
          <w:tcPr>
            <w:tcW w:w="1639" w:type="dxa"/>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123</w:t>
            </w:r>
          </w:p>
        </w:tc>
        <w:tc>
          <w:tcPr>
            <w:tcW w:w="664" w:type="dxa"/>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688</w:t>
            </w:r>
          </w:p>
        </w:tc>
      </w:tr>
      <w:tr w:rsidR="00E7172B" w:rsidRPr="00E7172B" w:rsidTr="00E7172B">
        <w:trPr>
          <w:trHeight w:val="198"/>
          <w:jc w:val="center"/>
        </w:trPr>
        <w:tc>
          <w:tcPr>
            <w:tcW w:w="1951" w:type="dxa"/>
            <w:tcBorders>
              <w:top w:val="single" w:sz="2" w:space="0" w:color="auto"/>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r w:rsidRPr="00E7172B">
              <w:rPr>
                <w:rFonts w:ascii="Arial Narrow" w:hAnsi="Arial Narrow"/>
                <w:sz w:val="18"/>
                <w:szCs w:val="18"/>
                <w:lang w:val="es-ES"/>
              </w:rPr>
              <w:t xml:space="preserve">Nº consultas recibidas </w:t>
            </w:r>
          </w:p>
        </w:tc>
        <w:tc>
          <w:tcPr>
            <w:tcW w:w="1426" w:type="dxa"/>
            <w:tcBorders>
              <w:top w:val="single" w:sz="2" w:space="0" w:color="auto"/>
              <w:bottom w:val="single" w:sz="2"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lang w:val="es-ES"/>
              </w:rPr>
            </w:pPr>
            <w:r w:rsidRPr="00E7172B">
              <w:rPr>
                <w:rFonts w:ascii="Arial Narrow" w:hAnsi="Arial Narrow"/>
                <w:sz w:val="18"/>
                <w:szCs w:val="18"/>
                <w:lang w:val="es-ES"/>
              </w:rPr>
              <w:t>19</w:t>
            </w:r>
          </w:p>
        </w:tc>
        <w:tc>
          <w:tcPr>
            <w:tcW w:w="1001" w:type="dxa"/>
            <w:gridSpan w:val="2"/>
            <w:tcBorders>
              <w:top w:val="single" w:sz="2" w:space="0" w:color="auto"/>
              <w:bottom w:val="single" w:sz="2"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lang w:val="es-ES"/>
              </w:rPr>
            </w:pPr>
            <w:r w:rsidRPr="00E7172B">
              <w:rPr>
                <w:rFonts w:ascii="Arial Narrow" w:hAnsi="Arial Narrow"/>
                <w:sz w:val="18"/>
                <w:szCs w:val="18"/>
                <w:lang w:val="es-ES"/>
              </w:rPr>
              <w:t>189</w:t>
            </w:r>
          </w:p>
        </w:tc>
        <w:tc>
          <w:tcPr>
            <w:tcW w:w="1771" w:type="dxa"/>
            <w:tcBorders>
              <w:top w:val="single" w:sz="2" w:space="0" w:color="auto"/>
              <w:bottom w:val="single" w:sz="2"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lang w:val="es-ES"/>
              </w:rPr>
            </w:pPr>
            <w:r w:rsidRPr="00E7172B">
              <w:rPr>
                <w:rFonts w:ascii="Arial Narrow" w:hAnsi="Arial Narrow"/>
                <w:sz w:val="18"/>
                <w:szCs w:val="18"/>
                <w:lang w:val="es-ES"/>
              </w:rPr>
              <w:t>32</w:t>
            </w:r>
          </w:p>
        </w:tc>
        <w:tc>
          <w:tcPr>
            <w:tcW w:w="1006" w:type="dxa"/>
            <w:gridSpan w:val="2"/>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119</w:t>
            </w:r>
          </w:p>
        </w:tc>
        <w:tc>
          <w:tcPr>
            <w:tcW w:w="1639" w:type="dxa"/>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51</w:t>
            </w:r>
          </w:p>
        </w:tc>
        <w:tc>
          <w:tcPr>
            <w:tcW w:w="664" w:type="dxa"/>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308</w:t>
            </w:r>
          </w:p>
        </w:tc>
      </w:tr>
      <w:tr w:rsidR="00E7172B" w:rsidRPr="00E7172B" w:rsidTr="00E7172B">
        <w:trPr>
          <w:trHeight w:val="198"/>
          <w:jc w:val="center"/>
        </w:trPr>
        <w:tc>
          <w:tcPr>
            <w:tcW w:w="1951" w:type="dxa"/>
            <w:tcBorders>
              <w:top w:val="single" w:sz="2" w:space="0" w:color="auto"/>
              <w:bottom w:val="single" w:sz="4"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r w:rsidRPr="00E7172B">
              <w:rPr>
                <w:rFonts w:ascii="Arial Narrow" w:hAnsi="Arial Narrow"/>
                <w:sz w:val="18"/>
                <w:szCs w:val="18"/>
                <w:lang w:val="es-ES"/>
              </w:rPr>
              <w:t xml:space="preserve">Búsqueda de socios </w:t>
            </w:r>
          </w:p>
        </w:tc>
        <w:tc>
          <w:tcPr>
            <w:tcW w:w="1426" w:type="dxa"/>
            <w:tcBorders>
              <w:top w:val="single" w:sz="2" w:space="0" w:color="auto"/>
              <w:bottom w:val="single" w:sz="4"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lang w:val="es-ES"/>
              </w:rPr>
            </w:pPr>
            <w:r w:rsidRPr="00E7172B">
              <w:rPr>
                <w:rFonts w:ascii="Arial Narrow" w:hAnsi="Arial Narrow"/>
                <w:sz w:val="18"/>
                <w:szCs w:val="18"/>
                <w:lang w:val="es-ES"/>
              </w:rPr>
              <w:t>37</w:t>
            </w:r>
          </w:p>
        </w:tc>
        <w:tc>
          <w:tcPr>
            <w:tcW w:w="1001" w:type="dxa"/>
            <w:gridSpan w:val="2"/>
            <w:tcBorders>
              <w:top w:val="single" w:sz="2" w:space="0" w:color="auto"/>
              <w:bottom w:val="single" w:sz="4"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lang w:val="es-ES"/>
              </w:rPr>
            </w:pPr>
            <w:r w:rsidRPr="00E7172B">
              <w:rPr>
                <w:rFonts w:ascii="Arial Narrow" w:hAnsi="Arial Narrow"/>
                <w:sz w:val="18"/>
                <w:szCs w:val="18"/>
                <w:lang w:val="es-ES"/>
              </w:rPr>
              <w:t>-</w:t>
            </w:r>
          </w:p>
        </w:tc>
        <w:tc>
          <w:tcPr>
            <w:tcW w:w="1771" w:type="dxa"/>
            <w:tcBorders>
              <w:top w:val="single" w:sz="2" w:space="0" w:color="auto"/>
              <w:bottom w:val="single" w:sz="4"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lang w:val="es-ES"/>
              </w:rPr>
            </w:pPr>
            <w:r w:rsidRPr="00E7172B">
              <w:rPr>
                <w:rFonts w:ascii="Arial Narrow" w:hAnsi="Arial Narrow"/>
                <w:sz w:val="18"/>
                <w:szCs w:val="18"/>
                <w:lang w:val="es-ES"/>
              </w:rPr>
              <w:t>10</w:t>
            </w:r>
          </w:p>
        </w:tc>
        <w:tc>
          <w:tcPr>
            <w:tcW w:w="1006" w:type="dxa"/>
            <w:gridSpan w:val="2"/>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w:t>
            </w:r>
          </w:p>
        </w:tc>
        <w:tc>
          <w:tcPr>
            <w:tcW w:w="1639" w:type="dxa"/>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47</w:t>
            </w:r>
          </w:p>
        </w:tc>
        <w:tc>
          <w:tcPr>
            <w:tcW w:w="664" w:type="dxa"/>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w:t>
            </w:r>
          </w:p>
        </w:tc>
      </w:tr>
      <w:tr w:rsidR="00B45056" w:rsidRPr="00E7172B" w:rsidTr="00E7172B">
        <w:trPr>
          <w:trHeight w:val="255"/>
          <w:jc w:val="center"/>
        </w:trPr>
        <w:tc>
          <w:tcPr>
            <w:tcW w:w="9458" w:type="dxa"/>
            <w:gridSpan w:val="9"/>
            <w:tcBorders>
              <w:bottom w:val="single" w:sz="4"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p>
        </w:tc>
      </w:tr>
      <w:tr w:rsidR="00B45056" w:rsidRPr="00E7172B" w:rsidTr="00E7172B">
        <w:trPr>
          <w:trHeight w:val="198"/>
          <w:jc w:val="center"/>
        </w:trPr>
        <w:tc>
          <w:tcPr>
            <w:tcW w:w="6695" w:type="dxa"/>
            <w:gridSpan w:val="6"/>
            <w:tcBorders>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r w:rsidRPr="00E7172B">
              <w:rPr>
                <w:rFonts w:ascii="Arial Narrow" w:hAnsi="Arial Narrow"/>
                <w:sz w:val="18"/>
                <w:szCs w:val="18"/>
                <w:lang w:val="es-ES"/>
              </w:rPr>
              <w:t>Nº informes enviados al Comité de las Regiones de la Unión Europea</w:t>
            </w:r>
          </w:p>
        </w:tc>
        <w:tc>
          <w:tcPr>
            <w:tcW w:w="2763" w:type="dxa"/>
            <w:gridSpan w:val="3"/>
            <w:tcBorders>
              <w:bottom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40</w:t>
            </w:r>
          </w:p>
        </w:tc>
      </w:tr>
      <w:tr w:rsidR="00B45056" w:rsidRPr="00E7172B" w:rsidTr="00E7172B">
        <w:trPr>
          <w:trHeight w:val="198"/>
          <w:jc w:val="center"/>
        </w:trPr>
        <w:tc>
          <w:tcPr>
            <w:tcW w:w="6695" w:type="dxa"/>
            <w:gridSpan w:val="6"/>
            <w:tcBorders>
              <w:top w:val="single" w:sz="2" w:space="0" w:color="auto"/>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lang w:val="es-ES"/>
              </w:rPr>
            </w:pPr>
            <w:r w:rsidRPr="00E7172B">
              <w:rPr>
                <w:rFonts w:ascii="Arial Narrow" w:hAnsi="Arial Narrow"/>
                <w:sz w:val="18"/>
                <w:szCs w:val="18"/>
                <w:lang w:val="es-ES"/>
              </w:rPr>
              <w:t>Enmiendas apoyadas en el Comité de las Regiones de la Unión Europea</w:t>
            </w:r>
          </w:p>
        </w:tc>
        <w:tc>
          <w:tcPr>
            <w:tcW w:w="2763" w:type="dxa"/>
            <w:gridSpan w:val="3"/>
            <w:tcBorders>
              <w:top w:val="single" w:sz="2" w:space="0" w:color="auto"/>
              <w:bottom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105</w:t>
            </w:r>
          </w:p>
        </w:tc>
      </w:tr>
      <w:tr w:rsidR="00B45056" w:rsidRPr="00E7172B" w:rsidTr="00E7172B">
        <w:trPr>
          <w:trHeight w:val="198"/>
          <w:jc w:val="center"/>
        </w:trPr>
        <w:tc>
          <w:tcPr>
            <w:tcW w:w="6695" w:type="dxa"/>
            <w:gridSpan w:val="6"/>
            <w:tcBorders>
              <w:top w:val="single" w:sz="2" w:space="0" w:color="auto"/>
            </w:tcBorders>
            <w:vAlign w:val="center"/>
          </w:tcPr>
          <w:p w:rsidR="00B45056" w:rsidRPr="00E7172B" w:rsidRDefault="00B45056" w:rsidP="00E7172B">
            <w:pPr>
              <w:pStyle w:val="texto"/>
              <w:spacing w:after="0"/>
              <w:ind w:firstLine="0"/>
              <w:rPr>
                <w:rFonts w:ascii="Arial Narrow" w:hAnsi="Arial Narrow"/>
                <w:sz w:val="18"/>
                <w:szCs w:val="18"/>
                <w:lang w:val="es-ES"/>
              </w:rPr>
            </w:pPr>
            <w:r w:rsidRPr="00E7172B">
              <w:rPr>
                <w:rFonts w:ascii="Arial Narrow" w:hAnsi="Arial Narrow"/>
                <w:sz w:val="18"/>
                <w:szCs w:val="18"/>
                <w:lang w:val="es-ES"/>
              </w:rPr>
              <w:t xml:space="preserve">Enmiendas propuestas por Navarra en </w:t>
            </w:r>
            <w:r w:rsidR="00E7172B" w:rsidRPr="00E7172B">
              <w:rPr>
                <w:rFonts w:ascii="Arial Narrow" w:hAnsi="Arial Narrow"/>
                <w:sz w:val="18"/>
                <w:szCs w:val="18"/>
                <w:lang w:val="es-ES"/>
              </w:rPr>
              <w:t xml:space="preserve">Comité </w:t>
            </w:r>
            <w:r w:rsidRPr="00E7172B">
              <w:rPr>
                <w:rFonts w:ascii="Arial Narrow" w:hAnsi="Arial Narrow"/>
                <w:sz w:val="18"/>
                <w:szCs w:val="18"/>
                <w:lang w:val="es-ES"/>
              </w:rPr>
              <w:t>Regiones de la Unión Europea</w:t>
            </w:r>
          </w:p>
        </w:tc>
        <w:tc>
          <w:tcPr>
            <w:tcW w:w="2763" w:type="dxa"/>
            <w:gridSpan w:val="3"/>
            <w:tcBorders>
              <w:top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lang w:val="es-ES"/>
              </w:rPr>
            </w:pPr>
            <w:r w:rsidRPr="00E7172B">
              <w:rPr>
                <w:rFonts w:ascii="Arial Narrow" w:hAnsi="Arial Narrow"/>
                <w:sz w:val="18"/>
                <w:szCs w:val="18"/>
                <w:lang w:val="es-ES"/>
              </w:rPr>
              <w:t>6</w:t>
            </w:r>
          </w:p>
        </w:tc>
      </w:tr>
    </w:tbl>
    <w:p w:rsidR="00B45056" w:rsidRDefault="00B45056" w:rsidP="00085FE4">
      <w:pPr>
        <w:pStyle w:val="texto"/>
        <w:spacing w:before="240"/>
      </w:pPr>
      <w:r w:rsidRPr="00085FE4">
        <w:t>Sobre la actividad anterior hay que mencionar que no se ha contrastado que efectivamente se llevó a cabo, sino que es la información proporcionada por la DNB. Además, como hemos citado, no disponemos de la información sobre las consecuencias de la actividad llevada a cabo por la DNB, la cual, por otra parte dependería en gran medida de los receptores de la información (departamentos del Gobierno de Navarra, ayuntamientos, empresas, etc.).</w:t>
      </w:r>
    </w:p>
    <w:p w:rsidR="00337982" w:rsidRPr="00085FE4" w:rsidRDefault="00337982" w:rsidP="00337982">
      <w:pPr>
        <w:pStyle w:val="texto"/>
      </w:pPr>
      <w:r>
        <w:t>Sí que hemos podido constatar algunas de las actividades desarrolladas por la DNB como pueden ser la participación en redes (</w:t>
      </w:r>
      <w:proofErr w:type="spellStart"/>
      <w:r w:rsidR="00D85E20">
        <w:t>Vanguard</w:t>
      </w:r>
      <w:proofErr w:type="spellEnd"/>
      <w:r w:rsidR="00D85E20">
        <w:t xml:space="preserve"> </w:t>
      </w:r>
      <w:proofErr w:type="spellStart"/>
      <w:r w:rsidR="00D85E20">
        <w:t>Initiative</w:t>
      </w:r>
      <w:proofErr w:type="spellEnd"/>
      <w:r w:rsidR="00D85E20">
        <w:t xml:space="preserve">, </w:t>
      </w:r>
      <w:r>
        <w:t xml:space="preserve">ERRIN, </w:t>
      </w:r>
      <w:proofErr w:type="spellStart"/>
      <w:r>
        <w:t>European</w:t>
      </w:r>
      <w:proofErr w:type="spellEnd"/>
      <w:r>
        <w:t xml:space="preserve"> </w:t>
      </w:r>
      <w:proofErr w:type="spellStart"/>
      <w:r>
        <w:t>Regions</w:t>
      </w:r>
      <w:proofErr w:type="spellEnd"/>
      <w:r>
        <w:t xml:space="preserve"> </w:t>
      </w:r>
      <w:proofErr w:type="spellStart"/>
      <w:r>
        <w:t>for</w:t>
      </w:r>
      <w:proofErr w:type="spellEnd"/>
      <w:r>
        <w:t xml:space="preserve"> </w:t>
      </w:r>
      <w:proofErr w:type="spellStart"/>
      <w:r>
        <w:t>Research</w:t>
      </w:r>
      <w:proofErr w:type="spellEnd"/>
      <w:r>
        <w:t xml:space="preserve"> and </w:t>
      </w:r>
      <w:proofErr w:type="spellStart"/>
      <w:r>
        <w:t>Innovation</w:t>
      </w:r>
      <w:proofErr w:type="spellEnd"/>
      <w:r>
        <w:t>; CRPM, Conferencia de Regiones Periféricas y Marítimas de Europa; y ARFE, Asociación de Regi</w:t>
      </w:r>
      <w:r>
        <w:t>o</w:t>
      </w:r>
      <w:r>
        <w:t xml:space="preserve">nes Fronterizas de Europa), en los Consejos de Ministros de la Unión Europea, en los Open </w:t>
      </w:r>
      <w:proofErr w:type="spellStart"/>
      <w:r>
        <w:t>Days</w:t>
      </w:r>
      <w:proofErr w:type="spellEnd"/>
      <w:r>
        <w:t xml:space="preserve"> del Comité de las Regiones Europeo, etc.</w:t>
      </w:r>
    </w:p>
    <w:p w:rsidR="00B45056" w:rsidRPr="00085FE4" w:rsidRDefault="00B45056" w:rsidP="00085FE4">
      <w:pPr>
        <w:pStyle w:val="texto"/>
      </w:pPr>
      <w:r w:rsidRPr="00085FE4">
        <w:t xml:space="preserve">En definitiva, todo lo anterior unido a la inexistencia de </w:t>
      </w:r>
      <w:r w:rsidR="0017136A">
        <w:t>objetivos cuantif</w:t>
      </w:r>
      <w:r w:rsidR="0017136A">
        <w:t>i</w:t>
      </w:r>
      <w:r w:rsidR="0017136A">
        <w:t xml:space="preserve">cados e </w:t>
      </w:r>
      <w:r w:rsidRPr="00085FE4">
        <w:t xml:space="preserve">indicadores que permitan medir la eficacia de las actividades llevadas a </w:t>
      </w:r>
      <w:r w:rsidRPr="00085FE4">
        <w:lastRenderedPageBreak/>
        <w:t xml:space="preserve">cabo por la DNB, dificulta de forma significativa extraer una conclusión </w:t>
      </w:r>
      <w:r w:rsidR="00337982">
        <w:t>sobre la eficacia de las mismas, teniendo en cuenta además que los objetivos y fu</w:t>
      </w:r>
      <w:r w:rsidR="00337982">
        <w:t>n</w:t>
      </w:r>
      <w:r w:rsidR="00337982">
        <w:t xml:space="preserve">ciones de la </w:t>
      </w:r>
      <w:r w:rsidR="00E7172B">
        <w:t>delegación</w:t>
      </w:r>
      <w:r w:rsidR="00337982">
        <w:t xml:space="preserve"> están relacionados con la gestión de intangibles.</w:t>
      </w:r>
    </w:p>
    <w:p w:rsidR="00B45056" w:rsidRPr="00085FE4" w:rsidRDefault="007866D4" w:rsidP="00085FE4">
      <w:pPr>
        <w:pStyle w:val="texto"/>
      </w:pPr>
      <w:r>
        <w:t>Teniendo en cuenta</w:t>
      </w:r>
      <w:r w:rsidR="00B45056" w:rsidRPr="00085FE4">
        <w:t xml:space="preserve"> las conclusiones alcanzadas recomendamos:</w:t>
      </w:r>
    </w:p>
    <w:p w:rsidR="00B45056" w:rsidRDefault="00B45056" w:rsidP="00B4505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Realizar una memoria de las actividades llevadas a cabo por la DNB de forma continua y según un patrón establecido.</w:t>
      </w:r>
    </w:p>
    <w:p w:rsidR="0017136A" w:rsidRPr="0017136A" w:rsidRDefault="00B45056" w:rsidP="0017136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rPr>
          <w:rFonts w:cs="Arial"/>
          <w:i/>
        </w:rPr>
        <w:t xml:space="preserve">Establecer </w:t>
      </w:r>
      <w:r w:rsidR="0017136A">
        <w:rPr>
          <w:rFonts w:cs="Arial"/>
          <w:i/>
        </w:rPr>
        <w:t xml:space="preserve">objetivos cuantificados e </w:t>
      </w:r>
      <w:r>
        <w:rPr>
          <w:rFonts w:cs="Arial"/>
          <w:i/>
        </w:rPr>
        <w:t>indicadores que permitan evaluar la eficacia de la actividad llevada a cabo por la DNB.</w:t>
      </w:r>
    </w:p>
    <w:p w:rsidR="00252808" w:rsidRPr="00C27760" w:rsidRDefault="00252808" w:rsidP="00252808">
      <w:pPr>
        <w:pStyle w:val="texto"/>
        <w:spacing w:before="240"/>
        <w:rPr>
          <w:lang w:val="es-ES"/>
        </w:rPr>
      </w:pPr>
      <w:r w:rsidRPr="00C27760">
        <w:rPr>
          <w:lang w:val="es-ES"/>
        </w:rPr>
        <w:t xml:space="preserve">Informe que se emite a propuesta de la auditora </w:t>
      </w:r>
      <w:r>
        <w:rPr>
          <w:lang w:val="es-ES"/>
        </w:rPr>
        <w:t>Karen Moreno Orduñ</w:t>
      </w:r>
      <w:r w:rsidRPr="00C27760">
        <w:rPr>
          <w:lang w:val="es-ES"/>
        </w:rPr>
        <w:t>a, re</w:t>
      </w:r>
      <w:r w:rsidRPr="00C27760">
        <w:rPr>
          <w:lang w:val="es-ES"/>
        </w:rPr>
        <w:t>s</w:t>
      </w:r>
      <w:r w:rsidRPr="00C27760">
        <w:rPr>
          <w:lang w:val="es-ES"/>
        </w:rPr>
        <w:t>ponsable de la realización de este trabajo, una vez cumplimentados los trámites previstos por la normativa vigente.</w:t>
      </w:r>
    </w:p>
    <w:p w:rsidR="00252808" w:rsidRPr="00C27760" w:rsidRDefault="00252808" w:rsidP="00252808">
      <w:pPr>
        <w:pStyle w:val="texto"/>
        <w:ind w:firstLine="0"/>
        <w:jc w:val="center"/>
        <w:rPr>
          <w:lang w:val="es-ES"/>
        </w:rPr>
      </w:pPr>
      <w:r w:rsidRPr="00C27760">
        <w:rPr>
          <w:lang w:val="es-ES"/>
        </w:rPr>
        <w:t xml:space="preserve">Pamplona, </w:t>
      </w:r>
      <w:r w:rsidR="002D7A42">
        <w:rPr>
          <w:lang w:val="es-ES"/>
        </w:rPr>
        <w:t>14</w:t>
      </w:r>
      <w:r w:rsidR="006D053C">
        <w:rPr>
          <w:lang w:val="es-ES"/>
        </w:rPr>
        <w:t xml:space="preserve"> de enero de 2016</w:t>
      </w:r>
    </w:p>
    <w:p w:rsidR="00252808" w:rsidRPr="00995F15" w:rsidRDefault="00252808" w:rsidP="00252808">
      <w:pPr>
        <w:tabs>
          <w:tab w:val="center" w:pos="6237"/>
          <w:tab w:val="center" w:pos="7371"/>
        </w:tabs>
        <w:ind w:firstLine="0"/>
        <w:jc w:val="center"/>
        <w:rPr>
          <w:spacing w:val="6"/>
          <w:sz w:val="26"/>
          <w:szCs w:val="24"/>
          <w:lang w:val="es-ES"/>
        </w:rPr>
      </w:pPr>
      <w:r w:rsidRPr="00995F15">
        <w:rPr>
          <w:spacing w:val="6"/>
          <w:sz w:val="26"/>
          <w:szCs w:val="24"/>
          <w:lang w:val="es-ES"/>
        </w:rPr>
        <w:t xml:space="preserve">El presidente, </w:t>
      </w:r>
      <w:r w:rsidR="006D053C">
        <w:rPr>
          <w:spacing w:val="6"/>
          <w:sz w:val="26"/>
          <w:szCs w:val="24"/>
          <w:lang w:val="es-ES"/>
        </w:rPr>
        <w:t>Helio Robleda Cabezas</w:t>
      </w:r>
    </w:p>
    <w:p w:rsidR="00564F2D" w:rsidRPr="00252808" w:rsidRDefault="00564F2D" w:rsidP="00252808">
      <w:pPr>
        <w:pStyle w:val="texto"/>
        <w:ind w:firstLine="0"/>
        <w:jc w:val="center"/>
        <w:rPr>
          <w:lang w:val="es-ES"/>
        </w:rPr>
      </w:pPr>
    </w:p>
    <w:sectPr w:rsidR="00564F2D" w:rsidRPr="00252808"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20" w:rsidRDefault="00D85E20">
      <w:r>
        <w:separator/>
      </w:r>
    </w:p>
    <w:p w:rsidR="00D85E20" w:rsidRDefault="00D85E20"/>
    <w:p w:rsidR="00D85E20" w:rsidRDefault="00D85E20"/>
    <w:p w:rsidR="00D85E20" w:rsidRDefault="00D85E20"/>
  </w:endnote>
  <w:endnote w:type="continuationSeparator" w:id="0">
    <w:p w:rsidR="00D85E20" w:rsidRDefault="00D85E20">
      <w:r>
        <w:continuationSeparator/>
      </w:r>
    </w:p>
    <w:p w:rsidR="00D85E20" w:rsidRDefault="00D85E20"/>
    <w:p w:rsidR="00D85E20" w:rsidRDefault="00D85E20"/>
    <w:p w:rsidR="00D85E20" w:rsidRDefault="00D8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5E20" w:rsidRDefault="00D85E2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Pr="00F03814" w:rsidRDefault="00D85E2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FFC9309" wp14:editId="47A1B68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5E20" w:rsidRPr="00F74E38" w:rsidRDefault="00D85E20" w:rsidP="00F03814">
    <w:pPr>
      <w:pStyle w:val="Piedepgina"/>
      <w:tabs>
        <w:tab w:val="clear" w:pos="4252"/>
        <w:tab w:val="clear" w:pos="8504"/>
        <w:tab w:val="center" w:pos="4560"/>
      </w:tabs>
      <w:ind w:right="360"/>
      <w:jc w:val="left"/>
      <w:rPr>
        <w:rStyle w:val="Nmerodepgina"/>
      </w:rPr>
    </w:pPr>
  </w:p>
  <w:p w:rsidR="00D85E20" w:rsidRPr="00C13453" w:rsidRDefault="00D85E2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Pr="00F03814" w:rsidRDefault="00D85E2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0D8D9A6" wp14:editId="0A2290A5">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34A1D">
      <w:rPr>
        <w:rStyle w:val="Nmerodepgina"/>
        <w:noProof/>
        <w:szCs w:val="24"/>
      </w:rPr>
      <w:t>15</w:t>
    </w:r>
    <w:r w:rsidRPr="001D4F09">
      <w:rPr>
        <w:rStyle w:val="Nmerodepgina"/>
        <w:szCs w:val="24"/>
      </w:rPr>
      <w:fldChar w:fldCharType="end"/>
    </w:r>
    <w:r w:rsidRPr="001D4F09">
      <w:rPr>
        <w:rStyle w:val="Nmerodepgina"/>
        <w:szCs w:val="24"/>
      </w:rPr>
      <w:t xml:space="preserve"> -</w:t>
    </w:r>
  </w:p>
  <w:p w:rsidR="00D85E20" w:rsidRPr="00C13453" w:rsidRDefault="00D85E20" w:rsidP="00D2472C">
    <w:pPr>
      <w:pStyle w:val="BorradorProvisional"/>
      <w:ind w:left="0"/>
      <w:jc w:val="center"/>
    </w:pPr>
  </w:p>
  <w:p w:rsidR="00D85E20" w:rsidRDefault="00D85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20" w:rsidRDefault="00D85E20">
      <w:r>
        <w:separator/>
      </w:r>
    </w:p>
    <w:p w:rsidR="00D85E20" w:rsidRDefault="00D85E20"/>
    <w:p w:rsidR="00D85E20" w:rsidRDefault="00D85E20"/>
    <w:p w:rsidR="00D85E20" w:rsidRDefault="00D85E20"/>
  </w:footnote>
  <w:footnote w:type="continuationSeparator" w:id="0">
    <w:p w:rsidR="00D85E20" w:rsidRDefault="00D85E20">
      <w:r>
        <w:continuationSeparator/>
      </w:r>
    </w:p>
    <w:p w:rsidR="00D85E20" w:rsidRDefault="00D85E20"/>
    <w:p w:rsidR="00D85E20" w:rsidRDefault="00D85E20"/>
    <w:p w:rsidR="00D85E20" w:rsidRDefault="00D85E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5913E77" wp14:editId="10164F8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85E20" w:rsidRPr="0059650E" w:rsidRDefault="00D85E20" w:rsidP="00891D73">
    <w:pPr>
      <w:pStyle w:val="Encabezado"/>
      <w:pBdr>
        <w:bottom w:val="single" w:sz="4" w:space="1" w:color="auto"/>
      </w:pBdr>
      <w:ind w:firstLine="0"/>
      <w:rPr>
        <w:lang w:val="es-ES"/>
      </w:rPr>
    </w:pPr>
    <w:r>
      <w:rPr>
        <w:lang w:val="es-ES"/>
      </w:rPr>
      <w:t>informe de fiscalización SOBRE la delegación de navarra en bruselas (2003-2014)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p w:rsidR="00D85E20" w:rsidRDefault="00D85E20"/>
  <w:p w:rsidR="00D85E20" w:rsidRDefault="00D85E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FE6"/>
    <w:multiLevelType w:val="hybridMultilevel"/>
    <w:tmpl w:val="5740B6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1974AA7"/>
    <w:multiLevelType w:val="hybridMultilevel"/>
    <w:tmpl w:val="6A6882C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26BD6731"/>
    <w:multiLevelType w:val="hybridMultilevel"/>
    <w:tmpl w:val="0EA8C1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1"/>
  </w:num>
  <w:num w:numId="7">
    <w:abstractNumId w:val="1"/>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8B"/>
    <w:rsid w:val="000019D8"/>
    <w:rsid w:val="00006736"/>
    <w:rsid w:val="00006A97"/>
    <w:rsid w:val="0001123B"/>
    <w:rsid w:val="00012A7F"/>
    <w:rsid w:val="00017A3A"/>
    <w:rsid w:val="000279E3"/>
    <w:rsid w:val="00036E42"/>
    <w:rsid w:val="0004373B"/>
    <w:rsid w:val="000448FA"/>
    <w:rsid w:val="00045B84"/>
    <w:rsid w:val="00053A42"/>
    <w:rsid w:val="0005517D"/>
    <w:rsid w:val="0006133D"/>
    <w:rsid w:val="00063585"/>
    <w:rsid w:val="00071CD0"/>
    <w:rsid w:val="00075692"/>
    <w:rsid w:val="00085FE4"/>
    <w:rsid w:val="00087B8D"/>
    <w:rsid w:val="00093D67"/>
    <w:rsid w:val="00093E60"/>
    <w:rsid w:val="000A18B7"/>
    <w:rsid w:val="000A2C1E"/>
    <w:rsid w:val="000A4697"/>
    <w:rsid w:val="000B2728"/>
    <w:rsid w:val="000B3943"/>
    <w:rsid w:val="000B4477"/>
    <w:rsid w:val="000C0704"/>
    <w:rsid w:val="000C2B07"/>
    <w:rsid w:val="000C344E"/>
    <w:rsid w:val="000C39CC"/>
    <w:rsid w:val="000C7566"/>
    <w:rsid w:val="000D188E"/>
    <w:rsid w:val="000D394A"/>
    <w:rsid w:val="000D5335"/>
    <w:rsid w:val="000E7B86"/>
    <w:rsid w:val="000F2B66"/>
    <w:rsid w:val="000F3D83"/>
    <w:rsid w:val="000F5BB4"/>
    <w:rsid w:val="00100F12"/>
    <w:rsid w:val="00103589"/>
    <w:rsid w:val="001045C9"/>
    <w:rsid w:val="00107CC1"/>
    <w:rsid w:val="00111A92"/>
    <w:rsid w:val="001145C3"/>
    <w:rsid w:val="001161D2"/>
    <w:rsid w:val="00131DF1"/>
    <w:rsid w:val="00132C38"/>
    <w:rsid w:val="00133984"/>
    <w:rsid w:val="00134A1D"/>
    <w:rsid w:val="001365C4"/>
    <w:rsid w:val="0014147D"/>
    <w:rsid w:val="00141D29"/>
    <w:rsid w:val="0014506A"/>
    <w:rsid w:val="0014728F"/>
    <w:rsid w:val="001521A2"/>
    <w:rsid w:val="00152358"/>
    <w:rsid w:val="00152E18"/>
    <w:rsid w:val="00155BFF"/>
    <w:rsid w:val="00160DBF"/>
    <w:rsid w:val="00160F66"/>
    <w:rsid w:val="001633AF"/>
    <w:rsid w:val="00166A6C"/>
    <w:rsid w:val="0017136A"/>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2808"/>
    <w:rsid w:val="00253E78"/>
    <w:rsid w:val="00262C3C"/>
    <w:rsid w:val="00264C88"/>
    <w:rsid w:val="0026532C"/>
    <w:rsid w:val="0026575D"/>
    <w:rsid w:val="002705B0"/>
    <w:rsid w:val="002717A6"/>
    <w:rsid w:val="00272015"/>
    <w:rsid w:val="00273C10"/>
    <w:rsid w:val="00274B4C"/>
    <w:rsid w:val="00276264"/>
    <w:rsid w:val="00281DCA"/>
    <w:rsid w:val="00290BDC"/>
    <w:rsid w:val="00297B04"/>
    <w:rsid w:val="002A056C"/>
    <w:rsid w:val="002A184C"/>
    <w:rsid w:val="002A66A5"/>
    <w:rsid w:val="002A6EBB"/>
    <w:rsid w:val="002B21E9"/>
    <w:rsid w:val="002B2B87"/>
    <w:rsid w:val="002B4E0F"/>
    <w:rsid w:val="002B5754"/>
    <w:rsid w:val="002C7026"/>
    <w:rsid w:val="002C7E08"/>
    <w:rsid w:val="002D089F"/>
    <w:rsid w:val="002D5635"/>
    <w:rsid w:val="002D65E8"/>
    <w:rsid w:val="002D7A42"/>
    <w:rsid w:val="002D7D32"/>
    <w:rsid w:val="002E02E5"/>
    <w:rsid w:val="002E0478"/>
    <w:rsid w:val="002E0791"/>
    <w:rsid w:val="002E1B92"/>
    <w:rsid w:val="002E7B81"/>
    <w:rsid w:val="002F09FB"/>
    <w:rsid w:val="002F0FE3"/>
    <w:rsid w:val="002F1AF0"/>
    <w:rsid w:val="002F2530"/>
    <w:rsid w:val="002F272A"/>
    <w:rsid w:val="002F3225"/>
    <w:rsid w:val="002F488B"/>
    <w:rsid w:val="002F53B4"/>
    <w:rsid w:val="002F76D6"/>
    <w:rsid w:val="00303506"/>
    <w:rsid w:val="00307057"/>
    <w:rsid w:val="00312819"/>
    <w:rsid w:val="00312E9C"/>
    <w:rsid w:val="00313875"/>
    <w:rsid w:val="003203BF"/>
    <w:rsid w:val="00321369"/>
    <w:rsid w:val="00330787"/>
    <w:rsid w:val="00337493"/>
    <w:rsid w:val="00337982"/>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275C"/>
    <w:rsid w:val="0042324B"/>
    <w:rsid w:val="004234E8"/>
    <w:rsid w:val="00426805"/>
    <w:rsid w:val="00430150"/>
    <w:rsid w:val="004302F9"/>
    <w:rsid w:val="0043229B"/>
    <w:rsid w:val="00435287"/>
    <w:rsid w:val="00440A22"/>
    <w:rsid w:val="0045550E"/>
    <w:rsid w:val="00456456"/>
    <w:rsid w:val="00462367"/>
    <w:rsid w:val="0046490C"/>
    <w:rsid w:val="00470287"/>
    <w:rsid w:val="004703AF"/>
    <w:rsid w:val="00470733"/>
    <w:rsid w:val="004744DB"/>
    <w:rsid w:val="00477C53"/>
    <w:rsid w:val="00485380"/>
    <w:rsid w:val="00493D87"/>
    <w:rsid w:val="004950D4"/>
    <w:rsid w:val="00496370"/>
    <w:rsid w:val="004A0506"/>
    <w:rsid w:val="004A2342"/>
    <w:rsid w:val="004A2F62"/>
    <w:rsid w:val="004B1DB8"/>
    <w:rsid w:val="004B2F01"/>
    <w:rsid w:val="004B4182"/>
    <w:rsid w:val="004B4538"/>
    <w:rsid w:val="004B6FB6"/>
    <w:rsid w:val="004C571D"/>
    <w:rsid w:val="004D35A2"/>
    <w:rsid w:val="004D5FD1"/>
    <w:rsid w:val="004E1381"/>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4FBF"/>
    <w:rsid w:val="00595E80"/>
    <w:rsid w:val="0059650E"/>
    <w:rsid w:val="00596953"/>
    <w:rsid w:val="005A6030"/>
    <w:rsid w:val="005B57AD"/>
    <w:rsid w:val="005B722E"/>
    <w:rsid w:val="005C02FE"/>
    <w:rsid w:val="005C50AC"/>
    <w:rsid w:val="005C6406"/>
    <w:rsid w:val="005D69D1"/>
    <w:rsid w:val="005E210D"/>
    <w:rsid w:val="005E27A0"/>
    <w:rsid w:val="005F2425"/>
    <w:rsid w:val="005F5EC7"/>
    <w:rsid w:val="005F7207"/>
    <w:rsid w:val="005F7FCF"/>
    <w:rsid w:val="00607691"/>
    <w:rsid w:val="0061062C"/>
    <w:rsid w:val="00613183"/>
    <w:rsid w:val="006133F0"/>
    <w:rsid w:val="00616888"/>
    <w:rsid w:val="006176BE"/>
    <w:rsid w:val="006212CB"/>
    <w:rsid w:val="006279F9"/>
    <w:rsid w:val="006369EE"/>
    <w:rsid w:val="006401D3"/>
    <w:rsid w:val="0064700E"/>
    <w:rsid w:val="00650677"/>
    <w:rsid w:val="00651D2E"/>
    <w:rsid w:val="006736A9"/>
    <w:rsid w:val="00673BC7"/>
    <w:rsid w:val="00674975"/>
    <w:rsid w:val="00675D39"/>
    <w:rsid w:val="0068560B"/>
    <w:rsid w:val="006A1277"/>
    <w:rsid w:val="006A2602"/>
    <w:rsid w:val="006A2D41"/>
    <w:rsid w:val="006A67E1"/>
    <w:rsid w:val="006C36FB"/>
    <w:rsid w:val="006C7D62"/>
    <w:rsid w:val="006D053C"/>
    <w:rsid w:val="006D0B23"/>
    <w:rsid w:val="006D2ED6"/>
    <w:rsid w:val="006D5685"/>
    <w:rsid w:val="006E1987"/>
    <w:rsid w:val="006E23B2"/>
    <w:rsid w:val="006E5207"/>
    <w:rsid w:val="006E55B9"/>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66D4"/>
    <w:rsid w:val="00787852"/>
    <w:rsid w:val="007915BC"/>
    <w:rsid w:val="007967FA"/>
    <w:rsid w:val="00797E7A"/>
    <w:rsid w:val="007A0EA6"/>
    <w:rsid w:val="007A2D9E"/>
    <w:rsid w:val="007B0381"/>
    <w:rsid w:val="007B0F3D"/>
    <w:rsid w:val="007B148D"/>
    <w:rsid w:val="007B18C8"/>
    <w:rsid w:val="007B28DE"/>
    <w:rsid w:val="007B7A5F"/>
    <w:rsid w:val="007C23ED"/>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4DC6"/>
    <w:rsid w:val="008B7A97"/>
    <w:rsid w:val="008C56B9"/>
    <w:rsid w:val="008D05E0"/>
    <w:rsid w:val="008D2600"/>
    <w:rsid w:val="008D3206"/>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5A8A"/>
    <w:rsid w:val="0096400D"/>
    <w:rsid w:val="009645B9"/>
    <w:rsid w:val="00966600"/>
    <w:rsid w:val="009671D9"/>
    <w:rsid w:val="00971352"/>
    <w:rsid w:val="00972260"/>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47AC3"/>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17D34"/>
    <w:rsid w:val="00B2123B"/>
    <w:rsid w:val="00B24F35"/>
    <w:rsid w:val="00B27767"/>
    <w:rsid w:val="00B327BE"/>
    <w:rsid w:val="00B32C88"/>
    <w:rsid w:val="00B34747"/>
    <w:rsid w:val="00B42E49"/>
    <w:rsid w:val="00B45056"/>
    <w:rsid w:val="00B459C9"/>
    <w:rsid w:val="00B50903"/>
    <w:rsid w:val="00B62FFE"/>
    <w:rsid w:val="00B64D7F"/>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2996"/>
    <w:rsid w:val="00BC376C"/>
    <w:rsid w:val="00BC6321"/>
    <w:rsid w:val="00BC7817"/>
    <w:rsid w:val="00BD3819"/>
    <w:rsid w:val="00BD5343"/>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63FE5"/>
    <w:rsid w:val="00C74906"/>
    <w:rsid w:val="00C81B40"/>
    <w:rsid w:val="00C81FEA"/>
    <w:rsid w:val="00C83969"/>
    <w:rsid w:val="00C86C95"/>
    <w:rsid w:val="00CA05EB"/>
    <w:rsid w:val="00CA2AC9"/>
    <w:rsid w:val="00CA3515"/>
    <w:rsid w:val="00CA3A05"/>
    <w:rsid w:val="00CB14E9"/>
    <w:rsid w:val="00CB6D90"/>
    <w:rsid w:val="00CB72C3"/>
    <w:rsid w:val="00CC45E4"/>
    <w:rsid w:val="00CD019F"/>
    <w:rsid w:val="00CD27C5"/>
    <w:rsid w:val="00CE4169"/>
    <w:rsid w:val="00CE7894"/>
    <w:rsid w:val="00CF06A1"/>
    <w:rsid w:val="00CF1467"/>
    <w:rsid w:val="00CF2311"/>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5E20"/>
    <w:rsid w:val="00D90AD1"/>
    <w:rsid w:val="00D941F7"/>
    <w:rsid w:val="00DA4DDF"/>
    <w:rsid w:val="00DB0804"/>
    <w:rsid w:val="00DB2FC4"/>
    <w:rsid w:val="00DC382A"/>
    <w:rsid w:val="00DE1923"/>
    <w:rsid w:val="00DE268D"/>
    <w:rsid w:val="00DE2B33"/>
    <w:rsid w:val="00DE638B"/>
    <w:rsid w:val="00DE72EE"/>
    <w:rsid w:val="00DF37E5"/>
    <w:rsid w:val="00E034FE"/>
    <w:rsid w:val="00E041E5"/>
    <w:rsid w:val="00E04888"/>
    <w:rsid w:val="00E0763B"/>
    <w:rsid w:val="00E10302"/>
    <w:rsid w:val="00E17EC5"/>
    <w:rsid w:val="00E26BFD"/>
    <w:rsid w:val="00E27E90"/>
    <w:rsid w:val="00E32533"/>
    <w:rsid w:val="00E33D02"/>
    <w:rsid w:val="00E34F2C"/>
    <w:rsid w:val="00E35D79"/>
    <w:rsid w:val="00E418F9"/>
    <w:rsid w:val="00E435FC"/>
    <w:rsid w:val="00E4641E"/>
    <w:rsid w:val="00E519AE"/>
    <w:rsid w:val="00E57AF7"/>
    <w:rsid w:val="00E6241B"/>
    <w:rsid w:val="00E64FCC"/>
    <w:rsid w:val="00E703B6"/>
    <w:rsid w:val="00E7172B"/>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095C"/>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29F6"/>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594FBF"/>
    <w:pPr>
      <w:tabs>
        <w:tab w:val="right" w:leader="dot" w:pos="8930"/>
      </w:tabs>
      <w:spacing w:after="0"/>
      <w:ind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2F488B"/>
    <w:rPr>
      <w:rFonts w:ascii="Arial" w:hAnsi="Arial"/>
      <w:b/>
      <w:color w:val="000000"/>
      <w:kern w:val="28"/>
      <w:sz w:val="25"/>
      <w:szCs w:val="26"/>
      <w:lang w:val="es-ES_tradnl" w:eastAsia="en-US"/>
    </w:rPr>
  </w:style>
  <w:style w:type="character" w:customStyle="1" w:styleId="atitulo2Car">
    <w:name w:val="atitulo2 Car"/>
    <w:link w:val="atitulo2"/>
    <w:locked/>
    <w:rsid w:val="00E435FC"/>
    <w:rPr>
      <w:rFonts w:ascii="Arial" w:hAnsi="Arial"/>
      <w:bCs/>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594FBF"/>
    <w:pPr>
      <w:tabs>
        <w:tab w:val="right" w:leader="dot" w:pos="8930"/>
      </w:tabs>
      <w:spacing w:after="0"/>
      <w:ind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2F488B"/>
    <w:rPr>
      <w:rFonts w:ascii="Arial" w:hAnsi="Arial"/>
      <w:b/>
      <w:color w:val="000000"/>
      <w:kern w:val="28"/>
      <w:sz w:val="25"/>
      <w:szCs w:val="26"/>
      <w:lang w:val="es-ES_tradnl" w:eastAsia="en-US"/>
    </w:rPr>
  </w:style>
  <w:style w:type="character" w:customStyle="1" w:styleId="atitulo2Car">
    <w:name w:val="atitulo2 Car"/>
    <w:link w:val="atitulo2"/>
    <w:locked/>
    <w:rsid w:val="00E435FC"/>
    <w:rPr>
      <w:rFonts w:ascii="Arial" w:hAnsi="Arial"/>
      <w:bCs/>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D045-F291-4182-B901-D529C2DF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4290</Words>
  <Characters>23094</Characters>
  <Application>Microsoft Office Word</Application>
  <DocSecurity>4</DocSecurity>
  <Lines>192</Lines>
  <Paragraphs>54</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2</cp:revision>
  <cp:lastPrinted>2016-01-14T07:32:00Z</cp:lastPrinted>
  <dcterms:created xsi:type="dcterms:W3CDTF">2016-01-15T10:31:00Z</dcterms:created>
  <dcterms:modified xsi:type="dcterms:W3CDTF">2016-01-15T10:31:00Z</dcterms:modified>
</cp:coreProperties>
</file>