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04" w:rsidRDefault="006D2A47" w:rsidP="00AB659D">
      <w:pPr>
        <w:pStyle w:val="EstiloPortada"/>
        <w:ind w:right="-58"/>
        <w:rPr>
          <w:rFonts w:ascii="GillSans" w:hAnsi="GillSans"/>
          <w:color w:val="808080"/>
          <w:sz w:val="40"/>
        </w:rPr>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05D73" w:rsidRPr="003A7956" w:rsidRDefault="00905D73" w:rsidP="002C7026">
                            <w:pPr>
                              <w:spacing w:after="0"/>
                              <w:ind w:firstLine="0"/>
                              <w:jc w:val="center"/>
                              <w:rPr>
                                <w:sz w:val="18"/>
                                <w:szCs w:val="18"/>
                                <w:lang w:val="es-ES"/>
                              </w:rPr>
                            </w:pPr>
                            <w:r w:rsidRPr="003A7956">
                              <w:rPr>
                                <w:sz w:val="18"/>
                                <w:szCs w:val="18"/>
                                <w:lang w:val="es-ES"/>
                              </w:rPr>
                              <w:t>CAMARA DE</w:t>
                            </w:r>
                          </w:p>
                          <w:p w:rsidR="00905D73" w:rsidRPr="003A7956" w:rsidRDefault="00905D73" w:rsidP="002C7026">
                            <w:pPr>
                              <w:spacing w:after="0"/>
                              <w:ind w:firstLine="0"/>
                              <w:jc w:val="center"/>
                              <w:rPr>
                                <w:sz w:val="18"/>
                                <w:szCs w:val="18"/>
                                <w:lang w:val="es-ES"/>
                              </w:rPr>
                            </w:pPr>
                            <w:r w:rsidRPr="003A7956">
                              <w:rPr>
                                <w:sz w:val="18"/>
                                <w:szCs w:val="18"/>
                                <w:lang w:val="es-ES"/>
                              </w:rPr>
                              <w:t>COMPTOS</w:t>
                            </w:r>
                          </w:p>
                          <w:p w:rsidR="00905D73" w:rsidRPr="003A7956" w:rsidRDefault="00905D73" w:rsidP="002C7026">
                            <w:pPr>
                              <w:spacing w:after="0"/>
                              <w:ind w:firstLine="0"/>
                              <w:jc w:val="center"/>
                              <w:rPr>
                                <w:sz w:val="18"/>
                                <w:szCs w:val="18"/>
                                <w:lang w:val="es-ES"/>
                              </w:rPr>
                            </w:pPr>
                            <w:r w:rsidRPr="003A7956">
                              <w:rPr>
                                <w:sz w:val="18"/>
                                <w:szCs w:val="18"/>
                                <w:lang w:val="es-ES"/>
                              </w:rPr>
                              <w:t>DE NAVARRA</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NAFARROAKO</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KONTUEN</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05D73" w:rsidRPr="003A7956" w:rsidRDefault="00905D73" w:rsidP="002C7026">
                      <w:pPr>
                        <w:spacing w:after="0"/>
                        <w:ind w:firstLine="0"/>
                        <w:jc w:val="center"/>
                        <w:rPr>
                          <w:sz w:val="18"/>
                          <w:szCs w:val="18"/>
                          <w:lang w:val="es-ES"/>
                        </w:rPr>
                      </w:pPr>
                      <w:r w:rsidRPr="003A7956">
                        <w:rPr>
                          <w:sz w:val="18"/>
                          <w:szCs w:val="18"/>
                          <w:lang w:val="es-ES"/>
                        </w:rPr>
                        <w:t>CAMARA DE</w:t>
                      </w:r>
                    </w:p>
                    <w:p w:rsidR="00905D73" w:rsidRPr="003A7956" w:rsidRDefault="00905D73" w:rsidP="002C7026">
                      <w:pPr>
                        <w:spacing w:after="0"/>
                        <w:ind w:firstLine="0"/>
                        <w:jc w:val="center"/>
                        <w:rPr>
                          <w:sz w:val="18"/>
                          <w:szCs w:val="18"/>
                          <w:lang w:val="es-ES"/>
                        </w:rPr>
                      </w:pPr>
                      <w:r w:rsidRPr="003A7956">
                        <w:rPr>
                          <w:sz w:val="18"/>
                          <w:szCs w:val="18"/>
                          <w:lang w:val="es-ES"/>
                        </w:rPr>
                        <w:t>COMPTOS</w:t>
                      </w:r>
                    </w:p>
                    <w:p w:rsidR="00905D73" w:rsidRPr="003A7956" w:rsidRDefault="00905D73" w:rsidP="002C7026">
                      <w:pPr>
                        <w:spacing w:after="0"/>
                        <w:ind w:firstLine="0"/>
                        <w:jc w:val="center"/>
                        <w:rPr>
                          <w:sz w:val="18"/>
                          <w:szCs w:val="18"/>
                          <w:lang w:val="es-ES"/>
                        </w:rPr>
                      </w:pPr>
                      <w:r w:rsidRPr="003A7956">
                        <w:rPr>
                          <w:sz w:val="18"/>
                          <w:szCs w:val="18"/>
                          <w:lang w:val="es-ES"/>
                        </w:rPr>
                        <w:t>DE NAVARRA</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NAFARROAKO</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KONTUEN</w:t>
                      </w:r>
                    </w:p>
                    <w:p w:rsidR="00905D73" w:rsidRPr="003A7956" w:rsidRDefault="00905D73" w:rsidP="002C7026">
                      <w:pPr>
                        <w:spacing w:after="0"/>
                        <w:ind w:firstLine="0"/>
                        <w:jc w:val="center"/>
                        <w:rPr>
                          <w:color w:val="808080"/>
                          <w:sz w:val="18"/>
                          <w:szCs w:val="18"/>
                          <w:lang w:val="es-ES"/>
                        </w:rPr>
                      </w:pPr>
                      <w:r w:rsidRPr="003A7956">
                        <w:rPr>
                          <w:color w:val="808080"/>
                          <w:sz w:val="18"/>
                          <w:szCs w:val="18"/>
                          <w:lang w:val="es-ES"/>
                        </w:rPr>
                        <w:t>GANBERA</w:t>
                      </w:r>
                    </w:p>
                  </w:txbxContent>
                </v:textbox>
              </v:shape>
            </w:pict>
          </mc:Fallback>
        </mc:AlternateContent>
      </w:r>
    </w:p>
    <w:p w:rsidR="003E5304" w:rsidRPr="00204979" w:rsidRDefault="003E5304" w:rsidP="003E5304">
      <w:pPr>
        <w:pStyle w:val="EstiloPortada"/>
        <w:ind w:left="2268" w:right="-58"/>
      </w:pPr>
    </w:p>
    <w:p w:rsidR="003E5304" w:rsidRPr="007F1A6F" w:rsidRDefault="003E5304" w:rsidP="00944818">
      <w:pPr>
        <w:pStyle w:val="EstiloPortada"/>
        <w:ind w:left="3402"/>
      </w:pPr>
      <w:r w:rsidRPr="007F1A6F">
        <w:rPr>
          <w:sz w:val="56"/>
          <w:szCs w:val="56"/>
        </w:rPr>
        <w:t>Fundació</w:t>
      </w:r>
      <w:r w:rsidR="00A8726C" w:rsidRPr="007F1A6F">
        <w:rPr>
          <w:sz w:val="56"/>
          <w:szCs w:val="56"/>
        </w:rPr>
        <w:t>n Pablo Sarasate y Sociedad de C</w:t>
      </w:r>
      <w:r w:rsidRPr="007F1A6F">
        <w:rPr>
          <w:sz w:val="56"/>
          <w:szCs w:val="56"/>
        </w:rPr>
        <w:t>onciertos Santa Cecilia</w:t>
      </w:r>
    </w:p>
    <w:p w:rsidR="001C3A32" w:rsidRPr="00944818" w:rsidRDefault="001C3A32" w:rsidP="00891D73">
      <w:pPr>
        <w:pStyle w:val="texto"/>
        <w:rPr>
          <w:color w:val="FF0000"/>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7F1A6F" w:rsidRDefault="00944818" w:rsidP="009936FC">
      <w:pPr>
        <w:pStyle w:val="Fechaportada"/>
      </w:pPr>
      <w:r w:rsidRPr="007F1A6F">
        <w:t>Enero</w:t>
      </w:r>
      <w:r w:rsidR="003E5304" w:rsidRPr="007F1A6F">
        <w:t xml:space="preserve"> de 201</w:t>
      </w:r>
      <w:r w:rsidRPr="007F1A6F">
        <w:t>6</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3E5304" w:rsidRDefault="003E5304" w:rsidP="003E5304">
      <w:pPr>
        <w:pStyle w:val="texto"/>
        <w:ind w:right="-142"/>
        <w:jc w:val="right"/>
        <w:rPr>
          <w:rFonts w:ascii="Arial Narrow" w:hAnsi="Arial Narrow"/>
          <w:sz w:val="22"/>
          <w:szCs w:val="22"/>
        </w:rPr>
      </w:pPr>
      <w:r w:rsidRPr="003E5304">
        <w:rPr>
          <w:rFonts w:ascii="Arial Narrow" w:hAnsi="Arial Narrow"/>
          <w:sz w:val="22"/>
          <w:szCs w:val="22"/>
        </w:rPr>
        <w:t>PÁGINA</w:t>
      </w:r>
    </w:p>
    <w:p w:rsidR="00FE3DCD" w:rsidRDefault="002F2A67">
      <w:pPr>
        <w:pStyle w:val="TDC1"/>
        <w:rPr>
          <w:rFonts w:asciiTheme="minorHAnsi" w:eastAsiaTheme="minorEastAsia" w:hAnsiTheme="minorHAnsi" w:cstheme="minorBidi"/>
          <w:smallCaps w:val="0"/>
          <w:noProof/>
          <w:szCs w:val="22"/>
          <w:lang w:val="es-ES" w:eastAsia="es-ES"/>
        </w:rPr>
      </w:pPr>
      <w:r>
        <w:fldChar w:fldCharType="begin"/>
      </w:r>
      <w:r w:rsidR="0014728F">
        <w:instrText xml:space="preserve"> TOC \o "1-3" \h \z \t "atitulo1;1;atitulo2;2" </w:instrText>
      </w:r>
      <w:r>
        <w:fldChar w:fldCharType="separate"/>
      </w:r>
      <w:hyperlink w:anchor="_Toc440370819" w:history="1">
        <w:r w:rsidR="00FE3DCD" w:rsidRPr="00435AFC">
          <w:rPr>
            <w:rStyle w:val="Hipervnculo"/>
            <w:noProof/>
          </w:rPr>
          <w:t>I. Introducción</w:t>
        </w:r>
        <w:r w:rsidR="00FE3DCD">
          <w:rPr>
            <w:noProof/>
            <w:webHidden/>
          </w:rPr>
          <w:tab/>
        </w:r>
        <w:r w:rsidR="00FE3DCD">
          <w:rPr>
            <w:noProof/>
            <w:webHidden/>
          </w:rPr>
          <w:fldChar w:fldCharType="begin"/>
        </w:r>
        <w:r w:rsidR="00FE3DCD">
          <w:rPr>
            <w:noProof/>
            <w:webHidden/>
          </w:rPr>
          <w:instrText xml:space="preserve"> PAGEREF _Toc440370819 \h </w:instrText>
        </w:r>
        <w:r w:rsidR="00FE3DCD">
          <w:rPr>
            <w:noProof/>
            <w:webHidden/>
          </w:rPr>
        </w:r>
        <w:r w:rsidR="00FE3DCD">
          <w:rPr>
            <w:noProof/>
            <w:webHidden/>
          </w:rPr>
          <w:fldChar w:fldCharType="separate"/>
        </w:r>
        <w:r w:rsidR="00FE3DCD">
          <w:rPr>
            <w:noProof/>
            <w:webHidden/>
          </w:rPr>
          <w:t>3</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20" w:history="1">
        <w:r w:rsidR="00FE3DCD" w:rsidRPr="00435AFC">
          <w:rPr>
            <w:rStyle w:val="Hipervnculo"/>
            <w:noProof/>
          </w:rPr>
          <w:t>II. La Sociedad de Conciertos Santa Cecilia y la Fundación Pablo Sarasate</w:t>
        </w:r>
        <w:r w:rsidR="00FE3DCD">
          <w:rPr>
            <w:noProof/>
            <w:webHidden/>
          </w:rPr>
          <w:tab/>
        </w:r>
        <w:r w:rsidR="00FE3DCD">
          <w:rPr>
            <w:noProof/>
            <w:webHidden/>
          </w:rPr>
          <w:fldChar w:fldCharType="begin"/>
        </w:r>
        <w:r w:rsidR="00FE3DCD">
          <w:rPr>
            <w:noProof/>
            <w:webHidden/>
          </w:rPr>
          <w:instrText xml:space="preserve"> PAGEREF _Toc440370820 \h </w:instrText>
        </w:r>
        <w:r w:rsidR="00FE3DCD">
          <w:rPr>
            <w:noProof/>
            <w:webHidden/>
          </w:rPr>
        </w:r>
        <w:r w:rsidR="00FE3DCD">
          <w:rPr>
            <w:noProof/>
            <w:webHidden/>
          </w:rPr>
          <w:fldChar w:fldCharType="separate"/>
        </w:r>
        <w:r w:rsidR="00FE3DCD">
          <w:rPr>
            <w:noProof/>
            <w:webHidden/>
          </w:rPr>
          <w:t>4</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1" w:history="1">
        <w:r w:rsidR="00FE3DCD" w:rsidRPr="00435AFC">
          <w:rPr>
            <w:rStyle w:val="Hipervnculo"/>
            <w:noProof/>
          </w:rPr>
          <w:t>II.1 La Sociedad de Conciertos Santa Cecilia</w:t>
        </w:r>
        <w:r w:rsidR="00FE3DCD">
          <w:rPr>
            <w:noProof/>
            <w:webHidden/>
          </w:rPr>
          <w:tab/>
        </w:r>
        <w:r w:rsidR="00FE3DCD">
          <w:rPr>
            <w:noProof/>
            <w:webHidden/>
          </w:rPr>
          <w:fldChar w:fldCharType="begin"/>
        </w:r>
        <w:r w:rsidR="00FE3DCD">
          <w:rPr>
            <w:noProof/>
            <w:webHidden/>
          </w:rPr>
          <w:instrText xml:space="preserve"> PAGEREF _Toc440370821 \h </w:instrText>
        </w:r>
        <w:r w:rsidR="00FE3DCD">
          <w:rPr>
            <w:noProof/>
            <w:webHidden/>
          </w:rPr>
        </w:r>
        <w:r w:rsidR="00FE3DCD">
          <w:rPr>
            <w:noProof/>
            <w:webHidden/>
          </w:rPr>
          <w:fldChar w:fldCharType="separate"/>
        </w:r>
        <w:r w:rsidR="00FE3DCD">
          <w:rPr>
            <w:noProof/>
            <w:webHidden/>
          </w:rPr>
          <w:t>4</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2" w:history="1">
        <w:r w:rsidR="00FE3DCD" w:rsidRPr="00435AFC">
          <w:rPr>
            <w:rStyle w:val="Hipervnculo"/>
            <w:noProof/>
          </w:rPr>
          <w:t>II.2 La Fundación Pablo Sarasate</w:t>
        </w:r>
        <w:r w:rsidR="00FE3DCD">
          <w:rPr>
            <w:noProof/>
            <w:webHidden/>
          </w:rPr>
          <w:tab/>
        </w:r>
        <w:r w:rsidR="00FE3DCD">
          <w:rPr>
            <w:noProof/>
            <w:webHidden/>
          </w:rPr>
          <w:fldChar w:fldCharType="begin"/>
        </w:r>
        <w:r w:rsidR="00FE3DCD">
          <w:rPr>
            <w:noProof/>
            <w:webHidden/>
          </w:rPr>
          <w:instrText xml:space="preserve"> PAGEREF _Toc440370822 \h </w:instrText>
        </w:r>
        <w:r w:rsidR="00FE3DCD">
          <w:rPr>
            <w:noProof/>
            <w:webHidden/>
          </w:rPr>
        </w:r>
        <w:r w:rsidR="00FE3DCD">
          <w:rPr>
            <w:noProof/>
            <w:webHidden/>
          </w:rPr>
          <w:fldChar w:fldCharType="separate"/>
        </w:r>
        <w:r w:rsidR="00FE3DCD">
          <w:rPr>
            <w:noProof/>
            <w:webHidden/>
          </w:rPr>
          <w:t>4</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3" w:history="1">
        <w:r w:rsidR="00FE3DCD" w:rsidRPr="00435AFC">
          <w:rPr>
            <w:rStyle w:val="Hipervnculo"/>
            <w:noProof/>
          </w:rPr>
          <w:t>II.3 Relaciones entre la Sociedad de Conciertos Santa Cecilia y la Fundación Pablo Sarasate</w:t>
        </w:r>
        <w:r w:rsidR="00FE3DCD">
          <w:rPr>
            <w:noProof/>
            <w:webHidden/>
          </w:rPr>
          <w:tab/>
        </w:r>
        <w:r w:rsidR="00FE3DCD">
          <w:rPr>
            <w:noProof/>
            <w:webHidden/>
          </w:rPr>
          <w:fldChar w:fldCharType="begin"/>
        </w:r>
        <w:r w:rsidR="00FE3DCD">
          <w:rPr>
            <w:noProof/>
            <w:webHidden/>
          </w:rPr>
          <w:instrText xml:space="preserve"> PAGEREF _Toc440370823 \h </w:instrText>
        </w:r>
        <w:r w:rsidR="00FE3DCD">
          <w:rPr>
            <w:noProof/>
            <w:webHidden/>
          </w:rPr>
        </w:r>
        <w:r w:rsidR="00FE3DCD">
          <w:rPr>
            <w:noProof/>
            <w:webHidden/>
          </w:rPr>
          <w:fldChar w:fldCharType="separate"/>
        </w:r>
        <w:r w:rsidR="00FE3DCD">
          <w:rPr>
            <w:noProof/>
            <w:webHidden/>
          </w:rPr>
          <w:t>6</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4" w:history="1">
        <w:r w:rsidR="00FE3DCD" w:rsidRPr="00435AFC">
          <w:rPr>
            <w:rStyle w:val="Hipervnculo"/>
            <w:noProof/>
          </w:rPr>
          <w:t>II.4 Principales datos económicos de la Sociedad de Conciertos Santa Cecilia y de la Fundación Pablo Sarasate</w:t>
        </w:r>
        <w:r w:rsidR="00FE3DCD">
          <w:rPr>
            <w:noProof/>
            <w:webHidden/>
          </w:rPr>
          <w:tab/>
        </w:r>
        <w:r w:rsidR="00FE3DCD">
          <w:rPr>
            <w:noProof/>
            <w:webHidden/>
          </w:rPr>
          <w:fldChar w:fldCharType="begin"/>
        </w:r>
        <w:r w:rsidR="00FE3DCD">
          <w:rPr>
            <w:noProof/>
            <w:webHidden/>
          </w:rPr>
          <w:instrText xml:space="preserve"> PAGEREF _Toc440370824 \h </w:instrText>
        </w:r>
        <w:r w:rsidR="00FE3DCD">
          <w:rPr>
            <w:noProof/>
            <w:webHidden/>
          </w:rPr>
        </w:r>
        <w:r w:rsidR="00FE3DCD">
          <w:rPr>
            <w:noProof/>
            <w:webHidden/>
          </w:rPr>
          <w:fldChar w:fldCharType="separate"/>
        </w:r>
        <w:r w:rsidR="00FE3DCD">
          <w:rPr>
            <w:noProof/>
            <w:webHidden/>
          </w:rPr>
          <w:t>7</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25" w:history="1">
        <w:r w:rsidR="00FE3DCD" w:rsidRPr="00435AFC">
          <w:rPr>
            <w:rStyle w:val="Hipervnculo"/>
            <w:noProof/>
          </w:rPr>
          <w:t>III. Objetivo, alcance y limitaciones</w:t>
        </w:r>
        <w:r w:rsidR="00FE3DCD">
          <w:rPr>
            <w:noProof/>
            <w:webHidden/>
          </w:rPr>
          <w:tab/>
        </w:r>
        <w:r w:rsidR="00FE3DCD">
          <w:rPr>
            <w:noProof/>
            <w:webHidden/>
          </w:rPr>
          <w:fldChar w:fldCharType="begin"/>
        </w:r>
        <w:r w:rsidR="00FE3DCD">
          <w:rPr>
            <w:noProof/>
            <w:webHidden/>
          </w:rPr>
          <w:instrText xml:space="preserve"> PAGEREF _Toc440370825 \h </w:instrText>
        </w:r>
        <w:r w:rsidR="00FE3DCD">
          <w:rPr>
            <w:noProof/>
            <w:webHidden/>
          </w:rPr>
        </w:r>
        <w:r w:rsidR="00FE3DCD">
          <w:rPr>
            <w:noProof/>
            <w:webHidden/>
          </w:rPr>
          <w:fldChar w:fldCharType="separate"/>
        </w:r>
        <w:r w:rsidR="00FE3DCD">
          <w:rPr>
            <w:noProof/>
            <w:webHidden/>
          </w:rPr>
          <w:t>10</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26" w:history="1">
        <w:r w:rsidR="00FE3DCD" w:rsidRPr="00435AFC">
          <w:rPr>
            <w:rStyle w:val="Hipervnculo"/>
            <w:noProof/>
          </w:rPr>
          <w:t>IV. Conclusiones y recomendaciones generales</w:t>
        </w:r>
        <w:r w:rsidR="00FE3DCD">
          <w:rPr>
            <w:noProof/>
            <w:webHidden/>
          </w:rPr>
          <w:tab/>
        </w:r>
        <w:r w:rsidR="00FE3DCD">
          <w:rPr>
            <w:noProof/>
            <w:webHidden/>
          </w:rPr>
          <w:fldChar w:fldCharType="begin"/>
        </w:r>
        <w:r w:rsidR="00FE3DCD">
          <w:rPr>
            <w:noProof/>
            <w:webHidden/>
          </w:rPr>
          <w:instrText xml:space="preserve"> PAGEREF _Toc440370826 \h </w:instrText>
        </w:r>
        <w:r w:rsidR="00FE3DCD">
          <w:rPr>
            <w:noProof/>
            <w:webHidden/>
          </w:rPr>
        </w:r>
        <w:r w:rsidR="00FE3DCD">
          <w:rPr>
            <w:noProof/>
            <w:webHidden/>
          </w:rPr>
          <w:fldChar w:fldCharType="separate"/>
        </w:r>
        <w:r w:rsidR="00FE3DCD">
          <w:rPr>
            <w:noProof/>
            <w:webHidden/>
          </w:rPr>
          <w:t>11</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27" w:history="1">
        <w:r w:rsidR="00FE3DCD" w:rsidRPr="00435AFC">
          <w:rPr>
            <w:rStyle w:val="Hipervnculo"/>
            <w:noProof/>
          </w:rPr>
          <w:t>V. Análisis del trabajo realizado</w:t>
        </w:r>
        <w:r w:rsidR="00FE3DCD">
          <w:rPr>
            <w:noProof/>
            <w:webHidden/>
          </w:rPr>
          <w:tab/>
        </w:r>
        <w:r w:rsidR="00FE3DCD">
          <w:rPr>
            <w:noProof/>
            <w:webHidden/>
          </w:rPr>
          <w:fldChar w:fldCharType="begin"/>
        </w:r>
        <w:r w:rsidR="00FE3DCD">
          <w:rPr>
            <w:noProof/>
            <w:webHidden/>
          </w:rPr>
          <w:instrText xml:space="preserve"> PAGEREF _Toc440370827 \h </w:instrText>
        </w:r>
        <w:r w:rsidR="00FE3DCD">
          <w:rPr>
            <w:noProof/>
            <w:webHidden/>
          </w:rPr>
        </w:r>
        <w:r w:rsidR="00FE3DCD">
          <w:rPr>
            <w:noProof/>
            <w:webHidden/>
          </w:rPr>
          <w:fldChar w:fldCharType="separate"/>
        </w:r>
        <w:r w:rsidR="00FE3DCD">
          <w:rPr>
            <w:noProof/>
            <w:webHidden/>
          </w:rPr>
          <w:t>13</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8" w:history="1">
        <w:r w:rsidR="00FE3DCD" w:rsidRPr="00435AFC">
          <w:rPr>
            <w:rStyle w:val="Hipervnculo"/>
            <w:noProof/>
          </w:rPr>
          <w:t>a) Aspectos jurídico-organizativos</w:t>
        </w:r>
        <w:r w:rsidR="00FE3DCD">
          <w:rPr>
            <w:noProof/>
            <w:webHidden/>
          </w:rPr>
          <w:tab/>
        </w:r>
        <w:r w:rsidR="00FE3DCD">
          <w:rPr>
            <w:noProof/>
            <w:webHidden/>
          </w:rPr>
          <w:fldChar w:fldCharType="begin"/>
        </w:r>
        <w:r w:rsidR="00FE3DCD">
          <w:rPr>
            <w:noProof/>
            <w:webHidden/>
          </w:rPr>
          <w:instrText xml:space="preserve"> PAGEREF _Toc440370828 \h </w:instrText>
        </w:r>
        <w:r w:rsidR="00FE3DCD">
          <w:rPr>
            <w:noProof/>
            <w:webHidden/>
          </w:rPr>
        </w:r>
        <w:r w:rsidR="00FE3DCD">
          <w:rPr>
            <w:noProof/>
            <w:webHidden/>
          </w:rPr>
          <w:fldChar w:fldCharType="separate"/>
        </w:r>
        <w:r w:rsidR="00FE3DCD">
          <w:rPr>
            <w:noProof/>
            <w:webHidden/>
          </w:rPr>
          <w:t>13</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29" w:history="1">
        <w:r w:rsidR="00FE3DCD" w:rsidRPr="00435AFC">
          <w:rPr>
            <w:rStyle w:val="Hipervnculo"/>
            <w:noProof/>
          </w:rPr>
          <w:t>b) Relaciones contables de las cuentas cruzadas entre la Fundación Pablo Sarasate y la Sociedad de Conciertos Santa Cecilia</w:t>
        </w:r>
        <w:r w:rsidR="00FE3DCD">
          <w:rPr>
            <w:noProof/>
            <w:webHidden/>
          </w:rPr>
          <w:tab/>
        </w:r>
        <w:r w:rsidR="00FE3DCD">
          <w:rPr>
            <w:noProof/>
            <w:webHidden/>
          </w:rPr>
          <w:fldChar w:fldCharType="begin"/>
        </w:r>
        <w:r w:rsidR="00FE3DCD">
          <w:rPr>
            <w:noProof/>
            <w:webHidden/>
          </w:rPr>
          <w:instrText xml:space="preserve"> PAGEREF _Toc440370829 \h </w:instrText>
        </w:r>
        <w:r w:rsidR="00FE3DCD">
          <w:rPr>
            <w:noProof/>
            <w:webHidden/>
          </w:rPr>
        </w:r>
        <w:r w:rsidR="00FE3DCD">
          <w:rPr>
            <w:noProof/>
            <w:webHidden/>
          </w:rPr>
          <w:fldChar w:fldCharType="separate"/>
        </w:r>
        <w:r w:rsidR="00FE3DCD">
          <w:rPr>
            <w:noProof/>
            <w:webHidden/>
          </w:rPr>
          <w:t>14</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30" w:history="1">
        <w:r w:rsidR="00FE3DCD" w:rsidRPr="00435AFC">
          <w:rPr>
            <w:rStyle w:val="Hipervnculo"/>
            <w:noProof/>
          </w:rPr>
          <w:t>c) Explicación de los conceptos de gasto soportados por la la Sociedad de Conciertos Santa Cecilia</w:t>
        </w:r>
        <w:r w:rsidR="00FE3DCD">
          <w:rPr>
            <w:noProof/>
            <w:webHidden/>
          </w:rPr>
          <w:tab/>
        </w:r>
        <w:r w:rsidR="00FE3DCD">
          <w:rPr>
            <w:noProof/>
            <w:webHidden/>
          </w:rPr>
          <w:fldChar w:fldCharType="begin"/>
        </w:r>
        <w:r w:rsidR="00FE3DCD">
          <w:rPr>
            <w:noProof/>
            <w:webHidden/>
          </w:rPr>
          <w:instrText xml:space="preserve"> PAGEREF _Toc440370830 \h </w:instrText>
        </w:r>
        <w:r w:rsidR="00FE3DCD">
          <w:rPr>
            <w:noProof/>
            <w:webHidden/>
          </w:rPr>
        </w:r>
        <w:r w:rsidR="00FE3DCD">
          <w:rPr>
            <w:noProof/>
            <w:webHidden/>
          </w:rPr>
          <w:fldChar w:fldCharType="separate"/>
        </w:r>
        <w:r w:rsidR="00FE3DCD">
          <w:rPr>
            <w:noProof/>
            <w:webHidden/>
          </w:rPr>
          <w:t>15</w:t>
        </w:r>
        <w:r w:rsidR="00FE3DCD">
          <w:rPr>
            <w:noProof/>
            <w:webHidden/>
          </w:rPr>
          <w:fldChar w:fldCharType="end"/>
        </w:r>
      </w:hyperlink>
    </w:p>
    <w:p w:rsidR="00FE3DCD" w:rsidRDefault="00ED64B5">
      <w:pPr>
        <w:pStyle w:val="TDC2"/>
        <w:rPr>
          <w:rFonts w:asciiTheme="minorHAnsi" w:eastAsiaTheme="minorEastAsia" w:hAnsiTheme="minorHAnsi" w:cstheme="minorBidi"/>
          <w:noProof/>
          <w:szCs w:val="22"/>
          <w:lang w:val="es-ES" w:eastAsia="es-ES"/>
        </w:rPr>
      </w:pPr>
      <w:hyperlink w:anchor="_Toc440370831" w:history="1">
        <w:r w:rsidR="00FE3DCD" w:rsidRPr="00435AFC">
          <w:rPr>
            <w:rStyle w:val="Hipervnculo"/>
            <w:noProof/>
          </w:rPr>
          <w:t>d) Situación económica de la Fundación y la Sociedad</w:t>
        </w:r>
        <w:r w:rsidR="00FE3DCD">
          <w:rPr>
            <w:noProof/>
            <w:webHidden/>
          </w:rPr>
          <w:tab/>
        </w:r>
        <w:r w:rsidR="00FE3DCD">
          <w:rPr>
            <w:noProof/>
            <w:webHidden/>
          </w:rPr>
          <w:fldChar w:fldCharType="begin"/>
        </w:r>
        <w:r w:rsidR="00FE3DCD">
          <w:rPr>
            <w:noProof/>
            <w:webHidden/>
          </w:rPr>
          <w:instrText xml:space="preserve"> PAGEREF _Toc440370831 \h </w:instrText>
        </w:r>
        <w:r w:rsidR="00FE3DCD">
          <w:rPr>
            <w:noProof/>
            <w:webHidden/>
          </w:rPr>
        </w:r>
        <w:r w:rsidR="00FE3DCD">
          <w:rPr>
            <w:noProof/>
            <w:webHidden/>
          </w:rPr>
          <w:fldChar w:fldCharType="separate"/>
        </w:r>
        <w:r w:rsidR="00FE3DCD">
          <w:rPr>
            <w:noProof/>
            <w:webHidden/>
          </w:rPr>
          <w:t>18</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32" w:history="1">
        <w:r w:rsidR="00FE3DCD" w:rsidRPr="00435AFC">
          <w:rPr>
            <w:rStyle w:val="Hipervnculo"/>
            <w:noProof/>
          </w:rPr>
          <w:t>Anexos</w:t>
        </w:r>
        <w:r w:rsidR="00FE3DCD">
          <w:rPr>
            <w:noProof/>
            <w:webHidden/>
          </w:rPr>
          <w:tab/>
        </w:r>
        <w:r w:rsidR="00FE3DCD">
          <w:rPr>
            <w:noProof/>
            <w:webHidden/>
          </w:rPr>
          <w:fldChar w:fldCharType="begin"/>
        </w:r>
        <w:r w:rsidR="00FE3DCD">
          <w:rPr>
            <w:noProof/>
            <w:webHidden/>
          </w:rPr>
          <w:instrText xml:space="preserve"> PAGEREF _Toc440370832 \h </w:instrText>
        </w:r>
        <w:r w:rsidR="00FE3DCD">
          <w:rPr>
            <w:noProof/>
            <w:webHidden/>
          </w:rPr>
        </w:r>
        <w:r w:rsidR="00FE3DCD">
          <w:rPr>
            <w:noProof/>
            <w:webHidden/>
          </w:rPr>
          <w:fldChar w:fldCharType="separate"/>
        </w:r>
        <w:r w:rsidR="00FE3DCD">
          <w:rPr>
            <w:noProof/>
            <w:webHidden/>
          </w:rPr>
          <w:t>22</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33" w:history="1">
        <w:r w:rsidR="00FE3DCD" w:rsidRPr="00435AFC">
          <w:rPr>
            <w:rStyle w:val="Hipervnculo"/>
            <w:noProof/>
          </w:rPr>
          <w:t>Anexo I. Balance de la Sociedad de Conciertos Santa Cecilia a 31-12-2014</w:t>
        </w:r>
        <w:r w:rsidR="00FE3DCD">
          <w:rPr>
            <w:noProof/>
            <w:webHidden/>
          </w:rPr>
          <w:tab/>
          <w:t>2</w:t>
        </w:r>
        <w:r w:rsidR="00FE3DCD">
          <w:rPr>
            <w:noProof/>
            <w:webHidden/>
          </w:rPr>
          <w:fldChar w:fldCharType="begin"/>
        </w:r>
        <w:r w:rsidR="00FE3DCD">
          <w:rPr>
            <w:noProof/>
            <w:webHidden/>
          </w:rPr>
          <w:instrText xml:space="preserve"> PAGEREF _Toc440370833 \h </w:instrText>
        </w:r>
        <w:r w:rsidR="00FE3DCD">
          <w:rPr>
            <w:noProof/>
            <w:webHidden/>
          </w:rPr>
        </w:r>
        <w:r w:rsidR="00FE3DCD">
          <w:rPr>
            <w:noProof/>
            <w:webHidden/>
          </w:rPr>
          <w:fldChar w:fldCharType="separate"/>
        </w:r>
        <w:r w:rsidR="00FE3DCD">
          <w:rPr>
            <w:noProof/>
            <w:webHidden/>
          </w:rPr>
          <w:t>3</w:t>
        </w:r>
        <w:r w:rsidR="00FE3DCD">
          <w:rPr>
            <w:noProof/>
            <w:webHidden/>
          </w:rPr>
          <w:fldChar w:fldCharType="end"/>
        </w:r>
      </w:hyperlink>
    </w:p>
    <w:p w:rsidR="00FE3DCD" w:rsidRDefault="00ED64B5">
      <w:pPr>
        <w:pStyle w:val="TDC1"/>
        <w:rPr>
          <w:rFonts w:asciiTheme="minorHAnsi" w:eastAsiaTheme="minorEastAsia" w:hAnsiTheme="minorHAnsi" w:cstheme="minorBidi"/>
          <w:smallCaps w:val="0"/>
          <w:noProof/>
          <w:szCs w:val="22"/>
          <w:lang w:val="es-ES" w:eastAsia="es-ES"/>
        </w:rPr>
      </w:pPr>
      <w:hyperlink w:anchor="_Toc440370834" w:history="1">
        <w:r w:rsidR="00FE3DCD" w:rsidRPr="00435AFC">
          <w:rPr>
            <w:rStyle w:val="Hipervnculo"/>
            <w:noProof/>
          </w:rPr>
          <w:t>Anexo II.</w:t>
        </w:r>
        <w:r w:rsidR="00FE3DCD" w:rsidRPr="00435AFC">
          <w:rPr>
            <w:rStyle w:val="Hipervnculo"/>
            <w:rFonts w:cs="Arial"/>
            <w:noProof/>
          </w:rPr>
          <w:t xml:space="preserve"> Balance de situación</w:t>
        </w:r>
        <w:r w:rsidR="00FE3DCD" w:rsidRPr="00435AFC">
          <w:rPr>
            <w:rStyle w:val="Hipervnculo"/>
            <w:noProof/>
          </w:rPr>
          <w:t xml:space="preserve"> de la Fundación Pablo Sarasate</w:t>
        </w:r>
        <w:r w:rsidR="00FE3DCD">
          <w:rPr>
            <w:noProof/>
            <w:webHidden/>
          </w:rPr>
          <w:tab/>
          <w:t>2</w:t>
        </w:r>
        <w:r w:rsidR="00FE3DCD">
          <w:rPr>
            <w:noProof/>
            <w:webHidden/>
          </w:rPr>
          <w:fldChar w:fldCharType="begin"/>
        </w:r>
        <w:r w:rsidR="00FE3DCD">
          <w:rPr>
            <w:noProof/>
            <w:webHidden/>
          </w:rPr>
          <w:instrText xml:space="preserve"> PAGEREF _Toc440370834 \h </w:instrText>
        </w:r>
        <w:r w:rsidR="00FE3DCD">
          <w:rPr>
            <w:noProof/>
            <w:webHidden/>
          </w:rPr>
        </w:r>
        <w:r w:rsidR="00FE3DCD">
          <w:rPr>
            <w:noProof/>
            <w:webHidden/>
          </w:rPr>
          <w:fldChar w:fldCharType="separate"/>
        </w:r>
        <w:r w:rsidR="00FE3DCD">
          <w:rPr>
            <w:noProof/>
            <w:webHidden/>
          </w:rPr>
          <w:t>4</w:t>
        </w:r>
        <w:r w:rsidR="00FE3DCD">
          <w:rPr>
            <w:noProof/>
            <w:webHidden/>
          </w:rPr>
          <w:fldChar w:fldCharType="end"/>
        </w:r>
      </w:hyperlink>
    </w:p>
    <w:p w:rsidR="00891D73" w:rsidRDefault="002F2A67"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E5304" w:rsidRPr="001E3556" w:rsidRDefault="003E5304" w:rsidP="003E5304">
      <w:pPr>
        <w:pStyle w:val="atitulo1"/>
      </w:pPr>
      <w:bookmarkStart w:id="0" w:name="_Toc436040567"/>
      <w:bookmarkStart w:id="1" w:name="_Toc440370819"/>
      <w:r w:rsidRPr="001E3556">
        <w:lastRenderedPageBreak/>
        <w:t>I</w:t>
      </w:r>
      <w:r>
        <w:t>.</w:t>
      </w:r>
      <w:r w:rsidRPr="001E3556">
        <w:t xml:space="preserve"> Introducción</w:t>
      </w:r>
      <w:bookmarkEnd w:id="0"/>
      <w:bookmarkEnd w:id="1"/>
    </w:p>
    <w:p w:rsidR="003E5304" w:rsidRDefault="003E5304" w:rsidP="00A8726C">
      <w:pPr>
        <w:pStyle w:val="texto"/>
      </w:pPr>
      <w:r>
        <w:t>La Junta de Portavoces del Parlamento de Navarra,</w:t>
      </w:r>
      <w:r w:rsidR="00A8726C">
        <w:t xml:space="preserve"> a instancia del Gobierno de Navarra,</w:t>
      </w:r>
      <w:r>
        <w:t xml:space="preserve"> en sesión celebrada el 13 de octubre de 2015</w:t>
      </w:r>
      <w:r w:rsidR="00A8726C">
        <w:t>,</w:t>
      </w:r>
      <w:r>
        <w:t xml:space="preserve"> acordó solicitar a la Cámara de Comptos de Navarra la emi</w:t>
      </w:r>
      <w:r w:rsidR="00A8726C">
        <w:t xml:space="preserve">sión de un informe </w:t>
      </w:r>
      <w:r>
        <w:t xml:space="preserve">sobre </w:t>
      </w:r>
      <w:r w:rsidR="00622F1D">
        <w:t>“</w:t>
      </w:r>
      <w:r>
        <w:t>la relación contable de</w:t>
      </w:r>
      <w:r w:rsidR="00336E08">
        <w:t xml:space="preserve"> las cuentas cruzadas entre la F</w:t>
      </w:r>
      <w:r>
        <w:t>undación Pablo Sarasate y la Soci</w:t>
      </w:r>
      <w:r>
        <w:t>e</w:t>
      </w:r>
      <w:r>
        <w:t>dad de Conciertos Santa Cecilia, durante el periodo 2006-2014</w:t>
      </w:r>
      <w:r w:rsidR="00622F1D">
        <w:t>”</w:t>
      </w:r>
      <w:r>
        <w:t>.</w:t>
      </w:r>
    </w:p>
    <w:p w:rsidR="00C87ACA" w:rsidRDefault="00C87ACA" w:rsidP="00C87ACA">
      <w:pPr>
        <w:pStyle w:val="texto"/>
      </w:pPr>
      <w:r>
        <w:t>El origen de la petición se encuentra en que en los últimos años los importes de los abonos cobrados por la Sociedad no son ingresados en su totalidad en las cuentas de la Fundación.</w:t>
      </w:r>
      <w:r w:rsidR="00622F1D">
        <w:t xml:space="preserve"> </w:t>
      </w:r>
      <w:r>
        <w:t>Por ello, la Fundación solicitó a su auditor la emisión de un informe de revisión limitada sobre ese aspecto, que fue entregado en se</w:t>
      </w:r>
      <w:r>
        <w:t>p</w:t>
      </w:r>
      <w:r>
        <w:t>tiembre de 2015</w:t>
      </w:r>
    </w:p>
    <w:p w:rsidR="003E5304" w:rsidRDefault="003E5304" w:rsidP="003E5304">
      <w:pPr>
        <w:pStyle w:val="texto"/>
      </w:pPr>
      <w:r>
        <w:t>Este trabajo se incluyó en el programa de fiscalización de la Cámara de Com</w:t>
      </w:r>
      <w:r w:rsidR="000B138D">
        <w:t>p</w:t>
      </w:r>
      <w:r>
        <w:t>tos de Navarra para el año 2015.</w:t>
      </w:r>
    </w:p>
    <w:p w:rsidR="000B138D" w:rsidRDefault="003E5304" w:rsidP="000B138D">
      <w:pPr>
        <w:pStyle w:val="texto"/>
      </w:pPr>
      <w:r>
        <w:t xml:space="preserve">El trabajo </w:t>
      </w:r>
      <w:r w:rsidR="000637EE">
        <w:t>lo</w:t>
      </w:r>
      <w:r>
        <w:t xml:space="preserve"> ha realizado en el mes de noviembre de 2015 un equipo int</w:t>
      </w:r>
      <w:r>
        <w:t>e</w:t>
      </w:r>
      <w:r>
        <w:t>grado por una técnica de auditoría y un auditor, contando</w:t>
      </w:r>
      <w:r w:rsidR="000B138D">
        <w:t xml:space="preserve"> </w:t>
      </w:r>
      <w:r w:rsidR="000B138D" w:rsidRPr="0008508C">
        <w:t>con la colaboración de los servicios jurídicos, informáticos y administrativos de la Cámara de Comptos de Navarra.</w:t>
      </w:r>
    </w:p>
    <w:p w:rsidR="00A8726C" w:rsidRDefault="003E5304" w:rsidP="003E5304">
      <w:pPr>
        <w:pStyle w:val="texto"/>
      </w:pPr>
      <w:r>
        <w:t>En el año 2009</w:t>
      </w:r>
      <w:r w:rsidR="000637EE">
        <w:t>,</w:t>
      </w:r>
      <w:r>
        <w:t xml:space="preserve"> también a petición del Parlamento</w:t>
      </w:r>
      <w:r w:rsidR="000637EE">
        <w:t>,</w:t>
      </w:r>
      <w:r>
        <w:t xml:space="preserve"> se realizó un informe s</w:t>
      </w:r>
      <w:r>
        <w:t>o</w:t>
      </w:r>
      <w:r>
        <w:t xml:space="preserve">bre la Fundación Pablo </w:t>
      </w:r>
      <w:proofErr w:type="spellStart"/>
      <w:r>
        <w:t>Sarasate</w:t>
      </w:r>
      <w:proofErr w:type="spellEnd"/>
      <w:r>
        <w:t xml:space="preserve"> cuya principal conclusión se refería a la inco</w:t>
      </w:r>
      <w:r>
        <w:t>n</w:t>
      </w:r>
      <w:r>
        <w:t>gr</w:t>
      </w:r>
      <w:r w:rsidR="00336E08">
        <w:t>uencia de la existencia de una f</w:t>
      </w:r>
      <w:r>
        <w:t>undación con fondos propios negativos, au</w:t>
      </w:r>
      <w:r>
        <w:t>n</w:t>
      </w:r>
      <w:r>
        <w:t>que su actividad se podr</w:t>
      </w:r>
      <w:r w:rsidR="00A8726C">
        <w:t xml:space="preserve">ía </w:t>
      </w:r>
      <w:r>
        <w:t>mantener mientras obtenga las subvenciones para su funcionamiento</w:t>
      </w:r>
      <w:r w:rsidR="00A8726C">
        <w:t>.</w:t>
      </w:r>
    </w:p>
    <w:p w:rsidR="003E5304" w:rsidRDefault="00A8726C" w:rsidP="003E5304">
      <w:pPr>
        <w:pStyle w:val="texto"/>
      </w:pPr>
      <w:r>
        <w:t>S</w:t>
      </w:r>
      <w:r w:rsidR="003E5304">
        <w:t xml:space="preserve">e recomendaba al Gobierno de Navarra que analizara la conveniencia de participar en una fundación privada, con patrimonio negativo, que </w:t>
      </w:r>
      <w:r w:rsidR="003E5304" w:rsidRPr="000B138D">
        <w:t>“de</w:t>
      </w:r>
      <w:r w:rsidR="000B138D" w:rsidRPr="000B138D">
        <w:t xml:space="preserve"> facto”</w:t>
      </w:r>
      <w:r w:rsidR="003E5304" w:rsidRPr="000B138D">
        <w:t xml:space="preserve"> </w:t>
      </w:r>
      <w:r w:rsidR="000B138D">
        <w:t>p</w:t>
      </w:r>
      <w:r w:rsidR="003E5304">
        <w:t>uede controlar a través de la subvención y con cuya participación le otorga un “cierto carácter público”.</w:t>
      </w:r>
    </w:p>
    <w:p w:rsidR="003E5304" w:rsidRDefault="003E5304" w:rsidP="003E5304">
      <w:pPr>
        <w:pStyle w:val="texto"/>
      </w:pPr>
      <w:r>
        <w:t>El informe se estructura en</w:t>
      </w:r>
      <w:r w:rsidR="000B138D">
        <w:t xml:space="preserve"> cuatro epígrafes además de esta introducción. En el segundo, se explican brevemente las principales características de la Soci</w:t>
      </w:r>
      <w:r w:rsidR="000B138D">
        <w:t>e</w:t>
      </w:r>
      <w:r w:rsidR="000B138D">
        <w:t>dad de Conciertos Santa Cecilia y la Fundación Pablo Sarasate; en el tercero, se presentan los objetivos, alcance y limitaciones; en el cuarto, incluimos las co</w:t>
      </w:r>
      <w:r w:rsidR="000B138D">
        <w:t>n</w:t>
      </w:r>
      <w:r w:rsidR="000B138D">
        <w:t>clusiones y recomendaciones generales y en el quinto se amplían y detallan e</w:t>
      </w:r>
      <w:r w:rsidR="000B138D">
        <w:t>s</w:t>
      </w:r>
      <w:r w:rsidR="000B138D">
        <w:t>tas conclusiones y recomendaciones.</w:t>
      </w:r>
    </w:p>
    <w:p w:rsidR="003E5304" w:rsidRDefault="003E5304" w:rsidP="003E5304">
      <w:pPr>
        <w:pStyle w:val="texto"/>
      </w:pPr>
      <w:r>
        <w:t>Agradecemos al personal de la Fundación Pablo Sarasate, a la Junta de la Sociedad de Conciertos Santa Cecilia</w:t>
      </w:r>
      <w:r w:rsidR="00140412">
        <w:t>, al de UNICEF</w:t>
      </w:r>
      <w:r>
        <w:t xml:space="preserve"> y al auditor de la Fund</w:t>
      </w:r>
      <w:r>
        <w:t>a</w:t>
      </w:r>
      <w:r>
        <w:t>ción Pablo Sarasate la colaboración prestada para la realización de este trabajo.</w:t>
      </w:r>
    </w:p>
    <w:p w:rsidR="003E5304" w:rsidRDefault="003E5304" w:rsidP="003E5304">
      <w:pPr>
        <w:pStyle w:val="texto"/>
      </w:pPr>
    </w:p>
    <w:p w:rsidR="003E5304" w:rsidRDefault="003E5304" w:rsidP="003E5304">
      <w:pPr>
        <w:spacing w:after="0"/>
        <w:ind w:firstLine="0"/>
        <w:jc w:val="left"/>
        <w:rPr>
          <w:spacing w:val="6"/>
          <w:sz w:val="26"/>
          <w:szCs w:val="24"/>
        </w:rPr>
      </w:pPr>
      <w:r>
        <w:br w:type="page"/>
      </w:r>
    </w:p>
    <w:p w:rsidR="003E5304" w:rsidRDefault="003E5304" w:rsidP="003E5304">
      <w:pPr>
        <w:pStyle w:val="atitulo1"/>
      </w:pPr>
      <w:bookmarkStart w:id="2" w:name="_Toc436040568"/>
      <w:bookmarkStart w:id="3" w:name="_Toc440370820"/>
      <w:r>
        <w:lastRenderedPageBreak/>
        <w:t>II. La Sociedad de Conciertos Santa Cecilia y la Fundación Pablo Sar</w:t>
      </w:r>
      <w:r>
        <w:t>a</w:t>
      </w:r>
      <w:r>
        <w:t>sate</w:t>
      </w:r>
      <w:bookmarkEnd w:id="2"/>
      <w:bookmarkEnd w:id="3"/>
    </w:p>
    <w:p w:rsidR="003E5304" w:rsidRDefault="003E5304" w:rsidP="003E5304">
      <w:pPr>
        <w:pStyle w:val="texto"/>
      </w:pPr>
      <w:r>
        <w:t>En este epígrafe presentamos las principales características de estas instit</w:t>
      </w:r>
      <w:r>
        <w:t>u</w:t>
      </w:r>
      <w:r>
        <w:t>ciones.</w:t>
      </w:r>
    </w:p>
    <w:p w:rsidR="003E5304" w:rsidRDefault="003E5304" w:rsidP="003E5304">
      <w:pPr>
        <w:pStyle w:val="atitulo2"/>
      </w:pPr>
      <w:bookmarkStart w:id="4" w:name="_Toc436040569"/>
      <w:bookmarkStart w:id="5" w:name="_Toc440370821"/>
      <w:r>
        <w:t>II.1 La Sociedad de Conciertos Santa Cecilia</w:t>
      </w:r>
      <w:bookmarkEnd w:id="4"/>
      <w:bookmarkEnd w:id="5"/>
    </w:p>
    <w:p w:rsidR="003E5304" w:rsidRDefault="003E5304" w:rsidP="003E5304">
      <w:pPr>
        <w:pStyle w:val="texto"/>
      </w:pPr>
      <w:r>
        <w:t xml:space="preserve">Esta </w:t>
      </w:r>
      <w:r w:rsidR="00817067">
        <w:t>S</w:t>
      </w:r>
      <w:r>
        <w:t>ociedad, sin ánimo de lucro, se constituyó en el año 1</w:t>
      </w:r>
      <w:r w:rsidR="000B138D">
        <w:t>879. Su gobierno lo ostenta la A</w:t>
      </w:r>
      <w:r>
        <w:t xml:space="preserve">samblea </w:t>
      </w:r>
      <w:r w:rsidR="000B138D">
        <w:t>G</w:t>
      </w:r>
      <w:r>
        <w:t>eneral y de su administración se encarga la Junta D</w:t>
      </w:r>
      <w:r>
        <w:t>i</w:t>
      </w:r>
      <w:r>
        <w:t>rectiva, de la que es miembro de pleno derecho el consejero de cultura.</w:t>
      </w:r>
    </w:p>
    <w:p w:rsidR="003E5304" w:rsidRDefault="00817067" w:rsidP="003E5304">
      <w:pPr>
        <w:pStyle w:val="texto"/>
      </w:pPr>
      <w:r>
        <w:t xml:space="preserve">Es una </w:t>
      </w:r>
      <w:r w:rsidR="000637EE">
        <w:t>s</w:t>
      </w:r>
      <w:r w:rsidR="003E5304">
        <w:t>ociedad privada que no cuenta con personal, encargándose el pers</w:t>
      </w:r>
      <w:r w:rsidR="003E5304">
        <w:t>o</w:t>
      </w:r>
      <w:r w:rsidR="003E5304">
        <w:t>nal d</w:t>
      </w:r>
      <w:r w:rsidR="000B138D">
        <w:t>e la Fundación Pablo Sarasate d</w:t>
      </w:r>
      <w:r w:rsidR="003E5304">
        <w:t>e las gestiones administrativas.</w:t>
      </w:r>
    </w:p>
    <w:p w:rsidR="003E5304" w:rsidRDefault="00140412" w:rsidP="003E5304">
      <w:pPr>
        <w:pStyle w:val="texto"/>
      </w:pPr>
      <w:r>
        <w:t>Según los estatutos, cuya última modificación es de 1967, l</w:t>
      </w:r>
      <w:r w:rsidR="00817067">
        <w:t>os objetivos de la S</w:t>
      </w:r>
      <w:r w:rsidR="003E5304">
        <w:t>ociedad son:</w:t>
      </w:r>
    </w:p>
    <w:p w:rsidR="003E5304" w:rsidRPr="00F22C3C" w:rsidRDefault="00A8726C" w:rsidP="003E5304">
      <w:pPr>
        <w:pStyle w:val="texto"/>
        <w:rPr>
          <w:i/>
          <w:sz w:val="20"/>
          <w:szCs w:val="20"/>
        </w:rPr>
      </w:pPr>
      <w:r w:rsidRPr="00F22C3C">
        <w:rPr>
          <w:sz w:val="20"/>
          <w:szCs w:val="20"/>
        </w:rPr>
        <w:t>“</w:t>
      </w:r>
      <w:r w:rsidR="003E5304" w:rsidRPr="00F22C3C">
        <w:rPr>
          <w:i/>
          <w:sz w:val="20"/>
          <w:szCs w:val="20"/>
        </w:rPr>
        <w:t>a) Difundir y divulgar la afición al arte musical en navarra, mediante la celebración de concie</w:t>
      </w:r>
      <w:r w:rsidR="003E5304" w:rsidRPr="00F22C3C">
        <w:rPr>
          <w:i/>
          <w:sz w:val="20"/>
          <w:szCs w:val="20"/>
        </w:rPr>
        <w:t>r</w:t>
      </w:r>
      <w:r w:rsidR="003E5304" w:rsidRPr="00F22C3C">
        <w:rPr>
          <w:i/>
          <w:sz w:val="20"/>
          <w:szCs w:val="20"/>
        </w:rPr>
        <w:t>tos, procurando que estos sean de la mejor calidad y lo más numerosos posibles. Dichos conciertos estarán dirigidos a los socios y al público en general. Caso de que, por el aumento de los primeros, se rebase la capacidad del local habitual, se procederá a organizar una segunda sesión.</w:t>
      </w:r>
    </w:p>
    <w:p w:rsidR="003E5304" w:rsidRPr="00F22C3C" w:rsidRDefault="003E5304" w:rsidP="003E5304">
      <w:pPr>
        <w:pStyle w:val="texto"/>
        <w:rPr>
          <w:i/>
          <w:sz w:val="20"/>
          <w:szCs w:val="20"/>
        </w:rPr>
      </w:pPr>
      <w:r w:rsidRPr="00F22C3C">
        <w:rPr>
          <w:i/>
          <w:sz w:val="20"/>
          <w:szCs w:val="20"/>
        </w:rPr>
        <w:t>b) Dar a conocer la música navarra, tanto actual como del pasado.</w:t>
      </w:r>
    </w:p>
    <w:p w:rsidR="003E5304" w:rsidRPr="00F22C3C" w:rsidRDefault="003E5304" w:rsidP="003E5304">
      <w:pPr>
        <w:pStyle w:val="texto"/>
        <w:rPr>
          <w:i/>
          <w:sz w:val="20"/>
          <w:szCs w:val="20"/>
        </w:rPr>
      </w:pPr>
      <w:r w:rsidRPr="00F22C3C">
        <w:rPr>
          <w:i/>
          <w:sz w:val="20"/>
          <w:szCs w:val="20"/>
        </w:rPr>
        <w:t>c) Promocionar a los músicos navarros, contratándolos para su actuación como artistas invitados en los conciertos de la Sociedad.</w:t>
      </w:r>
    </w:p>
    <w:p w:rsidR="003E5304" w:rsidRPr="00F22C3C" w:rsidRDefault="003E5304" w:rsidP="003E5304">
      <w:pPr>
        <w:pStyle w:val="texto"/>
        <w:rPr>
          <w:i/>
          <w:sz w:val="20"/>
          <w:szCs w:val="20"/>
        </w:rPr>
      </w:pPr>
      <w:r w:rsidRPr="00F22C3C">
        <w:rPr>
          <w:i/>
          <w:sz w:val="20"/>
          <w:szCs w:val="20"/>
        </w:rPr>
        <w:t>d) Proyectar la actividad musical navarra fuera de los límites de la Comunidad Foral de Navarra. Para llevar a cabo dichos objetivos la Sociedad dispondrá de una formación orquestal, denominada Pablo Sarasate cuya dimensión de plantilla dependerá de la orientación artística y de las disponib</w:t>
      </w:r>
      <w:r w:rsidRPr="00F22C3C">
        <w:rPr>
          <w:i/>
          <w:sz w:val="20"/>
          <w:szCs w:val="20"/>
        </w:rPr>
        <w:t>i</w:t>
      </w:r>
      <w:r w:rsidRPr="00F22C3C">
        <w:rPr>
          <w:i/>
          <w:sz w:val="20"/>
          <w:szCs w:val="20"/>
        </w:rPr>
        <w:t>lidades económicas</w:t>
      </w:r>
      <w:r w:rsidR="00A8726C" w:rsidRPr="00F22C3C">
        <w:rPr>
          <w:i/>
          <w:sz w:val="20"/>
          <w:szCs w:val="20"/>
        </w:rPr>
        <w:t>”</w:t>
      </w:r>
      <w:r w:rsidRPr="00F22C3C">
        <w:rPr>
          <w:i/>
          <w:sz w:val="20"/>
          <w:szCs w:val="20"/>
        </w:rPr>
        <w:t>.</w:t>
      </w:r>
    </w:p>
    <w:p w:rsidR="003E5304" w:rsidRPr="00B04727" w:rsidRDefault="00140412" w:rsidP="003E5304">
      <w:pPr>
        <w:pStyle w:val="texto"/>
      </w:pPr>
      <w:r w:rsidRPr="00140412">
        <w:t>No existe registro de socios actualizado y podría considerarse que son socio</w:t>
      </w:r>
      <w:r>
        <w:t xml:space="preserve">s los abonados a los conciertos, cuyo número, </w:t>
      </w:r>
      <w:r w:rsidR="00B04727">
        <w:t xml:space="preserve">según nos indican e </w:t>
      </w:r>
      <w:r>
        <w:t xml:space="preserve">incluidos los abonados de Tudela, asciende aproximadamente </w:t>
      </w:r>
      <w:r w:rsidRPr="00B04727">
        <w:t>a 1.700</w:t>
      </w:r>
      <w:r w:rsidR="003E5304" w:rsidRPr="00B04727">
        <w:t>.</w:t>
      </w:r>
    </w:p>
    <w:p w:rsidR="003E5304" w:rsidRDefault="003E5304" w:rsidP="003E5304">
      <w:pPr>
        <w:pStyle w:val="atitulo2"/>
      </w:pPr>
      <w:bookmarkStart w:id="6" w:name="_Toc436040570"/>
      <w:bookmarkStart w:id="7" w:name="_Toc440370822"/>
      <w:r>
        <w:t>II.2 La Fundación Pablo Sarasate</w:t>
      </w:r>
      <w:bookmarkEnd w:id="6"/>
      <w:bookmarkEnd w:id="7"/>
    </w:p>
    <w:p w:rsidR="003E5304" w:rsidRDefault="003E5304" w:rsidP="003E5304">
      <w:pPr>
        <w:pStyle w:val="texto"/>
      </w:pPr>
      <w:r>
        <w:t>El 30 de diciembre de 1997, la Sociedad de Conciertos Santa Cecilia y el Gobierno de Navarra constituyeron la “Fundación Pablo Sarasate” con una aportación en especie (archivo musical e instrumentos) de la primera valorada en 24.252.709 pesetas (</w:t>
      </w:r>
      <w:r w:rsidR="00A53AEF">
        <w:t xml:space="preserve">145.762 </w:t>
      </w:r>
      <w:r>
        <w:t>euros) y de 2.000.000 de pesetas (12.000 e</w:t>
      </w:r>
      <w:r>
        <w:t>u</w:t>
      </w:r>
      <w:r>
        <w:t>ros) por parte del Gobierno de Navarra.</w:t>
      </w:r>
    </w:p>
    <w:p w:rsidR="003E5304" w:rsidRDefault="003E5304" w:rsidP="003E5304">
      <w:pPr>
        <w:pStyle w:val="texto"/>
      </w:pPr>
      <w:r>
        <w:t>Se constituye, por lo tanto, como una fundación privada, aunque para su fu</w:t>
      </w:r>
      <w:r>
        <w:t>n</w:t>
      </w:r>
      <w:r>
        <w:t>cionamiento depende de la financiación pública.</w:t>
      </w:r>
    </w:p>
    <w:p w:rsidR="003E5304" w:rsidRDefault="003E5304" w:rsidP="003E5304">
      <w:pPr>
        <w:pStyle w:val="texto"/>
      </w:pPr>
      <w:r>
        <w:t>Tras la última modificación</w:t>
      </w:r>
      <w:r w:rsidR="00A53AEF">
        <w:t xml:space="preserve"> estatutaria</w:t>
      </w:r>
      <w:r w:rsidR="00140412">
        <w:t xml:space="preserve"> del año 2007, </w:t>
      </w:r>
      <w:r>
        <w:t>el patronato está co</w:t>
      </w:r>
      <w:r>
        <w:t>m</w:t>
      </w:r>
      <w:r>
        <w:t xml:space="preserve">puesto por tres representantes del Gobierno de Navarra, tres de la Sociedad de Conciertos Santa Cecilia, </w:t>
      </w:r>
      <w:r w:rsidRPr="009812AB">
        <w:t>dos personas relevantes del mundo</w:t>
      </w:r>
      <w:r>
        <w:t xml:space="preserve"> de la música</w:t>
      </w:r>
      <w:r w:rsidR="009812AB">
        <w:t xml:space="preserve"> (una designada por la Sociedad de Conciertos y la otra por el departamento de Cu</w:t>
      </w:r>
      <w:r w:rsidR="009812AB">
        <w:t>l</w:t>
      </w:r>
      <w:r w:rsidR="009812AB">
        <w:lastRenderedPageBreak/>
        <w:t>tura del Gobierno de Navarra)</w:t>
      </w:r>
      <w:r>
        <w:t xml:space="preserve"> y un representante del Ayuntamiento de Pa</w:t>
      </w:r>
      <w:r>
        <w:t>m</w:t>
      </w:r>
      <w:r>
        <w:t>plona.</w:t>
      </w:r>
    </w:p>
    <w:p w:rsidR="003E5304" w:rsidRDefault="003E5304" w:rsidP="003E5304">
      <w:pPr>
        <w:pStyle w:val="texto"/>
      </w:pPr>
      <w:r>
        <w:t>Los fines de la Fundación son:</w:t>
      </w:r>
    </w:p>
    <w:p w:rsidR="003E5304" w:rsidRPr="000637EE" w:rsidRDefault="00A8726C" w:rsidP="003E5304">
      <w:pPr>
        <w:pStyle w:val="texto"/>
        <w:rPr>
          <w:i/>
          <w:sz w:val="20"/>
          <w:szCs w:val="20"/>
        </w:rPr>
      </w:pPr>
      <w:r w:rsidRPr="000637EE">
        <w:rPr>
          <w:i/>
          <w:sz w:val="20"/>
          <w:szCs w:val="20"/>
        </w:rPr>
        <w:t>“</w:t>
      </w:r>
      <w:r w:rsidR="003E5304" w:rsidRPr="000637EE">
        <w:rPr>
          <w:i/>
          <w:sz w:val="20"/>
          <w:szCs w:val="20"/>
        </w:rPr>
        <w:t>a) La promoción de la obra de los compositores e intérpretes navarros, poniendo especial int</w:t>
      </w:r>
      <w:r w:rsidR="003E5304" w:rsidRPr="000637EE">
        <w:rPr>
          <w:i/>
          <w:sz w:val="20"/>
          <w:szCs w:val="20"/>
        </w:rPr>
        <w:t>e</w:t>
      </w:r>
      <w:r w:rsidR="003E5304" w:rsidRPr="000637EE">
        <w:rPr>
          <w:i/>
          <w:sz w:val="20"/>
          <w:szCs w:val="20"/>
        </w:rPr>
        <w:t>rés en el fomento de la actividad de los nuevos valores musicales.</w:t>
      </w:r>
    </w:p>
    <w:p w:rsidR="003E5304" w:rsidRPr="00F22C3C" w:rsidRDefault="003E5304" w:rsidP="003E5304">
      <w:pPr>
        <w:pStyle w:val="texto"/>
        <w:rPr>
          <w:i/>
          <w:sz w:val="20"/>
          <w:szCs w:val="20"/>
        </w:rPr>
      </w:pPr>
      <w:r w:rsidRPr="00F22C3C">
        <w:rPr>
          <w:i/>
          <w:sz w:val="20"/>
          <w:szCs w:val="20"/>
        </w:rPr>
        <w:t>b) La investigación, conservación y difusión del patrimonio musical de Navarra, en colaboración con instituciones públicas y privadas.</w:t>
      </w:r>
    </w:p>
    <w:p w:rsidR="003E5304" w:rsidRPr="00F22C3C" w:rsidRDefault="003E5304" w:rsidP="003E5304">
      <w:pPr>
        <w:pStyle w:val="texto"/>
        <w:rPr>
          <w:i/>
          <w:sz w:val="20"/>
          <w:szCs w:val="20"/>
        </w:rPr>
      </w:pPr>
      <w:r w:rsidRPr="00F22C3C">
        <w:rPr>
          <w:i/>
          <w:sz w:val="20"/>
          <w:szCs w:val="20"/>
        </w:rPr>
        <w:t>c) La colaboración con los centros de enseñanza, especialmente con los de índole musical, y con otras entidades, para el logro de sus fines.</w:t>
      </w:r>
    </w:p>
    <w:p w:rsidR="003E5304" w:rsidRPr="00F22C3C" w:rsidRDefault="003E5304" w:rsidP="003E5304">
      <w:pPr>
        <w:pStyle w:val="texto"/>
        <w:rPr>
          <w:i/>
          <w:sz w:val="20"/>
          <w:szCs w:val="20"/>
        </w:rPr>
      </w:pPr>
      <w:r w:rsidRPr="00F22C3C">
        <w:rPr>
          <w:i/>
          <w:sz w:val="20"/>
          <w:szCs w:val="20"/>
        </w:rPr>
        <w:t>d) La promoción de conciertos, recitales, conferencias y otras actividades que contribuyan a la elevación del nivel de cultura musical de los ciudadanos de Navarra.</w:t>
      </w:r>
    </w:p>
    <w:p w:rsidR="003E5304" w:rsidRPr="00F22C3C" w:rsidRDefault="003E5304" w:rsidP="003E5304">
      <w:pPr>
        <w:pStyle w:val="texto"/>
        <w:rPr>
          <w:i/>
          <w:sz w:val="20"/>
          <w:szCs w:val="20"/>
        </w:rPr>
      </w:pPr>
      <w:r w:rsidRPr="00F22C3C">
        <w:rPr>
          <w:i/>
          <w:sz w:val="20"/>
          <w:szCs w:val="20"/>
        </w:rPr>
        <w:t>Para el cumplimiento de estos fines, la Fundación promoverá actividades musicales de la Soci</w:t>
      </w:r>
      <w:r w:rsidRPr="00F22C3C">
        <w:rPr>
          <w:i/>
          <w:sz w:val="20"/>
          <w:szCs w:val="20"/>
        </w:rPr>
        <w:t>e</w:t>
      </w:r>
      <w:r w:rsidRPr="00F22C3C">
        <w:rPr>
          <w:i/>
          <w:sz w:val="20"/>
          <w:szCs w:val="20"/>
        </w:rPr>
        <w:t>dad de Conciertos “Santa Cecilia”, titular de la Orquesta “Pablo Sarasate”, y de cuantas agrup</w:t>
      </w:r>
      <w:r w:rsidRPr="00F22C3C">
        <w:rPr>
          <w:i/>
          <w:sz w:val="20"/>
          <w:szCs w:val="20"/>
        </w:rPr>
        <w:t>a</w:t>
      </w:r>
      <w:r w:rsidRPr="00F22C3C">
        <w:rPr>
          <w:i/>
          <w:sz w:val="20"/>
          <w:szCs w:val="20"/>
        </w:rPr>
        <w:t>ciones musicales pudieran adherirse a sus actividades</w:t>
      </w:r>
      <w:r w:rsidR="009812AB" w:rsidRPr="00F22C3C">
        <w:rPr>
          <w:i/>
          <w:sz w:val="20"/>
          <w:szCs w:val="20"/>
        </w:rPr>
        <w:t>”</w:t>
      </w:r>
      <w:r w:rsidRPr="00F22C3C">
        <w:rPr>
          <w:i/>
          <w:sz w:val="20"/>
          <w:szCs w:val="20"/>
        </w:rPr>
        <w:t>.</w:t>
      </w:r>
    </w:p>
    <w:p w:rsidR="003E5304" w:rsidRDefault="003E5304" w:rsidP="003E5304">
      <w:pPr>
        <w:pStyle w:val="texto"/>
      </w:pPr>
      <w:r>
        <w:t>La Fundación podrá organizar y promover, por sí misma o en colaboración con otras entidades o instituciones, temporadas de conciertos, ópera, ballet, zarzuela, conciertos fuera de temporada, giras, intercambios y otras actividades con la intervención de otros grupos musicales, dentro del marco de una pr</w:t>
      </w:r>
      <w:r>
        <w:t>o</w:t>
      </w:r>
      <w:r>
        <w:t>gramación anual.</w:t>
      </w:r>
    </w:p>
    <w:p w:rsidR="003E5304" w:rsidRDefault="003E5304" w:rsidP="003E5304">
      <w:pPr>
        <w:pStyle w:val="texto"/>
      </w:pPr>
      <w:r>
        <w:t>La Fundación cuenta con el siguiente personal:</w:t>
      </w:r>
    </w:p>
    <w:p w:rsidR="003E5304" w:rsidRDefault="003E5304" w:rsidP="00F22C3C">
      <w:pPr>
        <w:pStyle w:val="texto"/>
      </w:pPr>
      <w:r>
        <w:t>a) Administración</w:t>
      </w:r>
      <w:r w:rsidR="00F22C3C">
        <w:t xml:space="preserve">, </w:t>
      </w:r>
      <w:r>
        <w:t>11 personas</w:t>
      </w:r>
      <w:r w:rsidR="00F22C3C">
        <w:t xml:space="preserve">. </w:t>
      </w:r>
      <w:r>
        <w:t>Gerente</w:t>
      </w:r>
      <w:r w:rsidR="00F22C3C">
        <w:t xml:space="preserve">; </w:t>
      </w:r>
      <w:proofErr w:type="spellStart"/>
      <w:r w:rsidR="00BA027B">
        <w:t>Controller</w:t>
      </w:r>
      <w:proofErr w:type="spellEnd"/>
      <w:r w:rsidR="00BA027B">
        <w:t xml:space="preserve"> (</w:t>
      </w:r>
      <w:r>
        <w:t>Responsable admini</w:t>
      </w:r>
      <w:r>
        <w:t>s</w:t>
      </w:r>
      <w:r>
        <w:t>tración</w:t>
      </w:r>
      <w:r w:rsidR="00BA027B">
        <w:t>)</w:t>
      </w:r>
      <w:r w:rsidR="00F22C3C">
        <w:t xml:space="preserve">; </w:t>
      </w:r>
      <w:r w:rsidR="00BA027B">
        <w:t>2 oficiales administrativos</w:t>
      </w:r>
      <w:r w:rsidR="00F22C3C">
        <w:t xml:space="preserve">; </w:t>
      </w:r>
      <w:r>
        <w:t>Director técnico</w:t>
      </w:r>
      <w:r w:rsidR="00F22C3C">
        <w:t xml:space="preserve">; </w:t>
      </w:r>
      <w:r>
        <w:t>Responsable archivo</w:t>
      </w:r>
      <w:r w:rsidR="00F22C3C">
        <w:t xml:space="preserve">; </w:t>
      </w:r>
      <w:r w:rsidR="00BA027B">
        <w:t>Responsable de partituras</w:t>
      </w:r>
      <w:r w:rsidR="00F22C3C">
        <w:t xml:space="preserve">; </w:t>
      </w:r>
      <w:r>
        <w:t>Dirección proyectos sociales</w:t>
      </w:r>
      <w:r w:rsidR="00F22C3C">
        <w:t xml:space="preserve">; </w:t>
      </w:r>
      <w:r>
        <w:t>Comunicación</w:t>
      </w:r>
      <w:r w:rsidR="00F22C3C">
        <w:t xml:space="preserve">; </w:t>
      </w:r>
      <w:r>
        <w:t>Aux</w:t>
      </w:r>
      <w:r>
        <w:t>i</w:t>
      </w:r>
      <w:r>
        <w:t>liar regiduría</w:t>
      </w:r>
      <w:r w:rsidR="00F22C3C">
        <w:t xml:space="preserve">; </w:t>
      </w:r>
      <w:r>
        <w:t>Limpieza</w:t>
      </w:r>
      <w:r w:rsidR="0043701C">
        <w:t xml:space="preserve"> </w:t>
      </w:r>
      <w:r>
        <w:t>(a tiempo parcial)</w:t>
      </w:r>
      <w:r w:rsidR="00F22C3C">
        <w:t>.</w:t>
      </w:r>
    </w:p>
    <w:p w:rsidR="003E5304" w:rsidRDefault="00F22C3C" w:rsidP="00F22C3C">
      <w:pPr>
        <w:pStyle w:val="texto"/>
      </w:pPr>
      <w:r>
        <w:t xml:space="preserve">b) Música. </w:t>
      </w:r>
      <w:r w:rsidR="003E5304">
        <w:t>1 director artístico</w:t>
      </w:r>
      <w:r>
        <w:t xml:space="preserve"> y </w:t>
      </w:r>
      <w:r w:rsidR="003E5304">
        <w:t>51 músicos</w:t>
      </w:r>
      <w:r w:rsidR="00ED5168">
        <w:t>.</w:t>
      </w:r>
    </w:p>
    <w:p w:rsidR="003E5304" w:rsidRDefault="00A8726C" w:rsidP="00F22C3C">
      <w:pPr>
        <w:pStyle w:val="texto"/>
      </w:pPr>
      <w:r>
        <w:t>c) Proyectos</w:t>
      </w:r>
      <w:r w:rsidR="00F22C3C">
        <w:t xml:space="preserve">. </w:t>
      </w:r>
      <w:r w:rsidR="003E5304">
        <w:t xml:space="preserve">10 </w:t>
      </w:r>
      <w:r>
        <w:t xml:space="preserve">personas </w:t>
      </w:r>
      <w:r w:rsidR="003E5304">
        <w:t xml:space="preserve">a tiempo parcial </w:t>
      </w:r>
      <w:r w:rsidR="00A53AEF">
        <w:t>(</w:t>
      </w:r>
      <w:r w:rsidR="00C2066C">
        <w:t xml:space="preserve">jornada no inferior al </w:t>
      </w:r>
      <w:r w:rsidR="003E5304">
        <w:t>37,5 por ciento</w:t>
      </w:r>
      <w:r w:rsidR="00A53AEF">
        <w:t>) para el</w:t>
      </w:r>
      <w:r w:rsidR="003E5304">
        <w:t xml:space="preserve"> proyecto de educación musical infantil</w:t>
      </w:r>
      <w:r w:rsidR="00F22C3C">
        <w:t xml:space="preserve"> y </w:t>
      </w:r>
      <w:r w:rsidR="003E5304">
        <w:t xml:space="preserve">5 </w:t>
      </w:r>
      <w:r>
        <w:t xml:space="preserve">personas </w:t>
      </w:r>
      <w:r w:rsidR="003E5304">
        <w:t xml:space="preserve">a tiempo parcial </w:t>
      </w:r>
      <w:r w:rsidR="00A53AEF">
        <w:t>(</w:t>
      </w:r>
      <w:r w:rsidR="00C2066C">
        <w:t xml:space="preserve">jornada no inferior al </w:t>
      </w:r>
      <w:r w:rsidR="003E5304">
        <w:t>37,5 por ciento</w:t>
      </w:r>
      <w:r w:rsidR="00A53AEF">
        <w:t>) para la</w:t>
      </w:r>
      <w:r w:rsidR="003E5304">
        <w:t xml:space="preserve"> academia orquestal.</w:t>
      </w:r>
    </w:p>
    <w:p w:rsidR="003E5304" w:rsidRDefault="003E5304" w:rsidP="003E5304">
      <w:pPr>
        <w:pStyle w:val="texto"/>
      </w:pPr>
      <w:r>
        <w:t>Además</w:t>
      </w:r>
      <w:r w:rsidR="000637EE">
        <w:t>,</w:t>
      </w:r>
      <w:r>
        <w:t xml:space="preserve"> para </w:t>
      </w:r>
      <w:r w:rsidR="00A53AEF">
        <w:t xml:space="preserve">los </w:t>
      </w:r>
      <w:r>
        <w:t>concierto</w:t>
      </w:r>
      <w:r w:rsidR="00A53AEF">
        <w:t>s</w:t>
      </w:r>
      <w:r>
        <w:t xml:space="preserve"> contrata los músicos de refuerzo, sustituciones o concertinos precisos.</w:t>
      </w:r>
    </w:p>
    <w:p w:rsidR="003E5304" w:rsidRDefault="003E5304" w:rsidP="003E5304">
      <w:pPr>
        <w:pStyle w:val="texto"/>
      </w:pPr>
      <w:r>
        <w:t>Las cuentas de la Fundación son auditadas anualmente por un profesional i</w:t>
      </w:r>
      <w:r>
        <w:t>n</w:t>
      </w:r>
      <w:r>
        <w:t>dependiente. De l</w:t>
      </w:r>
      <w:r w:rsidR="00A53AEF">
        <w:t>as auditor</w:t>
      </w:r>
      <w:r w:rsidR="000637EE">
        <w:t>ía</w:t>
      </w:r>
      <w:r w:rsidR="00A53AEF">
        <w:t>s,</w:t>
      </w:r>
      <w:r>
        <w:t xml:space="preserve"> destacamos que presentan opinión favorable, aunque destacan hasta el año 2013 que los fondos propios de la entidad son n</w:t>
      </w:r>
      <w:r>
        <w:t>e</w:t>
      </w:r>
      <w:r>
        <w:t xml:space="preserve">gativos. En 2014 se </w:t>
      </w:r>
      <w:r w:rsidR="00F179F8">
        <w:t xml:space="preserve">pretende </w:t>
      </w:r>
      <w:r>
        <w:t>soluciona</w:t>
      </w:r>
      <w:r w:rsidR="00F179F8">
        <w:t>r</w:t>
      </w:r>
      <w:r>
        <w:t xml:space="preserve"> esta situación mediante la operación que comentamos en</w:t>
      </w:r>
      <w:r w:rsidR="00F179F8">
        <w:t xml:space="preserve"> el epígrafe V,</w:t>
      </w:r>
      <w:r w:rsidR="00C87ACA">
        <w:t xml:space="preserve"> b,</w:t>
      </w:r>
      <w:r w:rsidR="00F179F8">
        <w:t xml:space="preserve"> conclusión 15, de</w:t>
      </w:r>
      <w:r>
        <w:t>l informe.</w:t>
      </w:r>
    </w:p>
    <w:p w:rsidR="00F22C3C" w:rsidRDefault="00F22C3C">
      <w:pPr>
        <w:spacing w:after="0"/>
        <w:ind w:firstLine="0"/>
        <w:jc w:val="left"/>
        <w:rPr>
          <w:spacing w:val="6"/>
          <w:sz w:val="26"/>
          <w:szCs w:val="24"/>
        </w:rPr>
      </w:pPr>
      <w:r>
        <w:br w:type="page"/>
      </w:r>
    </w:p>
    <w:p w:rsidR="003E5304" w:rsidRDefault="003E5304" w:rsidP="003E5304">
      <w:pPr>
        <w:pStyle w:val="texto"/>
      </w:pPr>
      <w:r>
        <w:lastRenderedPageBreak/>
        <w:t>La actividad de</w:t>
      </w:r>
      <w:r w:rsidR="00ED5168">
        <w:t xml:space="preserve"> la orquesta puede resumirse en:</w:t>
      </w:r>
    </w:p>
    <w:p w:rsidR="003E5304" w:rsidRDefault="003E5304" w:rsidP="00F22C3C">
      <w:pPr>
        <w:pStyle w:val="texto"/>
        <w:numPr>
          <w:ilvl w:val="0"/>
          <w:numId w:val="9"/>
        </w:numPr>
        <w:tabs>
          <w:tab w:val="clear" w:pos="2835"/>
          <w:tab w:val="center" w:pos="567"/>
        </w:tabs>
        <w:ind w:left="284" w:firstLine="0"/>
      </w:pPr>
      <w:r>
        <w:t>Ciclos de concierto</w:t>
      </w:r>
      <w:r w:rsidR="002B2282">
        <w:t>:</w:t>
      </w:r>
      <w:r w:rsidR="00F22C3C">
        <w:t xml:space="preserve"> </w:t>
      </w:r>
      <w:r>
        <w:t>14 conciertos que se ofrecen</w:t>
      </w:r>
      <w:r w:rsidR="00F22C3C">
        <w:t xml:space="preserve"> dos días en Pamplona y </w:t>
      </w:r>
      <w:r>
        <w:t>5 conciertos en Tudela.</w:t>
      </w:r>
    </w:p>
    <w:p w:rsidR="003E5304" w:rsidRDefault="003E5304" w:rsidP="00F22C3C">
      <w:pPr>
        <w:pStyle w:val="texto"/>
        <w:numPr>
          <w:ilvl w:val="0"/>
          <w:numId w:val="9"/>
        </w:numPr>
        <w:tabs>
          <w:tab w:val="clear" w:pos="2835"/>
          <w:tab w:val="center" w:pos="567"/>
        </w:tabs>
        <w:ind w:left="284" w:firstLine="0"/>
      </w:pPr>
      <w:r>
        <w:t>Giras y actuaciones fuera de Navarra cuyo número anual depende de d</w:t>
      </w:r>
      <w:r>
        <w:t>i</w:t>
      </w:r>
      <w:r>
        <w:t>versas circunstancias y es por lo tanto variable.</w:t>
      </w:r>
    </w:p>
    <w:p w:rsidR="003E5304" w:rsidRDefault="003E5304" w:rsidP="00F22C3C">
      <w:pPr>
        <w:pStyle w:val="texto"/>
        <w:numPr>
          <w:ilvl w:val="0"/>
          <w:numId w:val="9"/>
        </w:numPr>
        <w:tabs>
          <w:tab w:val="clear" w:pos="2835"/>
          <w:tab w:val="center" w:pos="567"/>
        </w:tabs>
        <w:ind w:left="284" w:firstLine="0"/>
      </w:pPr>
      <w:r>
        <w:t>Actuacione</w:t>
      </w:r>
      <w:r w:rsidR="002B2282">
        <w:t>s con otras entidades musicales:</w:t>
      </w:r>
      <w:r w:rsidR="00F22C3C">
        <w:t xml:space="preserve"> Orfeón Pamplonés y </w:t>
      </w:r>
      <w:r>
        <w:t>Asoci</w:t>
      </w:r>
      <w:r>
        <w:t>a</w:t>
      </w:r>
      <w:r>
        <w:t xml:space="preserve">ción </w:t>
      </w:r>
      <w:proofErr w:type="spellStart"/>
      <w:r>
        <w:t>Gayarre</w:t>
      </w:r>
      <w:proofErr w:type="spellEnd"/>
      <w:r>
        <w:t xml:space="preserve"> de Amigos de la Ópera (AGAO)</w:t>
      </w:r>
      <w:r w:rsidR="00A53AEF">
        <w:t xml:space="preserve"> etc.</w:t>
      </w:r>
    </w:p>
    <w:p w:rsidR="003E5304" w:rsidRDefault="003E5304" w:rsidP="00F22C3C">
      <w:pPr>
        <w:pStyle w:val="texto"/>
        <w:numPr>
          <w:ilvl w:val="0"/>
          <w:numId w:val="9"/>
        </w:numPr>
        <w:tabs>
          <w:tab w:val="clear" w:pos="2835"/>
          <w:tab w:val="center" w:pos="567"/>
        </w:tabs>
        <w:ind w:left="284" w:firstLine="0"/>
      </w:pPr>
      <w:r>
        <w:t>Participación en grabaciones.</w:t>
      </w:r>
    </w:p>
    <w:p w:rsidR="003E5304" w:rsidRDefault="003E5304" w:rsidP="00F22C3C">
      <w:pPr>
        <w:pStyle w:val="texto"/>
        <w:numPr>
          <w:ilvl w:val="0"/>
          <w:numId w:val="9"/>
        </w:numPr>
        <w:tabs>
          <w:tab w:val="clear" w:pos="2835"/>
          <w:tab w:val="center" w:pos="567"/>
        </w:tabs>
        <w:ind w:left="284" w:firstLine="0"/>
      </w:pPr>
      <w:r>
        <w:t>Proyectos de educación musical infantil y academia orquestal.</w:t>
      </w:r>
    </w:p>
    <w:p w:rsidR="003E5304" w:rsidRDefault="003E5304" w:rsidP="003E5304">
      <w:pPr>
        <w:pStyle w:val="atitulo2"/>
      </w:pPr>
      <w:bookmarkStart w:id="8" w:name="_Toc436040571"/>
      <w:bookmarkStart w:id="9" w:name="_Toc440370823"/>
      <w:r>
        <w:t>II.3 Relaciones entre la Sociedad de Conciertos Santa Cecilia y la Fu</w:t>
      </w:r>
      <w:r>
        <w:t>n</w:t>
      </w:r>
      <w:r>
        <w:t>dación Pablo Sarasate</w:t>
      </w:r>
      <w:bookmarkEnd w:id="8"/>
      <w:bookmarkEnd w:id="9"/>
    </w:p>
    <w:p w:rsidR="00F179F8" w:rsidRDefault="003E5304" w:rsidP="003E5304">
      <w:pPr>
        <w:pStyle w:val="texto"/>
      </w:pPr>
      <w:r>
        <w:t>Queremos resaltar la similitud de los fines de las dos entidades</w:t>
      </w:r>
      <w:r w:rsidR="00F179F8">
        <w:t xml:space="preserve">. Según </w:t>
      </w:r>
      <w:r>
        <w:t>lo</w:t>
      </w:r>
      <w:r w:rsidR="00336E08">
        <w:t xml:space="preserve">s estatutos </w:t>
      </w:r>
      <w:r w:rsidR="00F179F8">
        <w:t>es</w:t>
      </w:r>
      <w:r w:rsidR="00336E08">
        <w:t xml:space="preserve"> la S</w:t>
      </w:r>
      <w:r w:rsidR="00F179F8">
        <w:t>ociedad de C</w:t>
      </w:r>
      <w:r>
        <w:t xml:space="preserve">onciertos </w:t>
      </w:r>
      <w:r w:rsidR="00F179F8">
        <w:t>la entidad titular de la Orquesta, ya que ésta</w:t>
      </w:r>
      <w:r>
        <w:t xml:space="preserve"> “dispondrá de una formación orquestal” y entre las facultades de la Junta Directiva</w:t>
      </w:r>
      <w:r w:rsidR="00F179F8">
        <w:t xml:space="preserve"> se recoge la de</w:t>
      </w:r>
      <w:r>
        <w:t xml:space="preserve"> “designar y, en su caso, destituir al </w:t>
      </w:r>
      <w:r w:rsidR="000637EE">
        <w:t>d</w:t>
      </w:r>
      <w:r>
        <w:t xml:space="preserve">irector </w:t>
      </w:r>
      <w:r w:rsidR="000637EE">
        <w:t>a</w:t>
      </w:r>
      <w:r>
        <w:t>rtístico</w:t>
      </w:r>
      <w:r w:rsidR="00A53AEF">
        <w:t>”</w:t>
      </w:r>
      <w:r w:rsidR="00F179F8">
        <w:t>; mientras que los estatutos de la Fundación no mencionan esta posibilidad.</w:t>
      </w:r>
    </w:p>
    <w:p w:rsidR="003E5304" w:rsidRDefault="00F179F8" w:rsidP="003E5304">
      <w:pPr>
        <w:pStyle w:val="texto"/>
      </w:pPr>
      <w:r>
        <w:t>Sin embargo, en la práctica y como y</w:t>
      </w:r>
      <w:r w:rsidR="003E5304">
        <w:t>a hemos comentado</w:t>
      </w:r>
      <w:r>
        <w:t xml:space="preserve">, </w:t>
      </w:r>
      <w:r w:rsidR="003E5304">
        <w:t>los músicos son personal de la Fundación.</w:t>
      </w:r>
    </w:p>
    <w:p w:rsidR="003E5304" w:rsidRDefault="00BA027B" w:rsidP="003E5304">
      <w:pPr>
        <w:pStyle w:val="texto"/>
      </w:pPr>
      <w:r>
        <w:t>Inicialmente</w:t>
      </w:r>
      <w:r w:rsidR="000637EE">
        <w:t>,</w:t>
      </w:r>
      <w:r>
        <w:t xml:space="preserve"> hasta 2001 los ingresos por los abonos los contabilizaba la S</w:t>
      </w:r>
      <w:r>
        <w:t>o</w:t>
      </w:r>
      <w:r>
        <w:t>ciedad de Conciertos</w:t>
      </w:r>
      <w:r w:rsidR="000637EE">
        <w:t>;</w:t>
      </w:r>
      <w:r>
        <w:t xml:space="preserve"> posteriormente</w:t>
      </w:r>
      <w:r w:rsidR="000637EE">
        <w:t>,</w:t>
      </w:r>
      <w:r>
        <w:t xml:space="preserve"> hasta 2006</w:t>
      </w:r>
      <w:r w:rsidR="000637EE">
        <w:t>,</w:t>
      </w:r>
      <w:r>
        <w:t xml:space="preserve"> es l</w:t>
      </w:r>
      <w:r w:rsidR="003E5304">
        <w:t xml:space="preserve">a Fundación </w:t>
      </w:r>
      <w:r>
        <w:t>quien lo h</w:t>
      </w:r>
      <w:r>
        <w:t>a</w:t>
      </w:r>
      <w:r>
        <w:t xml:space="preserve">ce </w:t>
      </w:r>
      <w:r w:rsidR="003E5304">
        <w:t xml:space="preserve">y a partir del año 2007 es </w:t>
      </w:r>
      <w:r>
        <w:t xml:space="preserve">de nuevo </w:t>
      </w:r>
      <w:r w:rsidR="003E5304">
        <w:t>la Sociedad de Conciertos Santa Cecilia la que registra contablemente el cobro de los abonos y entradas</w:t>
      </w:r>
      <w:r>
        <w:t>.</w:t>
      </w:r>
      <w:r w:rsidR="003E5304">
        <w:t xml:space="preserve"> </w:t>
      </w:r>
      <w:r>
        <w:t>A</w:t>
      </w:r>
      <w:r w:rsidR="003E5304">
        <w:t xml:space="preserve">l cierre del ejercicio la Fundación emite una factura </w:t>
      </w:r>
      <w:r w:rsidR="00336E08">
        <w:t>contra la S</w:t>
      </w:r>
      <w:r w:rsidR="003E5304">
        <w:t>ociedad por el saldo neto de los abonos y entradas con lo que se anula el in</w:t>
      </w:r>
      <w:r w:rsidR="00336E08">
        <w:t>greso en la contabilidad de la S</w:t>
      </w:r>
      <w:r w:rsidR="003E5304">
        <w:t>ociedad.</w:t>
      </w:r>
    </w:p>
    <w:p w:rsidR="003E5304" w:rsidRDefault="00336E08" w:rsidP="003E5304">
      <w:pPr>
        <w:pStyle w:val="texto"/>
      </w:pPr>
      <w:r>
        <w:t>Es decir</w:t>
      </w:r>
      <w:r w:rsidR="000637EE">
        <w:t>,</w:t>
      </w:r>
      <w:r>
        <w:t xml:space="preserve"> la S</w:t>
      </w:r>
      <w:r w:rsidR="003E5304">
        <w:t>ociedad cobra los abonos y al final del ejercicio traspasa el i</w:t>
      </w:r>
      <w:r w:rsidR="003E5304">
        <w:t>m</w:t>
      </w:r>
      <w:r w:rsidR="003E5304">
        <w:t xml:space="preserve">porte </w:t>
      </w:r>
      <w:r w:rsidR="00A53AEF">
        <w:t xml:space="preserve">neto </w:t>
      </w:r>
      <w:r w:rsidR="003E5304">
        <w:t>a la Fundación.</w:t>
      </w:r>
    </w:p>
    <w:p w:rsidR="003E5304" w:rsidRDefault="003E5304" w:rsidP="003E5304">
      <w:pPr>
        <w:pStyle w:val="texto"/>
      </w:pPr>
      <w:r>
        <w:t>La gestión de los abonos constituye la mayor parte de</w:t>
      </w:r>
      <w:r w:rsidR="00336E08">
        <w:t xml:space="preserve"> la actividad financiera de la S</w:t>
      </w:r>
      <w:r>
        <w:t>ociedad.</w:t>
      </w:r>
    </w:p>
    <w:p w:rsidR="003E5304" w:rsidRDefault="003E5304" w:rsidP="003E5304">
      <w:pPr>
        <w:pStyle w:val="texto"/>
      </w:pPr>
      <w:r>
        <w:t>Dado que la Sociedad no cuenta con personal, la gestión de cobros la real</w:t>
      </w:r>
      <w:r>
        <w:t>i</w:t>
      </w:r>
      <w:r>
        <w:t>zan los administrativos de la Fundación, que asimism</w:t>
      </w:r>
      <w:r w:rsidR="00336E08">
        <w:t>o llevan la contabilidad de la S</w:t>
      </w:r>
      <w:r>
        <w:t>ociedad.</w:t>
      </w:r>
    </w:p>
    <w:p w:rsidR="003E5304" w:rsidRDefault="003E5304" w:rsidP="003E5304">
      <w:pPr>
        <w:pStyle w:val="texto"/>
      </w:pPr>
      <w:r>
        <w:t xml:space="preserve">No existe ningún acuerdo o convenio que </w:t>
      </w:r>
      <w:r w:rsidR="00336E08">
        <w:t>regule las relaciones entre la S</w:t>
      </w:r>
      <w:r>
        <w:t>o</w:t>
      </w:r>
      <w:r>
        <w:t>cie</w:t>
      </w:r>
      <w:r w:rsidR="00336E08">
        <w:t>dad y la F</w:t>
      </w:r>
      <w:r>
        <w:t>undación, ni hemos podido constatar la existencia</w:t>
      </w:r>
      <w:r w:rsidR="00336E08">
        <w:t xml:space="preserve"> de acuerdos de la junta de la S</w:t>
      </w:r>
      <w:r>
        <w:t>ociedad o del patronato de la Fundación sobre este extremo.</w:t>
      </w:r>
    </w:p>
    <w:p w:rsidR="003E5304" w:rsidRDefault="003E5304" w:rsidP="003E5304">
      <w:pPr>
        <w:pStyle w:val="texto"/>
      </w:pPr>
      <w:r>
        <w:lastRenderedPageBreak/>
        <w:t>Así</w:t>
      </w:r>
      <w:r w:rsidR="000637EE">
        <w:t>,</w:t>
      </w:r>
      <w:r>
        <w:t xml:space="preserve"> en la práctica, puede afirmarse que la gestión de ambas entidades se mezcla, su administración la realizan las mismas personas</w:t>
      </w:r>
      <w:r w:rsidR="00F179F8">
        <w:t xml:space="preserve"> y</w:t>
      </w:r>
      <w:r w:rsidR="00F179F8" w:rsidRPr="00F179F8">
        <w:t xml:space="preserve"> </w:t>
      </w:r>
      <w:r w:rsidR="00F179F8">
        <w:t>tienen objetivos similares</w:t>
      </w:r>
      <w:r>
        <w:t>. Para registrar las operaciones vinculadas se utiliza una cuen</w:t>
      </w:r>
      <w:r w:rsidR="00336E08">
        <w:t>ta co</w:t>
      </w:r>
      <w:r w:rsidR="0082251C">
        <w:t>nt</w:t>
      </w:r>
      <w:r w:rsidR="0082251C">
        <w:t>a</w:t>
      </w:r>
      <w:r w:rsidR="0082251C">
        <w:t>bl</w:t>
      </w:r>
      <w:r w:rsidR="00336E08">
        <w:t>e entre la Sociedad y la F</w:t>
      </w:r>
      <w:r>
        <w:t>undación.</w:t>
      </w:r>
    </w:p>
    <w:p w:rsidR="003E5304" w:rsidRDefault="003E5304" w:rsidP="003E5304">
      <w:pPr>
        <w:pStyle w:val="atitulo2"/>
      </w:pPr>
      <w:bookmarkStart w:id="10" w:name="_Toc436040572"/>
      <w:bookmarkStart w:id="11" w:name="_Toc440370824"/>
      <w:r>
        <w:t xml:space="preserve">II.4 Principales datos económicos de la </w:t>
      </w:r>
      <w:r w:rsidRPr="006E2C2C">
        <w:t>Sociedad de Conciertos Santa Cecilia</w:t>
      </w:r>
      <w:r>
        <w:t xml:space="preserve"> y </w:t>
      </w:r>
      <w:r w:rsidR="00622F1D">
        <w:t xml:space="preserve">de la </w:t>
      </w:r>
      <w:r w:rsidRPr="006E2C2C">
        <w:t>Fundació</w:t>
      </w:r>
      <w:r>
        <w:t>n</w:t>
      </w:r>
      <w:r w:rsidRPr="006E2C2C">
        <w:t xml:space="preserve"> Pablo Sarasate</w:t>
      </w:r>
      <w:bookmarkEnd w:id="10"/>
      <w:bookmarkEnd w:id="11"/>
    </w:p>
    <w:p w:rsidR="003E5304" w:rsidRDefault="003E5304" w:rsidP="003E5304">
      <w:pPr>
        <w:pStyle w:val="texto"/>
      </w:pPr>
      <w:r>
        <w:t>Recogemos a continuación los principales datos que se deducen de la cont</w:t>
      </w:r>
      <w:r>
        <w:t>a</w:t>
      </w:r>
      <w:r>
        <w:t>bilidad de ambas entidades</w:t>
      </w:r>
      <w:r w:rsidR="00B04727">
        <w:t>. E</w:t>
      </w:r>
      <w:r w:rsidR="003419E9">
        <w:t>n los anexos I y II se presentan sus balances en 2014</w:t>
      </w:r>
      <w:r w:rsidR="00B04727">
        <w:t>. En el caso de la Sociedad de Conciertos Santa Cecilia las cuentas no e</w:t>
      </w:r>
      <w:r w:rsidR="00B04727">
        <w:t>s</w:t>
      </w:r>
      <w:r w:rsidR="00B04727">
        <w:t>tán auditadas. No obstante, realizamos ajustes al balance derivados de la apo</w:t>
      </w:r>
      <w:r w:rsidR="00B04727">
        <w:t>r</w:t>
      </w:r>
      <w:r w:rsidR="00B04727">
        <w:t>tación inicial a la Fundación Pablo Sarasate.</w:t>
      </w:r>
    </w:p>
    <w:p w:rsidR="003E5304" w:rsidRPr="00B04727" w:rsidRDefault="00140412" w:rsidP="003E5304">
      <w:pPr>
        <w:pStyle w:val="texto"/>
      </w:pPr>
      <w:r w:rsidRPr="00B04727">
        <w:t>a) Sociedad.</w:t>
      </w:r>
    </w:p>
    <w:p w:rsidR="00140412" w:rsidRPr="00B04727" w:rsidRDefault="00140412" w:rsidP="0034064E">
      <w:pPr>
        <w:pStyle w:val="texto"/>
        <w:spacing w:after="0"/>
      </w:pPr>
      <w:r w:rsidRPr="00B04727">
        <w:t>No hemos realizado su auditoría. Si eliminamos las operaciones que se c</w:t>
      </w:r>
      <w:r w:rsidRPr="00B04727">
        <w:t>o</w:t>
      </w:r>
      <w:r w:rsidRPr="00B04727">
        <w:t xml:space="preserve">mentan en </w:t>
      </w:r>
      <w:r w:rsidR="00C87ACA">
        <w:t xml:space="preserve">el epígrafe V, b de </w:t>
      </w:r>
      <w:r w:rsidRPr="00B04727">
        <w:t>este informe, los gastos e ingresos propios de la Sociedad serían:</w:t>
      </w:r>
    </w:p>
    <w:p w:rsidR="00DB7D9A" w:rsidRPr="00DB7D9A" w:rsidRDefault="00DB7D9A" w:rsidP="0034064E">
      <w:pPr>
        <w:spacing w:after="240"/>
        <w:jc w:val="center"/>
        <w:rPr>
          <w:rFonts w:ascii="Arial" w:hAnsi="Arial" w:cs="Arial"/>
        </w:rPr>
      </w:pPr>
      <w:r w:rsidRPr="00DB7D9A">
        <w:rPr>
          <w:rFonts w:ascii="Arial" w:hAnsi="Arial" w:cs="Arial"/>
          <w:lang w:val="es-ES" w:eastAsia="es-ES"/>
        </w:rPr>
        <w:t>Ingresos y gastos Santa Cecilia</w:t>
      </w:r>
    </w:p>
    <w:tbl>
      <w:tblPr>
        <w:tblW w:w="10065" w:type="dxa"/>
        <w:jc w:val="center"/>
        <w:tblInd w:w="-425" w:type="dxa"/>
        <w:tblCellMar>
          <w:left w:w="70" w:type="dxa"/>
          <w:right w:w="70" w:type="dxa"/>
        </w:tblCellMar>
        <w:tblLook w:val="04A0" w:firstRow="1" w:lastRow="0" w:firstColumn="1" w:lastColumn="0" w:noHBand="0" w:noVBand="1"/>
      </w:tblPr>
      <w:tblGrid>
        <w:gridCol w:w="1702"/>
        <w:gridCol w:w="708"/>
        <w:gridCol w:w="709"/>
        <w:gridCol w:w="851"/>
        <w:gridCol w:w="708"/>
        <w:gridCol w:w="709"/>
        <w:gridCol w:w="709"/>
        <w:gridCol w:w="709"/>
        <w:gridCol w:w="708"/>
        <w:gridCol w:w="851"/>
        <w:gridCol w:w="850"/>
        <w:gridCol w:w="851"/>
      </w:tblGrid>
      <w:tr w:rsidR="00DB7D9A" w:rsidRPr="00DB7D9A" w:rsidTr="00E630CA">
        <w:trPr>
          <w:trHeight w:val="255"/>
          <w:jc w:val="center"/>
        </w:trPr>
        <w:tc>
          <w:tcPr>
            <w:tcW w:w="1702" w:type="dxa"/>
            <w:tcBorders>
              <w:top w:val="single" w:sz="4" w:space="0" w:color="auto"/>
              <w:left w:val="nil"/>
              <w:bottom w:val="single" w:sz="4" w:space="0" w:color="auto"/>
              <w:right w:val="nil"/>
            </w:tcBorders>
            <w:shd w:val="clear" w:color="auto" w:fill="8DB3E2" w:themeFill="text2" w:themeFillTint="66"/>
            <w:noWrap/>
            <w:vAlign w:val="bottom"/>
            <w:hideMark/>
          </w:tcPr>
          <w:p w:rsidR="00DB7D9A" w:rsidRPr="00DB7D9A" w:rsidRDefault="00DB7D9A" w:rsidP="00830AF8">
            <w:pPr>
              <w:pStyle w:val="cuatexto"/>
              <w:rPr>
                <w:rFonts w:ascii="Arial" w:hAnsi="Arial" w:cs="Arial"/>
                <w:sz w:val="18"/>
                <w:szCs w:val="18"/>
                <w:lang w:val="es-ES" w:eastAsia="es-ES"/>
              </w:rPr>
            </w:pP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2006</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2007</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2008</w:t>
            </w: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2009</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2010</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2011</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2012</w:t>
            </w: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2013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2014</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E630C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 xml:space="preserve">Total </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E630CA" w:rsidP="00E630CA">
            <w:pPr>
              <w:pStyle w:val="cuatexto"/>
              <w:jc w:val="right"/>
              <w:rPr>
                <w:rFonts w:ascii="Arial" w:hAnsi="Arial" w:cs="Arial"/>
                <w:sz w:val="18"/>
                <w:szCs w:val="18"/>
                <w:lang w:val="es-ES" w:eastAsia="es-ES"/>
              </w:rPr>
            </w:pPr>
            <w:r w:rsidRPr="00DB7D9A">
              <w:rPr>
                <w:rFonts w:ascii="Arial" w:hAnsi="Arial" w:cs="Arial"/>
                <w:sz w:val="18"/>
                <w:szCs w:val="18"/>
                <w:lang w:val="es-ES" w:eastAsia="es-ES"/>
              </w:rPr>
              <w:t xml:space="preserve">Media </w:t>
            </w:r>
          </w:p>
        </w:tc>
      </w:tr>
      <w:tr w:rsidR="00DB7D9A" w:rsidRPr="00830AF8" w:rsidTr="00E630CA">
        <w:trPr>
          <w:trHeight w:val="198"/>
          <w:jc w:val="center"/>
        </w:trPr>
        <w:tc>
          <w:tcPr>
            <w:tcW w:w="1702"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left"/>
              <w:rPr>
                <w:lang w:val="es-ES" w:eastAsia="es-ES"/>
              </w:rPr>
            </w:pPr>
            <w:r w:rsidRPr="00830AF8">
              <w:rPr>
                <w:lang w:val="es-ES" w:eastAsia="es-ES"/>
              </w:rPr>
              <w:t>Ingresos propios</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3.090</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4.011</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6.386</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6.078</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4.958</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2.981</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3.020</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7.957</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9.025</w:t>
            </w:r>
          </w:p>
        </w:tc>
        <w:tc>
          <w:tcPr>
            <w:tcW w:w="850"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47.506</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5.278</w:t>
            </w:r>
          </w:p>
        </w:tc>
      </w:tr>
      <w:tr w:rsidR="00DB7D9A" w:rsidRPr="00830AF8" w:rsidTr="00E630CA">
        <w:trPr>
          <w:trHeight w:val="198"/>
          <w:jc w:val="center"/>
        </w:trPr>
        <w:tc>
          <w:tcPr>
            <w:tcW w:w="1702"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left"/>
              <w:rPr>
                <w:lang w:val="es-ES" w:eastAsia="es-ES"/>
              </w:rPr>
            </w:pPr>
            <w:r w:rsidRPr="00830AF8">
              <w:rPr>
                <w:lang w:val="es-ES" w:eastAsia="es-ES"/>
              </w:rPr>
              <w:t>Gastos propios</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5.713</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746</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2.225</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3.578</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1.121</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1.950</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5.589</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11.886</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6.715</w:t>
            </w:r>
          </w:p>
        </w:tc>
        <w:tc>
          <w:tcPr>
            <w:tcW w:w="850"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39.523</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rPr>
                <w:lang w:val="es-ES" w:eastAsia="es-ES"/>
              </w:rPr>
            </w:pPr>
            <w:r w:rsidRPr="00830AF8">
              <w:rPr>
                <w:lang w:val="es-ES" w:eastAsia="es-ES"/>
              </w:rPr>
              <w:t>4.391</w:t>
            </w:r>
          </w:p>
        </w:tc>
      </w:tr>
    </w:tbl>
    <w:p w:rsidR="00140412" w:rsidRDefault="00140412" w:rsidP="0014525D">
      <w:pPr>
        <w:pStyle w:val="texto"/>
        <w:spacing w:before="240"/>
      </w:pPr>
      <w:r w:rsidRPr="00B04727">
        <w:t>Como puede verse, no tiene prácticamente actividad económica. Su principal activo fue entregado a la fundación como dotación fundacional. Como ya h</w:t>
      </w:r>
      <w:r w:rsidRPr="00B04727">
        <w:t>e</w:t>
      </w:r>
      <w:r w:rsidRPr="00B04727">
        <w:t>mos señalado, no cuenta con ningún trabajador.</w:t>
      </w:r>
    </w:p>
    <w:p w:rsidR="00140412" w:rsidRPr="00F00221" w:rsidRDefault="00140412" w:rsidP="003E5304">
      <w:pPr>
        <w:pStyle w:val="texto"/>
      </w:pPr>
      <w:r w:rsidRPr="00F00221">
        <w:t>b) Fundación</w:t>
      </w:r>
      <w:r w:rsidR="000964C8">
        <w:t>.</w:t>
      </w:r>
    </w:p>
    <w:p w:rsidR="008711F8" w:rsidRPr="00F00221" w:rsidRDefault="00F00221" w:rsidP="0034064E">
      <w:pPr>
        <w:pStyle w:val="texto"/>
      </w:pPr>
      <w:r w:rsidRPr="00F00221">
        <w:t>De la contabilidad de la Fundación se desprenden los siguientes datos</w:t>
      </w:r>
      <w:r>
        <w:t>,</w:t>
      </w:r>
      <w:r w:rsidRPr="00F00221">
        <w:t xml:space="preserve"> t</w:t>
      </w:r>
      <w:r w:rsidRPr="00F00221">
        <w:t>e</w:t>
      </w:r>
      <w:r w:rsidRPr="00F00221">
        <w:t>niendo en cuenta que en 2012 se modificó el periodo del ejercicio para coinc</w:t>
      </w:r>
      <w:r w:rsidRPr="00F00221">
        <w:t>i</w:t>
      </w:r>
      <w:r w:rsidRPr="00F00221">
        <w:t>dir con el de los ciclos de conciertos.</w:t>
      </w:r>
    </w:p>
    <w:p w:rsidR="00DB7D9A" w:rsidRPr="00362AA9" w:rsidRDefault="00362AA9" w:rsidP="0034064E">
      <w:pPr>
        <w:spacing w:before="240" w:after="240"/>
        <w:jc w:val="center"/>
        <w:rPr>
          <w:rFonts w:ascii="Arial" w:hAnsi="Arial" w:cs="Arial"/>
        </w:rPr>
      </w:pPr>
      <w:r w:rsidRPr="00362AA9">
        <w:rPr>
          <w:rFonts w:ascii="Arial" w:hAnsi="Arial" w:cs="Arial"/>
        </w:rPr>
        <w:t>Ingresos y gastos Fundación Pablo Sarasate</w:t>
      </w:r>
    </w:p>
    <w:tbl>
      <w:tblPr>
        <w:tblW w:w="11413" w:type="dxa"/>
        <w:jc w:val="center"/>
        <w:tblInd w:w="488" w:type="dxa"/>
        <w:tblCellMar>
          <w:left w:w="70" w:type="dxa"/>
          <w:right w:w="70" w:type="dxa"/>
        </w:tblCellMar>
        <w:tblLook w:val="04A0" w:firstRow="1" w:lastRow="0" w:firstColumn="1" w:lastColumn="0" w:noHBand="0" w:noVBand="1"/>
      </w:tblPr>
      <w:tblGrid>
        <w:gridCol w:w="2196"/>
        <w:gridCol w:w="850"/>
        <w:gridCol w:w="851"/>
        <w:gridCol w:w="850"/>
        <w:gridCol w:w="851"/>
        <w:gridCol w:w="850"/>
        <w:gridCol w:w="851"/>
        <w:gridCol w:w="850"/>
        <w:gridCol w:w="851"/>
        <w:gridCol w:w="847"/>
        <w:gridCol w:w="857"/>
        <w:gridCol w:w="709"/>
      </w:tblGrid>
      <w:tr w:rsidR="00845011" w:rsidRPr="00562283" w:rsidTr="006D406E">
        <w:trPr>
          <w:trHeight w:val="255"/>
          <w:jc w:val="center"/>
        </w:trPr>
        <w:tc>
          <w:tcPr>
            <w:tcW w:w="219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6D406E">
            <w:pPr>
              <w:pStyle w:val="cuatexto"/>
              <w:jc w:val="left"/>
              <w:rPr>
                <w:rFonts w:cs="Arial"/>
                <w:sz w:val="18"/>
                <w:szCs w:val="18"/>
                <w:lang w:val="es-ES" w:eastAsia="es-ES"/>
              </w:rPr>
            </w:pPr>
            <w:r w:rsidRPr="00562283">
              <w:rPr>
                <w:rFonts w:cs="Arial"/>
                <w:sz w:val="18"/>
                <w:szCs w:val="18"/>
                <w:lang w:val="es-ES" w:eastAsia="es-ES"/>
              </w:rPr>
              <w:t>Ingresos</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2006</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2007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2008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2009</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2010</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2011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2012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2013</w:t>
            </w:r>
          </w:p>
        </w:tc>
        <w:tc>
          <w:tcPr>
            <w:tcW w:w="84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lang w:val="es-ES" w:eastAsia="es-ES"/>
              </w:rPr>
            </w:pPr>
            <w:r w:rsidRPr="00562283">
              <w:rPr>
                <w:rFonts w:cs="Arial"/>
                <w:sz w:val="18"/>
                <w:szCs w:val="18"/>
                <w:lang w:val="es-ES" w:eastAsia="es-ES"/>
              </w:rPr>
              <w:t>2014</w:t>
            </w:r>
          </w:p>
        </w:tc>
        <w:tc>
          <w:tcPr>
            <w:tcW w:w="85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056482" w:rsidP="009D5BA6">
            <w:pPr>
              <w:pStyle w:val="cuatexto"/>
              <w:jc w:val="right"/>
              <w:rPr>
                <w:rFonts w:cs="Arial"/>
                <w:sz w:val="18"/>
                <w:szCs w:val="18"/>
                <w:lang w:val="es-ES" w:eastAsia="es-ES"/>
              </w:rPr>
            </w:pPr>
            <w:r w:rsidRPr="00562283">
              <w:rPr>
                <w:rFonts w:cs="Arial"/>
                <w:sz w:val="18"/>
                <w:szCs w:val="18"/>
                <w:lang w:val="es-ES" w:eastAsia="es-ES"/>
              </w:rPr>
              <w:t>Total</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9D5BA6">
            <w:pPr>
              <w:pStyle w:val="cuatexto"/>
              <w:ind w:left="-475" w:right="-34"/>
              <w:jc w:val="right"/>
              <w:rPr>
                <w:sz w:val="18"/>
                <w:szCs w:val="18"/>
                <w:lang w:val="es-ES" w:eastAsia="es-ES"/>
              </w:rPr>
            </w:pPr>
            <w:r w:rsidRPr="00562283">
              <w:rPr>
                <w:sz w:val="18"/>
                <w:szCs w:val="18"/>
                <w:lang w:val="es-ES" w:eastAsia="es-ES"/>
              </w:rPr>
              <w:t>%</w:t>
            </w:r>
            <w:r w:rsidR="00830AF8" w:rsidRPr="00562283">
              <w:rPr>
                <w:sz w:val="18"/>
                <w:szCs w:val="18"/>
                <w:lang w:val="es-ES" w:eastAsia="es-ES"/>
              </w:rPr>
              <w:t xml:space="preserve"> </w:t>
            </w:r>
            <w:r w:rsidRPr="00562283">
              <w:rPr>
                <w:sz w:val="18"/>
                <w:szCs w:val="18"/>
                <w:lang w:val="es-ES" w:eastAsia="es-ES"/>
              </w:rPr>
              <w:t>s/</w:t>
            </w:r>
            <w:r w:rsidR="00830AF8" w:rsidRPr="00562283">
              <w:rPr>
                <w:sz w:val="18"/>
                <w:szCs w:val="18"/>
                <w:lang w:val="es-ES" w:eastAsia="es-ES"/>
              </w:rPr>
              <w:t>total</w:t>
            </w:r>
          </w:p>
        </w:tc>
      </w:tr>
      <w:tr w:rsidR="00845011" w:rsidRPr="00DB7D9A" w:rsidTr="00562283">
        <w:trPr>
          <w:trHeight w:val="198"/>
          <w:jc w:val="center"/>
        </w:trPr>
        <w:tc>
          <w:tcPr>
            <w:tcW w:w="2196" w:type="dxa"/>
            <w:tcBorders>
              <w:top w:val="single" w:sz="4"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lang w:val="es-ES" w:eastAsia="es-ES"/>
              </w:rPr>
            </w:pPr>
            <w:r w:rsidRPr="00DB7D9A">
              <w:rPr>
                <w:sz w:val="16"/>
                <w:szCs w:val="16"/>
                <w:lang w:val="es-ES" w:eastAsia="es-ES"/>
              </w:rPr>
              <w:t>Ventas</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688.647</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756.490</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1.062.054</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865.804</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601.545</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680.042</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275.853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824.916</w:t>
            </w:r>
          </w:p>
        </w:tc>
        <w:tc>
          <w:tcPr>
            <w:tcW w:w="847"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838.300</w:t>
            </w:r>
          </w:p>
        </w:tc>
        <w:tc>
          <w:tcPr>
            <w:tcW w:w="857"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6.593.652</w:t>
            </w:r>
          </w:p>
        </w:tc>
        <w:tc>
          <w:tcPr>
            <w:tcW w:w="709"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13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lang w:val="es-ES" w:eastAsia="es-ES"/>
              </w:rPr>
            </w:pPr>
            <w:r w:rsidRPr="00DB7D9A">
              <w:rPr>
                <w:sz w:val="16"/>
                <w:szCs w:val="16"/>
                <w:lang w:val="es-ES" w:eastAsia="es-ES"/>
              </w:rPr>
              <w:t>Patrocinios</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320.077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240.494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248.100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230.582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36.523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146.216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252.835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2.186.411</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2.171.415</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w:t>
            </w:r>
            <w:r w:rsidR="00B04727">
              <w:rPr>
                <w:sz w:val="16"/>
                <w:szCs w:val="16"/>
                <w:lang w:val="es-ES" w:eastAsia="es-ES"/>
              </w:rPr>
              <w:t>832.652</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1</w:t>
            </w:r>
            <w:r w:rsidR="00B04727">
              <w:rPr>
                <w:sz w:val="16"/>
                <w:szCs w:val="16"/>
                <w:lang w:val="es-ES" w:eastAsia="es-ES"/>
              </w:rPr>
              <w:t>2</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lang w:val="es-ES" w:eastAsia="es-ES"/>
              </w:rPr>
            </w:pPr>
            <w:r w:rsidRPr="00DB7D9A">
              <w:rPr>
                <w:sz w:val="16"/>
                <w:szCs w:val="16"/>
                <w:lang w:val="es-ES" w:eastAsia="es-ES"/>
              </w:rPr>
              <w:t>Subvención</w:t>
            </w:r>
            <w:r>
              <w:rPr>
                <w:sz w:val="16"/>
                <w:szCs w:val="16"/>
                <w:lang w:val="es-ES" w:eastAsia="es-ES"/>
              </w:rPr>
              <w:t xml:space="preserve"> G</w:t>
            </w:r>
            <w:r w:rsidR="00331061" w:rsidRPr="00DB7D9A">
              <w:rPr>
                <w:sz w:val="16"/>
                <w:szCs w:val="16"/>
                <w:lang w:val="es-ES" w:eastAsia="es-ES"/>
              </w:rPr>
              <w:t xml:space="preserve">º </w:t>
            </w:r>
            <w:r>
              <w:rPr>
                <w:sz w:val="16"/>
                <w:szCs w:val="16"/>
                <w:lang w:val="es-ES" w:eastAsia="es-ES"/>
              </w:rPr>
              <w:t>N</w:t>
            </w:r>
            <w:r w:rsidR="00331061" w:rsidRPr="00DB7D9A">
              <w:rPr>
                <w:sz w:val="16"/>
                <w:szCs w:val="16"/>
                <w:lang w:val="es-ES" w:eastAsia="es-ES"/>
              </w:rPr>
              <w:t xml:space="preserve">avarra </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3.965.946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4.461.874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4.860.392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4.825.000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4.170.000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4.200.000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3.500.000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1.650.000</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2.551.696</w:t>
            </w:r>
          </w:p>
        </w:tc>
        <w:tc>
          <w:tcPr>
            <w:tcW w:w="857" w:type="dxa"/>
            <w:tcBorders>
              <w:top w:val="single" w:sz="2" w:space="0" w:color="auto"/>
              <w:left w:val="nil"/>
              <w:bottom w:val="single" w:sz="2" w:space="0" w:color="auto"/>
              <w:right w:val="nil"/>
            </w:tcBorders>
            <w:shd w:val="clear" w:color="auto" w:fill="auto"/>
            <w:noWrap/>
            <w:vAlign w:val="center"/>
          </w:tcPr>
          <w:p w:rsidR="00830AF8" w:rsidRPr="00DB7D9A" w:rsidRDefault="00B04727" w:rsidP="00845011">
            <w:pPr>
              <w:pStyle w:val="cuatexto"/>
              <w:jc w:val="right"/>
              <w:rPr>
                <w:sz w:val="16"/>
                <w:szCs w:val="16"/>
                <w:lang w:val="es-ES" w:eastAsia="es-ES"/>
              </w:rPr>
            </w:pPr>
            <w:r>
              <w:rPr>
                <w:sz w:val="16"/>
                <w:szCs w:val="16"/>
                <w:lang w:val="es-ES" w:eastAsia="es-ES"/>
              </w:rPr>
              <w:t>34.184.909</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6</w:t>
            </w:r>
            <w:r w:rsidR="00B04727">
              <w:rPr>
                <w:sz w:val="16"/>
                <w:szCs w:val="16"/>
                <w:lang w:val="es-ES" w:eastAsia="es-ES"/>
              </w:rPr>
              <w:t>8</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lang w:val="es-ES" w:eastAsia="es-ES"/>
              </w:rPr>
            </w:pPr>
            <w:r w:rsidRPr="00DB7D9A">
              <w:rPr>
                <w:sz w:val="16"/>
                <w:szCs w:val="16"/>
                <w:lang w:val="es-ES" w:eastAsia="es-ES"/>
              </w:rPr>
              <w:t>Subvención</w:t>
            </w:r>
            <w:r w:rsidR="00331061" w:rsidRPr="00DB7D9A">
              <w:rPr>
                <w:sz w:val="16"/>
                <w:szCs w:val="16"/>
                <w:lang w:val="es-ES" w:eastAsia="es-ES"/>
              </w:rPr>
              <w:t xml:space="preserve"> </w:t>
            </w:r>
            <w:r>
              <w:rPr>
                <w:sz w:val="16"/>
                <w:szCs w:val="16"/>
                <w:lang w:val="es-ES" w:eastAsia="es-ES"/>
              </w:rPr>
              <w:t>A</w:t>
            </w:r>
            <w:r w:rsidR="00331061" w:rsidRPr="00DB7D9A">
              <w:rPr>
                <w:sz w:val="16"/>
                <w:szCs w:val="16"/>
                <w:lang w:val="es-ES" w:eastAsia="es-ES"/>
              </w:rPr>
              <w:t>yto.</w:t>
            </w:r>
            <w:r>
              <w:rPr>
                <w:sz w:val="16"/>
                <w:szCs w:val="16"/>
                <w:lang w:val="es-ES" w:eastAsia="es-ES"/>
              </w:rPr>
              <w:t>P</w:t>
            </w:r>
            <w:r w:rsidR="00331061" w:rsidRPr="00DB7D9A">
              <w:rPr>
                <w:sz w:val="16"/>
                <w:szCs w:val="16"/>
                <w:lang w:val="es-ES" w:eastAsia="es-ES"/>
              </w:rPr>
              <w:t>amplona</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194.957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195.000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203.190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203.190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203.190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178.190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153.333</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54.224</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w:t>
            </w:r>
            <w:r w:rsidR="00B04727">
              <w:rPr>
                <w:sz w:val="16"/>
                <w:szCs w:val="16"/>
                <w:lang w:val="es-ES" w:eastAsia="es-ES"/>
              </w:rPr>
              <w:t>385.274</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lang w:val="es-ES" w:eastAsia="es-ES"/>
              </w:rPr>
            </w:pPr>
            <w:r w:rsidRPr="00DB7D9A">
              <w:rPr>
                <w:sz w:val="16"/>
                <w:szCs w:val="16"/>
                <w:lang w:val="es-ES" w:eastAsia="es-ES"/>
              </w:rPr>
              <w:t>Subvención</w:t>
            </w:r>
            <w:r w:rsidR="00331061" w:rsidRPr="00DB7D9A">
              <w:rPr>
                <w:sz w:val="16"/>
                <w:szCs w:val="16"/>
                <w:lang w:val="es-ES" w:eastAsia="es-ES"/>
              </w:rPr>
              <w:t xml:space="preserve"> </w:t>
            </w:r>
            <w:r>
              <w:rPr>
                <w:sz w:val="16"/>
                <w:szCs w:val="16"/>
                <w:lang w:val="es-ES" w:eastAsia="es-ES"/>
              </w:rPr>
              <w:t>Mº  C</w:t>
            </w:r>
            <w:r w:rsidR="00331061" w:rsidRPr="00DB7D9A">
              <w:rPr>
                <w:sz w:val="16"/>
                <w:szCs w:val="16"/>
                <w:lang w:val="es-ES" w:eastAsia="es-ES"/>
              </w:rPr>
              <w:t>ultura inaem</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1.360.000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146.970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1.506.970</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lang w:val="es-ES" w:eastAsia="es-ES"/>
              </w:rPr>
            </w:pPr>
            <w:r w:rsidRPr="00DB7D9A">
              <w:rPr>
                <w:sz w:val="16"/>
                <w:szCs w:val="16"/>
                <w:lang w:val="es-ES" w:eastAsia="es-ES"/>
              </w:rPr>
              <w:t>Ingresos financieros</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15.497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445</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77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13</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11</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74</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124</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16.26</w:t>
            </w:r>
            <w:r w:rsidR="00B04727">
              <w:rPr>
                <w:sz w:val="16"/>
                <w:szCs w:val="16"/>
                <w:lang w:val="es-ES" w:eastAsia="es-ES"/>
              </w:rPr>
              <w:t>9</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0</w:t>
            </w:r>
          </w:p>
        </w:tc>
      </w:tr>
      <w:tr w:rsidR="00845011" w:rsidRPr="00DB7D9A" w:rsidTr="00562283">
        <w:trPr>
          <w:trHeight w:val="198"/>
          <w:jc w:val="center"/>
        </w:trPr>
        <w:tc>
          <w:tcPr>
            <w:tcW w:w="2196" w:type="dxa"/>
            <w:tcBorders>
              <w:top w:val="single" w:sz="2" w:space="0" w:color="auto"/>
              <w:left w:val="nil"/>
              <w:bottom w:val="single" w:sz="4" w:space="0" w:color="auto"/>
              <w:right w:val="nil"/>
            </w:tcBorders>
            <w:shd w:val="clear" w:color="auto" w:fill="auto"/>
            <w:noWrap/>
            <w:vAlign w:val="center"/>
            <w:hideMark/>
          </w:tcPr>
          <w:p w:rsidR="00830AF8" w:rsidRPr="00DB7D9A" w:rsidRDefault="00331061" w:rsidP="00845011">
            <w:pPr>
              <w:pStyle w:val="cuatexto"/>
              <w:jc w:val="left"/>
              <w:rPr>
                <w:sz w:val="16"/>
                <w:szCs w:val="16"/>
                <w:lang w:val="es-ES" w:eastAsia="es-ES"/>
              </w:rPr>
            </w:pPr>
            <w:r w:rsidRPr="00DB7D9A">
              <w:rPr>
                <w:sz w:val="16"/>
                <w:szCs w:val="16"/>
                <w:lang w:val="es-ES" w:eastAsia="es-ES"/>
              </w:rPr>
              <w:t>Ingresos corresp.ejercicios an</w:t>
            </w:r>
            <w:r w:rsidR="007460A2">
              <w:rPr>
                <w:sz w:val="16"/>
                <w:szCs w:val="16"/>
                <w:lang w:val="es-ES" w:eastAsia="es-ES"/>
              </w:rPr>
              <w:t>t.</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461.754</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29.178</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27.206</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5.785</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2.764</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47"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620</w:t>
            </w:r>
          </w:p>
        </w:tc>
        <w:tc>
          <w:tcPr>
            <w:tcW w:w="857"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52</w:t>
            </w:r>
            <w:r w:rsidR="00B04727">
              <w:rPr>
                <w:sz w:val="16"/>
                <w:szCs w:val="16"/>
                <w:lang w:val="es-ES" w:eastAsia="es-ES"/>
              </w:rPr>
              <w:t>7</w:t>
            </w:r>
            <w:r w:rsidRPr="00DB7D9A">
              <w:rPr>
                <w:sz w:val="16"/>
                <w:szCs w:val="16"/>
                <w:lang w:val="es-ES" w:eastAsia="es-ES"/>
              </w:rPr>
              <w:t>.</w:t>
            </w:r>
            <w:r w:rsidR="00B04727">
              <w:rPr>
                <w:sz w:val="16"/>
                <w:szCs w:val="16"/>
                <w:lang w:val="es-ES" w:eastAsia="es-ES"/>
              </w:rPr>
              <w:t>307</w:t>
            </w:r>
          </w:p>
        </w:tc>
        <w:tc>
          <w:tcPr>
            <w:tcW w:w="709"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1</w:t>
            </w:r>
          </w:p>
        </w:tc>
      </w:tr>
      <w:tr w:rsidR="00845011" w:rsidRPr="00DB7D9A" w:rsidTr="00562283">
        <w:trPr>
          <w:trHeight w:val="255"/>
          <w:jc w:val="center"/>
        </w:trPr>
        <w:tc>
          <w:tcPr>
            <w:tcW w:w="219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331061" w:rsidP="00845011">
            <w:pPr>
              <w:pStyle w:val="cuatexto"/>
              <w:jc w:val="left"/>
              <w:rPr>
                <w:sz w:val="16"/>
                <w:szCs w:val="16"/>
                <w:lang w:val="es-ES" w:eastAsia="es-ES"/>
              </w:rPr>
            </w:pPr>
            <w:r w:rsidRPr="00DB7D9A">
              <w:rPr>
                <w:sz w:val="16"/>
                <w:szCs w:val="16"/>
                <w:lang w:val="es-ES" w:eastAsia="es-ES"/>
              </w:rPr>
              <w:t>Total general</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5.646.879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5.683.481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6.401.019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6.130</w:t>
            </w:r>
            <w:r w:rsidR="00C87ACA">
              <w:rPr>
                <w:sz w:val="16"/>
                <w:szCs w:val="16"/>
                <w:lang w:val="es-ES" w:eastAsia="es-ES"/>
              </w:rPr>
              <w:t>.</w:t>
            </w:r>
            <w:r>
              <w:rPr>
                <w:sz w:val="16"/>
                <w:szCs w:val="16"/>
                <w:lang w:val="es-ES" w:eastAsia="es-ES"/>
              </w:rPr>
              <w:t>367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6.374.045</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5.351.431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4.028.699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4.814.733</w:t>
            </w:r>
          </w:p>
        </w:tc>
        <w:tc>
          <w:tcPr>
            <w:tcW w:w="84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5.616.380</w:t>
            </w:r>
          </w:p>
        </w:tc>
        <w:tc>
          <w:tcPr>
            <w:tcW w:w="85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50.047.034</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562283">
            <w:pPr>
              <w:pStyle w:val="cuatexto"/>
              <w:ind w:left="-475" w:right="192"/>
              <w:jc w:val="right"/>
              <w:rPr>
                <w:sz w:val="16"/>
                <w:szCs w:val="16"/>
                <w:lang w:val="es-ES" w:eastAsia="es-ES"/>
              </w:rPr>
            </w:pPr>
            <w:r w:rsidRPr="00DB7D9A">
              <w:rPr>
                <w:sz w:val="16"/>
                <w:szCs w:val="16"/>
                <w:lang w:val="es-ES" w:eastAsia="es-ES"/>
              </w:rPr>
              <w:t>100</w:t>
            </w:r>
          </w:p>
        </w:tc>
      </w:tr>
    </w:tbl>
    <w:p w:rsidR="0034064E" w:rsidRDefault="0034064E" w:rsidP="0014525D">
      <w:pPr>
        <w:pStyle w:val="texto"/>
      </w:pPr>
    </w:p>
    <w:p w:rsidR="0034064E" w:rsidRDefault="0034064E">
      <w:pPr>
        <w:spacing w:after="0"/>
        <w:ind w:firstLine="0"/>
        <w:jc w:val="left"/>
        <w:rPr>
          <w:spacing w:val="6"/>
          <w:sz w:val="26"/>
          <w:szCs w:val="24"/>
        </w:rPr>
      </w:pPr>
      <w:r>
        <w:br w:type="page"/>
      </w:r>
    </w:p>
    <w:tbl>
      <w:tblPr>
        <w:tblW w:w="11398" w:type="dxa"/>
        <w:jc w:val="center"/>
        <w:tblInd w:w="215" w:type="dxa"/>
        <w:tblCellMar>
          <w:left w:w="70" w:type="dxa"/>
          <w:right w:w="70" w:type="dxa"/>
        </w:tblCellMar>
        <w:tblLook w:val="04A0" w:firstRow="1" w:lastRow="0" w:firstColumn="1" w:lastColumn="0" w:noHBand="0" w:noVBand="1"/>
      </w:tblPr>
      <w:tblGrid>
        <w:gridCol w:w="2332"/>
        <w:gridCol w:w="778"/>
        <w:gridCol w:w="816"/>
        <w:gridCol w:w="850"/>
        <w:gridCol w:w="851"/>
        <w:gridCol w:w="850"/>
        <w:gridCol w:w="851"/>
        <w:gridCol w:w="850"/>
        <w:gridCol w:w="851"/>
        <w:gridCol w:w="850"/>
        <w:gridCol w:w="851"/>
        <w:gridCol w:w="668"/>
      </w:tblGrid>
      <w:tr w:rsidR="00B54400" w:rsidRPr="00562283" w:rsidTr="006D406E">
        <w:trPr>
          <w:trHeight w:val="255"/>
          <w:jc w:val="center"/>
        </w:trPr>
        <w:tc>
          <w:tcPr>
            <w:tcW w:w="2332"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B04727" w:rsidP="006D406E">
            <w:pPr>
              <w:pStyle w:val="cuatexto"/>
              <w:ind w:left="-7"/>
              <w:jc w:val="left"/>
              <w:rPr>
                <w:rFonts w:cs="Arial"/>
                <w:sz w:val="18"/>
                <w:szCs w:val="18"/>
                <w:lang w:val="es-ES" w:eastAsia="es-ES"/>
              </w:rPr>
            </w:pPr>
            <w:r w:rsidRPr="00562283">
              <w:rPr>
                <w:rFonts w:cs="Arial"/>
                <w:sz w:val="18"/>
                <w:szCs w:val="18"/>
                <w:lang w:val="es-ES" w:eastAsia="es-ES"/>
              </w:rPr>
              <w:lastRenderedPageBreak/>
              <w:t>G</w:t>
            </w:r>
            <w:r w:rsidR="00331061" w:rsidRPr="00562283">
              <w:rPr>
                <w:rFonts w:cs="Arial"/>
                <w:sz w:val="18"/>
                <w:szCs w:val="18"/>
                <w:lang w:val="es-ES" w:eastAsia="es-ES"/>
              </w:rPr>
              <w:t>asto</w:t>
            </w:r>
            <w:r w:rsidRPr="00562283">
              <w:rPr>
                <w:rFonts w:cs="Arial"/>
                <w:sz w:val="18"/>
                <w:szCs w:val="18"/>
                <w:lang w:val="es-ES" w:eastAsia="es-ES"/>
              </w:rPr>
              <w:t>s</w:t>
            </w:r>
          </w:p>
        </w:tc>
        <w:tc>
          <w:tcPr>
            <w:tcW w:w="77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2006</w:t>
            </w:r>
          </w:p>
        </w:tc>
        <w:tc>
          <w:tcPr>
            <w:tcW w:w="81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2007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43701C" w:rsidP="009D5BA6">
            <w:pPr>
              <w:pStyle w:val="cuatexto"/>
              <w:jc w:val="right"/>
              <w:rPr>
                <w:rFonts w:cs="Arial"/>
                <w:sz w:val="18"/>
                <w:szCs w:val="18"/>
                <w:lang w:val="es-ES" w:eastAsia="es-ES"/>
              </w:rPr>
            </w:pPr>
            <w:r>
              <w:rPr>
                <w:rFonts w:cs="Arial"/>
                <w:sz w:val="18"/>
                <w:szCs w:val="18"/>
                <w:lang w:val="es-ES" w:eastAsia="es-ES"/>
              </w:rPr>
              <w:t>2</w:t>
            </w:r>
            <w:r w:rsidR="00830AF8" w:rsidRPr="00562283">
              <w:rPr>
                <w:rFonts w:cs="Arial"/>
                <w:sz w:val="18"/>
                <w:szCs w:val="18"/>
                <w:lang w:val="es-ES" w:eastAsia="es-ES"/>
              </w:rPr>
              <w:t>008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2009</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2010</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2011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2012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2013</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lang w:val="es-ES" w:eastAsia="es-ES"/>
              </w:rPr>
            </w:pPr>
            <w:r w:rsidRPr="00562283">
              <w:rPr>
                <w:rFonts w:cs="Arial"/>
                <w:sz w:val="18"/>
                <w:szCs w:val="18"/>
                <w:lang w:val="es-ES" w:eastAsia="es-ES"/>
              </w:rPr>
              <w:t>2014</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056482" w:rsidP="009D5BA6">
            <w:pPr>
              <w:pStyle w:val="cuatexto"/>
              <w:ind w:left="-738"/>
              <w:jc w:val="right"/>
              <w:rPr>
                <w:rFonts w:cs="Arial"/>
                <w:sz w:val="18"/>
                <w:szCs w:val="18"/>
                <w:lang w:val="es-ES" w:eastAsia="es-ES"/>
              </w:rPr>
            </w:pPr>
            <w:r w:rsidRPr="00562283">
              <w:rPr>
                <w:rFonts w:cs="Arial"/>
                <w:sz w:val="18"/>
                <w:szCs w:val="18"/>
                <w:lang w:val="es-ES" w:eastAsia="es-ES"/>
              </w:rPr>
              <w:t>Total</w:t>
            </w:r>
          </w:p>
        </w:tc>
        <w:tc>
          <w:tcPr>
            <w:tcW w:w="66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9D5BA6">
            <w:pPr>
              <w:pStyle w:val="cuatexto"/>
              <w:ind w:left="-475"/>
              <w:jc w:val="right"/>
              <w:rPr>
                <w:rFonts w:cs="Arial"/>
                <w:sz w:val="18"/>
                <w:szCs w:val="18"/>
                <w:lang w:val="es-ES" w:eastAsia="es-ES"/>
              </w:rPr>
            </w:pPr>
            <w:r w:rsidRPr="00562283">
              <w:rPr>
                <w:rFonts w:cs="Arial"/>
                <w:sz w:val="18"/>
                <w:szCs w:val="18"/>
                <w:lang w:val="es-ES" w:eastAsia="es-ES"/>
              </w:rPr>
              <w:t>%</w:t>
            </w:r>
            <w:r w:rsidR="009D5BA6">
              <w:rPr>
                <w:rFonts w:cs="Arial"/>
                <w:sz w:val="18"/>
                <w:szCs w:val="18"/>
                <w:lang w:val="es-ES" w:eastAsia="es-ES"/>
              </w:rPr>
              <w:t>.</w:t>
            </w:r>
            <w:r w:rsidRPr="00562283">
              <w:rPr>
                <w:rFonts w:cs="Arial"/>
                <w:sz w:val="18"/>
                <w:szCs w:val="18"/>
                <w:lang w:val="es-ES" w:eastAsia="es-ES"/>
              </w:rPr>
              <w:t>s</w:t>
            </w:r>
            <w:r w:rsidRPr="00562283">
              <w:rPr>
                <w:rFonts w:cs="Arial"/>
                <w:w w:val="90"/>
                <w:sz w:val="18"/>
                <w:szCs w:val="18"/>
                <w:lang w:val="es-ES" w:eastAsia="es-ES"/>
              </w:rPr>
              <w:t>/</w:t>
            </w:r>
            <w:r w:rsidR="00830AF8" w:rsidRPr="00562283">
              <w:rPr>
                <w:rFonts w:cs="Arial"/>
                <w:w w:val="90"/>
                <w:sz w:val="18"/>
                <w:szCs w:val="18"/>
                <w:lang w:val="es-ES" w:eastAsia="es-ES"/>
              </w:rPr>
              <w:t>total</w:t>
            </w:r>
          </w:p>
        </w:tc>
      </w:tr>
      <w:tr w:rsidR="00B54400" w:rsidRPr="00DB7D9A" w:rsidTr="00B54400">
        <w:trPr>
          <w:trHeight w:val="198"/>
          <w:jc w:val="center"/>
        </w:trPr>
        <w:tc>
          <w:tcPr>
            <w:tcW w:w="2332" w:type="dxa"/>
            <w:tcBorders>
              <w:top w:val="single" w:sz="4"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Directores, solistas, suplencias</w:t>
            </w:r>
          </w:p>
        </w:tc>
        <w:tc>
          <w:tcPr>
            <w:tcW w:w="778"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801.625</w:t>
            </w:r>
          </w:p>
        </w:tc>
        <w:tc>
          <w:tcPr>
            <w:tcW w:w="816"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846.646</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1.139.931</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864.526</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856.225</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601.371</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266.603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195.899</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134.573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5.707.399</w:t>
            </w:r>
          </w:p>
        </w:tc>
        <w:tc>
          <w:tcPr>
            <w:tcW w:w="668"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11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Servicios exteriores</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1.313.582</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1.132.368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1.528.675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996.654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1.101.687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806.527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668.582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683.821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930.153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9.162.049</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1</w:t>
            </w:r>
            <w:r w:rsidR="00B04727">
              <w:rPr>
                <w:sz w:val="16"/>
                <w:szCs w:val="16"/>
                <w:lang w:val="es-ES" w:eastAsia="es-ES"/>
              </w:rPr>
              <w:t>8</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Tributos</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100</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750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1.400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702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1.421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2.649</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lang w:val="es-ES" w:eastAsia="es-ES"/>
              </w:rPr>
            </w:pPr>
            <w:r w:rsidRPr="00DB7D9A">
              <w:rPr>
                <w:sz w:val="16"/>
                <w:szCs w:val="16"/>
                <w:lang w:val="es-ES" w:eastAsia="es-ES"/>
              </w:rPr>
              <w:t>7.220</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0</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Gts de personal</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3.332.658</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3.556.697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3.634.513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4.166.640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4.281.160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4.182.139</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2.650.807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3.784.312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4.118.294</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33.707.219</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6</w:t>
            </w:r>
            <w:r w:rsidR="00B04727">
              <w:rPr>
                <w:sz w:val="16"/>
                <w:szCs w:val="16"/>
                <w:lang w:val="es-ES" w:eastAsia="es-ES"/>
              </w:rPr>
              <w:t>8</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Otros gts de gestión</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40.466</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25.077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lang w:val="es-ES" w:eastAsia="es-ES"/>
              </w:rPr>
            </w:pPr>
            <w:r w:rsidRPr="00DB7D9A">
              <w:rPr>
                <w:sz w:val="16"/>
                <w:szCs w:val="16"/>
                <w:lang w:val="es-ES" w:eastAsia="es-ES"/>
              </w:rPr>
              <w:t>65.543</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0</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Gts financieros</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17.370</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28.717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21.515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35.894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48.749</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44.631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44.655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108.700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18.526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368.755</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Pérdidas de act no ctes y gts extr.</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82.231</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12.258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18.623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16.999</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8.804</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41.461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10.967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135</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340.211</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531.690</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Dot amortización</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40.803</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50.838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46.668</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lang w:val="es-ES" w:eastAsia="es-ES"/>
              </w:rPr>
            </w:pPr>
            <w:r>
              <w:rPr>
                <w:sz w:val="16"/>
                <w:szCs w:val="16"/>
                <w:lang w:val="es-ES" w:eastAsia="es-ES"/>
              </w:rPr>
              <w:t>46.666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36.908</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31.504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23.303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28.352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22.976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lang w:val="es-ES" w:eastAsia="es-ES"/>
              </w:rPr>
            </w:pPr>
            <w:r>
              <w:rPr>
                <w:sz w:val="16"/>
                <w:szCs w:val="16"/>
                <w:lang w:val="es-ES" w:eastAsia="es-ES"/>
              </w:rPr>
              <w:t>328.018</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1</w:t>
            </w:r>
          </w:p>
        </w:tc>
      </w:tr>
      <w:tr w:rsidR="00B54400" w:rsidRPr="00DB7D9A" w:rsidTr="00B54400">
        <w:trPr>
          <w:trHeight w:val="198"/>
          <w:jc w:val="center"/>
        </w:trPr>
        <w:tc>
          <w:tcPr>
            <w:tcW w:w="2332" w:type="dxa"/>
            <w:tcBorders>
              <w:top w:val="single" w:sz="2" w:space="0" w:color="auto"/>
              <w:left w:val="nil"/>
              <w:bottom w:val="single" w:sz="4" w:space="0" w:color="auto"/>
              <w:right w:val="nil"/>
            </w:tcBorders>
            <w:shd w:val="clear" w:color="auto" w:fill="auto"/>
            <w:noWrap/>
            <w:vAlign w:val="center"/>
            <w:hideMark/>
          </w:tcPr>
          <w:p w:rsidR="00830AF8" w:rsidRPr="00DB7D9A" w:rsidRDefault="00331061" w:rsidP="00B54400">
            <w:pPr>
              <w:pStyle w:val="cuatexto"/>
              <w:ind w:left="-7"/>
              <w:jc w:val="left"/>
              <w:rPr>
                <w:sz w:val="16"/>
                <w:szCs w:val="16"/>
                <w:lang w:val="es-ES" w:eastAsia="es-ES"/>
              </w:rPr>
            </w:pPr>
            <w:r w:rsidRPr="00DB7D9A">
              <w:rPr>
                <w:sz w:val="16"/>
                <w:szCs w:val="16"/>
                <w:lang w:val="es-ES" w:eastAsia="es-ES"/>
              </w:rPr>
              <w:t>Pérdidas por deteri</w:t>
            </w:r>
            <w:r w:rsidR="00C52923">
              <w:rPr>
                <w:sz w:val="16"/>
                <w:szCs w:val="16"/>
                <w:lang w:val="es-ES" w:eastAsia="es-ES"/>
              </w:rPr>
              <w:t>.</w:t>
            </w:r>
            <w:r w:rsidRPr="00DB7D9A">
              <w:rPr>
                <w:sz w:val="16"/>
                <w:szCs w:val="16"/>
                <w:lang w:val="es-ES" w:eastAsia="es-ES"/>
              </w:rPr>
              <w:t xml:space="preserve"> y otra dotac.</w:t>
            </w:r>
          </w:p>
        </w:tc>
        <w:tc>
          <w:tcPr>
            <w:tcW w:w="778"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0</w:t>
            </w:r>
          </w:p>
        </w:tc>
        <w:tc>
          <w:tcPr>
            <w:tcW w:w="816"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lang w:val="es-ES" w:eastAsia="es-ES"/>
              </w:rPr>
            </w:pPr>
            <w:r w:rsidRPr="00DB7D9A">
              <w:rPr>
                <w:sz w:val="16"/>
                <w:szCs w:val="16"/>
                <w:lang w:val="es-ES" w:eastAsia="es-ES"/>
              </w:rPr>
              <w:t>49.500</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lang w:val="es-ES" w:eastAsia="es-ES"/>
              </w:rPr>
            </w:pPr>
            <w:r w:rsidRPr="00DB7D9A">
              <w:rPr>
                <w:sz w:val="16"/>
                <w:szCs w:val="16"/>
                <w:lang w:val="es-ES" w:eastAsia="es-ES"/>
              </w:rPr>
              <w:t>49.500</w:t>
            </w:r>
          </w:p>
        </w:tc>
        <w:tc>
          <w:tcPr>
            <w:tcW w:w="668"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lang w:val="es-ES" w:eastAsia="es-ES"/>
              </w:rPr>
            </w:pPr>
            <w:r w:rsidRPr="00DB7D9A">
              <w:rPr>
                <w:sz w:val="16"/>
                <w:szCs w:val="16"/>
                <w:lang w:val="es-ES" w:eastAsia="es-ES"/>
              </w:rPr>
              <w:t>0</w:t>
            </w:r>
          </w:p>
        </w:tc>
      </w:tr>
      <w:tr w:rsidR="00B54400" w:rsidRPr="00B54400" w:rsidTr="00B54400">
        <w:trPr>
          <w:trHeight w:val="255"/>
          <w:jc w:val="center"/>
        </w:trPr>
        <w:tc>
          <w:tcPr>
            <w:tcW w:w="2332"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331061" w:rsidP="00B54400">
            <w:pPr>
              <w:pStyle w:val="cuatexto"/>
              <w:ind w:left="-7"/>
              <w:jc w:val="left"/>
              <w:rPr>
                <w:rFonts w:cs="Arial"/>
                <w:sz w:val="16"/>
                <w:szCs w:val="16"/>
                <w:lang w:val="es-ES" w:eastAsia="es-ES"/>
              </w:rPr>
            </w:pPr>
            <w:r w:rsidRPr="00B54400">
              <w:rPr>
                <w:rFonts w:cs="Arial"/>
                <w:sz w:val="16"/>
                <w:szCs w:val="16"/>
                <w:lang w:val="es-ES" w:eastAsia="es-ES"/>
              </w:rPr>
              <w:t>Total general</w:t>
            </w:r>
          </w:p>
        </w:tc>
        <w:tc>
          <w:tcPr>
            <w:tcW w:w="77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5.628.834</w:t>
            </w:r>
          </w:p>
        </w:tc>
        <w:tc>
          <w:tcPr>
            <w:tcW w:w="81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5.652.702</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6.390.023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B04727" w:rsidP="00845011">
            <w:pPr>
              <w:pStyle w:val="cuatexto"/>
              <w:jc w:val="right"/>
              <w:rPr>
                <w:rFonts w:cs="Arial"/>
                <w:sz w:val="16"/>
                <w:szCs w:val="16"/>
                <w:lang w:val="es-ES" w:eastAsia="es-ES"/>
              </w:rPr>
            </w:pPr>
            <w:r w:rsidRPr="00B54400">
              <w:rPr>
                <w:rFonts w:cs="Arial"/>
                <w:sz w:val="16"/>
                <w:szCs w:val="16"/>
                <w:lang w:val="es-ES" w:eastAsia="es-ES"/>
              </w:rPr>
              <w:t>6.127.378</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6.334.283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5.709.032</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3.665.618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4.802.640</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lang w:val="es-ES" w:eastAsia="es-ES"/>
              </w:rPr>
            </w:pPr>
            <w:r w:rsidRPr="00B54400">
              <w:rPr>
                <w:rFonts w:cs="Arial"/>
                <w:sz w:val="16"/>
                <w:szCs w:val="16"/>
                <w:lang w:val="es-ES" w:eastAsia="es-ES"/>
              </w:rPr>
              <w:t>5.616.882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B04727" w:rsidP="00B54400">
            <w:pPr>
              <w:pStyle w:val="cuatexto"/>
              <w:ind w:left="-738"/>
              <w:jc w:val="right"/>
              <w:rPr>
                <w:rFonts w:cs="Arial"/>
                <w:sz w:val="16"/>
                <w:szCs w:val="16"/>
                <w:lang w:val="es-ES" w:eastAsia="es-ES"/>
              </w:rPr>
            </w:pPr>
            <w:r w:rsidRPr="00B54400">
              <w:rPr>
                <w:rFonts w:cs="Arial"/>
                <w:sz w:val="16"/>
                <w:szCs w:val="16"/>
                <w:lang w:val="es-ES" w:eastAsia="es-ES"/>
              </w:rPr>
              <w:t>49.927.393</w:t>
            </w:r>
          </w:p>
        </w:tc>
        <w:tc>
          <w:tcPr>
            <w:tcW w:w="66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ind w:left="-475" w:right="192"/>
              <w:jc w:val="right"/>
              <w:rPr>
                <w:rFonts w:cs="Arial"/>
                <w:sz w:val="16"/>
                <w:szCs w:val="16"/>
                <w:lang w:val="es-ES" w:eastAsia="es-ES"/>
              </w:rPr>
            </w:pPr>
            <w:r w:rsidRPr="00B54400">
              <w:rPr>
                <w:rFonts w:cs="Arial"/>
                <w:sz w:val="16"/>
                <w:szCs w:val="16"/>
                <w:lang w:val="es-ES" w:eastAsia="es-ES"/>
              </w:rPr>
              <w:t>100</w:t>
            </w:r>
          </w:p>
        </w:tc>
      </w:tr>
    </w:tbl>
    <w:p w:rsidR="00F00221" w:rsidRPr="008520A4" w:rsidRDefault="00F00221" w:rsidP="00562283">
      <w:pPr>
        <w:pStyle w:val="texto"/>
        <w:spacing w:before="360"/>
      </w:pPr>
      <w:r w:rsidRPr="008520A4">
        <w:t xml:space="preserve">Como se desprende de los datos del cuadro, </w:t>
      </w:r>
      <w:r w:rsidR="00C87ACA">
        <w:t xml:space="preserve">en este periodo </w:t>
      </w:r>
      <w:r w:rsidRPr="008520A4">
        <w:t>los ingresos o</w:t>
      </w:r>
      <w:r w:rsidRPr="008520A4">
        <w:t>s</w:t>
      </w:r>
      <w:r w:rsidRPr="008520A4">
        <w:t>cilan en</w:t>
      </w:r>
      <w:r w:rsidR="007460A2">
        <w:t>tre</w:t>
      </w:r>
      <w:r w:rsidRPr="008520A4">
        <w:t xml:space="preserve"> 6,4 </w:t>
      </w:r>
      <w:r w:rsidR="008520A4" w:rsidRPr="008520A4">
        <w:t>y 4,</w:t>
      </w:r>
      <w:r w:rsidR="007460A2">
        <w:t>8</w:t>
      </w:r>
      <w:r w:rsidR="007460A2" w:rsidRPr="007460A2">
        <w:t xml:space="preserve"> </w:t>
      </w:r>
      <w:r w:rsidR="007460A2" w:rsidRPr="008520A4">
        <w:t>millones</w:t>
      </w:r>
      <w:r w:rsidR="007460A2">
        <w:t>,</w:t>
      </w:r>
      <w:r w:rsidRPr="008520A4">
        <w:t xml:space="preserve"> representando la subvención del Gobierno de Navarra la principal partida </w:t>
      </w:r>
      <w:r w:rsidR="008520A4" w:rsidRPr="008520A4">
        <w:t>(6</w:t>
      </w:r>
      <w:r w:rsidR="007460A2">
        <w:t>8</w:t>
      </w:r>
      <w:r w:rsidR="008520A4">
        <w:t xml:space="preserve"> por ciento</w:t>
      </w:r>
      <w:r w:rsidR="008520A4" w:rsidRPr="008520A4">
        <w:t>). Hay que considerar que en 2013 y 2014 se produce un significativo descenso de esta subvención que se compensa con</w:t>
      </w:r>
      <w:r w:rsidR="00C87ACA">
        <w:t xml:space="preserve"> ingresos por </w:t>
      </w:r>
      <w:r w:rsidR="008520A4" w:rsidRPr="008520A4">
        <w:t>patrocinios extraordinarios.</w:t>
      </w:r>
    </w:p>
    <w:p w:rsidR="008520A4" w:rsidRDefault="008520A4" w:rsidP="003E5304">
      <w:pPr>
        <w:pStyle w:val="texto"/>
      </w:pPr>
      <w:r w:rsidRPr="008520A4">
        <w:t>El importe de las ventas (entradas, conciertos fuera del programa de c</w:t>
      </w:r>
      <w:r w:rsidRPr="008520A4">
        <w:t>i</w:t>
      </w:r>
      <w:r w:rsidRPr="008520A4">
        <w:t>clos…) oscila entre un millón y 600.000 euros.</w:t>
      </w:r>
    </w:p>
    <w:p w:rsidR="008520A4" w:rsidRDefault="008520A4" w:rsidP="003E5304">
      <w:pPr>
        <w:pStyle w:val="texto"/>
      </w:pPr>
      <w:r>
        <w:t>Los gastos se sitúan en cifras muy similares, constituyendo los gastos de personal, la partida más significativa</w:t>
      </w:r>
      <w:r w:rsidR="007460A2">
        <w:t>. E</w:t>
      </w:r>
      <w:r>
        <w:t>ntre los registrados como tal y los i</w:t>
      </w:r>
      <w:r>
        <w:t>n</w:t>
      </w:r>
      <w:r>
        <w:t xml:space="preserve">cluidos en el epígrafe </w:t>
      </w:r>
      <w:r w:rsidR="0082251C">
        <w:t>“</w:t>
      </w:r>
      <w:r>
        <w:t>directores, solista</w:t>
      </w:r>
      <w:r w:rsidR="0082251C">
        <w:t>s</w:t>
      </w:r>
      <w:r>
        <w:t xml:space="preserve"> y sup</w:t>
      </w:r>
      <w:r w:rsidR="00D74DF9">
        <w:t>l</w:t>
      </w:r>
      <w:r>
        <w:t>encias</w:t>
      </w:r>
      <w:r w:rsidR="0082251C">
        <w:t>”</w:t>
      </w:r>
      <w:r>
        <w:t>, representa</w:t>
      </w:r>
      <w:r w:rsidR="00D74DF9">
        <w:t>n</w:t>
      </w:r>
      <w:r>
        <w:t xml:space="preserve"> el 7</w:t>
      </w:r>
      <w:r w:rsidR="007460A2">
        <w:t>9</w:t>
      </w:r>
      <w:r>
        <w:t xml:space="preserve"> por ciento del gasto.</w:t>
      </w:r>
    </w:p>
    <w:p w:rsidR="008520A4" w:rsidRDefault="008520A4" w:rsidP="003E5304">
      <w:pPr>
        <w:pStyle w:val="texto"/>
      </w:pPr>
      <w:r>
        <w:t>Como ya hemos indicado, los fondos propio</w:t>
      </w:r>
      <w:r w:rsidR="00D74DF9">
        <w:t>s eran negativos hasta el año 2014.</w:t>
      </w:r>
    </w:p>
    <w:p w:rsidR="008520A4" w:rsidRDefault="00D74DF9" w:rsidP="003E5304">
      <w:pPr>
        <w:pStyle w:val="texto"/>
      </w:pPr>
      <w:r>
        <w:t>c) S</w:t>
      </w:r>
      <w:r w:rsidR="008520A4">
        <w:t>ubvenciones del Gobierno de Navarra.</w:t>
      </w:r>
    </w:p>
    <w:p w:rsidR="008520A4" w:rsidRPr="008520A4" w:rsidRDefault="008520A4" w:rsidP="003E5304">
      <w:pPr>
        <w:pStyle w:val="texto"/>
      </w:pPr>
      <w:r>
        <w:t>Para valorar el esfuerzo que de</w:t>
      </w:r>
      <w:r w:rsidR="00D74DF9">
        <w:t>s</w:t>
      </w:r>
      <w:r>
        <w:t xml:space="preserve">de el Gobierno de Navarra se ha realizado </w:t>
      </w:r>
      <w:r w:rsidR="007460A2">
        <w:t>en</w:t>
      </w:r>
      <w:r>
        <w:t xml:space="preserve"> apoyo a la </w:t>
      </w:r>
      <w:r w:rsidR="00C87ACA">
        <w:t>Fundación</w:t>
      </w:r>
      <w:r>
        <w:t>, presentamos</w:t>
      </w:r>
      <w:r w:rsidR="00D74DF9">
        <w:t xml:space="preserve"> en el cuadro siguiente los datos de las su</w:t>
      </w:r>
      <w:r w:rsidR="00D74DF9">
        <w:t>b</w:t>
      </w:r>
      <w:r w:rsidR="00D74DF9">
        <w:t>venciones que ha dedicado a la cultura y a l</w:t>
      </w:r>
      <w:r w:rsidR="007460A2">
        <w:t xml:space="preserve">a </w:t>
      </w:r>
      <w:r w:rsidR="00C87ACA">
        <w:t>Fundación</w:t>
      </w:r>
      <w:r w:rsidR="007460A2">
        <w:t>, en particular, desde el Departamento de Cultura.</w:t>
      </w:r>
    </w:p>
    <w:p w:rsidR="00DB7D9A" w:rsidRPr="006243CA" w:rsidRDefault="00DB7D9A" w:rsidP="0014525D">
      <w:pPr>
        <w:spacing w:before="240" w:after="240"/>
        <w:ind w:firstLine="0"/>
        <w:jc w:val="center"/>
        <w:rPr>
          <w:rFonts w:ascii="Arial" w:hAnsi="Arial" w:cs="Arial"/>
          <w:color w:val="000000"/>
          <w:lang w:val="es-ES" w:eastAsia="es-ES"/>
        </w:rPr>
      </w:pPr>
      <w:r w:rsidRPr="006243CA">
        <w:rPr>
          <w:rFonts w:ascii="Arial" w:hAnsi="Arial" w:cs="Arial"/>
          <w:color w:val="000000"/>
          <w:lang w:val="es-ES" w:eastAsia="es-ES"/>
        </w:rPr>
        <w:t>Subvenciones de Acción Cultural</w:t>
      </w:r>
    </w:p>
    <w:tbl>
      <w:tblPr>
        <w:tblW w:w="10627" w:type="dxa"/>
        <w:jc w:val="center"/>
        <w:tblCellMar>
          <w:left w:w="70" w:type="dxa"/>
          <w:right w:w="70" w:type="dxa"/>
        </w:tblCellMar>
        <w:tblLook w:val="04A0" w:firstRow="1" w:lastRow="0" w:firstColumn="1" w:lastColumn="0" w:noHBand="0" w:noVBand="1"/>
      </w:tblPr>
      <w:tblGrid>
        <w:gridCol w:w="3830"/>
        <w:gridCol w:w="1101"/>
        <w:gridCol w:w="995"/>
        <w:gridCol w:w="1200"/>
        <w:gridCol w:w="1200"/>
        <w:gridCol w:w="1200"/>
        <w:gridCol w:w="1101"/>
      </w:tblGrid>
      <w:tr w:rsidR="00830AF8" w:rsidRPr="00E630CA" w:rsidTr="007460A2">
        <w:trPr>
          <w:trHeight w:val="255"/>
          <w:jc w:val="center"/>
        </w:trPr>
        <w:tc>
          <w:tcPr>
            <w:tcW w:w="383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7460A2" w:rsidP="007460A2">
            <w:pPr>
              <w:pStyle w:val="cuatexto"/>
              <w:jc w:val="left"/>
              <w:rPr>
                <w:rFonts w:ascii="Arial" w:hAnsi="Arial" w:cs="Arial"/>
                <w:sz w:val="18"/>
                <w:szCs w:val="18"/>
                <w:lang w:val="es-ES" w:eastAsia="es-ES"/>
              </w:rPr>
            </w:pPr>
            <w:r>
              <w:rPr>
                <w:rFonts w:ascii="Arial" w:hAnsi="Arial" w:cs="Arial"/>
                <w:sz w:val="18"/>
                <w:szCs w:val="18"/>
                <w:lang w:val="es-ES" w:eastAsia="es-ES"/>
              </w:rPr>
              <w:t>Subvenciones</w:t>
            </w:r>
            <w:r w:rsidR="006243CA" w:rsidRPr="00E630CA">
              <w:rPr>
                <w:rFonts w:ascii="Arial" w:hAnsi="Arial" w:cs="Arial"/>
                <w:sz w:val="18"/>
                <w:szCs w:val="18"/>
                <w:lang w:val="es-ES" w:eastAsia="es-ES"/>
              </w:rPr>
              <w:t xml:space="preserve"> promoción cultural</w:t>
            </w:r>
          </w:p>
        </w:tc>
        <w:tc>
          <w:tcPr>
            <w:tcW w:w="110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2011</w:t>
            </w:r>
          </w:p>
        </w:tc>
        <w:tc>
          <w:tcPr>
            <w:tcW w:w="995"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2012</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2013</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2014</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2015</w:t>
            </w:r>
            <w:r w:rsidR="007460A2">
              <w:rPr>
                <w:rFonts w:ascii="Arial" w:hAnsi="Arial" w:cs="Arial"/>
                <w:sz w:val="18"/>
                <w:szCs w:val="18"/>
                <w:lang w:val="es-ES" w:eastAsia="es-ES"/>
              </w:rPr>
              <w:t>*</w:t>
            </w:r>
          </w:p>
        </w:tc>
        <w:tc>
          <w:tcPr>
            <w:tcW w:w="110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6243CA" w:rsidP="006243CA">
            <w:pPr>
              <w:pStyle w:val="cuatexto"/>
              <w:jc w:val="right"/>
              <w:rPr>
                <w:rFonts w:ascii="Arial" w:hAnsi="Arial" w:cs="Arial"/>
                <w:sz w:val="18"/>
                <w:szCs w:val="18"/>
                <w:lang w:val="es-ES" w:eastAsia="es-ES"/>
              </w:rPr>
            </w:pPr>
            <w:r w:rsidRPr="00E630CA">
              <w:rPr>
                <w:rFonts w:ascii="Arial" w:hAnsi="Arial" w:cs="Arial"/>
                <w:sz w:val="18"/>
                <w:szCs w:val="18"/>
                <w:lang w:val="es-ES" w:eastAsia="es-ES"/>
              </w:rPr>
              <w:t>Total</w:t>
            </w:r>
          </w:p>
        </w:tc>
      </w:tr>
      <w:tr w:rsidR="00830AF8" w:rsidRPr="00DB7D9A" w:rsidTr="007460A2">
        <w:trPr>
          <w:trHeight w:val="198"/>
          <w:jc w:val="center"/>
        </w:trPr>
        <w:tc>
          <w:tcPr>
            <w:tcW w:w="3830" w:type="dxa"/>
            <w:tcBorders>
              <w:top w:val="single" w:sz="4" w:space="0" w:color="auto"/>
              <w:left w:val="nil"/>
              <w:bottom w:val="single" w:sz="2" w:space="0" w:color="auto"/>
              <w:right w:val="nil"/>
            </w:tcBorders>
            <w:shd w:val="clear" w:color="auto" w:fill="auto"/>
            <w:noWrap/>
            <w:vAlign w:val="center"/>
            <w:hideMark/>
          </w:tcPr>
          <w:p w:rsidR="00830AF8" w:rsidRPr="00DB7D9A" w:rsidRDefault="007460A2" w:rsidP="007460A2">
            <w:pPr>
              <w:pStyle w:val="cuatexto"/>
              <w:jc w:val="left"/>
              <w:rPr>
                <w:szCs w:val="20"/>
                <w:lang w:val="es-ES" w:eastAsia="es-ES"/>
              </w:rPr>
            </w:pPr>
            <w:r>
              <w:rPr>
                <w:szCs w:val="20"/>
                <w:lang w:val="es-ES" w:eastAsia="es-ES"/>
              </w:rPr>
              <w:t>Premio P</w:t>
            </w:r>
            <w:r w:rsidR="006243CA" w:rsidRPr="00DB7D9A">
              <w:rPr>
                <w:szCs w:val="20"/>
                <w:lang w:val="es-ES" w:eastAsia="es-ES"/>
              </w:rPr>
              <w:t xml:space="preserve">ríncipe de </w:t>
            </w:r>
            <w:r>
              <w:rPr>
                <w:szCs w:val="20"/>
                <w:lang w:val="es-ES" w:eastAsia="es-ES"/>
              </w:rPr>
              <w:t>V</w:t>
            </w:r>
            <w:r w:rsidR="006243CA" w:rsidRPr="00DB7D9A">
              <w:rPr>
                <w:szCs w:val="20"/>
                <w:lang w:val="es-ES" w:eastAsia="es-ES"/>
              </w:rPr>
              <w:t>iana</w:t>
            </w:r>
          </w:p>
        </w:tc>
        <w:tc>
          <w:tcPr>
            <w:tcW w:w="110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40.000</w:t>
            </w:r>
          </w:p>
        </w:tc>
        <w:tc>
          <w:tcPr>
            <w:tcW w:w="995"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25.000</w:t>
            </w:r>
          </w:p>
        </w:tc>
        <w:tc>
          <w:tcPr>
            <w:tcW w:w="110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140.000</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lang w:val="es-ES" w:eastAsia="es-ES"/>
              </w:rPr>
            </w:pPr>
            <w:r w:rsidRPr="00DB7D9A">
              <w:rPr>
                <w:szCs w:val="20"/>
                <w:lang w:val="es-ES" w:eastAsia="es-ES"/>
              </w:rPr>
              <w:t>Varias</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246.020</w:t>
            </w: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132.107</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4.477</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43.000</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66.150</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491.754</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lang w:val="es-ES" w:eastAsia="es-ES"/>
              </w:rPr>
            </w:pPr>
            <w:r w:rsidRPr="00DB7D9A">
              <w:rPr>
                <w:szCs w:val="20"/>
                <w:lang w:val="es-ES" w:eastAsia="es-ES"/>
              </w:rPr>
              <w:t>Museos</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1.914.379</w:t>
            </w: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1.504.798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1.429.248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1.181.904</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1.054.550</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7.084.879</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lang w:val="es-ES" w:eastAsia="es-ES"/>
              </w:rPr>
            </w:pPr>
            <w:r w:rsidRPr="00DB7D9A">
              <w:rPr>
                <w:szCs w:val="20"/>
                <w:lang w:val="es-ES" w:eastAsia="es-ES"/>
              </w:rPr>
              <w:t>Sección de difusión artística</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1.265.418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2.399.665</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2.059.676</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1.400.882</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7.125.642</w:t>
            </w:r>
          </w:p>
        </w:tc>
      </w:tr>
      <w:tr w:rsidR="00830AF8" w:rsidRPr="00DB7D9A" w:rsidTr="007460A2">
        <w:trPr>
          <w:trHeight w:val="198"/>
          <w:jc w:val="center"/>
        </w:trPr>
        <w:tc>
          <w:tcPr>
            <w:tcW w:w="3830" w:type="dxa"/>
            <w:tcBorders>
              <w:top w:val="single" w:sz="2" w:space="0" w:color="auto"/>
              <w:left w:val="nil"/>
              <w:bottom w:val="single" w:sz="4" w:space="0" w:color="auto"/>
              <w:right w:val="nil"/>
            </w:tcBorders>
            <w:shd w:val="clear" w:color="auto" w:fill="auto"/>
            <w:noWrap/>
            <w:vAlign w:val="center"/>
            <w:hideMark/>
          </w:tcPr>
          <w:p w:rsidR="00830AF8" w:rsidRPr="00DB7D9A" w:rsidRDefault="006243CA" w:rsidP="00E630CA">
            <w:pPr>
              <w:pStyle w:val="cuatexto"/>
              <w:jc w:val="left"/>
              <w:rPr>
                <w:szCs w:val="20"/>
                <w:lang w:val="es-ES" w:eastAsia="es-ES"/>
              </w:rPr>
            </w:pPr>
            <w:r w:rsidRPr="00DB7D9A">
              <w:rPr>
                <w:szCs w:val="20"/>
                <w:lang w:val="es-ES" w:eastAsia="es-ES"/>
              </w:rPr>
              <w:t>Sección creación, producción y serv.art.</w:t>
            </w:r>
          </w:p>
        </w:tc>
        <w:tc>
          <w:tcPr>
            <w:tcW w:w="110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9.452.568</w:t>
            </w:r>
          </w:p>
        </w:tc>
        <w:tc>
          <w:tcPr>
            <w:tcW w:w="995"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7.050.787</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4.510.066</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5.144.744</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5.577.135</w:t>
            </w:r>
          </w:p>
        </w:tc>
        <w:tc>
          <w:tcPr>
            <w:tcW w:w="110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lang w:val="es-ES" w:eastAsia="es-ES"/>
              </w:rPr>
            </w:pPr>
            <w:r w:rsidRPr="00DB7D9A">
              <w:rPr>
                <w:szCs w:val="20"/>
                <w:lang w:val="es-ES" w:eastAsia="es-ES"/>
              </w:rPr>
              <w:t>31.735.299</w:t>
            </w:r>
          </w:p>
        </w:tc>
      </w:tr>
      <w:tr w:rsidR="00830AF8" w:rsidRPr="006243CA" w:rsidTr="007460A2">
        <w:trPr>
          <w:trHeight w:val="255"/>
          <w:jc w:val="center"/>
        </w:trPr>
        <w:tc>
          <w:tcPr>
            <w:tcW w:w="383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6243CA" w:rsidP="00E630CA">
            <w:pPr>
              <w:pStyle w:val="cuatexto"/>
              <w:jc w:val="left"/>
              <w:rPr>
                <w:rFonts w:ascii="Arial" w:hAnsi="Arial" w:cs="Arial"/>
                <w:sz w:val="18"/>
                <w:szCs w:val="18"/>
                <w:lang w:val="es-ES" w:eastAsia="es-ES"/>
              </w:rPr>
            </w:pPr>
            <w:r w:rsidRPr="006243CA">
              <w:rPr>
                <w:rFonts w:ascii="Arial" w:hAnsi="Arial" w:cs="Arial"/>
                <w:sz w:val="18"/>
                <w:szCs w:val="18"/>
                <w:lang w:val="es-ES" w:eastAsia="es-ES"/>
              </w:rPr>
              <w:t xml:space="preserve">Total 4 transferencias corrientes </w:t>
            </w:r>
          </w:p>
        </w:tc>
        <w:tc>
          <w:tcPr>
            <w:tcW w:w="1101"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11.652.967</w:t>
            </w:r>
          </w:p>
        </w:tc>
        <w:tc>
          <w:tcPr>
            <w:tcW w:w="995"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9.978.110</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8.368.456</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8.454.324</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8.123.717</w:t>
            </w:r>
          </w:p>
        </w:tc>
        <w:tc>
          <w:tcPr>
            <w:tcW w:w="1101"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lang w:val="es-ES" w:eastAsia="es-ES"/>
              </w:rPr>
            </w:pPr>
            <w:r w:rsidRPr="006243CA">
              <w:rPr>
                <w:rFonts w:ascii="Arial" w:hAnsi="Arial" w:cs="Arial"/>
                <w:sz w:val="18"/>
                <w:szCs w:val="18"/>
                <w:lang w:val="es-ES" w:eastAsia="es-ES"/>
              </w:rPr>
              <w:t>46.577.575</w:t>
            </w:r>
          </w:p>
        </w:tc>
      </w:tr>
    </w:tbl>
    <w:p w:rsidR="00DB7D9A" w:rsidRPr="007460A2" w:rsidRDefault="007460A2" w:rsidP="0034064E">
      <w:pPr>
        <w:pStyle w:val="texto"/>
        <w:shd w:val="clear" w:color="auto" w:fill="FFFFFF" w:themeFill="background1"/>
        <w:ind w:hanging="851"/>
        <w:rPr>
          <w:rFonts w:ascii="Arial" w:hAnsi="Arial" w:cs="Arial"/>
          <w:sz w:val="16"/>
          <w:szCs w:val="16"/>
          <w:lang w:val="es-ES" w:eastAsia="es-ES"/>
        </w:rPr>
      </w:pPr>
      <w:r w:rsidRPr="007460A2">
        <w:rPr>
          <w:rFonts w:ascii="Arial" w:hAnsi="Arial" w:cs="Arial"/>
          <w:sz w:val="16"/>
          <w:szCs w:val="16"/>
          <w:lang w:val="es-ES" w:eastAsia="es-ES"/>
        </w:rPr>
        <w:t>*Incluyendo suplemento de crédito de 2015</w:t>
      </w:r>
    </w:p>
    <w:p w:rsidR="0034064E" w:rsidRDefault="007460A2" w:rsidP="0034064E">
      <w:pPr>
        <w:pStyle w:val="texto"/>
        <w:spacing w:before="240" w:after="240"/>
      </w:pPr>
      <w:r w:rsidRPr="007460A2">
        <w:t>Las de la fundación Pablo Sarasate están incluidas en la sección de creación, producción y servicios artísticos.</w:t>
      </w:r>
    </w:p>
    <w:p w:rsidR="0034064E" w:rsidRDefault="0034064E">
      <w:pPr>
        <w:spacing w:after="0"/>
        <w:ind w:firstLine="0"/>
        <w:jc w:val="left"/>
        <w:rPr>
          <w:spacing w:val="6"/>
          <w:sz w:val="26"/>
          <w:szCs w:val="24"/>
        </w:rPr>
      </w:pPr>
      <w:r>
        <w:br w:type="page"/>
      </w:r>
    </w:p>
    <w:tbl>
      <w:tblPr>
        <w:tblW w:w="1062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22"/>
        <w:gridCol w:w="995"/>
        <w:gridCol w:w="995"/>
        <w:gridCol w:w="1242"/>
        <w:gridCol w:w="1134"/>
        <w:gridCol w:w="1234"/>
        <w:gridCol w:w="1101"/>
      </w:tblGrid>
      <w:tr w:rsidR="00C87ACA" w:rsidRPr="00E630CA" w:rsidTr="00B238DE">
        <w:trPr>
          <w:trHeight w:val="255"/>
          <w:jc w:val="center"/>
        </w:trPr>
        <w:tc>
          <w:tcPr>
            <w:tcW w:w="3922"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C87ACA">
            <w:pPr>
              <w:pStyle w:val="cuatexto"/>
              <w:jc w:val="left"/>
              <w:rPr>
                <w:rFonts w:ascii="Arial" w:hAnsi="Arial" w:cs="Arial"/>
                <w:sz w:val="18"/>
                <w:szCs w:val="18"/>
                <w:lang w:val="es-ES" w:eastAsia="es-ES"/>
              </w:rPr>
            </w:pPr>
            <w:r>
              <w:rPr>
                <w:rFonts w:ascii="Arial" w:hAnsi="Arial" w:cs="Arial"/>
                <w:sz w:val="18"/>
                <w:szCs w:val="18"/>
                <w:lang w:val="es-ES" w:eastAsia="es-ES"/>
              </w:rPr>
              <w:lastRenderedPageBreak/>
              <w:t>Subvenciones</w:t>
            </w:r>
            <w:r w:rsidRPr="00E630CA">
              <w:rPr>
                <w:rFonts w:ascii="Arial" w:hAnsi="Arial" w:cs="Arial"/>
                <w:sz w:val="18"/>
                <w:szCs w:val="18"/>
                <w:lang w:val="es-ES" w:eastAsia="es-ES"/>
              </w:rPr>
              <w:t xml:space="preserve"> </w:t>
            </w:r>
            <w:r>
              <w:rPr>
                <w:rFonts w:ascii="Arial" w:hAnsi="Arial" w:cs="Arial"/>
                <w:sz w:val="18"/>
                <w:szCs w:val="18"/>
                <w:lang w:val="es-ES" w:eastAsia="es-ES"/>
              </w:rPr>
              <w:t>a la Fundación</w:t>
            </w:r>
          </w:p>
        </w:tc>
        <w:tc>
          <w:tcPr>
            <w:tcW w:w="995"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lang w:val="es-ES" w:eastAsia="es-ES"/>
              </w:rPr>
            </w:pPr>
            <w:r w:rsidRPr="00E630CA">
              <w:rPr>
                <w:rFonts w:ascii="Arial" w:hAnsi="Arial" w:cs="Arial"/>
                <w:sz w:val="18"/>
                <w:szCs w:val="18"/>
                <w:lang w:val="es-ES" w:eastAsia="es-ES"/>
              </w:rPr>
              <w:t>2011</w:t>
            </w:r>
          </w:p>
        </w:tc>
        <w:tc>
          <w:tcPr>
            <w:tcW w:w="995"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lang w:val="es-ES" w:eastAsia="es-ES"/>
              </w:rPr>
            </w:pPr>
            <w:r w:rsidRPr="00E630CA">
              <w:rPr>
                <w:rFonts w:ascii="Arial" w:hAnsi="Arial" w:cs="Arial"/>
                <w:sz w:val="18"/>
                <w:szCs w:val="18"/>
                <w:lang w:val="es-ES" w:eastAsia="es-ES"/>
              </w:rPr>
              <w:t>2012</w:t>
            </w:r>
          </w:p>
        </w:tc>
        <w:tc>
          <w:tcPr>
            <w:tcW w:w="1242"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lang w:val="es-ES" w:eastAsia="es-ES"/>
              </w:rPr>
            </w:pPr>
            <w:r w:rsidRPr="00E630CA">
              <w:rPr>
                <w:rFonts w:ascii="Arial" w:hAnsi="Arial" w:cs="Arial"/>
                <w:sz w:val="18"/>
                <w:szCs w:val="18"/>
                <w:lang w:val="es-ES" w:eastAsia="es-ES"/>
              </w:rPr>
              <w:t>2013</w:t>
            </w:r>
          </w:p>
        </w:tc>
        <w:tc>
          <w:tcPr>
            <w:tcW w:w="1134"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lang w:val="es-ES" w:eastAsia="es-ES"/>
              </w:rPr>
            </w:pPr>
            <w:r w:rsidRPr="00E630CA">
              <w:rPr>
                <w:rFonts w:ascii="Arial" w:hAnsi="Arial" w:cs="Arial"/>
                <w:sz w:val="18"/>
                <w:szCs w:val="18"/>
                <w:lang w:val="es-ES" w:eastAsia="es-ES"/>
              </w:rPr>
              <w:t>2014</w:t>
            </w:r>
          </w:p>
        </w:tc>
        <w:tc>
          <w:tcPr>
            <w:tcW w:w="1234"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C87ACA">
            <w:pPr>
              <w:pStyle w:val="cuatexto"/>
              <w:jc w:val="right"/>
              <w:rPr>
                <w:rFonts w:ascii="Arial" w:hAnsi="Arial" w:cs="Arial"/>
                <w:sz w:val="18"/>
                <w:szCs w:val="18"/>
                <w:lang w:val="es-ES" w:eastAsia="es-ES"/>
              </w:rPr>
            </w:pPr>
            <w:r w:rsidRPr="00E630CA">
              <w:rPr>
                <w:rFonts w:ascii="Arial" w:hAnsi="Arial" w:cs="Arial"/>
                <w:sz w:val="18"/>
                <w:szCs w:val="18"/>
                <w:lang w:val="es-ES" w:eastAsia="es-ES"/>
              </w:rPr>
              <w:t>2015</w:t>
            </w:r>
          </w:p>
        </w:tc>
        <w:tc>
          <w:tcPr>
            <w:tcW w:w="1101"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lang w:val="es-ES" w:eastAsia="es-ES"/>
              </w:rPr>
            </w:pPr>
            <w:r w:rsidRPr="00E630CA">
              <w:rPr>
                <w:rFonts w:ascii="Arial" w:hAnsi="Arial" w:cs="Arial"/>
                <w:sz w:val="18"/>
                <w:szCs w:val="18"/>
                <w:lang w:val="es-ES" w:eastAsia="es-ES"/>
              </w:rPr>
              <w:t>Total</w:t>
            </w:r>
          </w:p>
        </w:tc>
      </w:tr>
      <w:tr w:rsidR="00830AF8" w:rsidRPr="00E630CA" w:rsidTr="007460A2">
        <w:trPr>
          <w:trHeight w:val="255"/>
          <w:jc w:val="center"/>
        </w:trPr>
        <w:tc>
          <w:tcPr>
            <w:tcW w:w="3922"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left"/>
              <w:rPr>
                <w:rFonts w:ascii="Arial" w:hAnsi="Arial" w:cs="Arial"/>
                <w:sz w:val="18"/>
                <w:szCs w:val="18"/>
                <w:lang w:val="es-ES" w:eastAsia="es-ES"/>
              </w:rPr>
            </w:pPr>
            <w:r w:rsidRPr="00E630CA">
              <w:rPr>
                <w:rFonts w:ascii="Arial" w:hAnsi="Arial" w:cs="Arial"/>
                <w:sz w:val="18"/>
                <w:szCs w:val="18"/>
                <w:lang w:val="es-ES" w:eastAsia="es-ES"/>
              </w:rPr>
              <w:t>Convenio con la Fundación Pablo Sarasate</w:t>
            </w:r>
          </w:p>
        </w:tc>
        <w:tc>
          <w:tcPr>
            <w:tcW w:w="995"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4.200.000</w:t>
            </w:r>
          </w:p>
        </w:tc>
        <w:tc>
          <w:tcPr>
            <w:tcW w:w="995"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3.500.000</w:t>
            </w:r>
          </w:p>
        </w:tc>
        <w:tc>
          <w:tcPr>
            <w:tcW w:w="1242"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1.650.000</w:t>
            </w:r>
          </w:p>
        </w:tc>
        <w:tc>
          <w:tcPr>
            <w:tcW w:w="1134"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2.551.696</w:t>
            </w:r>
          </w:p>
        </w:tc>
        <w:tc>
          <w:tcPr>
            <w:tcW w:w="1234"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3.956.100</w:t>
            </w:r>
          </w:p>
        </w:tc>
        <w:tc>
          <w:tcPr>
            <w:tcW w:w="1101"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lang w:val="es-ES" w:eastAsia="es-ES"/>
              </w:rPr>
            </w:pPr>
            <w:r w:rsidRPr="00E630CA">
              <w:rPr>
                <w:rFonts w:ascii="Arial" w:hAnsi="Arial" w:cs="Arial"/>
                <w:sz w:val="18"/>
                <w:szCs w:val="18"/>
                <w:lang w:val="es-ES" w:eastAsia="es-ES"/>
              </w:rPr>
              <w:t>15.857.796</w:t>
            </w:r>
          </w:p>
        </w:tc>
      </w:tr>
      <w:tr w:rsidR="00830AF8" w:rsidRPr="00E630CA" w:rsidTr="00E630CA">
        <w:trPr>
          <w:trHeight w:val="255"/>
          <w:jc w:val="center"/>
        </w:trPr>
        <w:tc>
          <w:tcPr>
            <w:tcW w:w="3922"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left"/>
              <w:rPr>
                <w:szCs w:val="20"/>
                <w:lang w:val="es-ES" w:eastAsia="es-ES"/>
              </w:rPr>
            </w:pPr>
            <w:r w:rsidRPr="00E630CA">
              <w:rPr>
                <w:szCs w:val="20"/>
                <w:lang w:val="es-ES" w:eastAsia="es-ES"/>
              </w:rPr>
              <w:t>% Subv FPS / Creación, producc y Serv Art.</w:t>
            </w:r>
          </w:p>
        </w:tc>
        <w:tc>
          <w:tcPr>
            <w:tcW w:w="995"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44%</w:t>
            </w:r>
          </w:p>
        </w:tc>
        <w:tc>
          <w:tcPr>
            <w:tcW w:w="995"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50%</w:t>
            </w:r>
          </w:p>
        </w:tc>
        <w:tc>
          <w:tcPr>
            <w:tcW w:w="1242"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37%</w:t>
            </w:r>
          </w:p>
        </w:tc>
        <w:tc>
          <w:tcPr>
            <w:tcW w:w="1134"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50%</w:t>
            </w:r>
          </w:p>
        </w:tc>
        <w:tc>
          <w:tcPr>
            <w:tcW w:w="1234"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71%</w:t>
            </w:r>
          </w:p>
        </w:tc>
        <w:tc>
          <w:tcPr>
            <w:tcW w:w="1101"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50%</w:t>
            </w:r>
          </w:p>
        </w:tc>
      </w:tr>
      <w:tr w:rsidR="00830AF8" w:rsidRPr="00E630CA" w:rsidTr="00E630CA">
        <w:trPr>
          <w:trHeight w:val="255"/>
          <w:jc w:val="center"/>
        </w:trPr>
        <w:tc>
          <w:tcPr>
            <w:tcW w:w="3922"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left"/>
              <w:rPr>
                <w:szCs w:val="20"/>
                <w:lang w:val="es-ES" w:eastAsia="es-ES"/>
              </w:rPr>
            </w:pPr>
            <w:r w:rsidRPr="00E630CA">
              <w:rPr>
                <w:szCs w:val="20"/>
                <w:lang w:val="es-ES" w:eastAsia="es-ES"/>
              </w:rPr>
              <w:t>% Subv FPS/ total cap 4</w:t>
            </w:r>
          </w:p>
        </w:tc>
        <w:tc>
          <w:tcPr>
            <w:tcW w:w="995"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36%</w:t>
            </w:r>
          </w:p>
        </w:tc>
        <w:tc>
          <w:tcPr>
            <w:tcW w:w="995"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35%</w:t>
            </w:r>
          </w:p>
        </w:tc>
        <w:tc>
          <w:tcPr>
            <w:tcW w:w="1242"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20%</w:t>
            </w:r>
          </w:p>
        </w:tc>
        <w:tc>
          <w:tcPr>
            <w:tcW w:w="1134"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30%</w:t>
            </w:r>
          </w:p>
        </w:tc>
        <w:tc>
          <w:tcPr>
            <w:tcW w:w="1234"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49%</w:t>
            </w:r>
          </w:p>
        </w:tc>
        <w:tc>
          <w:tcPr>
            <w:tcW w:w="1101"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lang w:val="es-ES" w:eastAsia="es-ES"/>
              </w:rPr>
            </w:pPr>
            <w:r w:rsidRPr="00E630CA">
              <w:rPr>
                <w:szCs w:val="20"/>
                <w:lang w:val="es-ES" w:eastAsia="es-ES"/>
              </w:rPr>
              <w:t>34%</w:t>
            </w:r>
          </w:p>
        </w:tc>
      </w:tr>
    </w:tbl>
    <w:p w:rsidR="00830AF8" w:rsidRPr="00D74DF9" w:rsidRDefault="00D74DF9" w:rsidP="00196ADA">
      <w:pPr>
        <w:pStyle w:val="texto"/>
        <w:spacing w:before="480"/>
      </w:pPr>
      <w:r w:rsidRPr="00D74DF9">
        <w:t xml:space="preserve">Como puede verse, las subvenciones a la </w:t>
      </w:r>
      <w:r w:rsidR="00527D67">
        <w:t>Fundación</w:t>
      </w:r>
      <w:r w:rsidRPr="00D74DF9">
        <w:t xml:space="preserve"> representan</w:t>
      </w:r>
      <w:r w:rsidR="00527D67">
        <w:t>, en el peri</w:t>
      </w:r>
      <w:r w:rsidR="00527D67">
        <w:t>o</w:t>
      </w:r>
      <w:r w:rsidR="00527D67">
        <w:t>do 2011-2015,</w:t>
      </w:r>
      <w:r w:rsidRPr="00D74DF9">
        <w:t xml:space="preserve"> la mitad de las dedicadas a la creación, producción y servicios artísticos y </w:t>
      </w:r>
      <w:r>
        <w:t>el 34 por ciento del total de las destinada</w:t>
      </w:r>
      <w:r w:rsidRPr="00D74DF9">
        <w:t>s a la acción cultural. Hay que destacar que en 2015 estos porcentajes son el 71 por</w:t>
      </w:r>
      <w:r>
        <w:t xml:space="preserve"> </w:t>
      </w:r>
      <w:r w:rsidRPr="00D74DF9">
        <w:t>ciento y el 49 por ciento</w:t>
      </w:r>
      <w:r w:rsidR="007460A2">
        <w:t>,</w:t>
      </w:r>
      <w:r w:rsidRPr="00D74DF9">
        <w:t xml:space="preserve"> respectivamente</w:t>
      </w:r>
      <w:r w:rsidR="0014525D">
        <w:t>.</w:t>
      </w:r>
    </w:p>
    <w:p w:rsidR="00C039A0" w:rsidRDefault="00C039A0" w:rsidP="003E5304">
      <w:pPr>
        <w:spacing w:after="0"/>
        <w:ind w:firstLine="0"/>
        <w:jc w:val="left"/>
      </w:pPr>
    </w:p>
    <w:p w:rsidR="003E5304" w:rsidRPr="00D74DF9" w:rsidRDefault="003E5304" w:rsidP="003E5304">
      <w:pPr>
        <w:spacing w:after="0"/>
        <w:ind w:firstLine="0"/>
        <w:jc w:val="left"/>
        <w:rPr>
          <w:spacing w:val="6"/>
          <w:sz w:val="26"/>
          <w:szCs w:val="24"/>
        </w:rPr>
      </w:pPr>
      <w:r w:rsidRPr="00D74DF9">
        <w:br w:type="page"/>
      </w:r>
    </w:p>
    <w:p w:rsidR="003E5304" w:rsidRPr="006E2C2C" w:rsidRDefault="003E5304" w:rsidP="003E5304">
      <w:pPr>
        <w:pStyle w:val="atitulo1"/>
      </w:pPr>
      <w:bookmarkStart w:id="12" w:name="_Toc436040573"/>
      <w:bookmarkStart w:id="13" w:name="_Toc440370825"/>
      <w:r>
        <w:lastRenderedPageBreak/>
        <w:t xml:space="preserve">III. </w:t>
      </w:r>
      <w:r w:rsidR="00031723">
        <w:t>Objetivo, alcance y l</w:t>
      </w:r>
      <w:r>
        <w:t>imitaciones</w:t>
      </w:r>
      <w:bookmarkEnd w:id="12"/>
      <w:bookmarkEnd w:id="13"/>
    </w:p>
    <w:p w:rsidR="003E5304" w:rsidRDefault="003E5304" w:rsidP="003E5304">
      <w:pPr>
        <w:pStyle w:val="texto"/>
      </w:pPr>
      <w:r>
        <w:t>Constituye el objetivo de este informe dar respuesta a la petición recibida y en concreto:</w:t>
      </w:r>
    </w:p>
    <w:p w:rsidR="003E5304" w:rsidRDefault="003E5304" w:rsidP="0034064E">
      <w:pPr>
        <w:pStyle w:val="texto"/>
        <w:numPr>
          <w:ilvl w:val="0"/>
          <w:numId w:val="12"/>
        </w:numPr>
        <w:tabs>
          <w:tab w:val="clear" w:pos="2835"/>
          <w:tab w:val="center" w:pos="567"/>
        </w:tabs>
        <w:spacing w:after="120"/>
        <w:ind w:left="0" w:firstLine="284"/>
      </w:pPr>
      <w:r>
        <w:t>Contrastar la existencia de acuerdos en las actas de las instituciones sobre</w:t>
      </w:r>
      <w:r w:rsidR="0034064E">
        <w:t xml:space="preserve">: </w:t>
      </w:r>
      <w:r>
        <w:t>Reparto de funciones entre ambas entida</w:t>
      </w:r>
      <w:r w:rsidR="0034064E">
        <w:t xml:space="preserve">des, Gestión de la orquesta y </w:t>
      </w:r>
      <w:r>
        <w:t>Gestión financiera</w:t>
      </w:r>
      <w:r w:rsidR="0034064E">
        <w:t>,</w:t>
      </w:r>
      <w:r>
        <w:t xml:space="preserve"> etc.</w:t>
      </w:r>
    </w:p>
    <w:p w:rsidR="003E5304" w:rsidRDefault="003E5304" w:rsidP="00120448">
      <w:pPr>
        <w:pStyle w:val="texto"/>
        <w:numPr>
          <w:ilvl w:val="0"/>
          <w:numId w:val="12"/>
        </w:numPr>
        <w:tabs>
          <w:tab w:val="clear" w:pos="2835"/>
          <w:tab w:val="center" w:pos="567"/>
        </w:tabs>
        <w:spacing w:after="120"/>
        <w:ind w:left="0" w:firstLine="284"/>
      </w:pPr>
      <w:r>
        <w:t xml:space="preserve">Verificar el destino de </w:t>
      </w:r>
      <w:r w:rsidR="00A65C69">
        <w:t>los</w:t>
      </w:r>
      <w:r>
        <w:t xml:space="preserve"> fondos</w:t>
      </w:r>
      <w:r w:rsidR="00A65C69">
        <w:t xml:space="preserve"> generados por </w:t>
      </w:r>
      <w:r w:rsidR="00196ADA">
        <w:t>las relaciones cruzadas</w:t>
      </w:r>
      <w:r w:rsidR="00A65C69">
        <w:t xml:space="preserve"> entre la Sociedad de Conciertos y la Fundación.</w:t>
      </w:r>
    </w:p>
    <w:p w:rsidR="003E5304" w:rsidRDefault="003E5304" w:rsidP="00120448">
      <w:pPr>
        <w:pStyle w:val="texto"/>
        <w:numPr>
          <w:ilvl w:val="0"/>
          <w:numId w:val="12"/>
        </w:numPr>
        <w:tabs>
          <w:tab w:val="clear" w:pos="2835"/>
          <w:tab w:val="center" w:pos="567"/>
        </w:tabs>
        <w:spacing w:after="120"/>
        <w:ind w:left="0" w:firstLine="284"/>
      </w:pPr>
      <w:r>
        <w:t>Analizar los soportes que justifican el destino de los fondos.</w:t>
      </w:r>
    </w:p>
    <w:p w:rsidR="003E5304" w:rsidRDefault="003E5304" w:rsidP="00120448">
      <w:pPr>
        <w:pStyle w:val="texto"/>
        <w:numPr>
          <w:ilvl w:val="0"/>
          <w:numId w:val="12"/>
        </w:numPr>
        <w:tabs>
          <w:tab w:val="clear" w:pos="2835"/>
          <w:tab w:val="center" w:pos="567"/>
        </w:tabs>
        <w:spacing w:after="120"/>
        <w:ind w:left="0" w:firstLine="284"/>
      </w:pPr>
      <w:r>
        <w:t>Cotejar los saldos Sociedad-Fundación en las contabilidades de ambas e</w:t>
      </w:r>
      <w:r>
        <w:t>n</w:t>
      </w:r>
      <w:r>
        <w:t>tidades.</w:t>
      </w:r>
    </w:p>
    <w:p w:rsidR="003E5304" w:rsidRDefault="003E5304" w:rsidP="00120448">
      <w:pPr>
        <w:pStyle w:val="texto"/>
        <w:numPr>
          <w:ilvl w:val="0"/>
          <w:numId w:val="12"/>
        </w:numPr>
        <w:tabs>
          <w:tab w:val="clear" w:pos="2835"/>
          <w:tab w:val="center" w:pos="567"/>
        </w:tabs>
        <w:spacing w:after="120"/>
        <w:ind w:left="0" w:firstLine="284"/>
      </w:pPr>
      <w:r>
        <w:t>Proponer las medidas necesarias para una adecuada gestión de los fondos públicos dedicados a la promoción musical.</w:t>
      </w:r>
    </w:p>
    <w:p w:rsidR="00A65C69" w:rsidRDefault="00A65C69" w:rsidP="003E5304">
      <w:pPr>
        <w:pStyle w:val="texto"/>
      </w:pPr>
      <w:r>
        <w:t>No es objeto de este trabajo analizar las subvenciones concedidas por el G</w:t>
      </w:r>
      <w:r>
        <w:t>o</w:t>
      </w:r>
      <w:r>
        <w:t>bierno de Navarra a la Fundación ni su justificación</w:t>
      </w:r>
    </w:p>
    <w:p w:rsidR="003E5304" w:rsidRDefault="003E5304" w:rsidP="003E5304">
      <w:pPr>
        <w:pStyle w:val="texto"/>
      </w:pPr>
      <w:r>
        <w:t xml:space="preserve">Para realizar el trabajo se ha analizado, básicamente, el </w:t>
      </w:r>
      <w:r w:rsidR="00A65C69">
        <w:t>informe</w:t>
      </w:r>
      <w:r>
        <w:t xml:space="preserve"> de revisión limitada de septiembre de 2015</w:t>
      </w:r>
      <w:r w:rsidR="00C76841">
        <w:t>, los diarios contables de las dos entidades de 2006</w:t>
      </w:r>
      <w:r>
        <w:t xml:space="preserve"> a 2014, la auditoría correspondiente al ejercicio 2014 de la Fundación y las actas de ambas entidades del periodo 200</w:t>
      </w:r>
      <w:r w:rsidR="00120448">
        <w:t>6</w:t>
      </w:r>
      <w:r>
        <w:t>-2015.</w:t>
      </w:r>
    </w:p>
    <w:p w:rsidR="003E5304" w:rsidRDefault="003E5304" w:rsidP="003E5304">
      <w:pPr>
        <w:pStyle w:val="texto"/>
      </w:pPr>
      <w:r>
        <w:t>Asimismo</w:t>
      </w:r>
      <w:r w:rsidR="000637EE">
        <w:t>,</w:t>
      </w:r>
      <w:r>
        <w:t xml:space="preserve"> se mantuvo una reunión con los miembros de la Junta directiva de la </w:t>
      </w:r>
      <w:r w:rsidRPr="006E2C2C">
        <w:t>Sociedad de Conciertos Santa Ceci</w:t>
      </w:r>
      <w:r>
        <w:t>lia.</w:t>
      </w:r>
    </w:p>
    <w:p w:rsidR="003E5304" w:rsidRDefault="003E5304" w:rsidP="003E5304">
      <w:pPr>
        <w:pStyle w:val="texto"/>
      </w:pPr>
      <w:r>
        <w:t xml:space="preserve">Sin constituir una limitación propiamente dicha, queremos dejar constancia </w:t>
      </w:r>
      <w:r w:rsidR="00120448">
        <w:t xml:space="preserve">de </w:t>
      </w:r>
      <w:r>
        <w:t>que la escasa regulac</w:t>
      </w:r>
      <w:r w:rsidR="00336E08">
        <w:t>ión de las relaciones entre la Sociedad y la F</w:t>
      </w:r>
      <w:r>
        <w:t>undación incide de manera sustancial en determinados aspectos del trabajo.</w:t>
      </w:r>
    </w:p>
    <w:p w:rsidR="003E5304" w:rsidRDefault="003E5304" w:rsidP="003E5304">
      <w:pPr>
        <w:pStyle w:val="texto"/>
      </w:pPr>
      <w:r>
        <w:t>El trabajo se ha ejecutado de acuerdo con los principios y normas de audit</w:t>
      </w:r>
      <w:r>
        <w:t>o</w:t>
      </w:r>
      <w:r>
        <w:t>ría del sector público aprobados por la Comisión de Coordinación de los Órg</w:t>
      </w:r>
      <w:r>
        <w:t>a</w:t>
      </w:r>
      <w:r>
        <w:t xml:space="preserve">nos Públicos de Control Externo del Estado Español y desarrollados por esta Cámara de Comptos en su manual de fiscalización, aplicándose las ISSAI-ES correspondientes y habiendo incluido los procedimientos </w:t>
      </w:r>
      <w:r w:rsidR="00120448">
        <w:t xml:space="preserve">técnicos necesarios de acuerdo con las circunstancias </w:t>
      </w:r>
      <w:r>
        <w:t>y el objetivo del trabajo.</w:t>
      </w:r>
    </w:p>
    <w:p w:rsidR="003E5304" w:rsidRDefault="003E5304" w:rsidP="003E5304">
      <w:pPr>
        <w:spacing w:after="0"/>
        <w:ind w:firstLine="0"/>
        <w:jc w:val="left"/>
        <w:rPr>
          <w:spacing w:val="6"/>
          <w:sz w:val="26"/>
          <w:szCs w:val="24"/>
        </w:rPr>
      </w:pPr>
      <w:r>
        <w:br w:type="page"/>
      </w:r>
    </w:p>
    <w:p w:rsidR="003E5304" w:rsidRDefault="003E5304" w:rsidP="003E5304">
      <w:pPr>
        <w:pStyle w:val="atitulo1"/>
      </w:pPr>
      <w:bookmarkStart w:id="14" w:name="_Toc436040574"/>
      <w:bookmarkStart w:id="15" w:name="_Toc440370826"/>
      <w:r>
        <w:lastRenderedPageBreak/>
        <w:t>IV. Conclusiones y recomendaciones generales</w:t>
      </w:r>
      <w:bookmarkEnd w:id="14"/>
      <w:bookmarkEnd w:id="15"/>
    </w:p>
    <w:p w:rsidR="003E5304" w:rsidRDefault="003E5304" w:rsidP="003E5304">
      <w:pPr>
        <w:pStyle w:val="texto"/>
      </w:pPr>
      <w:r>
        <w:t>Nos encontramos ante dos entidades, la Sociedad de Conciertos Santa Cec</w:t>
      </w:r>
      <w:r>
        <w:t>i</w:t>
      </w:r>
      <w:r>
        <w:t xml:space="preserve">lia y la Fundación Pablo </w:t>
      </w:r>
      <w:proofErr w:type="spellStart"/>
      <w:r>
        <w:t>Sarasate</w:t>
      </w:r>
      <w:proofErr w:type="spellEnd"/>
      <w:r w:rsidR="000637EE">
        <w:t xml:space="preserve">, </w:t>
      </w:r>
      <w:r>
        <w:t xml:space="preserve">con fines </w:t>
      </w:r>
      <w:r w:rsidR="00622F1D">
        <w:t>similares</w:t>
      </w:r>
      <w:r>
        <w:t xml:space="preserve"> y cuya principal acción es la gestión de la Orquesta Sinfónica de Navarra-Pablo Sara</w:t>
      </w:r>
      <w:r w:rsidR="00C76841">
        <w:t>sate</w:t>
      </w:r>
      <w:r>
        <w:t xml:space="preserve">, que no han </w:t>
      </w:r>
      <w:r w:rsidR="00A65C69">
        <w:t>delimitado</w:t>
      </w:r>
      <w:r>
        <w:t xml:space="preserve"> ni regulado sus </w:t>
      </w:r>
      <w:r w:rsidR="00A65C69">
        <w:t>relaciones</w:t>
      </w:r>
      <w:r>
        <w:t xml:space="preserve"> y normas de actuación, lo que hace que en la práctica se mezclen y confundan.</w:t>
      </w:r>
    </w:p>
    <w:p w:rsidR="00A65C69" w:rsidRDefault="003E5304" w:rsidP="003E5304">
      <w:pPr>
        <w:pStyle w:val="texto"/>
      </w:pPr>
      <w:r>
        <w:t xml:space="preserve">Esta forma de </w:t>
      </w:r>
      <w:r w:rsidR="00140412">
        <w:t>trabajar</w:t>
      </w:r>
      <w:r w:rsidR="00336E08">
        <w:t xml:space="preserve"> ha </w:t>
      </w:r>
      <w:r w:rsidR="00280336">
        <w:t>permitido</w:t>
      </w:r>
      <w:r w:rsidR="00336E08">
        <w:t xml:space="preserve"> que la S</w:t>
      </w:r>
      <w:r>
        <w:t xml:space="preserve">ociedad </w:t>
      </w:r>
      <w:r w:rsidR="00A65C69">
        <w:t xml:space="preserve">no </w:t>
      </w:r>
      <w:r>
        <w:t xml:space="preserve">haya </w:t>
      </w:r>
      <w:r w:rsidR="00A65C69">
        <w:t>transferido la totalidad</w:t>
      </w:r>
      <w:r>
        <w:t xml:space="preserve"> de los ingresos por abonos y entradas</w:t>
      </w:r>
      <w:r w:rsidR="00A65C69">
        <w:t xml:space="preserve"> y algunas facturas cobradas por la sociedad y que correspondían a la Fundación. Su importe asciende a 454.583 euros.</w:t>
      </w:r>
    </w:p>
    <w:p w:rsidR="00A65C69" w:rsidRDefault="00A65C69" w:rsidP="00EE275F">
      <w:pPr>
        <w:pStyle w:val="texto"/>
        <w:spacing w:after="240"/>
      </w:pPr>
      <w:r>
        <w:t xml:space="preserve">Con estos fondos no transferidos ha realizado los siguientes pagos: </w:t>
      </w:r>
    </w:p>
    <w:tbl>
      <w:tblPr>
        <w:tblStyle w:val="Tablaconcuadrcula"/>
        <w:tblW w:w="0" w:type="auto"/>
        <w:jc w:val="center"/>
        <w:tblInd w:w="-340" w:type="dxa"/>
        <w:tblBorders>
          <w:left w:val="none" w:sz="0" w:space="0" w:color="auto"/>
          <w:right w:val="none" w:sz="0" w:space="0" w:color="auto"/>
          <w:insideV w:val="none" w:sz="0" w:space="0" w:color="auto"/>
        </w:tblBorders>
        <w:tblLook w:val="04A0" w:firstRow="1" w:lastRow="0" w:firstColumn="1" w:lastColumn="0" w:noHBand="0" w:noVBand="1"/>
      </w:tblPr>
      <w:tblGrid>
        <w:gridCol w:w="7252"/>
        <w:gridCol w:w="1617"/>
      </w:tblGrid>
      <w:tr w:rsidR="00A65C69" w:rsidTr="00000C41">
        <w:trPr>
          <w:trHeight w:val="198"/>
          <w:jc w:val="center"/>
        </w:trPr>
        <w:tc>
          <w:tcPr>
            <w:tcW w:w="7252" w:type="dxa"/>
            <w:tcBorders>
              <w:top w:val="single" w:sz="4" w:space="0" w:color="auto"/>
              <w:bottom w:val="single" w:sz="2" w:space="0" w:color="auto"/>
            </w:tcBorders>
            <w:vAlign w:val="center"/>
          </w:tcPr>
          <w:p w:rsidR="00A65C69" w:rsidRDefault="00A65C69" w:rsidP="00000C41">
            <w:pPr>
              <w:pStyle w:val="cuatexto"/>
              <w:jc w:val="left"/>
            </w:pPr>
            <w:r>
              <w:t>Donativos UNICEF</w:t>
            </w:r>
          </w:p>
        </w:tc>
        <w:tc>
          <w:tcPr>
            <w:tcW w:w="1617" w:type="dxa"/>
            <w:tcBorders>
              <w:top w:val="single" w:sz="4" w:space="0" w:color="auto"/>
              <w:bottom w:val="single" w:sz="2" w:space="0" w:color="auto"/>
            </w:tcBorders>
            <w:vAlign w:val="center"/>
          </w:tcPr>
          <w:p w:rsidR="00A65C69" w:rsidRDefault="00A65C69" w:rsidP="00000C41">
            <w:pPr>
              <w:pStyle w:val="cuatexto"/>
              <w:jc w:val="right"/>
            </w:pPr>
            <w:r>
              <w:t>129.148</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Gerencia y gestión</w:t>
            </w:r>
          </w:p>
        </w:tc>
        <w:tc>
          <w:tcPr>
            <w:tcW w:w="1617" w:type="dxa"/>
            <w:tcBorders>
              <w:top w:val="single" w:sz="2" w:space="0" w:color="auto"/>
              <w:bottom w:val="single" w:sz="2" w:space="0" w:color="auto"/>
            </w:tcBorders>
            <w:vAlign w:val="center"/>
          </w:tcPr>
          <w:p w:rsidR="00A65C69" w:rsidRDefault="00A65C69" w:rsidP="00000C41">
            <w:pPr>
              <w:pStyle w:val="cuatexto"/>
              <w:jc w:val="right"/>
            </w:pPr>
            <w:r>
              <w:t>92.777</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Gastos varios</w:t>
            </w:r>
            <w:r w:rsidR="00BA027B">
              <w:t>*</w:t>
            </w:r>
          </w:p>
        </w:tc>
        <w:tc>
          <w:tcPr>
            <w:tcW w:w="1617" w:type="dxa"/>
            <w:tcBorders>
              <w:top w:val="single" w:sz="2" w:space="0" w:color="auto"/>
              <w:bottom w:val="single" w:sz="2" w:space="0" w:color="auto"/>
            </w:tcBorders>
            <w:vAlign w:val="center"/>
          </w:tcPr>
          <w:p w:rsidR="00A65C69" w:rsidRDefault="00A65C69" w:rsidP="00000C41">
            <w:pPr>
              <w:pStyle w:val="cuatexto"/>
              <w:jc w:val="right"/>
            </w:pPr>
            <w:r>
              <w:t>49.409</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Arrendamientos</w:t>
            </w:r>
          </w:p>
        </w:tc>
        <w:tc>
          <w:tcPr>
            <w:tcW w:w="1617" w:type="dxa"/>
            <w:tcBorders>
              <w:top w:val="single" w:sz="2" w:space="0" w:color="auto"/>
              <w:bottom w:val="single" w:sz="2" w:space="0" w:color="auto"/>
            </w:tcBorders>
            <w:vAlign w:val="center"/>
          </w:tcPr>
          <w:p w:rsidR="00A65C69" w:rsidRDefault="00A65C69" w:rsidP="00000C41">
            <w:pPr>
              <w:pStyle w:val="cuatexto"/>
              <w:jc w:val="right"/>
            </w:pPr>
            <w:r>
              <w:t>17.873</w:t>
            </w:r>
          </w:p>
        </w:tc>
      </w:tr>
      <w:tr w:rsidR="00A65C69" w:rsidTr="00196ADA">
        <w:trPr>
          <w:trHeight w:val="198"/>
          <w:jc w:val="center"/>
        </w:trPr>
        <w:tc>
          <w:tcPr>
            <w:tcW w:w="7252" w:type="dxa"/>
            <w:tcBorders>
              <w:top w:val="single" w:sz="2" w:space="0" w:color="auto"/>
              <w:bottom w:val="single" w:sz="4" w:space="0" w:color="auto"/>
            </w:tcBorders>
            <w:vAlign w:val="center"/>
          </w:tcPr>
          <w:p w:rsidR="00A65C69" w:rsidRDefault="00A65C69" w:rsidP="00A65C69">
            <w:pPr>
              <w:pStyle w:val="cuatexto"/>
              <w:jc w:val="left"/>
            </w:pPr>
            <w:r>
              <w:t>Gastos bancarios</w:t>
            </w:r>
          </w:p>
        </w:tc>
        <w:tc>
          <w:tcPr>
            <w:tcW w:w="1617" w:type="dxa"/>
            <w:tcBorders>
              <w:top w:val="single" w:sz="2" w:space="0" w:color="auto"/>
              <w:bottom w:val="single" w:sz="4" w:space="0" w:color="auto"/>
            </w:tcBorders>
            <w:vAlign w:val="center"/>
          </w:tcPr>
          <w:p w:rsidR="00A65C69" w:rsidRDefault="00A65C69" w:rsidP="00000C41">
            <w:pPr>
              <w:pStyle w:val="cuatexto"/>
              <w:jc w:val="right"/>
            </w:pPr>
            <w:r>
              <w:t>2.671</w:t>
            </w:r>
          </w:p>
        </w:tc>
      </w:tr>
      <w:tr w:rsidR="00A65C69" w:rsidRPr="004B0A3B" w:rsidTr="00196ADA">
        <w:trPr>
          <w:trHeight w:val="198"/>
          <w:jc w:val="center"/>
        </w:trPr>
        <w:tc>
          <w:tcPr>
            <w:tcW w:w="7252" w:type="dxa"/>
            <w:tcBorders>
              <w:top w:val="single" w:sz="4" w:space="0" w:color="auto"/>
              <w:bottom w:val="single" w:sz="4" w:space="0" w:color="auto"/>
            </w:tcBorders>
            <w:vAlign w:val="center"/>
          </w:tcPr>
          <w:p w:rsidR="00A65C69" w:rsidRPr="004B0A3B" w:rsidRDefault="00A65C69" w:rsidP="00000C41">
            <w:pPr>
              <w:pStyle w:val="cuatexto"/>
              <w:jc w:val="left"/>
              <w:rPr>
                <w:rFonts w:ascii="Arial" w:hAnsi="Arial" w:cs="Arial"/>
                <w:i/>
                <w:sz w:val="18"/>
                <w:szCs w:val="18"/>
              </w:rPr>
            </w:pPr>
            <w:r w:rsidRPr="004B0A3B">
              <w:rPr>
                <w:rFonts w:ascii="Arial" w:hAnsi="Arial" w:cs="Arial"/>
                <w:i/>
                <w:sz w:val="18"/>
                <w:szCs w:val="18"/>
              </w:rPr>
              <w:t>Subtotal</w:t>
            </w:r>
          </w:p>
        </w:tc>
        <w:tc>
          <w:tcPr>
            <w:tcW w:w="1617" w:type="dxa"/>
            <w:tcBorders>
              <w:top w:val="single" w:sz="4" w:space="0" w:color="auto"/>
              <w:bottom w:val="single" w:sz="4" w:space="0" w:color="auto"/>
            </w:tcBorders>
            <w:vAlign w:val="center"/>
          </w:tcPr>
          <w:p w:rsidR="00A65C69" w:rsidRPr="004B0A3B" w:rsidRDefault="00A65C69" w:rsidP="00000C41">
            <w:pPr>
              <w:pStyle w:val="cuatexto"/>
              <w:jc w:val="right"/>
              <w:rPr>
                <w:rFonts w:ascii="Arial" w:hAnsi="Arial" w:cs="Arial"/>
                <w:i/>
                <w:sz w:val="18"/>
                <w:szCs w:val="18"/>
              </w:rPr>
            </w:pPr>
            <w:r w:rsidRPr="004B0A3B">
              <w:rPr>
                <w:rFonts w:ascii="Arial" w:hAnsi="Arial" w:cs="Arial"/>
                <w:i/>
                <w:sz w:val="18"/>
                <w:szCs w:val="18"/>
              </w:rPr>
              <w:t>291.878</w:t>
            </w:r>
          </w:p>
        </w:tc>
      </w:tr>
      <w:tr w:rsidR="00A65C69" w:rsidTr="00196ADA">
        <w:trPr>
          <w:trHeight w:val="198"/>
          <w:jc w:val="center"/>
        </w:trPr>
        <w:tc>
          <w:tcPr>
            <w:tcW w:w="7252" w:type="dxa"/>
            <w:tcBorders>
              <w:top w:val="single" w:sz="4" w:space="0" w:color="auto"/>
              <w:bottom w:val="single" w:sz="4" w:space="0" w:color="auto"/>
            </w:tcBorders>
            <w:vAlign w:val="center"/>
          </w:tcPr>
          <w:p w:rsidR="00A65C69" w:rsidRDefault="00A65C69" w:rsidP="00000C41">
            <w:pPr>
              <w:pStyle w:val="cuatexto"/>
              <w:jc w:val="left"/>
            </w:pPr>
            <w:r>
              <w:t>Subvención a la FPS para el fomento de una academia orquestal de jóvenes músicos</w:t>
            </w:r>
          </w:p>
        </w:tc>
        <w:tc>
          <w:tcPr>
            <w:tcW w:w="1617" w:type="dxa"/>
            <w:tcBorders>
              <w:top w:val="single" w:sz="4" w:space="0" w:color="auto"/>
              <w:bottom w:val="single" w:sz="4" w:space="0" w:color="auto"/>
            </w:tcBorders>
            <w:vAlign w:val="center"/>
          </w:tcPr>
          <w:p w:rsidR="00A65C69" w:rsidRDefault="00A65C69" w:rsidP="00000C41">
            <w:pPr>
              <w:pStyle w:val="cuatexto"/>
              <w:jc w:val="right"/>
            </w:pPr>
            <w:r>
              <w:t>400.000</w:t>
            </w:r>
          </w:p>
        </w:tc>
      </w:tr>
      <w:tr w:rsidR="00A65C69" w:rsidRPr="00041365" w:rsidTr="00000C41">
        <w:trPr>
          <w:trHeight w:val="255"/>
          <w:jc w:val="center"/>
        </w:trPr>
        <w:tc>
          <w:tcPr>
            <w:tcW w:w="7252" w:type="dxa"/>
            <w:tcBorders>
              <w:top w:val="single" w:sz="4" w:space="0" w:color="auto"/>
              <w:bottom w:val="single" w:sz="4" w:space="0" w:color="auto"/>
            </w:tcBorders>
            <w:shd w:val="clear" w:color="auto" w:fill="8DB3E2" w:themeFill="text2" w:themeFillTint="66"/>
            <w:vAlign w:val="center"/>
          </w:tcPr>
          <w:p w:rsidR="00A65C69" w:rsidRPr="00041365" w:rsidRDefault="00A65C69" w:rsidP="00000C41">
            <w:pPr>
              <w:pStyle w:val="cuatexto"/>
              <w:jc w:val="left"/>
              <w:rPr>
                <w:rFonts w:ascii="Arial" w:hAnsi="Arial" w:cs="Arial"/>
                <w:sz w:val="18"/>
                <w:szCs w:val="18"/>
              </w:rPr>
            </w:pPr>
            <w:r w:rsidRPr="00041365">
              <w:rPr>
                <w:rFonts w:ascii="Arial" w:hAnsi="Arial" w:cs="Arial"/>
                <w:sz w:val="18"/>
                <w:szCs w:val="18"/>
              </w:rPr>
              <w:t>Total</w:t>
            </w:r>
          </w:p>
        </w:tc>
        <w:tc>
          <w:tcPr>
            <w:tcW w:w="1617" w:type="dxa"/>
            <w:tcBorders>
              <w:top w:val="single" w:sz="4" w:space="0" w:color="auto"/>
              <w:bottom w:val="single" w:sz="4" w:space="0" w:color="auto"/>
            </w:tcBorders>
            <w:shd w:val="clear" w:color="auto" w:fill="8DB3E2" w:themeFill="text2" w:themeFillTint="66"/>
            <w:vAlign w:val="center"/>
          </w:tcPr>
          <w:p w:rsidR="00A65C69" w:rsidRPr="00041365" w:rsidRDefault="00A65C69" w:rsidP="00000C41">
            <w:pPr>
              <w:pStyle w:val="cuatexto"/>
              <w:jc w:val="right"/>
              <w:rPr>
                <w:rFonts w:ascii="Arial" w:hAnsi="Arial" w:cs="Arial"/>
                <w:sz w:val="18"/>
                <w:szCs w:val="18"/>
              </w:rPr>
            </w:pPr>
            <w:r w:rsidRPr="00041365">
              <w:rPr>
                <w:rFonts w:ascii="Arial" w:hAnsi="Arial" w:cs="Arial"/>
                <w:sz w:val="18"/>
                <w:szCs w:val="18"/>
              </w:rPr>
              <w:t>691.878</w:t>
            </w:r>
          </w:p>
        </w:tc>
      </w:tr>
    </w:tbl>
    <w:p w:rsidR="00A65C69" w:rsidRPr="00BA027B" w:rsidRDefault="00BA027B" w:rsidP="003E5304">
      <w:pPr>
        <w:pStyle w:val="texto"/>
        <w:rPr>
          <w:sz w:val="18"/>
          <w:szCs w:val="18"/>
        </w:rPr>
      </w:pPr>
      <w:r w:rsidRPr="00BA027B">
        <w:rPr>
          <w:sz w:val="18"/>
          <w:szCs w:val="18"/>
        </w:rPr>
        <w:t>* El pago se realizó desde una cuenta de la Fundación, pero el gasto se imputó a la Sociedad.</w:t>
      </w:r>
    </w:p>
    <w:p w:rsidR="00BC0324" w:rsidRDefault="00BC0324" w:rsidP="003E5304">
      <w:pPr>
        <w:pStyle w:val="texto"/>
      </w:pPr>
      <w:r>
        <w:t xml:space="preserve">En relación con los donativos a UNICEF debemos señalar que es una extraña </w:t>
      </w:r>
      <w:r w:rsidR="00796DB1">
        <w:t>operación,</w:t>
      </w:r>
      <w:r>
        <w:t xml:space="preserve"> ya que por un lado la Fundación cobra a UNICEF por el concierto que se celebra a su b</w:t>
      </w:r>
      <w:r w:rsidR="00796DB1">
        <w:t>eneficio y, por otra parte, la S</w:t>
      </w:r>
      <w:r>
        <w:t>ociedad concede un donativo por un importe aproximado. En el año 2014 ya no se ha efectuado el donativo.</w:t>
      </w:r>
    </w:p>
    <w:p w:rsidR="00A65C69" w:rsidRDefault="00A65C69" w:rsidP="003E5304">
      <w:pPr>
        <w:pStyle w:val="texto"/>
      </w:pPr>
    </w:p>
    <w:p w:rsidR="00BC0324" w:rsidRPr="002B2282" w:rsidRDefault="00BC0324" w:rsidP="003E5304">
      <w:pPr>
        <w:pStyle w:val="texto"/>
        <w:rPr>
          <w:sz w:val="20"/>
          <w:szCs w:val="20"/>
        </w:rPr>
      </w:pPr>
      <w:r>
        <w:t>En relación con los pagos de “Gerencia y gestión”, la Junta Directiva de la Sociedad nos ha indicado que con fecha 23 de abril de 2012 dieron</w:t>
      </w:r>
      <w:r w:rsidRPr="002B2282">
        <w:rPr>
          <w:sz w:val="20"/>
          <w:szCs w:val="20"/>
        </w:rPr>
        <w:t>, “</w:t>
      </w:r>
      <w:r w:rsidRPr="002B2282">
        <w:rPr>
          <w:i/>
          <w:sz w:val="20"/>
          <w:szCs w:val="20"/>
        </w:rPr>
        <w:t>el visto bueno al pago al gerente, de sus fondos propios, la cantidad de 95.624,20 euros. Ante la bajada de sueldo a la que le obligaba el Gobierno, el Gerente planteó que no podía asumir esa bajada y tenía otra ofe</w:t>
      </w:r>
      <w:r w:rsidRPr="002B2282">
        <w:rPr>
          <w:i/>
          <w:sz w:val="20"/>
          <w:szCs w:val="20"/>
        </w:rPr>
        <w:t>r</w:t>
      </w:r>
      <w:r w:rsidRPr="002B2282">
        <w:rPr>
          <w:i/>
          <w:sz w:val="20"/>
          <w:szCs w:val="20"/>
        </w:rPr>
        <w:t>ta, por lo que tenía que irse. Debido al momento en que se encontraba la Fundación, la Junta Dire</w:t>
      </w:r>
      <w:r w:rsidRPr="002B2282">
        <w:rPr>
          <w:i/>
          <w:sz w:val="20"/>
          <w:szCs w:val="20"/>
        </w:rPr>
        <w:t>c</w:t>
      </w:r>
      <w:r w:rsidRPr="002B2282">
        <w:rPr>
          <w:i/>
          <w:sz w:val="20"/>
          <w:szCs w:val="20"/>
        </w:rPr>
        <w:t>tiva aceptó complementarle la diferencia de salario de dos años, para que pudiera seguir siendo g</w:t>
      </w:r>
      <w:r w:rsidRPr="002B2282">
        <w:rPr>
          <w:i/>
          <w:sz w:val="20"/>
          <w:szCs w:val="20"/>
        </w:rPr>
        <w:t>e</w:t>
      </w:r>
      <w:r w:rsidRPr="002B2282">
        <w:rPr>
          <w:i/>
          <w:sz w:val="20"/>
          <w:szCs w:val="20"/>
        </w:rPr>
        <w:t>rente”</w:t>
      </w:r>
      <w:r w:rsidR="002B2282">
        <w:rPr>
          <w:i/>
          <w:sz w:val="20"/>
          <w:szCs w:val="20"/>
        </w:rPr>
        <w:t>.</w:t>
      </w:r>
    </w:p>
    <w:p w:rsidR="003E5304" w:rsidRDefault="00BC0324" w:rsidP="003E5304">
      <w:pPr>
        <w:pStyle w:val="texto"/>
      </w:pPr>
      <w:r>
        <w:t xml:space="preserve">Consideramos que </w:t>
      </w:r>
      <w:r w:rsidR="00E010C2">
        <w:t xml:space="preserve">supone una actuación </w:t>
      </w:r>
      <w:r w:rsidR="00622F1D">
        <w:t xml:space="preserve">incoherente y </w:t>
      </w:r>
      <w:r w:rsidR="00E010C2">
        <w:t>contraria a lo acord</w:t>
      </w:r>
      <w:r w:rsidR="00E010C2">
        <w:t>a</w:t>
      </w:r>
      <w:r w:rsidR="00E010C2">
        <w:t>do por el Gobierno</w:t>
      </w:r>
      <w:r w:rsidR="00622F1D">
        <w:t xml:space="preserve"> de Navarra</w:t>
      </w:r>
      <w:r w:rsidR="00E010C2">
        <w:t xml:space="preserve">. </w:t>
      </w:r>
    </w:p>
    <w:p w:rsidR="003E5304" w:rsidRDefault="00E010C2" w:rsidP="003E5304">
      <w:pPr>
        <w:pStyle w:val="texto"/>
      </w:pPr>
      <w:r>
        <w:t>En relación con</w:t>
      </w:r>
      <w:r w:rsidR="003E5304">
        <w:t xml:space="preserve"> la concesión de una subvención de la Sociedad a la </w:t>
      </w:r>
      <w:r w:rsidR="00C76841">
        <w:t>Fund</w:t>
      </w:r>
      <w:r w:rsidR="00C76841">
        <w:t>a</w:t>
      </w:r>
      <w:r w:rsidR="00C76841">
        <w:t>ción para devolver a esta a</w:t>
      </w:r>
      <w:r w:rsidR="003E5304">
        <w:t>l equilibrio patrimo</w:t>
      </w:r>
      <w:r w:rsidR="00336E08">
        <w:t xml:space="preserve">nial </w:t>
      </w:r>
      <w:r>
        <w:t xml:space="preserve">debemos indicar que </w:t>
      </w:r>
      <w:r w:rsidR="00336E08">
        <w:t>no pu</w:t>
      </w:r>
      <w:r w:rsidR="00336E08">
        <w:t>e</w:t>
      </w:r>
      <w:r w:rsidR="00336E08">
        <w:t>de realizarse si la S</w:t>
      </w:r>
      <w:r w:rsidR="003E5304">
        <w:t>ociedad, como es el caso, no cuenta con recursos suficientes para abonar la subvención y, en</w:t>
      </w:r>
      <w:r w:rsidR="00C76841">
        <w:t xml:space="preserve"> </w:t>
      </w:r>
      <w:r w:rsidR="00622F1D">
        <w:t>todo</w:t>
      </w:r>
      <w:r w:rsidR="003E5304">
        <w:t xml:space="preserve"> caso, </w:t>
      </w:r>
      <w:r w:rsidR="00622F1D">
        <w:t xml:space="preserve">pretende </w:t>
      </w:r>
      <w:r w:rsidR="003E5304">
        <w:t xml:space="preserve">solucionar la situación de la Fundación </w:t>
      </w:r>
      <w:r w:rsidR="00622F1D">
        <w:t xml:space="preserve">a costa de </w:t>
      </w:r>
      <w:r w:rsidR="00796DB1">
        <w:t>incurrir</w:t>
      </w:r>
      <w:r w:rsidR="003E5304">
        <w:t xml:space="preserve"> la </w:t>
      </w:r>
      <w:r w:rsidR="00C76841">
        <w:t xml:space="preserve">Sociedad </w:t>
      </w:r>
      <w:r w:rsidR="003E5304">
        <w:t>en la misma situación.</w:t>
      </w:r>
    </w:p>
    <w:p w:rsidR="003E5304" w:rsidRDefault="003E5304" w:rsidP="003E5304">
      <w:pPr>
        <w:pStyle w:val="texto"/>
      </w:pPr>
      <w:r>
        <w:t>Concluimos, por lo tanto, señalando que, en nuestra opinión, este es un m</w:t>
      </w:r>
      <w:r>
        <w:t>o</w:t>
      </w:r>
      <w:r>
        <w:t xml:space="preserve">delo </w:t>
      </w:r>
      <w:r w:rsidR="00A65C69">
        <w:t>inadecuado</w:t>
      </w:r>
      <w:r>
        <w:t xml:space="preserve"> para la gestión de una Orquesta Sinfónica con una plantilla, </w:t>
      </w:r>
      <w:r>
        <w:lastRenderedPageBreak/>
        <w:t xml:space="preserve">junto a los empleados administrativos, de aproximadamente 70 personas </w:t>
      </w:r>
      <w:r w:rsidR="00C76841">
        <w:t xml:space="preserve">y </w:t>
      </w:r>
      <w:r>
        <w:t>con un presupuesto de más de 4,5 millones de euros.</w:t>
      </w:r>
    </w:p>
    <w:p w:rsidR="003E5304" w:rsidRDefault="003E5304" w:rsidP="003E5304">
      <w:pPr>
        <w:pStyle w:val="texto"/>
      </w:pPr>
      <w:r>
        <w:t>Recomendamos, por lo tanto, que los representantes públicos definan el m</w:t>
      </w:r>
      <w:r>
        <w:t>o</w:t>
      </w:r>
      <w:r>
        <w:t xml:space="preserve">delo de orquesta que debe tener la </w:t>
      </w:r>
      <w:r w:rsidR="00C76841">
        <w:t>Comunidad Foral</w:t>
      </w:r>
      <w:r w:rsidR="00DC211B">
        <w:t>,</w:t>
      </w:r>
      <w:r w:rsidR="00C76841">
        <w:t xml:space="preserve"> </w:t>
      </w:r>
      <w:r>
        <w:t>establezcan la financi</w:t>
      </w:r>
      <w:r>
        <w:t>a</w:t>
      </w:r>
      <w:r>
        <w:t xml:space="preserve">ción con carácter plurianual  que van a facilitar y se </w:t>
      </w:r>
      <w:r w:rsidR="00DC211B">
        <w:t xml:space="preserve">defina </w:t>
      </w:r>
      <w:r>
        <w:t>un nuevo modelo de gestión para la misma.</w:t>
      </w:r>
    </w:p>
    <w:p w:rsidR="003E5304" w:rsidRDefault="003E5304" w:rsidP="003E5304">
      <w:pPr>
        <w:spacing w:after="0"/>
        <w:ind w:firstLine="0"/>
        <w:jc w:val="left"/>
        <w:rPr>
          <w:spacing w:val="6"/>
          <w:sz w:val="26"/>
          <w:szCs w:val="24"/>
        </w:rPr>
      </w:pPr>
      <w:r>
        <w:br w:type="page"/>
      </w:r>
    </w:p>
    <w:p w:rsidR="003E5304" w:rsidRPr="00CE5480" w:rsidRDefault="003E5304" w:rsidP="003E5304">
      <w:pPr>
        <w:pStyle w:val="atitulo1"/>
      </w:pPr>
      <w:bookmarkStart w:id="16" w:name="_Toc436040575"/>
      <w:bookmarkStart w:id="17" w:name="_Toc440370827"/>
      <w:r>
        <w:lastRenderedPageBreak/>
        <w:t>V</w:t>
      </w:r>
      <w:r w:rsidR="00C039A0">
        <w:t>.</w:t>
      </w:r>
      <w:r>
        <w:t xml:space="preserve"> </w:t>
      </w:r>
      <w:bookmarkEnd w:id="16"/>
      <w:r w:rsidR="00E010C2">
        <w:t>Análisis del trabajo realizado</w:t>
      </w:r>
      <w:bookmarkEnd w:id="17"/>
    </w:p>
    <w:p w:rsidR="003E5304" w:rsidRDefault="003E5304" w:rsidP="003E5304">
      <w:pPr>
        <w:pStyle w:val="texto"/>
      </w:pPr>
      <w:r>
        <w:t>Desarrollamos y ampliamos en este epígrafe las conclusiones y recomend</w:t>
      </w:r>
      <w:r>
        <w:t>a</w:t>
      </w:r>
      <w:r>
        <w:t>ciones generales del epígrafe anterior, desglosándolas en los aspectos jurídico-organizativos, las relaciones entre la Sociedad de Conciertos Santa Cecilia y la Fundación Pablo Sarasate, un detalle de l</w:t>
      </w:r>
      <w:r w:rsidR="00C76841">
        <w:t>as operaciones</w:t>
      </w:r>
      <w:r>
        <w:t xml:space="preserve"> más significativ</w:t>
      </w:r>
      <w:r w:rsidR="00C76841">
        <w:t>a</w:t>
      </w:r>
      <w:r>
        <w:t>s y la situación económica de las dos entidades.</w:t>
      </w:r>
    </w:p>
    <w:p w:rsidR="003E5304" w:rsidRDefault="003E5304" w:rsidP="003E5304">
      <w:pPr>
        <w:pStyle w:val="atitulo2"/>
      </w:pPr>
      <w:bookmarkStart w:id="18" w:name="_Toc436040576"/>
      <w:bookmarkStart w:id="19" w:name="_Toc440370828"/>
      <w:r>
        <w:t>a) Aspectos jurídico</w:t>
      </w:r>
      <w:r w:rsidR="002B2282">
        <w:t>-</w:t>
      </w:r>
      <w:r>
        <w:t>organizativos</w:t>
      </w:r>
      <w:bookmarkEnd w:id="18"/>
      <w:bookmarkEnd w:id="19"/>
    </w:p>
    <w:p w:rsidR="003E5304" w:rsidRDefault="00E010C2" w:rsidP="003E5304">
      <w:pPr>
        <w:pStyle w:val="texto"/>
      </w:pPr>
      <w:r>
        <w:t xml:space="preserve">1) No es congruente con el propio carácter de las fundaciones </w:t>
      </w:r>
      <w:r w:rsidR="00622F1D">
        <w:t>su</w:t>
      </w:r>
      <w:r w:rsidR="003E5304">
        <w:t xml:space="preserve"> creación </w:t>
      </w:r>
      <w:r w:rsidR="00622F1D">
        <w:t>si</w:t>
      </w:r>
      <w:r w:rsidR="003E5304">
        <w:t xml:space="preserve"> no cuentan con un patrimonio que genere rendimientos p</w:t>
      </w:r>
      <w:r>
        <w:t>a</w:t>
      </w:r>
      <w:r w:rsidR="003E5304">
        <w:t>r</w:t>
      </w:r>
      <w:r>
        <w:t>a</w:t>
      </w:r>
      <w:r w:rsidR="003E5304">
        <w:t xml:space="preserve"> atender a sus fines, ni los </w:t>
      </w:r>
      <w:r>
        <w:t xml:space="preserve">puede </w:t>
      </w:r>
      <w:r w:rsidR="003E5304">
        <w:t>obtene</w:t>
      </w:r>
      <w:r>
        <w:t>r</w:t>
      </w:r>
      <w:r w:rsidR="003E5304">
        <w:t xml:space="preserve"> de su actividad, </w:t>
      </w:r>
      <w:r>
        <w:t xml:space="preserve">y, </w:t>
      </w:r>
      <w:r w:rsidR="003E5304">
        <w:t xml:space="preserve">por lo </w:t>
      </w:r>
      <w:r>
        <w:t>tanto,</w:t>
      </w:r>
      <w:r w:rsidR="003E5304">
        <w:t xml:space="preserve"> dependen de las subve</w:t>
      </w:r>
      <w:r w:rsidR="003E5304">
        <w:t>n</w:t>
      </w:r>
      <w:r w:rsidR="003E5304">
        <w:t xml:space="preserve">ciones públicas y, </w:t>
      </w:r>
      <w:r>
        <w:t>en consecuencia</w:t>
      </w:r>
      <w:r w:rsidR="003E5304">
        <w:t>, de las decisiones anuales del Parlamento</w:t>
      </w:r>
      <w:r>
        <w:t>, como ya señalamos en el anterior informe de esta Cámara del año 2009</w:t>
      </w:r>
      <w:r w:rsidR="003E5304">
        <w:t>.</w:t>
      </w:r>
    </w:p>
    <w:p w:rsidR="003E5304" w:rsidRDefault="003E5304" w:rsidP="003E5304">
      <w:pPr>
        <w:pStyle w:val="texto"/>
      </w:pPr>
      <w:r>
        <w:t>2) La Sociedad de Conciertos Santa Cecilia y la Fundación Pablo Sarasate son dos entidades sin ánimo de lucro con objetivos similares y vinculadas entre ellas que no han regulado formalmente las relaciones mutuas. No hemos podido localizar acuerdos o convenios entre las dos entidades ni acuerdos de sus órg</w:t>
      </w:r>
      <w:r>
        <w:t>a</w:t>
      </w:r>
      <w:r>
        <w:t xml:space="preserve">nos de dirección </w:t>
      </w:r>
      <w:r w:rsidR="00C76841">
        <w:t>en este sentido</w:t>
      </w:r>
      <w:r>
        <w:t>.</w:t>
      </w:r>
    </w:p>
    <w:p w:rsidR="003E5304" w:rsidRDefault="00336E08" w:rsidP="003E5304">
      <w:pPr>
        <w:pStyle w:val="texto"/>
      </w:pPr>
      <w:r>
        <w:t>3) Los estatutos de la S</w:t>
      </w:r>
      <w:r w:rsidR="003E5304">
        <w:t>ociedad indican que ésta dispondrá de una formación orquestal, los de la Fundación no señalan nada. Sin que hayamos localizado ninguna documentación que justifique su nueva adscripción, la orquesta depe</w:t>
      </w:r>
      <w:r w:rsidR="003E5304">
        <w:t>n</w:t>
      </w:r>
      <w:r w:rsidR="003E5304">
        <w:t>de de la Fundación y los músicos tienen su contrato de trabajo con la Fund</w:t>
      </w:r>
      <w:r w:rsidR="003E5304">
        <w:t>a</w:t>
      </w:r>
      <w:r w:rsidR="003E5304">
        <w:t>ción y el convenio colectivo que se les aplica es de la Fundación.</w:t>
      </w:r>
    </w:p>
    <w:p w:rsidR="003E5304" w:rsidRDefault="003E5304" w:rsidP="003E5304">
      <w:pPr>
        <w:pStyle w:val="texto"/>
      </w:pPr>
      <w:r>
        <w:t>4) Los ingresos procedentes de los conciertos (abonos y entradas) se contab</w:t>
      </w:r>
      <w:r>
        <w:t>i</w:t>
      </w:r>
      <w:r>
        <w:t>lizaban hasta el año 2006 en la Fundaci</w:t>
      </w:r>
      <w:r w:rsidR="00336E08">
        <w:t>ón y a partir de ese año en la S</w:t>
      </w:r>
      <w:r>
        <w:t>ociedad, sin que hayamos localizado acuerdo o documento que explique el cambio.</w:t>
      </w:r>
    </w:p>
    <w:p w:rsidR="003E5304" w:rsidRDefault="003E5304" w:rsidP="003E5304">
      <w:pPr>
        <w:pStyle w:val="texto"/>
      </w:pPr>
      <w:r>
        <w:t>En el art</w:t>
      </w:r>
      <w:r w:rsidR="00336E08">
        <w:t>ículo 6 de los estatutos de la S</w:t>
      </w:r>
      <w:r>
        <w:t>ociedad se señala entre sus recursos las cuotas de los socios y los ingresos por taquilla. En el artículo 20 de los de la Fundación se señala entre sus recursos los procedentes de conciertos, public</w:t>
      </w:r>
      <w:r>
        <w:t>a</w:t>
      </w:r>
      <w:r>
        <w:t>ciones, ediciones musicales y similares.</w:t>
      </w:r>
    </w:p>
    <w:p w:rsidR="00F04D17" w:rsidRPr="00C2066C" w:rsidRDefault="00F04D17" w:rsidP="003E5304">
      <w:pPr>
        <w:pStyle w:val="texto"/>
      </w:pPr>
      <w:r w:rsidRPr="00C2066C">
        <w:t xml:space="preserve">A este respecto, hay que tener en </w:t>
      </w:r>
      <w:r w:rsidR="00C2066C" w:rsidRPr="00C2066C">
        <w:t>cuenta que el convenio en que s</w:t>
      </w:r>
      <w:r w:rsidRPr="00C2066C">
        <w:t>e</w:t>
      </w:r>
      <w:r w:rsidR="00C2066C" w:rsidRPr="00C2066C">
        <w:t xml:space="preserve"> </w:t>
      </w:r>
      <w:r w:rsidRPr="00C2066C">
        <w:t>instr</w:t>
      </w:r>
      <w:r w:rsidRPr="00C2066C">
        <w:t>u</w:t>
      </w:r>
      <w:r w:rsidRPr="00C2066C">
        <w:t>menta la subvención a la Fundación para financiar sus actividades establece que dicha subvención</w:t>
      </w:r>
      <w:r w:rsidR="00C07DBA" w:rsidRPr="00C2066C">
        <w:t>, de acuerdo con lo</w:t>
      </w:r>
      <w:r w:rsidR="00622F1D">
        <w:t xml:space="preserve"> previsto</w:t>
      </w:r>
      <w:r w:rsidR="00C07DBA" w:rsidRPr="00C2066C">
        <w:t xml:space="preserve">  en el art</w:t>
      </w:r>
      <w:r w:rsidR="00C2066C" w:rsidRPr="00C2066C">
        <w:t>ículo 27.4 de la LFS, s</w:t>
      </w:r>
      <w:r w:rsidR="00C07DBA" w:rsidRPr="00C2066C">
        <w:t>e</w:t>
      </w:r>
      <w:r w:rsidR="00C2066C" w:rsidRPr="00C2066C">
        <w:t xml:space="preserve"> </w:t>
      </w:r>
      <w:r w:rsidR="00C07DBA" w:rsidRPr="00C2066C">
        <w:t>debe complementar con</w:t>
      </w:r>
      <w:r w:rsidR="00C2066C" w:rsidRPr="00C2066C">
        <w:t xml:space="preserve"> l</w:t>
      </w:r>
      <w:r w:rsidR="00C07DBA" w:rsidRPr="00C2066C">
        <w:t>os ingresos o recursos propios de la actividad obj</w:t>
      </w:r>
      <w:r w:rsidR="00C07DBA" w:rsidRPr="00C2066C">
        <w:t>e</w:t>
      </w:r>
      <w:r w:rsidR="00C07DBA" w:rsidRPr="00C2066C">
        <w:t>to de la subvención. Los ingresos correspondientes</w:t>
      </w:r>
      <w:r w:rsidR="00C2066C" w:rsidRPr="00C2066C">
        <w:t xml:space="preserve"> a las entradas y abonos de los conciertos son ingresos derivados de la actividad subvencionada y son pr</w:t>
      </w:r>
      <w:r w:rsidR="00C2066C" w:rsidRPr="00C2066C">
        <w:t>o</w:t>
      </w:r>
      <w:r w:rsidR="00C2066C" w:rsidRPr="00C2066C">
        <w:t>pios de la entidad que la lleva materialmente a cabo, es decir, son ingresos pr</w:t>
      </w:r>
      <w:r w:rsidR="00C2066C" w:rsidRPr="00C2066C">
        <w:t>o</w:t>
      </w:r>
      <w:r w:rsidR="00C2066C" w:rsidRPr="00C2066C">
        <w:t>pios de la Fundación</w:t>
      </w:r>
      <w:r w:rsidR="00C2066C">
        <w:t>.</w:t>
      </w:r>
    </w:p>
    <w:p w:rsidR="00140412" w:rsidRPr="00C21F83" w:rsidRDefault="00C21F83" w:rsidP="003E5304">
      <w:pPr>
        <w:pStyle w:val="texto"/>
      </w:pPr>
      <w:r w:rsidRPr="00C21F83">
        <w:lastRenderedPageBreak/>
        <w:t xml:space="preserve">5) </w:t>
      </w:r>
      <w:r w:rsidR="00BA027B">
        <w:t>La participación de la</w:t>
      </w:r>
      <w:r>
        <w:t xml:space="preserve"> Sociedad de Conciertos Santa Cecilia </w:t>
      </w:r>
      <w:r w:rsidR="00BA027B">
        <w:t>en el patron</w:t>
      </w:r>
      <w:r w:rsidR="00BA027B">
        <w:t>a</w:t>
      </w:r>
      <w:r w:rsidR="00BA027B">
        <w:t xml:space="preserve">to de la Fundación </w:t>
      </w:r>
      <w:r>
        <w:t xml:space="preserve">ha </w:t>
      </w:r>
      <w:r w:rsidR="00E010C2">
        <w:t>permitido</w:t>
      </w:r>
      <w:r>
        <w:t xml:space="preserve"> </w:t>
      </w:r>
      <w:r w:rsidR="00BA027B">
        <w:t>que la opinión de</w:t>
      </w:r>
      <w:r>
        <w:t xml:space="preserve"> los aficionados a la música </w:t>
      </w:r>
      <w:r w:rsidR="00BA027B">
        <w:t xml:space="preserve">se tuviera en cuenta </w:t>
      </w:r>
      <w:r>
        <w:t>en la toma de decisiones respecto a la gestión de la O</w:t>
      </w:r>
      <w:r>
        <w:t>r</w:t>
      </w:r>
      <w:r>
        <w:t>questa, aunque sin existir una corresponsabilidad en su financiación.</w:t>
      </w:r>
    </w:p>
    <w:p w:rsidR="003E5304" w:rsidRDefault="003E5304" w:rsidP="003E5304">
      <w:pPr>
        <w:pStyle w:val="atitulo2"/>
      </w:pPr>
      <w:bookmarkStart w:id="20" w:name="_Toc436040577"/>
      <w:bookmarkStart w:id="21" w:name="_Toc440370829"/>
      <w:r>
        <w:t>b) Relaciones contables de las cuentas cruzadas entre la Fundación P</w:t>
      </w:r>
      <w:r>
        <w:t>a</w:t>
      </w:r>
      <w:r>
        <w:t>blo Sarasate</w:t>
      </w:r>
      <w:r w:rsidR="00E010C2">
        <w:t xml:space="preserve"> y l</w:t>
      </w:r>
      <w:r>
        <w:t>a Sociedad de Conciertos Santa Cecilia</w:t>
      </w:r>
      <w:bookmarkEnd w:id="20"/>
      <w:bookmarkEnd w:id="21"/>
    </w:p>
    <w:p w:rsidR="003E5304" w:rsidRDefault="00C21F83" w:rsidP="003E5304">
      <w:pPr>
        <w:pStyle w:val="texto"/>
      </w:pPr>
      <w:r>
        <w:t>6</w:t>
      </w:r>
      <w:r w:rsidR="003E5304">
        <w:t>) En la práctica, y dado que las dos entidades tienen fines</w:t>
      </w:r>
      <w:r w:rsidR="006E39CF">
        <w:t xml:space="preserve"> similares</w:t>
      </w:r>
      <w:r w:rsidR="003E5304">
        <w:t>, se han utilizado indistintamente los fondos de las dos entidades para atender las obl</w:t>
      </w:r>
      <w:r w:rsidR="003E5304">
        <w:t>i</w:t>
      </w:r>
      <w:r w:rsidR="003E5304">
        <w:t xml:space="preserve">gaciones, en función de las disponibilidades. Su contrapartida se anotaba en la cuenta </w:t>
      </w:r>
      <w:r w:rsidR="0082251C">
        <w:t>contable</w:t>
      </w:r>
      <w:r w:rsidR="003E5304">
        <w:t xml:space="preserve"> común que, por lo tanto, puede presentar saldo deudor o acre</w:t>
      </w:r>
      <w:r w:rsidR="003E5304">
        <w:t>e</w:t>
      </w:r>
      <w:r w:rsidR="003E5304">
        <w:t xml:space="preserve">dor, en función de las </w:t>
      </w:r>
      <w:r w:rsidR="006E39CF">
        <w:t>operacione</w:t>
      </w:r>
      <w:r w:rsidR="003E5304">
        <w:t>s.</w:t>
      </w:r>
    </w:p>
    <w:p w:rsidR="003E5304" w:rsidRDefault="00C21F83" w:rsidP="003E5304">
      <w:pPr>
        <w:pStyle w:val="texto"/>
      </w:pPr>
      <w:r>
        <w:t>7</w:t>
      </w:r>
      <w:r w:rsidR="003E5304">
        <w:t>) Las contabilidades de las dos entidades han reflejado correctamente estas actuaciones, coincidiendo por lo tanto los s</w:t>
      </w:r>
      <w:r w:rsidR="00336E08">
        <w:t>aldos de la contabilidad de la S</w:t>
      </w:r>
      <w:r w:rsidR="003E5304">
        <w:t>oci</w:t>
      </w:r>
      <w:r w:rsidR="003E5304">
        <w:t>e</w:t>
      </w:r>
      <w:r w:rsidR="00336E08">
        <w:t>dad y de la F</w:t>
      </w:r>
      <w:r w:rsidR="003E5304">
        <w:t>undación.</w:t>
      </w:r>
    </w:p>
    <w:p w:rsidR="003E5304" w:rsidRDefault="00C21F83" w:rsidP="00031723">
      <w:pPr>
        <w:pStyle w:val="texto"/>
        <w:spacing w:after="240"/>
      </w:pPr>
      <w:r>
        <w:t>8</w:t>
      </w:r>
      <w:r w:rsidR="003E5304">
        <w:t>) Si, teniendo en cuenta lo señalado en la conclusión 4, consideramos que los importes de las entradas y abonos deben te</w:t>
      </w:r>
      <w:r w:rsidR="00336E08">
        <w:t>ner como destinatario final la F</w:t>
      </w:r>
      <w:r w:rsidR="003E5304">
        <w:t>undación, los importes no entregados han sido:</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51"/>
        <w:gridCol w:w="1505"/>
        <w:gridCol w:w="2232"/>
        <w:gridCol w:w="2233"/>
      </w:tblGrid>
      <w:tr w:rsidR="004B0A3B" w:rsidRPr="00C76841" w:rsidTr="00D37F46">
        <w:trPr>
          <w:trHeight w:val="198"/>
          <w:jc w:val="center"/>
        </w:trPr>
        <w:tc>
          <w:tcPr>
            <w:tcW w:w="2851" w:type="dxa"/>
            <w:vMerge w:val="restart"/>
            <w:tcBorders>
              <w:top w:val="single" w:sz="4" w:space="0" w:color="auto"/>
            </w:tcBorders>
            <w:shd w:val="clear" w:color="auto" w:fill="8DB3E2" w:themeFill="text2" w:themeFillTint="66"/>
            <w:vAlign w:val="center"/>
          </w:tcPr>
          <w:p w:rsidR="004B0A3B" w:rsidRPr="00C76841" w:rsidRDefault="004B0A3B" w:rsidP="00072B3B">
            <w:pPr>
              <w:pStyle w:val="cuatexto"/>
              <w:jc w:val="left"/>
              <w:rPr>
                <w:rFonts w:ascii="Arial" w:hAnsi="Arial" w:cs="Arial"/>
                <w:color w:val="000000" w:themeColor="text1"/>
                <w:sz w:val="18"/>
                <w:szCs w:val="18"/>
              </w:rPr>
            </w:pPr>
            <w:r w:rsidRPr="00C76841">
              <w:rPr>
                <w:rFonts w:ascii="Arial" w:hAnsi="Arial" w:cs="Arial"/>
                <w:color w:val="000000" w:themeColor="text1"/>
                <w:sz w:val="18"/>
                <w:szCs w:val="18"/>
              </w:rPr>
              <w:t>Año</w:t>
            </w:r>
          </w:p>
        </w:tc>
        <w:tc>
          <w:tcPr>
            <w:tcW w:w="5970" w:type="dxa"/>
            <w:gridSpan w:val="3"/>
            <w:tcBorders>
              <w:top w:val="single" w:sz="4" w:space="0" w:color="auto"/>
              <w:bottom w:val="single" w:sz="4" w:space="0" w:color="auto"/>
            </w:tcBorders>
            <w:shd w:val="clear" w:color="auto" w:fill="8DB3E2" w:themeFill="text2" w:themeFillTint="66"/>
            <w:vAlign w:val="center"/>
          </w:tcPr>
          <w:p w:rsidR="004B0A3B" w:rsidRPr="00C76841" w:rsidRDefault="004B0A3B" w:rsidP="00031723">
            <w:pPr>
              <w:pStyle w:val="cuatexto"/>
              <w:jc w:val="center"/>
              <w:rPr>
                <w:rFonts w:ascii="Arial" w:hAnsi="Arial" w:cs="Arial"/>
                <w:color w:val="000000" w:themeColor="text1"/>
                <w:sz w:val="18"/>
                <w:szCs w:val="18"/>
              </w:rPr>
            </w:pPr>
            <w:r>
              <w:rPr>
                <w:rFonts w:ascii="Arial" w:hAnsi="Arial" w:cs="Arial"/>
                <w:color w:val="000000" w:themeColor="text1"/>
                <w:sz w:val="18"/>
                <w:szCs w:val="18"/>
              </w:rPr>
              <w:t>Concepto</w:t>
            </w:r>
          </w:p>
        </w:tc>
      </w:tr>
      <w:tr w:rsidR="004B0A3B" w:rsidRPr="00C76841" w:rsidTr="00D37F46">
        <w:trPr>
          <w:trHeight w:val="198"/>
          <w:jc w:val="center"/>
        </w:trPr>
        <w:tc>
          <w:tcPr>
            <w:tcW w:w="2851" w:type="dxa"/>
            <w:vMerge/>
            <w:tcBorders>
              <w:bottom w:val="single" w:sz="4" w:space="0" w:color="auto"/>
            </w:tcBorders>
            <w:shd w:val="clear" w:color="auto" w:fill="8DB3E2" w:themeFill="text2" w:themeFillTint="66"/>
            <w:vAlign w:val="center"/>
          </w:tcPr>
          <w:p w:rsidR="004B0A3B" w:rsidRPr="00C76841" w:rsidRDefault="004B0A3B" w:rsidP="00072B3B">
            <w:pPr>
              <w:pStyle w:val="cuatexto"/>
              <w:jc w:val="left"/>
              <w:rPr>
                <w:rFonts w:ascii="Arial" w:hAnsi="Arial" w:cs="Arial"/>
                <w:color w:val="000000" w:themeColor="text1"/>
                <w:sz w:val="18"/>
                <w:szCs w:val="18"/>
              </w:rPr>
            </w:pPr>
          </w:p>
        </w:tc>
        <w:tc>
          <w:tcPr>
            <w:tcW w:w="1505"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sidRPr="00C76841">
              <w:rPr>
                <w:rFonts w:ascii="Arial" w:hAnsi="Arial" w:cs="Arial"/>
                <w:color w:val="000000" w:themeColor="text1"/>
                <w:sz w:val="18"/>
                <w:szCs w:val="18"/>
              </w:rPr>
              <w:t>Ingreso cuotas</w:t>
            </w:r>
          </w:p>
        </w:tc>
        <w:tc>
          <w:tcPr>
            <w:tcW w:w="2232"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sidRPr="00C76841">
              <w:rPr>
                <w:rFonts w:ascii="Arial" w:hAnsi="Arial" w:cs="Arial"/>
                <w:color w:val="000000" w:themeColor="text1"/>
                <w:sz w:val="18"/>
                <w:szCs w:val="18"/>
              </w:rPr>
              <w:t>Pagos FPS</w:t>
            </w:r>
          </w:p>
        </w:tc>
        <w:tc>
          <w:tcPr>
            <w:tcW w:w="2233"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sidRPr="00C76841">
              <w:rPr>
                <w:rFonts w:ascii="Arial" w:hAnsi="Arial" w:cs="Arial"/>
                <w:color w:val="000000" w:themeColor="text1"/>
                <w:sz w:val="18"/>
                <w:szCs w:val="18"/>
              </w:rPr>
              <w:t>Diferencia</w:t>
            </w:r>
          </w:p>
        </w:tc>
      </w:tr>
      <w:tr w:rsidR="00041365" w:rsidRPr="00C76841" w:rsidTr="00D37F46">
        <w:trPr>
          <w:trHeight w:val="198"/>
          <w:jc w:val="center"/>
        </w:trPr>
        <w:tc>
          <w:tcPr>
            <w:tcW w:w="2851" w:type="dxa"/>
            <w:tcBorders>
              <w:top w:val="single" w:sz="4"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2007</w:t>
            </w:r>
          </w:p>
        </w:tc>
        <w:tc>
          <w:tcPr>
            <w:tcW w:w="1505" w:type="dxa"/>
            <w:tcBorders>
              <w:top w:val="single" w:sz="4" w:space="0" w:color="auto"/>
              <w:bottom w:val="single" w:sz="2" w:space="0" w:color="auto"/>
            </w:tcBorders>
            <w:vAlign w:val="center"/>
          </w:tcPr>
          <w:p w:rsidR="0016167A" w:rsidRPr="00C76841" w:rsidRDefault="0016167A" w:rsidP="00C76841">
            <w:pPr>
              <w:pStyle w:val="cuatexto"/>
              <w:jc w:val="right"/>
              <w:rPr>
                <w:color w:val="000000" w:themeColor="text1"/>
              </w:rPr>
            </w:pPr>
            <w:r w:rsidRPr="00C76841">
              <w:rPr>
                <w:color w:val="000000" w:themeColor="text1"/>
              </w:rPr>
              <w:t>515.895</w:t>
            </w:r>
          </w:p>
        </w:tc>
        <w:tc>
          <w:tcPr>
            <w:tcW w:w="2232" w:type="dxa"/>
            <w:tcBorders>
              <w:top w:val="single" w:sz="4"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515.895</w:t>
            </w:r>
          </w:p>
        </w:tc>
        <w:tc>
          <w:tcPr>
            <w:tcW w:w="2233" w:type="dxa"/>
            <w:tcBorders>
              <w:top w:val="single" w:sz="4"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0</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2008</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sidRPr="00C76841">
              <w:rPr>
                <w:color w:val="000000" w:themeColor="text1"/>
              </w:rPr>
              <w:t>484.265</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433.730</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50.53</w:t>
            </w:r>
            <w:r w:rsidR="001A4787">
              <w:rPr>
                <w:color w:val="000000" w:themeColor="text1"/>
              </w:rPr>
              <w:t>5</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2009</w:t>
            </w:r>
          </w:p>
        </w:tc>
        <w:tc>
          <w:tcPr>
            <w:tcW w:w="1505" w:type="dxa"/>
            <w:tcBorders>
              <w:top w:val="single" w:sz="2" w:space="0" w:color="auto"/>
              <w:bottom w:val="single" w:sz="2" w:space="0" w:color="auto"/>
            </w:tcBorders>
            <w:vAlign w:val="center"/>
          </w:tcPr>
          <w:p w:rsidR="0016167A" w:rsidRPr="00C76841" w:rsidRDefault="00557F74" w:rsidP="00557F74">
            <w:pPr>
              <w:pStyle w:val="cuatexto"/>
              <w:jc w:val="right"/>
              <w:rPr>
                <w:color w:val="000000" w:themeColor="text1"/>
              </w:rPr>
            </w:pPr>
            <w:r>
              <w:rPr>
                <w:color w:val="000000" w:themeColor="text1"/>
              </w:rPr>
              <w:t>448.917</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416.632</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32.284</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2010</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sidRPr="00C76841">
              <w:rPr>
                <w:color w:val="000000" w:themeColor="text1"/>
              </w:rPr>
              <w:t>456.575</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342.431</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114.14</w:t>
            </w:r>
            <w:r w:rsidR="001A4787">
              <w:rPr>
                <w:color w:val="000000" w:themeColor="text1"/>
              </w:rPr>
              <w:t>4</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2011</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sidRPr="00C76841">
              <w:rPr>
                <w:color w:val="000000" w:themeColor="text1"/>
              </w:rPr>
              <w:t>472.206</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377</w:t>
            </w:r>
            <w:r w:rsidR="00072B3B" w:rsidRPr="00C76841">
              <w:rPr>
                <w:color w:val="000000" w:themeColor="text1"/>
              </w:rPr>
              <w:t>.</w:t>
            </w:r>
            <w:r w:rsidRPr="00C76841">
              <w:rPr>
                <w:color w:val="000000" w:themeColor="text1"/>
              </w:rPr>
              <w:t>206</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95.000</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2012</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sidRPr="00C76841">
              <w:rPr>
                <w:color w:val="000000" w:themeColor="text1"/>
              </w:rPr>
              <w:t>485.617</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413.685</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71.93</w:t>
            </w:r>
            <w:r w:rsidR="001A4787">
              <w:rPr>
                <w:color w:val="000000" w:themeColor="text1"/>
              </w:rPr>
              <w:t>2</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2013</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sidRPr="00C76841">
              <w:rPr>
                <w:color w:val="000000" w:themeColor="text1"/>
              </w:rPr>
              <w:t>459.89</w:t>
            </w:r>
            <w:r w:rsidR="00557F74">
              <w:rPr>
                <w:color w:val="000000" w:themeColor="text1"/>
              </w:rPr>
              <w:t>4</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413.90</w:t>
            </w:r>
            <w:r w:rsidR="001A4787">
              <w:rPr>
                <w:color w:val="000000" w:themeColor="text1"/>
              </w:rPr>
              <w:t>6</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45.98</w:t>
            </w:r>
            <w:r w:rsidR="001A4787">
              <w:rPr>
                <w:color w:val="000000" w:themeColor="text1"/>
              </w:rPr>
              <w:t>8</w:t>
            </w:r>
          </w:p>
        </w:tc>
      </w:tr>
      <w:tr w:rsidR="00041365" w:rsidRPr="00C76841" w:rsidTr="00D37F46">
        <w:trPr>
          <w:trHeight w:val="198"/>
          <w:jc w:val="center"/>
        </w:trPr>
        <w:tc>
          <w:tcPr>
            <w:tcW w:w="2851" w:type="dxa"/>
            <w:tcBorders>
              <w:top w:val="single" w:sz="2" w:space="0" w:color="auto"/>
              <w:bottom w:val="single" w:sz="4" w:space="0" w:color="auto"/>
            </w:tcBorders>
            <w:vAlign w:val="center"/>
          </w:tcPr>
          <w:p w:rsidR="0016167A" w:rsidRPr="00C76841" w:rsidRDefault="0016167A" w:rsidP="00072B3B">
            <w:pPr>
              <w:pStyle w:val="cuatexto"/>
              <w:jc w:val="left"/>
              <w:rPr>
                <w:color w:val="000000" w:themeColor="text1"/>
              </w:rPr>
            </w:pPr>
            <w:r w:rsidRPr="00C76841">
              <w:rPr>
                <w:color w:val="000000" w:themeColor="text1"/>
              </w:rPr>
              <w:t>2014</w:t>
            </w:r>
          </w:p>
        </w:tc>
        <w:tc>
          <w:tcPr>
            <w:tcW w:w="1505" w:type="dxa"/>
            <w:tcBorders>
              <w:top w:val="single" w:sz="2" w:space="0" w:color="auto"/>
              <w:bottom w:val="single" w:sz="4" w:space="0" w:color="auto"/>
            </w:tcBorders>
            <w:vAlign w:val="center"/>
          </w:tcPr>
          <w:p w:rsidR="0016167A" w:rsidRPr="00C76841" w:rsidRDefault="0016167A" w:rsidP="001A4787">
            <w:pPr>
              <w:pStyle w:val="cuatexto"/>
              <w:jc w:val="right"/>
              <w:rPr>
                <w:color w:val="000000" w:themeColor="text1"/>
              </w:rPr>
            </w:pPr>
            <w:r w:rsidRPr="00C76841">
              <w:rPr>
                <w:color w:val="000000" w:themeColor="text1"/>
              </w:rPr>
              <w:t>428.081</w:t>
            </w:r>
          </w:p>
        </w:tc>
        <w:tc>
          <w:tcPr>
            <w:tcW w:w="2232" w:type="dxa"/>
            <w:tcBorders>
              <w:top w:val="single" w:sz="2" w:space="0" w:color="auto"/>
              <w:bottom w:val="single" w:sz="4" w:space="0" w:color="auto"/>
            </w:tcBorders>
            <w:vAlign w:val="center"/>
          </w:tcPr>
          <w:p w:rsidR="0016167A" w:rsidRPr="00C76841" w:rsidRDefault="00072B3B" w:rsidP="001A4787">
            <w:pPr>
              <w:pStyle w:val="cuatexto"/>
              <w:jc w:val="right"/>
              <w:rPr>
                <w:color w:val="000000" w:themeColor="text1"/>
              </w:rPr>
            </w:pPr>
            <w:r w:rsidRPr="00C76841">
              <w:rPr>
                <w:color w:val="000000" w:themeColor="text1"/>
              </w:rPr>
              <w:t>428.081</w:t>
            </w:r>
          </w:p>
        </w:tc>
        <w:tc>
          <w:tcPr>
            <w:tcW w:w="2233" w:type="dxa"/>
            <w:tcBorders>
              <w:top w:val="single" w:sz="2" w:space="0" w:color="auto"/>
              <w:bottom w:val="single" w:sz="4" w:space="0" w:color="auto"/>
            </w:tcBorders>
            <w:vAlign w:val="center"/>
          </w:tcPr>
          <w:p w:rsidR="0016167A" w:rsidRPr="00C76841" w:rsidRDefault="00072B3B" w:rsidP="001A4787">
            <w:pPr>
              <w:pStyle w:val="cuatexto"/>
              <w:jc w:val="right"/>
              <w:rPr>
                <w:color w:val="000000" w:themeColor="text1"/>
              </w:rPr>
            </w:pPr>
            <w:r w:rsidRPr="00C76841">
              <w:rPr>
                <w:color w:val="000000" w:themeColor="text1"/>
              </w:rPr>
              <w:t>0</w:t>
            </w:r>
          </w:p>
        </w:tc>
      </w:tr>
      <w:tr w:rsidR="00041365" w:rsidRPr="00C76841" w:rsidTr="00D37F46">
        <w:trPr>
          <w:trHeight w:val="255"/>
          <w:jc w:val="center"/>
        </w:trPr>
        <w:tc>
          <w:tcPr>
            <w:tcW w:w="2851" w:type="dxa"/>
            <w:tcBorders>
              <w:top w:val="single" w:sz="4" w:space="0" w:color="auto"/>
              <w:bottom w:val="single" w:sz="4" w:space="0" w:color="auto"/>
            </w:tcBorders>
            <w:shd w:val="clear" w:color="auto" w:fill="8DB3E2" w:themeFill="text2" w:themeFillTint="66"/>
            <w:vAlign w:val="center"/>
          </w:tcPr>
          <w:p w:rsidR="0016167A" w:rsidRPr="00C76841" w:rsidRDefault="0016167A" w:rsidP="00072B3B">
            <w:pPr>
              <w:pStyle w:val="cuatexto"/>
              <w:jc w:val="left"/>
              <w:rPr>
                <w:rFonts w:ascii="Arial" w:hAnsi="Arial" w:cs="Arial"/>
                <w:color w:val="000000" w:themeColor="text1"/>
                <w:sz w:val="18"/>
                <w:szCs w:val="18"/>
              </w:rPr>
            </w:pPr>
            <w:r w:rsidRPr="00C76841">
              <w:rPr>
                <w:rFonts w:ascii="Arial" w:hAnsi="Arial" w:cs="Arial"/>
                <w:color w:val="000000" w:themeColor="text1"/>
                <w:sz w:val="18"/>
                <w:szCs w:val="18"/>
              </w:rPr>
              <w:t>Total</w:t>
            </w:r>
          </w:p>
        </w:tc>
        <w:tc>
          <w:tcPr>
            <w:tcW w:w="1505" w:type="dxa"/>
            <w:tcBorders>
              <w:top w:val="single" w:sz="4" w:space="0" w:color="auto"/>
              <w:bottom w:val="single" w:sz="4" w:space="0" w:color="auto"/>
            </w:tcBorders>
            <w:shd w:val="clear" w:color="auto" w:fill="8DB3E2" w:themeFill="text2" w:themeFillTint="66"/>
            <w:vAlign w:val="center"/>
          </w:tcPr>
          <w:p w:rsidR="0016167A" w:rsidRPr="00C76841" w:rsidRDefault="00072B3B" w:rsidP="001A4787">
            <w:pPr>
              <w:pStyle w:val="cuatexto"/>
              <w:jc w:val="right"/>
              <w:rPr>
                <w:rFonts w:ascii="Arial" w:hAnsi="Arial" w:cs="Arial"/>
                <w:color w:val="000000" w:themeColor="text1"/>
                <w:sz w:val="18"/>
                <w:szCs w:val="18"/>
              </w:rPr>
            </w:pPr>
            <w:r w:rsidRPr="00C76841">
              <w:rPr>
                <w:rFonts w:ascii="Arial" w:hAnsi="Arial" w:cs="Arial"/>
                <w:color w:val="000000" w:themeColor="text1"/>
                <w:sz w:val="18"/>
                <w:szCs w:val="18"/>
              </w:rPr>
              <w:t>3.751.4</w:t>
            </w:r>
            <w:r w:rsidR="001A4787">
              <w:rPr>
                <w:rFonts w:ascii="Arial" w:hAnsi="Arial" w:cs="Arial"/>
                <w:color w:val="000000" w:themeColor="text1"/>
                <w:sz w:val="18"/>
                <w:szCs w:val="18"/>
              </w:rPr>
              <w:t>50</w:t>
            </w:r>
          </w:p>
        </w:tc>
        <w:tc>
          <w:tcPr>
            <w:tcW w:w="2232" w:type="dxa"/>
            <w:tcBorders>
              <w:top w:val="single" w:sz="4" w:space="0" w:color="auto"/>
              <w:bottom w:val="single" w:sz="4" w:space="0" w:color="auto"/>
            </w:tcBorders>
            <w:shd w:val="clear" w:color="auto" w:fill="8DB3E2" w:themeFill="text2" w:themeFillTint="66"/>
            <w:vAlign w:val="center"/>
          </w:tcPr>
          <w:p w:rsidR="0016167A" w:rsidRPr="00C76841" w:rsidRDefault="00072B3B" w:rsidP="006E39CF">
            <w:pPr>
              <w:pStyle w:val="cuatexto"/>
              <w:jc w:val="right"/>
              <w:rPr>
                <w:rFonts w:ascii="Arial" w:hAnsi="Arial" w:cs="Arial"/>
                <w:color w:val="000000" w:themeColor="text1"/>
                <w:sz w:val="18"/>
                <w:szCs w:val="18"/>
              </w:rPr>
            </w:pPr>
            <w:r w:rsidRPr="00031723">
              <w:rPr>
                <w:rFonts w:ascii="Arial" w:hAnsi="Arial" w:cs="Arial"/>
                <w:sz w:val="18"/>
                <w:szCs w:val="18"/>
              </w:rPr>
              <w:t>3.341.56</w:t>
            </w:r>
            <w:r w:rsidR="006E39CF">
              <w:rPr>
                <w:rFonts w:ascii="Arial" w:hAnsi="Arial" w:cs="Arial"/>
                <w:sz w:val="18"/>
                <w:szCs w:val="18"/>
              </w:rPr>
              <w:t>7</w:t>
            </w:r>
          </w:p>
        </w:tc>
        <w:tc>
          <w:tcPr>
            <w:tcW w:w="2233" w:type="dxa"/>
            <w:tcBorders>
              <w:top w:val="single" w:sz="4" w:space="0" w:color="auto"/>
              <w:bottom w:val="single" w:sz="4" w:space="0" w:color="auto"/>
            </w:tcBorders>
            <w:shd w:val="clear" w:color="auto" w:fill="8DB3E2" w:themeFill="text2" w:themeFillTint="66"/>
            <w:vAlign w:val="center"/>
          </w:tcPr>
          <w:p w:rsidR="0016167A" w:rsidRPr="00C76841" w:rsidRDefault="00072B3B" w:rsidP="001A4787">
            <w:pPr>
              <w:pStyle w:val="cuatexto"/>
              <w:jc w:val="right"/>
              <w:rPr>
                <w:rFonts w:ascii="Arial" w:hAnsi="Arial" w:cs="Arial"/>
                <w:color w:val="000000" w:themeColor="text1"/>
                <w:sz w:val="18"/>
                <w:szCs w:val="18"/>
              </w:rPr>
            </w:pPr>
            <w:r w:rsidRPr="00C76841">
              <w:rPr>
                <w:rFonts w:ascii="Arial" w:hAnsi="Arial" w:cs="Arial"/>
                <w:color w:val="000000" w:themeColor="text1"/>
                <w:sz w:val="18"/>
                <w:szCs w:val="18"/>
              </w:rPr>
              <w:t>409.88</w:t>
            </w:r>
            <w:r w:rsidR="001A4787">
              <w:rPr>
                <w:rFonts w:ascii="Arial" w:hAnsi="Arial" w:cs="Arial"/>
                <w:color w:val="000000" w:themeColor="text1"/>
                <w:sz w:val="18"/>
                <w:szCs w:val="18"/>
              </w:rPr>
              <w:t>3</w:t>
            </w:r>
          </w:p>
        </w:tc>
      </w:tr>
    </w:tbl>
    <w:p w:rsidR="003E5304" w:rsidRDefault="003E5304" w:rsidP="00031723">
      <w:pPr>
        <w:pStyle w:val="texto"/>
        <w:spacing w:before="240" w:after="240"/>
      </w:pPr>
      <w:r>
        <w:t>A estos importes habría que añadir tres facturas po</w:t>
      </w:r>
      <w:r w:rsidR="00336E08">
        <w:t xml:space="preserve">r conciertos </w:t>
      </w:r>
      <w:r w:rsidR="006E39CF">
        <w:t>cobradas</w:t>
      </w:r>
      <w:r w:rsidR="00336E08">
        <w:t xml:space="preserve"> por la S</w:t>
      </w:r>
      <w:r>
        <w:t>ociedad por importes de</w:t>
      </w:r>
      <w:r w:rsidR="00031723">
        <w:t>:</w:t>
      </w:r>
    </w:p>
    <w:tbl>
      <w:tblPr>
        <w:tblStyle w:val="Tablaconcuadrcula"/>
        <w:tblW w:w="0" w:type="auto"/>
        <w:jc w:val="center"/>
        <w:tblInd w:w="25" w:type="dxa"/>
        <w:tblBorders>
          <w:left w:val="none" w:sz="0" w:space="0" w:color="auto"/>
          <w:right w:val="none" w:sz="0" w:space="0" w:color="auto"/>
        </w:tblBorders>
        <w:tblLook w:val="04A0" w:firstRow="1" w:lastRow="0" w:firstColumn="1" w:lastColumn="0" w:noHBand="0" w:noVBand="1"/>
      </w:tblPr>
      <w:tblGrid>
        <w:gridCol w:w="4795"/>
        <w:gridCol w:w="4056"/>
      </w:tblGrid>
      <w:tr w:rsidR="00041365" w:rsidTr="004B0A3B">
        <w:trPr>
          <w:trHeight w:val="198"/>
          <w:jc w:val="center"/>
        </w:trPr>
        <w:tc>
          <w:tcPr>
            <w:tcW w:w="4795" w:type="dxa"/>
            <w:tcBorders>
              <w:top w:val="single" w:sz="4" w:space="0" w:color="auto"/>
              <w:bottom w:val="single" w:sz="2" w:space="0" w:color="auto"/>
              <w:right w:val="nil"/>
            </w:tcBorders>
            <w:vAlign w:val="center"/>
          </w:tcPr>
          <w:p w:rsidR="00041365" w:rsidRDefault="00DC211B" w:rsidP="00DC211B">
            <w:pPr>
              <w:pStyle w:val="cuatexto"/>
              <w:tabs>
                <w:tab w:val="clear" w:pos="2835"/>
              </w:tabs>
              <w:jc w:val="left"/>
            </w:pPr>
            <w:r>
              <w:t>Facturación UNICEF concierto 2010</w:t>
            </w:r>
          </w:p>
        </w:tc>
        <w:tc>
          <w:tcPr>
            <w:tcW w:w="4056" w:type="dxa"/>
            <w:tcBorders>
              <w:top w:val="single" w:sz="4" w:space="0" w:color="auto"/>
              <w:left w:val="nil"/>
              <w:bottom w:val="single" w:sz="2" w:space="0" w:color="auto"/>
            </w:tcBorders>
            <w:vAlign w:val="center"/>
          </w:tcPr>
          <w:p w:rsidR="00041365" w:rsidRDefault="00041365" w:rsidP="00DC211B">
            <w:pPr>
              <w:pStyle w:val="cuatexto"/>
              <w:tabs>
                <w:tab w:val="clear" w:pos="2835"/>
              </w:tabs>
              <w:jc w:val="right"/>
            </w:pPr>
            <w:r>
              <w:t>9.500</w:t>
            </w:r>
          </w:p>
        </w:tc>
      </w:tr>
      <w:tr w:rsidR="00041365" w:rsidTr="004B0A3B">
        <w:trPr>
          <w:trHeight w:val="198"/>
          <w:jc w:val="center"/>
        </w:trPr>
        <w:tc>
          <w:tcPr>
            <w:tcW w:w="4795" w:type="dxa"/>
            <w:tcBorders>
              <w:top w:val="single" w:sz="2" w:space="0" w:color="auto"/>
              <w:bottom w:val="single" w:sz="2" w:space="0" w:color="auto"/>
              <w:right w:val="nil"/>
            </w:tcBorders>
            <w:vAlign w:val="center"/>
          </w:tcPr>
          <w:p w:rsidR="00041365" w:rsidRDefault="00DC211B" w:rsidP="00DC211B">
            <w:pPr>
              <w:pStyle w:val="cuatexto"/>
              <w:tabs>
                <w:tab w:val="clear" w:pos="2835"/>
              </w:tabs>
              <w:jc w:val="left"/>
            </w:pPr>
            <w:r>
              <w:t>Facturación UNICEF concierto 2010</w:t>
            </w:r>
          </w:p>
        </w:tc>
        <w:tc>
          <w:tcPr>
            <w:tcW w:w="4056" w:type="dxa"/>
            <w:tcBorders>
              <w:top w:val="single" w:sz="2" w:space="0" w:color="auto"/>
              <w:left w:val="nil"/>
              <w:bottom w:val="single" w:sz="2" w:space="0" w:color="auto"/>
            </w:tcBorders>
            <w:vAlign w:val="center"/>
          </w:tcPr>
          <w:p w:rsidR="00041365" w:rsidRDefault="00041365" w:rsidP="00DC211B">
            <w:pPr>
              <w:pStyle w:val="cuatexto"/>
              <w:tabs>
                <w:tab w:val="clear" w:pos="2835"/>
              </w:tabs>
              <w:jc w:val="right"/>
            </w:pPr>
            <w:r>
              <w:t>17.500</w:t>
            </w:r>
          </w:p>
        </w:tc>
      </w:tr>
      <w:tr w:rsidR="00041365" w:rsidTr="004B0A3B">
        <w:trPr>
          <w:trHeight w:val="198"/>
          <w:jc w:val="center"/>
        </w:trPr>
        <w:tc>
          <w:tcPr>
            <w:tcW w:w="4795" w:type="dxa"/>
            <w:tcBorders>
              <w:top w:val="single" w:sz="2" w:space="0" w:color="auto"/>
              <w:bottom w:val="single" w:sz="4" w:space="0" w:color="auto"/>
              <w:right w:val="nil"/>
            </w:tcBorders>
            <w:vAlign w:val="center"/>
          </w:tcPr>
          <w:p w:rsidR="00041365" w:rsidRDefault="00DC211B" w:rsidP="00031723">
            <w:pPr>
              <w:pStyle w:val="cuatexto"/>
              <w:tabs>
                <w:tab w:val="clear" w:pos="2835"/>
              </w:tabs>
              <w:jc w:val="left"/>
            </w:pPr>
            <w:r>
              <w:t xml:space="preserve">Facturación Gobierno concierto día de Navarra 2010 </w:t>
            </w:r>
          </w:p>
        </w:tc>
        <w:tc>
          <w:tcPr>
            <w:tcW w:w="4056" w:type="dxa"/>
            <w:tcBorders>
              <w:top w:val="single" w:sz="2" w:space="0" w:color="auto"/>
              <w:left w:val="nil"/>
              <w:bottom w:val="single" w:sz="4" w:space="0" w:color="auto"/>
            </w:tcBorders>
            <w:vAlign w:val="center"/>
          </w:tcPr>
          <w:p w:rsidR="00041365" w:rsidRDefault="00041365" w:rsidP="00DC211B">
            <w:pPr>
              <w:pStyle w:val="cuatexto"/>
              <w:tabs>
                <w:tab w:val="clear" w:pos="2835"/>
              </w:tabs>
              <w:jc w:val="right"/>
            </w:pPr>
            <w:r>
              <w:t>17.700</w:t>
            </w:r>
          </w:p>
        </w:tc>
      </w:tr>
      <w:tr w:rsidR="00041365" w:rsidTr="004B0A3B">
        <w:trPr>
          <w:trHeight w:val="255"/>
          <w:jc w:val="center"/>
        </w:trPr>
        <w:tc>
          <w:tcPr>
            <w:tcW w:w="4795" w:type="dxa"/>
            <w:tcBorders>
              <w:top w:val="single" w:sz="4" w:space="0" w:color="auto"/>
              <w:bottom w:val="single" w:sz="4" w:space="0" w:color="auto"/>
              <w:right w:val="nil"/>
            </w:tcBorders>
            <w:shd w:val="clear" w:color="auto" w:fill="8DB3E2" w:themeFill="text2" w:themeFillTint="66"/>
            <w:vAlign w:val="center"/>
          </w:tcPr>
          <w:p w:rsidR="00041365" w:rsidRPr="00016BB3" w:rsidRDefault="00041365" w:rsidP="004B0A3B">
            <w:pPr>
              <w:pStyle w:val="cuatexto"/>
              <w:tabs>
                <w:tab w:val="clear" w:pos="2835"/>
              </w:tabs>
              <w:jc w:val="left"/>
              <w:rPr>
                <w:rFonts w:ascii="Arial" w:hAnsi="Arial" w:cs="Arial"/>
                <w:sz w:val="18"/>
                <w:szCs w:val="18"/>
              </w:rPr>
            </w:pPr>
            <w:r>
              <w:rPr>
                <w:rFonts w:ascii="Arial" w:hAnsi="Arial" w:cs="Arial"/>
                <w:sz w:val="18"/>
                <w:szCs w:val="18"/>
              </w:rPr>
              <w:t>Total</w:t>
            </w:r>
          </w:p>
        </w:tc>
        <w:tc>
          <w:tcPr>
            <w:tcW w:w="4056" w:type="dxa"/>
            <w:tcBorders>
              <w:top w:val="single" w:sz="4" w:space="0" w:color="auto"/>
              <w:left w:val="nil"/>
              <w:bottom w:val="single" w:sz="4" w:space="0" w:color="auto"/>
            </w:tcBorders>
            <w:shd w:val="clear" w:color="auto" w:fill="8DB3E2" w:themeFill="text2" w:themeFillTint="66"/>
            <w:vAlign w:val="center"/>
          </w:tcPr>
          <w:p w:rsidR="00041365" w:rsidRPr="00016BB3" w:rsidRDefault="00041365" w:rsidP="00DC211B">
            <w:pPr>
              <w:pStyle w:val="cuatexto"/>
              <w:tabs>
                <w:tab w:val="clear" w:pos="2835"/>
              </w:tabs>
              <w:jc w:val="right"/>
              <w:rPr>
                <w:rFonts w:ascii="Arial" w:hAnsi="Arial" w:cs="Arial"/>
                <w:sz w:val="18"/>
                <w:szCs w:val="18"/>
              </w:rPr>
            </w:pPr>
            <w:r w:rsidRPr="00016BB3">
              <w:rPr>
                <w:rFonts w:ascii="Arial" w:hAnsi="Arial" w:cs="Arial"/>
                <w:sz w:val="18"/>
                <w:szCs w:val="18"/>
              </w:rPr>
              <w:t>44.700</w:t>
            </w:r>
          </w:p>
        </w:tc>
      </w:tr>
    </w:tbl>
    <w:p w:rsidR="003E5304" w:rsidRDefault="003E5304" w:rsidP="00031723">
      <w:pPr>
        <w:pStyle w:val="texto"/>
        <w:spacing w:before="240" w:after="240"/>
      </w:pPr>
      <w:r>
        <w:t>Por lo tanto, el importe total no ingresado en la Fundación sería:</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2835"/>
        <w:gridCol w:w="5954"/>
      </w:tblGrid>
      <w:tr w:rsidR="00041365" w:rsidTr="004B0A3B">
        <w:trPr>
          <w:jc w:val="center"/>
        </w:trPr>
        <w:tc>
          <w:tcPr>
            <w:tcW w:w="2835" w:type="dxa"/>
            <w:tcBorders>
              <w:top w:val="single" w:sz="4" w:space="0" w:color="auto"/>
              <w:bottom w:val="single" w:sz="2" w:space="0" w:color="auto"/>
              <w:right w:val="nil"/>
            </w:tcBorders>
            <w:vAlign w:val="center"/>
          </w:tcPr>
          <w:p w:rsidR="00041365" w:rsidRDefault="00C76841" w:rsidP="00041365">
            <w:pPr>
              <w:pStyle w:val="cuatexto"/>
              <w:jc w:val="left"/>
            </w:pPr>
            <w:r>
              <w:t>Entradas y abonos</w:t>
            </w:r>
          </w:p>
        </w:tc>
        <w:tc>
          <w:tcPr>
            <w:tcW w:w="5954" w:type="dxa"/>
            <w:tcBorders>
              <w:top w:val="single" w:sz="4" w:space="0" w:color="auto"/>
              <w:left w:val="nil"/>
              <w:bottom w:val="single" w:sz="2" w:space="0" w:color="auto"/>
            </w:tcBorders>
            <w:vAlign w:val="center"/>
          </w:tcPr>
          <w:p w:rsidR="00041365" w:rsidRDefault="00041365" w:rsidP="0016167A">
            <w:pPr>
              <w:pStyle w:val="cuatexto"/>
              <w:jc w:val="right"/>
            </w:pPr>
            <w:r>
              <w:t>409.883</w:t>
            </w:r>
          </w:p>
        </w:tc>
      </w:tr>
      <w:tr w:rsidR="00041365" w:rsidTr="004B0A3B">
        <w:trPr>
          <w:jc w:val="center"/>
        </w:trPr>
        <w:tc>
          <w:tcPr>
            <w:tcW w:w="2835" w:type="dxa"/>
            <w:tcBorders>
              <w:top w:val="single" w:sz="2" w:space="0" w:color="auto"/>
              <w:bottom w:val="single" w:sz="4" w:space="0" w:color="auto"/>
              <w:right w:val="nil"/>
            </w:tcBorders>
            <w:vAlign w:val="center"/>
          </w:tcPr>
          <w:p w:rsidR="00041365" w:rsidRDefault="00C76841" w:rsidP="00041365">
            <w:pPr>
              <w:pStyle w:val="cuatexto"/>
              <w:jc w:val="left"/>
            </w:pPr>
            <w:r>
              <w:t>Facturas por conciertos</w:t>
            </w:r>
          </w:p>
        </w:tc>
        <w:tc>
          <w:tcPr>
            <w:tcW w:w="5954" w:type="dxa"/>
            <w:tcBorders>
              <w:top w:val="single" w:sz="2" w:space="0" w:color="auto"/>
              <w:left w:val="nil"/>
              <w:bottom w:val="single" w:sz="4" w:space="0" w:color="auto"/>
            </w:tcBorders>
            <w:vAlign w:val="center"/>
          </w:tcPr>
          <w:p w:rsidR="00041365" w:rsidRDefault="00041365" w:rsidP="0016167A">
            <w:pPr>
              <w:pStyle w:val="cuatexto"/>
              <w:jc w:val="right"/>
            </w:pPr>
            <w:r>
              <w:t>44.700</w:t>
            </w:r>
          </w:p>
        </w:tc>
      </w:tr>
      <w:tr w:rsidR="00041365" w:rsidRPr="00041365" w:rsidTr="004B0A3B">
        <w:trPr>
          <w:trHeight w:val="255"/>
          <w:jc w:val="center"/>
        </w:trPr>
        <w:tc>
          <w:tcPr>
            <w:tcW w:w="2835" w:type="dxa"/>
            <w:tcBorders>
              <w:top w:val="single" w:sz="4" w:space="0" w:color="auto"/>
              <w:bottom w:val="single" w:sz="4" w:space="0" w:color="auto"/>
              <w:right w:val="nil"/>
            </w:tcBorders>
            <w:shd w:val="clear" w:color="auto" w:fill="8DB3E2" w:themeFill="text2" w:themeFillTint="66"/>
            <w:vAlign w:val="center"/>
          </w:tcPr>
          <w:p w:rsidR="00041365" w:rsidRPr="00041365" w:rsidRDefault="00041365" w:rsidP="00041365">
            <w:pPr>
              <w:pStyle w:val="cuatexto"/>
              <w:jc w:val="left"/>
              <w:rPr>
                <w:rFonts w:ascii="Arial" w:hAnsi="Arial" w:cs="Arial"/>
                <w:sz w:val="18"/>
                <w:szCs w:val="18"/>
              </w:rPr>
            </w:pPr>
            <w:r w:rsidRPr="00041365">
              <w:rPr>
                <w:rFonts w:ascii="Arial" w:hAnsi="Arial" w:cs="Arial"/>
                <w:sz w:val="18"/>
                <w:szCs w:val="18"/>
              </w:rPr>
              <w:t>Total</w:t>
            </w:r>
          </w:p>
        </w:tc>
        <w:tc>
          <w:tcPr>
            <w:tcW w:w="5954" w:type="dxa"/>
            <w:tcBorders>
              <w:top w:val="single" w:sz="4" w:space="0" w:color="auto"/>
              <w:left w:val="nil"/>
              <w:bottom w:val="single" w:sz="4" w:space="0" w:color="auto"/>
            </w:tcBorders>
            <w:shd w:val="clear" w:color="auto" w:fill="8DB3E2" w:themeFill="text2" w:themeFillTint="66"/>
            <w:vAlign w:val="center"/>
          </w:tcPr>
          <w:p w:rsidR="00041365" w:rsidRPr="00041365" w:rsidRDefault="00041365" w:rsidP="0016167A">
            <w:pPr>
              <w:pStyle w:val="cuatexto"/>
              <w:jc w:val="right"/>
              <w:rPr>
                <w:rFonts w:ascii="Arial" w:hAnsi="Arial" w:cs="Arial"/>
                <w:sz w:val="18"/>
                <w:szCs w:val="18"/>
              </w:rPr>
            </w:pPr>
            <w:r w:rsidRPr="00041365">
              <w:rPr>
                <w:rFonts w:ascii="Arial" w:hAnsi="Arial" w:cs="Arial"/>
                <w:sz w:val="18"/>
                <w:szCs w:val="18"/>
              </w:rPr>
              <w:t>454.583</w:t>
            </w:r>
          </w:p>
        </w:tc>
      </w:tr>
    </w:tbl>
    <w:p w:rsidR="00C21F83" w:rsidRDefault="00C21F83" w:rsidP="004B0A3B">
      <w:pPr>
        <w:pStyle w:val="texto"/>
        <w:spacing w:before="240" w:after="240"/>
      </w:pPr>
    </w:p>
    <w:p w:rsidR="003E5304" w:rsidRDefault="00C21F83" w:rsidP="004B0A3B">
      <w:pPr>
        <w:pStyle w:val="texto"/>
        <w:spacing w:before="240" w:after="240"/>
      </w:pPr>
      <w:r>
        <w:lastRenderedPageBreak/>
        <w:t>9</w:t>
      </w:r>
      <w:r w:rsidR="00817067">
        <w:t>) La S</w:t>
      </w:r>
      <w:r w:rsidR="003E5304">
        <w:t xml:space="preserve">ociedad ha registrado los siguientes </w:t>
      </w:r>
      <w:r w:rsidR="006E39CF">
        <w:t>gastos</w:t>
      </w:r>
      <w:r w:rsidR="003E5304">
        <w:t xml:space="preserve"> que analizamos indiv</w:t>
      </w:r>
      <w:r w:rsidR="003E5304">
        <w:t>i</w:t>
      </w:r>
      <w:r w:rsidR="003E5304">
        <w:t>dualmente en las siguientes conclusiones:</w:t>
      </w:r>
    </w:p>
    <w:tbl>
      <w:tblPr>
        <w:tblStyle w:val="Tablaconcuadrcula"/>
        <w:tblW w:w="0" w:type="auto"/>
        <w:jc w:val="center"/>
        <w:tblInd w:w="-340" w:type="dxa"/>
        <w:tblBorders>
          <w:left w:val="none" w:sz="0" w:space="0" w:color="auto"/>
          <w:right w:val="none" w:sz="0" w:space="0" w:color="auto"/>
          <w:insideV w:val="none" w:sz="0" w:space="0" w:color="auto"/>
        </w:tblBorders>
        <w:tblLook w:val="04A0" w:firstRow="1" w:lastRow="0" w:firstColumn="1" w:lastColumn="0" w:noHBand="0" w:noVBand="1"/>
      </w:tblPr>
      <w:tblGrid>
        <w:gridCol w:w="7252"/>
        <w:gridCol w:w="1617"/>
      </w:tblGrid>
      <w:tr w:rsidR="003E5304" w:rsidTr="00750957">
        <w:trPr>
          <w:trHeight w:val="198"/>
          <w:jc w:val="center"/>
        </w:trPr>
        <w:tc>
          <w:tcPr>
            <w:tcW w:w="7252" w:type="dxa"/>
            <w:tcBorders>
              <w:top w:val="single" w:sz="4" w:space="0" w:color="auto"/>
              <w:bottom w:val="single" w:sz="2" w:space="0" w:color="auto"/>
            </w:tcBorders>
            <w:vAlign w:val="center"/>
          </w:tcPr>
          <w:p w:rsidR="003E5304" w:rsidRDefault="003E5304" w:rsidP="0016167A">
            <w:pPr>
              <w:pStyle w:val="cuatexto"/>
              <w:jc w:val="left"/>
            </w:pPr>
            <w:r>
              <w:t>Donativos UNICEF</w:t>
            </w:r>
          </w:p>
        </w:tc>
        <w:tc>
          <w:tcPr>
            <w:tcW w:w="1617" w:type="dxa"/>
            <w:tcBorders>
              <w:top w:val="single" w:sz="4" w:space="0" w:color="auto"/>
              <w:bottom w:val="single" w:sz="2" w:space="0" w:color="auto"/>
            </w:tcBorders>
            <w:vAlign w:val="center"/>
          </w:tcPr>
          <w:p w:rsidR="003E5304" w:rsidRDefault="003E5304" w:rsidP="0016167A">
            <w:pPr>
              <w:pStyle w:val="cuatexto"/>
              <w:jc w:val="right"/>
            </w:pPr>
            <w:r>
              <w:t>129.148</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C76841" w:rsidP="00C76841">
            <w:pPr>
              <w:pStyle w:val="cuatexto"/>
              <w:jc w:val="left"/>
            </w:pPr>
            <w:r>
              <w:t>Gerencia</w:t>
            </w:r>
            <w:r w:rsidR="003E5304">
              <w:t xml:space="preserve"> y g</w:t>
            </w:r>
            <w:r>
              <w:t>estión</w:t>
            </w:r>
          </w:p>
        </w:tc>
        <w:tc>
          <w:tcPr>
            <w:tcW w:w="1617" w:type="dxa"/>
            <w:tcBorders>
              <w:top w:val="single" w:sz="2" w:space="0" w:color="auto"/>
              <w:bottom w:val="single" w:sz="2" w:space="0" w:color="auto"/>
            </w:tcBorders>
            <w:vAlign w:val="center"/>
          </w:tcPr>
          <w:p w:rsidR="003E5304" w:rsidRDefault="003E5304" w:rsidP="0016167A">
            <w:pPr>
              <w:pStyle w:val="cuatexto"/>
              <w:jc w:val="right"/>
            </w:pPr>
            <w:r>
              <w:t>92.777</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3E5304" w:rsidP="0016167A">
            <w:pPr>
              <w:pStyle w:val="cuatexto"/>
              <w:jc w:val="left"/>
            </w:pPr>
            <w:r>
              <w:t>Gastos varios</w:t>
            </w:r>
          </w:p>
        </w:tc>
        <w:tc>
          <w:tcPr>
            <w:tcW w:w="1617" w:type="dxa"/>
            <w:tcBorders>
              <w:top w:val="single" w:sz="2" w:space="0" w:color="auto"/>
              <w:bottom w:val="single" w:sz="2" w:space="0" w:color="auto"/>
            </w:tcBorders>
            <w:vAlign w:val="center"/>
          </w:tcPr>
          <w:p w:rsidR="003E5304" w:rsidRDefault="003E5304" w:rsidP="0016167A">
            <w:pPr>
              <w:pStyle w:val="cuatexto"/>
              <w:jc w:val="right"/>
            </w:pPr>
            <w:r>
              <w:t>49.409</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3E5304" w:rsidP="0016167A">
            <w:pPr>
              <w:pStyle w:val="cuatexto"/>
              <w:jc w:val="left"/>
            </w:pPr>
            <w:r>
              <w:t>Arrendamientos</w:t>
            </w:r>
          </w:p>
        </w:tc>
        <w:tc>
          <w:tcPr>
            <w:tcW w:w="1617" w:type="dxa"/>
            <w:tcBorders>
              <w:top w:val="single" w:sz="2" w:space="0" w:color="auto"/>
              <w:bottom w:val="single" w:sz="2" w:space="0" w:color="auto"/>
            </w:tcBorders>
            <w:vAlign w:val="center"/>
          </w:tcPr>
          <w:p w:rsidR="003E5304" w:rsidRDefault="003E5304" w:rsidP="0016167A">
            <w:pPr>
              <w:pStyle w:val="cuatexto"/>
              <w:jc w:val="right"/>
            </w:pPr>
            <w:r>
              <w:t>17.873</w:t>
            </w:r>
          </w:p>
        </w:tc>
      </w:tr>
      <w:tr w:rsidR="003E5304" w:rsidTr="00D37F46">
        <w:trPr>
          <w:trHeight w:val="198"/>
          <w:jc w:val="center"/>
        </w:trPr>
        <w:tc>
          <w:tcPr>
            <w:tcW w:w="7252" w:type="dxa"/>
            <w:tcBorders>
              <w:top w:val="single" w:sz="2" w:space="0" w:color="auto"/>
              <w:bottom w:val="single" w:sz="4" w:space="0" w:color="auto"/>
            </w:tcBorders>
            <w:vAlign w:val="center"/>
          </w:tcPr>
          <w:p w:rsidR="003E5304" w:rsidRDefault="003E5304" w:rsidP="0016167A">
            <w:pPr>
              <w:pStyle w:val="cuatexto"/>
              <w:jc w:val="left"/>
            </w:pPr>
            <w:r>
              <w:t>Gastos bancarios*</w:t>
            </w:r>
          </w:p>
        </w:tc>
        <w:tc>
          <w:tcPr>
            <w:tcW w:w="1617" w:type="dxa"/>
            <w:tcBorders>
              <w:top w:val="single" w:sz="2" w:space="0" w:color="auto"/>
              <w:bottom w:val="single" w:sz="4" w:space="0" w:color="auto"/>
            </w:tcBorders>
            <w:vAlign w:val="center"/>
          </w:tcPr>
          <w:p w:rsidR="003E5304" w:rsidRDefault="003E5304" w:rsidP="0016167A">
            <w:pPr>
              <w:pStyle w:val="cuatexto"/>
              <w:jc w:val="right"/>
            </w:pPr>
            <w:r>
              <w:t>2.671</w:t>
            </w:r>
          </w:p>
        </w:tc>
      </w:tr>
      <w:tr w:rsidR="003E5304" w:rsidRPr="004B0A3B" w:rsidTr="00D37F46">
        <w:trPr>
          <w:trHeight w:val="198"/>
          <w:jc w:val="center"/>
        </w:trPr>
        <w:tc>
          <w:tcPr>
            <w:tcW w:w="7252" w:type="dxa"/>
            <w:tcBorders>
              <w:top w:val="single" w:sz="4" w:space="0" w:color="auto"/>
              <w:bottom w:val="single" w:sz="4" w:space="0" w:color="auto"/>
            </w:tcBorders>
            <w:vAlign w:val="center"/>
          </w:tcPr>
          <w:p w:rsidR="003E5304" w:rsidRPr="004B0A3B" w:rsidRDefault="003E5304" w:rsidP="0016167A">
            <w:pPr>
              <w:pStyle w:val="cuatexto"/>
              <w:jc w:val="left"/>
              <w:rPr>
                <w:rFonts w:ascii="Arial" w:hAnsi="Arial" w:cs="Arial"/>
                <w:i/>
                <w:sz w:val="18"/>
                <w:szCs w:val="18"/>
              </w:rPr>
            </w:pPr>
            <w:r w:rsidRPr="004B0A3B">
              <w:rPr>
                <w:rFonts w:ascii="Arial" w:hAnsi="Arial" w:cs="Arial"/>
                <w:i/>
                <w:sz w:val="18"/>
                <w:szCs w:val="18"/>
              </w:rPr>
              <w:t>Subtotal</w:t>
            </w:r>
          </w:p>
        </w:tc>
        <w:tc>
          <w:tcPr>
            <w:tcW w:w="1617" w:type="dxa"/>
            <w:tcBorders>
              <w:top w:val="single" w:sz="4" w:space="0" w:color="auto"/>
              <w:bottom w:val="single" w:sz="4" w:space="0" w:color="auto"/>
            </w:tcBorders>
            <w:vAlign w:val="center"/>
          </w:tcPr>
          <w:p w:rsidR="003E5304" w:rsidRPr="004B0A3B" w:rsidRDefault="003E5304" w:rsidP="0016167A">
            <w:pPr>
              <w:pStyle w:val="cuatexto"/>
              <w:jc w:val="right"/>
              <w:rPr>
                <w:rFonts w:ascii="Arial" w:hAnsi="Arial" w:cs="Arial"/>
                <w:i/>
                <w:sz w:val="18"/>
                <w:szCs w:val="18"/>
              </w:rPr>
            </w:pPr>
            <w:r w:rsidRPr="004B0A3B">
              <w:rPr>
                <w:rFonts w:ascii="Arial" w:hAnsi="Arial" w:cs="Arial"/>
                <w:i/>
                <w:sz w:val="18"/>
                <w:szCs w:val="18"/>
              </w:rPr>
              <w:t>291.878</w:t>
            </w:r>
          </w:p>
        </w:tc>
      </w:tr>
      <w:tr w:rsidR="003E5304" w:rsidTr="00D37F46">
        <w:trPr>
          <w:trHeight w:val="198"/>
          <w:jc w:val="center"/>
        </w:trPr>
        <w:tc>
          <w:tcPr>
            <w:tcW w:w="7252" w:type="dxa"/>
            <w:tcBorders>
              <w:top w:val="single" w:sz="4" w:space="0" w:color="auto"/>
              <w:bottom w:val="single" w:sz="4" w:space="0" w:color="auto"/>
            </w:tcBorders>
            <w:vAlign w:val="center"/>
          </w:tcPr>
          <w:p w:rsidR="003E5304" w:rsidRDefault="003E5304" w:rsidP="00280336">
            <w:pPr>
              <w:pStyle w:val="cuatexto"/>
              <w:jc w:val="left"/>
            </w:pPr>
            <w:r>
              <w:t xml:space="preserve">Subvención a la FPS para el </w:t>
            </w:r>
            <w:r w:rsidR="00280336">
              <w:t>fomento</w:t>
            </w:r>
            <w:r>
              <w:t xml:space="preserve"> de una academia orquestal de jóvenes músicos</w:t>
            </w:r>
          </w:p>
        </w:tc>
        <w:tc>
          <w:tcPr>
            <w:tcW w:w="1617" w:type="dxa"/>
            <w:tcBorders>
              <w:top w:val="single" w:sz="4" w:space="0" w:color="auto"/>
              <w:bottom w:val="single" w:sz="4" w:space="0" w:color="auto"/>
            </w:tcBorders>
            <w:vAlign w:val="center"/>
          </w:tcPr>
          <w:p w:rsidR="003E5304" w:rsidRDefault="003E5304" w:rsidP="0016167A">
            <w:pPr>
              <w:pStyle w:val="cuatexto"/>
              <w:jc w:val="right"/>
            </w:pPr>
            <w:r>
              <w:t>400.000</w:t>
            </w:r>
          </w:p>
        </w:tc>
      </w:tr>
      <w:tr w:rsidR="003E5304" w:rsidRPr="00041365" w:rsidTr="00750957">
        <w:trPr>
          <w:trHeight w:val="255"/>
          <w:jc w:val="center"/>
        </w:trPr>
        <w:tc>
          <w:tcPr>
            <w:tcW w:w="7252" w:type="dxa"/>
            <w:tcBorders>
              <w:top w:val="single" w:sz="4" w:space="0" w:color="auto"/>
              <w:bottom w:val="single" w:sz="4" w:space="0" w:color="auto"/>
            </w:tcBorders>
            <w:shd w:val="clear" w:color="auto" w:fill="8DB3E2" w:themeFill="text2" w:themeFillTint="66"/>
            <w:vAlign w:val="center"/>
          </w:tcPr>
          <w:p w:rsidR="003E5304" w:rsidRPr="00041365" w:rsidRDefault="003E5304" w:rsidP="0016167A">
            <w:pPr>
              <w:pStyle w:val="cuatexto"/>
              <w:jc w:val="left"/>
              <w:rPr>
                <w:rFonts w:ascii="Arial" w:hAnsi="Arial" w:cs="Arial"/>
                <w:sz w:val="18"/>
                <w:szCs w:val="18"/>
              </w:rPr>
            </w:pPr>
            <w:r w:rsidRPr="00041365">
              <w:rPr>
                <w:rFonts w:ascii="Arial" w:hAnsi="Arial" w:cs="Arial"/>
                <w:sz w:val="18"/>
                <w:szCs w:val="18"/>
              </w:rPr>
              <w:t>Total</w:t>
            </w:r>
          </w:p>
        </w:tc>
        <w:tc>
          <w:tcPr>
            <w:tcW w:w="1617" w:type="dxa"/>
            <w:tcBorders>
              <w:top w:val="single" w:sz="4" w:space="0" w:color="auto"/>
              <w:bottom w:val="single" w:sz="4" w:space="0" w:color="auto"/>
            </w:tcBorders>
            <w:shd w:val="clear" w:color="auto" w:fill="8DB3E2" w:themeFill="text2" w:themeFillTint="66"/>
            <w:vAlign w:val="center"/>
          </w:tcPr>
          <w:p w:rsidR="003E5304" w:rsidRPr="00041365" w:rsidRDefault="003E5304" w:rsidP="0016167A">
            <w:pPr>
              <w:pStyle w:val="cuatexto"/>
              <w:jc w:val="right"/>
              <w:rPr>
                <w:rFonts w:ascii="Arial" w:hAnsi="Arial" w:cs="Arial"/>
                <w:sz w:val="18"/>
                <w:szCs w:val="18"/>
              </w:rPr>
            </w:pPr>
            <w:r w:rsidRPr="00041365">
              <w:rPr>
                <w:rFonts w:ascii="Arial" w:hAnsi="Arial" w:cs="Arial"/>
                <w:sz w:val="18"/>
                <w:szCs w:val="18"/>
              </w:rPr>
              <w:t>691.878</w:t>
            </w:r>
          </w:p>
        </w:tc>
      </w:tr>
    </w:tbl>
    <w:p w:rsidR="003E5304" w:rsidRPr="00041365" w:rsidRDefault="003E5304" w:rsidP="00703E5D">
      <w:pPr>
        <w:pStyle w:val="texto"/>
        <w:spacing w:before="60"/>
        <w:ind w:firstLine="0"/>
        <w:rPr>
          <w:rFonts w:ascii="Arial" w:hAnsi="Arial" w:cs="Arial"/>
          <w:sz w:val="16"/>
          <w:szCs w:val="16"/>
        </w:rPr>
      </w:pPr>
      <w:r w:rsidRPr="00041365">
        <w:rPr>
          <w:rFonts w:ascii="Arial" w:hAnsi="Arial" w:cs="Arial"/>
          <w:sz w:val="16"/>
          <w:szCs w:val="16"/>
        </w:rPr>
        <w:t>*En unos ejercicios se registran los importes de entradas netos de los gastos de gestión y en otros se han regi</w:t>
      </w:r>
      <w:r w:rsidRPr="00041365">
        <w:rPr>
          <w:rFonts w:ascii="Arial" w:hAnsi="Arial" w:cs="Arial"/>
          <w:sz w:val="16"/>
          <w:szCs w:val="16"/>
        </w:rPr>
        <w:t>s</w:t>
      </w:r>
      <w:r w:rsidRPr="00041365">
        <w:rPr>
          <w:rFonts w:ascii="Arial" w:hAnsi="Arial" w:cs="Arial"/>
          <w:sz w:val="16"/>
          <w:szCs w:val="16"/>
        </w:rPr>
        <w:t>trado el bruto por lo que descontamos los gastos incurridos.</w:t>
      </w:r>
    </w:p>
    <w:p w:rsidR="003E5304" w:rsidRDefault="00C21F83" w:rsidP="00041365">
      <w:pPr>
        <w:pStyle w:val="texto"/>
        <w:spacing w:before="240"/>
      </w:pPr>
      <w:r>
        <w:t>10</w:t>
      </w:r>
      <w:r w:rsidR="00817067">
        <w:t>) En resumen, la S</w:t>
      </w:r>
      <w:r w:rsidR="003E5304">
        <w:t>ociedad ha mantenido ingresos por 454.583 euros y ha gastado 691.879 lo que arroja un déficit de 237.296.</w:t>
      </w:r>
    </w:p>
    <w:p w:rsidR="003E5304" w:rsidRDefault="003E5304" w:rsidP="003E5304">
      <w:pPr>
        <w:pStyle w:val="atitulo2"/>
      </w:pPr>
      <w:bookmarkStart w:id="22" w:name="_Toc436040578"/>
      <w:bookmarkStart w:id="23" w:name="_Toc440370830"/>
      <w:r>
        <w:t>c) Explicación de los conceptos de gasto soportados por la la Sociedad de Conciertos Santa Cecilia</w:t>
      </w:r>
      <w:bookmarkEnd w:id="22"/>
      <w:bookmarkEnd w:id="23"/>
    </w:p>
    <w:p w:rsidR="003E5304" w:rsidRPr="00140412" w:rsidRDefault="003E5304" w:rsidP="003E5304">
      <w:pPr>
        <w:pStyle w:val="texto"/>
      </w:pPr>
      <w:r w:rsidRPr="00140412">
        <w:t>1</w:t>
      </w:r>
      <w:r w:rsidR="00C21F83">
        <w:t>1</w:t>
      </w:r>
      <w:r w:rsidRPr="00140412">
        <w:t>) Donativos UNICEF</w:t>
      </w:r>
      <w:r w:rsidR="00CD2C4D">
        <w:t xml:space="preserve"> (129.148 euros)</w:t>
      </w:r>
      <w:r w:rsidRPr="00140412">
        <w:t>.</w:t>
      </w:r>
    </w:p>
    <w:p w:rsidR="003E5304" w:rsidRPr="00140412" w:rsidRDefault="003E5304" w:rsidP="003E5304">
      <w:pPr>
        <w:pStyle w:val="texto"/>
      </w:pPr>
      <w:r w:rsidRPr="00140412">
        <w:t>Uno de los conciertos de la temporada (el de diciembre) se realiza a favor de UNICEF.</w:t>
      </w:r>
    </w:p>
    <w:p w:rsidR="003E5304" w:rsidRPr="00140412" w:rsidRDefault="003E5304" w:rsidP="003E5304">
      <w:pPr>
        <w:pStyle w:val="texto"/>
      </w:pPr>
      <w:r w:rsidRPr="00140412">
        <w:t>No se nos ha proporcionado documentos que autoricen o expliquen las a</w:t>
      </w:r>
      <w:r w:rsidRPr="00140412">
        <w:t>c</w:t>
      </w:r>
      <w:r w:rsidRPr="00140412">
        <w:t xml:space="preserve">tuaciones realizadas. En la mayoría de los casos, la Fundación </w:t>
      </w:r>
      <w:r w:rsidR="0082251C">
        <w:t>factu</w:t>
      </w:r>
      <w:r w:rsidRPr="00140412">
        <w:t xml:space="preserve">raba a UNICEF un importe por el concierto, junto el IVA correspondiente y la </w:t>
      </w:r>
      <w:r w:rsidR="00817067" w:rsidRPr="00140412">
        <w:t>S</w:t>
      </w:r>
      <w:r w:rsidRPr="00140412">
        <w:t>oci</w:t>
      </w:r>
      <w:r w:rsidRPr="00140412">
        <w:t>e</w:t>
      </w:r>
      <w:r w:rsidRPr="00140412">
        <w:t xml:space="preserve">dad realizaba un </w:t>
      </w:r>
      <w:r w:rsidR="0082251C">
        <w:t xml:space="preserve">donativo </w:t>
      </w:r>
      <w:r w:rsidRPr="00140412">
        <w:t>a UNICEF por el mismo importe sin IVA.</w:t>
      </w:r>
    </w:p>
    <w:p w:rsidR="003E5304" w:rsidRPr="00140412" w:rsidRDefault="003E5304" w:rsidP="00041365">
      <w:pPr>
        <w:pStyle w:val="texto"/>
        <w:spacing w:after="240"/>
      </w:pPr>
      <w:r w:rsidRPr="00140412">
        <w:t xml:space="preserve">Las entregas de la </w:t>
      </w:r>
      <w:r w:rsidR="00817067" w:rsidRPr="00140412">
        <w:t>S</w:t>
      </w:r>
      <w:r w:rsidRPr="00140412">
        <w:t>ociedad, teniendo en cuenta el año al que corresponde el concierto, no la fecha de entrega del donativo</w:t>
      </w:r>
      <w:r w:rsidR="000637EE">
        <w:t>,</w:t>
      </w:r>
      <w:r w:rsidRPr="00140412">
        <w:t xml:space="preserve"> son:</w:t>
      </w:r>
    </w:p>
    <w:tbl>
      <w:tblPr>
        <w:tblStyle w:val="Tablaconcuadrcula"/>
        <w:tblW w:w="0" w:type="auto"/>
        <w:jc w:val="center"/>
        <w:tblInd w:w="-641" w:type="dxa"/>
        <w:tblBorders>
          <w:left w:val="none" w:sz="0" w:space="0" w:color="auto"/>
          <w:right w:val="none" w:sz="0" w:space="0" w:color="auto"/>
          <w:insideV w:val="none" w:sz="0" w:space="0" w:color="auto"/>
        </w:tblBorders>
        <w:tblLook w:val="04A0" w:firstRow="1" w:lastRow="0" w:firstColumn="1" w:lastColumn="0" w:noHBand="0" w:noVBand="1"/>
      </w:tblPr>
      <w:tblGrid>
        <w:gridCol w:w="2592"/>
        <w:gridCol w:w="2410"/>
        <w:gridCol w:w="3723"/>
      </w:tblGrid>
      <w:tr w:rsidR="00140412" w:rsidRPr="00140412" w:rsidTr="00750957">
        <w:trPr>
          <w:trHeight w:val="255"/>
          <w:jc w:val="center"/>
        </w:trPr>
        <w:tc>
          <w:tcPr>
            <w:tcW w:w="2592"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rPr>
                <w:rFonts w:ascii="Arial" w:hAnsi="Arial" w:cs="Arial"/>
                <w:sz w:val="18"/>
                <w:szCs w:val="18"/>
              </w:rPr>
            </w:pPr>
            <w:r w:rsidRPr="00140412">
              <w:rPr>
                <w:rFonts w:ascii="Arial" w:hAnsi="Arial" w:cs="Arial"/>
                <w:sz w:val="18"/>
                <w:szCs w:val="18"/>
              </w:rPr>
              <w:t>Año</w:t>
            </w:r>
          </w:p>
        </w:tc>
        <w:tc>
          <w:tcPr>
            <w:tcW w:w="2410"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jc w:val="right"/>
              <w:rPr>
                <w:rFonts w:ascii="Arial" w:hAnsi="Arial" w:cs="Arial"/>
                <w:sz w:val="18"/>
                <w:szCs w:val="18"/>
              </w:rPr>
            </w:pPr>
            <w:r w:rsidRPr="00140412">
              <w:rPr>
                <w:rFonts w:ascii="Arial" w:hAnsi="Arial" w:cs="Arial"/>
                <w:sz w:val="18"/>
                <w:szCs w:val="18"/>
              </w:rPr>
              <w:t>Importe</w:t>
            </w:r>
          </w:p>
        </w:tc>
        <w:tc>
          <w:tcPr>
            <w:tcW w:w="3723"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jc w:val="right"/>
              <w:rPr>
                <w:rFonts w:ascii="Arial" w:hAnsi="Arial" w:cs="Arial"/>
                <w:sz w:val="18"/>
                <w:szCs w:val="18"/>
              </w:rPr>
            </w:pPr>
            <w:r w:rsidRPr="00140412">
              <w:rPr>
                <w:rFonts w:ascii="Arial" w:hAnsi="Arial" w:cs="Arial"/>
                <w:sz w:val="18"/>
                <w:szCs w:val="18"/>
              </w:rPr>
              <w:t>Fecha contabilización pago</w:t>
            </w:r>
          </w:p>
        </w:tc>
      </w:tr>
      <w:tr w:rsidR="003E5304" w:rsidTr="00750957">
        <w:trPr>
          <w:trHeight w:val="198"/>
          <w:jc w:val="center"/>
        </w:trPr>
        <w:tc>
          <w:tcPr>
            <w:tcW w:w="2592" w:type="dxa"/>
            <w:tcBorders>
              <w:top w:val="single" w:sz="4" w:space="0" w:color="auto"/>
              <w:bottom w:val="single" w:sz="2" w:space="0" w:color="auto"/>
            </w:tcBorders>
            <w:vAlign w:val="center"/>
          </w:tcPr>
          <w:p w:rsidR="003E5304" w:rsidRDefault="003E5304" w:rsidP="0016167A">
            <w:pPr>
              <w:pStyle w:val="cuatexto"/>
            </w:pPr>
            <w:r>
              <w:t>2007</w:t>
            </w:r>
          </w:p>
        </w:tc>
        <w:tc>
          <w:tcPr>
            <w:tcW w:w="2410" w:type="dxa"/>
            <w:tcBorders>
              <w:top w:val="single" w:sz="4" w:space="0" w:color="auto"/>
              <w:bottom w:val="single" w:sz="2" w:space="0" w:color="auto"/>
            </w:tcBorders>
            <w:vAlign w:val="center"/>
          </w:tcPr>
          <w:p w:rsidR="003E5304" w:rsidRDefault="003E5304" w:rsidP="0016167A">
            <w:pPr>
              <w:pStyle w:val="cuatexto"/>
              <w:jc w:val="right"/>
            </w:pPr>
            <w:r>
              <w:t>25.077</w:t>
            </w:r>
          </w:p>
        </w:tc>
        <w:tc>
          <w:tcPr>
            <w:tcW w:w="3723" w:type="dxa"/>
            <w:tcBorders>
              <w:top w:val="single" w:sz="4" w:space="0" w:color="auto"/>
              <w:bottom w:val="single" w:sz="2" w:space="0" w:color="auto"/>
            </w:tcBorders>
            <w:vAlign w:val="center"/>
          </w:tcPr>
          <w:p w:rsidR="003E5304" w:rsidRDefault="003E5304" w:rsidP="0016167A">
            <w:pPr>
              <w:pStyle w:val="cuatexto"/>
              <w:jc w:val="right"/>
            </w:pPr>
            <w:r>
              <w:t>10/03/2009</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2008</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22.412</w:t>
            </w:r>
          </w:p>
        </w:tc>
        <w:tc>
          <w:tcPr>
            <w:tcW w:w="3723" w:type="dxa"/>
            <w:tcBorders>
              <w:top w:val="single" w:sz="2" w:space="0" w:color="auto"/>
              <w:bottom w:val="single" w:sz="2" w:space="0" w:color="auto"/>
            </w:tcBorders>
            <w:vAlign w:val="center"/>
          </w:tcPr>
          <w:p w:rsidR="003E5304" w:rsidRDefault="003E5304" w:rsidP="0016167A">
            <w:pPr>
              <w:pStyle w:val="cuatexto"/>
              <w:jc w:val="right"/>
            </w:pPr>
            <w:r>
              <w:t>10/03/2009</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2009</w:t>
            </w:r>
          </w:p>
        </w:tc>
        <w:tc>
          <w:tcPr>
            <w:tcW w:w="2410" w:type="dxa"/>
            <w:tcBorders>
              <w:top w:val="single" w:sz="2" w:space="0" w:color="auto"/>
              <w:bottom w:val="single" w:sz="2" w:space="0" w:color="auto"/>
            </w:tcBorders>
            <w:vAlign w:val="center"/>
          </w:tcPr>
          <w:p w:rsidR="003E5304" w:rsidRDefault="003E5304" w:rsidP="0016167A">
            <w:pPr>
              <w:pStyle w:val="cuatexto"/>
              <w:jc w:val="right"/>
            </w:pPr>
            <w:r>
              <w:t>30.173</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29/01/2010</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2010</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22.900</w:t>
            </w:r>
          </w:p>
        </w:tc>
        <w:tc>
          <w:tcPr>
            <w:tcW w:w="3723" w:type="dxa"/>
            <w:tcBorders>
              <w:top w:val="single" w:sz="2" w:space="0" w:color="auto"/>
              <w:bottom w:val="single" w:sz="2" w:space="0" w:color="auto"/>
            </w:tcBorders>
            <w:vAlign w:val="center"/>
          </w:tcPr>
          <w:p w:rsidR="003E5304" w:rsidRDefault="003E5304" w:rsidP="0016167A">
            <w:pPr>
              <w:pStyle w:val="cuatexto"/>
              <w:jc w:val="right"/>
            </w:pPr>
            <w:r>
              <w:t>03/01/2011</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2011</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2.966</w:t>
            </w:r>
          </w:p>
        </w:tc>
        <w:tc>
          <w:tcPr>
            <w:tcW w:w="3723" w:type="dxa"/>
            <w:tcBorders>
              <w:top w:val="single" w:sz="2" w:space="0" w:color="auto"/>
              <w:bottom w:val="single" w:sz="2" w:space="0" w:color="auto"/>
            </w:tcBorders>
            <w:vAlign w:val="center"/>
          </w:tcPr>
          <w:p w:rsidR="003E5304" w:rsidRDefault="003E5304" w:rsidP="0016167A">
            <w:pPr>
              <w:pStyle w:val="cuatexto"/>
              <w:jc w:val="right"/>
            </w:pPr>
            <w:r>
              <w:t>09/02/2012</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2012</w:t>
            </w:r>
          </w:p>
        </w:tc>
        <w:tc>
          <w:tcPr>
            <w:tcW w:w="2410" w:type="dxa"/>
            <w:tcBorders>
              <w:top w:val="single" w:sz="2" w:space="0" w:color="auto"/>
              <w:bottom w:val="single" w:sz="2" w:space="0" w:color="auto"/>
            </w:tcBorders>
            <w:vAlign w:val="center"/>
          </w:tcPr>
          <w:p w:rsidR="003E5304" w:rsidRDefault="003E5304" w:rsidP="0016167A">
            <w:pPr>
              <w:pStyle w:val="cuatexto"/>
              <w:jc w:val="right"/>
            </w:pPr>
            <w:r>
              <w:t>12.180</w:t>
            </w:r>
          </w:p>
        </w:tc>
        <w:tc>
          <w:tcPr>
            <w:tcW w:w="3723" w:type="dxa"/>
            <w:tcBorders>
              <w:top w:val="single" w:sz="2" w:space="0" w:color="auto"/>
              <w:bottom w:val="single" w:sz="2" w:space="0" w:color="auto"/>
            </w:tcBorders>
            <w:vAlign w:val="center"/>
          </w:tcPr>
          <w:p w:rsidR="003E5304" w:rsidRDefault="003E5304" w:rsidP="0016167A">
            <w:pPr>
              <w:pStyle w:val="cuatexto"/>
              <w:jc w:val="right"/>
            </w:pPr>
            <w:r>
              <w:t>05/03/2013</w:t>
            </w:r>
          </w:p>
        </w:tc>
      </w:tr>
      <w:tr w:rsidR="003E5304" w:rsidTr="00750957">
        <w:trPr>
          <w:trHeight w:val="198"/>
          <w:jc w:val="center"/>
        </w:trPr>
        <w:tc>
          <w:tcPr>
            <w:tcW w:w="2592" w:type="dxa"/>
            <w:tcBorders>
              <w:top w:val="single" w:sz="2" w:space="0" w:color="auto"/>
              <w:bottom w:val="single" w:sz="4" w:space="0" w:color="auto"/>
            </w:tcBorders>
            <w:vAlign w:val="center"/>
          </w:tcPr>
          <w:p w:rsidR="003E5304" w:rsidRDefault="003E5304" w:rsidP="0016167A">
            <w:pPr>
              <w:pStyle w:val="cuatexto"/>
            </w:pPr>
            <w:r>
              <w:t>2013</w:t>
            </w:r>
          </w:p>
        </w:tc>
        <w:tc>
          <w:tcPr>
            <w:tcW w:w="2410" w:type="dxa"/>
            <w:tcBorders>
              <w:top w:val="single" w:sz="2" w:space="0" w:color="auto"/>
              <w:bottom w:val="single" w:sz="4" w:space="0" w:color="auto"/>
            </w:tcBorders>
            <w:vAlign w:val="center"/>
          </w:tcPr>
          <w:p w:rsidR="003E5304" w:rsidRDefault="003E5304" w:rsidP="0016167A">
            <w:pPr>
              <w:pStyle w:val="cuatexto"/>
              <w:jc w:val="right"/>
            </w:pPr>
            <w:r>
              <w:t>12.180</w:t>
            </w:r>
          </w:p>
        </w:tc>
        <w:tc>
          <w:tcPr>
            <w:tcW w:w="3723" w:type="dxa"/>
            <w:tcBorders>
              <w:top w:val="single" w:sz="2" w:space="0" w:color="auto"/>
              <w:bottom w:val="single" w:sz="4" w:space="0" w:color="auto"/>
            </w:tcBorders>
            <w:vAlign w:val="center"/>
          </w:tcPr>
          <w:p w:rsidR="003E5304" w:rsidRDefault="003E5304" w:rsidP="0016167A">
            <w:pPr>
              <w:pStyle w:val="cuatexto"/>
              <w:jc w:val="right"/>
            </w:pPr>
            <w:r>
              <w:t>12/02/2014</w:t>
            </w:r>
          </w:p>
        </w:tc>
      </w:tr>
      <w:tr w:rsidR="003E5304" w:rsidRPr="006340A7" w:rsidTr="00750957">
        <w:trPr>
          <w:trHeight w:val="255"/>
          <w:jc w:val="center"/>
        </w:trPr>
        <w:tc>
          <w:tcPr>
            <w:tcW w:w="2592"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rPr>
                <w:rFonts w:ascii="Arial" w:hAnsi="Arial" w:cs="Arial"/>
                <w:sz w:val="18"/>
                <w:szCs w:val="18"/>
              </w:rPr>
            </w:pPr>
            <w:r w:rsidRPr="006340A7">
              <w:rPr>
                <w:rFonts w:ascii="Arial" w:hAnsi="Arial" w:cs="Arial"/>
                <w:sz w:val="18"/>
                <w:szCs w:val="18"/>
              </w:rPr>
              <w:t>Total</w:t>
            </w:r>
          </w:p>
        </w:tc>
        <w:tc>
          <w:tcPr>
            <w:tcW w:w="2410"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jc w:val="right"/>
              <w:rPr>
                <w:rFonts w:ascii="Arial" w:hAnsi="Arial" w:cs="Arial"/>
                <w:sz w:val="18"/>
                <w:szCs w:val="18"/>
              </w:rPr>
            </w:pPr>
            <w:r w:rsidRPr="006340A7">
              <w:rPr>
                <w:rFonts w:ascii="Arial" w:hAnsi="Arial" w:cs="Arial"/>
                <w:sz w:val="18"/>
                <w:szCs w:val="18"/>
              </w:rPr>
              <w:t>129.148</w:t>
            </w:r>
          </w:p>
        </w:tc>
        <w:tc>
          <w:tcPr>
            <w:tcW w:w="3723"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jc w:val="right"/>
              <w:rPr>
                <w:rFonts w:ascii="Arial" w:hAnsi="Arial" w:cs="Arial"/>
                <w:sz w:val="18"/>
                <w:szCs w:val="18"/>
              </w:rPr>
            </w:pPr>
          </w:p>
        </w:tc>
      </w:tr>
    </w:tbl>
    <w:p w:rsidR="00140412" w:rsidRDefault="00140412" w:rsidP="00041365">
      <w:pPr>
        <w:pStyle w:val="texto"/>
        <w:spacing w:before="240"/>
      </w:pPr>
      <w:r>
        <w:t xml:space="preserve">Es decir, la Fundación </w:t>
      </w:r>
      <w:r w:rsidR="0082251C">
        <w:t xml:space="preserve">factura </w:t>
      </w:r>
      <w:r>
        <w:t xml:space="preserve">y la Sociedad concede un donativo que no guarda relación con el importe de las entradas que, por otra parte, </w:t>
      </w:r>
      <w:r w:rsidR="00CD2C4D">
        <w:t>para los ab</w:t>
      </w:r>
      <w:r w:rsidR="00CD2C4D">
        <w:t>o</w:t>
      </w:r>
      <w:r w:rsidR="00CD2C4D">
        <w:t>nados están incluidas en el abono anual.</w:t>
      </w:r>
    </w:p>
    <w:p w:rsidR="00CD2C4D" w:rsidRDefault="00CD2C4D" w:rsidP="00041365">
      <w:pPr>
        <w:pStyle w:val="texto"/>
        <w:spacing w:before="240"/>
      </w:pPr>
      <w:r>
        <w:t>En 2014, ni se ha facturado ni se ha realizado el posterior donativo, por lo que puede considerarse que es una práctica que ya no se volverá a realizar.</w:t>
      </w:r>
    </w:p>
    <w:p w:rsidR="007C450D" w:rsidRDefault="007C450D" w:rsidP="00041365">
      <w:pPr>
        <w:pStyle w:val="texto"/>
        <w:spacing w:before="240"/>
      </w:pPr>
    </w:p>
    <w:p w:rsidR="003E5304" w:rsidRPr="00140412" w:rsidRDefault="00C21F83" w:rsidP="00041365">
      <w:pPr>
        <w:pStyle w:val="texto"/>
        <w:spacing w:before="240"/>
      </w:pPr>
      <w:r>
        <w:lastRenderedPageBreak/>
        <w:t>12</w:t>
      </w:r>
      <w:r w:rsidR="003E5304" w:rsidRPr="00140412">
        <w:t>) Gerencia y gestión</w:t>
      </w:r>
      <w:r w:rsidR="00CD2C4D">
        <w:t xml:space="preserve"> (92.777 euros)</w:t>
      </w:r>
      <w:bookmarkStart w:id="24" w:name="_GoBack"/>
      <w:bookmarkEnd w:id="24"/>
      <w:r w:rsidR="003E5304" w:rsidRPr="00140412">
        <w:t>.</w:t>
      </w:r>
    </w:p>
    <w:p w:rsidR="003E5304" w:rsidRPr="002B2282" w:rsidRDefault="003E5304" w:rsidP="003E5304">
      <w:pPr>
        <w:pStyle w:val="texto"/>
      </w:pPr>
      <w:r w:rsidRPr="00943158">
        <w:t>En la reunión mantenida con los miembros de la Junta Directiva de la Soci</w:t>
      </w:r>
      <w:r w:rsidRPr="00943158">
        <w:t>e</w:t>
      </w:r>
      <w:r w:rsidRPr="00943158">
        <w:t xml:space="preserve">dad de Conciertos Santa Cecilia nos entregaron una carta de manifestaciones en la que indican que, ante la ausencia de un acuerdo expreso en el libro de actas, </w:t>
      </w:r>
      <w:r w:rsidR="00943158" w:rsidRPr="00943158">
        <w:t xml:space="preserve">dieron, con fecha 23 de abril de 2012, </w:t>
      </w:r>
      <w:r w:rsidR="00943158" w:rsidRPr="002B2282">
        <w:rPr>
          <w:sz w:val="20"/>
          <w:szCs w:val="20"/>
        </w:rPr>
        <w:t>“</w:t>
      </w:r>
      <w:r w:rsidR="00943158" w:rsidRPr="002B2282">
        <w:rPr>
          <w:i/>
          <w:sz w:val="20"/>
          <w:szCs w:val="20"/>
        </w:rPr>
        <w:t>el visto bueno al pago al gerente, de sus fondos propios, la cantidad de 95.624,20 euros. Ante la bajada de sueldo a la que le obligaba el Gobierno, el Gerente planteó que no podía asumir esa bajada y tenía otra oferta, por lo que tenía que irse. D</w:t>
      </w:r>
      <w:r w:rsidR="00943158" w:rsidRPr="002B2282">
        <w:rPr>
          <w:i/>
          <w:sz w:val="20"/>
          <w:szCs w:val="20"/>
        </w:rPr>
        <w:t>e</w:t>
      </w:r>
      <w:r w:rsidR="00943158" w:rsidRPr="002B2282">
        <w:rPr>
          <w:i/>
          <w:sz w:val="20"/>
          <w:szCs w:val="20"/>
        </w:rPr>
        <w:t>bido al momento en que se encontraba la Fundación, la Junta Directiva aceptó complementarle la diferencia de salario de dos años, para que pudiera seguir siendo gerente”</w:t>
      </w:r>
      <w:r w:rsidR="002B2282">
        <w:rPr>
          <w:i/>
          <w:sz w:val="20"/>
          <w:szCs w:val="20"/>
        </w:rPr>
        <w:t>.</w:t>
      </w:r>
    </w:p>
    <w:p w:rsidR="003E5304" w:rsidRPr="00943158" w:rsidRDefault="003E5304" w:rsidP="003E5304">
      <w:pPr>
        <w:pStyle w:val="texto"/>
      </w:pPr>
      <w:r w:rsidRPr="00943158">
        <w:t>Justifican esta ac</w:t>
      </w:r>
      <w:r w:rsidR="00817067" w:rsidRPr="00943158">
        <w:t>t</w:t>
      </w:r>
      <w:r w:rsidRPr="00943158">
        <w:t xml:space="preserve">uación en la compleja situación en que se encontraba la Orquesta ya que coincidía en ese momento la sustitución del director artístico, </w:t>
      </w:r>
      <w:r w:rsidR="00943158" w:rsidRPr="00943158">
        <w:t>la finalización de</w:t>
      </w:r>
      <w:r w:rsidR="0082251C">
        <w:t xml:space="preserve"> </w:t>
      </w:r>
      <w:r w:rsidR="00943158" w:rsidRPr="00943158">
        <w:t xml:space="preserve">la temporada 2011-2012, concretar y cerrar la programación de la siguiente temporada 2012-2013 y </w:t>
      </w:r>
      <w:r w:rsidRPr="00943158">
        <w:t xml:space="preserve">la negociación del convenio. </w:t>
      </w:r>
    </w:p>
    <w:p w:rsidR="003E5304" w:rsidRPr="00833CAA" w:rsidRDefault="003E5304" w:rsidP="003E5304">
      <w:pPr>
        <w:pStyle w:val="texto"/>
        <w:rPr>
          <w:i/>
        </w:rPr>
      </w:pPr>
      <w:r w:rsidRPr="00833CAA">
        <w:t>Desde la Fundación no nos han podido proporcionar ningún documento que haga referencia a esta situación, aunque s</w:t>
      </w:r>
      <w:r w:rsidR="0082251C">
        <w:t>í</w:t>
      </w:r>
      <w:r w:rsidRPr="00833CAA">
        <w:t xml:space="preserve"> hemos v</w:t>
      </w:r>
      <w:r w:rsidR="006E39CF">
        <w:t>erificado</w:t>
      </w:r>
      <w:r w:rsidRPr="00833CAA">
        <w:t xml:space="preserve"> </w:t>
      </w:r>
      <w:r w:rsidR="00817067" w:rsidRPr="00833CAA">
        <w:t>en las actas de la S</w:t>
      </w:r>
      <w:r w:rsidRPr="00833CAA">
        <w:t>ociedad</w:t>
      </w:r>
      <w:r w:rsidR="00833CAA" w:rsidRPr="00833CAA">
        <w:t xml:space="preserve"> de</w:t>
      </w:r>
      <w:r w:rsidR="002B2282">
        <w:t xml:space="preserve"> septiembre de 2013, en la que </w:t>
      </w:r>
      <w:r w:rsidR="00833CAA" w:rsidRPr="002B2282">
        <w:rPr>
          <w:i/>
          <w:sz w:val="20"/>
          <w:szCs w:val="20"/>
        </w:rPr>
        <w:t>“el Gerente (de la Fundación) comunica que desde la Consejería de Cultura del Gobierno de Navarra, se le ha indicado la necesidad de presci</w:t>
      </w:r>
      <w:r w:rsidR="00833CAA" w:rsidRPr="002B2282">
        <w:rPr>
          <w:i/>
          <w:sz w:val="20"/>
          <w:szCs w:val="20"/>
        </w:rPr>
        <w:t>n</w:t>
      </w:r>
      <w:r w:rsidR="00833CAA" w:rsidRPr="002B2282">
        <w:rPr>
          <w:i/>
          <w:sz w:val="20"/>
          <w:szCs w:val="20"/>
        </w:rPr>
        <w:t xml:space="preserve">dir de sus servicios como gerente de la Fundación Pablo Sarasate por motivos económicos. Teniendo en cuenta que la organización de la temporada 2013/2014 con dos nuevos directores y la negociación del convenio colectivo en marcha no </w:t>
      </w:r>
      <w:proofErr w:type="gramStart"/>
      <w:r w:rsidR="00833CAA" w:rsidRPr="002B2282">
        <w:rPr>
          <w:i/>
          <w:sz w:val="20"/>
          <w:szCs w:val="20"/>
        </w:rPr>
        <w:t>hace</w:t>
      </w:r>
      <w:proofErr w:type="gramEnd"/>
      <w:r w:rsidR="00833CAA" w:rsidRPr="002B2282">
        <w:rPr>
          <w:i/>
          <w:sz w:val="20"/>
          <w:szCs w:val="20"/>
        </w:rPr>
        <w:t xml:space="preserve"> viable su abandono inmediato ha llegado a un acuerdo con la Consejería de Cultura para permanecer en el puesto hasta Semana Santa de 2014, si bien podría unilateralmente dejar el puesto antes de esa fecha. En cualquier caso mantendría su derecho a i</w:t>
      </w:r>
      <w:r w:rsidR="00833CAA" w:rsidRPr="002B2282">
        <w:rPr>
          <w:i/>
          <w:sz w:val="20"/>
          <w:szCs w:val="20"/>
        </w:rPr>
        <w:t>n</w:t>
      </w:r>
      <w:r w:rsidR="00833CAA" w:rsidRPr="002B2282">
        <w:rPr>
          <w:i/>
          <w:sz w:val="20"/>
          <w:szCs w:val="20"/>
        </w:rPr>
        <w:t>demnización y desempleo de acuerdo con el contrato laboral vigente”</w:t>
      </w:r>
      <w:r w:rsidR="002B2282">
        <w:rPr>
          <w:i/>
          <w:sz w:val="20"/>
          <w:szCs w:val="20"/>
        </w:rPr>
        <w:t>.</w:t>
      </w:r>
    </w:p>
    <w:p w:rsidR="003E5304" w:rsidRDefault="003E5304" w:rsidP="003E5304">
      <w:pPr>
        <w:pStyle w:val="texto"/>
      </w:pPr>
      <w:r>
        <w:t>De la revisión de las nóminas se observa que a partir de junio de 2012 las nóminas del gerente son de menor importe</w:t>
      </w:r>
      <w:r w:rsidR="00BA027B">
        <w:t>, sin que conste acuerdo expreso de la Fundación en este sentido</w:t>
      </w:r>
      <w:r>
        <w:t>.</w:t>
      </w:r>
    </w:p>
    <w:p w:rsidR="003E5304" w:rsidRDefault="003E5304" w:rsidP="003E5304">
      <w:pPr>
        <w:pStyle w:val="texto"/>
      </w:pPr>
      <w:r>
        <w:t>En junio de 2012 la Sociedad de Conciertos Santa Cecilia abonó 92.777,50 euros más 2.846,70 en concepto de intereses por el retraso en el pago, según consta en el diario de contabilidad.</w:t>
      </w:r>
    </w:p>
    <w:p w:rsidR="003E5304" w:rsidRDefault="003E5304" w:rsidP="002B2282">
      <w:pPr>
        <w:pStyle w:val="texto"/>
        <w:spacing w:after="240"/>
      </w:pPr>
      <w:r>
        <w:t>Este importe corresponde a tres facturas que emite el gerente de la Fund</w:t>
      </w:r>
      <w:r>
        <w:t>a</w:t>
      </w:r>
      <w:r>
        <w:t xml:space="preserve">ción por “realización de labores de gerencia, dirección y administración de la asociación” en los años 2010, 2011, y 2012 por importes, IVA </w:t>
      </w:r>
      <w:r w:rsidR="00750957">
        <w:t>incluido</w:t>
      </w:r>
      <w:r>
        <w:t>, de 36.167 euros, 37.347 euros y 19.263,50 euros, respectivamente.</w:t>
      </w:r>
    </w:p>
    <w:tbl>
      <w:tblPr>
        <w:tblStyle w:val="Tablaconcuadrcula"/>
        <w:tblW w:w="0" w:type="auto"/>
        <w:jc w:val="center"/>
        <w:tblInd w:w="70" w:type="dxa"/>
        <w:tblBorders>
          <w:left w:val="none" w:sz="0" w:space="0" w:color="auto"/>
          <w:right w:val="none" w:sz="0" w:space="0" w:color="auto"/>
          <w:insideV w:val="none" w:sz="0" w:space="0" w:color="auto"/>
        </w:tblBorders>
        <w:tblLook w:val="04A0" w:firstRow="1" w:lastRow="0" w:firstColumn="1" w:lastColumn="0" w:noHBand="0" w:noVBand="1"/>
      </w:tblPr>
      <w:tblGrid>
        <w:gridCol w:w="2162"/>
        <w:gridCol w:w="2232"/>
        <w:gridCol w:w="2232"/>
        <w:gridCol w:w="2233"/>
      </w:tblGrid>
      <w:tr w:rsidR="00833CAA" w:rsidTr="00750957">
        <w:trPr>
          <w:trHeight w:val="255"/>
          <w:jc w:val="center"/>
        </w:trPr>
        <w:tc>
          <w:tcPr>
            <w:tcW w:w="216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left"/>
            </w:pPr>
            <w:r>
              <w:t>Concepto</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Importe</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IVA</w:t>
            </w:r>
          </w:p>
        </w:tc>
        <w:tc>
          <w:tcPr>
            <w:tcW w:w="2233"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Total</w:t>
            </w:r>
          </w:p>
        </w:tc>
      </w:tr>
      <w:tr w:rsidR="00833CAA" w:rsidTr="00750957">
        <w:trPr>
          <w:trHeight w:val="198"/>
          <w:jc w:val="center"/>
        </w:trPr>
        <w:tc>
          <w:tcPr>
            <w:tcW w:w="2162" w:type="dxa"/>
            <w:tcBorders>
              <w:top w:val="single" w:sz="4" w:space="0" w:color="auto"/>
              <w:bottom w:val="single" w:sz="2" w:space="0" w:color="auto"/>
            </w:tcBorders>
            <w:vAlign w:val="center"/>
          </w:tcPr>
          <w:p w:rsidR="00833CAA" w:rsidRDefault="001E747C" w:rsidP="00750957">
            <w:pPr>
              <w:pStyle w:val="cuatexto"/>
              <w:jc w:val="left"/>
            </w:pPr>
            <w:r>
              <w:t>Año 2010</w:t>
            </w:r>
          </w:p>
        </w:tc>
        <w:tc>
          <w:tcPr>
            <w:tcW w:w="2232" w:type="dxa"/>
            <w:tcBorders>
              <w:top w:val="single" w:sz="4" w:space="0" w:color="auto"/>
              <w:bottom w:val="single" w:sz="2" w:space="0" w:color="auto"/>
            </w:tcBorders>
            <w:vAlign w:val="center"/>
          </w:tcPr>
          <w:p w:rsidR="00833CAA" w:rsidRDefault="001E747C" w:rsidP="00750957">
            <w:pPr>
              <w:pStyle w:val="cuatexto"/>
              <w:jc w:val="right"/>
            </w:pPr>
            <w:r>
              <w:t>30.650,00</w:t>
            </w:r>
          </w:p>
        </w:tc>
        <w:tc>
          <w:tcPr>
            <w:tcW w:w="2232" w:type="dxa"/>
            <w:tcBorders>
              <w:top w:val="single" w:sz="4" w:space="0" w:color="auto"/>
              <w:bottom w:val="single" w:sz="2" w:space="0" w:color="auto"/>
            </w:tcBorders>
            <w:vAlign w:val="center"/>
          </w:tcPr>
          <w:p w:rsidR="00833CAA" w:rsidRDefault="001E747C" w:rsidP="00750957">
            <w:pPr>
              <w:pStyle w:val="cuatexto"/>
              <w:jc w:val="right"/>
            </w:pPr>
            <w:r>
              <w:t>5.517,00</w:t>
            </w:r>
          </w:p>
        </w:tc>
        <w:tc>
          <w:tcPr>
            <w:tcW w:w="2233" w:type="dxa"/>
            <w:tcBorders>
              <w:top w:val="single" w:sz="4" w:space="0" w:color="auto"/>
              <w:bottom w:val="single" w:sz="2" w:space="0" w:color="auto"/>
            </w:tcBorders>
            <w:vAlign w:val="center"/>
          </w:tcPr>
          <w:p w:rsidR="00833CAA" w:rsidRDefault="001E747C" w:rsidP="00750957">
            <w:pPr>
              <w:pStyle w:val="cuatexto"/>
              <w:jc w:val="right"/>
            </w:pPr>
            <w:r>
              <w:t>36.167,00</w:t>
            </w:r>
          </w:p>
        </w:tc>
      </w:tr>
      <w:tr w:rsidR="00833CAA" w:rsidTr="00750957">
        <w:trPr>
          <w:trHeight w:val="198"/>
          <w:jc w:val="center"/>
        </w:trPr>
        <w:tc>
          <w:tcPr>
            <w:tcW w:w="2162" w:type="dxa"/>
            <w:tcBorders>
              <w:top w:val="single" w:sz="2" w:space="0" w:color="auto"/>
              <w:bottom w:val="single" w:sz="2" w:space="0" w:color="auto"/>
            </w:tcBorders>
            <w:vAlign w:val="center"/>
          </w:tcPr>
          <w:p w:rsidR="00833CAA" w:rsidRDefault="001E747C" w:rsidP="00750957">
            <w:pPr>
              <w:pStyle w:val="cuatexto"/>
              <w:jc w:val="left"/>
            </w:pPr>
            <w:r>
              <w:t>Año 2011</w:t>
            </w:r>
          </w:p>
        </w:tc>
        <w:tc>
          <w:tcPr>
            <w:tcW w:w="2232" w:type="dxa"/>
            <w:tcBorders>
              <w:top w:val="single" w:sz="2" w:space="0" w:color="auto"/>
              <w:bottom w:val="single" w:sz="2" w:space="0" w:color="auto"/>
            </w:tcBorders>
            <w:vAlign w:val="center"/>
          </w:tcPr>
          <w:p w:rsidR="00833CAA" w:rsidRDefault="001E747C" w:rsidP="00750957">
            <w:pPr>
              <w:pStyle w:val="cuatexto"/>
              <w:jc w:val="right"/>
            </w:pPr>
            <w:r>
              <w:t>31.650,00</w:t>
            </w:r>
          </w:p>
        </w:tc>
        <w:tc>
          <w:tcPr>
            <w:tcW w:w="2232" w:type="dxa"/>
            <w:tcBorders>
              <w:top w:val="single" w:sz="2" w:space="0" w:color="auto"/>
              <w:bottom w:val="single" w:sz="2" w:space="0" w:color="auto"/>
            </w:tcBorders>
            <w:vAlign w:val="center"/>
          </w:tcPr>
          <w:p w:rsidR="00833CAA" w:rsidRDefault="001E747C" w:rsidP="00750957">
            <w:pPr>
              <w:pStyle w:val="cuatexto"/>
              <w:jc w:val="right"/>
            </w:pPr>
            <w:r>
              <w:t>5.697,00</w:t>
            </w:r>
          </w:p>
        </w:tc>
        <w:tc>
          <w:tcPr>
            <w:tcW w:w="2233" w:type="dxa"/>
            <w:tcBorders>
              <w:top w:val="single" w:sz="2" w:space="0" w:color="auto"/>
              <w:bottom w:val="single" w:sz="2" w:space="0" w:color="auto"/>
            </w:tcBorders>
            <w:vAlign w:val="center"/>
          </w:tcPr>
          <w:p w:rsidR="00833CAA" w:rsidRDefault="001E747C" w:rsidP="00750957">
            <w:pPr>
              <w:pStyle w:val="cuatexto"/>
              <w:jc w:val="right"/>
            </w:pPr>
            <w:r>
              <w:t>37.347,00</w:t>
            </w:r>
          </w:p>
        </w:tc>
      </w:tr>
      <w:tr w:rsidR="00833CAA" w:rsidTr="00750957">
        <w:trPr>
          <w:trHeight w:val="198"/>
          <w:jc w:val="center"/>
        </w:trPr>
        <w:tc>
          <w:tcPr>
            <w:tcW w:w="2162" w:type="dxa"/>
            <w:tcBorders>
              <w:top w:val="single" w:sz="2" w:space="0" w:color="auto"/>
              <w:bottom w:val="single" w:sz="4" w:space="0" w:color="auto"/>
            </w:tcBorders>
            <w:vAlign w:val="center"/>
          </w:tcPr>
          <w:p w:rsidR="00833CAA" w:rsidRDefault="001E747C" w:rsidP="00750957">
            <w:pPr>
              <w:pStyle w:val="cuatexto"/>
              <w:jc w:val="left"/>
            </w:pPr>
            <w:r>
              <w:t>Año 2012</w:t>
            </w:r>
          </w:p>
        </w:tc>
        <w:tc>
          <w:tcPr>
            <w:tcW w:w="2232" w:type="dxa"/>
            <w:tcBorders>
              <w:top w:val="single" w:sz="2" w:space="0" w:color="auto"/>
              <w:bottom w:val="single" w:sz="4" w:space="0" w:color="auto"/>
            </w:tcBorders>
            <w:vAlign w:val="center"/>
          </w:tcPr>
          <w:p w:rsidR="00833CAA" w:rsidRDefault="001E747C" w:rsidP="00750957">
            <w:pPr>
              <w:pStyle w:val="cuatexto"/>
              <w:jc w:val="right"/>
            </w:pPr>
            <w:r>
              <w:t>16.325,00</w:t>
            </w:r>
          </w:p>
        </w:tc>
        <w:tc>
          <w:tcPr>
            <w:tcW w:w="2232" w:type="dxa"/>
            <w:tcBorders>
              <w:top w:val="single" w:sz="2" w:space="0" w:color="auto"/>
              <w:bottom w:val="single" w:sz="4" w:space="0" w:color="auto"/>
            </w:tcBorders>
            <w:vAlign w:val="center"/>
          </w:tcPr>
          <w:p w:rsidR="00833CAA" w:rsidRDefault="001E747C" w:rsidP="00750957">
            <w:pPr>
              <w:pStyle w:val="cuatexto"/>
              <w:jc w:val="right"/>
            </w:pPr>
            <w:r w:rsidRPr="00CD2C4D">
              <w:t>3.938,50</w:t>
            </w:r>
            <w:r w:rsidR="00CD2C4D" w:rsidRPr="00CD2C4D">
              <w:t>*</w:t>
            </w:r>
          </w:p>
        </w:tc>
        <w:tc>
          <w:tcPr>
            <w:tcW w:w="2233" w:type="dxa"/>
            <w:tcBorders>
              <w:top w:val="single" w:sz="2" w:space="0" w:color="auto"/>
              <w:bottom w:val="single" w:sz="4" w:space="0" w:color="auto"/>
            </w:tcBorders>
            <w:vAlign w:val="center"/>
          </w:tcPr>
          <w:p w:rsidR="00833CAA" w:rsidRDefault="001E747C" w:rsidP="00750957">
            <w:pPr>
              <w:pStyle w:val="cuatexto"/>
              <w:jc w:val="right"/>
            </w:pPr>
            <w:r>
              <w:t>19.263,50</w:t>
            </w:r>
          </w:p>
        </w:tc>
      </w:tr>
      <w:tr w:rsidR="00833CAA" w:rsidRPr="00CD2C4D" w:rsidTr="00750957">
        <w:trPr>
          <w:trHeight w:val="255"/>
          <w:jc w:val="center"/>
        </w:trPr>
        <w:tc>
          <w:tcPr>
            <w:tcW w:w="2162" w:type="dxa"/>
            <w:tcBorders>
              <w:top w:val="single" w:sz="4" w:space="0" w:color="auto"/>
              <w:bottom w:val="single" w:sz="4" w:space="0" w:color="auto"/>
            </w:tcBorders>
            <w:shd w:val="clear" w:color="auto" w:fill="8DB3E2" w:themeFill="text2" w:themeFillTint="66"/>
            <w:vAlign w:val="center"/>
          </w:tcPr>
          <w:p w:rsidR="00833CAA" w:rsidRDefault="00750957" w:rsidP="00750957">
            <w:pPr>
              <w:pStyle w:val="cuatexto"/>
              <w:jc w:val="left"/>
            </w:pPr>
            <w:r>
              <w:t>Total</w:t>
            </w:r>
            <w:r w:rsidR="001E747C">
              <w:t xml:space="preserve"> </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78.625,00</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15.152,50</w:t>
            </w:r>
          </w:p>
        </w:tc>
        <w:tc>
          <w:tcPr>
            <w:tcW w:w="2233" w:type="dxa"/>
            <w:tcBorders>
              <w:top w:val="single" w:sz="4" w:space="0" w:color="auto"/>
              <w:bottom w:val="single" w:sz="4" w:space="0" w:color="auto"/>
            </w:tcBorders>
            <w:shd w:val="clear" w:color="auto" w:fill="8DB3E2" w:themeFill="text2" w:themeFillTint="66"/>
            <w:vAlign w:val="center"/>
          </w:tcPr>
          <w:p w:rsidR="00833CAA" w:rsidRPr="00CD2C4D" w:rsidRDefault="001E747C" w:rsidP="006E39CF">
            <w:pPr>
              <w:pStyle w:val="cuatexto"/>
              <w:jc w:val="right"/>
            </w:pPr>
            <w:r w:rsidRPr="00CD2C4D">
              <w:t>9</w:t>
            </w:r>
            <w:r w:rsidR="006E39CF">
              <w:t>2</w:t>
            </w:r>
            <w:r w:rsidRPr="00CD2C4D">
              <w:t>.777,50</w:t>
            </w:r>
          </w:p>
        </w:tc>
      </w:tr>
    </w:tbl>
    <w:p w:rsidR="00CD2C4D" w:rsidRPr="002B2282" w:rsidRDefault="00CD2C4D" w:rsidP="00FE3DCD">
      <w:pPr>
        <w:pStyle w:val="texto"/>
        <w:spacing w:before="120"/>
        <w:ind w:firstLine="0"/>
        <w:rPr>
          <w:rFonts w:ascii="Arial" w:hAnsi="Arial" w:cs="Arial"/>
          <w:sz w:val="16"/>
          <w:szCs w:val="16"/>
        </w:rPr>
      </w:pPr>
      <w:r w:rsidRPr="002B2282">
        <w:rPr>
          <w:rFonts w:ascii="Arial" w:hAnsi="Arial" w:cs="Arial"/>
          <w:sz w:val="16"/>
          <w:szCs w:val="16"/>
        </w:rPr>
        <w:t>*Hay un error en la factura ya que el importe correcto es 2.938,50.</w:t>
      </w:r>
    </w:p>
    <w:p w:rsidR="006E39CF" w:rsidRDefault="006E39CF" w:rsidP="002B2282">
      <w:pPr>
        <w:pStyle w:val="texto"/>
        <w:spacing w:before="240"/>
      </w:pPr>
      <w:r>
        <w:t>Teniendo en cuenta que la Sociedad no cuenta con personal, que la contab</w:t>
      </w:r>
      <w:r>
        <w:t>i</w:t>
      </w:r>
      <w:r>
        <w:t>lidad la lleva el personal de la Fundación y que su gestión se limita práctic</w:t>
      </w:r>
      <w:r>
        <w:t>a</w:t>
      </w:r>
      <w:r>
        <w:t>mente al cobro de los abonos, que también la realiza el personal de la Fund</w:t>
      </w:r>
      <w:r>
        <w:t>a</w:t>
      </w:r>
      <w:r>
        <w:lastRenderedPageBreak/>
        <w:t>ción, desconocemos cuales pueden ser esas funciones y, por otra parte, si la Fundación conocía esta doble retribución.</w:t>
      </w:r>
    </w:p>
    <w:p w:rsidR="00FD0461" w:rsidRDefault="00FD0461" w:rsidP="006E39CF">
      <w:pPr>
        <w:pStyle w:val="texto"/>
      </w:pPr>
      <w:r>
        <w:rPr>
          <w:color w:val="000000"/>
        </w:rPr>
        <w:t xml:space="preserve">Según nos indica la Junta de Santa Cecilia, el </w:t>
      </w:r>
      <w:r w:rsidR="000637EE">
        <w:rPr>
          <w:color w:val="000000"/>
        </w:rPr>
        <w:t>g</w:t>
      </w:r>
      <w:r>
        <w:rPr>
          <w:color w:val="000000"/>
        </w:rPr>
        <w:t>erente realizaba diversas fu</w:t>
      </w:r>
      <w:r>
        <w:rPr>
          <w:color w:val="000000"/>
        </w:rPr>
        <w:t>n</w:t>
      </w:r>
      <w:r>
        <w:rPr>
          <w:color w:val="000000"/>
        </w:rPr>
        <w:t>ciones para la Sociedad: labores de asesoría artística, asistencia a sus Juntas, elaboración de Actas, preparación para los Patronatos de la Fundación, etc.</w:t>
      </w:r>
    </w:p>
    <w:p w:rsidR="003E5304" w:rsidRDefault="003E5304" w:rsidP="00750957">
      <w:pPr>
        <w:pStyle w:val="texto"/>
        <w:spacing w:before="240"/>
      </w:pPr>
      <w:r>
        <w:t>Según nuestros cálculos, realizados a partir de los datos de las nóminas</w:t>
      </w:r>
      <w:r w:rsidR="00CD2C4D">
        <w:t>,</w:t>
      </w:r>
      <w:r w:rsidR="00530DBF">
        <w:t xml:space="preserve"> ya que no disponemos de los criterios que se han seguido para llegar a la cifra</w:t>
      </w:r>
      <w:r>
        <w:t xml:space="preserve">, el diferencial de retribuciones entre junio de 2012 y febrero de 2014, fecha del cese efectivo, fue de </w:t>
      </w:r>
      <w:r w:rsidR="00530DBF">
        <w:t>aproximadamente 77.000 euros o de 67.000, si tenemos en cuenta que en 2012 no se pagó la extraordinaria de diciembre.</w:t>
      </w:r>
    </w:p>
    <w:p w:rsidR="00530DBF" w:rsidRDefault="00530DBF" w:rsidP="003E5304">
      <w:pPr>
        <w:pStyle w:val="texto"/>
      </w:pPr>
      <w:r>
        <w:t>Es decir, se compensan los ingresos que no</w:t>
      </w:r>
      <w:r w:rsidR="00B57315">
        <w:t xml:space="preserve"> se van a recibir entre junio d</w:t>
      </w:r>
      <w:r>
        <w:t>e</w:t>
      </w:r>
      <w:r w:rsidR="00B57315">
        <w:t xml:space="preserve"> </w:t>
      </w:r>
      <w:r>
        <w:t>2012 y marzo de 2014, mediante el pago de facturas de los años 2010, 2011 y 2012</w:t>
      </w:r>
      <w:r w:rsidR="00B57315">
        <w:t>.</w:t>
      </w:r>
    </w:p>
    <w:p w:rsidR="00905D73" w:rsidRPr="00FE3DCD" w:rsidRDefault="00905D73" w:rsidP="003E5304">
      <w:pPr>
        <w:pStyle w:val="texto"/>
      </w:pPr>
      <w:r w:rsidRPr="00FE3DCD">
        <w:t>Estas facturas no incluían la retención de IRPF que, a nuestro juicio, debiera haberse realizado.</w:t>
      </w:r>
    </w:p>
    <w:p w:rsidR="003E5304" w:rsidRDefault="003E5304" w:rsidP="003E5304">
      <w:pPr>
        <w:pStyle w:val="texto"/>
      </w:pPr>
      <w:r>
        <w:t xml:space="preserve">Por otra parte, hemos comprobado que en la nómina </w:t>
      </w:r>
      <w:r w:rsidR="006E39CF">
        <w:t xml:space="preserve">del gerente </w:t>
      </w:r>
      <w:r>
        <w:t>de la Fund</w:t>
      </w:r>
      <w:r>
        <w:t>a</w:t>
      </w:r>
      <w:r>
        <w:t>ción de diciembre de 2009 consta el abono de 9.500 euros en concepto de “paga Santa Cecilia” A esta retribución no se ha practicado retención de IRPF.</w:t>
      </w:r>
    </w:p>
    <w:p w:rsidR="003E5304" w:rsidRDefault="003E5304" w:rsidP="003E5304">
      <w:pPr>
        <w:pStyle w:val="texto"/>
      </w:pPr>
      <w:r>
        <w:t>1</w:t>
      </w:r>
      <w:r w:rsidR="00C21F83">
        <w:t>3</w:t>
      </w:r>
      <w:r>
        <w:t>) Gastos Varios</w:t>
      </w:r>
      <w:r w:rsidR="006D1EF9">
        <w:t xml:space="preserve"> (49.409 euros)</w:t>
      </w:r>
      <w:r>
        <w:t>.</w:t>
      </w:r>
    </w:p>
    <w:p w:rsidR="003E5304" w:rsidRDefault="003E5304" w:rsidP="003E5304">
      <w:pPr>
        <w:pStyle w:val="texto"/>
      </w:pPr>
      <w:r>
        <w:t xml:space="preserve">En junio de 2011 </w:t>
      </w:r>
      <w:r w:rsidR="00971C00">
        <w:t xml:space="preserve">se produce un pago a través de una cuenta bancaria de la Fundación con cargo a la cuenta común con </w:t>
      </w:r>
      <w:r>
        <w:t xml:space="preserve">la Sociedad </w:t>
      </w:r>
      <w:r w:rsidR="00971C00">
        <w:t>que esta registra como gasto por</w:t>
      </w:r>
      <w:r>
        <w:t xml:space="preserve"> un importe de 49.409 euros.</w:t>
      </w:r>
    </w:p>
    <w:p w:rsidR="003E5304" w:rsidRDefault="003E5304" w:rsidP="003E5304">
      <w:pPr>
        <w:pStyle w:val="texto"/>
      </w:pPr>
      <w:r>
        <w:t>Del documento contable</w:t>
      </w:r>
      <w:r w:rsidR="00530DBF">
        <w:t xml:space="preserve"> de pago, que únicamente indica los beneficiarios y los importes, </w:t>
      </w:r>
      <w:r>
        <w:t>se deduce que son abonos a los empleados de oficina de la Fund</w:t>
      </w:r>
      <w:r>
        <w:t>a</w:t>
      </w:r>
      <w:r>
        <w:t>ción (incluido el gerente) que, verbalmente, nos indican corresponden a una gratificación. De este abono no consta que se hubieran efectuado retenciones de IRPF.</w:t>
      </w:r>
    </w:p>
    <w:p w:rsidR="003E5304" w:rsidRDefault="003E5304" w:rsidP="003E5304">
      <w:pPr>
        <w:pStyle w:val="texto"/>
      </w:pPr>
      <w:r>
        <w:t>1</w:t>
      </w:r>
      <w:r w:rsidR="00C21F83">
        <w:t>4</w:t>
      </w:r>
      <w:r>
        <w:t>) Arrendamientos</w:t>
      </w:r>
      <w:r w:rsidR="006D1EF9">
        <w:t xml:space="preserve"> (17.873 euros)</w:t>
      </w:r>
      <w:r>
        <w:t>.</w:t>
      </w:r>
    </w:p>
    <w:p w:rsidR="003E5304" w:rsidRDefault="003E5304" w:rsidP="003E5304">
      <w:pPr>
        <w:pStyle w:val="texto"/>
      </w:pPr>
      <w:r>
        <w:t>En el contrato del gerente, además del sueldo, se le abonaba el alquiler de la vivienda. A partir de la situación descrita en la conclusión 11, se le suprime, en la práctica, su retribución en especie desde la Fundación y se la abona la Soci</w:t>
      </w:r>
      <w:r>
        <w:t>e</w:t>
      </w:r>
      <w:r>
        <w:t>dad. El importe corresponde a siete meses del año 2012, al año 2013 y tres m</w:t>
      </w:r>
      <w:r>
        <w:t>e</w:t>
      </w:r>
      <w:r>
        <w:t>ses del año 2014; es decir, desde el momento en que se produce la disminución del sueldo hasta su cese definitivo.</w:t>
      </w:r>
    </w:p>
    <w:p w:rsidR="003E5304" w:rsidRDefault="003E5304" w:rsidP="003E5304">
      <w:pPr>
        <w:pStyle w:val="texto"/>
      </w:pPr>
      <w:r>
        <w:t>1</w:t>
      </w:r>
      <w:r w:rsidR="00C21F83">
        <w:t>5</w:t>
      </w:r>
      <w:r>
        <w:t>) Subvención a la Fundación</w:t>
      </w:r>
      <w:r w:rsidR="006D1EF9">
        <w:t xml:space="preserve"> (400.000 euros)</w:t>
      </w:r>
      <w:r>
        <w:t>.</w:t>
      </w:r>
    </w:p>
    <w:p w:rsidR="003E5304" w:rsidRDefault="003E5304" w:rsidP="003E5304">
      <w:pPr>
        <w:pStyle w:val="texto"/>
      </w:pPr>
      <w:r>
        <w:t>Las pérdidas registradas en las cuentas de la Fundación, anteriores a 2006,</w:t>
      </w:r>
      <w:r w:rsidR="006E39CF">
        <w:t xml:space="preserve"> la </w:t>
      </w:r>
      <w:r>
        <w:t xml:space="preserve"> han situado con fondos propios negativos.</w:t>
      </w:r>
    </w:p>
    <w:p w:rsidR="003E5304" w:rsidRDefault="003E5304" w:rsidP="003E5304">
      <w:pPr>
        <w:pStyle w:val="texto"/>
      </w:pPr>
      <w:r>
        <w:lastRenderedPageBreak/>
        <w:t>Esta “atípica situación económica” no impedía su funcionamiento al contar con la financiación necesaria para realizar su actividad, básicamente la subve</w:t>
      </w:r>
      <w:r>
        <w:t>n</w:t>
      </w:r>
      <w:r>
        <w:t>ción del Gobierno de Navarra.</w:t>
      </w:r>
    </w:p>
    <w:p w:rsidR="003E5304" w:rsidRPr="00B57315" w:rsidRDefault="003E5304" w:rsidP="003E5304">
      <w:pPr>
        <w:pStyle w:val="texto"/>
      </w:pPr>
      <w:r>
        <w:t>Según el artículo 16 de la Ley Foral 11/2005, de subvenciones, el importe de las subvenciones junto con los ingresos o recursos propios de la actividad obj</w:t>
      </w:r>
      <w:r>
        <w:t>e</w:t>
      </w:r>
      <w:r>
        <w:t xml:space="preserve">to de subvención no podrán superar el coste de la actividad a desarrollar por el beneficiario. Este artículo impide, en la práctica, que la Fundación obtenga </w:t>
      </w:r>
      <w:r w:rsidRPr="00B57315">
        <w:t>b</w:t>
      </w:r>
      <w:r w:rsidRPr="00B57315">
        <w:t>e</w:t>
      </w:r>
      <w:r w:rsidRPr="00B57315">
        <w:t>neficios que compen</w:t>
      </w:r>
      <w:r w:rsidR="008123BF" w:rsidRPr="00B57315">
        <w:t>sen</w:t>
      </w:r>
      <w:r w:rsidRPr="00B57315">
        <w:t xml:space="preserve"> esta situación de desequilibrio patrimonial</w:t>
      </w:r>
      <w:r w:rsidR="00971ED8">
        <w:t>.</w:t>
      </w:r>
      <w:r w:rsidR="007E5C64">
        <w:rPr>
          <w:rStyle w:val="Refdenotaalpie"/>
        </w:rPr>
        <w:footnoteReference w:id="1"/>
      </w:r>
    </w:p>
    <w:p w:rsidR="003E5304" w:rsidRDefault="003E5304" w:rsidP="003E5304">
      <w:pPr>
        <w:pStyle w:val="texto"/>
      </w:pPr>
      <w:r>
        <w:t>Según nos indican, en los últimos meses el desequilibrio patrimonial dificu</w:t>
      </w:r>
      <w:r>
        <w:t>l</w:t>
      </w:r>
      <w:r>
        <w:t>taba el acceso a las operaciones de crédito.</w:t>
      </w:r>
      <w:r w:rsidR="008123BF">
        <w:t xml:space="preserve"> </w:t>
      </w:r>
      <w:r>
        <w:t>Para solucionar esta situación</w:t>
      </w:r>
      <w:r w:rsidR="000637EE">
        <w:t>,</w:t>
      </w:r>
      <w:r>
        <w:t xml:space="preserve"> en 2014 se aportaron 400.000 euros desde la Sociedad a la Fundación, pero los únicos recursos </w:t>
      </w:r>
      <w:r w:rsidR="008123BF">
        <w:t>con que cuenta</w:t>
      </w:r>
      <w:r>
        <w:t xml:space="preserve"> la Sociedad son los de los abonos y entradas que, posteriormente, ingresa a la Fundación.</w:t>
      </w:r>
    </w:p>
    <w:p w:rsidR="003E5304" w:rsidRDefault="006E39CF" w:rsidP="003E5304">
      <w:pPr>
        <w:pStyle w:val="texto"/>
      </w:pPr>
      <w:r>
        <w:t>En nuestra opinión,</w:t>
      </w:r>
      <w:r w:rsidR="003E5304">
        <w:t xml:space="preserve"> la Sociedad no cuenta con recursos suficientes para h</w:t>
      </w:r>
      <w:r w:rsidR="003E5304">
        <w:t>a</w:t>
      </w:r>
      <w:r w:rsidR="003E5304">
        <w:t>cer esa aportación.</w:t>
      </w:r>
    </w:p>
    <w:p w:rsidR="003E5304" w:rsidRDefault="003E5304" w:rsidP="003E5304">
      <w:pPr>
        <w:pStyle w:val="texto"/>
      </w:pPr>
      <w:r>
        <w:t>Puede reconocer la deuda hacia la Fundación pero</w:t>
      </w:r>
      <w:r w:rsidR="008123BF">
        <w:t>,</w:t>
      </w:r>
      <w:r>
        <w:t xml:space="preserve"> de no obtener ingresos extraordinarios</w:t>
      </w:r>
      <w:r w:rsidR="008123BF">
        <w:t>,</w:t>
      </w:r>
      <w:r>
        <w:t xml:space="preserve"> no podrá abonar ese importe.</w:t>
      </w:r>
    </w:p>
    <w:p w:rsidR="003E5304" w:rsidRPr="008123BF" w:rsidRDefault="003E5304" w:rsidP="003E5304">
      <w:pPr>
        <w:pStyle w:val="texto"/>
      </w:pPr>
      <w:r>
        <w:t>Por otra parte</w:t>
      </w:r>
      <w:r w:rsidR="000637EE">
        <w:t>,</w:t>
      </w:r>
      <w:r>
        <w:t xml:space="preserve"> una vez </w:t>
      </w:r>
      <w:r w:rsidRPr="008123BF">
        <w:t xml:space="preserve">reconocida la operación </w:t>
      </w:r>
      <w:r w:rsidR="00817067" w:rsidRPr="008123BF">
        <w:t>de la subvención por la S</w:t>
      </w:r>
      <w:r w:rsidRPr="008123BF">
        <w:t>o</w:t>
      </w:r>
      <w:r w:rsidRPr="008123BF">
        <w:t>ciedad esta queda en desequilibrio patrimonial.</w:t>
      </w:r>
    </w:p>
    <w:p w:rsidR="003E5304" w:rsidRDefault="003E5304" w:rsidP="003E5304">
      <w:pPr>
        <w:pStyle w:val="texto"/>
      </w:pPr>
      <w:r>
        <w:t>Es decir, se ha “solucionado” el desequilibrio patrimonial</w:t>
      </w:r>
      <w:r w:rsidR="008123BF">
        <w:t xml:space="preserve"> de la Fundación a cambio de que sea la Sociedad la que se encuentre en desequilibrio patrimonial</w:t>
      </w:r>
      <w:r>
        <w:t>.</w:t>
      </w:r>
    </w:p>
    <w:p w:rsidR="003E5304" w:rsidRDefault="003E5304" w:rsidP="003E5304">
      <w:pPr>
        <w:pStyle w:val="texto"/>
      </w:pPr>
      <w:r>
        <w:t>Desde nuestro punto de vista es una “operación ficticia”.</w:t>
      </w:r>
    </w:p>
    <w:p w:rsidR="003E5304" w:rsidRDefault="003E5304" w:rsidP="003E5304">
      <w:pPr>
        <w:pStyle w:val="atitulo2"/>
      </w:pPr>
      <w:bookmarkStart w:id="25" w:name="_Toc436040579"/>
      <w:bookmarkStart w:id="26" w:name="_Toc440370831"/>
      <w:r>
        <w:t>d) Situación económica de la Fundación y la Sociedad</w:t>
      </w:r>
      <w:bookmarkEnd w:id="25"/>
      <w:bookmarkEnd w:id="26"/>
    </w:p>
    <w:p w:rsidR="003E5304" w:rsidRDefault="00C21F83" w:rsidP="003E5304">
      <w:pPr>
        <w:pStyle w:val="texto"/>
      </w:pPr>
      <w:r>
        <w:t>16</w:t>
      </w:r>
      <w:r w:rsidR="003E5304">
        <w:t>) Según las cuentas presentadas por la Sociedad, que no han sido audit</w:t>
      </w:r>
      <w:r w:rsidR="003E5304">
        <w:t>a</w:t>
      </w:r>
      <w:r w:rsidR="003E5304">
        <w:t>das, sus ingresos los constituyen las entradas y abonos a los conciertos y alguna pequeña subvención. Sus gastos son mínimos ya que no cuenta con personal ni realiza prácticamente actividad económica.</w:t>
      </w:r>
    </w:p>
    <w:p w:rsidR="006D1EF9" w:rsidRDefault="006D1EF9" w:rsidP="003E5304">
      <w:pPr>
        <w:pStyle w:val="texto"/>
      </w:pPr>
      <w:r>
        <w:t>Así, si excluimos las operaciones comentadas en este epígrafe y consider</w:t>
      </w:r>
      <w:r>
        <w:t>a</w:t>
      </w:r>
      <w:r>
        <w:t>mos las suyas propias, la media de gastos del periodo se sitúa alrededor de 5.000 euros por año.</w:t>
      </w:r>
    </w:p>
    <w:p w:rsidR="008123BF" w:rsidRDefault="003E5304" w:rsidP="003E5304">
      <w:pPr>
        <w:pStyle w:val="texto"/>
      </w:pPr>
      <w:r>
        <w:t>Su balance, desde nuestro punto de vista, no se confecciona correctamente ya que incluye un activo financiero por la aportación (en especie) a la Fund</w:t>
      </w:r>
      <w:r>
        <w:t>a</w:t>
      </w:r>
      <w:r>
        <w:t>ción.</w:t>
      </w:r>
    </w:p>
    <w:p w:rsidR="003E5304" w:rsidRDefault="003E5304" w:rsidP="003E5304">
      <w:pPr>
        <w:pStyle w:val="texto"/>
      </w:pPr>
      <w:r>
        <w:lastRenderedPageBreak/>
        <w:t>La aportación hecha como dotación fundacional a la Fundación constituye una entrega a fondo perdido y</w:t>
      </w:r>
      <w:r w:rsidR="003B4F42">
        <w:t>,</w:t>
      </w:r>
      <w:r>
        <w:t xml:space="preserve"> por lo tanto</w:t>
      </w:r>
      <w:r w:rsidR="003B4F42">
        <w:t>,</w:t>
      </w:r>
      <w:r>
        <w:t xml:space="preserve"> debe  registrarse como un gasto y no como un activo, ya que las fundaciones tienen personalidad propia y no </w:t>
      </w:r>
      <w:r w:rsidR="00622F1D">
        <w:t>ti</w:t>
      </w:r>
      <w:r w:rsidR="00622F1D">
        <w:t>e</w:t>
      </w:r>
      <w:r w:rsidR="00622F1D">
        <w:t>nen dependencia de carácter mercantil.</w:t>
      </w:r>
    </w:p>
    <w:p w:rsidR="003E5304" w:rsidRDefault="003E5304" w:rsidP="003E5304">
      <w:pPr>
        <w:pStyle w:val="texto"/>
      </w:pPr>
      <w:r>
        <w:t>Si damos por válida la operación de la subvención</w:t>
      </w:r>
      <w:r w:rsidR="006E39CF">
        <w:t>, la sociedad</w:t>
      </w:r>
      <w:r>
        <w:t xml:space="preserve"> se encuentra con patrimonio neto negativo.</w:t>
      </w:r>
    </w:p>
    <w:p w:rsidR="003E5304" w:rsidRDefault="00C21F83" w:rsidP="003E5304">
      <w:pPr>
        <w:pStyle w:val="texto"/>
      </w:pPr>
      <w:r>
        <w:t>17</w:t>
      </w:r>
      <w:r w:rsidR="003E5304">
        <w:t>) Según las cuentas auditadas de la Fundación, al admitir la operación de la subvención, ésta ha recuperado el equilibrio patrimonial. En caso, como es nuestra opinión, de no considerarlo seguiría en desequilibrio patrimonial.</w:t>
      </w:r>
    </w:p>
    <w:p w:rsidR="003E5304" w:rsidRPr="007A727A" w:rsidRDefault="007A727A" w:rsidP="003E5304">
      <w:pPr>
        <w:pStyle w:val="texto"/>
      </w:pPr>
      <w:r w:rsidRPr="007A727A">
        <w:t xml:space="preserve">Los ingresos que ha obtenido la Fundación entre los años 2006 y 2014 </w:t>
      </w:r>
      <w:r w:rsidR="003E5304" w:rsidRPr="007A727A">
        <w:t>para mantener la orquesta se si</w:t>
      </w:r>
      <w:r w:rsidRPr="007A727A">
        <w:t xml:space="preserve">túan entre 6,4 millones en 2010 y 4,8 millones en 2013 (no tenemos en cuenta el año 2012 porque no fue un ejercicio completo al cambiarse la fecha de cierre del ejercicio), </w:t>
      </w:r>
      <w:r w:rsidR="003E5304" w:rsidRPr="007A727A">
        <w:t xml:space="preserve">que </w:t>
      </w:r>
      <w:r w:rsidRPr="007A727A">
        <w:t>obtiene,</w:t>
      </w:r>
      <w:r w:rsidR="003E5304" w:rsidRPr="007A727A">
        <w:t xml:space="preserve"> básicamente</w:t>
      </w:r>
      <w:r w:rsidRPr="007A727A">
        <w:t>,</w:t>
      </w:r>
      <w:r w:rsidR="003E5304" w:rsidRPr="007A727A">
        <w:t xml:space="preserve"> de la su</w:t>
      </w:r>
      <w:r w:rsidR="003E5304" w:rsidRPr="007A727A">
        <w:t>b</w:t>
      </w:r>
      <w:r w:rsidR="003E5304" w:rsidRPr="007A727A">
        <w:t>vención del Gobierno de Navarra</w:t>
      </w:r>
      <w:r w:rsidRPr="007A727A">
        <w:t xml:space="preserve"> y, cuando esta ha descendido, de las cons</w:t>
      </w:r>
      <w:r w:rsidRPr="007A727A">
        <w:t>e</w:t>
      </w:r>
      <w:r w:rsidRPr="007A727A">
        <w:t>guidas de las fundaciones de las Cajas.</w:t>
      </w:r>
    </w:p>
    <w:p w:rsidR="003E5304" w:rsidRDefault="003E5304" w:rsidP="003E5304">
      <w:pPr>
        <w:pStyle w:val="texto"/>
      </w:pPr>
      <w:r>
        <w:t>La dotación fundacional o patrimonio de la Fundación no genera ningún tipo de rendimiento y la situación patrimonial no afecta al funcionamiento anual, siempre que cuente con la financiación del Gobierno de Navarra o, en su caso, otras fuentes de financiación.</w:t>
      </w:r>
    </w:p>
    <w:p w:rsidR="003E5304" w:rsidRDefault="003E5304" w:rsidP="003E5304">
      <w:pPr>
        <w:pStyle w:val="texto"/>
      </w:pPr>
      <w:r w:rsidRPr="00076F93">
        <w:t xml:space="preserve">En 2014, se ha incurrido en un gasto </w:t>
      </w:r>
      <w:r w:rsidR="00310FF3" w:rsidRPr="00076F93">
        <w:t>fuera de la actividad normal</w:t>
      </w:r>
      <w:r w:rsidRPr="00076F93">
        <w:t xml:space="preserve"> por impo</w:t>
      </w:r>
      <w:r w:rsidRPr="00076F93">
        <w:t>r</w:t>
      </w:r>
      <w:r w:rsidRPr="00076F93">
        <w:t xml:space="preserve">te de </w:t>
      </w:r>
      <w:r w:rsidR="00310FF3" w:rsidRPr="00076F93">
        <w:t xml:space="preserve">339.591 </w:t>
      </w:r>
      <w:r w:rsidRPr="00076F93">
        <w:t xml:space="preserve">euros, </w:t>
      </w:r>
      <w:r w:rsidR="00310FF3" w:rsidRPr="00076F93">
        <w:t xml:space="preserve">de los que los más significativos </w:t>
      </w:r>
      <w:r w:rsidR="00310FF3" w:rsidRPr="00796DB1">
        <w:t>corresponden a la av</w:t>
      </w:r>
      <w:r w:rsidR="00310FF3" w:rsidRPr="00796DB1">
        <w:t>e</w:t>
      </w:r>
      <w:r w:rsidR="00310FF3" w:rsidRPr="00796DB1">
        <w:t>nencia del Juzgado de lo Social de Pamplona con un importe de 268.772 euros</w:t>
      </w:r>
      <w:r w:rsidR="00310FF3">
        <w:t xml:space="preserve"> y  </w:t>
      </w:r>
      <w:r w:rsidR="00076F93">
        <w:t xml:space="preserve">otro importe de 52.823 euros </w:t>
      </w:r>
      <w:r>
        <w:t xml:space="preserve"> por reclamación del teatro Arriaga por incu</w:t>
      </w:r>
      <w:r>
        <w:t>m</w:t>
      </w:r>
      <w:r>
        <w:t>plimiento de contrato al no asistir a una representación. Este incumplimiento surgió por la negativa a actuar por parte de los músicos como consecuencia de la negociación del convenio.</w:t>
      </w:r>
    </w:p>
    <w:p w:rsidR="00043CF9" w:rsidRDefault="00043CF9" w:rsidP="003E5304">
      <w:pPr>
        <w:pStyle w:val="texto"/>
      </w:pPr>
    </w:p>
    <w:p w:rsidR="003E5304" w:rsidRDefault="003E5304" w:rsidP="00043CF9">
      <w:pPr>
        <w:pStyle w:val="texto"/>
      </w:pPr>
      <w:r>
        <w:t>Como consecuencia del trabajo realizado, recomendamos:</w:t>
      </w:r>
    </w:p>
    <w:p w:rsidR="003E5304" w:rsidRDefault="003E5304" w:rsidP="003E5304">
      <w:pPr>
        <w:pStyle w:val="texto"/>
        <w:numPr>
          <w:ilvl w:val="0"/>
          <w:numId w:val="10"/>
        </w:numPr>
        <w:tabs>
          <w:tab w:val="clear" w:pos="2835"/>
          <w:tab w:val="center" w:pos="567"/>
        </w:tabs>
        <w:ind w:left="0" w:firstLine="284"/>
        <w:rPr>
          <w:i/>
        </w:rPr>
      </w:pPr>
      <w:r w:rsidRPr="006F582A">
        <w:rPr>
          <w:i/>
        </w:rPr>
        <w:t>La sociedad navarra, y e</w:t>
      </w:r>
      <w:r w:rsidR="008123BF">
        <w:rPr>
          <w:i/>
        </w:rPr>
        <w:t>n</w:t>
      </w:r>
      <w:r w:rsidRPr="006F582A">
        <w:rPr>
          <w:i/>
        </w:rPr>
        <w:t xml:space="preserve"> su nombre el Gobierno o el Parlamento, debe decidir el tipo de actividad musical</w:t>
      </w:r>
      <w:r w:rsidR="008123BF">
        <w:rPr>
          <w:i/>
        </w:rPr>
        <w:t xml:space="preserve"> y, por lo tanto, de orquesta con que quiere contar y el importe de los presupuestos generales que está dispuesta a utilizar</w:t>
      </w:r>
      <w:r w:rsidRPr="006F582A">
        <w:rPr>
          <w:i/>
        </w:rPr>
        <w:t>.</w:t>
      </w:r>
    </w:p>
    <w:p w:rsidR="00E92E24" w:rsidRDefault="00E92E24" w:rsidP="00F10A33">
      <w:pPr>
        <w:pStyle w:val="texto"/>
        <w:tabs>
          <w:tab w:val="clear" w:pos="2835"/>
          <w:tab w:val="center" w:pos="0"/>
          <w:tab w:val="left" w:pos="284"/>
        </w:tabs>
        <w:rPr>
          <w:i/>
        </w:rPr>
      </w:pPr>
      <w:r>
        <w:rPr>
          <w:i/>
        </w:rPr>
        <w:t>A este respecto podemos citar, entre otros posibles</w:t>
      </w:r>
      <w:r w:rsidR="003B4F42">
        <w:rPr>
          <w:i/>
        </w:rPr>
        <w:t>,</w:t>
      </w:r>
      <w:r>
        <w:rPr>
          <w:i/>
        </w:rPr>
        <w:t xml:space="preserve"> los siguientes objetivos básicos:</w:t>
      </w:r>
    </w:p>
    <w:p w:rsidR="00E92E24" w:rsidRDefault="00E92E24" w:rsidP="00043CF9">
      <w:pPr>
        <w:pStyle w:val="texto"/>
        <w:tabs>
          <w:tab w:val="clear" w:pos="2835"/>
          <w:tab w:val="center" w:pos="567"/>
        </w:tabs>
        <w:rPr>
          <w:i/>
        </w:rPr>
      </w:pPr>
      <w:r>
        <w:rPr>
          <w:i/>
        </w:rPr>
        <w:t>a) Ofrecer unos servicios musicales a la ciudadanía navarra mediante los ciclos de conciertos.</w:t>
      </w:r>
    </w:p>
    <w:p w:rsidR="00971C00" w:rsidRDefault="00971C00" w:rsidP="00043CF9">
      <w:pPr>
        <w:pStyle w:val="texto"/>
        <w:tabs>
          <w:tab w:val="clear" w:pos="2835"/>
          <w:tab w:val="center" w:pos="567"/>
        </w:tabs>
        <w:rPr>
          <w:i/>
        </w:rPr>
      </w:pPr>
      <w:r>
        <w:rPr>
          <w:i/>
        </w:rPr>
        <w:t>b) El cultivo de la música en la sociedad, como herramienta vertebradora en los campos de la educación y la socialización.</w:t>
      </w:r>
    </w:p>
    <w:p w:rsidR="00E92E24" w:rsidRDefault="00971C00" w:rsidP="00043CF9">
      <w:pPr>
        <w:pStyle w:val="texto"/>
        <w:tabs>
          <w:tab w:val="clear" w:pos="2835"/>
          <w:tab w:val="center" w:pos="567"/>
        </w:tabs>
        <w:rPr>
          <w:i/>
        </w:rPr>
      </w:pPr>
      <w:r>
        <w:rPr>
          <w:i/>
        </w:rPr>
        <w:lastRenderedPageBreak/>
        <w:t>c</w:t>
      </w:r>
      <w:r w:rsidR="00E92E24">
        <w:rPr>
          <w:i/>
        </w:rPr>
        <w:t>) Facilitar un medio para que los intérpretes navarros que destaquen pu</w:t>
      </w:r>
      <w:r w:rsidR="00E92E24">
        <w:rPr>
          <w:i/>
        </w:rPr>
        <w:t>e</w:t>
      </w:r>
      <w:r w:rsidR="00E92E24">
        <w:rPr>
          <w:i/>
        </w:rPr>
        <w:t>dan tocar en una orquesta navarra.</w:t>
      </w:r>
    </w:p>
    <w:p w:rsidR="00E92E24" w:rsidRDefault="00971C00" w:rsidP="00043CF9">
      <w:pPr>
        <w:pStyle w:val="texto"/>
        <w:tabs>
          <w:tab w:val="clear" w:pos="2835"/>
          <w:tab w:val="center" w:pos="567"/>
        </w:tabs>
        <w:rPr>
          <w:i/>
        </w:rPr>
      </w:pPr>
      <w:r>
        <w:rPr>
          <w:i/>
        </w:rPr>
        <w:t>d</w:t>
      </w:r>
      <w:r w:rsidR="00E92E24">
        <w:rPr>
          <w:i/>
        </w:rPr>
        <w:t>) Servir de “escaparate navarro” por el mundo mediante giras y concie</w:t>
      </w:r>
      <w:r w:rsidR="00E92E24">
        <w:rPr>
          <w:i/>
        </w:rPr>
        <w:t>r</w:t>
      </w:r>
      <w:r w:rsidR="00E92E24">
        <w:rPr>
          <w:i/>
        </w:rPr>
        <w:t>tos.</w:t>
      </w:r>
    </w:p>
    <w:p w:rsidR="00E92E24" w:rsidRDefault="00971C00" w:rsidP="00043CF9">
      <w:pPr>
        <w:pStyle w:val="texto"/>
        <w:tabs>
          <w:tab w:val="clear" w:pos="2835"/>
          <w:tab w:val="center" w:pos="567"/>
        </w:tabs>
        <w:rPr>
          <w:i/>
        </w:rPr>
      </w:pPr>
      <w:r>
        <w:rPr>
          <w:i/>
        </w:rPr>
        <w:t>e</w:t>
      </w:r>
      <w:r w:rsidR="00F10A33">
        <w:rPr>
          <w:i/>
        </w:rPr>
        <w:t>) Acercar la música clásica a los jóvenes y no aficionados.</w:t>
      </w:r>
    </w:p>
    <w:p w:rsidR="00F10A33" w:rsidRDefault="00F10A33" w:rsidP="00F10A33">
      <w:pPr>
        <w:pStyle w:val="texto"/>
        <w:tabs>
          <w:tab w:val="clear" w:pos="2835"/>
          <w:tab w:val="center" w:pos="0"/>
          <w:tab w:val="left" w:pos="284"/>
        </w:tabs>
        <w:rPr>
          <w:i/>
        </w:rPr>
      </w:pPr>
      <w:r>
        <w:rPr>
          <w:i/>
        </w:rPr>
        <w:t>Lógicamente, cada uno de estos objetivos precisa de diferentes requisitos y no siempre va a ser fácil conciliarlos entre sí.</w:t>
      </w:r>
    </w:p>
    <w:p w:rsidR="006E39CF" w:rsidRPr="006F582A" w:rsidRDefault="006E39CF" w:rsidP="006E39CF">
      <w:pPr>
        <w:pStyle w:val="texto"/>
        <w:numPr>
          <w:ilvl w:val="0"/>
          <w:numId w:val="10"/>
        </w:numPr>
        <w:tabs>
          <w:tab w:val="clear" w:pos="2835"/>
          <w:tab w:val="center" w:pos="567"/>
        </w:tabs>
        <w:ind w:left="0" w:firstLine="284"/>
        <w:rPr>
          <w:i/>
        </w:rPr>
      </w:pPr>
      <w:r w:rsidRPr="006F582A">
        <w:rPr>
          <w:i/>
        </w:rPr>
        <w:t xml:space="preserve">Teniendo en cuenta los tiempos que requiere la planificación musical, el número de personas involucradas y el volumen del presupuesto, es conveniente que la orquesta cuente con un plan plurianual y con un convenio plurianual de financiación. De esta manera la orquesta </w:t>
      </w:r>
      <w:r w:rsidR="00C2066C">
        <w:rPr>
          <w:i/>
        </w:rPr>
        <w:t>conocerá</w:t>
      </w:r>
      <w:r w:rsidRPr="006F582A">
        <w:rPr>
          <w:i/>
        </w:rPr>
        <w:t xml:space="preserve"> los recursos adicio</w:t>
      </w:r>
      <w:r>
        <w:rPr>
          <w:i/>
        </w:rPr>
        <w:t>nales que debe conseguir para su</w:t>
      </w:r>
      <w:r w:rsidRPr="006F582A">
        <w:rPr>
          <w:i/>
        </w:rPr>
        <w:t xml:space="preserve"> normal funcionamiento</w:t>
      </w:r>
      <w:r>
        <w:rPr>
          <w:i/>
        </w:rPr>
        <w:t>.</w:t>
      </w:r>
    </w:p>
    <w:p w:rsidR="003E5304" w:rsidRPr="006E39CF" w:rsidRDefault="003E5304" w:rsidP="003E5304">
      <w:pPr>
        <w:pStyle w:val="texto"/>
        <w:numPr>
          <w:ilvl w:val="0"/>
          <w:numId w:val="10"/>
        </w:numPr>
        <w:tabs>
          <w:tab w:val="clear" w:pos="2835"/>
          <w:tab w:val="center" w:pos="567"/>
        </w:tabs>
        <w:ind w:left="0" w:firstLine="284"/>
        <w:rPr>
          <w:i/>
        </w:rPr>
      </w:pPr>
      <w:r w:rsidRPr="006E39CF">
        <w:rPr>
          <w:i/>
        </w:rPr>
        <w:t>Toda la actividad de una Orquesta debería ser dirigida por una única e</w:t>
      </w:r>
      <w:r w:rsidRPr="006E39CF">
        <w:rPr>
          <w:i/>
        </w:rPr>
        <w:t>n</w:t>
      </w:r>
      <w:r w:rsidR="006E39CF">
        <w:rPr>
          <w:i/>
        </w:rPr>
        <w:t>tidad y, e</w:t>
      </w:r>
      <w:r w:rsidRPr="006E39CF">
        <w:rPr>
          <w:i/>
        </w:rPr>
        <w:t>n el caso de que se mantengan las dos entidades, deben establecerse y regularse claramente las relaciones entre ambas. Igualmente, parece evidente que la entidad que soporte los gastos sea también la que perciba los ingresos.</w:t>
      </w:r>
    </w:p>
    <w:p w:rsidR="003E5304" w:rsidRDefault="003E5304" w:rsidP="003E5304">
      <w:pPr>
        <w:pStyle w:val="texto"/>
        <w:numPr>
          <w:ilvl w:val="0"/>
          <w:numId w:val="10"/>
        </w:numPr>
        <w:tabs>
          <w:tab w:val="clear" w:pos="2835"/>
          <w:tab w:val="center" w:pos="567"/>
        </w:tabs>
        <w:ind w:left="0" w:firstLine="284"/>
        <w:rPr>
          <w:i/>
        </w:rPr>
      </w:pPr>
      <w:r w:rsidRPr="006F582A">
        <w:rPr>
          <w:i/>
        </w:rPr>
        <w:t>En la práctica, las posibilidades</w:t>
      </w:r>
      <w:r w:rsidR="00E92E24">
        <w:rPr>
          <w:i/>
        </w:rPr>
        <w:t xml:space="preserve"> de organización</w:t>
      </w:r>
      <w:r w:rsidRPr="006F582A">
        <w:rPr>
          <w:i/>
        </w:rPr>
        <w:t xml:space="preserve"> son:</w:t>
      </w:r>
    </w:p>
    <w:p w:rsidR="003E5304" w:rsidRDefault="00043CF9" w:rsidP="00043CF9">
      <w:pPr>
        <w:pStyle w:val="texto"/>
        <w:tabs>
          <w:tab w:val="clear" w:pos="2835"/>
          <w:tab w:val="center" w:pos="567"/>
        </w:tabs>
        <w:rPr>
          <w:i/>
        </w:rPr>
      </w:pPr>
      <w:r>
        <w:rPr>
          <w:i/>
        </w:rPr>
        <w:t xml:space="preserve">a) </w:t>
      </w:r>
      <w:r w:rsidR="003E5304">
        <w:rPr>
          <w:i/>
        </w:rPr>
        <w:t>Desaparición de la Fundación y dependencia de la Orquesta de la Soci</w:t>
      </w:r>
      <w:r w:rsidR="003E5304">
        <w:rPr>
          <w:i/>
        </w:rPr>
        <w:t>e</w:t>
      </w:r>
      <w:r w:rsidR="003E5304">
        <w:rPr>
          <w:i/>
        </w:rPr>
        <w:t>dad. Consideramos que la Sociedad debería reforzar su organización para re</w:t>
      </w:r>
      <w:r w:rsidR="003E5304">
        <w:rPr>
          <w:i/>
        </w:rPr>
        <w:t>a</w:t>
      </w:r>
      <w:r w:rsidR="003E5304">
        <w:rPr>
          <w:i/>
        </w:rPr>
        <w:t>lizar la gestión.</w:t>
      </w:r>
    </w:p>
    <w:p w:rsidR="003E5304" w:rsidRDefault="00043CF9" w:rsidP="00043CF9">
      <w:pPr>
        <w:pStyle w:val="texto"/>
        <w:tabs>
          <w:tab w:val="clear" w:pos="2835"/>
          <w:tab w:val="center" w:pos="567"/>
        </w:tabs>
        <w:rPr>
          <w:i/>
        </w:rPr>
      </w:pPr>
      <w:r>
        <w:rPr>
          <w:i/>
        </w:rPr>
        <w:t xml:space="preserve">b) </w:t>
      </w:r>
      <w:r w:rsidR="00817067">
        <w:rPr>
          <w:i/>
        </w:rPr>
        <w:t>Desaparición de la S</w:t>
      </w:r>
      <w:r w:rsidR="003E5304">
        <w:rPr>
          <w:i/>
        </w:rPr>
        <w:t>ociedad y dependencia de la Orquesta de la Fund</w:t>
      </w:r>
      <w:r w:rsidR="003E5304">
        <w:rPr>
          <w:i/>
        </w:rPr>
        <w:t>a</w:t>
      </w:r>
      <w:r w:rsidR="003E5304">
        <w:rPr>
          <w:i/>
        </w:rPr>
        <w:t>ción.</w:t>
      </w:r>
    </w:p>
    <w:p w:rsidR="003E5304" w:rsidRDefault="00043CF9" w:rsidP="00043CF9">
      <w:pPr>
        <w:pStyle w:val="texto"/>
        <w:tabs>
          <w:tab w:val="clear" w:pos="2835"/>
          <w:tab w:val="center" w:pos="567"/>
        </w:tabs>
        <w:rPr>
          <w:i/>
        </w:rPr>
      </w:pPr>
      <w:r>
        <w:rPr>
          <w:i/>
        </w:rPr>
        <w:t xml:space="preserve">c) </w:t>
      </w:r>
      <w:r w:rsidR="003E5304">
        <w:rPr>
          <w:i/>
        </w:rPr>
        <w:t>Desaparición de las dos entidades y creación de una nueva entidad (s</w:t>
      </w:r>
      <w:r w:rsidR="003E5304">
        <w:rPr>
          <w:i/>
        </w:rPr>
        <w:t>o</w:t>
      </w:r>
      <w:r w:rsidR="003E5304">
        <w:rPr>
          <w:i/>
        </w:rPr>
        <w:t>ciedad</w:t>
      </w:r>
      <w:r w:rsidR="008123BF">
        <w:rPr>
          <w:i/>
        </w:rPr>
        <w:t xml:space="preserve"> mercantil</w:t>
      </w:r>
      <w:r w:rsidR="003E5304">
        <w:rPr>
          <w:i/>
        </w:rPr>
        <w:t>) o asignación a alguna ya existente.</w:t>
      </w:r>
    </w:p>
    <w:p w:rsidR="003E5304" w:rsidRPr="006E39CF" w:rsidRDefault="00043CF9" w:rsidP="00043CF9">
      <w:pPr>
        <w:pStyle w:val="texto"/>
        <w:tabs>
          <w:tab w:val="clear" w:pos="2835"/>
          <w:tab w:val="center" w:pos="567"/>
        </w:tabs>
        <w:rPr>
          <w:i/>
        </w:rPr>
      </w:pPr>
      <w:r>
        <w:rPr>
          <w:i/>
        </w:rPr>
        <w:t xml:space="preserve">d) </w:t>
      </w:r>
      <w:r w:rsidR="003E5304">
        <w:rPr>
          <w:i/>
        </w:rPr>
        <w:t>Creación de una entidad por los trabajador</w:t>
      </w:r>
      <w:r w:rsidR="0082251C">
        <w:rPr>
          <w:i/>
        </w:rPr>
        <w:t>es de la Fundación, por eje</w:t>
      </w:r>
      <w:r w:rsidR="0082251C">
        <w:rPr>
          <w:i/>
        </w:rPr>
        <w:t>m</w:t>
      </w:r>
      <w:r w:rsidR="0082251C">
        <w:rPr>
          <w:i/>
        </w:rPr>
        <w:t>plo</w:t>
      </w:r>
      <w:r w:rsidR="003E5304">
        <w:rPr>
          <w:i/>
        </w:rPr>
        <w:t xml:space="preserve"> una cooperativa</w:t>
      </w:r>
      <w:r w:rsidR="0082251C">
        <w:rPr>
          <w:i/>
        </w:rPr>
        <w:t>,</w:t>
      </w:r>
      <w:r w:rsidR="003E5304">
        <w:rPr>
          <w:i/>
        </w:rPr>
        <w:t xml:space="preserve"> y desaparición de las dos entidades.</w:t>
      </w:r>
    </w:p>
    <w:p w:rsidR="00F10A33" w:rsidRDefault="00043CF9" w:rsidP="00043CF9">
      <w:pPr>
        <w:pStyle w:val="texto"/>
        <w:tabs>
          <w:tab w:val="clear" w:pos="2835"/>
          <w:tab w:val="center" w:pos="567"/>
        </w:tabs>
        <w:rPr>
          <w:i/>
        </w:rPr>
      </w:pPr>
      <w:r>
        <w:rPr>
          <w:i/>
        </w:rPr>
        <w:t xml:space="preserve">e) </w:t>
      </w:r>
      <w:r w:rsidR="00F10A33">
        <w:rPr>
          <w:i/>
        </w:rPr>
        <w:t xml:space="preserve">En función de los objetivos antes reseñados, si el principal es ofrecer unos ciclos en Pamplona y considerando esencialmente aspectos económicos, la </w:t>
      </w:r>
      <w:r w:rsidR="00622F1D">
        <w:rPr>
          <w:i/>
        </w:rPr>
        <w:t>supresión</w:t>
      </w:r>
      <w:r w:rsidR="00F10A33">
        <w:rPr>
          <w:i/>
        </w:rPr>
        <w:t xml:space="preserve"> de la orquesta (la más antigua de España) y establecer convenios con orquestas de otros lugares para organizar los conciertos.</w:t>
      </w:r>
    </w:p>
    <w:p w:rsidR="006E39CF" w:rsidRDefault="00043CF9" w:rsidP="00043CF9">
      <w:pPr>
        <w:pStyle w:val="texto"/>
        <w:tabs>
          <w:tab w:val="clear" w:pos="2835"/>
          <w:tab w:val="center" w:pos="567"/>
        </w:tabs>
        <w:rPr>
          <w:i/>
        </w:rPr>
      </w:pPr>
      <w:r>
        <w:rPr>
          <w:i/>
        </w:rPr>
        <w:t xml:space="preserve">f) </w:t>
      </w:r>
      <w:r w:rsidR="006E39CF">
        <w:rPr>
          <w:i/>
        </w:rPr>
        <w:t>Asunción por el Gobierno de la Orquesta con dependencia directa de un Departamento del Gobierno de Navarra</w:t>
      </w:r>
    </w:p>
    <w:p w:rsidR="003E5304" w:rsidRDefault="003E5304" w:rsidP="003E5304">
      <w:pPr>
        <w:pStyle w:val="texto"/>
      </w:pPr>
      <w:r w:rsidRPr="006F582A">
        <w:t xml:space="preserve">La </w:t>
      </w:r>
      <w:r>
        <w:t>actividad musical no genera resultados económicos positivos por lo que sea cual sea el modelo elegido debe contar con financiación pública. No ob</w:t>
      </w:r>
      <w:r>
        <w:t>s</w:t>
      </w:r>
      <w:r>
        <w:t>tante, cuanto meno</w:t>
      </w:r>
      <w:r w:rsidR="008123BF">
        <w:t>r</w:t>
      </w:r>
      <w:r>
        <w:t xml:space="preserve"> sea el grado de dependencia de las subvenciones pública</w:t>
      </w:r>
      <w:r w:rsidR="00F10A33">
        <w:t xml:space="preserve">s, </w:t>
      </w:r>
      <w:r>
        <w:t xml:space="preserve"> es decir</w:t>
      </w:r>
      <w:r w:rsidR="00F10A33">
        <w:t>,</w:t>
      </w:r>
      <w:r>
        <w:t xml:space="preserve"> cuanto más autónoma sea mayor es la garantía de funcionamiento. </w:t>
      </w:r>
      <w:r w:rsidR="008123BF">
        <w:t>L</w:t>
      </w:r>
      <w:r w:rsidR="008123BF">
        <w:t>ó</w:t>
      </w:r>
      <w:r w:rsidR="008123BF">
        <w:t>gicamente</w:t>
      </w:r>
      <w:r w:rsidR="00F10A33">
        <w:t>,</w:t>
      </w:r>
      <w:r>
        <w:t xml:space="preserve"> el incremento de los ingresos propios, entradas</w:t>
      </w:r>
      <w:r w:rsidR="008123BF">
        <w:t>,</w:t>
      </w:r>
      <w:r>
        <w:t xml:space="preserve"> y la obtención de </w:t>
      </w:r>
      <w:r>
        <w:lastRenderedPageBreak/>
        <w:t>nuevos recursos alternativos, así como la reducción de los gastos amplían el grado de autonomía.</w:t>
      </w:r>
    </w:p>
    <w:p w:rsidR="00971C00" w:rsidRPr="00E72E13" w:rsidRDefault="00971C00" w:rsidP="00971C00">
      <w:pPr>
        <w:pStyle w:val="texto"/>
        <w:tabs>
          <w:tab w:val="clear" w:pos="2835"/>
          <w:tab w:val="center" w:pos="360"/>
        </w:tabs>
        <w:spacing w:before="360"/>
        <w:ind w:firstLine="357"/>
        <w:rPr>
          <w:lang w:val="es-ES"/>
        </w:rPr>
      </w:pPr>
      <w:r>
        <w:rPr>
          <w:lang w:val="es-ES"/>
        </w:rPr>
        <w:t>Informe que se emite a propuesta del auditor Jesús Muruzabal Lerga, re</w:t>
      </w:r>
      <w:r>
        <w:rPr>
          <w:lang w:val="es-ES"/>
        </w:rPr>
        <w:t>s</w:t>
      </w:r>
      <w:r>
        <w:rPr>
          <w:lang w:val="es-ES"/>
        </w:rPr>
        <w:t>ponsable de la realización de este trabajo, una vez cumplimentados los trámites previstos por la normativa vigente.</w:t>
      </w:r>
    </w:p>
    <w:p w:rsidR="00971C00" w:rsidRPr="007F1A6F" w:rsidRDefault="00971C00" w:rsidP="00971C00">
      <w:pPr>
        <w:pStyle w:val="texto"/>
        <w:tabs>
          <w:tab w:val="clear" w:pos="2835"/>
          <w:tab w:val="center" w:pos="540"/>
        </w:tabs>
        <w:ind w:firstLine="0"/>
        <w:jc w:val="center"/>
      </w:pPr>
      <w:r w:rsidRPr="007F1A6F">
        <w:t xml:space="preserve">Pamplona, </w:t>
      </w:r>
      <w:r w:rsidR="008C75FD" w:rsidRPr="007F1A6F">
        <w:t>1</w:t>
      </w:r>
      <w:r w:rsidR="00E21C61">
        <w:t>2</w:t>
      </w:r>
      <w:r w:rsidRPr="007F1A6F">
        <w:t xml:space="preserve"> de </w:t>
      </w:r>
      <w:r w:rsidR="00944818" w:rsidRPr="007F1A6F">
        <w:t>enero</w:t>
      </w:r>
      <w:r w:rsidRPr="007F1A6F">
        <w:t xml:space="preserve"> de 201</w:t>
      </w:r>
      <w:r w:rsidR="00944818" w:rsidRPr="007F1A6F">
        <w:t>6</w:t>
      </w:r>
      <w:r w:rsidR="007F1A6F">
        <w:t>.</w:t>
      </w:r>
    </w:p>
    <w:p w:rsidR="00CA2B98" w:rsidRDefault="00971C00" w:rsidP="007F1A6F">
      <w:pPr>
        <w:pStyle w:val="texto"/>
        <w:tabs>
          <w:tab w:val="clear" w:pos="2835"/>
          <w:tab w:val="clear" w:pos="3969"/>
          <w:tab w:val="clear" w:pos="5103"/>
        </w:tabs>
        <w:ind w:firstLine="300"/>
        <w:jc w:val="center"/>
      </w:pPr>
      <w:r w:rsidRPr="007F1A6F">
        <w:t>El presidente,</w:t>
      </w:r>
      <w:r w:rsidR="007F1A6F">
        <w:t xml:space="preserve"> </w:t>
      </w:r>
    </w:p>
    <w:p w:rsidR="00CA2B98" w:rsidRDefault="00CA2B98" w:rsidP="007F1A6F">
      <w:pPr>
        <w:pStyle w:val="texto"/>
        <w:tabs>
          <w:tab w:val="clear" w:pos="2835"/>
          <w:tab w:val="clear" w:pos="3969"/>
          <w:tab w:val="clear" w:pos="5103"/>
        </w:tabs>
        <w:ind w:firstLine="300"/>
        <w:jc w:val="center"/>
      </w:pPr>
    </w:p>
    <w:p w:rsidR="00CA2B98" w:rsidRDefault="00CA2B98" w:rsidP="007F1A6F">
      <w:pPr>
        <w:pStyle w:val="texto"/>
        <w:tabs>
          <w:tab w:val="clear" w:pos="2835"/>
          <w:tab w:val="clear" w:pos="3969"/>
          <w:tab w:val="clear" w:pos="5103"/>
        </w:tabs>
        <w:ind w:firstLine="300"/>
        <w:jc w:val="center"/>
      </w:pPr>
    </w:p>
    <w:p w:rsidR="00971C00" w:rsidRPr="007F1A6F" w:rsidRDefault="00944818" w:rsidP="007F1A6F">
      <w:pPr>
        <w:pStyle w:val="texto"/>
        <w:tabs>
          <w:tab w:val="clear" w:pos="2835"/>
          <w:tab w:val="clear" w:pos="3969"/>
          <w:tab w:val="clear" w:pos="5103"/>
        </w:tabs>
        <w:ind w:firstLine="300"/>
        <w:jc w:val="center"/>
      </w:pPr>
      <w:r w:rsidRPr="007F1A6F">
        <w:t>Helio Robleda Cabezas</w:t>
      </w:r>
    </w:p>
    <w:p w:rsidR="00BA29D6" w:rsidRDefault="00BA29D6">
      <w:pPr>
        <w:spacing w:after="0"/>
        <w:ind w:firstLine="0"/>
        <w:jc w:val="left"/>
        <w:rPr>
          <w:rFonts w:ascii="Arial" w:hAnsi="Arial"/>
          <w:i/>
          <w:iCs/>
          <w:color w:val="000000"/>
          <w:spacing w:val="10"/>
          <w:kern w:val="28"/>
          <w:sz w:val="25"/>
          <w:szCs w:val="26"/>
        </w:rPr>
      </w:pPr>
      <w:r>
        <w:br w:type="page"/>
      </w:r>
    </w:p>
    <w:p w:rsidR="004D480F" w:rsidRDefault="004D480F" w:rsidP="004D480F">
      <w:pPr>
        <w:pStyle w:val="atitulo1"/>
      </w:pPr>
    </w:p>
    <w:p w:rsidR="004D480F" w:rsidRPr="004D480F" w:rsidRDefault="004D480F" w:rsidP="004D480F">
      <w:pPr>
        <w:pStyle w:val="atitulo1"/>
        <w:jc w:val="right"/>
        <w:rPr>
          <w:sz w:val="40"/>
          <w:szCs w:val="40"/>
        </w:rPr>
      </w:pPr>
      <w:bookmarkStart w:id="27" w:name="_Toc440370832"/>
      <w:r w:rsidRPr="004D480F">
        <w:rPr>
          <w:sz w:val="40"/>
          <w:szCs w:val="40"/>
        </w:rPr>
        <w:t>Anexos</w:t>
      </w:r>
      <w:bookmarkEnd w:id="27"/>
    </w:p>
    <w:p w:rsidR="004D480F" w:rsidRDefault="004D480F" w:rsidP="004D480F">
      <w:pPr>
        <w:pStyle w:val="atitulo1"/>
      </w:pPr>
    </w:p>
    <w:p w:rsidR="004D480F" w:rsidRDefault="004D480F">
      <w:pPr>
        <w:spacing w:after="0"/>
        <w:ind w:firstLine="0"/>
        <w:jc w:val="left"/>
      </w:pPr>
    </w:p>
    <w:p w:rsidR="004D480F" w:rsidRDefault="004D480F">
      <w:pPr>
        <w:spacing w:after="0"/>
        <w:ind w:firstLine="0"/>
        <w:jc w:val="left"/>
      </w:pPr>
    </w:p>
    <w:p w:rsidR="00383C28" w:rsidRDefault="00383C28">
      <w:pPr>
        <w:spacing w:after="0"/>
        <w:ind w:firstLine="0"/>
        <w:jc w:val="left"/>
        <w:rPr>
          <w:rFonts w:ascii="Arial" w:hAnsi="Arial"/>
          <w:b/>
          <w:color w:val="000000"/>
          <w:kern w:val="28"/>
          <w:sz w:val="25"/>
          <w:szCs w:val="26"/>
        </w:rPr>
        <w:sectPr w:rsidR="00383C28" w:rsidSect="00830AF8">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4D480F" w:rsidRDefault="004D480F">
      <w:pPr>
        <w:spacing w:after="0"/>
        <w:ind w:firstLine="0"/>
        <w:jc w:val="left"/>
        <w:rPr>
          <w:rFonts w:ascii="Arial" w:hAnsi="Arial"/>
          <w:b/>
          <w:color w:val="000000"/>
          <w:kern w:val="28"/>
          <w:sz w:val="25"/>
          <w:szCs w:val="26"/>
        </w:rPr>
      </w:pPr>
    </w:p>
    <w:p w:rsidR="00564F2D" w:rsidRDefault="00BA29D6" w:rsidP="002C098F">
      <w:pPr>
        <w:pStyle w:val="atitulo1"/>
      </w:pPr>
      <w:bookmarkStart w:id="28" w:name="_Toc440370833"/>
      <w:r w:rsidRPr="002C098F">
        <w:t>Anexo I</w:t>
      </w:r>
      <w:r w:rsidR="00424393">
        <w:t>.</w:t>
      </w:r>
      <w:r w:rsidR="003B4F42">
        <w:t xml:space="preserve"> Balance de la Sociedad de Conciertos Santa Cecilia a 31-12-2014</w:t>
      </w:r>
      <w:bookmarkEnd w:id="28"/>
    </w:p>
    <w:p w:rsidR="00424393" w:rsidRPr="00365E49" w:rsidRDefault="00424393" w:rsidP="009D7600">
      <w:pPr>
        <w:spacing w:after="240"/>
        <w:jc w:val="center"/>
        <w:rPr>
          <w:rFonts w:ascii="Arial" w:hAnsi="Arial" w:cs="Arial"/>
        </w:rPr>
      </w:pPr>
      <w:r w:rsidRPr="00365E49">
        <w:rPr>
          <w:rFonts w:ascii="Arial" w:hAnsi="Arial" w:cs="Arial"/>
        </w:rPr>
        <w:t>Activo</w:t>
      </w:r>
      <w:r w:rsidR="003B4F42" w:rsidRPr="00365E49">
        <w:rPr>
          <w:rFonts w:ascii="Arial" w:hAnsi="Arial" w:cs="Arial"/>
        </w:rPr>
        <w:t xml:space="preserve"> </w:t>
      </w:r>
    </w:p>
    <w:p w:rsidR="003B4F42" w:rsidRPr="00365E49" w:rsidRDefault="003B4F42" w:rsidP="009D7600">
      <w:pPr>
        <w:spacing w:after="0"/>
        <w:ind w:right="-709"/>
        <w:jc w:val="right"/>
        <w:rPr>
          <w:rFonts w:ascii="Arial" w:hAnsi="Arial" w:cs="Arial"/>
        </w:rPr>
      </w:pPr>
      <w:r w:rsidRPr="00365E49">
        <w:rPr>
          <w:rFonts w:ascii="Arial" w:hAnsi="Arial" w:cs="Arial"/>
        </w:rPr>
        <w:t>(Sin auditar)</w:t>
      </w:r>
    </w:p>
    <w:tbl>
      <w:tblPr>
        <w:tblStyle w:val="Tablaconcuadrcula"/>
        <w:tblW w:w="1032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081"/>
        <w:gridCol w:w="1097"/>
        <w:gridCol w:w="1191"/>
        <w:gridCol w:w="1674"/>
        <w:gridCol w:w="1282"/>
      </w:tblGrid>
      <w:tr w:rsidR="00424393" w:rsidRPr="009B3563" w:rsidTr="003B4F42">
        <w:trPr>
          <w:trHeight w:val="255"/>
          <w:jc w:val="center"/>
        </w:trPr>
        <w:tc>
          <w:tcPr>
            <w:tcW w:w="5081" w:type="dxa"/>
            <w:shd w:val="clear" w:color="auto" w:fill="8DB3E2" w:themeFill="text2" w:themeFillTint="66"/>
            <w:vAlign w:val="center"/>
          </w:tcPr>
          <w:p w:rsidR="00424393" w:rsidRPr="009B3563" w:rsidRDefault="00424393" w:rsidP="00424393">
            <w:pPr>
              <w:pStyle w:val="cuatexto"/>
              <w:jc w:val="center"/>
              <w:rPr>
                <w:rFonts w:cs="Arial"/>
                <w:szCs w:val="20"/>
              </w:rPr>
            </w:pPr>
          </w:p>
        </w:tc>
        <w:tc>
          <w:tcPr>
            <w:tcW w:w="2288" w:type="dxa"/>
            <w:gridSpan w:val="2"/>
            <w:shd w:val="clear" w:color="auto" w:fill="8DB3E2" w:themeFill="text2" w:themeFillTint="66"/>
            <w:vAlign w:val="center"/>
          </w:tcPr>
          <w:p w:rsidR="00424393" w:rsidRPr="009B3563" w:rsidRDefault="00424393" w:rsidP="00424393">
            <w:pPr>
              <w:pStyle w:val="cuatexto"/>
              <w:jc w:val="center"/>
              <w:rPr>
                <w:rFonts w:cs="Arial"/>
                <w:szCs w:val="20"/>
              </w:rPr>
            </w:pPr>
          </w:p>
        </w:tc>
        <w:tc>
          <w:tcPr>
            <w:tcW w:w="2956" w:type="dxa"/>
            <w:gridSpan w:val="2"/>
            <w:shd w:val="clear" w:color="auto" w:fill="8DB3E2" w:themeFill="text2" w:themeFillTint="66"/>
            <w:vAlign w:val="center"/>
          </w:tcPr>
          <w:p w:rsidR="00424393" w:rsidRPr="009B3563" w:rsidRDefault="00424393" w:rsidP="00424393">
            <w:pPr>
              <w:pStyle w:val="cuatexto"/>
              <w:jc w:val="center"/>
              <w:rPr>
                <w:rFonts w:cs="Arial"/>
                <w:szCs w:val="20"/>
              </w:rPr>
            </w:pPr>
            <w:r>
              <w:rPr>
                <w:rFonts w:cs="Arial"/>
                <w:szCs w:val="20"/>
              </w:rPr>
              <w:t>S/.Cámara de Comptos</w:t>
            </w:r>
          </w:p>
        </w:tc>
      </w:tr>
      <w:tr w:rsidR="009B3563" w:rsidRPr="009B3563" w:rsidTr="003B4F42">
        <w:trPr>
          <w:trHeight w:val="198"/>
          <w:jc w:val="center"/>
        </w:trPr>
        <w:tc>
          <w:tcPr>
            <w:tcW w:w="5081" w:type="dxa"/>
          </w:tcPr>
          <w:p w:rsidR="009B3563" w:rsidRPr="009B3563" w:rsidRDefault="009B3563" w:rsidP="00BA29D6">
            <w:pPr>
              <w:pStyle w:val="cuatexto"/>
              <w:rPr>
                <w:rFonts w:cs="Arial"/>
                <w:szCs w:val="20"/>
              </w:rPr>
            </w:pPr>
            <w:r w:rsidRPr="009B3563">
              <w:rPr>
                <w:rFonts w:cs="Arial"/>
                <w:szCs w:val="20"/>
              </w:rPr>
              <w:t>ACTIVO NO CORRIENTE</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shd w:val="clear" w:color="auto" w:fill="FFFFFF" w:themeFill="background1"/>
          </w:tcPr>
          <w:p w:rsidR="009B3563" w:rsidRPr="009B3563" w:rsidRDefault="009B3563" w:rsidP="00BA29D6">
            <w:pPr>
              <w:pStyle w:val="cuatexto"/>
              <w:rPr>
                <w:rFonts w:cs="Arial"/>
                <w:szCs w:val="20"/>
              </w:rPr>
            </w:pPr>
            <w:r w:rsidRPr="009B3563">
              <w:rPr>
                <w:rFonts w:cs="Arial"/>
                <w:szCs w:val="20"/>
              </w:rPr>
              <w:t xml:space="preserve"> Inmovilizado intangible</w:t>
            </w:r>
          </w:p>
        </w:tc>
        <w:tc>
          <w:tcPr>
            <w:tcW w:w="1097" w:type="dxa"/>
            <w:shd w:val="clear" w:color="auto" w:fill="FFFFFF" w:themeFill="background1"/>
            <w:vAlign w:val="center"/>
          </w:tcPr>
          <w:p w:rsidR="009B3563" w:rsidRPr="009B3563" w:rsidRDefault="009B3563" w:rsidP="0056590D">
            <w:pPr>
              <w:pStyle w:val="cuatexto"/>
              <w:jc w:val="right"/>
              <w:rPr>
                <w:rFonts w:cs="Arial"/>
                <w:szCs w:val="20"/>
              </w:rPr>
            </w:pPr>
            <w:r w:rsidRPr="009B3563">
              <w:rPr>
                <w:rFonts w:cs="Arial"/>
                <w:szCs w:val="20"/>
              </w:rPr>
              <w:t>2.234,20</w:t>
            </w:r>
          </w:p>
        </w:tc>
        <w:tc>
          <w:tcPr>
            <w:tcW w:w="1191" w:type="dxa"/>
            <w:shd w:val="clear" w:color="auto" w:fill="FFFFFF" w:themeFill="background1"/>
            <w:vAlign w:val="center"/>
          </w:tcPr>
          <w:p w:rsidR="009B3563" w:rsidRPr="009B3563" w:rsidRDefault="009B3563" w:rsidP="0056590D">
            <w:pPr>
              <w:pStyle w:val="cuatexto"/>
              <w:jc w:val="right"/>
              <w:rPr>
                <w:rFonts w:cs="Arial"/>
                <w:szCs w:val="20"/>
              </w:rPr>
            </w:pPr>
          </w:p>
        </w:tc>
        <w:tc>
          <w:tcPr>
            <w:tcW w:w="1674" w:type="dxa"/>
            <w:shd w:val="clear" w:color="auto" w:fill="FFFFFF" w:themeFill="background1"/>
            <w:vAlign w:val="center"/>
          </w:tcPr>
          <w:p w:rsidR="009B3563" w:rsidRPr="009B3563" w:rsidRDefault="009B3563" w:rsidP="0056590D">
            <w:pPr>
              <w:pStyle w:val="cuatexto"/>
              <w:jc w:val="right"/>
              <w:rPr>
                <w:rFonts w:cs="Arial"/>
                <w:szCs w:val="20"/>
              </w:rPr>
            </w:pPr>
            <w:r w:rsidRPr="009B3563">
              <w:rPr>
                <w:rFonts w:cs="Arial"/>
                <w:szCs w:val="20"/>
              </w:rPr>
              <w:t>2.234,20</w:t>
            </w:r>
          </w:p>
        </w:tc>
        <w:tc>
          <w:tcPr>
            <w:tcW w:w="1282"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shd w:val="clear" w:color="auto" w:fill="FFFFFF" w:themeFill="background1"/>
          </w:tcPr>
          <w:p w:rsidR="009B3563" w:rsidRPr="009B3563" w:rsidRDefault="009B3563" w:rsidP="0072518E">
            <w:pPr>
              <w:pStyle w:val="cuatexto"/>
              <w:rPr>
                <w:rFonts w:cs="Arial"/>
                <w:szCs w:val="20"/>
              </w:rPr>
            </w:pPr>
            <w:r w:rsidRPr="009B3563">
              <w:rPr>
                <w:rFonts w:cs="Arial"/>
                <w:szCs w:val="20"/>
              </w:rPr>
              <w:t xml:space="preserve"> inversiones en empresas del grupo y asociadas a largo plazo</w:t>
            </w:r>
          </w:p>
        </w:tc>
        <w:tc>
          <w:tcPr>
            <w:tcW w:w="1097" w:type="dxa"/>
            <w:shd w:val="clear" w:color="auto" w:fill="FFFFFF" w:themeFill="background1"/>
            <w:vAlign w:val="center"/>
          </w:tcPr>
          <w:p w:rsidR="009B3563" w:rsidRPr="009B3563" w:rsidRDefault="009B3563" w:rsidP="0056590D">
            <w:pPr>
              <w:pStyle w:val="cuatexto"/>
              <w:jc w:val="right"/>
              <w:rPr>
                <w:rFonts w:cs="Arial"/>
                <w:szCs w:val="20"/>
              </w:rPr>
            </w:pPr>
            <w:r w:rsidRPr="009B3563">
              <w:rPr>
                <w:rFonts w:cs="Arial"/>
                <w:szCs w:val="20"/>
              </w:rPr>
              <w:t>145.461,72</w:t>
            </w:r>
          </w:p>
        </w:tc>
        <w:tc>
          <w:tcPr>
            <w:tcW w:w="1191" w:type="dxa"/>
            <w:shd w:val="clear" w:color="auto" w:fill="FFFFFF" w:themeFill="background1"/>
            <w:vAlign w:val="center"/>
          </w:tcPr>
          <w:p w:rsidR="009B3563" w:rsidRPr="009B3563" w:rsidRDefault="009B3563" w:rsidP="0056590D">
            <w:pPr>
              <w:pStyle w:val="cuatexto"/>
              <w:jc w:val="right"/>
              <w:rPr>
                <w:rFonts w:cs="Arial"/>
                <w:szCs w:val="20"/>
              </w:rPr>
            </w:pPr>
          </w:p>
        </w:tc>
        <w:tc>
          <w:tcPr>
            <w:tcW w:w="1674" w:type="dxa"/>
            <w:shd w:val="clear" w:color="auto" w:fill="FFFFFF" w:themeFill="background1"/>
            <w:vAlign w:val="center"/>
          </w:tcPr>
          <w:p w:rsidR="009B3563" w:rsidRPr="009B3563" w:rsidRDefault="009B3563" w:rsidP="0056590D">
            <w:pPr>
              <w:pStyle w:val="cuatexto"/>
              <w:jc w:val="right"/>
              <w:rPr>
                <w:rFonts w:cs="Arial"/>
                <w:szCs w:val="20"/>
              </w:rPr>
            </w:pPr>
          </w:p>
        </w:tc>
        <w:tc>
          <w:tcPr>
            <w:tcW w:w="1282"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9B3563" w:rsidP="00BA29D6">
            <w:pPr>
              <w:pStyle w:val="cuatexto"/>
              <w:rPr>
                <w:rFonts w:cs="Arial"/>
                <w:szCs w:val="20"/>
              </w:rPr>
            </w:pPr>
            <w:r w:rsidRPr="009B3563">
              <w:rPr>
                <w:rFonts w:cs="Arial"/>
                <w:szCs w:val="20"/>
              </w:rPr>
              <w:t>TOTAL ACTIVO NO CORRIENTE (A)</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r w:rsidRPr="009B3563">
              <w:rPr>
                <w:rFonts w:cs="Arial"/>
                <w:szCs w:val="20"/>
              </w:rPr>
              <w:t>147.995,92</w:t>
            </w: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72518E" w:rsidP="0056590D">
            <w:pPr>
              <w:pStyle w:val="cuatexto"/>
              <w:jc w:val="right"/>
              <w:rPr>
                <w:rFonts w:cs="Arial"/>
                <w:szCs w:val="20"/>
              </w:rPr>
            </w:pPr>
            <w:r>
              <w:rPr>
                <w:rFonts w:cs="Arial"/>
                <w:szCs w:val="20"/>
              </w:rPr>
              <w:t>2.234,20</w:t>
            </w:r>
          </w:p>
        </w:tc>
      </w:tr>
      <w:tr w:rsidR="009B3563" w:rsidRPr="009B3563" w:rsidTr="003B4F42">
        <w:trPr>
          <w:jc w:val="center"/>
        </w:trPr>
        <w:tc>
          <w:tcPr>
            <w:tcW w:w="5081" w:type="dxa"/>
          </w:tcPr>
          <w:p w:rsidR="009B3563" w:rsidRPr="009B3563" w:rsidRDefault="009B3563" w:rsidP="00BA29D6">
            <w:pPr>
              <w:pStyle w:val="cuatexto"/>
              <w:rPr>
                <w:rFonts w:cs="Arial"/>
                <w:szCs w:val="20"/>
              </w:rPr>
            </w:pPr>
            <w:r w:rsidRPr="009B3563">
              <w:rPr>
                <w:rFonts w:cs="Arial"/>
                <w:szCs w:val="20"/>
              </w:rPr>
              <w:t>ACTIVO CORRIENTE</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3B4F42" w:rsidP="00BA29D6">
            <w:pPr>
              <w:pStyle w:val="cuatexto"/>
              <w:rPr>
                <w:rFonts w:cs="Arial"/>
                <w:szCs w:val="20"/>
              </w:rPr>
            </w:pPr>
            <w:r>
              <w:rPr>
                <w:rFonts w:cs="Arial"/>
                <w:szCs w:val="20"/>
              </w:rPr>
              <w:t xml:space="preserve"> </w:t>
            </w:r>
            <w:r w:rsidR="009B3563" w:rsidRPr="009B3563">
              <w:rPr>
                <w:rFonts w:cs="Arial"/>
                <w:szCs w:val="20"/>
              </w:rPr>
              <w:t>Otros deudores</w:t>
            </w:r>
          </w:p>
        </w:tc>
        <w:tc>
          <w:tcPr>
            <w:tcW w:w="1097" w:type="dxa"/>
            <w:vAlign w:val="center"/>
          </w:tcPr>
          <w:p w:rsidR="009B3563" w:rsidRPr="009B3563" w:rsidRDefault="009B3563" w:rsidP="0056590D">
            <w:pPr>
              <w:pStyle w:val="cuatexto"/>
              <w:jc w:val="right"/>
              <w:rPr>
                <w:rFonts w:cs="Arial"/>
                <w:szCs w:val="20"/>
              </w:rPr>
            </w:pPr>
            <w:r w:rsidRPr="009B3563">
              <w:rPr>
                <w:rFonts w:cs="Arial"/>
                <w:szCs w:val="20"/>
              </w:rPr>
              <w:t>12.810,00</w:t>
            </w: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r w:rsidRPr="009B3563">
              <w:rPr>
                <w:rFonts w:cs="Arial"/>
                <w:szCs w:val="20"/>
              </w:rPr>
              <w:t>12.810,00</w:t>
            </w: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3B4F42" w:rsidP="00BA29D6">
            <w:pPr>
              <w:pStyle w:val="cuatexto"/>
              <w:rPr>
                <w:rFonts w:cs="Arial"/>
                <w:szCs w:val="20"/>
              </w:rPr>
            </w:pPr>
            <w:r>
              <w:rPr>
                <w:rFonts w:cs="Arial"/>
                <w:szCs w:val="20"/>
              </w:rPr>
              <w:t xml:space="preserve"> P</w:t>
            </w:r>
            <w:r w:rsidR="009B3563" w:rsidRPr="009B3563">
              <w:rPr>
                <w:rFonts w:cs="Arial"/>
                <w:szCs w:val="20"/>
              </w:rPr>
              <w:t>eriodificaciones a corto plazo</w:t>
            </w:r>
          </w:p>
        </w:tc>
        <w:tc>
          <w:tcPr>
            <w:tcW w:w="1097" w:type="dxa"/>
            <w:vAlign w:val="center"/>
          </w:tcPr>
          <w:p w:rsidR="009B3563" w:rsidRPr="009B3563" w:rsidRDefault="009B3563" w:rsidP="0056590D">
            <w:pPr>
              <w:pStyle w:val="cuatexto"/>
              <w:jc w:val="right"/>
              <w:rPr>
                <w:rFonts w:cs="Arial"/>
                <w:szCs w:val="20"/>
              </w:rPr>
            </w:pPr>
            <w:r w:rsidRPr="009B3563">
              <w:rPr>
                <w:rFonts w:cs="Arial"/>
                <w:szCs w:val="20"/>
              </w:rPr>
              <w:t>1.892,25</w:t>
            </w: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r w:rsidRPr="009B3563">
              <w:rPr>
                <w:rFonts w:cs="Arial"/>
                <w:szCs w:val="20"/>
              </w:rPr>
              <w:t>1.892,25</w:t>
            </w: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9B3563" w:rsidP="00BA29D6">
            <w:pPr>
              <w:pStyle w:val="cuatexto"/>
              <w:rPr>
                <w:rFonts w:cs="Arial"/>
                <w:szCs w:val="20"/>
              </w:rPr>
            </w:pPr>
            <w:r w:rsidRPr="009B3563">
              <w:rPr>
                <w:rFonts w:cs="Arial"/>
                <w:szCs w:val="20"/>
              </w:rPr>
              <w:t>TOTAL ACTIVO CORRIENTE (B)</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r w:rsidRPr="009B3563">
              <w:rPr>
                <w:rFonts w:cs="Arial"/>
                <w:szCs w:val="20"/>
              </w:rPr>
              <w:t>14.702,25</w:t>
            </w: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276EF8" w:rsidP="0056590D">
            <w:pPr>
              <w:pStyle w:val="cuatexto"/>
              <w:jc w:val="right"/>
              <w:rPr>
                <w:rFonts w:cs="Arial"/>
                <w:szCs w:val="20"/>
              </w:rPr>
            </w:pPr>
            <w:r w:rsidRPr="00276EF8">
              <w:rPr>
                <w:rFonts w:cs="Arial"/>
                <w:color w:val="000000" w:themeColor="text1"/>
                <w:szCs w:val="20"/>
              </w:rPr>
              <w:t>14.702,25</w:t>
            </w:r>
          </w:p>
        </w:tc>
      </w:tr>
      <w:tr w:rsidR="009B3563" w:rsidRPr="009B3563" w:rsidTr="003B4F42">
        <w:trPr>
          <w:jc w:val="center"/>
        </w:trPr>
        <w:tc>
          <w:tcPr>
            <w:tcW w:w="5081" w:type="dxa"/>
            <w:shd w:val="clear" w:color="auto" w:fill="8DB3E2" w:themeFill="text2" w:themeFillTint="66"/>
          </w:tcPr>
          <w:p w:rsidR="009B3563" w:rsidRPr="009B3563" w:rsidRDefault="009B3563" w:rsidP="00BA29D6">
            <w:pPr>
              <w:pStyle w:val="cuatexto"/>
              <w:rPr>
                <w:rFonts w:cs="Arial"/>
                <w:szCs w:val="20"/>
              </w:rPr>
            </w:pPr>
            <w:r w:rsidRPr="009B3563">
              <w:rPr>
                <w:rFonts w:cs="Arial"/>
                <w:szCs w:val="20"/>
              </w:rPr>
              <w:t>TOTAL ACTIVO ACTIVO (A+B)</w:t>
            </w:r>
          </w:p>
        </w:tc>
        <w:tc>
          <w:tcPr>
            <w:tcW w:w="1097"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191" w:type="dxa"/>
            <w:shd w:val="clear" w:color="auto" w:fill="8DB3E2" w:themeFill="text2" w:themeFillTint="66"/>
            <w:vAlign w:val="center"/>
          </w:tcPr>
          <w:p w:rsidR="009B3563" w:rsidRPr="009B3563" w:rsidRDefault="00276EF8" w:rsidP="0056590D">
            <w:pPr>
              <w:pStyle w:val="cuatexto"/>
              <w:jc w:val="right"/>
              <w:rPr>
                <w:rFonts w:cs="Arial"/>
                <w:szCs w:val="20"/>
              </w:rPr>
            </w:pPr>
            <w:r w:rsidRPr="009B3563">
              <w:rPr>
                <w:rFonts w:cs="Arial"/>
                <w:szCs w:val="20"/>
              </w:rPr>
              <w:t>162.698,17</w:t>
            </w:r>
          </w:p>
        </w:tc>
        <w:tc>
          <w:tcPr>
            <w:tcW w:w="1674"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82" w:type="dxa"/>
            <w:shd w:val="clear" w:color="auto" w:fill="8DB3E2" w:themeFill="text2" w:themeFillTint="66"/>
          </w:tcPr>
          <w:p w:rsidR="009B3563" w:rsidRPr="009B3563" w:rsidRDefault="0072518E" w:rsidP="0056590D">
            <w:pPr>
              <w:pStyle w:val="cuatexto"/>
              <w:jc w:val="right"/>
              <w:rPr>
                <w:rFonts w:cs="Arial"/>
                <w:szCs w:val="20"/>
              </w:rPr>
            </w:pPr>
            <w:r>
              <w:rPr>
                <w:rFonts w:cs="Arial"/>
                <w:szCs w:val="20"/>
              </w:rPr>
              <w:t>16.936,45</w:t>
            </w:r>
          </w:p>
        </w:tc>
      </w:tr>
    </w:tbl>
    <w:p w:rsidR="0015179D" w:rsidRPr="00365E49" w:rsidRDefault="0015179D" w:rsidP="009D7600">
      <w:pPr>
        <w:spacing w:before="480" w:after="240"/>
        <w:jc w:val="center"/>
      </w:pPr>
      <w:r w:rsidRPr="00365E49">
        <w:rPr>
          <w:rFonts w:ascii="Arial" w:hAnsi="Arial" w:cs="Arial"/>
        </w:rPr>
        <w:t>Patrimonio neto y pasivo</w:t>
      </w:r>
    </w:p>
    <w:tbl>
      <w:tblPr>
        <w:tblStyle w:val="Tablaconcuadrcula"/>
        <w:tblW w:w="1032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968"/>
        <w:gridCol w:w="1124"/>
        <w:gridCol w:w="1256"/>
        <w:gridCol w:w="1689"/>
        <w:gridCol w:w="1288"/>
      </w:tblGrid>
      <w:tr w:rsidR="00E536C9" w:rsidRPr="009B3563" w:rsidTr="00E536C9">
        <w:trPr>
          <w:trHeight w:val="255"/>
          <w:jc w:val="center"/>
        </w:trPr>
        <w:tc>
          <w:tcPr>
            <w:tcW w:w="10325" w:type="dxa"/>
            <w:gridSpan w:val="5"/>
            <w:shd w:val="clear" w:color="auto" w:fill="8DB3E2" w:themeFill="text2" w:themeFillTint="66"/>
          </w:tcPr>
          <w:p w:rsidR="00E536C9" w:rsidRPr="009B3563" w:rsidRDefault="00E536C9" w:rsidP="00496227">
            <w:pPr>
              <w:pStyle w:val="cuatexto"/>
              <w:jc w:val="right"/>
              <w:rPr>
                <w:rFonts w:cs="Arial"/>
                <w:szCs w:val="20"/>
              </w:rPr>
            </w:pPr>
            <w:r>
              <w:rPr>
                <w:rFonts w:cs="Arial"/>
                <w:szCs w:val="20"/>
              </w:rPr>
              <w:t>S/.Cámara de Comptos</w:t>
            </w:r>
          </w:p>
        </w:tc>
      </w:tr>
      <w:tr w:rsidR="009B3563" w:rsidRPr="009B3563" w:rsidTr="00424393">
        <w:trPr>
          <w:jc w:val="center"/>
        </w:trPr>
        <w:tc>
          <w:tcPr>
            <w:tcW w:w="4968" w:type="dxa"/>
          </w:tcPr>
          <w:p w:rsidR="009B3563" w:rsidRPr="009B3563" w:rsidRDefault="00E536C9" w:rsidP="00BA29D6">
            <w:pPr>
              <w:pStyle w:val="cuatexto"/>
              <w:rPr>
                <w:rFonts w:cs="Arial"/>
                <w:szCs w:val="20"/>
              </w:rPr>
            </w:pPr>
            <w:r w:rsidRPr="009B3563">
              <w:rPr>
                <w:rFonts w:cs="Arial"/>
                <w:szCs w:val="20"/>
              </w:rPr>
              <w:t>FONDOS PROPIOS</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496227" w:rsidP="00BA29D6">
            <w:pPr>
              <w:pStyle w:val="cuatexto"/>
              <w:rPr>
                <w:rFonts w:cs="Arial"/>
                <w:szCs w:val="20"/>
              </w:rPr>
            </w:pPr>
            <w:r>
              <w:rPr>
                <w:rFonts w:cs="Arial"/>
                <w:szCs w:val="20"/>
              </w:rPr>
              <w:t xml:space="preserve">Capital </w:t>
            </w:r>
          </w:p>
        </w:tc>
        <w:tc>
          <w:tcPr>
            <w:tcW w:w="1124" w:type="dxa"/>
            <w:vAlign w:val="center"/>
          </w:tcPr>
          <w:p w:rsidR="009B3563" w:rsidRPr="009B3563" w:rsidRDefault="009B3563" w:rsidP="0056590D">
            <w:pPr>
              <w:pStyle w:val="cuatexto"/>
              <w:jc w:val="right"/>
              <w:rPr>
                <w:rFonts w:cs="Arial"/>
                <w:szCs w:val="20"/>
              </w:rPr>
            </w:pPr>
            <w:r w:rsidRPr="009B3563">
              <w:rPr>
                <w:rFonts w:cs="Arial"/>
                <w:szCs w:val="20"/>
              </w:rPr>
              <w:t>3.317,24</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rsidRPr="009B3563">
              <w:rPr>
                <w:rFonts w:cs="Arial"/>
                <w:szCs w:val="20"/>
              </w:rPr>
              <w:t>3.317,24</w:t>
            </w: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rsidRPr="009B3563">
              <w:rPr>
                <w:rFonts w:cs="Arial"/>
                <w:szCs w:val="20"/>
              </w:rPr>
              <w:t>Reservas</w:t>
            </w:r>
          </w:p>
        </w:tc>
        <w:tc>
          <w:tcPr>
            <w:tcW w:w="1124" w:type="dxa"/>
            <w:vAlign w:val="center"/>
          </w:tcPr>
          <w:p w:rsidR="009B3563" w:rsidRPr="009B3563" w:rsidRDefault="009B3563" w:rsidP="0056590D">
            <w:pPr>
              <w:pStyle w:val="cuatexto"/>
              <w:jc w:val="right"/>
              <w:rPr>
                <w:rFonts w:cs="Arial"/>
                <w:szCs w:val="20"/>
              </w:rPr>
            </w:pPr>
            <w:r w:rsidRPr="009B3563">
              <w:rPr>
                <w:rFonts w:cs="Arial"/>
                <w:szCs w:val="20"/>
              </w:rPr>
              <w:t>323.588,46</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rsidRPr="009B3563">
              <w:rPr>
                <w:rFonts w:cs="Arial"/>
                <w:szCs w:val="20"/>
              </w:rPr>
              <w:t>177.826,74</w:t>
            </w: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rsidRPr="009B3563">
              <w:rPr>
                <w:rFonts w:cs="Arial"/>
                <w:szCs w:val="20"/>
              </w:rPr>
              <w:t>Resultado del ejercicio</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rsidRPr="009B3563">
              <w:rPr>
                <w:rFonts w:cs="Arial"/>
                <w:szCs w:val="20"/>
              </w:rPr>
              <w:t>-400.144,72</w:t>
            </w:r>
          </w:p>
        </w:tc>
        <w:tc>
          <w:tcPr>
            <w:tcW w:w="1288" w:type="dxa"/>
          </w:tcPr>
          <w:p w:rsidR="009B3563" w:rsidRPr="009B3563" w:rsidRDefault="009B3563" w:rsidP="0056590D">
            <w:pPr>
              <w:pStyle w:val="cuatexto"/>
              <w:jc w:val="right"/>
              <w:rPr>
                <w:rFonts w:cs="Arial"/>
                <w:szCs w:val="20"/>
              </w:rPr>
            </w:pPr>
          </w:p>
        </w:tc>
      </w:tr>
      <w:tr w:rsidR="009B3563" w:rsidRPr="009B3563" w:rsidTr="0072518E">
        <w:trPr>
          <w:jc w:val="center"/>
        </w:trPr>
        <w:tc>
          <w:tcPr>
            <w:tcW w:w="4968" w:type="dxa"/>
            <w:shd w:val="clear" w:color="auto" w:fill="FFFFFF" w:themeFill="background1"/>
          </w:tcPr>
          <w:p w:rsidR="009B3563" w:rsidRPr="009B3563" w:rsidRDefault="009B3563" w:rsidP="004B7691">
            <w:pPr>
              <w:pStyle w:val="cuatexto"/>
              <w:rPr>
                <w:rFonts w:cs="Arial"/>
                <w:szCs w:val="20"/>
              </w:rPr>
            </w:pPr>
            <w:r w:rsidRPr="009B3563">
              <w:rPr>
                <w:rFonts w:cs="Arial"/>
                <w:szCs w:val="20"/>
              </w:rPr>
              <w:t xml:space="preserve">TOTAL PATRIMONIO NETO </w:t>
            </w:r>
          </w:p>
        </w:tc>
        <w:tc>
          <w:tcPr>
            <w:tcW w:w="1124" w:type="dxa"/>
            <w:shd w:val="clear" w:color="auto" w:fill="FFFFFF" w:themeFill="background1"/>
            <w:vAlign w:val="center"/>
          </w:tcPr>
          <w:p w:rsidR="009B3563" w:rsidRPr="009B3563" w:rsidRDefault="009B3563" w:rsidP="0056590D">
            <w:pPr>
              <w:pStyle w:val="cuatexto"/>
              <w:jc w:val="right"/>
              <w:rPr>
                <w:rFonts w:cs="Arial"/>
                <w:szCs w:val="20"/>
              </w:rPr>
            </w:pPr>
          </w:p>
        </w:tc>
        <w:tc>
          <w:tcPr>
            <w:tcW w:w="1256" w:type="dxa"/>
            <w:shd w:val="clear" w:color="auto" w:fill="FFFFFF" w:themeFill="background1"/>
            <w:vAlign w:val="center"/>
          </w:tcPr>
          <w:p w:rsidR="009B3563" w:rsidRPr="009B3563" w:rsidRDefault="009B3563" w:rsidP="0056590D">
            <w:pPr>
              <w:pStyle w:val="cuatexto"/>
              <w:jc w:val="right"/>
              <w:rPr>
                <w:rFonts w:cs="Arial"/>
                <w:szCs w:val="20"/>
              </w:rPr>
            </w:pPr>
            <w:r w:rsidRPr="009B3563">
              <w:rPr>
                <w:rFonts w:cs="Arial"/>
                <w:szCs w:val="20"/>
              </w:rPr>
              <w:t>326.905,70</w:t>
            </w:r>
          </w:p>
        </w:tc>
        <w:tc>
          <w:tcPr>
            <w:tcW w:w="1689" w:type="dxa"/>
            <w:shd w:val="clear" w:color="auto" w:fill="FFFFFF" w:themeFill="background1"/>
            <w:vAlign w:val="center"/>
          </w:tcPr>
          <w:p w:rsidR="009B3563" w:rsidRPr="009B3563" w:rsidRDefault="009B3563" w:rsidP="0056590D">
            <w:pPr>
              <w:pStyle w:val="cuatexto"/>
              <w:jc w:val="right"/>
              <w:rPr>
                <w:rFonts w:cs="Arial"/>
                <w:szCs w:val="20"/>
              </w:rPr>
            </w:pPr>
          </w:p>
        </w:tc>
        <w:tc>
          <w:tcPr>
            <w:tcW w:w="1288" w:type="dxa"/>
            <w:shd w:val="clear" w:color="auto" w:fill="FFFFFF" w:themeFill="background1"/>
          </w:tcPr>
          <w:p w:rsidR="009B3563" w:rsidRPr="009B3563" w:rsidRDefault="009B3563" w:rsidP="0056590D">
            <w:pPr>
              <w:pStyle w:val="cuatexto"/>
              <w:jc w:val="right"/>
              <w:rPr>
                <w:rFonts w:cs="Arial"/>
                <w:szCs w:val="20"/>
              </w:rPr>
            </w:pPr>
            <w:r>
              <w:rPr>
                <w:rFonts w:cs="Arial"/>
                <w:szCs w:val="20"/>
              </w:rPr>
              <w:t>-</w:t>
            </w:r>
            <w:r w:rsidRPr="009B3563">
              <w:rPr>
                <w:rFonts w:cs="Arial"/>
                <w:szCs w:val="20"/>
              </w:rPr>
              <w:t>219.000,79</w:t>
            </w:r>
          </w:p>
        </w:tc>
      </w:tr>
      <w:tr w:rsidR="009B3563" w:rsidRPr="009B3563" w:rsidTr="0072518E">
        <w:trPr>
          <w:trHeight w:val="255"/>
          <w:jc w:val="center"/>
        </w:trPr>
        <w:tc>
          <w:tcPr>
            <w:tcW w:w="4968" w:type="dxa"/>
            <w:shd w:val="clear" w:color="auto" w:fill="FFFFFF" w:themeFill="background1"/>
          </w:tcPr>
          <w:p w:rsidR="009B3563" w:rsidRPr="009B3563" w:rsidRDefault="009B3563" w:rsidP="00BA29D6">
            <w:pPr>
              <w:pStyle w:val="cuatexto"/>
              <w:rPr>
                <w:rFonts w:cs="Arial"/>
                <w:szCs w:val="20"/>
              </w:rPr>
            </w:pPr>
            <w:r w:rsidRPr="009B3563">
              <w:rPr>
                <w:rFonts w:cs="Arial"/>
                <w:szCs w:val="20"/>
              </w:rPr>
              <w:t>C) PASIVO CORRIENTE</w:t>
            </w:r>
          </w:p>
        </w:tc>
        <w:tc>
          <w:tcPr>
            <w:tcW w:w="1124" w:type="dxa"/>
            <w:shd w:val="clear" w:color="auto" w:fill="FFFFFF" w:themeFill="background1"/>
            <w:vAlign w:val="center"/>
          </w:tcPr>
          <w:p w:rsidR="009B3563" w:rsidRPr="009B3563" w:rsidRDefault="009B3563" w:rsidP="0056590D">
            <w:pPr>
              <w:pStyle w:val="cuatexto"/>
              <w:jc w:val="right"/>
              <w:rPr>
                <w:rFonts w:cs="Arial"/>
                <w:szCs w:val="20"/>
              </w:rPr>
            </w:pPr>
          </w:p>
        </w:tc>
        <w:tc>
          <w:tcPr>
            <w:tcW w:w="1256" w:type="dxa"/>
            <w:shd w:val="clear" w:color="auto" w:fill="FFFFFF" w:themeFill="background1"/>
            <w:vAlign w:val="center"/>
          </w:tcPr>
          <w:p w:rsidR="009B3563" w:rsidRPr="009B3563" w:rsidRDefault="009B3563" w:rsidP="0056590D">
            <w:pPr>
              <w:pStyle w:val="cuatexto"/>
              <w:jc w:val="right"/>
              <w:rPr>
                <w:rFonts w:cs="Arial"/>
                <w:szCs w:val="20"/>
              </w:rPr>
            </w:pPr>
          </w:p>
        </w:tc>
        <w:tc>
          <w:tcPr>
            <w:tcW w:w="1689" w:type="dxa"/>
            <w:shd w:val="clear" w:color="auto" w:fill="FFFFFF" w:themeFill="background1"/>
            <w:vAlign w:val="center"/>
          </w:tcPr>
          <w:p w:rsidR="009B3563" w:rsidRPr="009B3563" w:rsidRDefault="009B3563" w:rsidP="0056590D">
            <w:pPr>
              <w:pStyle w:val="cuatexto"/>
              <w:jc w:val="right"/>
              <w:rPr>
                <w:rFonts w:cs="Arial"/>
                <w:szCs w:val="20"/>
              </w:rPr>
            </w:pPr>
          </w:p>
        </w:tc>
        <w:tc>
          <w:tcPr>
            <w:tcW w:w="1288"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rsidRPr="009B3563">
              <w:rPr>
                <w:rFonts w:cs="Arial"/>
                <w:szCs w:val="20"/>
              </w:rPr>
              <w:t>Otras deudas a corto plazo</w:t>
            </w:r>
          </w:p>
        </w:tc>
        <w:tc>
          <w:tcPr>
            <w:tcW w:w="1124" w:type="dxa"/>
            <w:vAlign w:val="center"/>
          </w:tcPr>
          <w:p w:rsidR="009B3563" w:rsidRPr="009B3563" w:rsidRDefault="009B3563" w:rsidP="0056590D">
            <w:pPr>
              <w:pStyle w:val="cuatexto"/>
              <w:jc w:val="right"/>
              <w:rPr>
                <w:rFonts w:cs="Arial"/>
                <w:szCs w:val="20"/>
              </w:rPr>
            </w:pPr>
            <w:r w:rsidRPr="009B3563">
              <w:rPr>
                <w:rFonts w:cs="Arial"/>
                <w:szCs w:val="20"/>
              </w:rPr>
              <w:t>235.937,24</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r w:rsidRPr="009B3563">
              <w:rPr>
                <w:rFonts w:cs="Arial"/>
                <w:szCs w:val="20"/>
              </w:rPr>
              <w:t>235.937,24</w:t>
            </w:r>
          </w:p>
        </w:tc>
      </w:tr>
      <w:tr w:rsidR="009B3563" w:rsidRPr="009B3563" w:rsidTr="00424393">
        <w:trPr>
          <w:jc w:val="center"/>
        </w:trPr>
        <w:tc>
          <w:tcPr>
            <w:tcW w:w="4968" w:type="dxa"/>
          </w:tcPr>
          <w:p w:rsidR="009B3563" w:rsidRPr="009B3563" w:rsidRDefault="009B3563" w:rsidP="004B7691">
            <w:pPr>
              <w:pStyle w:val="cuatexto"/>
              <w:rPr>
                <w:rFonts w:cs="Arial"/>
                <w:szCs w:val="20"/>
              </w:rPr>
            </w:pPr>
            <w:r w:rsidRPr="009B3563">
              <w:rPr>
                <w:rFonts w:cs="Arial"/>
                <w:szCs w:val="20"/>
              </w:rPr>
              <w:t xml:space="preserve">TOTAL Y PASIVO </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r w:rsidRPr="009B3563">
              <w:rPr>
                <w:rFonts w:cs="Arial"/>
                <w:szCs w:val="20"/>
              </w:rPr>
              <w:t>235.937,24</w:t>
            </w: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rsidRPr="009B3563">
              <w:rPr>
                <w:rFonts w:cs="Arial"/>
                <w:szCs w:val="20"/>
              </w:rPr>
              <w:t>-RESULTADOS DEL EJERCICIO</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r w:rsidRPr="009B3563">
              <w:rPr>
                <w:rFonts w:cs="Arial"/>
                <w:szCs w:val="20"/>
              </w:rPr>
              <w:t>-400.144,77</w:t>
            </w: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shd w:val="clear" w:color="auto" w:fill="8DB3E2" w:themeFill="text2" w:themeFillTint="66"/>
          </w:tcPr>
          <w:p w:rsidR="009B3563" w:rsidRPr="009B3563" w:rsidRDefault="009B3563" w:rsidP="004B7691">
            <w:pPr>
              <w:pStyle w:val="cuatexto"/>
              <w:rPr>
                <w:rFonts w:cs="Arial"/>
                <w:szCs w:val="20"/>
              </w:rPr>
            </w:pPr>
            <w:r w:rsidRPr="009B3563">
              <w:rPr>
                <w:rFonts w:cs="Arial"/>
                <w:szCs w:val="20"/>
              </w:rPr>
              <w:t>TOTAL PATRIMONIO NETO Y PASIVO</w:t>
            </w:r>
          </w:p>
        </w:tc>
        <w:tc>
          <w:tcPr>
            <w:tcW w:w="1124"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56" w:type="dxa"/>
            <w:shd w:val="clear" w:color="auto" w:fill="8DB3E2" w:themeFill="text2" w:themeFillTint="66"/>
            <w:vAlign w:val="center"/>
          </w:tcPr>
          <w:p w:rsidR="009B3563" w:rsidRPr="009B3563" w:rsidRDefault="009B3563" w:rsidP="0056590D">
            <w:pPr>
              <w:pStyle w:val="cuatexto"/>
              <w:jc w:val="right"/>
              <w:rPr>
                <w:rFonts w:cs="Arial"/>
                <w:szCs w:val="20"/>
              </w:rPr>
            </w:pPr>
            <w:r w:rsidRPr="009B3563">
              <w:rPr>
                <w:rFonts w:cs="Arial"/>
                <w:szCs w:val="20"/>
              </w:rPr>
              <w:t>162.698,17</w:t>
            </w:r>
          </w:p>
        </w:tc>
        <w:tc>
          <w:tcPr>
            <w:tcW w:w="1689"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88" w:type="dxa"/>
            <w:shd w:val="clear" w:color="auto" w:fill="8DB3E2" w:themeFill="text2" w:themeFillTint="66"/>
          </w:tcPr>
          <w:p w:rsidR="009B3563" w:rsidRPr="009B3563" w:rsidRDefault="00496227" w:rsidP="0056590D">
            <w:pPr>
              <w:pStyle w:val="cuatexto"/>
              <w:jc w:val="right"/>
              <w:rPr>
                <w:rFonts w:cs="Arial"/>
                <w:szCs w:val="20"/>
              </w:rPr>
            </w:pPr>
            <w:r>
              <w:rPr>
                <w:rFonts w:cs="Arial"/>
                <w:szCs w:val="20"/>
              </w:rPr>
              <w:t>16.936,45</w:t>
            </w:r>
          </w:p>
        </w:tc>
      </w:tr>
    </w:tbl>
    <w:p w:rsidR="00BA29D6" w:rsidRDefault="00BA29D6" w:rsidP="00BA29D6">
      <w:pPr>
        <w:pStyle w:val="texto"/>
      </w:pPr>
    </w:p>
    <w:p w:rsidR="00526B2D" w:rsidRDefault="00526B2D" w:rsidP="00BA29D6">
      <w:pPr>
        <w:pStyle w:val="texto"/>
      </w:pPr>
    </w:p>
    <w:p w:rsidR="00526B2D" w:rsidRDefault="00526B2D" w:rsidP="00BA29D6">
      <w:pPr>
        <w:pStyle w:val="texto"/>
      </w:pPr>
    </w:p>
    <w:p w:rsidR="00526B2D" w:rsidRDefault="00526B2D">
      <w:pPr>
        <w:spacing w:after="0"/>
        <w:ind w:firstLine="0"/>
        <w:jc w:val="left"/>
        <w:rPr>
          <w:spacing w:val="6"/>
          <w:sz w:val="26"/>
          <w:szCs w:val="24"/>
        </w:rPr>
      </w:pPr>
      <w:r>
        <w:br w:type="page"/>
      </w:r>
    </w:p>
    <w:p w:rsidR="002306F8" w:rsidRDefault="002306F8" w:rsidP="002306F8">
      <w:pPr>
        <w:pStyle w:val="atitulo1"/>
      </w:pPr>
      <w:bookmarkStart w:id="29" w:name="_Toc440370834"/>
      <w:r>
        <w:lastRenderedPageBreak/>
        <w:t>Anexo II</w:t>
      </w:r>
      <w:r w:rsidR="00E44D2B">
        <w:t>.</w:t>
      </w:r>
      <w:r w:rsidR="00E419ED" w:rsidRPr="00E419ED">
        <w:rPr>
          <w:rFonts w:cs="Arial"/>
          <w:szCs w:val="20"/>
        </w:rPr>
        <w:t xml:space="preserve"> </w:t>
      </w:r>
      <w:r w:rsidR="00E419ED" w:rsidRPr="00424393">
        <w:rPr>
          <w:rFonts w:cs="Arial"/>
          <w:szCs w:val="20"/>
        </w:rPr>
        <w:t>Balance de situación</w:t>
      </w:r>
      <w:r w:rsidR="00E419ED">
        <w:t xml:space="preserve"> de la Fundación Pablo Sarasate</w:t>
      </w:r>
      <w:bookmarkEnd w:id="29"/>
    </w:p>
    <w:p w:rsidR="00526B2D" w:rsidRPr="00424393" w:rsidRDefault="00526B2D" w:rsidP="00BA29D6">
      <w:pPr>
        <w:pStyle w:val="texto"/>
        <w:rPr>
          <w:sz w:val="20"/>
          <w:szCs w:val="20"/>
        </w:rPr>
      </w:pPr>
    </w:p>
    <w:tbl>
      <w:tblPr>
        <w:tblStyle w:val="Tablaconcuadrcula"/>
        <w:tblW w:w="0" w:type="auto"/>
        <w:jc w:val="center"/>
        <w:tblInd w:w="-1105" w:type="dxa"/>
        <w:tblBorders>
          <w:left w:val="none" w:sz="0" w:space="0" w:color="auto"/>
          <w:right w:val="none" w:sz="0" w:space="0" w:color="auto"/>
          <w:insideV w:val="none" w:sz="0" w:space="0" w:color="auto"/>
        </w:tblBorders>
        <w:tblLook w:val="04A0" w:firstRow="1" w:lastRow="0" w:firstColumn="1" w:lastColumn="0" w:noHBand="0" w:noVBand="1"/>
      </w:tblPr>
      <w:tblGrid>
        <w:gridCol w:w="5456"/>
        <w:gridCol w:w="1559"/>
        <w:gridCol w:w="1750"/>
      </w:tblGrid>
      <w:tr w:rsidR="006711F2" w:rsidRPr="00424393" w:rsidTr="00424393">
        <w:trPr>
          <w:jc w:val="center"/>
        </w:trPr>
        <w:tc>
          <w:tcPr>
            <w:tcW w:w="8765" w:type="dxa"/>
            <w:gridSpan w:val="3"/>
            <w:tcBorders>
              <w:top w:val="nil"/>
              <w:bottom w:val="nil"/>
            </w:tcBorders>
            <w:vAlign w:val="center"/>
          </w:tcPr>
          <w:p w:rsidR="006711F2" w:rsidRPr="00424393" w:rsidRDefault="00E419ED" w:rsidP="006711F2">
            <w:pPr>
              <w:pStyle w:val="cuatexto"/>
              <w:jc w:val="center"/>
              <w:rPr>
                <w:rFonts w:ascii="Arial" w:hAnsi="Arial" w:cs="Arial"/>
                <w:szCs w:val="20"/>
              </w:rPr>
            </w:pPr>
            <w:r>
              <w:rPr>
                <w:rFonts w:ascii="Arial" w:hAnsi="Arial" w:cs="Arial"/>
                <w:szCs w:val="20"/>
              </w:rPr>
              <w:t>Activo</w:t>
            </w:r>
          </w:p>
        </w:tc>
      </w:tr>
      <w:tr w:rsidR="006711F2" w:rsidRPr="003C2342" w:rsidTr="00424393">
        <w:trPr>
          <w:jc w:val="center"/>
        </w:trPr>
        <w:tc>
          <w:tcPr>
            <w:tcW w:w="8765" w:type="dxa"/>
            <w:gridSpan w:val="3"/>
            <w:tcBorders>
              <w:top w:val="nil"/>
            </w:tcBorders>
            <w:vAlign w:val="center"/>
          </w:tcPr>
          <w:p w:rsidR="006711F2" w:rsidRPr="003C2342" w:rsidRDefault="00E419ED" w:rsidP="00424393">
            <w:pPr>
              <w:pStyle w:val="cuatexto"/>
              <w:jc w:val="right"/>
              <w:rPr>
                <w:rFonts w:ascii="Arial" w:hAnsi="Arial" w:cs="Arial"/>
                <w:sz w:val="18"/>
                <w:szCs w:val="18"/>
              </w:rPr>
            </w:pPr>
            <w:r>
              <w:rPr>
                <w:rFonts w:ascii="Arial" w:hAnsi="Arial" w:cs="Arial"/>
                <w:sz w:val="18"/>
                <w:szCs w:val="18"/>
              </w:rPr>
              <w:t>Auditado por profesional independiente</w:t>
            </w: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A) ACTIVO NO CORRIENTE</w:t>
            </w:r>
          </w:p>
        </w:tc>
        <w:tc>
          <w:tcPr>
            <w:tcW w:w="1559" w:type="dxa"/>
            <w:vAlign w:val="center"/>
          </w:tcPr>
          <w:p w:rsidR="00526B2D" w:rsidRPr="003C2342" w:rsidRDefault="00526B2D" w:rsidP="003C2342">
            <w:pPr>
              <w:pStyle w:val="cuatexto"/>
              <w:jc w:val="right"/>
              <w:rPr>
                <w:rFonts w:ascii="Arial" w:hAnsi="Arial" w:cs="Arial"/>
                <w:sz w:val="18"/>
                <w:szCs w:val="18"/>
              </w:rPr>
            </w:pPr>
          </w:p>
        </w:tc>
        <w:tc>
          <w:tcPr>
            <w:tcW w:w="1750" w:type="dxa"/>
            <w:vAlign w:val="center"/>
          </w:tcPr>
          <w:p w:rsidR="00526B2D" w:rsidRPr="003C2342" w:rsidRDefault="00526B2D" w:rsidP="003C2342">
            <w:pPr>
              <w:pStyle w:val="cuatexto"/>
              <w:jc w:val="right"/>
              <w:rPr>
                <w:rFonts w:ascii="Arial" w:hAnsi="Arial" w:cs="Arial"/>
                <w:sz w:val="18"/>
                <w:szCs w:val="18"/>
              </w:rPr>
            </w:pPr>
            <w:r w:rsidRPr="003C2342">
              <w:rPr>
                <w:rFonts w:ascii="Arial" w:hAnsi="Arial" w:cs="Arial"/>
                <w:sz w:val="18"/>
                <w:szCs w:val="18"/>
              </w:rPr>
              <w:t>193.447,46</w:t>
            </w:r>
          </w:p>
        </w:tc>
      </w:tr>
      <w:tr w:rsidR="00526B2D" w:rsidRPr="003C2342" w:rsidTr="00276EF8">
        <w:trPr>
          <w:jc w:val="center"/>
        </w:trPr>
        <w:tc>
          <w:tcPr>
            <w:tcW w:w="5456" w:type="dxa"/>
            <w:shd w:val="clear" w:color="auto" w:fill="FFFFFF" w:themeFill="background1"/>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 xml:space="preserve"> Inmovilizado intangible</w:t>
            </w:r>
          </w:p>
        </w:tc>
        <w:tc>
          <w:tcPr>
            <w:tcW w:w="1559"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r w:rsidRPr="003C2342">
              <w:rPr>
                <w:rFonts w:ascii="Arial" w:hAnsi="Arial" w:cs="Arial"/>
                <w:sz w:val="18"/>
                <w:szCs w:val="18"/>
              </w:rPr>
              <w:t>7.623,35</w:t>
            </w:r>
          </w:p>
        </w:tc>
        <w:tc>
          <w:tcPr>
            <w:tcW w:w="1750"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shd w:val="clear" w:color="auto" w:fill="FFFFFF" w:themeFill="background1"/>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 xml:space="preserve"> Inmovilizado material</w:t>
            </w:r>
          </w:p>
        </w:tc>
        <w:tc>
          <w:tcPr>
            <w:tcW w:w="1559"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r w:rsidRPr="003C2342">
              <w:rPr>
                <w:rFonts w:ascii="Arial" w:hAnsi="Arial" w:cs="Arial"/>
                <w:sz w:val="18"/>
                <w:szCs w:val="18"/>
              </w:rPr>
              <w:t>180.041,20</w:t>
            </w:r>
          </w:p>
        </w:tc>
        <w:tc>
          <w:tcPr>
            <w:tcW w:w="1750"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4B7691">
            <w:pPr>
              <w:pStyle w:val="cuatexto"/>
              <w:rPr>
                <w:rFonts w:ascii="Arial" w:hAnsi="Arial" w:cs="Arial"/>
                <w:sz w:val="18"/>
                <w:szCs w:val="18"/>
              </w:rPr>
            </w:pPr>
            <w:r w:rsidRPr="003C2342">
              <w:rPr>
                <w:rFonts w:ascii="Arial" w:hAnsi="Arial" w:cs="Arial"/>
                <w:sz w:val="18"/>
                <w:szCs w:val="18"/>
              </w:rPr>
              <w:t xml:space="preserve"> Inversiones financieras a largo plaz</w:t>
            </w:r>
            <w:r w:rsidR="004B7691">
              <w:rPr>
                <w:rFonts w:ascii="Arial" w:hAnsi="Arial" w:cs="Arial"/>
                <w:sz w:val="18"/>
                <w:szCs w:val="18"/>
              </w:rPr>
              <w:t>o</w:t>
            </w:r>
          </w:p>
        </w:tc>
        <w:tc>
          <w:tcPr>
            <w:tcW w:w="1559" w:type="dxa"/>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5.782,91</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B)ACTIVO CORRIENTE</w:t>
            </w:r>
          </w:p>
        </w:tc>
        <w:tc>
          <w:tcPr>
            <w:tcW w:w="1559" w:type="dxa"/>
            <w:vAlign w:val="center"/>
          </w:tcPr>
          <w:p w:rsidR="00526B2D" w:rsidRPr="003C2342" w:rsidRDefault="00526B2D" w:rsidP="003C2342">
            <w:pPr>
              <w:pStyle w:val="cuatexto"/>
              <w:jc w:val="right"/>
              <w:rPr>
                <w:rFonts w:ascii="Arial" w:hAnsi="Arial" w:cs="Arial"/>
                <w:sz w:val="18"/>
                <w:szCs w:val="18"/>
              </w:rPr>
            </w:pPr>
          </w:p>
        </w:tc>
        <w:tc>
          <w:tcPr>
            <w:tcW w:w="1750" w:type="dxa"/>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1.237.730,88</w:t>
            </w:r>
          </w:p>
        </w:tc>
      </w:tr>
      <w:tr w:rsidR="00526B2D" w:rsidRPr="003C2342" w:rsidTr="00276EF8">
        <w:trPr>
          <w:jc w:val="center"/>
        </w:trPr>
        <w:tc>
          <w:tcPr>
            <w:tcW w:w="5456" w:type="dxa"/>
          </w:tcPr>
          <w:p w:rsidR="00526B2D" w:rsidRPr="003C2342" w:rsidRDefault="00526B2D" w:rsidP="004B7691">
            <w:pPr>
              <w:pStyle w:val="cuatexto"/>
              <w:rPr>
                <w:rFonts w:ascii="Arial" w:hAnsi="Arial" w:cs="Arial"/>
                <w:sz w:val="18"/>
                <w:szCs w:val="18"/>
              </w:rPr>
            </w:pPr>
            <w:r w:rsidRPr="003C2342">
              <w:rPr>
                <w:rFonts w:ascii="Arial" w:hAnsi="Arial" w:cs="Arial"/>
                <w:sz w:val="18"/>
                <w:szCs w:val="18"/>
              </w:rPr>
              <w:t xml:space="preserve"> Deudores comerciales y otras cuentas a cobrar</w:t>
            </w:r>
          </w:p>
        </w:tc>
        <w:tc>
          <w:tcPr>
            <w:tcW w:w="1559" w:type="dxa"/>
            <w:vAlign w:val="center"/>
          </w:tcPr>
          <w:p w:rsidR="0044273A" w:rsidRPr="003C2342" w:rsidRDefault="0044273A" w:rsidP="003C2342">
            <w:pPr>
              <w:pStyle w:val="cuatexto"/>
              <w:jc w:val="right"/>
              <w:rPr>
                <w:rFonts w:ascii="Arial" w:hAnsi="Arial" w:cs="Arial"/>
                <w:sz w:val="18"/>
                <w:szCs w:val="18"/>
              </w:rPr>
            </w:pPr>
            <w:r w:rsidRPr="003C2342">
              <w:rPr>
                <w:rFonts w:ascii="Arial" w:hAnsi="Arial" w:cs="Arial"/>
                <w:sz w:val="18"/>
                <w:szCs w:val="18"/>
              </w:rPr>
              <w:t>1.042.911,74</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526B2D">
            <w:pPr>
              <w:pStyle w:val="cuatexto"/>
              <w:rPr>
                <w:rFonts w:ascii="Arial" w:hAnsi="Arial" w:cs="Arial"/>
                <w:sz w:val="18"/>
                <w:szCs w:val="18"/>
              </w:rPr>
            </w:pPr>
            <w:r w:rsidRPr="003C2342">
              <w:rPr>
                <w:rFonts w:ascii="Arial" w:hAnsi="Arial" w:cs="Arial"/>
                <w:sz w:val="18"/>
                <w:szCs w:val="18"/>
              </w:rPr>
              <w:t xml:space="preserve"> Inversiones financieras a corto plazo</w:t>
            </w:r>
          </w:p>
        </w:tc>
        <w:tc>
          <w:tcPr>
            <w:tcW w:w="1559" w:type="dxa"/>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5.200</w:t>
            </w:r>
            <w:r w:rsidR="00EC5B9D" w:rsidRPr="003C2342">
              <w:rPr>
                <w:rFonts w:ascii="Arial" w:hAnsi="Arial" w:cs="Arial"/>
                <w:sz w:val="18"/>
                <w:szCs w:val="18"/>
              </w:rPr>
              <w:t>,00</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 xml:space="preserve"> Periodificaciones a corto plazo</w:t>
            </w:r>
          </w:p>
        </w:tc>
        <w:tc>
          <w:tcPr>
            <w:tcW w:w="1559" w:type="dxa"/>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72.578,33</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526B2D">
            <w:pPr>
              <w:pStyle w:val="cuatexto"/>
              <w:rPr>
                <w:rFonts w:ascii="Arial" w:hAnsi="Arial" w:cs="Arial"/>
                <w:sz w:val="18"/>
                <w:szCs w:val="18"/>
              </w:rPr>
            </w:pPr>
            <w:r w:rsidRPr="003C2342">
              <w:rPr>
                <w:rFonts w:ascii="Arial" w:hAnsi="Arial" w:cs="Arial"/>
                <w:sz w:val="18"/>
                <w:szCs w:val="18"/>
              </w:rPr>
              <w:t xml:space="preserve"> Efectivo y otros activos líquidos equivalentes</w:t>
            </w:r>
          </w:p>
        </w:tc>
        <w:tc>
          <w:tcPr>
            <w:tcW w:w="1559" w:type="dxa"/>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117.040,81</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424393">
        <w:trPr>
          <w:jc w:val="center"/>
        </w:trPr>
        <w:tc>
          <w:tcPr>
            <w:tcW w:w="5456" w:type="dxa"/>
            <w:shd w:val="clear" w:color="auto" w:fill="8DB3E2" w:themeFill="text2" w:themeFillTint="66"/>
          </w:tcPr>
          <w:p w:rsidR="00526B2D" w:rsidRPr="003C2342" w:rsidRDefault="00EC5B9D" w:rsidP="004B7691">
            <w:pPr>
              <w:pStyle w:val="cuatexto"/>
              <w:rPr>
                <w:rFonts w:ascii="Arial" w:hAnsi="Arial" w:cs="Arial"/>
                <w:sz w:val="18"/>
                <w:szCs w:val="18"/>
              </w:rPr>
            </w:pPr>
            <w:r w:rsidRPr="003C2342">
              <w:rPr>
                <w:rFonts w:ascii="Arial" w:hAnsi="Arial" w:cs="Arial"/>
                <w:sz w:val="18"/>
                <w:szCs w:val="18"/>
              </w:rPr>
              <w:t>TOTAL ACTIVO (A+B)</w:t>
            </w:r>
          </w:p>
        </w:tc>
        <w:tc>
          <w:tcPr>
            <w:tcW w:w="1559" w:type="dxa"/>
            <w:shd w:val="clear" w:color="auto" w:fill="8DB3E2" w:themeFill="text2" w:themeFillTint="66"/>
            <w:vAlign w:val="center"/>
          </w:tcPr>
          <w:p w:rsidR="00526B2D" w:rsidRPr="003C2342" w:rsidRDefault="00526B2D" w:rsidP="003C2342">
            <w:pPr>
              <w:pStyle w:val="cuatexto"/>
              <w:jc w:val="right"/>
              <w:rPr>
                <w:rFonts w:ascii="Arial" w:hAnsi="Arial" w:cs="Arial"/>
                <w:sz w:val="18"/>
                <w:szCs w:val="18"/>
              </w:rPr>
            </w:pPr>
          </w:p>
        </w:tc>
        <w:tc>
          <w:tcPr>
            <w:tcW w:w="1750" w:type="dxa"/>
            <w:shd w:val="clear" w:color="auto" w:fill="8DB3E2" w:themeFill="text2" w:themeFillTint="66"/>
            <w:vAlign w:val="center"/>
          </w:tcPr>
          <w:p w:rsidR="00526B2D" w:rsidRPr="003C2342" w:rsidRDefault="0044273A" w:rsidP="003C2342">
            <w:pPr>
              <w:pStyle w:val="cuatexto"/>
              <w:jc w:val="right"/>
              <w:rPr>
                <w:rFonts w:ascii="Arial" w:hAnsi="Arial" w:cs="Arial"/>
                <w:sz w:val="18"/>
                <w:szCs w:val="18"/>
              </w:rPr>
            </w:pPr>
            <w:r w:rsidRPr="003C2342">
              <w:rPr>
                <w:rFonts w:ascii="Arial" w:hAnsi="Arial" w:cs="Arial"/>
                <w:sz w:val="18"/>
                <w:szCs w:val="18"/>
              </w:rPr>
              <w:t>1.431.178,34</w:t>
            </w:r>
          </w:p>
        </w:tc>
      </w:tr>
    </w:tbl>
    <w:p w:rsidR="00424393" w:rsidRDefault="00424393"/>
    <w:tbl>
      <w:tblPr>
        <w:tblStyle w:val="Tablaconcuadrcula"/>
        <w:tblW w:w="0" w:type="auto"/>
        <w:jc w:val="center"/>
        <w:tblInd w:w="-1105" w:type="dxa"/>
        <w:tblBorders>
          <w:left w:val="none" w:sz="0" w:space="0" w:color="auto"/>
          <w:right w:val="none" w:sz="0" w:space="0" w:color="auto"/>
          <w:insideV w:val="none" w:sz="0" w:space="0" w:color="auto"/>
        </w:tblBorders>
        <w:tblLook w:val="04A0" w:firstRow="1" w:lastRow="0" w:firstColumn="1" w:lastColumn="0" w:noHBand="0" w:noVBand="1"/>
      </w:tblPr>
      <w:tblGrid>
        <w:gridCol w:w="5375"/>
        <w:gridCol w:w="1640"/>
        <w:gridCol w:w="1750"/>
      </w:tblGrid>
      <w:tr w:rsidR="00424393" w:rsidRPr="003C2342" w:rsidTr="00424393">
        <w:trPr>
          <w:jc w:val="center"/>
        </w:trPr>
        <w:tc>
          <w:tcPr>
            <w:tcW w:w="8765" w:type="dxa"/>
            <w:gridSpan w:val="3"/>
            <w:tcBorders>
              <w:top w:val="nil"/>
            </w:tcBorders>
          </w:tcPr>
          <w:p w:rsidR="00424393" w:rsidRPr="00E419ED" w:rsidRDefault="00E419ED" w:rsidP="00424393">
            <w:pPr>
              <w:pStyle w:val="cuatexto"/>
              <w:jc w:val="center"/>
              <w:rPr>
                <w:rFonts w:ascii="Arial" w:hAnsi="Arial" w:cs="Arial"/>
                <w:szCs w:val="20"/>
              </w:rPr>
            </w:pPr>
            <w:r w:rsidRPr="00E419ED">
              <w:rPr>
                <w:rFonts w:ascii="Arial" w:hAnsi="Arial" w:cs="Arial"/>
                <w:szCs w:val="20"/>
              </w:rPr>
              <w:t>Patrimonio neto y pasivo</w:t>
            </w:r>
          </w:p>
          <w:p w:rsidR="00424393" w:rsidRPr="003C2342" w:rsidRDefault="00424393" w:rsidP="00424393">
            <w:pPr>
              <w:pStyle w:val="cuatexto"/>
              <w:jc w:val="center"/>
              <w:rPr>
                <w:rFonts w:ascii="Arial" w:hAnsi="Arial" w:cs="Arial"/>
                <w:sz w:val="18"/>
                <w:szCs w:val="18"/>
              </w:rPr>
            </w:pPr>
          </w:p>
        </w:tc>
      </w:tr>
      <w:tr w:rsidR="00526B2D" w:rsidRPr="003C2342" w:rsidTr="00E536C9">
        <w:trPr>
          <w:jc w:val="center"/>
        </w:trPr>
        <w:tc>
          <w:tcPr>
            <w:tcW w:w="5375" w:type="dxa"/>
            <w:shd w:val="clear" w:color="auto" w:fill="FFFFFF" w:themeFill="background1"/>
          </w:tcPr>
          <w:p w:rsidR="00526B2D" w:rsidRPr="003C2342" w:rsidRDefault="00526B2D" w:rsidP="00526B2D">
            <w:pPr>
              <w:pStyle w:val="cuatexto"/>
              <w:rPr>
                <w:rFonts w:ascii="Arial" w:hAnsi="Arial" w:cs="Arial"/>
                <w:sz w:val="18"/>
                <w:szCs w:val="18"/>
              </w:rPr>
            </w:pPr>
            <w:r w:rsidRPr="003C2342">
              <w:rPr>
                <w:rFonts w:ascii="Arial" w:hAnsi="Arial" w:cs="Arial"/>
                <w:sz w:val="18"/>
                <w:szCs w:val="18"/>
              </w:rPr>
              <w:t>A)PATRIMONIO</w:t>
            </w:r>
            <w:r w:rsidR="00E27DF2" w:rsidRPr="003C2342">
              <w:rPr>
                <w:rFonts w:ascii="Arial" w:hAnsi="Arial" w:cs="Arial"/>
                <w:sz w:val="18"/>
                <w:szCs w:val="18"/>
              </w:rPr>
              <w:t xml:space="preserve"> NETO</w:t>
            </w:r>
          </w:p>
        </w:tc>
        <w:tc>
          <w:tcPr>
            <w:tcW w:w="1640" w:type="dxa"/>
            <w:shd w:val="clear" w:color="auto" w:fill="FFFFFF" w:themeFill="background1"/>
            <w:vAlign w:val="center"/>
          </w:tcPr>
          <w:p w:rsidR="00526B2D" w:rsidRPr="003C2342" w:rsidRDefault="00526B2D" w:rsidP="00526B2D">
            <w:pPr>
              <w:pStyle w:val="cuatexto"/>
              <w:jc w:val="right"/>
              <w:rPr>
                <w:rFonts w:ascii="Arial" w:hAnsi="Arial" w:cs="Arial"/>
                <w:sz w:val="18"/>
                <w:szCs w:val="18"/>
              </w:rPr>
            </w:pPr>
          </w:p>
        </w:tc>
        <w:tc>
          <w:tcPr>
            <w:tcW w:w="1750" w:type="dxa"/>
            <w:shd w:val="clear" w:color="auto" w:fill="FFFFFF" w:themeFill="background1"/>
            <w:vAlign w:val="center"/>
          </w:tcPr>
          <w:p w:rsidR="00526B2D" w:rsidRPr="003C2342" w:rsidRDefault="00E27DF2" w:rsidP="00E536C9">
            <w:pPr>
              <w:pStyle w:val="cuatexto"/>
              <w:jc w:val="right"/>
              <w:rPr>
                <w:rFonts w:ascii="Arial" w:hAnsi="Arial" w:cs="Arial"/>
                <w:sz w:val="18"/>
                <w:szCs w:val="18"/>
              </w:rPr>
            </w:pPr>
            <w:r w:rsidRPr="003C2342">
              <w:rPr>
                <w:rFonts w:ascii="Arial" w:hAnsi="Arial" w:cs="Arial"/>
                <w:sz w:val="18"/>
                <w:szCs w:val="18"/>
              </w:rPr>
              <w:t>52.609,29</w:t>
            </w:r>
          </w:p>
        </w:tc>
      </w:tr>
      <w:tr w:rsidR="00EC5B9D" w:rsidRPr="003C2342" w:rsidTr="00E536C9">
        <w:trPr>
          <w:jc w:val="center"/>
        </w:trPr>
        <w:tc>
          <w:tcPr>
            <w:tcW w:w="5375" w:type="dxa"/>
          </w:tcPr>
          <w:p w:rsidR="00EC5B9D" w:rsidRPr="003C2342" w:rsidRDefault="00EC5B9D" w:rsidP="00EC5B9D">
            <w:pPr>
              <w:pStyle w:val="cuatexto"/>
              <w:rPr>
                <w:rFonts w:ascii="Arial" w:hAnsi="Arial" w:cs="Arial"/>
                <w:sz w:val="18"/>
                <w:szCs w:val="18"/>
              </w:rPr>
            </w:pPr>
            <w:r w:rsidRPr="003C2342">
              <w:rPr>
                <w:rFonts w:ascii="Arial" w:hAnsi="Arial" w:cs="Arial"/>
                <w:sz w:val="18"/>
                <w:szCs w:val="18"/>
              </w:rPr>
              <w:t xml:space="preserve"> Capital</w:t>
            </w:r>
          </w:p>
        </w:tc>
        <w:tc>
          <w:tcPr>
            <w:tcW w:w="1640" w:type="dxa"/>
            <w:vAlign w:val="center"/>
          </w:tcPr>
          <w:p w:rsidR="00EC5B9D" w:rsidRPr="003C2342" w:rsidRDefault="00EC5B9D" w:rsidP="00526B2D">
            <w:pPr>
              <w:pStyle w:val="cuatexto"/>
              <w:jc w:val="right"/>
              <w:rPr>
                <w:rFonts w:ascii="Arial" w:hAnsi="Arial" w:cs="Arial"/>
                <w:sz w:val="18"/>
                <w:szCs w:val="18"/>
              </w:rPr>
            </w:pPr>
            <w:r w:rsidRPr="003C2342">
              <w:rPr>
                <w:rFonts w:ascii="Arial" w:hAnsi="Arial" w:cs="Arial"/>
                <w:sz w:val="18"/>
                <w:szCs w:val="18"/>
              </w:rPr>
              <w:t>157.781,96</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EC5B9D">
            <w:pPr>
              <w:pStyle w:val="cuatexto"/>
              <w:rPr>
                <w:rFonts w:ascii="Arial" w:hAnsi="Arial" w:cs="Arial"/>
                <w:sz w:val="18"/>
                <w:szCs w:val="18"/>
              </w:rPr>
            </w:pPr>
            <w:r w:rsidRPr="003C2342">
              <w:rPr>
                <w:rFonts w:ascii="Arial" w:hAnsi="Arial" w:cs="Arial"/>
                <w:sz w:val="18"/>
                <w:szCs w:val="18"/>
              </w:rPr>
              <w:t xml:space="preserve"> Resultados de ejercicios anteriores</w:t>
            </w:r>
          </w:p>
        </w:tc>
        <w:tc>
          <w:tcPr>
            <w:tcW w:w="1640" w:type="dxa"/>
            <w:vAlign w:val="center"/>
          </w:tcPr>
          <w:p w:rsidR="00EC5B9D" w:rsidRPr="003C2342" w:rsidRDefault="006711F2" w:rsidP="00526B2D">
            <w:pPr>
              <w:pStyle w:val="cuatexto"/>
              <w:jc w:val="right"/>
              <w:rPr>
                <w:rFonts w:ascii="Arial" w:hAnsi="Arial" w:cs="Arial"/>
                <w:sz w:val="18"/>
                <w:szCs w:val="18"/>
              </w:rPr>
            </w:pPr>
            <w:r w:rsidRPr="003C2342">
              <w:rPr>
                <w:rFonts w:ascii="Arial" w:hAnsi="Arial" w:cs="Arial"/>
                <w:sz w:val="18"/>
                <w:szCs w:val="18"/>
              </w:rPr>
              <w:t>-504.617,10</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E536C9">
            <w:pPr>
              <w:pStyle w:val="cuatexto"/>
              <w:rPr>
                <w:rFonts w:ascii="Arial" w:hAnsi="Arial" w:cs="Arial"/>
                <w:sz w:val="18"/>
                <w:szCs w:val="18"/>
              </w:rPr>
            </w:pPr>
            <w:r w:rsidRPr="003C2342">
              <w:rPr>
                <w:rFonts w:ascii="Arial" w:hAnsi="Arial" w:cs="Arial"/>
                <w:sz w:val="18"/>
                <w:szCs w:val="18"/>
              </w:rPr>
              <w:t xml:space="preserve"> Resultado del ejercicio </w:t>
            </w:r>
          </w:p>
        </w:tc>
        <w:tc>
          <w:tcPr>
            <w:tcW w:w="1640" w:type="dxa"/>
            <w:vAlign w:val="center"/>
          </w:tcPr>
          <w:p w:rsidR="00EC5B9D" w:rsidRPr="003C2342" w:rsidRDefault="006711F2" w:rsidP="00526B2D">
            <w:pPr>
              <w:pStyle w:val="cuatexto"/>
              <w:jc w:val="right"/>
              <w:rPr>
                <w:rFonts w:ascii="Arial" w:hAnsi="Arial" w:cs="Arial"/>
                <w:sz w:val="18"/>
                <w:szCs w:val="18"/>
              </w:rPr>
            </w:pPr>
            <w:r w:rsidRPr="003C2342">
              <w:rPr>
                <w:rFonts w:ascii="Arial" w:hAnsi="Arial" w:cs="Arial"/>
                <w:sz w:val="18"/>
                <w:szCs w:val="18"/>
              </w:rPr>
              <w:t>-555,57</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6711F2">
            <w:pPr>
              <w:pStyle w:val="cuatexto"/>
              <w:rPr>
                <w:rFonts w:ascii="Arial" w:hAnsi="Arial" w:cs="Arial"/>
                <w:sz w:val="18"/>
                <w:szCs w:val="18"/>
              </w:rPr>
            </w:pPr>
            <w:r w:rsidRPr="003C2342">
              <w:rPr>
                <w:rFonts w:ascii="Arial" w:hAnsi="Arial" w:cs="Arial"/>
                <w:sz w:val="18"/>
                <w:szCs w:val="18"/>
              </w:rPr>
              <w:t xml:space="preserve"> Subvenciones, donaciones y legados recibidos</w:t>
            </w:r>
          </w:p>
        </w:tc>
        <w:tc>
          <w:tcPr>
            <w:tcW w:w="1640" w:type="dxa"/>
            <w:vAlign w:val="center"/>
          </w:tcPr>
          <w:p w:rsidR="00EC5B9D" w:rsidRPr="003C2342" w:rsidRDefault="006711F2" w:rsidP="00526B2D">
            <w:pPr>
              <w:pStyle w:val="cuatexto"/>
              <w:jc w:val="right"/>
              <w:rPr>
                <w:rFonts w:ascii="Arial" w:hAnsi="Arial" w:cs="Arial"/>
                <w:sz w:val="18"/>
                <w:szCs w:val="18"/>
              </w:rPr>
            </w:pPr>
            <w:r w:rsidRPr="003C2342">
              <w:rPr>
                <w:rFonts w:ascii="Arial" w:hAnsi="Arial" w:cs="Arial"/>
                <w:sz w:val="18"/>
                <w:szCs w:val="18"/>
              </w:rPr>
              <w:t>400.000,00</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6711F2">
            <w:pPr>
              <w:pStyle w:val="cuatexto"/>
              <w:rPr>
                <w:rFonts w:ascii="Arial" w:hAnsi="Arial" w:cs="Arial"/>
                <w:sz w:val="18"/>
                <w:szCs w:val="18"/>
              </w:rPr>
            </w:pPr>
            <w:r w:rsidRPr="003C2342">
              <w:rPr>
                <w:rFonts w:ascii="Arial" w:hAnsi="Arial" w:cs="Arial"/>
                <w:sz w:val="18"/>
                <w:szCs w:val="18"/>
              </w:rPr>
              <w:t>B) PASIVO NO CORRIENTE</w:t>
            </w:r>
          </w:p>
        </w:tc>
        <w:tc>
          <w:tcPr>
            <w:tcW w:w="1640" w:type="dxa"/>
            <w:vAlign w:val="center"/>
          </w:tcPr>
          <w:p w:rsidR="00EC5B9D" w:rsidRPr="003C2342" w:rsidRDefault="00EC5B9D" w:rsidP="00526B2D">
            <w:pPr>
              <w:pStyle w:val="cuatexto"/>
              <w:jc w:val="right"/>
              <w:rPr>
                <w:rFonts w:ascii="Arial" w:hAnsi="Arial" w:cs="Arial"/>
                <w:sz w:val="18"/>
                <w:szCs w:val="18"/>
              </w:rPr>
            </w:pPr>
          </w:p>
        </w:tc>
        <w:tc>
          <w:tcPr>
            <w:tcW w:w="1750" w:type="dxa"/>
            <w:vAlign w:val="center"/>
          </w:tcPr>
          <w:p w:rsidR="00EC5B9D" w:rsidRPr="003C2342" w:rsidRDefault="006711F2" w:rsidP="0082251C">
            <w:pPr>
              <w:pStyle w:val="cuatexto"/>
              <w:jc w:val="right"/>
              <w:rPr>
                <w:rFonts w:ascii="Arial" w:hAnsi="Arial" w:cs="Arial"/>
                <w:sz w:val="18"/>
                <w:szCs w:val="18"/>
              </w:rPr>
            </w:pPr>
            <w:r w:rsidRPr="003C2342">
              <w:rPr>
                <w:rFonts w:ascii="Arial" w:hAnsi="Arial" w:cs="Arial"/>
                <w:sz w:val="18"/>
                <w:szCs w:val="18"/>
              </w:rPr>
              <w:t>113.616,</w:t>
            </w:r>
            <w:r w:rsidR="0082251C">
              <w:rPr>
                <w:rFonts w:ascii="Arial" w:hAnsi="Arial" w:cs="Arial"/>
                <w:sz w:val="18"/>
                <w:szCs w:val="18"/>
              </w:rPr>
              <w:t>66</w:t>
            </w:r>
          </w:p>
        </w:tc>
      </w:tr>
      <w:tr w:rsidR="00EC5B9D" w:rsidRPr="003C2342" w:rsidTr="00E536C9">
        <w:trPr>
          <w:jc w:val="center"/>
        </w:trPr>
        <w:tc>
          <w:tcPr>
            <w:tcW w:w="5375" w:type="dxa"/>
          </w:tcPr>
          <w:p w:rsidR="00EC5B9D" w:rsidRPr="003C2342" w:rsidRDefault="006711F2" w:rsidP="00526B2D">
            <w:pPr>
              <w:pStyle w:val="cuatexto"/>
              <w:rPr>
                <w:rFonts w:ascii="Arial" w:hAnsi="Arial" w:cs="Arial"/>
                <w:sz w:val="18"/>
                <w:szCs w:val="18"/>
              </w:rPr>
            </w:pPr>
            <w:r w:rsidRPr="003C2342">
              <w:rPr>
                <w:rFonts w:ascii="Arial" w:hAnsi="Arial" w:cs="Arial"/>
                <w:sz w:val="18"/>
                <w:szCs w:val="18"/>
              </w:rPr>
              <w:t xml:space="preserve"> Deudas a largo plazo</w:t>
            </w:r>
          </w:p>
        </w:tc>
        <w:tc>
          <w:tcPr>
            <w:tcW w:w="1640" w:type="dxa"/>
            <w:vAlign w:val="center"/>
          </w:tcPr>
          <w:p w:rsidR="00EC5B9D" w:rsidRPr="003C2342" w:rsidRDefault="006711F2" w:rsidP="00526B2D">
            <w:pPr>
              <w:pStyle w:val="cuatexto"/>
              <w:jc w:val="right"/>
              <w:rPr>
                <w:rFonts w:ascii="Arial" w:hAnsi="Arial" w:cs="Arial"/>
                <w:sz w:val="18"/>
                <w:szCs w:val="18"/>
              </w:rPr>
            </w:pPr>
            <w:r w:rsidRPr="003C2342">
              <w:rPr>
                <w:rFonts w:ascii="Arial" w:hAnsi="Arial" w:cs="Arial"/>
                <w:sz w:val="18"/>
                <w:szCs w:val="18"/>
              </w:rPr>
              <w:t>113.616,66</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sidRPr="003C2342">
              <w:rPr>
                <w:rFonts w:ascii="Arial" w:hAnsi="Arial" w:cs="Arial"/>
                <w:sz w:val="18"/>
                <w:szCs w:val="18"/>
              </w:rPr>
              <w:t>C) PASIVO CORRIENTE</w:t>
            </w:r>
          </w:p>
        </w:tc>
        <w:tc>
          <w:tcPr>
            <w:tcW w:w="1640" w:type="dxa"/>
            <w:vAlign w:val="center"/>
          </w:tcPr>
          <w:p w:rsidR="00EC5B9D" w:rsidRPr="003C2342" w:rsidRDefault="00EC5B9D" w:rsidP="003C2342">
            <w:pPr>
              <w:pStyle w:val="cuatexto"/>
              <w:jc w:val="right"/>
              <w:rPr>
                <w:rFonts w:ascii="Arial" w:hAnsi="Arial" w:cs="Arial"/>
                <w:sz w:val="18"/>
                <w:szCs w:val="18"/>
              </w:rPr>
            </w:pPr>
          </w:p>
        </w:tc>
        <w:tc>
          <w:tcPr>
            <w:tcW w:w="1750" w:type="dxa"/>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1.264</w:t>
            </w:r>
            <w:r w:rsidR="00E27DF2" w:rsidRPr="003C2342">
              <w:rPr>
                <w:rFonts w:ascii="Arial" w:hAnsi="Arial" w:cs="Arial"/>
                <w:sz w:val="18"/>
                <w:szCs w:val="18"/>
              </w:rPr>
              <w:t>.</w:t>
            </w:r>
            <w:r w:rsidRPr="003C2342">
              <w:rPr>
                <w:rFonts w:ascii="Arial" w:hAnsi="Arial" w:cs="Arial"/>
                <w:sz w:val="18"/>
                <w:szCs w:val="18"/>
              </w:rPr>
              <w:t>952,39</w:t>
            </w: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sidRPr="003C2342">
              <w:rPr>
                <w:rFonts w:ascii="Arial" w:hAnsi="Arial" w:cs="Arial"/>
                <w:sz w:val="18"/>
                <w:szCs w:val="18"/>
              </w:rPr>
              <w:t xml:space="preserve"> Provisiones a corto plazo</w:t>
            </w:r>
          </w:p>
        </w:tc>
        <w:tc>
          <w:tcPr>
            <w:tcW w:w="1640" w:type="dxa"/>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52.822,55</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sidRPr="003C2342">
              <w:rPr>
                <w:rFonts w:ascii="Arial" w:hAnsi="Arial" w:cs="Arial"/>
                <w:sz w:val="18"/>
                <w:szCs w:val="18"/>
              </w:rPr>
              <w:t xml:space="preserve"> Deudas a corto plazo</w:t>
            </w:r>
          </w:p>
        </w:tc>
        <w:tc>
          <w:tcPr>
            <w:tcW w:w="1640" w:type="dxa"/>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7.764,58</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sidRPr="003C2342">
              <w:rPr>
                <w:rFonts w:ascii="Arial" w:hAnsi="Arial" w:cs="Arial"/>
                <w:sz w:val="18"/>
                <w:szCs w:val="18"/>
              </w:rPr>
              <w:t xml:space="preserve"> Acreedores comerciales y otras cuentas a pagar</w:t>
            </w:r>
          </w:p>
        </w:tc>
        <w:tc>
          <w:tcPr>
            <w:tcW w:w="1640" w:type="dxa"/>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1.203</w:t>
            </w:r>
            <w:r w:rsidR="00E27DF2" w:rsidRPr="003C2342">
              <w:rPr>
                <w:rFonts w:ascii="Arial" w:hAnsi="Arial" w:cs="Arial"/>
                <w:sz w:val="18"/>
                <w:szCs w:val="18"/>
              </w:rPr>
              <w:t>.</w:t>
            </w:r>
            <w:r w:rsidRPr="003C2342">
              <w:rPr>
                <w:rFonts w:ascii="Arial" w:hAnsi="Arial" w:cs="Arial"/>
                <w:sz w:val="18"/>
                <w:szCs w:val="18"/>
              </w:rPr>
              <w:t>910,71</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27DF2" w:rsidP="00526B2D">
            <w:pPr>
              <w:pStyle w:val="cuatexto"/>
              <w:rPr>
                <w:rFonts w:ascii="Arial" w:hAnsi="Arial" w:cs="Arial"/>
                <w:sz w:val="18"/>
                <w:szCs w:val="18"/>
              </w:rPr>
            </w:pPr>
            <w:r w:rsidRPr="003C2342">
              <w:rPr>
                <w:rFonts w:ascii="Arial" w:hAnsi="Arial" w:cs="Arial"/>
                <w:sz w:val="18"/>
                <w:szCs w:val="18"/>
              </w:rPr>
              <w:t xml:space="preserve"> </w:t>
            </w:r>
            <w:r w:rsidR="00EC5B9D" w:rsidRPr="003C2342">
              <w:rPr>
                <w:rFonts w:ascii="Arial" w:hAnsi="Arial" w:cs="Arial"/>
                <w:sz w:val="18"/>
                <w:szCs w:val="18"/>
              </w:rPr>
              <w:t>Periodificaciones</w:t>
            </w:r>
          </w:p>
        </w:tc>
        <w:tc>
          <w:tcPr>
            <w:tcW w:w="1640" w:type="dxa"/>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454,55</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shd w:val="clear" w:color="auto" w:fill="8DB3E2" w:themeFill="text2" w:themeFillTint="66"/>
          </w:tcPr>
          <w:p w:rsidR="00EC5B9D" w:rsidRPr="003C2342" w:rsidRDefault="00EC5B9D" w:rsidP="00526B2D">
            <w:pPr>
              <w:pStyle w:val="cuatexto"/>
              <w:rPr>
                <w:rFonts w:ascii="Arial" w:hAnsi="Arial" w:cs="Arial"/>
                <w:sz w:val="18"/>
                <w:szCs w:val="18"/>
              </w:rPr>
            </w:pPr>
            <w:r w:rsidRPr="003C2342">
              <w:rPr>
                <w:rFonts w:ascii="Arial" w:hAnsi="Arial" w:cs="Arial"/>
                <w:sz w:val="18"/>
                <w:szCs w:val="18"/>
              </w:rPr>
              <w:t>TOTAL PATRIMONIO NETO Y PASIVO (A+B+C)</w:t>
            </w:r>
          </w:p>
        </w:tc>
        <w:tc>
          <w:tcPr>
            <w:tcW w:w="1640" w:type="dxa"/>
            <w:shd w:val="clear" w:color="auto" w:fill="8DB3E2" w:themeFill="text2" w:themeFillTint="66"/>
            <w:vAlign w:val="center"/>
          </w:tcPr>
          <w:p w:rsidR="00EC5B9D" w:rsidRPr="003C2342" w:rsidRDefault="00EC5B9D" w:rsidP="003C2342">
            <w:pPr>
              <w:pStyle w:val="cuatexto"/>
              <w:jc w:val="right"/>
              <w:rPr>
                <w:rFonts w:ascii="Arial" w:hAnsi="Arial" w:cs="Arial"/>
                <w:sz w:val="18"/>
                <w:szCs w:val="18"/>
              </w:rPr>
            </w:pPr>
          </w:p>
        </w:tc>
        <w:tc>
          <w:tcPr>
            <w:tcW w:w="1750" w:type="dxa"/>
            <w:shd w:val="clear" w:color="auto" w:fill="8DB3E2" w:themeFill="text2" w:themeFillTint="66"/>
            <w:vAlign w:val="center"/>
          </w:tcPr>
          <w:p w:rsidR="00EC5B9D" w:rsidRPr="003C2342" w:rsidRDefault="00EC5B9D" w:rsidP="003C2342">
            <w:pPr>
              <w:pStyle w:val="cuatexto"/>
              <w:jc w:val="right"/>
              <w:rPr>
                <w:rFonts w:ascii="Arial" w:hAnsi="Arial" w:cs="Arial"/>
                <w:sz w:val="18"/>
                <w:szCs w:val="18"/>
              </w:rPr>
            </w:pPr>
            <w:r w:rsidRPr="003C2342">
              <w:rPr>
                <w:rFonts w:ascii="Arial" w:hAnsi="Arial" w:cs="Arial"/>
                <w:sz w:val="18"/>
                <w:szCs w:val="18"/>
              </w:rPr>
              <w:t>1.431.178,34</w:t>
            </w:r>
          </w:p>
        </w:tc>
      </w:tr>
    </w:tbl>
    <w:p w:rsidR="003C2342" w:rsidRDefault="003C2342"/>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sectPr w:rsidR="00BA29D6" w:rsidRPr="003C2342" w:rsidSect="00383C28">
      <w:footerReference w:type="default" r:id="rId17"/>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73" w:rsidRDefault="00905D73">
      <w:r>
        <w:separator/>
      </w:r>
    </w:p>
    <w:p w:rsidR="00905D73" w:rsidRDefault="00905D73"/>
    <w:p w:rsidR="00905D73" w:rsidRDefault="00905D73"/>
    <w:p w:rsidR="00905D73" w:rsidRDefault="00905D73"/>
  </w:endnote>
  <w:endnote w:type="continuationSeparator" w:id="0">
    <w:p w:rsidR="00905D73" w:rsidRDefault="00905D73">
      <w:r>
        <w:continuationSeparator/>
      </w:r>
    </w:p>
    <w:p w:rsidR="00905D73" w:rsidRDefault="00905D73"/>
    <w:p w:rsidR="00905D73" w:rsidRDefault="00905D73"/>
    <w:p w:rsidR="00905D73" w:rsidRDefault="0090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j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5D73" w:rsidRDefault="00905D73"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350F3FF" wp14:editId="73AD3CF3">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05D73" w:rsidRPr="00F74E38" w:rsidRDefault="00905D73"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087E4C1" wp14:editId="685F7AC8">
          <wp:extent cx="219075" cy="371475"/>
          <wp:effectExtent l="0" t="0" r="0" b="0"/>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D64B5">
      <w:rPr>
        <w:rStyle w:val="Nmerodepgina"/>
        <w:noProof/>
        <w:szCs w:val="24"/>
      </w:rPr>
      <w:t>3</w:t>
    </w:r>
    <w:r w:rsidRPr="001D4F09">
      <w:rPr>
        <w:rStyle w:val="Nmerodepgina"/>
        <w:szCs w:val="24"/>
      </w:rPr>
      <w:fldChar w:fldCharType="end"/>
    </w:r>
    <w:r w:rsidRPr="001D4F09">
      <w:rPr>
        <w:rStyle w:val="Nmerodepgina"/>
        <w:szCs w:val="24"/>
      </w:rPr>
      <w:t xml:space="preserve"> -</w:t>
    </w:r>
  </w:p>
  <w:p w:rsidR="00905D73" w:rsidRDefault="00905D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F8C4ED8" wp14:editId="54B98E02">
          <wp:extent cx="219075" cy="371475"/>
          <wp:effectExtent l="0" t="0" r="0" b="0"/>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Pr>
        <w:rStyle w:val="Nmerodepgina"/>
        <w:szCs w:val="24"/>
      </w:rPr>
      <w:t>2</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D64B5">
      <w:rPr>
        <w:rStyle w:val="Nmerodepgina"/>
        <w:noProof/>
        <w:szCs w:val="24"/>
      </w:rPr>
      <w:t>4</w:t>
    </w:r>
    <w:r w:rsidRPr="001D4F09">
      <w:rPr>
        <w:rStyle w:val="Nmerodepgina"/>
        <w:szCs w:val="24"/>
      </w:rPr>
      <w:fldChar w:fldCharType="end"/>
    </w:r>
    <w:r w:rsidRPr="001D4F09">
      <w:rPr>
        <w:rStyle w:val="Nmerodepgina"/>
        <w:szCs w:val="24"/>
      </w:rPr>
      <w:t xml:space="preserve"> -</w:t>
    </w:r>
  </w:p>
  <w:p w:rsidR="00905D73" w:rsidRDefault="00905D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73" w:rsidRDefault="00905D73">
      <w:r>
        <w:separator/>
      </w:r>
    </w:p>
  </w:footnote>
  <w:footnote w:type="continuationSeparator" w:id="0">
    <w:p w:rsidR="00905D73" w:rsidRDefault="00905D73">
      <w:r>
        <w:continuationSeparator/>
      </w:r>
    </w:p>
    <w:p w:rsidR="00905D73" w:rsidRDefault="00905D73"/>
    <w:p w:rsidR="00905D73" w:rsidRDefault="00905D73"/>
    <w:p w:rsidR="00905D73" w:rsidRDefault="00905D73"/>
  </w:footnote>
  <w:footnote w:id="1">
    <w:p w:rsidR="00905D73" w:rsidRPr="00B57315" w:rsidRDefault="00905D73" w:rsidP="007E5C64">
      <w:pPr>
        <w:pStyle w:val="texto"/>
      </w:pPr>
      <w:r w:rsidRPr="00000C41">
        <w:rPr>
          <w:rStyle w:val="Refdenotaalpie"/>
        </w:rPr>
        <w:footnoteRef/>
      </w:r>
      <w:r w:rsidRPr="00000C41">
        <w:rPr>
          <w:sz w:val="20"/>
          <w:szCs w:val="20"/>
        </w:rPr>
        <w:t>En 2014, se ha</w:t>
      </w:r>
      <w:r w:rsidRPr="00971ED8">
        <w:rPr>
          <w:sz w:val="20"/>
          <w:szCs w:val="20"/>
        </w:rPr>
        <w:t xml:space="preserve"> añadido una modificación que permite que si, por una utilización eficiente de los recursos, existen remanentes no invertidos, se podrá solicitar del órgano concedente su utilización en otras actividades de la misma naturaleza.</w:t>
      </w:r>
    </w:p>
    <w:p w:rsidR="00905D73" w:rsidRDefault="00905D7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128C4231" wp14:editId="29D41084">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05D73" w:rsidRPr="0059650E" w:rsidRDefault="00905D73" w:rsidP="00891D73">
    <w:pPr>
      <w:pStyle w:val="Encabezado"/>
      <w:pBdr>
        <w:bottom w:val="single" w:sz="4" w:space="1" w:color="auto"/>
      </w:pBdr>
      <w:ind w:firstLine="0"/>
      <w:rPr>
        <w:lang w:val="es-ES"/>
      </w:rPr>
    </w:pPr>
    <w:r>
      <w:rPr>
        <w:lang w:val="es-ES"/>
      </w:rPr>
      <w:t>informe sobre la fundación pablo sarasate y sociedad de conciertos santa cecilia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6A2D41">
    <w:pPr>
      <w:pStyle w:val="Encabezado"/>
      <w:ind w:firstLine="0"/>
      <w:jc w:val="left"/>
    </w:pPr>
    <w:r>
      <w:rPr>
        <w:noProof/>
        <w:lang w:val="es-ES" w:eastAsia="es-ES"/>
      </w:rPr>
      <w:drawing>
        <wp:inline distT="0" distB="0" distL="0" distR="0">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p w:rsidR="00905D73" w:rsidRDefault="00905D73"/>
  <w:p w:rsidR="00905D73" w:rsidRDefault="00905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262B0A48"/>
    <w:multiLevelType w:val="hybridMultilevel"/>
    <w:tmpl w:val="29423E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4BF719B2"/>
    <w:multiLevelType w:val="hybridMultilevel"/>
    <w:tmpl w:val="CBF4C4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512965A9"/>
    <w:multiLevelType w:val="hybridMultilevel"/>
    <w:tmpl w:val="7C1C9B5E"/>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4CA5FD0"/>
    <w:multiLevelType w:val="hybridMultilevel"/>
    <w:tmpl w:val="12B401C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8"/>
  </w:num>
  <w:num w:numId="2">
    <w:abstractNumId w:val="5"/>
  </w:num>
  <w:num w:numId="3">
    <w:abstractNumId w:val="0"/>
  </w:num>
  <w:num w:numId="4">
    <w:abstractNumId w:val="2"/>
  </w:num>
  <w:num w:numId="5">
    <w:abstractNumId w:val="7"/>
  </w:num>
  <w:num w:numId="6">
    <w:abstractNumId w:val="0"/>
  </w:num>
  <w:num w:numId="7">
    <w:abstractNumId w:val="0"/>
  </w:num>
  <w:num w:numId="8">
    <w:abstractNumId w:val="0"/>
  </w:num>
  <w:num w:numId="9">
    <w:abstractNumId w:val="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04"/>
    <w:rsid w:val="00000C41"/>
    <w:rsid w:val="000019D8"/>
    <w:rsid w:val="00006736"/>
    <w:rsid w:val="00006A97"/>
    <w:rsid w:val="0001123B"/>
    <w:rsid w:val="00012A7F"/>
    <w:rsid w:val="00017A3A"/>
    <w:rsid w:val="00031723"/>
    <w:rsid w:val="00036E42"/>
    <w:rsid w:val="00041365"/>
    <w:rsid w:val="0004373B"/>
    <w:rsid w:val="000437AF"/>
    <w:rsid w:val="00043CF9"/>
    <w:rsid w:val="000448FA"/>
    <w:rsid w:val="00053A42"/>
    <w:rsid w:val="0005517D"/>
    <w:rsid w:val="00056482"/>
    <w:rsid w:val="0006133D"/>
    <w:rsid w:val="00063585"/>
    <w:rsid w:val="000637EE"/>
    <w:rsid w:val="00071CD0"/>
    <w:rsid w:val="00071E9E"/>
    <w:rsid w:val="00072B3B"/>
    <w:rsid w:val="00075692"/>
    <w:rsid w:val="00076F93"/>
    <w:rsid w:val="00087B8D"/>
    <w:rsid w:val="00093D67"/>
    <w:rsid w:val="00093E60"/>
    <w:rsid w:val="000964C8"/>
    <w:rsid w:val="000A18B7"/>
    <w:rsid w:val="000A2C1E"/>
    <w:rsid w:val="000A2E49"/>
    <w:rsid w:val="000A4697"/>
    <w:rsid w:val="000B138D"/>
    <w:rsid w:val="000B2728"/>
    <w:rsid w:val="000B3943"/>
    <w:rsid w:val="000B4477"/>
    <w:rsid w:val="000C0704"/>
    <w:rsid w:val="000C2B07"/>
    <w:rsid w:val="000C39CC"/>
    <w:rsid w:val="000C7566"/>
    <w:rsid w:val="000D188E"/>
    <w:rsid w:val="000D5335"/>
    <w:rsid w:val="000E2468"/>
    <w:rsid w:val="000E7B86"/>
    <w:rsid w:val="000F2B66"/>
    <w:rsid w:val="000F3D83"/>
    <w:rsid w:val="00100F12"/>
    <w:rsid w:val="00103589"/>
    <w:rsid w:val="001045C9"/>
    <w:rsid w:val="00106D17"/>
    <w:rsid w:val="00107CC1"/>
    <w:rsid w:val="00111A92"/>
    <w:rsid w:val="001145C3"/>
    <w:rsid w:val="001161D2"/>
    <w:rsid w:val="00120448"/>
    <w:rsid w:val="00124AC1"/>
    <w:rsid w:val="00131DF1"/>
    <w:rsid w:val="00132C38"/>
    <w:rsid w:val="00133984"/>
    <w:rsid w:val="001365C4"/>
    <w:rsid w:val="00140412"/>
    <w:rsid w:val="0014147D"/>
    <w:rsid w:val="00141D29"/>
    <w:rsid w:val="0014506A"/>
    <w:rsid w:val="0014525D"/>
    <w:rsid w:val="0014638B"/>
    <w:rsid w:val="0014728F"/>
    <w:rsid w:val="0015179D"/>
    <w:rsid w:val="001521A2"/>
    <w:rsid w:val="00152358"/>
    <w:rsid w:val="00155BFF"/>
    <w:rsid w:val="00160F66"/>
    <w:rsid w:val="0016167A"/>
    <w:rsid w:val="001633AF"/>
    <w:rsid w:val="00166A6C"/>
    <w:rsid w:val="00173EDD"/>
    <w:rsid w:val="0017402B"/>
    <w:rsid w:val="00177BE1"/>
    <w:rsid w:val="00181D37"/>
    <w:rsid w:val="001835B7"/>
    <w:rsid w:val="00183F56"/>
    <w:rsid w:val="0018426B"/>
    <w:rsid w:val="00185A37"/>
    <w:rsid w:val="00194309"/>
    <w:rsid w:val="00194572"/>
    <w:rsid w:val="0019660E"/>
    <w:rsid w:val="00196ADA"/>
    <w:rsid w:val="001A4787"/>
    <w:rsid w:val="001B39E2"/>
    <w:rsid w:val="001C2B26"/>
    <w:rsid w:val="001C3A32"/>
    <w:rsid w:val="001D4F09"/>
    <w:rsid w:val="001E747C"/>
    <w:rsid w:val="001F1482"/>
    <w:rsid w:val="001F20D7"/>
    <w:rsid w:val="001F5893"/>
    <w:rsid w:val="001F7744"/>
    <w:rsid w:val="002014EB"/>
    <w:rsid w:val="00202B1A"/>
    <w:rsid w:val="00204979"/>
    <w:rsid w:val="00211D69"/>
    <w:rsid w:val="002134BD"/>
    <w:rsid w:val="002179DB"/>
    <w:rsid w:val="00227E48"/>
    <w:rsid w:val="00230577"/>
    <w:rsid w:val="002306F8"/>
    <w:rsid w:val="0023209D"/>
    <w:rsid w:val="002333F8"/>
    <w:rsid w:val="00233D79"/>
    <w:rsid w:val="00237657"/>
    <w:rsid w:val="0024256A"/>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76EF8"/>
    <w:rsid w:val="00280336"/>
    <w:rsid w:val="00281DCA"/>
    <w:rsid w:val="00297B04"/>
    <w:rsid w:val="002A056C"/>
    <w:rsid w:val="002A66A5"/>
    <w:rsid w:val="002A6EBB"/>
    <w:rsid w:val="002B21E9"/>
    <w:rsid w:val="002B2282"/>
    <w:rsid w:val="002B2B87"/>
    <w:rsid w:val="002B4E0F"/>
    <w:rsid w:val="002B5754"/>
    <w:rsid w:val="002C098F"/>
    <w:rsid w:val="002C7026"/>
    <w:rsid w:val="002C7E08"/>
    <w:rsid w:val="002D089F"/>
    <w:rsid w:val="002D5635"/>
    <w:rsid w:val="002D65E8"/>
    <w:rsid w:val="002D7D32"/>
    <w:rsid w:val="002E02E5"/>
    <w:rsid w:val="002E0478"/>
    <w:rsid w:val="002E0791"/>
    <w:rsid w:val="002E1B92"/>
    <w:rsid w:val="002E1F0E"/>
    <w:rsid w:val="002E7B81"/>
    <w:rsid w:val="002F09FB"/>
    <w:rsid w:val="002F0FE3"/>
    <w:rsid w:val="002F1AF0"/>
    <w:rsid w:val="002F2530"/>
    <w:rsid w:val="002F272A"/>
    <w:rsid w:val="002F2A67"/>
    <w:rsid w:val="002F3225"/>
    <w:rsid w:val="002F53B4"/>
    <w:rsid w:val="002F76D6"/>
    <w:rsid w:val="00303506"/>
    <w:rsid w:val="00307057"/>
    <w:rsid w:val="00310FF3"/>
    <w:rsid w:val="00312819"/>
    <w:rsid w:val="00312E9C"/>
    <w:rsid w:val="00313875"/>
    <w:rsid w:val="003203BF"/>
    <w:rsid w:val="00321369"/>
    <w:rsid w:val="00330787"/>
    <w:rsid w:val="00330F15"/>
    <w:rsid w:val="00331061"/>
    <w:rsid w:val="00336E08"/>
    <w:rsid w:val="00337493"/>
    <w:rsid w:val="0034064E"/>
    <w:rsid w:val="003419E9"/>
    <w:rsid w:val="0034285F"/>
    <w:rsid w:val="003464A4"/>
    <w:rsid w:val="00351684"/>
    <w:rsid w:val="00354458"/>
    <w:rsid w:val="00362AA9"/>
    <w:rsid w:val="00363653"/>
    <w:rsid w:val="0036509D"/>
    <w:rsid w:val="00365E49"/>
    <w:rsid w:val="0037228C"/>
    <w:rsid w:val="003738FD"/>
    <w:rsid w:val="003810BE"/>
    <w:rsid w:val="00383C28"/>
    <w:rsid w:val="00386F6C"/>
    <w:rsid w:val="00387709"/>
    <w:rsid w:val="00387794"/>
    <w:rsid w:val="00392A33"/>
    <w:rsid w:val="00397162"/>
    <w:rsid w:val="003A335E"/>
    <w:rsid w:val="003A3DD2"/>
    <w:rsid w:val="003A7956"/>
    <w:rsid w:val="003B164A"/>
    <w:rsid w:val="003B3573"/>
    <w:rsid w:val="003B4F42"/>
    <w:rsid w:val="003B5813"/>
    <w:rsid w:val="003C03EA"/>
    <w:rsid w:val="003C196B"/>
    <w:rsid w:val="003C2342"/>
    <w:rsid w:val="003C6E1D"/>
    <w:rsid w:val="003D058C"/>
    <w:rsid w:val="003D76B1"/>
    <w:rsid w:val="003E17A6"/>
    <w:rsid w:val="003E31BE"/>
    <w:rsid w:val="003E4AA5"/>
    <w:rsid w:val="003E5304"/>
    <w:rsid w:val="003F1CEC"/>
    <w:rsid w:val="003F43BF"/>
    <w:rsid w:val="003F6BE4"/>
    <w:rsid w:val="00403CF8"/>
    <w:rsid w:val="00407459"/>
    <w:rsid w:val="00414D01"/>
    <w:rsid w:val="004170FE"/>
    <w:rsid w:val="004209E6"/>
    <w:rsid w:val="0042324B"/>
    <w:rsid w:val="004234E8"/>
    <w:rsid w:val="004242C0"/>
    <w:rsid w:val="00424393"/>
    <w:rsid w:val="00426805"/>
    <w:rsid w:val="00430150"/>
    <w:rsid w:val="004302F9"/>
    <w:rsid w:val="0043229B"/>
    <w:rsid w:val="00435287"/>
    <w:rsid w:val="0043701C"/>
    <w:rsid w:val="00440A22"/>
    <w:rsid w:val="0044273A"/>
    <w:rsid w:val="0045550E"/>
    <w:rsid w:val="00456456"/>
    <w:rsid w:val="00462367"/>
    <w:rsid w:val="0046490C"/>
    <w:rsid w:val="00470287"/>
    <w:rsid w:val="00470733"/>
    <w:rsid w:val="00477C53"/>
    <w:rsid w:val="00485380"/>
    <w:rsid w:val="00493D87"/>
    <w:rsid w:val="004950D4"/>
    <w:rsid w:val="00496227"/>
    <w:rsid w:val="004A0506"/>
    <w:rsid w:val="004A1DA0"/>
    <w:rsid w:val="004A2342"/>
    <w:rsid w:val="004A2F62"/>
    <w:rsid w:val="004B0A3B"/>
    <w:rsid w:val="004B1DB8"/>
    <w:rsid w:val="004B2F01"/>
    <w:rsid w:val="004B4182"/>
    <w:rsid w:val="004B4538"/>
    <w:rsid w:val="004B6FB6"/>
    <w:rsid w:val="004B7691"/>
    <w:rsid w:val="004C571D"/>
    <w:rsid w:val="004D35A2"/>
    <w:rsid w:val="004D480F"/>
    <w:rsid w:val="004D5FD1"/>
    <w:rsid w:val="004E11AD"/>
    <w:rsid w:val="004F7C93"/>
    <w:rsid w:val="00506105"/>
    <w:rsid w:val="00513162"/>
    <w:rsid w:val="00525809"/>
    <w:rsid w:val="00526B2D"/>
    <w:rsid w:val="00527D67"/>
    <w:rsid w:val="00530DBF"/>
    <w:rsid w:val="00535130"/>
    <w:rsid w:val="00537302"/>
    <w:rsid w:val="00555509"/>
    <w:rsid w:val="00557F74"/>
    <w:rsid w:val="00561C5B"/>
    <w:rsid w:val="00562283"/>
    <w:rsid w:val="0056377D"/>
    <w:rsid w:val="00564F2D"/>
    <w:rsid w:val="0056590D"/>
    <w:rsid w:val="00566CDA"/>
    <w:rsid w:val="0056727E"/>
    <w:rsid w:val="00567BA6"/>
    <w:rsid w:val="00570033"/>
    <w:rsid w:val="00570147"/>
    <w:rsid w:val="0057307E"/>
    <w:rsid w:val="00573A4C"/>
    <w:rsid w:val="00574B79"/>
    <w:rsid w:val="00574D12"/>
    <w:rsid w:val="005800B4"/>
    <w:rsid w:val="0058070B"/>
    <w:rsid w:val="0058296F"/>
    <w:rsid w:val="00586039"/>
    <w:rsid w:val="00594B6F"/>
    <w:rsid w:val="00595E80"/>
    <w:rsid w:val="0059650E"/>
    <w:rsid w:val="00596953"/>
    <w:rsid w:val="005A3CD3"/>
    <w:rsid w:val="005A6030"/>
    <w:rsid w:val="005B57AD"/>
    <w:rsid w:val="005B722E"/>
    <w:rsid w:val="005C02FE"/>
    <w:rsid w:val="005C50AC"/>
    <w:rsid w:val="005C6406"/>
    <w:rsid w:val="005D69D1"/>
    <w:rsid w:val="005E210D"/>
    <w:rsid w:val="005F2425"/>
    <w:rsid w:val="005F5EC7"/>
    <w:rsid w:val="005F7207"/>
    <w:rsid w:val="005F7FCF"/>
    <w:rsid w:val="006046BC"/>
    <w:rsid w:val="00607691"/>
    <w:rsid w:val="0061062C"/>
    <w:rsid w:val="00613183"/>
    <w:rsid w:val="006133F0"/>
    <w:rsid w:val="00616888"/>
    <w:rsid w:val="006176BE"/>
    <w:rsid w:val="006212CB"/>
    <w:rsid w:val="00622F1D"/>
    <w:rsid w:val="006243CA"/>
    <w:rsid w:val="006279F9"/>
    <w:rsid w:val="006369EE"/>
    <w:rsid w:val="006457FC"/>
    <w:rsid w:val="0064700E"/>
    <w:rsid w:val="00650677"/>
    <w:rsid w:val="006711F2"/>
    <w:rsid w:val="006736A9"/>
    <w:rsid w:val="00673BC7"/>
    <w:rsid w:val="00674975"/>
    <w:rsid w:val="00675D39"/>
    <w:rsid w:val="0068560B"/>
    <w:rsid w:val="006A1277"/>
    <w:rsid w:val="006A2602"/>
    <w:rsid w:val="006A2D41"/>
    <w:rsid w:val="006A67E1"/>
    <w:rsid w:val="006B3C8F"/>
    <w:rsid w:val="006C23ED"/>
    <w:rsid w:val="006C36FB"/>
    <w:rsid w:val="006C7D62"/>
    <w:rsid w:val="006D0B23"/>
    <w:rsid w:val="006D1EF9"/>
    <w:rsid w:val="006D2A47"/>
    <w:rsid w:val="006D2ED6"/>
    <w:rsid w:val="006D406E"/>
    <w:rsid w:val="006D5685"/>
    <w:rsid w:val="006E1987"/>
    <w:rsid w:val="006E23B2"/>
    <w:rsid w:val="006E39CF"/>
    <w:rsid w:val="006E5207"/>
    <w:rsid w:val="006F5C70"/>
    <w:rsid w:val="006F6A20"/>
    <w:rsid w:val="00703E5D"/>
    <w:rsid w:val="007047B2"/>
    <w:rsid w:val="00704DE7"/>
    <w:rsid w:val="00706868"/>
    <w:rsid w:val="007078B8"/>
    <w:rsid w:val="0071197E"/>
    <w:rsid w:val="00715E32"/>
    <w:rsid w:val="007162D1"/>
    <w:rsid w:val="00716463"/>
    <w:rsid w:val="0071706E"/>
    <w:rsid w:val="0072518E"/>
    <w:rsid w:val="00727292"/>
    <w:rsid w:val="00742F6A"/>
    <w:rsid w:val="007446E8"/>
    <w:rsid w:val="007460A2"/>
    <w:rsid w:val="00750957"/>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6DB1"/>
    <w:rsid w:val="00797E7A"/>
    <w:rsid w:val="007A0EA6"/>
    <w:rsid w:val="007A2D9E"/>
    <w:rsid w:val="007A727A"/>
    <w:rsid w:val="007B0381"/>
    <w:rsid w:val="007B0F3D"/>
    <w:rsid w:val="007B148D"/>
    <w:rsid w:val="007B18C8"/>
    <w:rsid w:val="007B28DE"/>
    <w:rsid w:val="007B7A5F"/>
    <w:rsid w:val="007C36BE"/>
    <w:rsid w:val="007C450D"/>
    <w:rsid w:val="007D53ED"/>
    <w:rsid w:val="007D5B32"/>
    <w:rsid w:val="007D6001"/>
    <w:rsid w:val="007D7F94"/>
    <w:rsid w:val="007E1B76"/>
    <w:rsid w:val="007E219A"/>
    <w:rsid w:val="007E37BF"/>
    <w:rsid w:val="007E5C64"/>
    <w:rsid w:val="007E6593"/>
    <w:rsid w:val="007F1101"/>
    <w:rsid w:val="007F1A6F"/>
    <w:rsid w:val="007F2CB1"/>
    <w:rsid w:val="00803D20"/>
    <w:rsid w:val="00807448"/>
    <w:rsid w:val="008112A0"/>
    <w:rsid w:val="008123BF"/>
    <w:rsid w:val="0081696D"/>
    <w:rsid w:val="00816E01"/>
    <w:rsid w:val="00817067"/>
    <w:rsid w:val="008173D0"/>
    <w:rsid w:val="0082251C"/>
    <w:rsid w:val="00823235"/>
    <w:rsid w:val="008249F1"/>
    <w:rsid w:val="00824AF2"/>
    <w:rsid w:val="00826686"/>
    <w:rsid w:val="00830AF8"/>
    <w:rsid w:val="00833CAA"/>
    <w:rsid w:val="00835563"/>
    <w:rsid w:val="00836511"/>
    <w:rsid w:val="00836B02"/>
    <w:rsid w:val="00836EC6"/>
    <w:rsid w:val="0083741E"/>
    <w:rsid w:val="00837985"/>
    <w:rsid w:val="00840E3D"/>
    <w:rsid w:val="00841D8C"/>
    <w:rsid w:val="00842220"/>
    <w:rsid w:val="00844111"/>
    <w:rsid w:val="00844F74"/>
    <w:rsid w:val="00845011"/>
    <w:rsid w:val="00846382"/>
    <w:rsid w:val="00850F57"/>
    <w:rsid w:val="008520A4"/>
    <w:rsid w:val="008536C2"/>
    <w:rsid w:val="008600C7"/>
    <w:rsid w:val="008617D0"/>
    <w:rsid w:val="00861A60"/>
    <w:rsid w:val="00862357"/>
    <w:rsid w:val="00862D02"/>
    <w:rsid w:val="008637B9"/>
    <w:rsid w:val="00864194"/>
    <w:rsid w:val="00870399"/>
    <w:rsid w:val="008711EC"/>
    <w:rsid w:val="008711F8"/>
    <w:rsid w:val="008718FE"/>
    <w:rsid w:val="00872946"/>
    <w:rsid w:val="00883928"/>
    <w:rsid w:val="00883DDE"/>
    <w:rsid w:val="00891D73"/>
    <w:rsid w:val="00892A44"/>
    <w:rsid w:val="00893D26"/>
    <w:rsid w:val="008A2DE8"/>
    <w:rsid w:val="008A312D"/>
    <w:rsid w:val="008A3E09"/>
    <w:rsid w:val="008A3E57"/>
    <w:rsid w:val="008A77A7"/>
    <w:rsid w:val="008B3F34"/>
    <w:rsid w:val="008C56B9"/>
    <w:rsid w:val="008C75FD"/>
    <w:rsid w:val="008D05E0"/>
    <w:rsid w:val="008D2600"/>
    <w:rsid w:val="008E0AC0"/>
    <w:rsid w:val="008E221A"/>
    <w:rsid w:val="008E3FFE"/>
    <w:rsid w:val="008E60BE"/>
    <w:rsid w:val="008E6B74"/>
    <w:rsid w:val="008F0FAF"/>
    <w:rsid w:val="008F46CD"/>
    <w:rsid w:val="008F6480"/>
    <w:rsid w:val="008F7740"/>
    <w:rsid w:val="00900CA2"/>
    <w:rsid w:val="00903653"/>
    <w:rsid w:val="00905D73"/>
    <w:rsid w:val="00910A52"/>
    <w:rsid w:val="00911479"/>
    <w:rsid w:val="0091484D"/>
    <w:rsid w:val="00925E71"/>
    <w:rsid w:val="0093329F"/>
    <w:rsid w:val="00937043"/>
    <w:rsid w:val="00943158"/>
    <w:rsid w:val="009445D3"/>
    <w:rsid w:val="00944818"/>
    <w:rsid w:val="00955A8A"/>
    <w:rsid w:val="0096400D"/>
    <w:rsid w:val="00966600"/>
    <w:rsid w:val="009671D9"/>
    <w:rsid w:val="00971352"/>
    <w:rsid w:val="00971C00"/>
    <w:rsid w:val="00971ED8"/>
    <w:rsid w:val="00975E5B"/>
    <w:rsid w:val="00977C8F"/>
    <w:rsid w:val="00977F94"/>
    <w:rsid w:val="009812AB"/>
    <w:rsid w:val="009863E9"/>
    <w:rsid w:val="00992E20"/>
    <w:rsid w:val="009936FC"/>
    <w:rsid w:val="00993925"/>
    <w:rsid w:val="00993977"/>
    <w:rsid w:val="009A05D1"/>
    <w:rsid w:val="009A28AC"/>
    <w:rsid w:val="009A3A5B"/>
    <w:rsid w:val="009A3F2A"/>
    <w:rsid w:val="009B2AAC"/>
    <w:rsid w:val="009B3521"/>
    <w:rsid w:val="009B3563"/>
    <w:rsid w:val="009B541C"/>
    <w:rsid w:val="009C4460"/>
    <w:rsid w:val="009D5BA6"/>
    <w:rsid w:val="009D7192"/>
    <w:rsid w:val="009D7600"/>
    <w:rsid w:val="009D7B43"/>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AEF"/>
    <w:rsid w:val="00A53C14"/>
    <w:rsid w:val="00A55507"/>
    <w:rsid w:val="00A61410"/>
    <w:rsid w:val="00A6198A"/>
    <w:rsid w:val="00A65108"/>
    <w:rsid w:val="00A65C69"/>
    <w:rsid w:val="00A7067F"/>
    <w:rsid w:val="00A707A7"/>
    <w:rsid w:val="00A70E56"/>
    <w:rsid w:val="00A718FD"/>
    <w:rsid w:val="00A72341"/>
    <w:rsid w:val="00A776ED"/>
    <w:rsid w:val="00A80E50"/>
    <w:rsid w:val="00A83663"/>
    <w:rsid w:val="00A83B0F"/>
    <w:rsid w:val="00A84216"/>
    <w:rsid w:val="00A84AA5"/>
    <w:rsid w:val="00A8726C"/>
    <w:rsid w:val="00A90BFA"/>
    <w:rsid w:val="00A92BF3"/>
    <w:rsid w:val="00A943C8"/>
    <w:rsid w:val="00A950A4"/>
    <w:rsid w:val="00A9520D"/>
    <w:rsid w:val="00A9747D"/>
    <w:rsid w:val="00AA00A6"/>
    <w:rsid w:val="00AA6BA8"/>
    <w:rsid w:val="00AA75CD"/>
    <w:rsid w:val="00AA7F5A"/>
    <w:rsid w:val="00AB2340"/>
    <w:rsid w:val="00AB5FE4"/>
    <w:rsid w:val="00AB659D"/>
    <w:rsid w:val="00AC229F"/>
    <w:rsid w:val="00AD7671"/>
    <w:rsid w:val="00AD790B"/>
    <w:rsid w:val="00AE53E8"/>
    <w:rsid w:val="00AE6FE4"/>
    <w:rsid w:val="00AF2059"/>
    <w:rsid w:val="00AF3D84"/>
    <w:rsid w:val="00AF4161"/>
    <w:rsid w:val="00AF580B"/>
    <w:rsid w:val="00B007C8"/>
    <w:rsid w:val="00B01DBB"/>
    <w:rsid w:val="00B04727"/>
    <w:rsid w:val="00B14410"/>
    <w:rsid w:val="00B15E61"/>
    <w:rsid w:val="00B238DE"/>
    <w:rsid w:val="00B24F35"/>
    <w:rsid w:val="00B32C88"/>
    <w:rsid w:val="00B34747"/>
    <w:rsid w:val="00B42E49"/>
    <w:rsid w:val="00B50903"/>
    <w:rsid w:val="00B54400"/>
    <w:rsid w:val="00B57315"/>
    <w:rsid w:val="00B62FFE"/>
    <w:rsid w:val="00B65013"/>
    <w:rsid w:val="00B7123A"/>
    <w:rsid w:val="00B7435C"/>
    <w:rsid w:val="00B76F38"/>
    <w:rsid w:val="00B8085D"/>
    <w:rsid w:val="00B81EFF"/>
    <w:rsid w:val="00B836BB"/>
    <w:rsid w:val="00B84122"/>
    <w:rsid w:val="00B862B0"/>
    <w:rsid w:val="00B869C0"/>
    <w:rsid w:val="00BA027B"/>
    <w:rsid w:val="00BA12E9"/>
    <w:rsid w:val="00BA29D6"/>
    <w:rsid w:val="00BA2B7C"/>
    <w:rsid w:val="00BA4757"/>
    <w:rsid w:val="00BB142A"/>
    <w:rsid w:val="00BB34B9"/>
    <w:rsid w:val="00BB35C2"/>
    <w:rsid w:val="00BB553B"/>
    <w:rsid w:val="00BC0324"/>
    <w:rsid w:val="00BC28D7"/>
    <w:rsid w:val="00BC376C"/>
    <w:rsid w:val="00BC6321"/>
    <w:rsid w:val="00BC7817"/>
    <w:rsid w:val="00BD3819"/>
    <w:rsid w:val="00BD642D"/>
    <w:rsid w:val="00BD6988"/>
    <w:rsid w:val="00BE1A77"/>
    <w:rsid w:val="00BE4742"/>
    <w:rsid w:val="00BE7383"/>
    <w:rsid w:val="00BE754D"/>
    <w:rsid w:val="00BF1DB9"/>
    <w:rsid w:val="00BF2385"/>
    <w:rsid w:val="00BF6D10"/>
    <w:rsid w:val="00BF6E79"/>
    <w:rsid w:val="00C039A0"/>
    <w:rsid w:val="00C03F6C"/>
    <w:rsid w:val="00C07DBA"/>
    <w:rsid w:val="00C12108"/>
    <w:rsid w:val="00C121D9"/>
    <w:rsid w:val="00C13453"/>
    <w:rsid w:val="00C2066C"/>
    <w:rsid w:val="00C21F83"/>
    <w:rsid w:val="00C220F9"/>
    <w:rsid w:val="00C2541C"/>
    <w:rsid w:val="00C26862"/>
    <w:rsid w:val="00C30458"/>
    <w:rsid w:val="00C31DA6"/>
    <w:rsid w:val="00C33260"/>
    <w:rsid w:val="00C4598F"/>
    <w:rsid w:val="00C50360"/>
    <w:rsid w:val="00C52923"/>
    <w:rsid w:val="00C5426C"/>
    <w:rsid w:val="00C54E12"/>
    <w:rsid w:val="00C55468"/>
    <w:rsid w:val="00C622C3"/>
    <w:rsid w:val="00C63BD5"/>
    <w:rsid w:val="00C74906"/>
    <w:rsid w:val="00C76841"/>
    <w:rsid w:val="00C81B40"/>
    <w:rsid w:val="00C81FEA"/>
    <w:rsid w:val="00C83969"/>
    <w:rsid w:val="00C86C95"/>
    <w:rsid w:val="00C87ACA"/>
    <w:rsid w:val="00CA05EB"/>
    <w:rsid w:val="00CA2B98"/>
    <w:rsid w:val="00CA3515"/>
    <w:rsid w:val="00CA3A05"/>
    <w:rsid w:val="00CB14E9"/>
    <w:rsid w:val="00CB6D90"/>
    <w:rsid w:val="00CB72C3"/>
    <w:rsid w:val="00CC45E4"/>
    <w:rsid w:val="00CD019F"/>
    <w:rsid w:val="00CD27C5"/>
    <w:rsid w:val="00CD2C4D"/>
    <w:rsid w:val="00CE4169"/>
    <w:rsid w:val="00CE7894"/>
    <w:rsid w:val="00CF06A1"/>
    <w:rsid w:val="00CF1467"/>
    <w:rsid w:val="00CF48D6"/>
    <w:rsid w:val="00CF57D6"/>
    <w:rsid w:val="00CF6C1B"/>
    <w:rsid w:val="00D019D5"/>
    <w:rsid w:val="00D040FE"/>
    <w:rsid w:val="00D168FD"/>
    <w:rsid w:val="00D16F64"/>
    <w:rsid w:val="00D2472C"/>
    <w:rsid w:val="00D279BA"/>
    <w:rsid w:val="00D37F46"/>
    <w:rsid w:val="00D404B5"/>
    <w:rsid w:val="00D447CB"/>
    <w:rsid w:val="00D47D16"/>
    <w:rsid w:val="00D505F4"/>
    <w:rsid w:val="00D51CE1"/>
    <w:rsid w:val="00D562F2"/>
    <w:rsid w:val="00D57658"/>
    <w:rsid w:val="00D61B93"/>
    <w:rsid w:val="00D67E4A"/>
    <w:rsid w:val="00D74DF9"/>
    <w:rsid w:val="00D763FD"/>
    <w:rsid w:val="00D90AD1"/>
    <w:rsid w:val="00D941F7"/>
    <w:rsid w:val="00D95EB2"/>
    <w:rsid w:val="00DA4DDF"/>
    <w:rsid w:val="00DB0804"/>
    <w:rsid w:val="00DB2FC4"/>
    <w:rsid w:val="00DB7D9A"/>
    <w:rsid w:val="00DC211B"/>
    <w:rsid w:val="00DC382A"/>
    <w:rsid w:val="00DE1923"/>
    <w:rsid w:val="00DE2B33"/>
    <w:rsid w:val="00DE638B"/>
    <w:rsid w:val="00DE72EE"/>
    <w:rsid w:val="00DF37E5"/>
    <w:rsid w:val="00E010C2"/>
    <w:rsid w:val="00E034FE"/>
    <w:rsid w:val="00E041E5"/>
    <w:rsid w:val="00E04888"/>
    <w:rsid w:val="00E0763B"/>
    <w:rsid w:val="00E10302"/>
    <w:rsid w:val="00E17EC5"/>
    <w:rsid w:val="00E21C61"/>
    <w:rsid w:val="00E26BFD"/>
    <w:rsid w:val="00E27DF2"/>
    <w:rsid w:val="00E27E90"/>
    <w:rsid w:val="00E33D02"/>
    <w:rsid w:val="00E34F2C"/>
    <w:rsid w:val="00E35D79"/>
    <w:rsid w:val="00E419ED"/>
    <w:rsid w:val="00E44D2B"/>
    <w:rsid w:val="00E4641E"/>
    <w:rsid w:val="00E50D25"/>
    <w:rsid w:val="00E519AE"/>
    <w:rsid w:val="00E536C9"/>
    <w:rsid w:val="00E57AF7"/>
    <w:rsid w:val="00E6241B"/>
    <w:rsid w:val="00E630CA"/>
    <w:rsid w:val="00E64FCC"/>
    <w:rsid w:val="00E679DD"/>
    <w:rsid w:val="00E703B6"/>
    <w:rsid w:val="00E72200"/>
    <w:rsid w:val="00E72B1B"/>
    <w:rsid w:val="00E74897"/>
    <w:rsid w:val="00E75D47"/>
    <w:rsid w:val="00E766F5"/>
    <w:rsid w:val="00E82948"/>
    <w:rsid w:val="00E90218"/>
    <w:rsid w:val="00E913BB"/>
    <w:rsid w:val="00E92E24"/>
    <w:rsid w:val="00E95F2E"/>
    <w:rsid w:val="00E97702"/>
    <w:rsid w:val="00EA1508"/>
    <w:rsid w:val="00EA1541"/>
    <w:rsid w:val="00EA32E4"/>
    <w:rsid w:val="00EA7E36"/>
    <w:rsid w:val="00EB0898"/>
    <w:rsid w:val="00EB4863"/>
    <w:rsid w:val="00EB627B"/>
    <w:rsid w:val="00EB6D94"/>
    <w:rsid w:val="00EC4183"/>
    <w:rsid w:val="00EC5B9D"/>
    <w:rsid w:val="00EC6468"/>
    <w:rsid w:val="00EC6708"/>
    <w:rsid w:val="00ED207C"/>
    <w:rsid w:val="00ED325A"/>
    <w:rsid w:val="00ED3F41"/>
    <w:rsid w:val="00ED5168"/>
    <w:rsid w:val="00ED5615"/>
    <w:rsid w:val="00ED64B5"/>
    <w:rsid w:val="00ED692E"/>
    <w:rsid w:val="00ED69AF"/>
    <w:rsid w:val="00EE1847"/>
    <w:rsid w:val="00EE240E"/>
    <w:rsid w:val="00EE275F"/>
    <w:rsid w:val="00EE688E"/>
    <w:rsid w:val="00EE6A6D"/>
    <w:rsid w:val="00EF03E2"/>
    <w:rsid w:val="00EF7F8B"/>
    <w:rsid w:val="00F00221"/>
    <w:rsid w:val="00F03814"/>
    <w:rsid w:val="00F04D17"/>
    <w:rsid w:val="00F07A09"/>
    <w:rsid w:val="00F10A33"/>
    <w:rsid w:val="00F1390C"/>
    <w:rsid w:val="00F14D98"/>
    <w:rsid w:val="00F179F8"/>
    <w:rsid w:val="00F20C5E"/>
    <w:rsid w:val="00F22C3C"/>
    <w:rsid w:val="00F256D6"/>
    <w:rsid w:val="00F36A1D"/>
    <w:rsid w:val="00F44278"/>
    <w:rsid w:val="00F51B65"/>
    <w:rsid w:val="00F52AAB"/>
    <w:rsid w:val="00F52EB6"/>
    <w:rsid w:val="00F55260"/>
    <w:rsid w:val="00F55281"/>
    <w:rsid w:val="00F6156C"/>
    <w:rsid w:val="00F6316B"/>
    <w:rsid w:val="00F65AE0"/>
    <w:rsid w:val="00F74E38"/>
    <w:rsid w:val="00F76D6F"/>
    <w:rsid w:val="00F778B0"/>
    <w:rsid w:val="00F82D1D"/>
    <w:rsid w:val="00F83BC2"/>
    <w:rsid w:val="00F92EC1"/>
    <w:rsid w:val="00F94C47"/>
    <w:rsid w:val="00FA0421"/>
    <w:rsid w:val="00FA3389"/>
    <w:rsid w:val="00FA3476"/>
    <w:rsid w:val="00FB0C10"/>
    <w:rsid w:val="00FB290A"/>
    <w:rsid w:val="00FB3C36"/>
    <w:rsid w:val="00FB4280"/>
    <w:rsid w:val="00FB7CCE"/>
    <w:rsid w:val="00FC01C8"/>
    <w:rsid w:val="00FC5027"/>
    <w:rsid w:val="00FC50C7"/>
    <w:rsid w:val="00FC511D"/>
    <w:rsid w:val="00FC68BC"/>
    <w:rsid w:val="00FD0461"/>
    <w:rsid w:val="00FD11D4"/>
    <w:rsid w:val="00FD225D"/>
    <w:rsid w:val="00FD2384"/>
    <w:rsid w:val="00FE3DCD"/>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Textonotapie">
    <w:name w:val="footnote text"/>
    <w:basedOn w:val="Normal"/>
    <w:link w:val="TextonotapieCar"/>
    <w:rsid w:val="00B57315"/>
    <w:pPr>
      <w:spacing w:after="0"/>
    </w:pPr>
  </w:style>
  <w:style w:type="character" w:customStyle="1" w:styleId="TextonotapieCar">
    <w:name w:val="Texto nota pie Car"/>
    <w:basedOn w:val="Fuentedeprrafopredeter"/>
    <w:link w:val="Textonotapie"/>
    <w:rsid w:val="00B57315"/>
    <w:rPr>
      <w:lang w:eastAsia="en-US"/>
    </w:rPr>
  </w:style>
  <w:style w:type="character" w:styleId="Refdenotaalpie">
    <w:name w:val="footnote reference"/>
    <w:basedOn w:val="Fuentedeprrafopredeter"/>
    <w:rsid w:val="00B573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Textonotapie">
    <w:name w:val="footnote text"/>
    <w:basedOn w:val="Normal"/>
    <w:link w:val="TextonotapieCar"/>
    <w:rsid w:val="00B57315"/>
    <w:pPr>
      <w:spacing w:after="0"/>
    </w:pPr>
  </w:style>
  <w:style w:type="character" w:customStyle="1" w:styleId="TextonotapieCar">
    <w:name w:val="Texto nota pie Car"/>
    <w:basedOn w:val="Fuentedeprrafopredeter"/>
    <w:link w:val="Textonotapie"/>
    <w:rsid w:val="00B57315"/>
    <w:rPr>
      <w:lang w:eastAsia="en-US"/>
    </w:rPr>
  </w:style>
  <w:style w:type="character" w:styleId="Refdenotaalpie">
    <w:name w:val="footnote reference"/>
    <w:basedOn w:val="Fuentedeprrafopredeter"/>
    <w:rsid w:val="00B57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3146">
      <w:bodyDiv w:val="1"/>
      <w:marLeft w:val="0"/>
      <w:marRight w:val="0"/>
      <w:marTop w:val="0"/>
      <w:marBottom w:val="0"/>
      <w:divBdr>
        <w:top w:val="none" w:sz="0" w:space="0" w:color="auto"/>
        <w:left w:val="none" w:sz="0" w:space="0" w:color="auto"/>
        <w:bottom w:val="none" w:sz="0" w:space="0" w:color="auto"/>
        <w:right w:val="none" w:sz="0" w:space="0" w:color="auto"/>
      </w:divBdr>
    </w:div>
    <w:div w:id="314838626">
      <w:bodyDiv w:val="1"/>
      <w:marLeft w:val="0"/>
      <w:marRight w:val="0"/>
      <w:marTop w:val="0"/>
      <w:marBottom w:val="0"/>
      <w:divBdr>
        <w:top w:val="none" w:sz="0" w:space="0" w:color="auto"/>
        <w:left w:val="none" w:sz="0" w:space="0" w:color="auto"/>
        <w:bottom w:val="none" w:sz="0" w:space="0" w:color="auto"/>
        <w:right w:val="none" w:sz="0" w:space="0" w:color="auto"/>
      </w:divBdr>
    </w:div>
    <w:div w:id="318773441">
      <w:bodyDiv w:val="1"/>
      <w:marLeft w:val="0"/>
      <w:marRight w:val="0"/>
      <w:marTop w:val="0"/>
      <w:marBottom w:val="0"/>
      <w:divBdr>
        <w:top w:val="none" w:sz="0" w:space="0" w:color="auto"/>
        <w:left w:val="none" w:sz="0" w:space="0" w:color="auto"/>
        <w:bottom w:val="none" w:sz="0" w:space="0" w:color="auto"/>
        <w:right w:val="none" w:sz="0" w:space="0" w:color="auto"/>
      </w:divBdr>
    </w:div>
    <w:div w:id="1030691231">
      <w:bodyDiv w:val="1"/>
      <w:marLeft w:val="0"/>
      <w:marRight w:val="0"/>
      <w:marTop w:val="0"/>
      <w:marBottom w:val="0"/>
      <w:divBdr>
        <w:top w:val="none" w:sz="0" w:space="0" w:color="auto"/>
        <w:left w:val="none" w:sz="0" w:space="0" w:color="auto"/>
        <w:bottom w:val="none" w:sz="0" w:space="0" w:color="auto"/>
        <w:right w:val="none" w:sz="0" w:space="0" w:color="auto"/>
      </w:divBdr>
    </w:div>
    <w:div w:id="147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03E5-D6A6-4C23-8959-A63ED828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6656</Words>
  <Characters>36611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Zudaire Echávarri, Trinidad (Cámara de Comptos)</dc:creator>
  <cp:lastModifiedBy>Aranaz, Carlota</cp:lastModifiedBy>
  <cp:revision>2</cp:revision>
  <cp:lastPrinted>2016-01-07T08:21:00Z</cp:lastPrinted>
  <dcterms:created xsi:type="dcterms:W3CDTF">2016-03-22T07:25:00Z</dcterms:created>
  <dcterms:modified xsi:type="dcterms:W3CDTF">2016-03-22T07:25:00Z</dcterms:modified>
</cp:coreProperties>
</file>