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ED7EBB" w:rsidRDefault="001C3A32" w:rsidP="00CF08C2">
      <w:pPr>
        <w:pStyle w:val="EstiloPortada"/>
        <w:spacing w:after="300"/>
        <w:ind w:left="4312" w:right="-57"/>
        <w:rPr>
          <w:rFonts w:ascii="Arial" w:hAnsi="Arial" w:cs="Arial"/>
          <w:sz w:val="40"/>
          <w:szCs w:val="40"/>
        </w:rPr>
      </w:pPr>
      <w:bookmarkStart w:id="0" w:name="_GoBack"/>
      <w:bookmarkEnd w:id="0"/>
    </w:p>
    <w:p w:rsidR="00CF08C2" w:rsidRDefault="001B3767" w:rsidP="00CF08C2">
      <w:pPr>
        <w:pStyle w:val="EstiloPortada"/>
        <w:ind w:left="4270"/>
        <w:rPr>
          <w:szCs w:val="60"/>
          <w:lang w:eastAsia="es-ES"/>
        </w:rPr>
      </w:pPr>
      <w:r w:rsidRPr="00B269C8">
        <w:rPr>
          <w:szCs w:val="60"/>
          <w:lang w:eastAsia="es-ES"/>
        </w:rPr>
        <w:t xml:space="preserve">Cuentas </w:t>
      </w:r>
      <w:r w:rsidR="00ED7EBB">
        <w:rPr>
          <w:szCs w:val="60"/>
          <w:lang w:eastAsia="es-ES"/>
        </w:rPr>
        <w:t>g</w:t>
      </w:r>
      <w:r w:rsidRPr="00B269C8">
        <w:rPr>
          <w:szCs w:val="60"/>
          <w:lang w:eastAsia="es-ES"/>
        </w:rPr>
        <w:t xml:space="preserve">enerales </w:t>
      </w:r>
    </w:p>
    <w:p w:rsidR="001C3A32" w:rsidRPr="00B269C8" w:rsidRDefault="00CF08C2" w:rsidP="00CF08C2">
      <w:pPr>
        <w:pStyle w:val="EstiloPortada"/>
        <w:ind w:left="4270"/>
        <w:rPr>
          <w:szCs w:val="60"/>
          <w:lang w:eastAsia="es-ES"/>
        </w:rPr>
      </w:pPr>
      <w:proofErr w:type="gramStart"/>
      <w:r>
        <w:rPr>
          <w:szCs w:val="60"/>
          <w:lang w:eastAsia="es-ES"/>
        </w:rPr>
        <w:t>de</w:t>
      </w:r>
      <w:proofErr w:type="gramEnd"/>
      <w:r>
        <w:rPr>
          <w:szCs w:val="60"/>
          <w:lang w:eastAsia="es-ES"/>
        </w:rPr>
        <w:t xml:space="preserve"> </w:t>
      </w:r>
      <w:r w:rsidR="001B3767" w:rsidRPr="00B269C8">
        <w:rPr>
          <w:szCs w:val="60"/>
          <w:lang w:eastAsia="es-ES"/>
        </w:rPr>
        <w:t>Navarra,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8E5BD4" w:rsidRDefault="008E5BD4" w:rsidP="009936FC">
      <w:pPr>
        <w:pStyle w:val="Fechaportada"/>
      </w:pPr>
    </w:p>
    <w:p w:rsidR="00716463" w:rsidRPr="001D4F09" w:rsidRDefault="00CB2B9A" w:rsidP="009936FC">
      <w:pPr>
        <w:pStyle w:val="Fechaportada"/>
      </w:pPr>
      <w:r>
        <w:t>Noviembre</w:t>
      </w:r>
      <w:r w:rsidR="00253E78" w:rsidRPr="00D53F05">
        <w:t xml:space="preserve"> d</w:t>
      </w:r>
      <w:r w:rsidR="00253E78" w:rsidRPr="001D4F09">
        <w:t>e 20</w:t>
      </w:r>
      <w:r w:rsidR="001B3767">
        <w:t>15</w:t>
      </w:r>
    </w:p>
    <w:p w:rsidR="008E3FFE" w:rsidRPr="001D4F09" w:rsidRDefault="008E3FFE" w:rsidP="00891D73">
      <w:pPr>
        <w:pStyle w:val="ndice"/>
        <w:rPr>
          <w:rFonts w:ascii="Times New Roman" w:hAnsi="Times New Roman"/>
        </w:rPr>
        <w:sectPr w:rsidR="008E3FFE" w:rsidRPr="001D4F09" w:rsidSect="0019660E">
          <w:footerReference w:type="even" r:id="rId9"/>
          <w:footerReference w:type="default" r:id="rId10"/>
          <w:headerReference w:type="first" r:id="rId11"/>
          <w:footerReference w:type="first" r:id="rId12"/>
          <w:footnotePr>
            <w:numRestart w:val="eachSect"/>
          </w:footnotePr>
          <w:pgSz w:w="11907" w:h="16840" w:code="9"/>
          <w:pgMar w:top="2835" w:right="1559" w:bottom="1644" w:left="1559" w:header="369" w:footer="136" w:gutter="0"/>
          <w:pgNumType w:start="1"/>
          <w:cols w:space="720"/>
          <w:titlePg/>
          <w:docGrid w:linePitch="360"/>
        </w:sectPr>
      </w:pPr>
    </w:p>
    <w:p w:rsidR="001C3A32" w:rsidRDefault="00891D73" w:rsidP="005508D1">
      <w:pPr>
        <w:pStyle w:val="ndice"/>
        <w:spacing w:after="160"/>
      </w:pPr>
      <w:r w:rsidRPr="00891D73">
        <w:lastRenderedPageBreak/>
        <w:t>Índice</w:t>
      </w:r>
    </w:p>
    <w:p w:rsidR="001B3767" w:rsidRDefault="001B3767" w:rsidP="001B3767">
      <w:pPr>
        <w:pStyle w:val="texto"/>
        <w:spacing w:after="0"/>
        <w:ind w:right="-296"/>
        <w:jc w:val="right"/>
      </w:pPr>
      <w:r>
        <w:rPr>
          <w:rFonts w:ascii="GillSans" w:hAnsi="GillSans" w:cs="Arial"/>
          <w:i/>
          <w:smallCaps/>
          <w:sz w:val="16"/>
          <w:szCs w:val="16"/>
        </w:rPr>
        <w:t>Página</w:t>
      </w:r>
    </w:p>
    <w:p w:rsidR="005E5EF1" w:rsidRDefault="001B3767">
      <w:pPr>
        <w:pStyle w:val="TDC1"/>
        <w:rPr>
          <w:rFonts w:asciiTheme="minorHAnsi" w:eastAsiaTheme="minorEastAsia" w:hAnsiTheme="minorHAnsi" w:cstheme="minorBidi"/>
          <w:smallCaps w:val="0"/>
          <w:noProof/>
          <w:szCs w:val="22"/>
          <w:lang w:val="es-ES" w:eastAsia="es-ES"/>
        </w:rPr>
      </w:pPr>
      <w:r w:rsidRPr="00206DA4">
        <w:rPr>
          <w:szCs w:val="22"/>
        </w:rPr>
        <w:fldChar w:fldCharType="begin"/>
      </w:r>
      <w:r w:rsidRPr="00206DA4">
        <w:rPr>
          <w:szCs w:val="22"/>
        </w:rPr>
        <w:instrText xml:space="preserve"> TOC \o "1-3" \h \z \t "atitulo1;1;atitulo2;2" </w:instrText>
      </w:r>
      <w:r w:rsidRPr="00206DA4">
        <w:rPr>
          <w:szCs w:val="22"/>
        </w:rPr>
        <w:fldChar w:fldCharType="separate"/>
      </w:r>
      <w:hyperlink w:anchor="_Toc434399382" w:history="1">
        <w:r w:rsidR="005E5EF1" w:rsidRPr="00AE7108">
          <w:rPr>
            <w:rStyle w:val="Hipervnculo"/>
            <w:noProof/>
          </w:rPr>
          <w:t>I. Introducción</w:t>
        </w:r>
        <w:r w:rsidR="005E5EF1">
          <w:rPr>
            <w:noProof/>
            <w:webHidden/>
          </w:rPr>
          <w:tab/>
        </w:r>
        <w:r w:rsidR="005E5EF1">
          <w:rPr>
            <w:noProof/>
            <w:webHidden/>
          </w:rPr>
          <w:fldChar w:fldCharType="begin"/>
        </w:r>
        <w:r w:rsidR="005E5EF1">
          <w:rPr>
            <w:noProof/>
            <w:webHidden/>
          </w:rPr>
          <w:instrText xml:space="preserve"> PAGEREF _Toc434399382 \h </w:instrText>
        </w:r>
        <w:r w:rsidR="005E5EF1">
          <w:rPr>
            <w:noProof/>
            <w:webHidden/>
          </w:rPr>
        </w:r>
        <w:r w:rsidR="005E5EF1">
          <w:rPr>
            <w:noProof/>
            <w:webHidden/>
          </w:rPr>
          <w:fldChar w:fldCharType="separate"/>
        </w:r>
        <w:r w:rsidR="00B345A2">
          <w:rPr>
            <w:noProof/>
            <w:webHidden/>
          </w:rPr>
          <w:t>3</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383" w:history="1">
        <w:r w:rsidR="005E5EF1" w:rsidRPr="00AE7108">
          <w:rPr>
            <w:rStyle w:val="Hipervnculo"/>
            <w:noProof/>
          </w:rPr>
          <w:t>II. Sector Público Foral</w:t>
        </w:r>
        <w:r w:rsidR="005E5EF1">
          <w:rPr>
            <w:noProof/>
            <w:webHidden/>
          </w:rPr>
          <w:tab/>
        </w:r>
        <w:r w:rsidR="005E5EF1">
          <w:rPr>
            <w:noProof/>
            <w:webHidden/>
          </w:rPr>
          <w:fldChar w:fldCharType="begin"/>
        </w:r>
        <w:r w:rsidR="005E5EF1">
          <w:rPr>
            <w:noProof/>
            <w:webHidden/>
          </w:rPr>
          <w:instrText xml:space="preserve"> PAGEREF _Toc434399383 \h </w:instrText>
        </w:r>
        <w:r w:rsidR="005E5EF1">
          <w:rPr>
            <w:noProof/>
            <w:webHidden/>
          </w:rPr>
        </w:r>
        <w:r w:rsidR="005E5EF1">
          <w:rPr>
            <w:noProof/>
            <w:webHidden/>
          </w:rPr>
          <w:fldChar w:fldCharType="separate"/>
        </w:r>
        <w:r w:rsidR="00B345A2">
          <w:rPr>
            <w:noProof/>
            <w:webHidden/>
          </w:rPr>
          <w:t>4</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84" w:history="1">
        <w:r w:rsidR="005E5EF1" w:rsidRPr="00AE7108">
          <w:rPr>
            <w:rStyle w:val="Hipervnculo"/>
            <w:noProof/>
          </w:rPr>
          <w:t>II.1. Sector Público Foral según la Ley Foral 13/2007, de 4 de abril, de la Hacienda Pública de Navarra</w:t>
        </w:r>
        <w:r w:rsidR="005E5EF1">
          <w:rPr>
            <w:noProof/>
            <w:webHidden/>
          </w:rPr>
          <w:tab/>
        </w:r>
        <w:r w:rsidR="005E5EF1">
          <w:rPr>
            <w:noProof/>
            <w:webHidden/>
          </w:rPr>
          <w:fldChar w:fldCharType="begin"/>
        </w:r>
        <w:r w:rsidR="005E5EF1">
          <w:rPr>
            <w:noProof/>
            <w:webHidden/>
          </w:rPr>
          <w:instrText xml:space="preserve"> PAGEREF _Toc434399384 \h </w:instrText>
        </w:r>
        <w:r w:rsidR="005E5EF1">
          <w:rPr>
            <w:noProof/>
            <w:webHidden/>
          </w:rPr>
        </w:r>
        <w:r w:rsidR="005E5EF1">
          <w:rPr>
            <w:noProof/>
            <w:webHidden/>
          </w:rPr>
          <w:fldChar w:fldCharType="separate"/>
        </w:r>
        <w:r w:rsidR="00B345A2">
          <w:rPr>
            <w:noProof/>
            <w:webHidden/>
          </w:rPr>
          <w:t>4</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85" w:history="1">
        <w:r w:rsidR="005E5EF1" w:rsidRPr="00AE7108">
          <w:rPr>
            <w:rStyle w:val="Hipervnculo"/>
            <w:noProof/>
          </w:rPr>
          <w:t>II.2. Sector Público a efectos de la Ley Orgánica 2/2012, de 27 de abril, de Estabilidad Presupuestaria y Sostenibilidad Financiera.</w:t>
        </w:r>
        <w:r w:rsidR="005E5EF1">
          <w:rPr>
            <w:noProof/>
            <w:webHidden/>
          </w:rPr>
          <w:tab/>
        </w:r>
        <w:r w:rsidR="005E5EF1">
          <w:rPr>
            <w:noProof/>
            <w:webHidden/>
          </w:rPr>
          <w:fldChar w:fldCharType="begin"/>
        </w:r>
        <w:r w:rsidR="005E5EF1">
          <w:rPr>
            <w:noProof/>
            <w:webHidden/>
          </w:rPr>
          <w:instrText xml:space="preserve"> PAGEREF _Toc434399385 \h </w:instrText>
        </w:r>
        <w:r w:rsidR="005E5EF1">
          <w:rPr>
            <w:noProof/>
            <w:webHidden/>
          </w:rPr>
        </w:r>
        <w:r w:rsidR="005E5EF1">
          <w:rPr>
            <w:noProof/>
            <w:webHidden/>
          </w:rPr>
          <w:fldChar w:fldCharType="separate"/>
        </w:r>
        <w:r w:rsidR="00B345A2">
          <w:rPr>
            <w:noProof/>
            <w:webHidden/>
          </w:rPr>
          <w:t>7</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86" w:history="1">
        <w:r w:rsidR="005E5EF1" w:rsidRPr="00AE7108">
          <w:rPr>
            <w:rStyle w:val="Hipervnculo"/>
            <w:noProof/>
          </w:rPr>
          <w:t>II.3. Normativa</w:t>
        </w:r>
        <w:r w:rsidR="005E5EF1">
          <w:rPr>
            <w:noProof/>
            <w:webHidden/>
          </w:rPr>
          <w:tab/>
        </w:r>
        <w:r w:rsidR="005E5EF1">
          <w:rPr>
            <w:noProof/>
            <w:webHidden/>
          </w:rPr>
          <w:fldChar w:fldCharType="begin"/>
        </w:r>
        <w:r w:rsidR="005E5EF1">
          <w:rPr>
            <w:noProof/>
            <w:webHidden/>
          </w:rPr>
          <w:instrText xml:space="preserve"> PAGEREF _Toc434399386 \h </w:instrText>
        </w:r>
        <w:r w:rsidR="005E5EF1">
          <w:rPr>
            <w:noProof/>
            <w:webHidden/>
          </w:rPr>
        </w:r>
        <w:r w:rsidR="005E5EF1">
          <w:rPr>
            <w:noProof/>
            <w:webHidden/>
          </w:rPr>
          <w:fldChar w:fldCharType="separate"/>
        </w:r>
        <w:r w:rsidR="00B345A2">
          <w:rPr>
            <w:noProof/>
            <w:webHidden/>
          </w:rPr>
          <w:t>9</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387" w:history="1">
        <w:r w:rsidR="005E5EF1" w:rsidRPr="00AE7108">
          <w:rPr>
            <w:rStyle w:val="Hipervnculo"/>
            <w:noProof/>
          </w:rPr>
          <w:t>III. Objetivo</w:t>
        </w:r>
        <w:r w:rsidR="005E5EF1">
          <w:rPr>
            <w:noProof/>
            <w:webHidden/>
          </w:rPr>
          <w:tab/>
        </w:r>
        <w:r w:rsidR="005E5EF1">
          <w:rPr>
            <w:noProof/>
            <w:webHidden/>
          </w:rPr>
          <w:fldChar w:fldCharType="begin"/>
        </w:r>
        <w:r w:rsidR="005E5EF1">
          <w:rPr>
            <w:noProof/>
            <w:webHidden/>
          </w:rPr>
          <w:instrText xml:space="preserve"> PAGEREF _Toc434399387 \h </w:instrText>
        </w:r>
        <w:r w:rsidR="005E5EF1">
          <w:rPr>
            <w:noProof/>
            <w:webHidden/>
          </w:rPr>
        </w:r>
        <w:r w:rsidR="005E5EF1">
          <w:rPr>
            <w:noProof/>
            <w:webHidden/>
          </w:rPr>
          <w:fldChar w:fldCharType="separate"/>
        </w:r>
        <w:r w:rsidR="00B345A2">
          <w:rPr>
            <w:noProof/>
            <w:webHidden/>
          </w:rPr>
          <w:t>10</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388" w:history="1">
        <w:r w:rsidR="005E5EF1" w:rsidRPr="00AE7108">
          <w:rPr>
            <w:rStyle w:val="Hipervnculo"/>
            <w:noProof/>
          </w:rPr>
          <w:t>IV. Alcance</w:t>
        </w:r>
        <w:r w:rsidR="005E5EF1">
          <w:rPr>
            <w:noProof/>
            <w:webHidden/>
          </w:rPr>
          <w:tab/>
        </w:r>
        <w:r w:rsidR="005E5EF1">
          <w:rPr>
            <w:noProof/>
            <w:webHidden/>
          </w:rPr>
          <w:fldChar w:fldCharType="begin"/>
        </w:r>
        <w:r w:rsidR="005E5EF1">
          <w:rPr>
            <w:noProof/>
            <w:webHidden/>
          </w:rPr>
          <w:instrText xml:space="preserve"> PAGEREF _Toc434399388 \h </w:instrText>
        </w:r>
        <w:r w:rsidR="005E5EF1">
          <w:rPr>
            <w:noProof/>
            <w:webHidden/>
          </w:rPr>
        </w:r>
        <w:r w:rsidR="005E5EF1">
          <w:rPr>
            <w:noProof/>
            <w:webHidden/>
          </w:rPr>
          <w:fldChar w:fldCharType="separate"/>
        </w:r>
        <w:r w:rsidR="00B345A2">
          <w:rPr>
            <w:noProof/>
            <w:webHidden/>
          </w:rPr>
          <w:t>11</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389" w:history="1">
        <w:r w:rsidR="005E5EF1" w:rsidRPr="00AE7108">
          <w:rPr>
            <w:rStyle w:val="Hipervnculo"/>
            <w:noProof/>
          </w:rPr>
          <w:t>V. Opinión</w:t>
        </w:r>
        <w:r w:rsidR="005E5EF1">
          <w:rPr>
            <w:noProof/>
            <w:webHidden/>
          </w:rPr>
          <w:tab/>
        </w:r>
        <w:r w:rsidR="005E5EF1">
          <w:rPr>
            <w:noProof/>
            <w:webHidden/>
          </w:rPr>
          <w:fldChar w:fldCharType="begin"/>
        </w:r>
        <w:r w:rsidR="005E5EF1">
          <w:rPr>
            <w:noProof/>
            <w:webHidden/>
          </w:rPr>
          <w:instrText xml:space="preserve"> PAGEREF _Toc434399389 \h </w:instrText>
        </w:r>
        <w:r w:rsidR="005E5EF1">
          <w:rPr>
            <w:noProof/>
            <w:webHidden/>
          </w:rPr>
        </w:r>
        <w:r w:rsidR="005E5EF1">
          <w:rPr>
            <w:noProof/>
            <w:webHidden/>
          </w:rPr>
          <w:fldChar w:fldCharType="separate"/>
        </w:r>
        <w:r w:rsidR="00B345A2">
          <w:rPr>
            <w:noProof/>
            <w:webHidden/>
          </w:rPr>
          <w:t>13</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0" w:history="1">
        <w:r w:rsidR="005E5EF1" w:rsidRPr="00AE7108">
          <w:rPr>
            <w:rStyle w:val="Hipervnculo"/>
            <w:noProof/>
          </w:rPr>
          <w:t>V.1. Opinión financiera sobre las Cuentas anuales 2014 de la Administración Foral y sus Organismos Autónomos</w:t>
        </w:r>
        <w:r w:rsidR="005E5EF1">
          <w:rPr>
            <w:noProof/>
            <w:webHidden/>
          </w:rPr>
          <w:tab/>
        </w:r>
        <w:r w:rsidR="005E5EF1">
          <w:rPr>
            <w:noProof/>
            <w:webHidden/>
          </w:rPr>
          <w:fldChar w:fldCharType="begin"/>
        </w:r>
        <w:r w:rsidR="005E5EF1">
          <w:rPr>
            <w:noProof/>
            <w:webHidden/>
          </w:rPr>
          <w:instrText xml:space="preserve"> PAGEREF _Toc434399390 \h </w:instrText>
        </w:r>
        <w:r w:rsidR="005E5EF1">
          <w:rPr>
            <w:noProof/>
            <w:webHidden/>
          </w:rPr>
        </w:r>
        <w:r w:rsidR="005E5EF1">
          <w:rPr>
            <w:noProof/>
            <w:webHidden/>
          </w:rPr>
          <w:fldChar w:fldCharType="separate"/>
        </w:r>
        <w:r w:rsidR="00B345A2">
          <w:rPr>
            <w:noProof/>
            <w:webHidden/>
          </w:rPr>
          <w:t>14</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1" w:history="1">
        <w:r w:rsidR="005E5EF1" w:rsidRPr="00AE7108">
          <w:rPr>
            <w:rStyle w:val="Hipervnculo"/>
            <w:noProof/>
          </w:rPr>
          <w:t>V.2. Opinión sobre cumplimiento de legalidad</w:t>
        </w:r>
        <w:r w:rsidR="005E5EF1">
          <w:rPr>
            <w:noProof/>
            <w:webHidden/>
          </w:rPr>
          <w:tab/>
        </w:r>
        <w:r w:rsidR="005E5EF1">
          <w:rPr>
            <w:noProof/>
            <w:webHidden/>
          </w:rPr>
          <w:fldChar w:fldCharType="begin"/>
        </w:r>
        <w:r w:rsidR="005E5EF1">
          <w:rPr>
            <w:noProof/>
            <w:webHidden/>
          </w:rPr>
          <w:instrText xml:space="preserve"> PAGEREF _Toc434399391 \h </w:instrText>
        </w:r>
        <w:r w:rsidR="005E5EF1">
          <w:rPr>
            <w:noProof/>
            <w:webHidden/>
          </w:rPr>
        </w:r>
        <w:r w:rsidR="005E5EF1">
          <w:rPr>
            <w:noProof/>
            <w:webHidden/>
          </w:rPr>
          <w:fldChar w:fldCharType="separate"/>
        </w:r>
        <w:r w:rsidR="00B345A2">
          <w:rPr>
            <w:noProof/>
            <w:webHidden/>
          </w:rPr>
          <w:t>14</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2" w:history="1">
        <w:r w:rsidR="005E5EF1" w:rsidRPr="00AE7108">
          <w:rPr>
            <w:rStyle w:val="Hipervnculo"/>
            <w:noProof/>
          </w:rPr>
          <w:t>V.3. Situación económico-financiera a 31 de diciembre de 2014</w:t>
        </w:r>
        <w:r w:rsidR="005E5EF1">
          <w:rPr>
            <w:noProof/>
            <w:webHidden/>
          </w:rPr>
          <w:tab/>
        </w:r>
        <w:r w:rsidR="005E5EF1">
          <w:rPr>
            <w:noProof/>
            <w:webHidden/>
          </w:rPr>
          <w:fldChar w:fldCharType="begin"/>
        </w:r>
        <w:r w:rsidR="005E5EF1">
          <w:rPr>
            <w:noProof/>
            <w:webHidden/>
          </w:rPr>
          <w:instrText xml:space="preserve"> PAGEREF _Toc434399392 \h </w:instrText>
        </w:r>
        <w:r w:rsidR="005E5EF1">
          <w:rPr>
            <w:noProof/>
            <w:webHidden/>
          </w:rPr>
        </w:r>
        <w:r w:rsidR="005E5EF1">
          <w:rPr>
            <w:noProof/>
            <w:webHidden/>
          </w:rPr>
          <w:fldChar w:fldCharType="separate"/>
        </w:r>
        <w:r w:rsidR="00B345A2">
          <w:rPr>
            <w:noProof/>
            <w:webHidden/>
          </w:rPr>
          <w:t>15</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3" w:history="1">
        <w:r w:rsidR="005E5EF1" w:rsidRPr="00AE7108">
          <w:rPr>
            <w:rStyle w:val="Hipervnculo"/>
            <w:noProof/>
          </w:rPr>
          <w:t>V.4. Estabilidad presupuestaria y sostenibilidad financiera</w:t>
        </w:r>
        <w:r w:rsidR="005E5EF1">
          <w:rPr>
            <w:noProof/>
            <w:webHidden/>
          </w:rPr>
          <w:tab/>
        </w:r>
        <w:r w:rsidR="005E5EF1">
          <w:rPr>
            <w:noProof/>
            <w:webHidden/>
          </w:rPr>
          <w:fldChar w:fldCharType="begin"/>
        </w:r>
        <w:r w:rsidR="005E5EF1">
          <w:rPr>
            <w:noProof/>
            <w:webHidden/>
          </w:rPr>
          <w:instrText xml:space="preserve"> PAGEREF _Toc434399393 \h </w:instrText>
        </w:r>
        <w:r w:rsidR="005E5EF1">
          <w:rPr>
            <w:noProof/>
            <w:webHidden/>
          </w:rPr>
        </w:r>
        <w:r w:rsidR="005E5EF1">
          <w:rPr>
            <w:noProof/>
            <w:webHidden/>
          </w:rPr>
          <w:fldChar w:fldCharType="separate"/>
        </w:r>
        <w:r w:rsidR="00B345A2">
          <w:rPr>
            <w:noProof/>
            <w:webHidden/>
          </w:rPr>
          <w:t>17</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4" w:history="1">
        <w:r w:rsidR="005E5EF1" w:rsidRPr="00AE7108">
          <w:rPr>
            <w:rStyle w:val="Hipervnculo"/>
            <w:noProof/>
          </w:rPr>
          <w:t>V.5. Seguimiento de recomendaciones</w:t>
        </w:r>
        <w:r w:rsidR="005E5EF1">
          <w:rPr>
            <w:noProof/>
            <w:webHidden/>
          </w:rPr>
          <w:tab/>
        </w:r>
        <w:r w:rsidR="005E5EF1">
          <w:rPr>
            <w:noProof/>
            <w:webHidden/>
          </w:rPr>
          <w:fldChar w:fldCharType="begin"/>
        </w:r>
        <w:r w:rsidR="005E5EF1">
          <w:rPr>
            <w:noProof/>
            <w:webHidden/>
          </w:rPr>
          <w:instrText xml:space="preserve"> PAGEREF _Toc434399394 \h </w:instrText>
        </w:r>
        <w:r w:rsidR="005E5EF1">
          <w:rPr>
            <w:noProof/>
            <w:webHidden/>
          </w:rPr>
        </w:r>
        <w:r w:rsidR="005E5EF1">
          <w:rPr>
            <w:noProof/>
            <w:webHidden/>
          </w:rPr>
          <w:fldChar w:fldCharType="separate"/>
        </w:r>
        <w:r w:rsidR="00B345A2">
          <w:rPr>
            <w:noProof/>
            <w:webHidden/>
          </w:rPr>
          <w:t>19</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395" w:history="1">
        <w:r w:rsidR="005E5EF1" w:rsidRPr="00AE7108">
          <w:rPr>
            <w:rStyle w:val="Hipervnculo"/>
            <w:noProof/>
          </w:rPr>
          <w:t>VI. Resumen de las cuentas de la Administración de la Comunidad Foral y sus organismos autónomos 2014</w:t>
        </w:r>
        <w:r w:rsidR="005E5EF1">
          <w:rPr>
            <w:noProof/>
            <w:webHidden/>
          </w:rPr>
          <w:tab/>
        </w:r>
        <w:r w:rsidR="005E5EF1">
          <w:rPr>
            <w:noProof/>
            <w:webHidden/>
          </w:rPr>
          <w:fldChar w:fldCharType="begin"/>
        </w:r>
        <w:r w:rsidR="005E5EF1">
          <w:rPr>
            <w:noProof/>
            <w:webHidden/>
          </w:rPr>
          <w:instrText xml:space="preserve"> PAGEREF _Toc434399395 \h </w:instrText>
        </w:r>
        <w:r w:rsidR="005E5EF1">
          <w:rPr>
            <w:noProof/>
            <w:webHidden/>
          </w:rPr>
        </w:r>
        <w:r w:rsidR="005E5EF1">
          <w:rPr>
            <w:noProof/>
            <w:webHidden/>
          </w:rPr>
          <w:fldChar w:fldCharType="separate"/>
        </w:r>
        <w:r w:rsidR="00B345A2">
          <w:rPr>
            <w:noProof/>
            <w:webHidden/>
          </w:rPr>
          <w:t>21</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6" w:history="1">
        <w:r w:rsidR="005E5EF1" w:rsidRPr="00AE7108">
          <w:rPr>
            <w:rStyle w:val="Hipervnculo"/>
            <w:noProof/>
          </w:rPr>
          <w:t>VI.1. Liquidación del presupuesto de 2014</w:t>
        </w:r>
        <w:r w:rsidR="005E5EF1">
          <w:rPr>
            <w:noProof/>
            <w:webHidden/>
          </w:rPr>
          <w:tab/>
        </w:r>
        <w:r w:rsidR="005E5EF1">
          <w:rPr>
            <w:noProof/>
            <w:webHidden/>
          </w:rPr>
          <w:fldChar w:fldCharType="begin"/>
        </w:r>
        <w:r w:rsidR="005E5EF1">
          <w:rPr>
            <w:noProof/>
            <w:webHidden/>
          </w:rPr>
          <w:instrText xml:space="preserve"> PAGEREF _Toc434399396 \h </w:instrText>
        </w:r>
        <w:r w:rsidR="005E5EF1">
          <w:rPr>
            <w:noProof/>
            <w:webHidden/>
          </w:rPr>
        </w:r>
        <w:r w:rsidR="005E5EF1">
          <w:rPr>
            <w:noProof/>
            <w:webHidden/>
          </w:rPr>
          <w:fldChar w:fldCharType="separate"/>
        </w:r>
        <w:r w:rsidR="00B345A2">
          <w:rPr>
            <w:noProof/>
            <w:webHidden/>
          </w:rPr>
          <w:t>21</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7" w:history="1">
        <w:r w:rsidR="005E5EF1" w:rsidRPr="00AE7108">
          <w:rPr>
            <w:rStyle w:val="Hipervnculo"/>
            <w:noProof/>
          </w:rPr>
          <w:t>VI.2. Resultado presupuestario ejercicio 2014</w:t>
        </w:r>
        <w:r w:rsidR="005E5EF1">
          <w:rPr>
            <w:noProof/>
            <w:webHidden/>
          </w:rPr>
          <w:tab/>
        </w:r>
        <w:r w:rsidR="005E5EF1">
          <w:rPr>
            <w:noProof/>
            <w:webHidden/>
          </w:rPr>
          <w:fldChar w:fldCharType="begin"/>
        </w:r>
        <w:r w:rsidR="005E5EF1">
          <w:rPr>
            <w:noProof/>
            <w:webHidden/>
          </w:rPr>
          <w:instrText xml:space="preserve"> PAGEREF _Toc434399397 \h </w:instrText>
        </w:r>
        <w:r w:rsidR="005E5EF1">
          <w:rPr>
            <w:noProof/>
            <w:webHidden/>
          </w:rPr>
        </w:r>
        <w:r w:rsidR="005E5EF1">
          <w:rPr>
            <w:noProof/>
            <w:webHidden/>
          </w:rPr>
          <w:fldChar w:fldCharType="separate"/>
        </w:r>
        <w:r w:rsidR="00B345A2">
          <w:rPr>
            <w:noProof/>
            <w:webHidden/>
          </w:rPr>
          <w:t>22</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8" w:history="1">
        <w:r w:rsidR="005E5EF1" w:rsidRPr="00AE7108">
          <w:rPr>
            <w:rStyle w:val="Hipervnculo"/>
            <w:noProof/>
          </w:rPr>
          <w:t>VI.3. Remanente de Tesorería a 31 de diciembre de 2014</w:t>
        </w:r>
        <w:r w:rsidR="005E5EF1">
          <w:rPr>
            <w:noProof/>
            <w:webHidden/>
          </w:rPr>
          <w:tab/>
        </w:r>
        <w:r w:rsidR="005E5EF1">
          <w:rPr>
            <w:noProof/>
            <w:webHidden/>
          </w:rPr>
          <w:fldChar w:fldCharType="begin"/>
        </w:r>
        <w:r w:rsidR="005E5EF1">
          <w:rPr>
            <w:noProof/>
            <w:webHidden/>
          </w:rPr>
          <w:instrText xml:space="preserve"> PAGEREF _Toc434399398 \h </w:instrText>
        </w:r>
        <w:r w:rsidR="005E5EF1">
          <w:rPr>
            <w:noProof/>
            <w:webHidden/>
          </w:rPr>
        </w:r>
        <w:r w:rsidR="005E5EF1">
          <w:rPr>
            <w:noProof/>
            <w:webHidden/>
          </w:rPr>
          <w:fldChar w:fldCharType="separate"/>
        </w:r>
        <w:r w:rsidR="00B345A2">
          <w:rPr>
            <w:noProof/>
            <w:webHidden/>
          </w:rPr>
          <w:t>22</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399" w:history="1">
        <w:r w:rsidR="005E5EF1" w:rsidRPr="00AE7108">
          <w:rPr>
            <w:rStyle w:val="Hipervnculo"/>
            <w:noProof/>
          </w:rPr>
          <w:t>VI.4. Balance de situación a 31 de diciembre de 2014</w:t>
        </w:r>
        <w:r w:rsidR="005E5EF1">
          <w:rPr>
            <w:noProof/>
            <w:webHidden/>
          </w:rPr>
          <w:tab/>
        </w:r>
        <w:r w:rsidR="005E5EF1">
          <w:rPr>
            <w:noProof/>
            <w:webHidden/>
          </w:rPr>
          <w:fldChar w:fldCharType="begin"/>
        </w:r>
        <w:r w:rsidR="005E5EF1">
          <w:rPr>
            <w:noProof/>
            <w:webHidden/>
          </w:rPr>
          <w:instrText xml:space="preserve"> PAGEREF _Toc434399399 \h </w:instrText>
        </w:r>
        <w:r w:rsidR="005E5EF1">
          <w:rPr>
            <w:noProof/>
            <w:webHidden/>
          </w:rPr>
        </w:r>
        <w:r w:rsidR="005E5EF1">
          <w:rPr>
            <w:noProof/>
            <w:webHidden/>
          </w:rPr>
          <w:fldChar w:fldCharType="separate"/>
        </w:r>
        <w:r w:rsidR="00B345A2">
          <w:rPr>
            <w:noProof/>
            <w:webHidden/>
          </w:rPr>
          <w:t>23</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0" w:history="1">
        <w:r w:rsidR="005E5EF1" w:rsidRPr="00AE7108">
          <w:rPr>
            <w:rStyle w:val="Hipervnculo"/>
            <w:noProof/>
          </w:rPr>
          <w:t>VI.5. Cuenta de Resultados 2014</w:t>
        </w:r>
        <w:r w:rsidR="005E5EF1">
          <w:rPr>
            <w:noProof/>
            <w:webHidden/>
          </w:rPr>
          <w:tab/>
        </w:r>
        <w:r w:rsidR="005E5EF1">
          <w:rPr>
            <w:noProof/>
            <w:webHidden/>
          </w:rPr>
          <w:fldChar w:fldCharType="begin"/>
        </w:r>
        <w:r w:rsidR="005E5EF1">
          <w:rPr>
            <w:noProof/>
            <w:webHidden/>
          </w:rPr>
          <w:instrText xml:space="preserve"> PAGEREF _Toc434399400 \h </w:instrText>
        </w:r>
        <w:r w:rsidR="005E5EF1">
          <w:rPr>
            <w:noProof/>
            <w:webHidden/>
          </w:rPr>
        </w:r>
        <w:r w:rsidR="005E5EF1">
          <w:rPr>
            <w:noProof/>
            <w:webHidden/>
          </w:rPr>
          <w:fldChar w:fldCharType="separate"/>
        </w:r>
        <w:r w:rsidR="00B345A2">
          <w:rPr>
            <w:noProof/>
            <w:webHidden/>
          </w:rPr>
          <w:t>25</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401" w:history="1">
        <w:r w:rsidR="005E5EF1" w:rsidRPr="00AE7108">
          <w:rPr>
            <w:rStyle w:val="Hipervnculo"/>
            <w:noProof/>
          </w:rPr>
          <w:t>VII. Análisis del trabajo realizado</w:t>
        </w:r>
        <w:r w:rsidR="005E5EF1">
          <w:rPr>
            <w:noProof/>
            <w:webHidden/>
          </w:rPr>
          <w:tab/>
        </w:r>
        <w:r w:rsidR="005E5EF1">
          <w:rPr>
            <w:noProof/>
            <w:webHidden/>
          </w:rPr>
          <w:fldChar w:fldCharType="begin"/>
        </w:r>
        <w:r w:rsidR="005E5EF1">
          <w:rPr>
            <w:noProof/>
            <w:webHidden/>
          </w:rPr>
          <w:instrText xml:space="preserve"> PAGEREF _Toc434399401 \h </w:instrText>
        </w:r>
        <w:r w:rsidR="005E5EF1">
          <w:rPr>
            <w:noProof/>
            <w:webHidden/>
          </w:rPr>
        </w:r>
        <w:r w:rsidR="005E5EF1">
          <w:rPr>
            <w:noProof/>
            <w:webHidden/>
          </w:rPr>
          <w:fldChar w:fldCharType="separate"/>
        </w:r>
        <w:r w:rsidR="00B345A2">
          <w:rPr>
            <w:noProof/>
            <w:webHidden/>
          </w:rPr>
          <w:t>27</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2" w:history="1">
        <w:r w:rsidR="005E5EF1" w:rsidRPr="00AE7108">
          <w:rPr>
            <w:rStyle w:val="Hipervnculo"/>
            <w:noProof/>
          </w:rPr>
          <w:t>VII.1. Presupuestos Generales de Navarra ejercicio 2014</w:t>
        </w:r>
        <w:r w:rsidR="005E5EF1">
          <w:rPr>
            <w:noProof/>
            <w:webHidden/>
          </w:rPr>
          <w:tab/>
        </w:r>
        <w:r w:rsidR="005E5EF1">
          <w:rPr>
            <w:noProof/>
            <w:webHidden/>
          </w:rPr>
          <w:fldChar w:fldCharType="begin"/>
        </w:r>
        <w:r w:rsidR="005E5EF1">
          <w:rPr>
            <w:noProof/>
            <w:webHidden/>
          </w:rPr>
          <w:instrText xml:space="preserve"> PAGEREF _Toc434399402 \h </w:instrText>
        </w:r>
        <w:r w:rsidR="005E5EF1">
          <w:rPr>
            <w:noProof/>
            <w:webHidden/>
          </w:rPr>
        </w:r>
        <w:r w:rsidR="005E5EF1">
          <w:rPr>
            <w:noProof/>
            <w:webHidden/>
          </w:rPr>
          <w:fldChar w:fldCharType="separate"/>
        </w:r>
        <w:r w:rsidR="00B345A2">
          <w:rPr>
            <w:noProof/>
            <w:webHidden/>
          </w:rPr>
          <w:t>27</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3" w:history="1">
        <w:r w:rsidR="005E5EF1" w:rsidRPr="00AE7108">
          <w:rPr>
            <w:rStyle w:val="Hipervnculo"/>
            <w:noProof/>
          </w:rPr>
          <w:t>VII.2. Liquidación del presupuesto del ejercicio 2014</w:t>
        </w:r>
        <w:r w:rsidR="005E5EF1">
          <w:rPr>
            <w:noProof/>
            <w:webHidden/>
          </w:rPr>
          <w:tab/>
        </w:r>
        <w:r w:rsidR="005E5EF1">
          <w:rPr>
            <w:noProof/>
            <w:webHidden/>
          </w:rPr>
          <w:fldChar w:fldCharType="begin"/>
        </w:r>
        <w:r w:rsidR="005E5EF1">
          <w:rPr>
            <w:noProof/>
            <w:webHidden/>
          </w:rPr>
          <w:instrText xml:space="preserve"> PAGEREF _Toc434399403 \h </w:instrText>
        </w:r>
        <w:r w:rsidR="005E5EF1">
          <w:rPr>
            <w:noProof/>
            <w:webHidden/>
          </w:rPr>
        </w:r>
        <w:r w:rsidR="005E5EF1">
          <w:rPr>
            <w:noProof/>
            <w:webHidden/>
          </w:rPr>
          <w:fldChar w:fldCharType="separate"/>
        </w:r>
        <w:r w:rsidR="00B345A2">
          <w:rPr>
            <w:noProof/>
            <w:webHidden/>
          </w:rPr>
          <w:t>28</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4" w:history="1">
        <w:r w:rsidR="005E5EF1" w:rsidRPr="00AE7108">
          <w:rPr>
            <w:rStyle w:val="Hipervnculo"/>
            <w:noProof/>
          </w:rPr>
          <w:t>VII.3. Gastos de personal</w:t>
        </w:r>
        <w:r w:rsidR="005E5EF1">
          <w:rPr>
            <w:noProof/>
            <w:webHidden/>
          </w:rPr>
          <w:tab/>
        </w:r>
        <w:r w:rsidR="005E5EF1">
          <w:rPr>
            <w:noProof/>
            <w:webHidden/>
          </w:rPr>
          <w:fldChar w:fldCharType="begin"/>
        </w:r>
        <w:r w:rsidR="005E5EF1">
          <w:rPr>
            <w:noProof/>
            <w:webHidden/>
          </w:rPr>
          <w:instrText xml:space="preserve"> PAGEREF _Toc434399404 \h </w:instrText>
        </w:r>
        <w:r w:rsidR="005E5EF1">
          <w:rPr>
            <w:noProof/>
            <w:webHidden/>
          </w:rPr>
        </w:r>
        <w:r w:rsidR="005E5EF1">
          <w:rPr>
            <w:noProof/>
            <w:webHidden/>
          </w:rPr>
          <w:fldChar w:fldCharType="separate"/>
        </w:r>
        <w:r w:rsidR="00B345A2">
          <w:rPr>
            <w:noProof/>
            <w:webHidden/>
          </w:rPr>
          <w:t>30</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5" w:history="1">
        <w:r w:rsidR="005E5EF1" w:rsidRPr="00AE7108">
          <w:rPr>
            <w:rStyle w:val="Hipervnculo"/>
            <w:noProof/>
          </w:rPr>
          <w:t>VII.4. Gastos corrientes en bienes y servicios</w:t>
        </w:r>
        <w:r w:rsidR="005E5EF1">
          <w:rPr>
            <w:noProof/>
            <w:webHidden/>
          </w:rPr>
          <w:tab/>
        </w:r>
        <w:r w:rsidR="005E5EF1">
          <w:rPr>
            <w:noProof/>
            <w:webHidden/>
          </w:rPr>
          <w:fldChar w:fldCharType="begin"/>
        </w:r>
        <w:r w:rsidR="005E5EF1">
          <w:rPr>
            <w:noProof/>
            <w:webHidden/>
          </w:rPr>
          <w:instrText xml:space="preserve"> PAGEREF _Toc434399405 \h </w:instrText>
        </w:r>
        <w:r w:rsidR="005E5EF1">
          <w:rPr>
            <w:noProof/>
            <w:webHidden/>
          </w:rPr>
        </w:r>
        <w:r w:rsidR="005E5EF1">
          <w:rPr>
            <w:noProof/>
            <w:webHidden/>
          </w:rPr>
          <w:fldChar w:fldCharType="separate"/>
        </w:r>
        <w:r w:rsidR="00B345A2">
          <w:rPr>
            <w:noProof/>
            <w:webHidden/>
          </w:rPr>
          <w:t>35</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6" w:history="1">
        <w:r w:rsidR="005E5EF1" w:rsidRPr="00AE7108">
          <w:rPr>
            <w:rStyle w:val="Hipervnculo"/>
            <w:noProof/>
          </w:rPr>
          <w:t>VII.5. Gastos de transferencias corrientes y de capital</w:t>
        </w:r>
        <w:r w:rsidR="005E5EF1">
          <w:rPr>
            <w:noProof/>
            <w:webHidden/>
          </w:rPr>
          <w:tab/>
        </w:r>
        <w:r w:rsidR="005E5EF1">
          <w:rPr>
            <w:noProof/>
            <w:webHidden/>
          </w:rPr>
          <w:fldChar w:fldCharType="begin"/>
        </w:r>
        <w:r w:rsidR="005E5EF1">
          <w:rPr>
            <w:noProof/>
            <w:webHidden/>
          </w:rPr>
          <w:instrText xml:space="preserve"> PAGEREF _Toc434399406 \h </w:instrText>
        </w:r>
        <w:r w:rsidR="005E5EF1">
          <w:rPr>
            <w:noProof/>
            <w:webHidden/>
          </w:rPr>
        </w:r>
        <w:r w:rsidR="005E5EF1">
          <w:rPr>
            <w:noProof/>
            <w:webHidden/>
          </w:rPr>
          <w:fldChar w:fldCharType="separate"/>
        </w:r>
        <w:r w:rsidR="00B345A2">
          <w:rPr>
            <w:noProof/>
            <w:webHidden/>
          </w:rPr>
          <w:t>40</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7" w:history="1">
        <w:r w:rsidR="005E5EF1" w:rsidRPr="00AE7108">
          <w:rPr>
            <w:rStyle w:val="Hipervnculo"/>
            <w:noProof/>
          </w:rPr>
          <w:t>VII.6. Inversiones e inmovilizado no financiero</w:t>
        </w:r>
        <w:r w:rsidR="005E5EF1">
          <w:rPr>
            <w:noProof/>
            <w:webHidden/>
          </w:rPr>
          <w:tab/>
        </w:r>
        <w:r w:rsidR="005E5EF1">
          <w:rPr>
            <w:noProof/>
            <w:webHidden/>
          </w:rPr>
          <w:fldChar w:fldCharType="begin"/>
        </w:r>
        <w:r w:rsidR="005E5EF1">
          <w:rPr>
            <w:noProof/>
            <w:webHidden/>
          </w:rPr>
          <w:instrText xml:space="preserve"> PAGEREF _Toc434399407 \h </w:instrText>
        </w:r>
        <w:r w:rsidR="005E5EF1">
          <w:rPr>
            <w:noProof/>
            <w:webHidden/>
          </w:rPr>
        </w:r>
        <w:r w:rsidR="005E5EF1">
          <w:rPr>
            <w:noProof/>
            <w:webHidden/>
          </w:rPr>
          <w:fldChar w:fldCharType="separate"/>
        </w:r>
        <w:r w:rsidR="00B345A2">
          <w:rPr>
            <w:noProof/>
            <w:webHidden/>
          </w:rPr>
          <w:t>49</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8" w:history="1">
        <w:r w:rsidR="005E5EF1" w:rsidRPr="00AE7108">
          <w:rPr>
            <w:rStyle w:val="Hipervnculo"/>
            <w:noProof/>
          </w:rPr>
          <w:t>VII.7. Impuestos, tasas, precios públicos y otros ingresos</w:t>
        </w:r>
        <w:r w:rsidR="005E5EF1">
          <w:rPr>
            <w:noProof/>
            <w:webHidden/>
          </w:rPr>
          <w:tab/>
        </w:r>
        <w:r w:rsidR="005E5EF1">
          <w:rPr>
            <w:noProof/>
            <w:webHidden/>
          </w:rPr>
          <w:fldChar w:fldCharType="begin"/>
        </w:r>
        <w:r w:rsidR="005E5EF1">
          <w:rPr>
            <w:noProof/>
            <w:webHidden/>
          </w:rPr>
          <w:instrText xml:space="preserve"> PAGEREF _Toc434399408 \h </w:instrText>
        </w:r>
        <w:r w:rsidR="005E5EF1">
          <w:rPr>
            <w:noProof/>
            <w:webHidden/>
          </w:rPr>
        </w:r>
        <w:r w:rsidR="005E5EF1">
          <w:rPr>
            <w:noProof/>
            <w:webHidden/>
          </w:rPr>
          <w:fldChar w:fldCharType="separate"/>
        </w:r>
        <w:r w:rsidR="00B345A2">
          <w:rPr>
            <w:noProof/>
            <w:webHidden/>
          </w:rPr>
          <w:t>55</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09" w:history="1">
        <w:r w:rsidR="005E5EF1" w:rsidRPr="00AE7108">
          <w:rPr>
            <w:rStyle w:val="Hipervnculo"/>
            <w:noProof/>
          </w:rPr>
          <w:t>VII.8. Enajenación de inversiones reales</w:t>
        </w:r>
        <w:r w:rsidR="005E5EF1">
          <w:rPr>
            <w:noProof/>
            <w:webHidden/>
          </w:rPr>
          <w:tab/>
        </w:r>
        <w:r w:rsidR="005E5EF1">
          <w:rPr>
            <w:noProof/>
            <w:webHidden/>
          </w:rPr>
          <w:fldChar w:fldCharType="begin"/>
        </w:r>
        <w:r w:rsidR="005E5EF1">
          <w:rPr>
            <w:noProof/>
            <w:webHidden/>
          </w:rPr>
          <w:instrText xml:space="preserve"> PAGEREF _Toc434399409 \h </w:instrText>
        </w:r>
        <w:r w:rsidR="005E5EF1">
          <w:rPr>
            <w:noProof/>
            <w:webHidden/>
          </w:rPr>
        </w:r>
        <w:r w:rsidR="005E5EF1">
          <w:rPr>
            <w:noProof/>
            <w:webHidden/>
          </w:rPr>
          <w:fldChar w:fldCharType="separate"/>
        </w:r>
        <w:r w:rsidR="00B345A2">
          <w:rPr>
            <w:noProof/>
            <w:webHidden/>
          </w:rPr>
          <w:t>60</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10" w:history="1">
        <w:r w:rsidR="005E5EF1" w:rsidRPr="00AE7108">
          <w:rPr>
            <w:rStyle w:val="Hipervnculo"/>
            <w:noProof/>
          </w:rPr>
          <w:t>VII.9. Deudores</w:t>
        </w:r>
        <w:r w:rsidR="005E5EF1">
          <w:rPr>
            <w:noProof/>
            <w:webHidden/>
          </w:rPr>
          <w:tab/>
        </w:r>
        <w:r w:rsidR="005E5EF1">
          <w:rPr>
            <w:noProof/>
            <w:webHidden/>
          </w:rPr>
          <w:fldChar w:fldCharType="begin"/>
        </w:r>
        <w:r w:rsidR="005E5EF1">
          <w:rPr>
            <w:noProof/>
            <w:webHidden/>
          </w:rPr>
          <w:instrText xml:space="preserve"> PAGEREF _Toc434399410 \h </w:instrText>
        </w:r>
        <w:r w:rsidR="005E5EF1">
          <w:rPr>
            <w:noProof/>
            <w:webHidden/>
          </w:rPr>
        </w:r>
        <w:r w:rsidR="005E5EF1">
          <w:rPr>
            <w:noProof/>
            <w:webHidden/>
          </w:rPr>
          <w:fldChar w:fldCharType="separate"/>
        </w:r>
        <w:r w:rsidR="00B345A2">
          <w:rPr>
            <w:noProof/>
            <w:webHidden/>
          </w:rPr>
          <w:t>61</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11" w:history="1">
        <w:r w:rsidR="005E5EF1" w:rsidRPr="00AE7108">
          <w:rPr>
            <w:rStyle w:val="Hipervnculo"/>
            <w:noProof/>
          </w:rPr>
          <w:t>VII.10. Tesorería</w:t>
        </w:r>
        <w:r w:rsidR="005E5EF1">
          <w:rPr>
            <w:noProof/>
            <w:webHidden/>
          </w:rPr>
          <w:tab/>
        </w:r>
        <w:r w:rsidR="005E5EF1">
          <w:rPr>
            <w:noProof/>
            <w:webHidden/>
          </w:rPr>
          <w:fldChar w:fldCharType="begin"/>
        </w:r>
        <w:r w:rsidR="005E5EF1">
          <w:rPr>
            <w:noProof/>
            <w:webHidden/>
          </w:rPr>
          <w:instrText xml:space="preserve"> PAGEREF _Toc434399411 \h </w:instrText>
        </w:r>
        <w:r w:rsidR="005E5EF1">
          <w:rPr>
            <w:noProof/>
            <w:webHidden/>
          </w:rPr>
        </w:r>
        <w:r w:rsidR="005E5EF1">
          <w:rPr>
            <w:noProof/>
            <w:webHidden/>
          </w:rPr>
          <w:fldChar w:fldCharType="separate"/>
        </w:r>
        <w:r w:rsidR="00B345A2">
          <w:rPr>
            <w:noProof/>
            <w:webHidden/>
          </w:rPr>
          <w:t>62</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12" w:history="1">
        <w:r w:rsidR="005E5EF1" w:rsidRPr="00AE7108">
          <w:rPr>
            <w:rStyle w:val="Hipervnculo"/>
            <w:noProof/>
          </w:rPr>
          <w:t>VII.11. Operaciones financieras</w:t>
        </w:r>
        <w:r w:rsidR="005E5EF1">
          <w:rPr>
            <w:noProof/>
            <w:webHidden/>
          </w:rPr>
          <w:tab/>
        </w:r>
        <w:r w:rsidR="005E5EF1">
          <w:rPr>
            <w:noProof/>
            <w:webHidden/>
          </w:rPr>
          <w:fldChar w:fldCharType="begin"/>
        </w:r>
        <w:r w:rsidR="005E5EF1">
          <w:rPr>
            <w:noProof/>
            <w:webHidden/>
          </w:rPr>
          <w:instrText xml:space="preserve"> PAGEREF _Toc434399412 \h </w:instrText>
        </w:r>
        <w:r w:rsidR="005E5EF1">
          <w:rPr>
            <w:noProof/>
            <w:webHidden/>
          </w:rPr>
        </w:r>
        <w:r w:rsidR="005E5EF1">
          <w:rPr>
            <w:noProof/>
            <w:webHidden/>
          </w:rPr>
          <w:fldChar w:fldCharType="separate"/>
        </w:r>
        <w:r w:rsidR="00B345A2">
          <w:rPr>
            <w:noProof/>
            <w:webHidden/>
          </w:rPr>
          <w:t>64</w:t>
        </w:r>
        <w:r w:rsidR="005E5EF1">
          <w:rPr>
            <w:noProof/>
            <w:webHidden/>
          </w:rPr>
          <w:fldChar w:fldCharType="end"/>
        </w:r>
      </w:hyperlink>
    </w:p>
    <w:p w:rsidR="005E5EF1" w:rsidRDefault="00367FF8">
      <w:pPr>
        <w:pStyle w:val="TDC2"/>
        <w:rPr>
          <w:rFonts w:asciiTheme="minorHAnsi" w:eastAsiaTheme="minorEastAsia" w:hAnsiTheme="minorHAnsi" w:cstheme="minorBidi"/>
          <w:noProof/>
          <w:szCs w:val="22"/>
          <w:lang w:val="es-ES" w:eastAsia="es-ES"/>
        </w:rPr>
      </w:pPr>
      <w:hyperlink w:anchor="_Toc434399413" w:history="1">
        <w:r w:rsidR="005E5EF1" w:rsidRPr="00AE7108">
          <w:rPr>
            <w:rStyle w:val="Hipervnculo"/>
            <w:noProof/>
          </w:rPr>
          <w:t>VII.12. Sociedades Públicas y Fundaciones Públicas</w:t>
        </w:r>
        <w:r w:rsidR="005E5EF1">
          <w:rPr>
            <w:noProof/>
            <w:webHidden/>
          </w:rPr>
          <w:tab/>
        </w:r>
        <w:r w:rsidR="005E5EF1">
          <w:rPr>
            <w:noProof/>
            <w:webHidden/>
          </w:rPr>
          <w:fldChar w:fldCharType="begin"/>
        </w:r>
        <w:r w:rsidR="005E5EF1">
          <w:rPr>
            <w:noProof/>
            <w:webHidden/>
          </w:rPr>
          <w:instrText xml:space="preserve"> PAGEREF _Toc434399413 \h </w:instrText>
        </w:r>
        <w:r w:rsidR="005E5EF1">
          <w:rPr>
            <w:noProof/>
            <w:webHidden/>
          </w:rPr>
        </w:r>
        <w:r w:rsidR="005E5EF1">
          <w:rPr>
            <w:noProof/>
            <w:webHidden/>
          </w:rPr>
          <w:fldChar w:fldCharType="separate"/>
        </w:r>
        <w:r w:rsidR="00B345A2">
          <w:rPr>
            <w:noProof/>
            <w:webHidden/>
          </w:rPr>
          <w:t>68</w:t>
        </w:r>
        <w:r w:rsidR="005E5EF1">
          <w:rPr>
            <w:noProof/>
            <w:webHidden/>
          </w:rPr>
          <w:fldChar w:fldCharType="end"/>
        </w:r>
      </w:hyperlink>
    </w:p>
    <w:p w:rsidR="005E5EF1" w:rsidRDefault="005E5EF1">
      <w:pPr>
        <w:pStyle w:val="TDC1"/>
        <w:rPr>
          <w:rStyle w:val="Hipervnculo"/>
          <w:noProof/>
        </w:rPr>
      </w:pPr>
    </w:p>
    <w:p w:rsidR="005E5EF1" w:rsidRDefault="00367FF8">
      <w:pPr>
        <w:pStyle w:val="TDC1"/>
        <w:rPr>
          <w:rFonts w:asciiTheme="minorHAnsi" w:eastAsiaTheme="minorEastAsia" w:hAnsiTheme="minorHAnsi" w:cstheme="minorBidi"/>
          <w:smallCaps w:val="0"/>
          <w:noProof/>
          <w:szCs w:val="22"/>
          <w:lang w:val="es-ES" w:eastAsia="es-ES"/>
        </w:rPr>
      </w:pPr>
      <w:hyperlink w:anchor="_Toc434399414" w:history="1">
        <w:r w:rsidR="005E5EF1" w:rsidRPr="00AE7108">
          <w:rPr>
            <w:rStyle w:val="Hipervnculo"/>
            <w:noProof/>
          </w:rPr>
          <w:t>Apéndice informativo</w:t>
        </w:r>
        <w:r w:rsidR="005E5EF1">
          <w:rPr>
            <w:noProof/>
            <w:webHidden/>
          </w:rPr>
          <w:tab/>
        </w:r>
        <w:r w:rsidR="005E5EF1">
          <w:rPr>
            <w:noProof/>
            <w:webHidden/>
          </w:rPr>
          <w:fldChar w:fldCharType="begin"/>
        </w:r>
        <w:r w:rsidR="005E5EF1">
          <w:rPr>
            <w:noProof/>
            <w:webHidden/>
          </w:rPr>
          <w:instrText xml:space="preserve"> PAGEREF _Toc434399414 \h </w:instrText>
        </w:r>
        <w:r w:rsidR="005E5EF1">
          <w:rPr>
            <w:noProof/>
            <w:webHidden/>
          </w:rPr>
        </w:r>
        <w:r w:rsidR="005E5EF1">
          <w:rPr>
            <w:noProof/>
            <w:webHidden/>
          </w:rPr>
          <w:fldChar w:fldCharType="separate"/>
        </w:r>
        <w:r w:rsidR="00B345A2">
          <w:rPr>
            <w:noProof/>
            <w:webHidden/>
          </w:rPr>
          <w:t>72</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415" w:history="1">
        <w:r w:rsidR="005E5EF1" w:rsidRPr="00AE7108">
          <w:rPr>
            <w:rStyle w:val="Hipervnculo"/>
            <w:noProof/>
          </w:rPr>
          <w:t>Estado provisional de la situación de las finanzas de la Administración de la Comunidad Foral a 31 de julio de 2015</w:t>
        </w:r>
        <w:r w:rsidR="005E5EF1">
          <w:rPr>
            <w:noProof/>
            <w:webHidden/>
          </w:rPr>
          <w:tab/>
        </w:r>
        <w:r w:rsidR="005E5EF1">
          <w:rPr>
            <w:noProof/>
            <w:webHidden/>
          </w:rPr>
          <w:fldChar w:fldCharType="begin"/>
        </w:r>
        <w:r w:rsidR="005E5EF1">
          <w:rPr>
            <w:noProof/>
            <w:webHidden/>
          </w:rPr>
          <w:instrText xml:space="preserve"> PAGEREF _Toc434399415 \h </w:instrText>
        </w:r>
        <w:r w:rsidR="005E5EF1">
          <w:rPr>
            <w:noProof/>
            <w:webHidden/>
          </w:rPr>
        </w:r>
        <w:r w:rsidR="005E5EF1">
          <w:rPr>
            <w:noProof/>
            <w:webHidden/>
          </w:rPr>
          <w:fldChar w:fldCharType="separate"/>
        </w:r>
        <w:r w:rsidR="00B345A2">
          <w:rPr>
            <w:noProof/>
            <w:webHidden/>
          </w:rPr>
          <w:t>72</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416" w:history="1">
        <w:r w:rsidR="005E5EF1" w:rsidRPr="00AE7108">
          <w:rPr>
            <w:rStyle w:val="Hipervnculo"/>
            <w:noProof/>
          </w:rPr>
          <w:t>Introducción</w:t>
        </w:r>
        <w:r w:rsidR="005E5EF1">
          <w:rPr>
            <w:noProof/>
            <w:webHidden/>
          </w:rPr>
          <w:tab/>
        </w:r>
        <w:r w:rsidR="005E5EF1">
          <w:rPr>
            <w:noProof/>
            <w:webHidden/>
          </w:rPr>
          <w:fldChar w:fldCharType="begin"/>
        </w:r>
        <w:r w:rsidR="005E5EF1">
          <w:rPr>
            <w:noProof/>
            <w:webHidden/>
          </w:rPr>
          <w:instrText xml:space="preserve"> PAGEREF _Toc434399416 \h </w:instrText>
        </w:r>
        <w:r w:rsidR="005E5EF1">
          <w:rPr>
            <w:noProof/>
            <w:webHidden/>
          </w:rPr>
        </w:r>
        <w:r w:rsidR="005E5EF1">
          <w:rPr>
            <w:noProof/>
            <w:webHidden/>
          </w:rPr>
          <w:fldChar w:fldCharType="separate"/>
        </w:r>
        <w:r w:rsidR="00B345A2">
          <w:rPr>
            <w:noProof/>
            <w:webHidden/>
          </w:rPr>
          <w:t>73</w:t>
        </w:r>
        <w:r w:rsidR="005E5EF1">
          <w:rPr>
            <w:noProof/>
            <w:webHidden/>
          </w:rPr>
          <w:fldChar w:fldCharType="end"/>
        </w:r>
      </w:hyperlink>
    </w:p>
    <w:p w:rsidR="005E5EF1" w:rsidRDefault="00367FF8">
      <w:pPr>
        <w:pStyle w:val="TDC1"/>
        <w:rPr>
          <w:rFonts w:asciiTheme="minorHAnsi" w:eastAsiaTheme="minorEastAsia" w:hAnsiTheme="minorHAnsi" w:cstheme="minorBidi"/>
          <w:smallCaps w:val="0"/>
          <w:noProof/>
          <w:szCs w:val="22"/>
          <w:lang w:val="es-ES" w:eastAsia="es-ES"/>
        </w:rPr>
      </w:pPr>
      <w:hyperlink w:anchor="_Toc434399417" w:history="1">
        <w:r w:rsidR="005E5EF1" w:rsidRPr="00AE7108">
          <w:rPr>
            <w:rStyle w:val="Hipervnculo"/>
            <w:noProof/>
          </w:rPr>
          <w:t>Conclusiones</w:t>
        </w:r>
        <w:r w:rsidR="005E5EF1">
          <w:rPr>
            <w:noProof/>
            <w:webHidden/>
          </w:rPr>
          <w:tab/>
        </w:r>
        <w:r w:rsidR="005E5EF1">
          <w:rPr>
            <w:noProof/>
            <w:webHidden/>
          </w:rPr>
          <w:fldChar w:fldCharType="begin"/>
        </w:r>
        <w:r w:rsidR="005E5EF1">
          <w:rPr>
            <w:noProof/>
            <w:webHidden/>
          </w:rPr>
          <w:instrText xml:space="preserve"> PAGEREF _Toc434399417 \h </w:instrText>
        </w:r>
        <w:r w:rsidR="005E5EF1">
          <w:rPr>
            <w:noProof/>
            <w:webHidden/>
          </w:rPr>
        </w:r>
        <w:r w:rsidR="005E5EF1">
          <w:rPr>
            <w:noProof/>
            <w:webHidden/>
          </w:rPr>
          <w:fldChar w:fldCharType="separate"/>
        </w:r>
        <w:r w:rsidR="00B345A2">
          <w:rPr>
            <w:noProof/>
            <w:webHidden/>
          </w:rPr>
          <w:t>74</w:t>
        </w:r>
        <w:r w:rsidR="005E5EF1">
          <w:rPr>
            <w:noProof/>
            <w:webHidden/>
          </w:rPr>
          <w:fldChar w:fldCharType="end"/>
        </w:r>
      </w:hyperlink>
    </w:p>
    <w:p w:rsidR="005508D1" w:rsidRPr="005508D1" w:rsidRDefault="001B3767" w:rsidP="005508D1">
      <w:pPr>
        <w:pStyle w:val="TDC1"/>
        <w:jc w:val="left"/>
        <w:rPr>
          <w:sz w:val="6"/>
          <w:szCs w:val="6"/>
        </w:rPr>
      </w:pPr>
      <w:r w:rsidRPr="00206DA4">
        <w:rPr>
          <w:szCs w:val="22"/>
        </w:rPr>
        <w:fldChar w:fldCharType="end"/>
      </w:r>
    </w:p>
    <w:p w:rsidR="009C1354" w:rsidRDefault="001B3767" w:rsidP="005508D1">
      <w:pPr>
        <w:pStyle w:val="TDC1"/>
        <w:jc w:val="left"/>
        <w:rPr>
          <w:rStyle w:val="Hipervnculo"/>
          <w:smallCaps w:val="0"/>
          <w:noProof/>
          <w:color w:val="auto"/>
          <w:szCs w:val="22"/>
          <w:u w:val="none"/>
        </w:rPr>
        <w:sectPr w:rsidR="009C1354" w:rsidSect="009C1354">
          <w:headerReference w:type="even" r:id="rId13"/>
          <w:footerReference w:type="default" r:id="rId14"/>
          <w:footnotePr>
            <w:numRestart w:val="eachSect"/>
          </w:footnotePr>
          <w:type w:val="oddPage"/>
          <w:pgSz w:w="11907" w:h="16840" w:code="9"/>
          <w:pgMar w:top="2109" w:right="1559" w:bottom="1644" w:left="1559" w:header="369" w:footer="136" w:gutter="0"/>
          <w:pgNumType w:start="2"/>
          <w:cols w:space="720"/>
          <w:docGrid w:linePitch="360"/>
        </w:sectPr>
      </w:pPr>
      <w:r w:rsidRPr="001B3767">
        <w:rPr>
          <w:rStyle w:val="Hipervnculo"/>
          <w:smallCaps w:val="0"/>
          <w:noProof/>
          <w:color w:val="auto"/>
          <w:szCs w:val="22"/>
          <w:u w:val="none"/>
        </w:rPr>
        <w:t>RESUMEN DE LA MEMORIA DE LA CUENTA GENERAL DE 2014</w:t>
      </w:r>
    </w:p>
    <w:p w:rsidR="001B3767" w:rsidRPr="001639F7" w:rsidRDefault="001B3767" w:rsidP="001B3767">
      <w:pPr>
        <w:pStyle w:val="atitulo1"/>
      </w:pPr>
      <w:bookmarkStart w:id="1" w:name="_Toc434399382"/>
      <w:r w:rsidRPr="001639F7">
        <w:lastRenderedPageBreak/>
        <w:t>I. Introducción</w:t>
      </w:r>
      <w:bookmarkEnd w:id="1"/>
      <w:r w:rsidRPr="001639F7">
        <w:t xml:space="preserve"> </w:t>
      </w:r>
    </w:p>
    <w:p w:rsidR="001B3767" w:rsidRPr="000E2288" w:rsidRDefault="001B3767" w:rsidP="001B3767">
      <w:pPr>
        <w:pStyle w:val="texto"/>
        <w:rPr>
          <w:lang w:val="es-ES"/>
        </w:rPr>
      </w:pPr>
      <w:r w:rsidRPr="000E2288">
        <w:rPr>
          <w:lang w:val="es-ES"/>
        </w:rPr>
        <w:t>La Cámara de Comptos, en cumplimiento de su Ley Foral reguladora 19/1984, de 20 de diciembre, ha fiscalizado las Cuentas Generales de Navarra del ejercicio 2014. Este trabajo se incluyó en el programa anual de la Cámara para el año 2015.</w:t>
      </w:r>
    </w:p>
    <w:p w:rsidR="001B3767" w:rsidRPr="000E2288" w:rsidRDefault="001B3767" w:rsidP="001B3767">
      <w:pPr>
        <w:pStyle w:val="texto"/>
        <w:rPr>
          <w:lang w:val="es-ES"/>
        </w:rPr>
      </w:pPr>
      <w:r w:rsidRPr="000E2288">
        <w:rPr>
          <w:lang w:val="es-ES"/>
        </w:rPr>
        <w:t xml:space="preserve">El Proyecto de Ley Foral de Cuentas Generales de Navarra de 2014 fue aprobado por el Gobierno de Navarra en sesión celebrada </w:t>
      </w:r>
      <w:r w:rsidR="008D364F">
        <w:rPr>
          <w:lang w:val="es-ES"/>
        </w:rPr>
        <w:t xml:space="preserve">el </w:t>
      </w:r>
      <w:r w:rsidRPr="000E2288">
        <w:rPr>
          <w:lang w:val="es-ES"/>
        </w:rPr>
        <w:t>24 de junio de 2015 y remitido al Parlamento de Navarra</w:t>
      </w:r>
      <w:r w:rsidR="00D53F05">
        <w:rPr>
          <w:lang w:val="es-ES"/>
        </w:rPr>
        <w:t xml:space="preserve"> para </w:t>
      </w:r>
      <w:r w:rsidR="00AF1BF5">
        <w:rPr>
          <w:lang w:val="es-ES"/>
        </w:rPr>
        <w:t>la</w:t>
      </w:r>
      <w:r w:rsidR="00D53F05">
        <w:rPr>
          <w:lang w:val="es-ES"/>
        </w:rPr>
        <w:t xml:space="preserve"> aprobación</w:t>
      </w:r>
      <w:r w:rsidR="00AF1BF5">
        <w:rPr>
          <w:lang w:val="es-ES"/>
        </w:rPr>
        <w:t xml:space="preserve"> de la Ley Foral</w:t>
      </w:r>
      <w:r w:rsidRPr="000E2288">
        <w:rPr>
          <w:lang w:val="es-ES"/>
        </w:rPr>
        <w:t>.</w:t>
      </w:r>
    </w:p>
    <w:p w:rsidR="001B3767" w:rsidRPr="000E2288" w:rsidRDefault="001B3767" w:rsidP="001B3767">
      <w:pPr>
        <w:pStyle w:val="texto"/>
        <w:rPr>
          <w:lang w:val="es-ES"/>
        </w:rPr>
      </w:pPr>
      <w:r w:rsidRPr="000E2288">
        <w:rPr>
          <w:lang w:val="es-ES"/>
        </w:rPr>
        <w:t>El trabajo de campo lo realizó durante tres meses en 2015 un equipo integr</w:t>
      </w:r>
      <w:r w:rsidRPr="000E2288">
        <w:rPr>
          <w:lang w:val="es-ES"/>
        </w:rPr>
        <w:t>a</w:t>
      </w:r>
      <w:r w:rsidRPr="000E2288">
        <w:rPr>
          <w:lang w:val="es-ES"/>
        </w:rPr>
        <w:t>do por siete técnicos de auditoría y una auditora, con la colaboración de los servicios jurídicos, informáticos y administrativos de esta Cámara de Comptos.</w:t>
      </w:r>
    </w:p>
    <w:p w:rsidR="001B3767" w:rsidRPr="000E2288" w:rsidRDefault="001B3767" w:rsidP="001B3767">
      <w:pPr>
        <w:pStyle w:val="texto"/>
        <w:rPr>
          <w:lang w:val="es-ES"/>
        </w:rPr>
      </w:pPr>
      <w:r w:rsidRPr="000E2288">
        <w:rPr>
          <w:lang w:val="es-ES"/>
        </w:rPr>
        <w:t xml:space="preserve">El informe se estructura en siete epígrafes, incluyendo esta introducción. En el epígrafe segundo se describe la composición del sector público foral, tanto a </w:t>
      </w:r>
      <w:r w:rsidR="008D364F">
        <w:rPr>
          <w:lang w:val="es-ES"/>
        </w:rPr>
        <w:t>e</w:t>
      </w:r>
      <w:r w:rsidRPr="000E2288">
        <w:rPr>
          <w:lang w:val="es-ES"/>
        </w:rPr>
        <w:t>fectos de la normativa foral como de la de estabilidad presupuestaria y sost</w:t>
      </w:r>
      <w:r w:rsidRPr="000E2288">
        <w:rPr>
          <w:lang w:val="es-ES"/>
        </w:rPr>
        <w:t>e</w:t>
      </w:r>
      <w:r w:rsidRPr="000E2288">
        <w:rPr>
          <w:lang w:val="es-ES"/>
        </w:rPr>
        <w:t>nibilidad financiera. En el tercero, se muestran los objetivos perseguidos en la fiscalización; en el cuarto, se describe el alcance del trabajo. El quinto recoge nuestra opinión sobre las cuentas anuales del ejercicio 2014 de la Administr</w:t>
      </w:r>
      <w:r w:rsidRPr="000E2288">
        <w:rPr>
          <w:lang w:val="es-ES"/>
        </w:rPr>
        <w:t>a</w:t>
      </w:r>
      <w:r w:rsidRPr="000E2288">
        <w:rPr>
          <w:lang w:val="es-ES"/>
        </w:rPr>
        <w:t xml:space="preserve">ción Foral y sus </w:t>
      </w:r>
      <w:r w:rsidR="009E36CD" w:rsidRPr="000E2288">
        <w:rPr>
          <w:lang w:val="es-ES"/>
        </w:rPr>
        <w:t>organismos autónomos</w:t>
      </w:r>
      <w:r w:rsidRPr="000E2288">
        <w:rPr>
          <w:lang w:val="es-ES"/>
        </w:rPr>
        <w:t>. En el epígrafe sexto se incluye un r</w:t>
      </w:r>
      <w:r w:rsidRPr="000E2288">
        <w:rPr>
          <w:lang w:val="es-ES"/>
        </w:rPr>
        <w:t>e</w:t>
      </w:r>
      <w:r w:rsidRPr="000E2288">
        <w:rPr>
          <w:lang w:val="es-ES"/>
        </w:rPr>
        <w:t>sumen de los principales estados contables de dichas cuentas. El séptimo, y ú</w:t>
      </w:r>
      <w:r w:rsidRPr="000E2288">
        <w:rPr>
          <w:lang w:val="es-ES"/>
        </w:rPr>
        <w:t>l</w:t>
      </w:r>
      <w:r w:rsidRPr="000E2288">
        <w:rPr>
          <w:lang w:val="es-ES"/>
        </w:rPr>
        <w:t>timo, contiene un análisis detallado del trabajo realizado junto con los coment</w:t>
      </w:r>
      <w:r w:rsidRPr="000E2288">
        <w:rPr>
          <w:lang w:val="es-ES"/>
        </w:rPr>
        <w:t>a</w:t>
      </w:r>
      <w:r w:rsidRPr="000E2288">
        <w:rPr>
          <w:lang w:val="es-ES"/>
        </w:rPr>
        <w:t>rios, conclusiones y recomendaciones que estimamos oportunos para mejorar la gestión de la Administración Foral</w:t>
      </w:r>
      <w:r w:rsidR="00AF1BF5">
        <w:rPr>
          <w:lang w:val="es-ES"/>
        </w:rPr>
        <w:t>,</w:t>
      </w:r>
      <w:r w:rsidRPr="000E2288">
        <w:rPr>
          <w:lang w:val="es-ES"/>
        </w:rPr>
        <w:t xml:space="preserve"> sus </w:t>
      </w:r>
      <w:r w:rsidR="00121286" w:rsidRPr="000E2288">
        <w:rPr>
          <w:lang w:val="es-ES"/>
        </w:rPr>
        <w:t>organismos autónomos</w:t>
      </w:r>
      <w:r w:rsidR="00AF1BF5">
        <w:rPr>
          <w:lang w:val="es-ES"/>
        </w:rPr>
        <w:t>, sociedades y fundaciones públicas</w:t>
      </w:r>
      <w:r w:rsidRPr="000E2288">
        <w:rPr>
          <w:lang w:val="es-ES"/>
        </w:rPr>
        <w:t>.</w:t>
      </w:r>
    </w:p>
    <w:p w:rsidR="001B3767" w:rsidRPr="000E2288" w:rsidRDefault="001B3767" w:rsidP="001B3767">
      <w:pPr>
        <w:pStyle w:val="texto"/>
        <w:rPr>
          <w:lang w:val="es-ES"/>
        </w:rPr>
      </w:pPr>
      <w:r w:rsidRPr="000E2288">
        <w:rPr>
          <w:lang w:val="es-ES"/>
        </w:rPr>
        <w:t xml:space="preserve">Se incluye un apéndice </w:t>
      </w:r>
      <w:r w:rsidR="00D53F05">
        <w:rPr>
          <w:lang w:val="es-ES"/>
        </w:rPr>
        <w:t xml:space="preserve">informativo </w:t>
      </w:r>
      <w:r w:rsidRPr="000E2288">
        <w:rPr>
          <w:lang w:val="es-ES"/>
        </w:rPr>
        <w:t xml:space="preserve">sobre estado </w:t>
      </w:r>
      <w:r w:rsidR="00D53F05">
        <w:rPr>
          <w:lang w:val="es-ES"/>
        </w:rPr>
        <w:t xml:space="preserve">provisional </w:t>
      </w:r>
      <w:r w:rsidRPr="000E2288">
        <w:rPr>
          <w:lang w:val="es-ES"/>
        </w:rPr>
        <w:t xml:space="preserve">de la situación de las finanzas de la Administración de la Comunidad Foral a 31 de julio de 2015. </w:t>
      </w:r>
    </w:p>
    <w:p w:rsidR="001B3767" w:rsidRPr="00030D36" w:rsidRDefault="001B3767" w:rsidP="001B3767">
      <w:pPr>
        <w:pStyle w:val="texto"/>
        <w:rPr>
          <w:rStyle w:val="Hipervnculo"/>
          <w:i/>
          <w:color w:val="auto"/>
          <w:sz w:val="24"/>
        </w:rPr>
      </w:pPr>
      <w:r w:rsidRPr="008902EF">
        <w:rPr>
          <w:w w:val="110"/>
        </w:rPr>
        <w:t>Se acompaña</w:t>
      </w:r>
      <w:r w:rsidR="00A31DE8">
        <w:rPr>
          <w:w w:val="110"/>
        </w:rPr>
        <w:t xml:space="preserve"> el informe de un resumen de la memoria de las</w:t>
      </w:r>
      <w:r w:rsidRPr="008902EF">
        <w:rPr>
          <w:w w:val="110"/>
        </w:rPr>
        <w:t xml:space="preserve"> Cuentas Generales de Navarra de 2014 elaborada por el Departamento de Ec</w:t>
      </w:r>
      <w:r w:rsidRPr="008902EF">
        <w:rPr>
          <w:w w:val="110"/>
        </w:rPr>
        <w:t>o</w:t>
      </w:r>
      <w:r w:rsidRPr="008902EF">
        <w:rPr>
          <w:w w:val="110"/>
        </w:rPr>
        <w:t>nomía y Hacienda. Las Cuentas Generales de Navarra pueden verse en</w:t>
      </w:r>
      <w:r w:rsidRPr="00F079C9">
        <w:t xml:space="preserve"> </w:t>
      </w:r>
      <w:hyperlink r:id="rId15" w:history="1">
        <w:r w:rsidR="00D53F05" w:rsidRPr="008902EF">
          <w:rPr>
            <w:rStyle w:val="Hipervnculo"/>
            <w:i/>
            <w:color w:val="auto"/>
            <w:sz w:val="24"/>
          </w:rPr>
          <w:t>http://www.navarra.es/Presupuestos/Cuentas Generales de Navarra/Cuentas Gener</w:t>
        </w:r>
        <w:r w:rsidR="00D53F05" w:rsidRPr="008902EF">
          <w:rPr>
            <w:rStyle w:val="Hipervnculo"/>
            <w:i/>
            <w:color w:val="auto"/>
            <w:sz w:val="24"/>
          </w:rPr>
          <w:t>a</w:t>
        </w:r>
        <w:r w:rsidR="00D53F05" w:rsidRPr="008902EF">
          <w:rPr>
            <w:rStyle w:val="Hipervnculo"/>
            <w:i/>
            <w:color w:val="auto"/>
            <w:sz w:val="24"/>
          </w:rPr>
          <w:t>les de Navarra del año 2014</w:t>
        </w:r>
      </w:hyperlink>
    </w:p>
    <w:p w:rsidR="001B3767" w:rsidRPr="000E2288" w:rsidRDefault="001B3767" w:rsidP="001B3767">
      <w:pPr>
        <w:pStyle w:val="texto"/>
        <w:rPr>
          <w:lang w:val="es-ES"/>
        </w:rPr>
      </w:pPr>
      <w:r w:rsidRPr="000E2288">
        <w:rPr>
          <w:lang w:val="es-ES"/>
        </w:rPr>
        <w:t>Agradecemos al personal de la Administración de la Comunidad Foral, de sus organismos autónomos, sociedades y fundaciones públicas la colaboración prestada en la realización de este trabajo.</w:t>
      </w:r>
    </w:p>
    <w:p w:rsidR="001B3767" w:rsidRPr="008802FF" w:rsidRDefault="001B3767" w:rsidP="001B3767">
      <w:pPr>
        <w:pStyle w:val="atitulo1"/>
      </w:pPr>
      <w:r w:rsidRPr="001639F7">
        <w:rPr>
          <w:highlight w:val="yellow"/>
        </w:rPr>
        <w:br w:type="page"/>
      </w:r>
      <w:bookmarkStart w:id="2" w:name="_Toc305415943"/>
      <w:bookmarkStart w:id="3" w:name="_Toc305480461"/>
      <w:bookmarkStart w:id="4" w:name="_Toc434399383"/>
      <w:r w:rsidRPr="008802FF">
        <w:lastRenderedPageBreak/>
        <w:t>II. Sector Público Foral</w:t>
      </w:r>
      <w:bookmarkEnd w:id="2"/>
      <w:bookmarkEnd w:id="3"/>
      <w:bookmarkEnd w:id="4"/>
      <w:r w:rsidRPr="008802FF">
        <w:t xml:space="preserve"> </w:t>
      </w:r>
    </w:p>
    <w:p w:rsidR="001B3767" w:rsidRPr="000E2288" w:rsidRDefault="001B3767" w:rsidP="00030D36">
      <w:pPr>
        <w:pStyle w:val="texto"/>
        <w:spacing w:after="160"/>
        <w:rPr>
          <w:lang w:val="es-ES"/>
        </w:rPr>
      </w:pPr>
      <w:r w:rsidRPr="000E2288">
        <w:rPr>
          <w:lang w:val="es-ES"/>
        </w:rPr>
        <w:t xml:space="preserve">En este apartado se presenta la delimitación del Sector Público Foral en 2014 desde una doble vertiente: </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 xml:space="preserve">A efectos de la Ley Foral de la Hacienda Pública de Navarra. </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300"/>
        <w:ind w:left="0" w:firstLine="289"/>
        <w:rPr>
          <w:rFonts w:cs="Arial"/>
        </w:rPr>
      </w:pPr>
      <w:r w:rsidRPr="00846868">
        <w:rPr>
          <w:rFonts w:cs="Arial"/>
        </w:rPr>
        <w:t xml:space="preserve">A efectos de la Ley </w:t>
      </w:r>
      <w:r w:rsidR="00D53F05">
        <w:rPr>
          <w:rFonts w:cs="Arial"/>
        </w:rPr>
        <w:t xml:space="preserve">Orgánica </w:t>
      </w:r>
      <w:r w:rsidRPr="00846868">
        <w:rPr>
          <w:rFonts w:cs="Arial"/>
        </w:rPr>
        <w:t>de Estabilidad Presupuestaria y Sostenibil</w:t>
      </w:r>
      <w:r w:rsidRPr="00846868">
        <w:rPr>
          <w:rFonts w:cs="Arial"/>
        </w:rPr>
        <w:t>i</w:t>
      </w:r>
      <w:r w:rsidRPr="00846868">
        <w:rPr>
          <w:rFonts w:cs="Arial"/>
        </w:rPr>
        <w:t>dad Financiera</w:t>
      </w:r>
    </w:p>
    <w:p w:rsidR="001B3767" w:rsidRPr="008802FF" w:rsidRDefault="001B3767" w:rsidP="001B3767">
      <w:pPr>
        <w:pStyle w:val="atitulo2"/>
      </w:pPr>
      <w:bookmarkStart w:id="5" w:name="_Toc305415944"/>
      <w:bookmarkStart w:id="6" w:name="_Toc305480462"/>
      <w:bookmarkStart w:id="7" w:name="_Toc434399384"/>
      <w:r w:rsidRPr="008802FF">
        <w:t>II.1</w:t>
      </w:r>
      <w:r w:rsidR="00BA4E29">
        <w:t>.</w:t>
      </w:r>
      <w:r w:rsidRPr="008802FF">
        <w:t xml:space="preserve"> Sector Público Foral según la Ley Foral 13/2007, de 4 de abril, de la Hacienda Pública de Navarra</w:t>
      </w:r>
      <w:bookmarkEnd w:id="5"/>
      <w:bookmarkEnd w:id="6"/>
      <w:bookmarkEnd w:id="7"/>
    </w:p>
    <w:p w:rsidR="001B3767" w:rsidRPr="008802FF" w:rsidRDefault="001B3767" w:rsidP="00030D36">
      <w:pPr>
        <w:pStyle w:val="texto"/>
        <w:spacing w:after="160"/>
      </w:pPr>
      <w:r w:rsidRPr="008802FF">
        <w:t xml:space="preserve">El Sector </w:t>
      </w:r>
      <w:r w:rsidRPr="008802FF">
        <w:rPr>
          <w:spacing w:val="4"/>
        </w:rPr>
        <w:t>Público</w:t>
      </w:r>
      <w:r w:rsidRPr="008802FF">
        <w:t xml:space="preserve"> Foral está integrado, a efectos de la Ley Foral 13/2007, por:</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 xml:space="preserve">La Administración de la Comunidad Foral y sus organismos autónomos adscritos. </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El Parlamento de Navarra y sus órganos dependientes, esto es, Cámara de Comptos y Defensor del Pueblo.</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El Consejo de Navarra.</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Las sociedades públicas de la Comunidad Foral de Navarra y sus organi</w:t>
      </w:r>
      <w:r w:rsidRPr="00846868">
        <w:rPr>
          <w:rFonts w:cs="Arial"/>
        </w:rPr>
        <w:t>s</w:t>
      </w:r>
      <w:r w:rsidRPr="00846868">
        <w:rPr>
          <w:rFonts w:cs="Arial"/>
        </w:rPr>
        <w:t>mos públicos, a tenor de lo dispuesto en la Ley Foral 14/2007, de 4 de abril, del Patrimonio de Navarra.</w:t>
      </w:r>
    </w:p>
    <w:p w:rsidR="001B3767" w:rsidRPr="000E2288" w:rsidRDefault="001B3767" w:rsidP="00030D36">
      <w:pPr>
        <w:pStyle w:val="texto"/>
        <w:spacing w:after="160"/>
        <w:rPr>
          <w:lang w:val="es-ES"/>
        </w:rPr>
      </w:pPr>
      <w:r w:rsidRPr="000E2288">
        <w:rPr>
          <w:lang w:val="es-ES"/>
        </w:rPr>
        <w:t>Según dicha ley, son aquellas sociedades en las que la participación, directa o indirecta, de la Administración de la Comunidad Foral y/o de sus organismos públicos represente la mayoría absoluta de su capital social</w:t>
      </w:r>
      <w:r w:rsidR="00D53F05">
        <w:rPr>
          <w:lang w:val="es-ES"/>
        </w:rPr>
        <w:t>; así como</w:t>
      </w:r>
      <w:r w:rsidRPr="000E2288">
        <w:rPr>
          <w:lang w:val="es-ES"/>
        </w:rPr>
        <w:t xml:space="preserve"> aquellas en las que la Administración de la Comunidad Foral de Navarra y/o sus org</w:t>
      </w:r>
      <w:r w:rsidRPr="000E2288">
        <w:rPr>
          <w:lang w:val="es-ES"/>
        </w:rPr>
        <w:t>a</w:t>
      </w:r>
      <w:r w:rsidRPr="000E2288">
        <w:rPr>
          <w:lang w:val="es-ES"/>
        </w:rPr>
        <w:t xml:space="preserve">nismos públicos dispongan de capacidad para nombrar más de la mitad de los miembros de sus órganos de administración, de dirección o de vigilancia; o dispongan de la mayoría de los votos correspondientes a las participaciones emitidas por la sociedad. </w:t>
      </w:r>
    </w:p>
    <w:p w:rsidR="001B3767" w:rsidRPr="00846868" w:rsidRDefault="001B3767" w:rsidP="00030D36">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Las fundaciones públicas de la Administración de la Comunidad Foral de Navarra y sus organismos públicos creadas para la realización de fines de su competencia cuyo patrimonio fundacional, en el momento de la creación, esté constituido mayoritariamente por aportaciones directas o indirectas de su fu</w:t>
      </w:r>
      <w:r w:rsidRPr="00846868">
        <w:rPr>
          <w:rFonts w:cs="Arial"/>
        </w:rPr>
        <w:t>n</w:t>
      </w:r>
      <w:r w:rsidRPr="00846868">
        <w:rPr>
          <w:rFonts w:cs="Arial"/>
        </w:rPr>
        <w:t xml:space="preserve">dador. Igualmente, se consideran aquéllas que teniendo carácter privado en el momento de su creación, </w:t>
      </w:r>
      <w:proofErr w:type="spellStart"/>
      <w:r w:rsidRPr="00846868">
        <w:rPr>
          <w:rFonts w:cs="Arial"/>
        </w:rPr>
        <w:t>sobrevenidamente</w:t>
      </w:r>
      <w:proofErr w:type="spellEnd"/>
      <w:r w:rsidRPr="00846868">
        <w:rPr>
          <w:rFonts w:cs="Arial"/>
        </w:rPr>
        <w:t xml:space="preserve"> reúnan los anteriores requisitos juntamente con la presencia mayoritaria de la Administración en sus órganos de gobierno.</w:t>
      </w:r>
    </w:p>
    <w:p w:rsidR="001B3767" w:rsidRDefault="001B3767" w:rsidP="001B3767">
      <w:pPr>
        <w:pStyle w:val="texto"/>
      </w:pPr>
    </w:p>
    <w:p w:rsidR="001B3767" w:rsidRPr="000E2288" w:rsidRDefault="001B3767" w:rsidP="001B3767">
      <w:pPr>
        <w:pStyle w:val="texto"/>
        <w:rPr>
          <w:lang w:val="es-ES"/>
        </w:rPr>
      </w:pPr>
      <w:r w:rsidRPr="000E2288">
        <w:rPr>
          <w:lang w:val="es-ES"/>
        </w:rPr>
        <w:lastRenderedPageBreak/>
        <w:t>La representación gráfica del sector público foral a 31 de diciembre de 2014 era la siguiente:</w:t>
      </w:r>
    </w:p>
    <w:p w:rsidR="001B3767" w:rsidRPr="001639F7" w:rsidRDefault="00367FF8" w:rsidP="001B3767">
      <w:pPr>
        <w:spacing w:before="240" w:after="0"/>
        <w:ind w:firstLine="0"/>
        <w:jc w:val="left"/>
        <w:rPr>
          <w:rFonts w:ascii="GillSans" w:hAnsi="GillSans"/>
          <w:sz w:val="26"/>
          <w:szCs w:val="32"/>
          <w:highlight w:val="yellow"/>
          <w:lang w:val="es-ES"/>
        </w:rPr>
      </w:pPr>
      <w:r>
        <w:rPr>
          <w:noProof/>
          <w:highlight w:val="yellow"/>
          <w:lang w:val="es-ES" w:eastAsia="es-ES"/>
        </w:rPr>
        <w:pict>
          <v:group id="_x0000_s1026" editas="orgchart" style="position:absolute;margin-left:12pt;margin-top:8.15pt;width:478.15pt;height:543.7pt;z-index:251659776;mso-position-horizontal-relative:char;mso-position-vertical-relative:line" coordorigin="959,3242" coordsize="9563,10874">
            <o:lock v:ext="edit" aspectratio="t"/>
            <o:diagram v:ext="edit" dgmstyle="0" dgmscalex="25637" dgmscaley="48884" dgmfontsize="4" constrainbounds="0,0,0,0" autolayout="f">
              <o:relationtable v:ext="edit">
                <o:rel v:ext="edit" idsrc="#_s1069" iddest="#_s1069"/>
                <o:rel v:ext="edit" idsrc="#_s1070" iddest="#_s1069" idcntr="#_s1047"/>
                <o:rel v:ext="edit" idsrc="#_s1075" iddest="#_s1069" idcntr="#_s1045"/>
                <o:rel v:ext="edit" idsrc="#_s1071" iddest="#_s1069" idcntr="#_s1046"/>
                <o:rel v:ext="edit" idsrc="#_s1072" iddest="#_s1070" idcntr="#_s1068"/>
                <o:rel v:ext="edit" idsrc="#_s1073" iddest="#_s1070" idcntr="#_s1067"/>
                <o:rel v:ext="edit" idsrc="#_s1074" iddest="#_s1071" idcntr="#_s1066"/>
                <o:rel v:ext="edit" idsrc="#_s1077" iddest="#_s1071" idcntr="#_s1063"/>
                <o:rel v:ext="edit" idsrc="#_s1108" iddest="#_s1071" idcntr="#_s1064"/>
                <o:rel v:ext="edit" idsrc="#_s1076" iddest="#_s1071" idcntr="#_s1065"/>
                <o:rel v:ext="edit" idsrc="#_s1078" iddest="#_s1074" idcntr="#_s1044"/>
                <o:rel v:ext="edit" idsrc="#_s1079" iddest="#_s1074" idcntr="#_s1043"/>
                <o:rel v:ext="edit" idsrc="#_s1080" iddest="#_s1074" idcntr="#_s1042"/>
                <o:rel v:ext="edit" idsrc="#_s1081" iddest="#_s1074" idcntr="#_s1041"/>
                <o:rel v:ext="edit" idsrc="#_s1082" iddest="#_s1074" idcntr="#_s1040"/>
                <o:rel v:ext="edit" idsrc="#_s1083" iddest="#_s1074" idcntr="#_s1039"/>
                <o:rel v:ext="edit" idsrc="#_s1084" iddest="#_s1074" idcntr="#_s1038"/>
                <o:rel v:ext="edit" idsrc="#_s1085" iddest="#_s1077" idcntr="#_s1062"/>
                <o:rel v:ext="edit" idsrc="#_s1093" iddest="#_s1076" idcntr="#_s1037"/>
                <o:rel v:ext="edit" idsrc="#_s1094" iddest="#_s1076" idcntr="#_s1036"/>
                <o:rel v:ext="edit" idsrc="#_s1095" iddest="#_s1076" idcntr="#_s1035"/>
                <o:rel v:ext="edit" idsrc="#_s1096" iddest="#_s1076" idcntr="#_s1034"/>
                <o:rel v:ext="edit" idsrc="#_s1097" iddest="#_s1076" idcntr="#_s1033"/>
                <o:rel v:ext="edit" idsrc="#_s1086" iddest="#_s1085" idcntr="#_s1061"/>
                <o:rel v:ext="edit" idsrc="#_s1087" iddest="#_s1085" idcntr="#_s1060"/>
                <o:rel v:ext="edit" idsrc="#_s1088" iddest="#_s1085" idcntr="#_s1059"/>
                <o:rel v:ext="edit" idsrc="#_s1089" iddest="#_s1085" idcntr="#_s1058"/>
                <o:rel v:ext="edit" idsrc="#_s1090" iddest="#_s1085" idcntr="#_s1057"/>
                <o:rel v:ext="edit" idsrc="#_s1091" iddest="#_s1085" idcntr="#_s1056"/>
                <o:rel v:ext="edit" idsrc="#_s1092" iddest="#_s1085" idcntr="#_s105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59;top:3242;width:9563;height:10874" o:preferrelative="f">
              <v:fill o:detectmouseclick="t"/>
              <v:path o:extrusionok="t" o:connecttype="none"/>
              <o:lock v:ext="edit" text="t"/>
            </v:shape>
            <v:line id="_x0000_s1028" style="position:absolute" from="8663,5667" to="8664,6027" strokeweight=".25pt"/>
            <v:line id="_x0000_s1029" style="position:absolute" from="7123,12847" to="7303,12848" strokeweight=".25pt"/>
            <v:line id="_x0000_s1030" style="position:absolute;v-text-anchor:middle" from="6381,7717" to="6758,7898" strokeweight="0"/>
            <v:line id="_x0000_s1031" style="position:absolute;v-text-anchor:middle" from="6179,12397" to="7079,12937" strokeweight="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3" o:spid="_x0000_s1033" type="#_x0000_t34" style="position:absolute;left:7830;top:7112;width:3480;height:742;rotation:270" o:connectortype="elbow" adj="1089,-248778,-59280" strokeweight="0"/>
            <v:shape id="_s1034" o:spid="_x0000_s1034" type="#_x0000_t34" style="position:absolute;left:8112;top:6830;width:2916;height:742;rotation:270" o:connectortype="elbow" adj="1300,-231923,-70760" strokeweight="0"/>
            <v:shape id="_s1035" o:spid="_x0000_s1035" type="#_x0000_t34" style="position:absolute;left:8395;top:6547;width:2350;height:742;rotation:270" o:connectortype="elbow" adj="1613,-215039,-87789" strokeweight="0"/>
            <v:shape id="_s1036" o:spid="_x0000_s1036" type="#_x0000_t34" style="position:absolute;left:8724;top:6218;width:1692;height:742;rotation:270" o:connectortype="elbow" adj="2241,-195390,-121944" strokeweight="0"/>
            <v:shape id="_s1037" o:spid="_x0000_s1037" type="#_x0000_t34" style="position:absolute;left:9065;top:5872;width:1006;height:747;rotation:270" o:connectortype="elbow" adj="3767,-173754,-204907" strokeweight="0"/>
            <v:shape id="_s1038" o:spid="_x0000_s1038" type="#_x0000_t34" style="position:absolute;left:2338;top:8832;width:6777;height:545;rotation:270;flip:x" o:connectortype="elbow" adj="559,475953,-18644" strokeweight="0"/>
            <v:shape id="_s1039" o:spid="_x0000_s1039" type="#_x0000_t34" style="position:absolute;left:2938;top:8232;width:5621;height:589;rotation:270;flip:x" o:connectortype="elbow" adj="572,470726,-23026" strokeweight="0"/>
            <v:shape id="_s1040" o:spid="_x0000_s1040" type="#_x0000_t34" style="position:absolute;left:3725;top:7445;width:4047;height:589;rotation:270;flip:x" o:connectortype="elbow" adj="961,358032,-31410" strokeweight="0"/>
            <v:shape id="_s1041" o:spid="_x0000_s1041" type="#_x0000_t34" style="position:absolute;left:4110;top:7060;width:3357;height:670;rotation:270;flip:x" o:connectortype="elbow" adj="1158,292503,-38387" strokeweight="0"/>
            <v:shape id="_s1042" o:spid="_x0000_s1042" type="#_x0000_t34" style="position:absolute;left:4445;top:6725;width:2564;height:545;rotation:270;flip:x" o:connectortype="elbow" adj="1478,304738,-49269" strokeweight="0"/>
            <v:shape id="_s1043" o:spid="_x0000_s1043" type="#_x0000_t34" style="position:absolute;left:4799;top:6371;width:1821;height:512;rotation:270;flip:x" o:connectortype="elbow" adj="2135,317967,-70766" strokeweight="0"/>
            <v:shape id="_s1044" o:spid="_x0000_s1044" type="#_x0000_t34" style="position:absolute;left:5149;top:6021;width:1160;height:550;rotation:270;flip:x" o:connectortype="elbow" adj="3352,270039,-111799" strokeweight="0"/>
            <v:shape id="_s1045" o:spid="_x0000_s1045" type="#_x0000_t34" style="position:absolute;left:3933;top:3876;width:526;height:849;rotation:270" o:connectortype="elbow" adj="7392,-116116,-154855" strokeweight="0"/>
            <v:shape id="_s1046" o:spid="_x0000_s1046" type="#_x0000_t34" style="position:absolute;left:5821;top:2829;width:523;height:2925;rotation:270;flip:x" o:connectortype="elbow" adj="7240,34818,-327821" strokeweight="0"/>
            <v:shape id="_s1047" o:spid="_x0000_s1047" type="#_x0000_t34" style="position:absolute;left:3104;top:3046;width:523;height:2508;rotation:270" o:connectortype="elbow" adj="7434,-39281,-87226" strokeweight="0"/>
            <v:line id="_x0000_s1048" style="position:absolute;flip:y" from="6381,7177" to="6921,7178" strokeweight="0"/>
            <v:line id="_x0000_s1049" style="position:absolute" from="6381,12397" to="6962,12398" strokeweight="0"/>
            <v:line id="_x0000_s1050" style="position:absolute" from="6539,9877" to="6977,9878" strokeweight="0"/>
            <v:line id="_x0000_s1051" style="position:absolute;v-text-anchor:middle" from="6381,7717" to="6758,7718" strokeweight="0"/>
            <v:line id="_x0000_s1052" style="position:absolute" from="6401,10625" to="6867,10777" strokeweight="0"/>
            <v:line id="_x0000_s1053" style="position:absolute;flip:y;v-text-anchor:middle" from="6477,10417" to="6899,10596" strokeweight="0"/>
            <v:line id="_x0000_s1054" style="position:absolute;flip:y;v-text-anchor:middle" from="6479,12037" to="6921,12347" strokeweight="0"/>
            <v:shapetype id="_x0000_t33" coordsize="21600,21600" o:spt="33" o:oned="t" path="m,l21600,r,21600e" filled="f">
              <v:stroke joinstyle="miter"/>
              <v:path arrowok="t" fillok="f" o:connecttype="none"/>
              <o:lock v:ext="edit" shapetype="t"/>
            </v:shapetype>
            <v:shape id="_s1055" o:spid="_x0000_s1055" type="#_x0000_t33" style="position:absolute;left:7234;top:6480;width:70;height:6010;flip:y" o:connectortype="elbow" adj="-2183451,44889,-2183451" strokeweight="0"/>
            <v:shape id="_s1056" o:spid="_x0000_s1056" type="#_x0000_t33" style="position:absolute;left:7234;top:6480;width:70;height:5651;flip:y" o:connectortype="elbow" adj="-2183451,46369,-2183451" strokeweight="0"/>
            <v:shape id="_s1057" o:spid="_x0000_s1057" type="#_x0000_t33" style="position:absolute;left:7196;top:6480;width:108;height:4384;flip:y" o:connectortype="elbow" adj="-1407600,53527,-1407600" strokeweight="0"/>
            <v:shape id="_s1058" o:spid="_x0000_s1058" type="#_x0000_t33" style="position:absolute;left:7233;top:6480;width:71;height:4021;flip:y" o:connectortype="elbow" adj="-2152394,56409,-2152394" strokeweight="0"/>
            <v:shape id="_s1059" o:spid="_x0000_s1059" type="#_x0000_t33" style="position:absolute;left:7234;top:6480;width:70;height:3484;flip:y" o:connectortype="elbow" adj="-2183451,61775,-2183451" strokeweight="0"/>
            <v:shape id="_s1060" o:spid="_x0000_s1060" type="#_x0000_t33" style="position:absolute;left:7113;top:6480;width:191;height:1150;flip:y" o:connectortype="elbow" adj="-804402,143311,-804402" strokeweight="0"/>
            <v:shape id="_s1061" o:spid="_x0000_s1061" type="#_x0000_t33" style="position:absolute;left:7180;top:6480;width:124;height:658;flip:y" o:connectortype="elbow" adj="-1250710,234317,-1250710" strokeweight="0"/>
            <v:shapetype id="_x0000_t32" coordsize="21600,21600" o:spt="32" o:oned="t" path="m,l21600,21600e" filled="f">
              <v:path arrowok="t" fillok="f" o:connecttype="none"/>
              <o:lock v:ext="edit" shapetype="t"/>
            </v:shapetype>
            <v:shape id="_s1062" o:spid="_x0000_s1062" type="#_x0000_t32" style="position:absolute;left:7129;top:5890;width:350;height:1;rotation:270" o:connectortype="elbow" adj="-433528,-1,-433528" strokeweight="0"/>
            <v:shape id="_s1063" o:spid="_x0000_s1063" type="#_x0000_t34" style="position:absolute;left:7289;top:5069;width:270;height:241;rotation:270" o:connectortype="elbow" adj=",-496890,-563853" strokeweight="0"/>
            <v:shape id="_s1064" o:spid="_x0000_s1064" type="#_x0000_t34" style="position:absolute;left:7979;top:4637;width:244;height:1111;rotation:270;flip:x" o:connectortype="elbow" adj=",89997,-747878" strokeweight="0"/>
            <v:shape id="_s1065" o:spid="_x0000_s1065" type="#_x0000_t34" style="position:absolute;left:8590;top:3994;width:306;height:2396;rotation:270;flip:x" o:connectortype="elbow" adj=",41190,-724838" strokeweight="0"/>
            <v:shape id="_s1066" o:spid="_x0000_s1066" type="#_x0000_t34" style="position:absolute;left:6364;top:4145;width:270;height:2090;rotation:270" o:connectortype="elbow" adj=",-57269,-441276" strokeweight=".25pt"/>
            <v:shape id="_s1067" o:spid="_x0000_s1067" type="#_x0000_t34" style="position:absolute;left:2284;top:4970;width:415;height:759;rotation:270;flip:x" o:connectortype="elbow" adj="9369,158144,-149430" strokeweight="0"/>
            <v:shape id="_s1068" o:spid="_x0000_s1068" type="#_x0000_t34" style="position:absolute;left:1564;top:5009;width:415;height:681;rotation:270" o:connectortype="elbow" adj="9369,-176257,-74481" strokeweight="0"/>
            <v:roundrect id="_s1069" o:spid="_x0000_s1069" style="position:absolute;left:2359;top:3640;width:4522;height:398;v-text-anchor:middle" arcsize="10871f" o:dgmlayout="0" o:dgmnodekind="1" o:dgmlayoutmru="0" filled="f" fillcolor="#bbe0e3" strokeweight=".25pt">
              <v:textbox style="mso-next-textbox:#_s1069" inset="0,0,0,0">
                <w:txbxContent>
                  <w:p w:rsidR="00A16D30" w:rsidRPr="00892DAB" w:rsidRDefault="00A16D30" w:rsidP="009C1354">
                    <w:pPr>
                      <w:spacing w:before="60"/>
                      <w:jc w:val="center"/>
                      <w:rPr>
                        <w:rFonts w:ascii="Arial" w:hAnsi="Arial" w:cs="Arial"/>
                        <w:sz w:val="22"/>
                        <w:szCs w:val="22"/>
                      </w:rPr>
                    </w:pPr>
                    <w:r w:rsidRPr="00892DAB">
                      <w:rPr>
                        <w:rFonts w:ascii="Arial" w:hAnsi="Arial" w:cs="Arial"/>
                        <w:sz w:val="22"/>
                        <w:szCs w:val="22"/>
                      </w:rPr>
                      <w:t>Sector Público Foral 201</w:t>
                    </w:r>
                    <w:r>
                      <w:rPr>
                        <w:rFonts w:ascii="Arial" w:hAnsi="Arial" w:cs="Arial"/>
                        <w:sz w:val="22"/>
                        <w:szCs w:val="22"/>
                      </w:rPr>
                      <w:t>4</w:t>
                    </w:r>
                  </w:p>
                </w:txbxContent>
              </v:textbox>
            </v:roundrect>
            <v:roundrect id="_s1070" o:spid="_x0000_s1070" style="position:absolute;left:1443;top:4561;width:1338;height:581;v-text-anchor:middle" arcsize="10923f" o:dgmlayout="0" o:dgmnodekind="0" o:dgmlayoutmru="0" strokeweight="0">
              <v:textbox style="mso-next-textbox:#_s1070" inset="0,0,0,0">
                <w:txbxContent>
                  <w:p w:rsidR="00A16D30" w:rsidRPr="0095159B" w:rsidRDefault="00A16D30" w:rsidP="00555334">
                    <w:pPr>
                      <w:spacing w:before="40" w:after="0"/>
                      <w:ind w:firstLine="0"/>
                      <w:jc w:val="center"/>
                      <w:rPr>
                        <w:rFonts w:ascii="GillSans" w:hAnsi="GillSans"/>
                        <w:sz w:val="15"/>
                        <w:szCs w:val="15"/>
                      </w:rPr>
                    </w:pPr>
                    <w:r w:rsidRPr="0095159B">
                      <w:rPr>
                        <w:rFonts w:ascii="GillSans" w:hAnsi="GillSans"/>
                        <w:sz w:val="15"/>
                        <w:szCs w:val="15"/>
                      </w:rPr>
                      <w:t>Parlamento de</w:t>
                    </w:r>
                    <w:r>
                      <w:rPr>
                        <w:rFonts w:ascii="GillSans" w:hAnsi="GillSans"/>
                        <w:sz w:val="15"/>
                        <w:szCs w:val="15"/>
                      </w:rPr>
                      <w:t xml:space="preserve">  </w:t>
                    </w:r>
                    <w:r w:rsidRPr="0095159B">
                      <w:rPr>
                        <w:rFonts w:ascii="GillSans" w:hAnsi="GillSans"/>
                        <w:sz w:val="15"/>
                        <w:szCs w:val="15"/>
                      </w:rPr>
                      <w:t xml:space="preserve"> Navarra</w:t>
                    </w:r>
                  </w:p>
                </w:txbxContent>
              </v:textbox>
            </v:roundrect>
            <v:roundrect id="_s1071" o:spid="_x0000_s1071" style="position:absolute;left:6634;top:4561;width:1821;height:478;v-text-anchor:middle" arcsize="10923f" o:dgmlayout="0" o:dgmnodekind="0" o:dgmlayoutmru="0" strokeweight="0">
              <v:textbox style="mso-next-textbox:#_s1071" inset="0,0,0,0">
                <w:txbxContent>
                  <w:p w:rsidR="00A16D30" w:rsidRPr="008F5115" w:rsidRDefault="00A16D30" w:rsidP="00555334">
                    <w:pPr>
                      <w:spacing w:before="20" w:after="0"/>
                      <w:ind w:firstLine="0"/>
                      <w:jc w:val="center"/>
                      <w:rPr>
                        <w:rFonts w:ascii="GillSans" w:hAnsi="GillSans"/>
                        <w:sz w:val="15"/>
                        <w:szCs w:val="15"/>
                      </w:rPr>
                    </w:pPr>
                    <w:r w:rsidRPr="008F5115">
                      <w:rPr>
                        <w:rFonts w:ascii="GillSans" w:hAnsi="GillSans"/>
                        <w:sz w:val="15"/>
                        <w:szCs w:val="15"/>
                      </w:rPr>
                      <w:t>Administración de la C.F.</w:t>
                    </w:r>
                  </w:p>
                </w:txbxContent>
              </v:textbox>
            </v:roundrect>
            <v:roundrect id="_s1072" o:spid="_x0000_s1072" style="position:absolute;left:981;top:5557;width:900;height:720;v-text-anchor:middle" arcsize="10923f" o:dgmlayout="0" o:dgmnodekind="0" o:dgmlayoutmru="0" strokeweight="0">
              <v:textbox style="mso-next-textbox:#_s1072" inset="0,0,0,0">
                <w:txbxContent>
                  <w:p w:rsidR="00A16D30" w:rsidRPr="00872890" w:rsidRDefault="00A16D30" w:rsidP="00555334">
                    <w:pPr>
                      <w:spacing w:before="40" w:after="0"/>
                      <w:ind w:firstLine="0"/>
                      <w:jc w:val="center"/>
                      <w:rPr>
                        <w:rFonts w:ascii="GillSans" w:hAnsi="GillSans"/>
                        <w:sz w:val="15"/>
                        <w:szCs w:val="15"/>
                      </w:rPr>
                    </w:pPr>
                    <w:r w:rsidRPr="0095159B">
                      <w:rPr>
                        <w:rFonts w:ascii="GillSans" w:hAnsi="GillSans"/>
                        <w:sz w:val="15"/>
                        <w:szCs w:val="15"/>
                      </w:rPr>
                      <w:t>Defensor</w:t>
                    </w:r>
                    <w:r w:rsidRPr="00872890">
                      <w:rPr>
                        <w:rFonts w:ascii="GillSans" w:hAnsi="GillSans"/>
                        <w:sz w:val="15"/>
                        <w:szCs w:val="15"/>
                      </w:rPr>
                      <w:t xml:space="preserve"> del Pu</w:t>
                    </w:r>
                    <w:r w:rsidRPr="00872890">
                      <w:rPr>
                        <w:rFonts w:ascii="GillSans" w:hAnsi="GillSans"/>
                        <w:sz w:val="15"/>
                        <w:szCs w:val="15"/>
                      </w:rPr>
                      <w:t>e</w:t>
                    </w:r>
                    <w:r w:rsidRPr="00872890">
                      <w:rPr>
                        <w:rFonts w:ascii="GillSans" w:hAnsi="GillSans"/>
                        <w:sz w:val="15"/>
                        <w:szCs w:val="15"/>
                      </w:rPr>
                      <w:t>blo</w:t>
                    </w:r>
                  </w:p>
                </w:txbxContent>
              </v:textbox>
            </v:roundrect>
            <v:roundrect id="_s1073" o:spid="_x0000_s1073" style="position:absolute;left:2421;top:5557;width:900;height:720;v-text-anchor:middle" arcsize="10923f" o:dgmlayout="2" o:dgmnodekind="0" strokeweight="0">
              <v:textbox style="mso-next-textbox:#_s1073" inset="0,0,0,0">
                <w:txbxContent>
                  <w:p w:rsidR="00A16D30" w:rsidRPr="00872890" w:rsidRDefault="00A16D30" w:rsidP="00555334">
                    <w:pPr>
                      <w:spacing w:before="40" w:after="0"/>
                      <w:ind w:firstLine="0"/>
                      <w:jc w:val="center"/>
                      <w:rPr>
                        <w:rFonts w:ascii="GillSans" w:hAnsi="GillSans"/>
                        <w:sz w:val="15"/>
                        <w:szCs w:val="15"/>
                      </w:rPr>
                    </w:pPr>
                    <w:r w:rsidRPr="0095159B">
                      <w:rPr>
                        <w:rFonts w:ascii="GillSans" w:hAnsi="GillSans"/>
                        <w:sz w:val="15"/>
                        <w:szCs w:val="15"/>
                      </w:rPr>
                      <w:t>Cámara</w:t>
                    </w:r>
                    <w:r w:rsidRPr="00872890">
                      <w:rPr>
                        <w:rFonts w:ascii="GillSans" w:hAnsi="GillSans"/>
                        <w:sz w:val="15"/>
                        <w:szCs w:val="15"/>
                      </w:rPr>
                      <w:t xml:space="preserve"> de Comptos</w:t>
                    </w:r>
                  </w:p>
                </w:txbxContent>
              </v:textbox>
            </v:roundrect>
            <v:roundrect id="_s1074" o:spid="_x0000_s1074" style="position:absolute;left:4858;top:5309;width:1191;height:407;v-text-anchor:middle" arcsize="10923f" o:dgmlayout="0" o:dgmnodekind="0" o:dgmlayoutmru="0" strokeweight="0">
              <v:textbox style="mso-next-textbox:#_s1074" inset="0,0,0,0">
                <w:txbxContent>
                  <w:p w:rsidR="00A16D30" w:rsidRPr="00AA2667" w:rsidRDefault="00A16D30" w:rsidP="009C1354">
                    <w:pPr>
                      <w:spacing w:before="40" w:after="0"/>
                      <w:ind w:firstLine="0"/>
                      <w:jc w:val="center"/>
                      <w:rPr>
                        <w:rFonts w:ascii="Arial Narrow" w:hAnsi="Arial Narrow"/>
                        <w:sz w:val="14"/>
                        <w:szCs w:val="14"/>
                      </w:rPr>
                    </w:pPr>
                    <w:r w:rsidRPr="0095159B">
                      <w:rPr>
                        <w:rFonts w:ascii="GillSans" w:hAnsi="GillSans"/>
                        <w:sz w:val="11"/>
                        <w:szCs w:val="11"/>
                      </w:rPr>
                      <w:t>DEPARTAMENTOS</w:t>
                    </w:r>
                  </w:p>
                  <w:p w:rsidR="00A16D30" w:rsidRPr="00F301A7" w:rsidRDefault="00A16D30" w:rsidP="00555334">
                    <w:pPr>
                      <w:ind w:firstLine="0"/>
                      <w:rPr>
                        <w:rFonts w:ascii="GillSans" w:hAnsi="GillSans"/>
                        <w:sz w:val="11"/>
                        <w:szCs w:val="11"/>
                      </w:rPr>
                    </w:pPr>
                    <w:r>
                      <w:rPr>
                        <w:rFonts w:ascii="GillSans" w:hAnsi="GillSans"/>
                        <w:sz w:val="11"/>
                        <w:szCs w:val="11"/>
                      </w:rPr>
                      <w:t xml:space="preserve">              (8)</w:t>
                    </w:r>
                  </w:p>
                </w:txbxContent>
              </v:textbox>
            </v:roundrect>
            <v:roundrect id="_s1075" o:spid="_x0000_s1075" style="position:absolute;left:3321;top:4564;width:900;height:663;v-text-anchor:middle" arcsize="10923f" o:dgmlayout="2" o:dgmnodekind="0" strokeweight="0">
              <v:textbox style="mso-next-textbox:#_s1075" inset="0,0,0,0">
                <w:txbxContent>
                  <w:p w:rsidR="00A16D30" w:rsidRPr="00833CF1" w:rsidRDefault="00A16D30" w:rsidP="00555334">
                    <w:pPr>
                      <w:spacing w:before="20" w:after="0"/>
                      <w:ind w:firstLine="0"/>
                      <w:jc w:val="center"/>
                      <w:rPr>
                        <w:rFonts w:ascii="GillSans" w:hAnsi="GillSans"/>
                        <w:sz w:val="14"/>
                        <w:szCs w:val="14"/>
                      </w:rPr>
                    </w:pPr>
                    <w:r w:rsidRPr="00833CF1">
                      <w:rPr>
                        <w:rFonts w:ascii="GillSans" w:hAnsi="GillSans"/>
                        <w:sz w:val="14"/>
                        <w:szCs w:val="14"/>
                      </w:rPr>
                      <w:t>Consejo de Nav</w:t>
                    </w:r>
                    <w:r w:rsidRPr="00833CF1">
                      <w:rPr>
                        <w:rFonts w:ascii="GillSans" w:hAnsi="GillSans"/>
                        <w:sz w:val="14"/>
                        <w:szCs w:val="14"/>
                      </w:rPr>
                      <w:t>a</w:t>
                    </w:r>
                    <w:r w:rsidRPr="00833CF1">
                      <w:rPr>
                        <w:rFonts w:ascii="GillSans" w:hAnsi="GillSans"/>
                        <w:sz w:val="14"/>
                        <w:szCs w:val="14"/>
                      </w:rPr>
                      <w:t>rra</w:t>
                    </w:r>
                  </w:p>
                </w:txbxContent>
              </v:textbox>
            </v:roundrect>
            <v:roundrect id="_s1076" o:spid="_x0000_s1076" style="position:absolute;left:9359;top:5345;width:1163;height:398;v-text-anchor:middle" arcsize="10923f" o:dgmlayout="0" o:dgmnodekind="0" o:dgmlayoutmru="0" filled="f" fillcolor="#bbe0e3" strokeweight="0">
              <v:textbox style="mso-next-textbox:#_s1076" inset="0,0,0,0">
                <w:txbxContent>
                  <w:p w:rsidR="00A16D30" w:rsidRPr="002036E0" w:rsidRDefault="00A16D30" w:rsidP="009C1354">
                    <w:pPr>
                      <w:spacing w:before="40" w:after="0"/>
                      <w:ind w:firstLine="0"/>
                      <w:jc w:val="center"/>
                      <w:rPr>
                        <w:rFonts w:ascii="GillSans" w:hAnsi="GillSans"/>
                        <w:sz w:val="11"/>
                        <w:szCs w:val="11"/>
                      </w:rPr>
                    </w:pPr>
                    <w:r>
                      <w:rPr>
                        <w:rFonts w:ascii="GillSans" w:hAnsi="GillSans"/>
                        <w:sz w:val="11"/>
                        <w:szCs w:val="11"/>
                      </w:rPr>
                      <w:t>FUNDACIONES PÚBLICAS (6)</w:t>
                    </w:r>
                  </w:p>
                </w:txbxContent>
              </v:textbox>
            </v:roundrect>
            <v:roundrect id="_s1077" o:spid="_x0000_s1077" style="position:absolute;left:6721;top:5309;width:1164;height:407;v-text-anchor:middle" arcsize="10923f" o:dgmlayout="0" o:dgmnodekind="0" o:dgmlayoutmru="0" strokeweight="0">
              <v:textbox style="mso-next-textbox:#_s1077" inset="0,0,0,0">
                <w:txbxContent>
                  <w:p w:rsidR="00A16D30" w:rsidRDefault="00A16D30" w:rsidP="009C1354">
                    <w:pPr>
                      <w:spacing w:before="40" w:after="0"/>
                      <w:ind w:firstLine="0"/>
                      <w:jc w:val="center"/>
                      <w:rPr>
                        <w:rFonts w:ascii="GillSans" w:hAnsi="GillSans"/>
                        <w:sz w:val="11"/>
                        <w:szCs w:val="11"/>
                      </w:rPr>
                    </w:pPr>
                    <w:r w:rsidRPr="002036E0">
                      <w:rPr>
                        <w:rFonts w:ascii="GillSans" w:hAnsi="GillSans"/>
                        <w:sz w:val="11"/>
                        <w:szCs w:val="11"/>
                      </w:rPr>
                      <w:t xml:space="preserve">ORGANISMOS </w:t>
                    </w:r>
                  </w:p>
                  <w:p w:rsidR="00A16D30" w:rsidRPr="002036E0" w:rsidRDefault="00A16D30" w:rsidP="009C1354">
                    <w:pPr>
                      <w:spacing w:before="40" w:after="0"/>
                      <w:ind w:firstLine="0"/>
                      <w:jc w:val="center"/>
                      <w:rPr>
                        <w:rFonts w:ascii="GillSans" w:hAnsi="GillSans"/>
                        <w:sz w:val="11"/>
                        <w:szCs w:val="11"/>
                      </w:rPr>
                    </w:pPr>
                    <w:r w:rsidRPr="002036E0">
                      <w:rPr>
                        <w:rFonts w:ascii="GillSans" w:hAnsi="GillSans"/>
                        <w:sz w:val="11"/>
                        <w:szCs w:val="11"/>
                      </w:rPr>
                      <w:t xml:space="preserve">PÚBLICOS </w:t>
                    </w:r>
                  </w:p>
                </w:txbxContent>
              </v:textbox>
            </v:roundrect>
            <v:roundrect id="_s1078" o:spid="_x0000_s1078" style="position:absolute;left:5519;top:6876;width:970;height:301;v-text-anchor:middle" arcsize="10923f" o:dgmlayout="2" o:dgmnodekind="0" strokeweight="0">
              <v:textbox style="mso-next-textbox:#_s1078" inset="0,0,0,0">
                <w:txbxContent>
                  <w:p w:rsidR="00A16D30" w:rsidRPr="00833CF1" w:rsidRDefault="00A16D30" w:rsidP="009C1354">
                    <w:pPr>
                      <w:spacing w:before="40" w:after="0"/>
                      <w:ind w:firstLine="0"/>
                      <w:jc w:val="center"/>
                      <w:rPr>
                        <w:rFonts w:ascii="GillSans" w:hAnsi="GillSans"/>
                        <w:sz w:val="10"/>
                        <w:szCs w:val="10"/>
                      </w:rPr>
                    </w:pPr>
                    <w:r w:rsidRPr="00833CF1">
                      <w:rPr>
                        <w:rFonts w:ascii="GillSans" w:hAnsi="GillSans"/>
                        <w:sz w:val="10"/>
                        <w:szCs w:val="10"/>
                      </w:rPr>
                      <w:t xml:space="preserve">Presidencia, </w:t>
                    </w:r>
                    <w:r>
                      <w:rPr>
                        <w:rFonts w:ascii="GillSans" w:hAnsi="GillSans"/>
                        <w:sz w:val="10"/>
                        <w:szCs w:val="10"/>
                      </w:rPr>
                      <w:t>Justicia</w:t>
                    </w:r>
                    <w:r w:rsidRPr="00833CF1">
                      <w:rPr>
                        <w:rFonts w:ascii="GillSans" w:hAnsi="GillSans"/>
                        <w:sz w:val="10"/>
                        <w:szCs w:val="10"/>
                      </w:rPr>
                      <w:t xml:space="preserve"> e Interior</w:t>
                    </w:r>
                  </w:p>
                </w:txbxContent>
              </v:textbox>
            </v:roundrect>
            <v:roundrect id="_s1079" o:spid="_x0000_s1079" style="position:absolute;left:5481;top:7537;width:970;height:477;v-text-anchor:middle" arcsize="10923f" o:dgmlayout="2" o:dgmnodekind="0" strokeweight="0">
              <v:textbox style="mso-next-textbox:#_s1079" inset="0,0,0,0">
                <w:txbxContent>
                  <w:p w:rsidR="00A16D30" w:rsidRPr="00D22428" w:rsidRDefault="00A16D30" w:rsidP="00555334">
                    <w:pPr>
                      <w:spacing w:after="0"/>
                      <w:ind w:firstLine="0"/>
                      <w:jc w:val="center"/>
                      <w:rPr>
                        <w:rFonts w:ascii="GillSans" w:hAnsi="GillSans"/>
                        <w:sz w:val="10"/>
                        <w:szCs w:val="10"/>
                      </w:rPr>
                    </w:pPr>
                    <w:r w:rsidRPr="00D22428">
                      <w:rPr>
                        <w:rFonts w:ascii="GillSans" w:hAnsi="GillSans"/>
                        <w:sz w:val="10"/>
                        <w:szCs w:val="10"/>
                      </w:rPr>
                      <w:t>Economía</w:t>
                    </w:r>
                    <w:r>
                      <w:rPr>
                        <w:rFonts w:ascii="GillSans" w:hAnsi="GillSans"/>
                        <w:sz w:val="10"/>
                        <w:szCs w:val="10"/>
                      </w:rPr>
                      <w:t>, Hacienda, Industria y Empleo</w:t>
                    </w:r>
                  </w:p>
                </w:txbxContent>
              </v:textbox>
            </v:roundrect>
            <v:roundrect id="_s1080" o:spid="_x0000_s1080" style="position:absolute;left:5519;top:8280;width:970;height:508;v-text-anchor:middle" arcsize="10923f" o:dgmlayout="2" o:dgmnodekind="0" strokeweight="0">
              <v:textbox style="mso-next-textbox:#_s1080" inset="0,0,0,0">
                <w:txbxContent>
                  <w:p w:rsidR="00A16D30" w:rsidRPr="00833CF1" w:rsidRDefault="00A16D30" w:rsidP="009C1354">
                    <w:pPr>
                      <w:spacing w:before="40" w:after="0"/>
                      <w:ind w:firstLine="0"/>
                      <w:jc w:val="center"/>
                      <w:rPr>
                        <w:rFonts w:ascii="GillSans" w:hAnsi="GillSans"/>
                        <w:sz w:val="10"/>
                        <w:szCs w:val="10"/>
                      </w:rPr>
                    </w:pPr>
                    <w:r w:rsidRPr="00833CF1">
                      <w:rPr>
                        <w:rFonts w:ascii="GillSans" w:hAnsi="GillSans"/>
                        <w:sz w:val="10"/>
                        <w:szCs w:val="10"/>
                      </w:rPr>
                      <w:t>Cultura, Turi</w:t>
                    </w:r>
                    <w:r w:rsidRPr="00833CF1">
                      <w:rPr>
                        <w:rFonts w:ascii="GillSans" w:hAnsi="GillSans"/>
                        <w:sz w:val="10"/>
                        <w:szCs w:val="10"/>
                      </w:rPr>
                      <w:t>s</w:t>
                    </w:r>
                    <w:r w:rsidRPr="00833CF1">
                      <w:rPr>
                        <w:rFonts w:ascii="GillSans" w:hAnsi="GillSans"/>
                        <w:sz w:val="10"/>
                        <w:szCs w:val="10"/>
                      </w:rPr>
                      <w:t>mo y Relaciones Institucionales</w:t>
                    </w:r>
                  </w:p>
                </w:txbxContent>
              </v:textbox>
            </v:roundrect>
            <v:roundrect id="_s1081" o:spid="_x0000_s1081" style="position:absolute;left:5639;top:9073;width:970;height:264;v-text-anchor:middle" arcsize="10923f" o:dgmlayout="2" o:dgmnodekind="0" strokeweight="0">
              <v:textbox style="mso-next-textbox:#_s1081" inset="0,0,0,0">
                <w:txbxContent>
                  <w:p w:rsidR="00A16D30" w:rsidRPr="005F5857" w:rsidRDefault="00A16D30" w:rsidP="00555334">
                    <w:pPr>
                      <w:spacing w:before="40"/>
                      <w:ind w:firstLine="181"/>
                      <w:rPr>
                        <w:rFonts w:ascii="GillSans" w:hAnsi="GillSans"/>
                        <w:sz w:val="11"/>
                        <w:szCs w:val="11"/>
                      </w:rPr>
                    </w:pPr>
                    <w:r>
                      <w:rPr>
                        <w:rFonts w:ascii="GillSans" w:hAnsi="GillSans"/>
                        <w:sz w:val="11"/>
                        <w:szCs w:val="11"/>
                      </w:rPr>
                      <w:t>Fomento</w:t>
                    </w:r>
                  </w:p>
                </w:txbxContent>
              </v:textbox>
            </v:roundrect>
            <v:roundrect id="_s1082" o:spid="_x0000_s1082" style="position:absolute;left:5558;top:9763;width:970;height:294;v-text-anchor:middle" arcsize="10923f" o:dgmlayout="2" o:dgmnodekind="0" strokeweight="0">
              <v:textbox style="mso-next-textbox:#_s1082" inset="0,0,0,0">
                <w:txbxContent>
                  <w:p w:rsidR="00A16D30" w:rsidRPr="005F5857" w:rsidRDefault="00A16D30" w:rsidP="00555334">
                    <w:pPr>
                      <w:spacing w:after="0"/>
                      <w:ind w:firstLine="0"/>
                      <w:jc w:val="center"/>
                      <w:rPr>
                        <w:rFonts w:ascii="GillSans" w:hAnsi="GillSans"/>
                        <w:sz w:val="11"/>
                        <w:szCs w:val="11"/>
                      </w:rPr>
                    </w:pPr>
                    <w:r>
                      <w:rPr>
                        <w:rFonts w:ascii="GillSans" w:hAnsi="GillSans"/>
                        <w:sz w:val="11"/>
                        <w:szCs w:val="11"/>
                      </w:rPr>
                      <w:t>Educación</w:t>
                    </w:r>
                  </w:p>
                </w:txbxContent>
              </v:textbox>
            </v:roundrect>
            <v:roundrect id="_s1083" o:spid="_x0000_s1083" style="position:absolute;left:5558;top:11337;width:970;height:423;v-text-anchor:middle" arcsize="10923f" o:dgmlayout="2" o:dgmnodekind="0" strokeweight="0">
              <v:textbox style="mso-next-textbox:#_s1083" inset="0,0,0,0">
                <w:txbxContent>
                  <w:p w:rsidR="00A16D30" w:rsidRPr="00872890" w:rsidRDefault="00A16D30" w:rsidP="009C1354">
                    <w:pPr>
                      <w:spacing w:before="40" w:after="0"/>
                      <w:ind w:firstLine="0"/>
                      <w:jc w:val="center"/>
                      <w:rPr>
                        <w:rFonts w:ascii="GillSans" w:hAnsi="GillSans"/>
                        <w:sz w:val="10"/>
                        <w:szCs w:val="10"/>
                      </w:rPr>
                    </w:pPr>
                    <w:r w:rsidRPr="00833CF1">
                      <w:rPr>
                        <w:rFonts w:ascii="GillSans" w:hAnsi="GillSans"/>
                        <w:sz w:val="9"/>
                        <w:szCs w:val="9"/>
                      </w:rPr>
                      <w:t>Desarrollo Rural, Medio Ambiente y Administración</w:t>
                    </w:r>
                    <w:r w:rsidRPr="00872890">
                      <w:rPr>
                        <w:rFonts w:ascii="GillSans" w:hAnsi="GillSans"/>
                        <w:sz w:val="10"/>
                        <w:szCs w:val="10"/>
                      </w:rPr>
                      <w:t xml:space="preserve"> Local</w:t>
                    </w:r>
                  </w:p>
                </w:txbxContent>
              </v:textbox>
            </v:roundrect>
            <v:roundrect id="_s1084" o:spid="_x0000_s1084" style="position:absolute;left:5519;top:12217;width:970;height:416;v-text-anchor:middle" arcsize="10923f" o:dgmlayout="2" o:dgmnodekind="0" strokeweight="0">
              <v:textbox style="mso-next-textbox:#_s1084" inset="0,0,0,0">
                <w:txbxContent>
                  <w:p w:rsidR="00A16D30" w:rsidRPr="00833CF1" w:rsidRDefault="00A16D30" w:rsidP="00555334">
                    <w:pPr>
                      <w:spacing w:before="20" w:after="0"/>
                      <w:ind w:firstLine="0"/>
                      <w:jc w:val="center"/>
                      <w:rPr>
                        <w:rFonts w:ascii="GillSans" w:hAnsi="GillSans"/>
                        <w:sz w:val="10"/>
                        <w:szCs w:val="10"/>
                      </w:rPr>
                    </w:pPr>
                    <w:r w:rsidRPr="00833CF1">
                      <w:rPr>
                        <w:rFonts w:ascii="GillSans" w:hAnsi="GillSans"/>
                        <w:sz w:val="10"/>
                        <w:szCs w:val="10"/>
                      </w:rPr>
                      <w:t>Políticas Sociales</w:t>
                    </w:r>
                  </w:p>
                </w:txbxContent>
              </v:textbox>
            </v:roundrect>
            <v:roundrect id="_s1085" o:spid="_x0000_s1085" style="position:absolute;left:6848;top:6066;width:911;height:414;v-text-anchor:middle" arcsize="10923f" o:dgmlayout="3" o:dgmnodekind="0" o:dgmlayoutmru="3" strokeweight="0">
              <v:textbox style="mso-next-textbox:#_s1085" inset="0,0,0,0">
                <w:txbxContent>
                  <w:p w:rsidR="00A16D30" w:rsidRPr="00833CF1" w:rsidRDefault="00A16D30" w:rsidP="009C1354">
                    <w:pPr>
                      <w:spacing w:before="40" w:after="0"/>
                      <w:ind w:firstLine="0"/>
                      <w:jc w:val="left"/>
                      <w:rPr>
                        <w:rFonts w:ascii="GillSans" w:hAnsi="GillSans"/>
                        <w:sz w:val="10"/>
                        <w:szCs w:val="10"/>
                      </w:rPr>
                    </w:pPr>
                    <w:r w:rsidRPr="00833CF1">
                      <w:rPr>
                        <w:rFonts w:ascii="GillSans" w:hAnsi="GillSans"/>
                        <w:sz w:val="10"/>
                        <w:szCs w:val="10"/>
                      </w:rPr>
                      <w:t>ORGANISMOS AUTÓNOMOS (9)</w:t>
                    </w:r>
                  </w:p>
                </w:txbxContent>
              </v:textbox>
            </v:roundrect>
            <v:roundrect id="_s1086" o:spid="_x0000_s1086" style="position:absolute;left:6741;top:6997;width:439;height:281;v-text-anchor:middle" arcsize="10923f" o:dgmlayout="3" o:dgmnodekind="0" strokeweight="0">
              <v:textbox style="mso-next-textbox:#_s1086"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ANE</w:t>
                    </w:r>
                  </w:p>
                </w:txbxContent>
              </v:textbox>
            </v:roundrect>
            <v:roundrect id="_s1087" o:spid="_x0000_s1087" style="position:absolute;left:6741;top:7537;width:372;height:186;v-text-anchor:middle" arcsize="10923f" o:dgmlayout="3" o:dgmnodekind="0" strokeweight="0">
              <v:textbox style="mso-next-textbox:#_s1087"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HTN</w:t>
                    </w:r>
                  </w:p>
                </w:txbxContent>
              </v:textbox>
            </v:roundrect>
            <v:roundrect id="_s1088" o:spid="_x0000_s1088" style="position:absolute;left:6861;top:9870;width:373;height:187;v-text-anchor:middle" arcsize="10923f" o:dgmlayout="3" o:dgmnodekind="0" strokeweight="0">
              <v:textbox style="mso-next-textbox:#_s1088"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INV/E</w:t>
                    </w:r>
                  </w:p>
                </w:txbxContent>
              </v:textbox>
            </v:roundrect>
            <v:roundrect id="_s1089" o:spid="_x0000_s1089" style="position:absolute;left:6861;top:10404;width:372;height:193;v-text-anchor:middle" arcsize="10923f" o:dgmlayout="3" o:dgmnodekind="0" strokeweight="0">
              <v:textbox style="mso-next-textbox:#_s1089"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INS</w:t>
                    </w:r>
                    <w:r>
                      <w:rPr>
                        <w:rFonts w:ascii="GillSans" w:hAnsi="GillSans"/>
                        <w:sz w:val="11"/>
                        <w:szCs w:val="11"/>
                      </w:rPr>
                      <w:t>PL</w:t>
                    </w:r>
                  </w:p>
                </w:txbxContent>
              </v:textbox>
            </v:roundrect>
            <v:roundrect id="_s1090" o:spid="_x0000_s1090" style="position:absolute;left:6751;top:10770;width:445;height:187;v-text-anchor:middle" arcsize="10923f" o:dgmlayout="3" o:dgmnodekind="0" strokeweight="0">
              <v:textbox style="mso-next-textbox:#_s1090"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SNS-O</w:t>
                    </w:r>
                  </w:p>
                </w:txbxContent>
              </v:textbox>
            </v:roundrect>
            <v:roundrect id="_s1091" o:spid="_x0000_s1091" style="position:absolute;left:6861;top:12037;width:373;height:187;v-text-anchor:middle" arcsize="10923f" o:dgmlayout="3" o:dgmnodekind="0" strokeweight="0">
              <v:textbox style="mso-next-textbox:#_s1091" inset="0,0,0,0">
                <w:txbxContent>
                  <w:p w:rsidR="00A16D30" w:rsidRPr="002036E0" w:rsidRDefault="00A16D30" w:rsidP="00555334">
                    <w:pPr>
                      <w:spacing w:before="20" w:after="0"/>
                      <w:ind w:firstLine="0"/>
                      <w:jc w:val="center"/>
                      <w:rPr>
                        <w:rFonts w:ascii="GillSans" w:hAnsi="GillSans"/>
                        <w:sz w:val="11"/>
                        <w:szCs w:val="11"/>
                      </w:rPr>
                    </w:pPr>
                    <w:r>
                      <w:rPr>
                        <w:rFonts w:ascii="GillSans" w:hAnsi="GillSans"/>
                        <w:sz w:val="11"/>
                        <w:szCs w:val="11"/>
                      </w:rPr>
                      <w:t>ANAP</w:t>
                    </w:r>
                  </w:p>
                </w:txbxContent>
              </v:textbox>
            </v:roundrect>
            <v:roundrect id="_s1092" o:spid="_x0000_s1092" style="position:absolute;left:6861;top:12397;width:373;height:186;v-text-anchor:middle" arcsize="10923f" o:dgmlayout="3" o:dgmnodekind="0" strokeweight="0">
              <v:textbox style="mso-next-textbox:#_s1092" inset="0,0,0,0">
                <w:txbxContent>
                  <w:p w:rsidR="00A16D30" w:rsidRPr="002036E0" w:rsidRDefault="00A16D30" w:rsidP="00555334">
                    <w:pPr>
                      <w:spacing w:before="20" w:after="0"/>
                      <w:ind w:firstLine="0"/>
                      <w:jc w:val="center"/>
                      <w:rPr>
                        <w:rFonts w:ascii="GillSans" w:hAnsi="GillSans"/>
                        <w:sz w:val="11"/>
                        <w:szCs w:val="11"/>
                      </w:rPr>
                    </w:pPr>
                    <w:r>
                      <w:rPr>
                        <w:rFonts w:ascii="GillSans" w:hAnsi="GillSans"/>
                        <w:sz w:val="11"/>
                        <w:szCs w:val="11"/>
                      </w:rPr>
                      <w:t>INFI</w:t>
                    </w:r>
                  </w:p>
                </w:txbxContent>
              </v:textbox>
            </v:roundrect>
            <v:roundrect id="_s1093" o:spid="_x0000_s1093" style="position:absolute;left:8618;top:6749;width:1152;height:261;v-text-anchor:middle" arcsize="10923f" o:dgmlayout="2" o:dgmnodekind="0" strokeweight="0">
              <v:textbox style="mso-next-textbox:#_s1093" inset="0,0,0,0">
                <w:txbxContent>
                  <w:p w:rsidR="00A16D30" w:rsidRPr="002036E0" w:rsidRDefault="00A16D30" w:rsidP="00555334">
                    <w:pPr>
                      <w:spacing w:after="0"/>
                      <w:ind w:firstLine="0"/>
                      <w:jc w:val="center"/>
                      <w:rPr>
                        <w:rFonts w:ascii="GillSans" w:hAnsi="GillSans"/>
                        <w:sz w:val="11"/>
                        <w:szCs w:val="11"/>
                      </w:rPr>
                    </w:pPr>
                    <w:r w:rsidRPr="002036E0">
                      <w:rPr>
                        <w:rFonts w:ascii="GillSans" w:hAnsi="GillSans"/>
                        <w:sz w:val="11"/>
                        <w:szCs w:val="11"/>
                      </w:rPr>
                      <w:t>Miguel Servet</w:t>
                    </w:r>
                  </w:p>
                </w:txbxContent>
              </v:textbox>
            </v:roundrect>
            <v:roundrect id="_s1094" o:spid="_x0000_s1094" style="position:absolute;left:8627;top:7435;width:1143;height:306;v-text-anchor:middle" arcsize="10923f" o:dgmlayout="3" o:dgmnodekind="0" strokeweight="0">
              <v:textbox style="mso-next-textbox:#_s1094" inset="0,0,0,0">
                <w:txbxContent>
                  <w:p w:rsidR="00A16D30" w:rsidRPr="00833CF1" w:rsidRDefault="00A16D30" w:rsidP="009C1354">
                    <w:pPr>
                      <w:spacing w:before="40" w:after="0"/>
                      <w:ind w:firstLine="0"/>
                      <w:jc w:val="center"/>
                      <w:rPr>
                        <w:rFonts w:ascii="GillSans" w:hAnsi="GillSans"/>
                        <w:sz w:val="10"/>
                        <w:szCs w:val="10"/>
                      </w:rPr>
                    </w:pPr>
                    <w:proofErr w:type="spellStart"/>
                    <w:r w:rsidRPr="00833CF1">
                      <w:rPr>
                        <w:rFonts w:ascii="GillSans" w:hAnsi="GillSans"/>
                        <w:sz w:val="10"/>
                        <w:szCs w:val="10"/>
                      </w:rPr>
                      <w:t>Conserv</w:t>
                    </w:r>
                    <w:proofErr w:type="spellEnd"/>
                    <w:r w:rsidRPr="00833CF1">
                      <w:rPr>
                        <w:rFonts w:ascii="GillSans" w:hAnsi="GillSans"/>
                        <w:sz w:val="10"/>
                        <w:szCs w:val="10"/>
                      </w:rPr>
                      <w:t>. Patrim</w:t>
                    </w:r>
                    <w:r w:rsidRPr="00833CF1">
                      <w:rPr>
                        <w:rFonts w:ascii="GillSans" w:hAnsi="GillSans"/>
                        <w:sz w:val="10"/>
                        <w:szCs w:val="10"/>
                      </w:rPr>
                      <w:t>o</w:t>
                    </w:r>
                    <w:r w:rsidRPr="00833CF1">
                      <w:rPr>
                        <w:rFonts w:ascii="GillSans" w:hAnsi="GillSans"/>
                        <w:sz w:val="10"/>
                        <w:szCs w:val="10"/>
                      </w:rPr>
                      <w:t>nio Histórico</w:t>
                    </w:r>
                    <w:r w:rsidRPr="002036E0">
                      <w:rPr>
                        <w:rFonts w:ascii="GillSans" w:hAnsi="GillSans"/>
                        <w:sz w:val="11"/>
                        <w:szCs w:val="11"/>
                      </w:rPr>
                      <w:t xml:space="preserve"> </w:t>
                    </w:r>
                    <w:r w:rsidRPr="00833CF1">
                      <w:rPr>
                        <w:rFonts w:ascii="GillSans" w:hAnsi="GillSans"/>
                        <w:sz w:val="10"/>
                        <w:szCs w:val="10"/>
                      </w:rPr>
                      <w:t>Navarra</w:t>
                    </w:r>
                  </w:p>
                </w:txbxContent>
              </v:textbox>
            </v:roundrect>
            <v:roundrect id="_s1095" o:spid="_x0000_s1095" style="position:absolute;left:8627;top:8093;width:1143;height:306;v-text-anchor:middle" arcsize="10923f" o:dgmlayout="3" o:dgmnodekind="0" strokeweight="0">
              <v:textbox style="mso-next-textbox:#_s1095" inset="0,0,0,0">
                <w:txbxContent>
                  <w:p w:rsidR="00A16D30" w:rsidRPr="002036E0" w:rsidRDefault="00A16D30" w:rsidP="009C1354">
                    <w:pPr>
                      <w:spacing w:before="40" w:after="0"/>
                      <w:ind w:firstLine="0"/>
                      <w:jc w:val="center"/>
                      <w:rPr>
                        <w:rFonts w:ascii="GillSans" w:hAnsi="GillSans"/>
                        <w:sz w:val="11"/>
                        <w:szCs w:val="11"/>
                      </w:rPr>
                    </w:pPr>
                    <w:r w:rsidRPr="002036E0">
                      <w:rPr>
                        <w:rFonts w:ascii="GillSans" w:hAnsi="GillSans"/>
                        <w:sz w:val="11"/>
                        <w:szCs w:val="11"/>
                      </w:rPr>
                      <w:t xml:space="preserve">Tutela de las Personas </w:t>
                    </w:r>
                    <w:r>
                      <w:rPr>
                        <w:rFonts w:ascii="GillSans" w:hAnsi="GillSans"/>
                        <w:sz w:val="11"/>
                        <w:szCs w:val="11"/>
                      </w:rPr>
                      <w:t>Adultas</w:t>
                    </w:r>
                  </w:p>
                </w:txbxContent>
              </v:textbox>
            </v:roundrect>
            <v:roundrect id="_s1096" o:spid="_x0000_s1096" style="position:absolute;left:8627;top:8659;width:1143;height:305;v-text-anchor:middle" arcsize="10923f" o:dgmlayout="3" o:dgmnodekind="0" strokeweight="0">
              <v:textbox style="mso-next-textbox:#_s1096" inset="0,0,0,0">
                <w:txbxContent>
                  <w:p w:rsidR="00A16D30" w:rsidRPr="002036E0" w:rsidRDefault="00A16D30" w:rsidP="009C1354">
                    <w:pPr>
                      <w:spacing w:before="40" w:after="0"/>
                      <w:ind w:firstLine="0"/>
                      <w:jc w:val="center"/>
                      <w:rPr>
                        <w:rFonts w:ascii="GillSans" w:hAnsi="GillSans"/>
                        <w:sz w:val="11"/>
                        <w:szCs w:val="11"/>
                      </w:rPr>
                    </w:pPr>
                    <w:r w:rsidRPr="002036E0">
                      <w:rPr>
                        <w:rFonts w:ascii="GillSans" w:hAnsi="GillSans"/>
                        <w:sz w:val="11"/>
                        <w:szCs w:val="11"/>
                      </w:rPr>
                      <w:t xml:space="preserve">Navarra para la </w:t>
                    </w:r>
                    <w:r>
                      <w:rPr>
                        <w:rFonts w:ascii="GillSans" w:hAnsi="GillSans"/>
                        <w:sz w:val="11"/>
                        <w:szCs w:val="11"/>
                      </w:rPr>
                      <w:t>Excelencia</w:t>
                    </w:r>
                  </w:p>
                </w:txbxContent>
              </v:textbox>
            </v:roundrect>
            <v:roundrect id="_s1097" o:spid="_x0000_s1097" style="position:absolute;left:8627;top:9223;width:1143;height:260;v-text-anchor:middle" arcsize="10923f" o:dgmlayout="3" o:dgmnodekind="0" strokeweight="0">
              <v:textbox style="mso-next-textbox:#_s1097" inset="0,0,0,0">
                <w:txbxContent>
                  <w:p w:rsidR="00A16D30" w:rsidRPr="002036E0" w:rsidRDefault="00A16D30" w:rsidP="00555334">
                    <w:pPr>
                      <w:spacing w:after="0"/>
                      <w:ind w:firstLine="0"/>
                      <w:jc w:val="center"/>
                      <w:rPr>
                        <w:rFonts w:ascii="GillSans" w:hAnsi="GillSans"/>
                        <w:sz w:val="11"/>
                        <w:szCs w:val="11"/>
                      </w:rPr>
                    </w:pPr>
                    <w:r w:rsidRPr="002036E0">
                      <w:rPr>
                        <w:rFonts w:ascii="GillSans" w:hAnsi="GillSans"/>
                        <w:sz w:val="11"/>
                        <w:szCs w:val="11"/>
                      </w:rPr>
                      <w:t>Baluarte</w:t>
                    </w:r>
                  </w:p>
                </w:txbxContent>
              </v:textbox>
            </v:roundrect>
            <v:roundrect id="_x0000_s1098" style="position:absolute;left:6886;top:12757;width:373;height:186;v-text-anchor:middle" arcsize="11038f" o:dgmlayout="3" o:dgmnodekind="0" strokeweight="0">
              <v:textbox style="mso-next-textbox:#_x0000_s1098" inset="0,0,0,0">
                <w:txbxContent>
                  <w:p w:rsidR="00A16D30" w:rsidRPr="002036E0" w:rsidRDefault="00A16D30" w:rsidP="00555334">
                    <w:pPr>
                      <w:spacing w:before="20" w:after="0"/>
                      <w:ind w:firstLine="0"/>
                      <w:jc w:val="center"/>
                      <w:rPr>
                        <w:rFonts w:ascii="GillSans" w:hAnsi="GillSans"/>
                        <w:sz w:val="11"/>
                        <w:szCs w:val="11"/>
                      </w:rPr>
                    </w:pPr>
                    <w:r w:rsidRPr="002036E0">
                      <w:rPr>
                        <w:rFonts w:ascii="GillSans" w:hAnsi="GillSans"/>
                        <w:sz w:val="11"/>
                        <w:szCs w:val="11"/>
                      </w:rPr>
                      <w:t>IN</w:t>
                    </w:r>
                    <w:r>
                      <w:rPr>
                        <w:rFonts w:ascii="GillSans" w:hAnsi="GillSans"/>
                        <w:sz w:val="11"/>
                        <w:szCs w:val="11"/>
                      </w:rPr>
                      <w:t>DJ</w:t>
                    </w:r>
                  </w:p>
                </w:txbxContent>
              </v:textbox>
            </v:roundrect>
            <v:shapetype id="_x0000_t202" coordsize="21600,21600" o:spt="202" path="m,l,21600r21600,l21600,xe">
              <v:stroke joinstyle="miter"/>
              <v:path gradientshapeok="t" o:connecttype="rect"/>
            </v:shapetype>
            <v:shape id="_x0000_s1099" type="#_x0000_t202" style="position:absolute;left:959;top:8076;width:4000;height:4739" filled="f" stroked="f">
              <v:textbox style="mso-next-textbox:#_x0000_s1099">
                <w:txbxContent>
                  <w:tbl>
                    <w:tblPr>
                      <w:tblW w:w="4068" w:type="dxa"/>
                      <w:tblLook w:val="01E0" w:firstRow="1" w:lastRow="1" w:firstColumn="1" w:lastColumn="1" w:noHBand="0" w:noVBand="0"/>
                    </w:tblPr>
                    <w:tblGrid>
                      <w:gridCol w:w="721"/>
                      <w:gridCol w:w="3347"/>
                    </w:tblGrid>
                    <w:tr w:rsidR="00A16D30" w:rsidRPr="006C5E22" w:rsidTr="000E2288">
                      <w:tc>
                        <w:tcPr>
                          <w:tcW w:w="721" w:type="dxa"/>
                          <w:shd w:val="clear" w:color="auto" w:fill="auto"/>
                        </w:tcPr>
                        <w:p w:rsidR="00A16D30" w:rsidRPr="00A63D69" w:rsidRDefault="00A16D30" w:rsidP="000E2288">
                          <w:pPr>
                            <w:spacing w:before="60" w:after="60"/>
                            <w:ind w:left="-100"/>
                            <w:rPr>
                              <w:rFonts w:ascii="GillSans" w:hAnsi="GillSans" w:cs="Arial"/>
                              <w:sz w:val="16"/>
                              <w:szCs w:val="16"/>
                            </w:rPr>
                          </w:pPr>
                        </w:p>
                      </w:tc>
                      <w:tc>
                        <w:tcPr>
                          <w:tcW w:w="3347" w:type="dxa"/>
                          <w:shd w:val="clear" w:color="auto" w:fill="auto"/>
                        </w:tcPr>
                        <w:p w:rsidR="00A16D30" w:rsidRPr="00A63D69" w:rsidRDefault="00A16D30" w:rsidP="000E2288">
                          <w:pPr>
                            <w:spacing w:before="60" w:after="60"/>
                            <w:ind w:left="-121"/>
                            <w:rPr>
                              <w:rFonts w:ascii="GillSans" w:hAnsi="GillSans" w:cs="Arial"/>
                              <w:sz w:val="15"/>
                              <w:szCs w:val="15"/>
                            </w:rPr>
                          </w:pPr>
                          <w:r w:rsidRPr="00A63D69">
                            <w:rPr>
                              <w:rFonts w:ascii="GillSans" w:hAnsi="GillSans" w:cs="Arial"/>
                              <w:sz w:val="15"/>
                              <w:szCs w:val="15"/>
                            </w:rPr>
                            <w:t xml:space="preserve"> ORGANISMOS AUTÓNOMOS</w:t>
                          </w:r>
                        </w:p>
                      </w:tc>
                    </w:tr>
                    <w:tr w:rsidR="00A16D30" w:rsidRPr="006C5E22" w:rsidTr="000E2288">
                      <w:tc>
                        <w:tcPr>
                          <w:tcW w:w="721" w:type="dxa"/>
                          <w:shd w:val="clear" w:color="auto" w:fill="99CCFF"/>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ANE</w:t>
                          </w:r>
                        </w:p>
                      </w:tc>
                      <w:tc>
                        <w:tcPr>
                          <w:tcW w:w="3347" w:type="dxa"/>
                          <w:shd w:val="clear" w:color="auto" w:fill="99CCFF"/>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Agencia</w:t>
                          </w:r>
                          <w:r w:rsidRPr="006C5E22">
                            <w:rPr>
                              <w:rFonts w:ascii="Arial" w:hAnsi="Arial" w:cs="Arial"/>
                              <w:sz w:val="15"/>
                              <w:szCs w:val="15"/>
                            </w:rPr>
                            <w:t xml:space="preserve"> Navarra</w:t>
                          </w:r>
                          <w:r>
                            <w:rPr>
                              <w:rFonts w:ascii="Arial" w:hAnsi="Arial" w:cs="Arial"/>
                              <w:sz w:val="15"/>
                              <w:szCs w:val="15"/>
                            </w:rPr>
                            <w:t xml:space="preserve"> de Emergencias</w:t>
                          </w:r>
                        </w:p>
                      </w:tc>
                    </w:tr>
                    <w:tr w:rsidR="00A16D30" w:rsidRPr="006C5E22" w:rsidTr="000E2288">
                      <w:tc>
                        <w:tcPr>
                          <w:tcW w:w="721" w:type="dxa"/>
                          <w:shd w:val="clear" w:color="auto" w:fill="auto"/>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HTN</w:t>
                          </w:r>
                        </w:p>
                      </w:tc>
                      <w:tc>
                        <w:tcPr>
                          <w:tcW w:w="3347" w:type="dxa"/>
                          <w:shd w:val="clear" w:color="auto" w:fill="auto"/>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Hacienda Tributaria de Navarra</w:t>
                          </w:r>
                        </w:p>
                      </w:tc>
                    </w:tr>
                    <w:tr w:rsidR="00A16D30" w:rsidRPr="006C5E22" w:rsidTr="000E2288">
                      <w:tc>
                        <w:tcPr>
                          <w:tcW w:w="721" w:type="dxa"/>
                          <w:shd w:val="clear" w:color="auto" w:fill="99CCFF"/>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SNE</w:t>
                          </w:r>
                        </w:p>
                      </w:tc>
                      <w:tc>
                        <w:tcPr>
                          <w:tcW w:w="3347" w:type="dxa"/>
                          <w:shd w:val="clear" w:color="auto" w:fill="99CCFF"/>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Servicio Navarro de Empleo</w:t>
                          </w:r>
                        </w:p>
                      </w:tc>
                    </w:tr>
                    <w:tr w:rsidR="00A16D30" w:rsidRPr="006C5E22" w:rsidTr="000E2288">
                      <w:tc>
                        <w:tcPr>
                          <w:tcW w:w="721" w:type="dxa"/>
                          <w:shd w:val="clear" w:color="auto" w:fill="auto"/>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INV/E</w:t>
                          </w:r>
                        </w:p>
                      </w:tc>
                      <w:tc>
                        <w:tcPr>
                          <w:tcW w:w="3347" w:type="dxa"/>
                          <w:shd w:val="clear" w:color="auto" w:fill="auto"/>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Inst. Navarro de Vascuence-</w:t>
                          </w:r>
                          <w:proofErr w:type="spellStart"/>
                          <w:r>
                            <w:rPr>
                              <w:rFonts w:ascii="Arial" w:hAnsi="Arial" w:cs="Arial"/>
                              <w:sz w:val="15"/>
                              <w:szCs w:val="15"/>
                            </w:rPr>
                            <w:t>Euskarabidea</w:t>
                          </w:r>
                          <w:proofErr w:type="spellEnd"/>
                        </w:p>
                      </w:tc>
                    </w:tr>
                    <w:tr w:rsidR="00A16D30" w:rsidRPr="006C5E22" w:rsidTr="000E2288">
                      <w:tc>
                        <w:tcPr>
                          <w:tcW w:w="721" w:type="dxa"/>
                          <w:shd w:val="clear" w:color="auto" w:fill="99CCFF"/>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INSPL</w:t>
                          </w:r>
                        </w:p>
                      </w:tc>
                      <w:tc>
                        <w:tcPr>
                          <w:tcW w:w="3347" w:type="dxa"/>
                          <w:shd w:val="clear" w:color="auto" w:fill="99CCFF"/>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 xml:space="preserve">Instituto Navarro de Salud Pública y Laboral </w:t>
                          </w:r>
                        </w:p>
                      </w:tc>
                    </w:tr>
                    <w:tr w:rsidR="00A16D30" w:rsidRPr="006C5E22" w:rsidTr="000E2288">
                      <w:tc>
                        <w:tcPr>
                          <w:tcW w:w="721" w:type="dxa"/>
                          <w:shd w:val="clear" w:color="auto" w:fill="auto"/>
                        </w:tcPr>
                        <w:p w:rsidR="00A16D30" w:rsidRPr="00A63D69" w:rsidRDefault="00A16D30" w:rsidP="000E2288">
                          <w:pPr>
                            <w:spacing w:before="60" w:after="60"/>
                            <w:ind w:left="-100" w:right="-95" w:firstLine="100"/>
                            <w:rPr>
                              <w:rFonts w:ascii="GillSans" w:hAnsi="GillSans" w:cs="Arial"/>
                              <w:sz w:val="16"/>
                              <w:szCs w:val="16"/>
                            </w:rPr>
                          </w:pPr>
                          <w:r>
                            <w:rPr>
                              <w:rFonts w:ascii="GillSans" w:hAnsi="GillSans" w:cs="Arial"/>
                              <w:sz w:val="16"/>
                              <w:szCs w:val="16"/>
                            </w:rPr>
                            <w:t>SNS-O</w:t>
                          </w:r>
                        </w:p>
                      </w:tc>
                      <w:tc>
                        <w:tcPr>
                          <w:tcW w:w="3347" w:type="dxa"/>
                          <w:shd w:val="clear" w:color="auto" w:fill="auto"/>
                        </w:tcPr>
                        <w:p w:rsidR="00A16D30" w:rsidRPr="006C5E22" w:rsidRDefault="00A16D30" w:rsidP="000E2288">
                          <w:pPr>
                            <w:spacing w:before="60" w:after="60"/>
                            <w:ind w:left="-121" w:firstLine="119"/>
                            <w:rPr>
                              <w:rFonts w:ascii="Arial" w:hAnsi="Arial" w:cs="Arial"/>
                              <w:sz w:val="15"/>
                              <w:szCs w:val="15"/>
                            </w:rPr>
                          </w:pPr>
                          <w:r>
                            <w:rPr>
                              <w:rFonts w:ascii="Arial" w:hAnsi="Arial" w:cs="Arial"/>
                              <w:sz w:val="15"/>
                              <w:szCs w:val="15"/>
                            </w:rPr>
                            <w:t>Servicio Navarro de Salud-</w:t>
                          </w:r>
                          <w:proofErr w:type="spellStart"/>
                          <w:r>
                            <w:rPr>
                              <w:rFonts w:ascii="Arial" w:hAnsi="Arial" w:cs="Arial"/>
                              <w:sz w:val="15"/>
                              <w:szCs w:val="15"/>
                            </w:rPr>
                            <w:t>Osasunbidea</w:t>
                          </w:r>
                          <w:proofErr w:type="spellEnd"/>
                        </w:p>
                      </w:tc>
                    </w:tr>
                    <w:tr w:rsidR="00A16D30" w:rsidRPr="006C5E22" w:rsidTr="000E2288">
                      <w:tc>
                        <w:tcPr>
                          <w:tcW w:w="721" w:type="dxa"/>
                          <w:shd w:val="clear" w:color="auto" w:fill="99CCFF"/>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ANAP</w:t>
                          </w:r>
                        </w:p>
                      </w:tc>
                      <w:tc>
                        <w:tcPr>
                          <w:tcW w:w="3347" w:type="dxa"/>
                          <w:shd w:val="clear" w:color="auto" w:fill="99CCFF"/>
                        </w:tcPr>
                        <w:p w:rsidR="00A16D30" w:rsidRPr="006C5E22" w:rsidRDefault="00A16D30" w:rsidP="000E2288">
                          <w:pPr>
                            <w:spacing w:before="60" w:after="60"/>
                            <w:ind w:left="-121" w:firstLine="0"/>
                            <w:rPr>
                              <w:rFonts w:ascii="Arial" w:hAnsi="Arial" w:cs="Arial"/>
                              <w:sz w:val="15"/>
                              <w:szCs w:val="15"/>
                            </w:rPr>
                          </w:pPr>
                          <w:r>
                            <w:rPr>
                              <w:rFonts w:ascii="Arial" w:hAnsi="Arial" w:cs="Arial"/>
                              <w:sz w:val="15"/>
                              <w:szCs w:val="15"/>
                            </w:rPr>
                            <w:t xml:space="preserve"> Ag. Navarra para la Autonomía de las Personas</w:t>
                          </w:r>
                        </w:p>
                      </w:tc>
                    </w:tr>
                    <w:tr w:rsidR="00A16D30" w:rsidRPr="006C5E22" w:rsidTr="000E2288">
                      <w:tc>
                        <w:tcPr>
                          <w:tcW w:w="721" w:type="dxa"/>
                          <w:shd w:val="clear" w:color="auto" w:fill="auto"/>
                        </w:tcPr>
                        <w:p w:rsidR="00A16D30" w:rsidRPr="00A63D69" w:rsidRDefault="00A16D30" w:rsidP="000E2288">
                          <w:pPr>
                            <w:spacing w:before="60" w:after="60"/>
                            <w:ind w:left="-100" w:firstLine="100"/>
                            <w:rPr>
                              <w:rFonts w:ascii="GillSans" w:hAnsi="GillSans" w:cs="Arial"/>
                              <w:sz w:val="16"/>
                              <w:szCs w:val="16"/>
                            </w:rPr>
                          </w:pPr>
                          <w:r>
                            <w:rPr>
                              <w:rFonts w:ascii="GillSans" w:hAnsi="GillSans" w:cs="Arial"/>
                              <w:sz w:val="16"/>
                              <w:szCs w:val="16"/>
                            </w:rPr>
                            <w:t>INFI</w:t>
                          </w:r>
                        </w:p>
                      </w:tc>
                      <w:tc>
                        <w:tcPr>
                          <w:tcW w:w="3347" w:type="dxa"/>
                          <w:shd w:val="clear" w:color="auto" w:fill="auto"/>
                        </w:tcPr>
                        <w:p w:rsidR="00A16D30" w:rsidRPr="006C5E22" w:rsidRDefault="00A16D30" w:rsidP="000E2288">
                          <w:pPr>
                            <w:spacing w:before="60" w:after="60"/>
                            <w:ind w:left="-121" w:firstLine="0"/>
                            <w:rPr>
                              <w:rFonts w:ascii="Arial" w:hAnsi="Arial" w:cs="Arial"/>
                              <w:sz w:val="15"/>
                              <w:szCs w:val="15"/>
                            </w:rPr>
                          </w:pPr>
                          <w:r>
                            <w:rPr>
                              <w:rFonts w:ascii="Arial" w:hAnsi="Arial" w:cs="Arial"/>
                              <w:sz w:val="15"/>
                              <w:szCs w:val="15"/>
                            </w:rPr>
                            <w:t xml:space="preserve">  </w:t>
                          </w:r>
                          <w:r w:rsidRPr="006C5E22">
                            <w:rPr>
                              <w:rFonts w:ascii="Arial" w:hAnsi="Arial" w:cs="Arial"/>
                              <w:sz w:val="15"/>
                              <w:szCs w:val="15"/>
                            </w:rPr>
                            <w:t>Instituto Navarro</w:t>
                          </w:r>
                          <w:r>
                            <w:rPr>
                              <w:rFonts w:ascii="Arial" w:hAnsi="Arial" w:cs="Arial"/>
                              <w:sz w:val="15"/>
                              <w:szCs w:val="15"/>
                            </w:rPr>
                            <w:t xml:space="preserve"> para la Familia y la Igualdad</w:t>
                          </w:r>
                        </w:p>
                      </w:tc>
                    </w:tr>
                    <w:tr w:rsidR="00A16D30" w:rsidRPr="006C5E22" w:rsidTr="000E2288">
                      <w:tc>
                        <w:tcPr>
                          <w:tcW w:w="721" w:type="dxa"/>
                          <w:shd w:val="clear" w:color="auto" w:fill="99CCFF"/>
                        </w:tcPr>
                        <w:p w:rsidR="00A16D30" w:rsidRPr="00A63D69" w:rsidRDefault="00A16D30" w:rsidP="000E2288">
                          <w:pPr>
                            <w:spacing w:before="60" w:after="60"/>
                            <w:ind w:left="-100" w:firstLine="100"/>
                            <w:rPr>
                              <w:rFonts w:ascii="GillSans" w:hAnsi="GillSans" w:cs="Arial"/>
                              <w:sz w:val="16"/>
                              <w:szCs w:val="16"/>
                            </w:rPr>
                          </w:pPr>
                          <w:r w:rsidRPr="00A63D69">
                            <w:rPr>
                              <w:rFonts w:ascii="GillSans" w:hAnsi="GillSans" w:cs="Arial"/>
                              <w:sz w:val="16"/>
                              <w:szCs w:val="16"/>
                            </w:rPr>
                            <w:t>IND</w:t>
                          </w:r>
                          <w:r>
                            <w:rPr>
                              <w:rFonts w:ascii="GillSans" w:hAnsi="GillSans" w:cs="Arial"/>
                              <w:sz w:val="16"/>
                              <w:szCs w:val="16"/>
                            </w:rPr>
                            <w:t>J</w:t>
                          </w:r>
                          <w:r w:rsidRPr="00A63D69">
                            <w:rPr>
                              <w:rFonts w:ascii="GillSans" w:hAnsi="GillSans" w:cs="Arial"/>
                              <w:sz w:val="16"/>
                              <w:szCs w:val="16"/>
                            </w:rPr>
                            <w:t xml:space="preserve"> </w:t>
                          </w:r>
                        </w:p>
                      </w:tc>
                      <w:tc>
                        <w:tcPr>
                          <w:tcW w:w="3347" w:type="dxa"/>
                          <w:shd w:val="clear" w:color="auto" w:fill="99CCFF"/>
                        </w:tcPr>
                        <w:p w:rsidR="00A16D30" w:rsidRPr="006C5E22" w:rsidRDefault="00A16D30" w:rsidP="000E2288">
                          <w:pPr>
                            <w:spacing w:before="60" w:after="60"/>
                            <w:ind w:left="-121" w:firstLine="119"/>
                            <w:rPr>
                              <w:rFonts w:ascii="Arial" w:hAnsi="Arial" w:cs="Arial"/>
                              <w:sz w:val="15"/>
                              <w:szCs w:val="15"/>
                            </w:rPr>
                          </w:pPr>
                          <w:r w:rsidRPr="006C5E22">
                            <w:rPr>
                              <w:rFonts w:ascii="Arial" w:hAnsi="Arial" w:cs="Arial"/>
                              <w:sz w:val="15"/>
                              <w:szCs w:val="15"/>
                            </w:rPr>
                            <w:t>Instit</w:t>
                          </w:r>
                          <w:r>
                            <w:rPr>
                              <w:rFonts w:ascii="Arial" w:hAnsi="Arial" w:cs="Arial"/>
                              <w:sz w:val="15"/>
                              <w:szCs w:val="15"/>
                            </w:rPr>
                            <w:t>uto</w:t>
                          </w:r>
                          <w:r w:rsidRPr="006C5E22">
                            <w:rPr>
                              <w:rFonts w:ascii="Arial" w:hAnsi="Arial" w:cs="Arial"/>
                              <w:sz w:val="15"/>
                              <w:szCs w:val="15"/>
                            </w:rPr>
                            <w:t xml:space="preserve"> Navarro </w:t>
                          </w:r>
                          <w:r>
                            <w:rPr>
                              <w:rFonts w:ascii="Arial" w:hAnsi="Arial" w:cs="Arial"/>
                              <w:sz w:val="15"/>
                              <w:szCs w:val="15"/>
                            </w:rPr>
                            <w:t xml:space="preserve">de </w:t>
                          </w:r>
                          <w:r w:rsidRPr="006C5E22">
                            <w:rPr>
                              <w:rFonts w:ascii="Arial" w:hAnsi="Arial" w:cs="Arial"/>
                              <w:sz w:val="15"/>
                              <w:szCs w:val="15"/>
                            </w:rPr>
                            <w:t>Deporte</w:t>
                          </w:r>
                          <w:r>
                            <w:rPr>
                              <w:rFonts w:ascii="Arial" w:hAnsi="Arial" w:cs="Arial"/>
                              <w:sz w:val="15"/>
                              <w:szCs w:val="15"/>
                            </w:rPr>
                            <w:t xml:space="preserve"> y Juventud</w:t>
                          </w:r>
                        </w:p>
                      </w:tc>
                    </w:tr>
                  </w:tbl>
                  <w:p w:rsidR="00A16D30" w:rsidRPr="00314C79" w:rsidRDefault="00A16D30" w:rsidP="009C1354">
                    <w:pPr>
                      <w:ind w:left="680" w:hanging="680"/>
                    </w:pPr>
                  </w:p>
                </w:txbxContent>
              </v:textbox>
            </v:shape>
            <v:line id="_x0000_s1100" style="position:absolute" from="7258,13055" to="7258,13055"/>
            <v:line id="_x0000_s1101" style="position:absolute" from="8639,5809" to="8639,5809"/>
            <v:roundrect id="_x0000_s1102" style="position:absolute;left:8039;top:5985;width:1200;height:434;v-text-anchor:middle" arcsize="10923f" o:dgmlayout="0" o:dgmnodekind="0" o:dgmlayoutmru="0" strokeweight="0">
              <v:textbox style="mso-next-textbox:#_x0000_s1102" inset="0,0,0,0">
                <w:txbxContent>
                  <w:p w:rsidR="00A16D30" w:rsidRDefault="00A16D30" w:rsidP="009C1354">
                    <w:pPr>
                      <w:spacing w:before="40" w:after="0"/>
                      <w:ind w:firstLine="0"/>
                      <w:jc w:val="center"/>
                      <w:rPr>
                        <w:rFonts w:ascii="GillSans" w:hAnsi="GillSans"/>
                        <w:sz w:val="11"/>
                        <w:szCs w:val="11"/>
                      </w:rPr>
                    </w:pPr>
                    <w:r>
                      <w:rPr>
                        <w:rFonts w:ascii="GillSans" w:hAnsi="GillSans"/>
                        <w:sz w:val="11"/>
                        <w:szCs w:val="11"/>
                      </w:rPr>
                      <w:t xml:space="preserve">SOCIEDADES </w:t>
                    </w:r>
                  </w:p>
                  <w:p w:rsidR="00A16D30" w:rsidRPr="00897231" w:rsidRDefault="00A16D30" w:rsidP="009C1354">
                    <w:pPr>
                      <w:spacing w:before="40" w:after="0"/>
                      <w:ind w:firstLine="0"/>
                      <w:jc w:val="center"/>
                      <w:rPr>
                        <w:rFonts w:ascii="GillSans" w:hAnsi="GillSans"/>
                        <w:sz w:val="11"/>
                        <w:szCs w:val="11"/>
                      </w:rPr>
                    </w:pPr>
                    <w:r>
                      <w:rPr>
                        <w:rFonts w:ascii="GillSans" w:hAnsi="GillSans"/>
                        <w:sz w:val="11"/>
                        <w:szCs w:val="11"/>
                      </w:rPr>
                      <w:t xml:space="preserve">PÚBLICAS </w:t>
                    </w:r>
                    <w:r w:rsidRPr="00897231">
                      <w:rPr>
                        <w:rFonts w:ascii="GillSans" w:hAnsi="GillSans"/>
                        <w:sz w:val="11"/>
                        <w:szCs w:val="11"/>
                      </w:rPr>
                      <w:t>(</w:t>
                    </w:r>
                    <w:r>
                      <w:rPr>
                        <w:rFonts w:ascii="GillSans" w:hAnsi="GillSans"/>
                        <w:sz w:val="11"/>
                        <w:szCs w:val="11"/>
                      </w:rPr>
                      <w:t>15</w:t>
                    </w:r>
                    <w:r w:rsidRPr="00897231">
                      <w:rPr>
                        <w:rFonts w:ascii="GillSans" w:hAnsi="GillSans"/>
                        <w:sz w:val="11"/>
                        <w:szCs w:val="11"/>
                      </w:rPr>
                      <w:t>)</w:t>
                    </w:r>
                  </w:p>
                </w:txbxContent>
              </v:textbox>
            </v:roundrect>
            <v:line id="_x0000_s1103" style="position:absolute" from="8639,5809" to="8639,5809"/>
            <v:line id="_x0000_s1104" style="position:absolute" from="8639,5809" to="8639,5809"/>
            <v:line id="_x0000_s1105" style="position:absolute" from="8639,5809" to="8639,5809"/>
            <v:line id="_x0000_s1106" style="position:absolute" from="8759,5809" to="8759,5809"/>
            <v:line id="_x0000_s1107" style="position:absolute" from="8759,5809" to="8759,5809"/>
            <v:roundrect id="_s1108" o:spid="_x0000_s1108" style="position:absolute;left:8039;top:5283;width:1233;height:434;v-text-anchor:middle" arcsize="10923f" o:dgmlayout="0" o:dgmnodekind="0" o:dgmlayoutmru="0" strokeweight="0">
              <v:textbox style="mso-next-textbox:#_s1108" inset="0,0,0,0">
                <w:txbxContent>
                  <w:p w:rsidR="00A16D30" w:rsidRPr="002036E0" w:rsidRDefault="00A16D30" w:rsidP="00555334">
                    <w:pPr>
                      <w:spacing w:before="40" w:after="0"/>
                      <w:ind w:firstLine="0"/>
                      <w:jc w:val="center"/>
                      <w:rPr>
                        <w:rFonts w:ascii="GillSans" w:hAnsi="GillSans"/>
                        <w:sz w:val="11"/>
                        <w:szCs w:val="11"/>
                      </w:rPr>
                    </w:pPr>
                    <w:r>
                      <w:rPr>
                        <w:rFonts w:ascii="GillSans" w:hAnsi="GillSans"/>
                        <w:sz w:val="11"/>
                        <w:szCs w:val="11"/>
                      </w:rPr>
                      <w:t>CPEN, SLU</w:t>
                    </w:r>
                  </w:p>
                </w:txbxContent>
              </v:textbox>
            </v:roundrect>
            <v:line id="_x0000_s1110" style="position:absolute" from="9949,10022" to="9950,10023"/>
            <v:roundrect id="_s1283" o:spid="_x0000_s1114" style="position:absolute;left:6741;top:7897;width:373;height:187;v-text-anchor:middle" arcsize="10923f" o:dgmlayout="3" o:dgmnodekind="0" strokeweight="0">
              <v:textbox style="mso-next-textbox:#_s1283" inset="0,0,0,0">
                <w:txbxContent>
                  <w:p w:rsidR="00A16D30" w:rsidRPr="00176D97" w:rsidRDefault="00A16D30" w:rsidP="00555334">
                    <w:pPr>
                      <w:spacing w:before="20" w:after="0"/>
                      <w:ind w:firstLine="0"/>
                      <w:jc w:val="center"/>
                      <w:rPr>
                        <w:rFonts w:ascii="GillSans" w:hAnsi="GillSans"/>
                        <w:sz w:val="11"/>
                        <w:szCs w:val="11"/>
                      </w:rPr>
                    </w:pPr>
                    <w:r>
                      <w:rPr>
                        <w:rFonts w:ascii="GillSans" w:hAnsi="GillSans"/>
                        <w:sz w:val="11"/>
                        <w:szCs w:val="11"/>
                      </w:rPr>
                      <w:t>SNE</w:t>
                    </w:r>
                  </w:p>
                </w:txbxContent>
              </v:textbox>
            </v:roundrect>
            <v:line id="_x0000_s1115" style="position:absolute" from="7113,8005" to="7293,8006" strokeweight=".25pt"/>
            <v:line id="_x0000_s1116" style="position:absolute" from="5459,10597" to="6179,10598" strokeweight=".25pt"/>
            <v:roundrect id="_s1560" o:spid="_x0000_s1117" style="position:absolute;left:5639;top:10417;width:970;height:294;v-text-anchor:middle" arcsize="10923f" o:dgmlayout="2" o:dgmnodekind="0" strokeweight="0">
              <v:textbox style="mso-next-textbox:#_s1560" inset="0,0,0,0">
                <w:txbxContent>
                  <w:p w:rsidR="00A16D30" w:rsidRPr="005F5857" w:rsidRDefault="00A16D30" w:rsidP="00555334">
                    <w:pPr>
                      <w:spacing w:before="60" w:after="120"/>
                      <w:ind w:firstLine="181"/>
                      <w:rPr>
                        <w:rFonts w:ascii="GillSans" w:hAnsi="GillSans"/>
                        <w:sz w:val="11"/>
                        <w:szCs w:val="11"/>
                      </w:rPr>
                    </w:pPr>
                    <w:r>
                      <w:rPr>
                        <w:rFonts w:ascii="GillSans" w:hAnsi="GillSans"/>
                        <w:sz w:val="11"/>
                        <w:szCs w:val="11"/>
                      </w:rPr>
                      <w:t>Salud</w:t>
                    </w:r>
                  </w:p>
                </w:txbxContent>
              </v:textbox>
            </v:roundrect>
            <v:line id="_x0000_s1118" style="position:absolute;flip:x" from="7293,12385" to="7299,12925" strokeweight=".25pt"/>
            <v:shape id="_s1032" o:spid="_x0000_s1120" type="#_x0000_t34" style="position:absolute;left:9052;top:9208;width:1022;height:751;rotation:270" o:connectortype="elbow" adj=",-283676,-212175" strokeweight="0"/>
            <v:roundrect id="_s1126" o:spid="_x0000_s1113" style="position:absolute;left:8627;top:9887;width:1143;height:327;v-text-anchor:middle" arcsize="10923f" o:dgmlayout="3" o:dgmnodekind="0" strokeweight="0">
              <v:textbox style="mso-next-textbox:#_s1126" inset="0,0,0,0">
                <w:txbxContent>
                  <w:p w:rsidR="00A16D30" w:rsidRPr="00D22428" w:rsidRDefault="00A16D30" w:rsidP="009C1354">
                    <w:pPr>
                      <w:spacing w:before="40" w:after="0"/>
                      <w:ind w:firstLine="0"/>
                      <w:jc w:val="center"/>
                      <w:rPr>
                        <w:sz w:val="10"/>
                        <w:szCs w:val="10"/>
                      </w:rPr>
                    </w:pPr>
                    <w:r w:rsidRPr="00833CF1">
                      <w:rPr>
                        <w:rFonts w:ascii="GillSans" w:hAnsi="GillSans"/>
                        <w:sz w:val="10"/>
                        <w:szCs w:val="10"/>
                      </w:rPr>
                      <w:t>Formación en Energías renov</w:t>
                    </w:r>
                    <w:r w:rsidRPr="00833CF1">
                      <w:rPr>
                        <w:rFonts w:ascii="GillSans" w:hAnsi="GillSans"/>
                        <w:sz w:val="10"/>
                        <w:szCs w:val="10"/>
                      </w:rPr>
                      <w:t>a</w:t>
                    </w:r>
                    <w:r w:rsidRPr="00833CF1">
                      <w:rPr>
                        <w:rFonts w:ascii="GillSans" w:hAnsi="GillSans"/>
                        <w:sz w:val="10"/>
                        <w:szCs w:val="10"/>
                      </w:rPr>
                      <w:t>bles</w:t>
                    </w:r>
                  </w:p>
                </w:txbxContent>
              </v:textbox>
            </v:roundrect>
          </v:group>
        </w:pict>
      </w:r>
    </w:p>
    <w:p w:rsidR="001B3767" w:rsidRPr="001639F7" w:rsidRDefault="001B3767" w:rsidP="001B3767">
      <w:pPr>
        <w:spacing w:before="240" w:after="0"/>
        <w:ind w:firstLine="0"/>
        <w:jc w:val="left"/>
        <w:rPr>
          <w:rFonts w:ascii="GillSans" w:hAnsi="GillSans"/>
          <w:sz w:val="26"/>
          <w:szCs w:val="32"/>
          <w:highlight w:val="yellow"/>
          <w:lang w:val="es-ES"/>
        </w:rPr>
      </w:pPr>
    </w:p>
    <w:p w:rsidR="001B3767" w:rsidRPr="001639F7" w:rsidRDefault="001B3767" w:rsidP="001B3767">
      <w:pPr>
        <w:spacing w:before="240" w:after="0"/>
        <w:ind w:firstLine="0"/>
        <w:jc w:val="left"/>
        <w:rPr>
          <w:rFonts w:ascii="GillSans" w:hAnsi="GillSans"/>
          <w:sz w:val="26"/>
          <w:szCs w:val="32"/>
          <w:highlight w:val="yellow"/>
          <w:lang w:val="es-ES"/>
        </w:rPr>
      </w:pPr>
    </w:p>
    <w:p w:rsidR="001B3767" w:rsidRPr="001639F7" w:rsidRDefault="001B3767" w:rsidP="001B3767">
      <w:pPr>
        <w:spacing w:before="240" w:after="0"/>
        <w:ind w:firstLine="0"/>
        <w:jc w:val="left"/>
        <w:rPr>
          <w:rFonts w:ascii="GillSans" w:hAnsi="GillSans"/>
          <w:sz w:val="26"/>
          <w:szCs w:val="32"/>
          <w:highlight w:val="yellow"/>
          <w:lang w:val="es-ES"/>
        </w:rPr>
      </w:pPr>
    </w:p>
    <w:p w:rsidR="001B3767" w:rsidRPr="001639F7" w:rsidRDefault="001B3767" w:rsidP="001B3767">
      <w:pPr>
        <w:spacing w:before="240" w:after="0"/>
        <w:ind w:firstLine="0"/>
        <w:jc w:val="left"/>
        <w:rPr>
          <w:rFonts w:ascii="GillSans" w:hAnsi="GillSans"/>
          <w:sz w:val="26"/>
          <w:szCs w:val="32"/>
          <w:highlight w:val="yellow"/>
          <w:lang w:val="es-ES"/>
        </w:rPr>
      </w:pPr>
    </w:p>
    <w:p w:rsidR="001B3767" w:rsidRPr="001639F7" w:rsidRDefault="001B3767" w:rsidP="001B3767">
      <w:pPr>
        <w:spacing w:before="240" w:after="0"/>
        <w:ind w:firstLine="0"/>
        <w:jc w:val="left"/>
        <w:rPr>
          <w:rFonts w:ascii="GillSans" w:hAnsi="GillSans"/>
          <w:sz w:val="26"/>
          <w:szCs w:val="32"/>
          <w:highlight w:val="yellow"/>
          <w:lang w:val="es-ES"/>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1639F7" w:rsidRDefault="001B3767" w:rsidP="001B3767">
      <w:pPr>
        <w:pStyle w:val="texto"/>
        <w:spacing w:after="0"/>
        <w:ind w:firstLine="0"/>
        <w:rPr>
          <w:highlight w:val="yellow"/>
        </w:rPr>
      </w:pP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639F7">
        <w:rPr>
          <w:highlight w:val="yellow"/>
          <w:lang w:val="es-ES"/>
        </w:rPr>
        <w:br w:type="page"/>
      </w:r>
      <w:r w:rsidR="00121286">
        <w:rPr>
          <w:rFonts w:cs="Arial"/>
        </w:rPr>
        <w:lastRenderedPageBreak/>
        <w:t xml:space="preserve">Hay nueve </w:t>
      </w:r>
      <w:r w:rsidR="00BA4E29" w:rsidRPr="00846868">
        <w:rPr>
          <w:rFonts w:cs="Arial"/>
        </w:rPr>
        <w:t xml:space="preserve">organismos autónomos </w:t>
      </w:r>
      <w:r w:rsidRPr="00846868">
        <w:rPr>
          <w:rFonts w:cs="Arial"/>
        </w:rPr>
        <w:t>adscritos a la Administración de la C</w:t>
      </w:r>
      <w:r w:rsidRPr="00846868">
        <w:rPr>
          <w:rFonts w:cs="Arial"/>
        </w:rPr>
        <w:t>o</w:t>
      </w:r>
      <w:r w:rsidRPr="00846868">
        <w:rPr>
          <w:rFonts w:cs="Arial"/>
        </w:rPr>
        <w:t>munidad Foral a 31 de diciembre de 2014.</w:t>
      </w:r>
    </w:p>
    <w:p w:rsidR="001B3767" w:rsidRPr="00846868" w:rsidRDefault="001B3767" w:rsidP="001F60EA">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846868">
        <w:rPr>
          <w:rFonts w:cs="Arial"/>
        </w:rPr>
        <w:t>A 31 de diciembre de 2014 la Administración de la Comunidad Foral part</w:t>
      </w:r>
      <w:r w:rsidRPr="00846868">
        <w:rPr>
          <w:rFonts w:cs="Arial"/>
        </w:rPr>
        <w:t>i</w:t>
      </w:r>
      <w:r w:rsidRPr="00846868">
        <w:rPr>
          <w:rFonts w:cs="Arial"/>
        </w:rPr>
        <w:t>cipaba mayoritariamente en el capital de 16 empresas (17 en 2013)</w:t>
      </w:r>
      <w:r w:rsidR="00D53F05">
        <w:rPr>
          <w:rFonts w:cs="Arial"/>
        </w:rPr>
        <w:t>. Participa</w:t>
      </w:r>
      <w:r w:rsidR="00AF1BF5">
        <w:rPr>
          <w:rFonts w:cs="Arial"/>
        </w:rPr>
        <w:t>ba</w:t>
      </w:r>
      <w:r w:rsidRPr="00846868">
        <w:rPr>
          <w:rFonts w:cs="Arial"/>
        </w:rPr>
        <w:t xml:space="preserve"> directamente en la empresa Corporación Pública Empresarial de Navarra, S.L.U., (CPEN) en la que posee el 100 por cien del capital, e indirectamente, a través de la CPEN, en las 15 sociedades siguientes: </w:t>
      </w:r>
      <w:r w:rsidR="00555334">
        <w:rPr>
          <w:rFonts w:cs="Arial"/>
        </w:rPr>
        <w:t xml:space="preserve"> </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552"/>
        <w:gridCol w:w="3139"/>
      </w:tblGrid>
      <w:tr w:rsidR="00911859" w:rsidRPr="00911859" w:rsidTr="00911859">
        <w:trPr>
          <w:trHeight w:val="284"/>
          <w:jc w:val="center"/>
        </w:trPr>
        <w:tc>
          <w:tcPr>
            <w:tcW w:w="4106"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41F20" w:rsidRDefault="001B3767" w:rsidP="00911859">
            <w:pPr>
              <w:pStyle w:val="cuadroCabe"/>
              <w:jc w:val="left"/>
              <w:rPr>
                <w:rFonts w:cs="Arial"/>
                <w:sz w:val="17"/>
                <w:szCs w:val="17"/>
              </w:rPr>
            </w:pPr>
            <w:r w:rsidRPr="00941F20">
              <w:rPr>
                <w:rFonts w:cs="Arial"/>
                <w:sz w:val="17"/>
                <w:szCs w:val="17"/>
              </w:rPr>
              <w:t xml:space="preserve">Empresa Pública </w:t>
            </w:r>
          </w:p>
        </w:tc>
        <w:tc>
          <w:tcPr>
            <w:tcW w:w="1552"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11859" w:rsidRDefault="001B3767" w:rsidP="00911859">
            <w:pPr>
              <w:pStyle w:val="cuadroCabe"/>
              <w:jc w:val="center"/>
              <w:rPr>
                <w:rFonts w:cs="Arial"/>
                <w:sz w:val="16"/>
                <w:szCs w:val="16"/>
              </w:rPr>
            </w:pPr>
            <w:r w:rsidRPr="00911859">
              <w:rPr>
                <w:rFonts w:cs="Arial"/>
                <w:sz w:val="16"/>
                <w:szCs w:val="16"/>
              </w:rPr>
              <w:t>Porcentaje</w:t>
            </w:r>
          </w:p>
          <w:p w:rsidR="001B3767" w:rsidRPr="00911859" w:rsidRDefault="00A26C7F" w:rsidP="00911859">
            <w:pPr>
              <w:pStyle w:val="cuadroCabe"/>
              <w:jc w:val="center"/>
              <w:rPr>
                <w:rFonts w:cs="Arial"/>
                <w:sz w:val="16"/>
                <w:szCs w:val="16"/>
              </w:rPr>
            </w:pPr>
            <w:proofErr w:type="spellStart"/>
            <w:proofErr w:type="gramStart"/>
            <w:r w:rsidRPr="00911859">
              <w:rPr>
                <w:rFonts w:cs="Arial"/>
                <w:sz w:val="16"/>
                <w:szCs w:val="16"/>
              </w:rPr>
              <w:t>participac</w:t>
            </w:r>
            <w:proofErr w:type="spellEnd"/>
            <w:proofErr w:type="gramEnd"/>
            <w:r w:rsidR="001B3767" w:rsidRPr="00911859">
              <w:rPr>
                <w:rFonts w:cs="Arial"/>
                <w:sz w:val="16"/>
                <w:szCs w:val="16"/>
              </w:rPr>
              <w:t>. CPEN</w:t>
            </w:r>
          </w:p>
        </w:tc>
        <w:tc>
          <w:tcPr>
            <w:tcW w:w="3139" w:type="dxa"/>
            <w:tcBorders>
              <w:top w:val="single" w:sz="4" w:space="0" w:color="000000"/>
              <w:left w:val="nil"/>
              <w:bottom w:val="single" w:sz="4" w:space="0" w:color="000000"/>
              <w:right w:val="nil"/>
            </w:tcBorders>
            <w:shd w:val="clear" w:color="auto" w:fill="8DB3E2" w:themeFill="text2" w:themeFillTint="66"/>
            <w:vAlign w:val="center"/>
            <w:hideMark/>
          </w:tcPr>
          <w:p w:rsidR="001B3767" w:rsidRPr="00911859" w:rsidRDefault="001B3767" w:rsidP="00911859">
            <w:pPr>
              <w:pStyle w:val="cuadroCabe"/>
              <w:jc w:val="left"/>
              <w:rPr>
                <w:rFonts w:cs="Arial"/>
                <w:sz w:val="16"/>
                <w:szCs w:val="16"/>
              </w:rPr>
            </w:pPr>
            <w:r w:rsidRPr="00911859">
              <w:rPr>
                <w:rFonts w:cs="Arial"/>
                <w:sz w:val="16"/>
                <w:szCs w:val="16"/>
              </w:rPr>
              <w:t>Actividad económica</w:t>
            </w:r>
          </w:p>
        </w:tc>
      </w:tr>
      <w:tr w:rsidR="001B3767" w:rsidRPr="00911859" w:rsidTr="00911859">
        <w:trPr>
          <w:trHeight w:val="227"/>
          <w:jc w:val="center"/>
        </w:trPr>
        <w:tc>
          <w:tcPr>
            <w:tcW w:w="4106" w:type="dxa"/>
            <w:tcBorders>
              <w:top w:val="single" w:sz="4"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Centro Europeo de Empresas e Innovación, SLU (CEIN)</w:t>
            </w:r>
          </w:p>
        </w:tc>
        <w:tc>
          <w:tcPr>
            <w:tcW w:w="1552" w:type="dxa"/>
            <w:tcBorders>
              <w:top w:val="single" w:sz="4"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4"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Innovación y Emprendedores</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Centro Navarro de Aprendizaje de Idiomas, SAU (CNAI)</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Educación y Talento</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Ciudad Agroalimentaria de Tudela, SLU (CAT)</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Agroalimentación</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Gestión Ambiental de Navarra, SAU (GAN)</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Medio Ambiente</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Instituto Navarro de Tecnologías e Infraestructuras Agro</w:t>
            </w:r>
            <w:r w:rsidRPr="00911859">
              <w:rPr>
                <w:rFonts w:ascii="Arial Narrow" w:hAnsi="Arial Narrow" w:cs="Arial"/>
                <w:sz w:val="18"/>
                <w:szCs w:val="18"/>
                <w:lang w:val="es-ES" w:eastAsia="es-ES"/>
              </w:rPr>
              <w:t>a</w:t>
            </w:r>
            <w:r w:rsidRPr="00911859">
              <w:rPr>
                <w:rFonts w:ascii="Arial Narrow" w:hAnsi="Arial Narrow" w:cs="Arial"/>
                <w:sz w:val="18"/>
                <w:szCs w:val="18"/>
                <w:lang w:val="es-ES" w:eastAsia="es-ES"/>
              </w:rPr>
              <w:t>limentarias, SAU (INTIA)</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Agroalimentación</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8C2656" w:rsidRDefault="001B3767" w:rsidP="00911859">
            <w:pPr>
              <w:spacing w:after="0"/>
              <w:ind w:firstLine="0"/>
              <w:jc w:val="left"/>
              <w:rPr>
                <w:rFonts w:ascii="Arial Narrow" w:hAnsi="Arial Narrow" w:cs="Arial"/>
                <w:sz w:val="18"/>
                <w:szCs w:val="18"/>
                <w:lang w:val="en-US" w:eastAsia="es-ES"/>
              </w:rPr>
            </w:pPr>
            <w:r w:rsidRPr="008C2656">
              <w:rPr>
                <w:rFonts w:ascii="Arial Narrow" w:hAnsi="Arial Narrow" w:cs="Arial"/>
                <w:sz w:val="18"/>
                <w:szCs w:val="18"/>
                <w:lang w:val="en-US" w:eastAsia="es-ES"/>
              </w:rPr>
              <w:t xml:space="preserve">Natural </w:t>
            </w:r>
            <w:proofErr w:type="spellStart"/>
            <w:r w:rsidRPr="008C2656">
              <w:rPr>
                <w:rFonts w:ascii="Arial Narrow" w:hAnsi="Arial Narrow" w:cs="Arial"/>
                <w:sz w:val="18"/>
                <w:szCs w:val="18"/>
                <w:lang w:val="en-US" w:eastAsia="es-ES"/>
              </w:rPr>
              <w:t>Clymate</w:t>
            </w:r>
            <w:proofErr w:type="spellEnd"/>
            <w:r w:rsidRPr="008C2656">
              <w:rPr>
                <w:rFonts w:ascii="Arial Narrow" w:hAnsi="Arial Narrow" w:cs="Arial"/>
                <w:sz w:val="18"/>
                <w:szCs w:val="18"/>
                <w:lang w:val="en-US" w:eastAsia="es-ES"/>
              </w:rPr>
              <w:t xml:space="preserve"> </w:t>
            </w:r>
            <w:proofErr w:type="spellStart"/>
            <w:r w:rsidRPr="008C2656">
              <w:rPr>
                <w:rFonts w:ascii="Arial Narrow" w:hAnsi="Arial Narrow" w:cs="Arial"/>
                <w:sz w:val="18"/>
                <w:szCs w:val="18"/>
                <w:lang w:val="en-US" w:eastAsia="es-ES"/>
              </w:rPr>
              <w:t>Systems,SA</w:t>
            </w:r>
            <w:proofErr w:type="spellEnd"/>
            <w:r w:rsidRPr="008C2656">
              <w:rPr>
                <w:rFonts w:ascii="Arial Narrow" w:hAnsi="Arial Narrow" w:cs="Arial"/>
                <w:sz w:val="18"/>
                <w:szCs w:val="18"/>
                <w:lang w:val="en-US" w:eastAsia="es-ES"/>
              </w:rPr>
              <w:t xml:space="preserve"> (MIYABI)</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66</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Promoción y fomento de empresas</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Navarra de Infraestructuras de Cultura, Deporte y Ocio, SL  (NICDO)</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Infraestructuras Temáticas, Culturales, Ocio y Deporte</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Navarra de Infraestructuras Locales, SAU (NILSA)</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Infraestructuras locales</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Navarra de Servicios y Tecnologías, SAU (NASERTIC)</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Servicios y Tecnología para las AAPP</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Navarra de Suelo y Vivienda, SA (NASUVINSA)</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Suelo y Vivienda</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 xml:space="preserve">Potasas de </w:t>
            </w:r>
            <w:proofErr w:type="spellStart"/>
            <w:r w:rsidRPr="00911859">
              <w:rPr>
                <w:rFonts w:ascii="Arial Narrow" w:hAnsi="Arial Narrow" w:cs="Arial"/>
                <w:sz w:val="18"/>
                <w:szCs w:val="18"/>
                <w:lang w:val="es-ES" w:eastAsia="es-ES"/>
              </w:rPr>
              <w:t>Subiza</w:t>
            </w:r>
            <w:proofErr w:type="spellEnd"/>
            <w:r w:rsidRPr="00911859">
              <w:rPr>
                <w:rFonts w:ascii="Arial Narrow" w:hAnsi="Arial Narrow" w:cs="Arial"/>
                <w:sz w:val="18"/>
                <w:szCs w:val="18"/>
                <w:lang w:val="es-ES" w:eastAsia="es-ES"/>
              </w:rPr>
              <w:t>, SA</w:t>
            </w:r>
            <w:r w:rsidR="008D364F">
              <w:rPr>
                <w:rFonts w:ascii="Arial Narrow" w:hAnsi="Arial Narrow" w:cs="Arial"/>
                <w:sz w:val="18"/>
                <w:szCs w:val="18"/>
                <w:lang w:val="es-ES" w:eastAsia="es-ES"/>
              </w:rPr>
              <w:t>U</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Actividad medioambiental y recomposición tejido industrial</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Salinas de Navarra, SA</w:t>
            </w:r>
          </w:p>
        </w:tc>
        <w:tc>
          <w:tcPr>
            <w:tcW w:w="1552" w:type="dxa"/>
            <w:tcBorders>
              <w:top w:val="single" w:sz="2" w:space="0" w:color="000000"/>
              <w:left w:val="nil"/>
              <w:bottom w:val="single" w:sz="2" w:space="0" w:color="000000"/>
              <w:right w:val="nil"/>
            </w:tcBorders>
            <w:vAlign w:val="center"/>
            <w:hideMark/>
          </w:tcPr>
          <w:p w:rsidR="001B3767" w:rsidRPr="00911859" w:rsidRDefault="008D364F" w:rsidP="00911859">
            <w:pPr>
              <w:spacing w:after="0"/>
              <w:ind w:left="-94" w:firstLine="0"/>
              <w:jc w:val="center"/>
              <w:rPr>
                <w:rFonts w:ascii="Arial Narrow" w:hAnsi="Arial Narrow" w:cs="Arial"/>
                <w:sz w:val="18"/>
                <w:szCs w:val="18"/>
                <w:lang w:val="es-ES" w:eastAsia="es-ES"/>
              </w:rPr>
            </w:pPr>
            <w:r>
              <w:rPr>
                <w:rFonts w:ascii="Arial Narrow" w:hAnsi="Arial Narrow" w:cs="Arial"/>
                <w:sz w:val="18"/>
                <w:szCs w:val="18"/>
                <w:lang w:val="es-ES" w:eastAsia="es-ES"/>
              </w:rPr>
              <w:t>76</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Producción y comercialización de sal y derivados</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 xml:space="preserve"> Sociedad de Desarrollo de Navarra, SL (SODENA)</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Promoción Económica y Financiación</w:t>
            </w:r>
          </w:p>
        </w:tc>
      </w:tr>
      <w:tr w:rsidR="001B3767" w:rsidRPr="00911859" w:rsidTr="00911859">
        <w:trPr>
          <w:trHeight w:val="227"/>
          <w:jc w:val="center"/>
        </w:trPr>
        <w:tc>
          <w:tcPr>
            <w:tcW w:w="4106" w:type="dxa"/>
            <w:tcBorders>
              <w:top w:val="single" w:sz="2" w:space="0" w:color="000000"/>
              <w:left w:val="nil"/>
              <w:bottom w:val="single" w:sz="2" w:space="0" w:color="000000"/>
              <w:right w:val="nil"/>
            </w:tcBorders>
            <w:vAlign w:val="center"/>
            <w:hideMark/>
          </w:tcPr>
          <w:p w:rsidR="001B3767" w:rsidRPr="008C2656" w:rsidRDefault="008D364F" w:rsidP="008D364F">
            <w:pPr>
              <w:spacing w:after="0"/>
              <w:ind w:firstLine="0"/>
              <w:jc w:val="left"/>
              <w:rPr>
                <w:rFonts w:ascii="Arial Narrow" w:hAnsi="Arial Narrow" w:cs="Arial"/>
                <w:sz w:val="18"/>
                <w:szCs w:val="18"/>
                <w:lang w:val="en-US" w:eastAsia="es-ES"/>
              </w:rPr>
            </w:pPr>
            <w:r>
              <w:rPr>
                <w:rFonts w:ascii="Arial Narrow" w:hAnsi="Arial Narrow" w:cs="Arial"/>
                <w:sz w:val="18"/>
                <w:szCs w:val="18"/>
                <w:lang w:val="en-US" w:eastAsia="es-ES"/>
              </w:rPr>
              <w:t>Start Up Capital</w:t>
            </w:r>
            <w:r w:rsidR="001B3767" w:rsidRPr="008C2656">
              <w:rPr>
                <w:rFonts w:ascii="Arial Narrow" w:hAnsi="Arial Narrow" w:cs="Arial"/>
                <w:sz w:val="18"/>
                <w:szCs w:val="18"/>
                <w:lang w:val="en-US" w:eastAsia="es-ES"/>
              </w:rPr>
              <w:t xml:space="preserve"> Navarra, SA</w:t>
            </w:r>
          </w:p>
        </w:tc>
        <w:tc>
          <w:tcPr>
            <w:tcW w:w="1552"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59,36</w:t>
            </w:r>
          </w:p>
        </w:tc>
        <w:tc>
          <w:tcPr>
            <w:tcW w:w="3139" w:type="dxa"/>
            <w:tcBorders>
              <w:top w:val="single" w:sz="2" w:space="0" w:color="000000"/>
              <w:left w:val="nil"/>
              <w:bottom w:val="single" w:sz="2"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Promoción y fomento de empresas</w:t>
            </w:r>
          </w:p>
        </w:tc>
      </w:tr>
      <w:tr w:rsidR="001B3767" w:rsidRPr="00911859" w:rsidTr="00911859">
        <w:trPr>
          <w:trHeight w:val="227"/>
          <w:jc w:val="center"/>
        </w:trPr>
        <w:tc>
          <w:tcPr>
            <w:tcW w:w="4106" w:type="dxa"/>
            <w:tcBorders>
              <w:top w:val="single" w:sz="2" w:space="0" w:color="000000"/>
              <w:left w:val="nil"/>
              <w:bottom w:val="single" w:sz="4"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Trabajos Catastrales, SA (TRACASA)</w:t>
            </w:r>
          </w:p>
        </w:tc>
        <w:tc>
          <w:tcPr>
            <w:tcW w:w="1552" w:type="dxa"/>
            <w:tcBorders>
              <w:top w:val="single" w:sz="2" w:space="0" w:color="000000"/>
              <w:left w:val="nil"/>
              <w:bottom w:val="single" w:sz="4" w:space="0" w:color="000000"/>
              <w:right w:val="nil"/>
            </w:tcBorders>
            <w:vAlign w:val="center"/>
            <w:hideMark/>
          </w:tcPr>
          <w:p w:rsidR="001B3767" w:rsidRPr="00911859" w:rsidRDefault="001B3767" w:rsidP="00911859">
            <w:pPr>
              <w:spacing w:after="0"/>
              <w:ind w:left="-94" w:firstLine="0"/>
              <w:jc w:val="center"/>
              <w:rPr>
                <w:rFonts w:ascii="Arial Narrow" w:hAnsi="Arial Narrow" w:cs="Arial"/>
                <w:sz w:val="18"/>
                <w:szCs w:val="18"/>
                <w:lang w:val="es-ES" w:eastAsia="es-ES"/>
              </w:rPr>
            </w:pPr>
            <w:r w:rsidRPr="00911859">
              <w:rPr>
                <w:rFonts w:ascii="Arial Narrow" w:hAnsi="Arial Narrow" w:cs="Arial"/>
                <w:sz w:val="18"/>
                <w:szCs w:val="18"/>
                <w:lang w:val="es-ES" w:eastAsia="es-ES"/>
              </w:rPr>
              <w:t>100</w:t>
            </w:r>
          </w:p>
        </w:tc>
        <w:tc>
          <w:tcPr>
            <w:tcW w:w="3139" w:type="dxa"/>
            <w:tcBorders>
              <w:top w:val="single" w:sz="2" w:space="0" w:color="000000"/>
              <w:left w:val="nil"/>
              <w:bottom w:val="single" w:sz="4" w:space="0" w:color="000000"/>
              <w:right w:val="nil"/>
            </w:tcBorders>
            <w:vAlign w:val="center"/>
            <w:hideMark/>
          </w:tcPr>
          <w:p w:rsidR="001B3767" w:rsidRPr="00911859" w:rsidRDefault="001B3767" w:rsidP="00911859">
            <w:pPr>
              <w:spacing w:after="0"/>
              <w:ind w:firstLine="0"/>
              <w:jc w:val="left"/>
              <w:rPr>
                <w:rFonts w:ascii="Arial Narrow" w:hAnsi="Arial Narrow" w:cs="Arial"/>
                <w:sz w:val="18"/>
                <w:szCs w:val="18"/>
                <w:lang w:val="es-ES" w:eastAsia="es-ES"/>
              </w:rPr>
            </w:pPr>
            <w:r w:rsidRPr="00911859">
              <w:rPr>
                <w:rFonts w:ascii="Arial Narrow" w:hAnsi="Arial Narrow" w:cs="Arial"/>
                <w:sz w:val="18"/>
                <w:szCs w:val="18"/>
                <w:lang w:val="es-ES" w:eastAsia="es-ES"/>
              </w:rPr>
              <w:t>Hacienda y Patrimonio</w:t>
            </w:r>
          </w:p>
        </w:tc>
      </w:tr>
    </w:tbl>
    <w:p w:rsidR="001B3767" w:rsidRPr="000E2288" w:rsidRDefault="001B3767" w:rsidP="00D53F05">
      <w:pPr>
        <w:pStyle w:val="texto"/>
        <w:spacing w:before="240"/>
        <w:rPr>
          <w:lang w:val="es-ES"/>
        </w:rPr>
      </w:pPr>
      <w:r w:rsidRPr="000E2288">
        <w:rPr>
          <w:lang w:val="es-ES"/>
        </w:rPr>
        <w:t>En 2014 se produjo la fusión por absorción de la sociedad púb</w:t>
      </w:r>
      <w:r w:rsidR="008D364F">
        <w:rPr>
          <w:lang w:val="es-ES"/>
        </w:rPr>
        <w:t>l</w:t>
      </w:r>
      <w:r w:rsidRPr="000E2288">
        <w:rPr>
          <w:lang w:val="es-ES"/>
        </w:rPr>
        <w:t>ica Agencia Navarra del Transporte y la Logística, S.A.U. (absorbida) por parte de Navarra de Suelo y Vivienda S.A.U. (absorbente).</w:t>
      </w:r>
    </w:p>
    <w:p w:rsidR="001B3767" w:rsidRPr="00846868" w:rsidRDefault="001B3767" w:rsidP="001F60EA">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846868">
        <w:rPr>
          <w:rFonts w:cs="Arial"/>
        </w:rPr>
        <w:t xml:space="preserve">Las fundaciones públicas de la Administración de la Comunidad Foral en 2014 eran las siete siguientes: </w:t>
      </w:r>
    </w:p>
    <w:tbl>
      <w:tblPr>
        <w:tblW w:w="8836" w:type="dxa"/>
        <w:jc w:val="center"/>
        <w:tblBorders>
          <w:top w:val="single" w:sz="4" w:space="0" w:color="auto"/>
          <w:bottom w:val="single" w:sz="4" w:space="0" w:color="auto"/>
        </w:tblBorders>
        <w:tblLook w:val="01E0" w:firstRow="1" w:lastRow="1" w:firstColumn="1" w:lastColumn="1" w:noHBand="0" w:noVBand="0"/>
      </w:tblPr>
      <w:tblGrid>
        <w:gridCol w:w="4156"/>
        <w:gridCol w:w="4680"/>
      </w:tblGrid>
      <w:tr w:rsidR="001B3767" w:rsidRPr="00941F20" w:rsidTr="001F60EA">
        <w:trPr>
          <w:trHeight w:val="284"/>
          <w:jc w:val="center"/>
        </w:trPr>
        <w:tc>
          <w:tcPr>
            <w:tcW w:w="4156" w:type="dxa"/>
            <w:tcBorders>
              <w:top w:val="single" w:sz="4" w:space="0" w:color="auto"/>
              <w:left w:val="nil"/>
              <w:bottom w:val="single" w:sz="4" w:space="0" w:color="auto"/>
              <w:right w:val="nil"/>
            </w:tcBorders>
            <w:shd w:val="clear" w:color="auto" w:fill="8DB3E2" w:themeFill="text2" w:themeFillTint="66"/>
            <w:vAlign w:val="center"/>
            <w:hideMark/>
          </w:tcPr>
          <w:p w:rsidR="001B3767" w:rsidRPr="00941F20" w:rsidRDefault="001B3767" w:rsidP="00941F20">
            <w:pPr>
              <w:pStyle w:val="cuadroCabe"/>
              <w:jc w:val="left"/>
              <w:rPr>
                <w:rFonts w:cs="Arial"/>
                <w:szCs w:val="18"/>
              </w:rPr>
            </w:pPr>
            <w:r w:rsidRPr="00941F20">
              <w:rPr>
                <w:rFonts w:cs="Arial"/>
                <w:szCs w:val="18"/>
              </w:rPr>
              <w:t>Fundación</w:t>
            </w:r>
          </w:p>
        </w:tc>
        <w:tc>
          <w:tcPr>
            <w:tcW w:w="4680" w:type="dxa"/>
            <w:tcBorders>
              <w:top w:val="single" w:sz="4" w:space="0" w:color="auto"/>
              <w:left w:val="nil"/>
              <w:bottom w:val="single" w:sz="4" w:space="0" w:color="auto"/>
              <w:right w:val="nil"/>
            </w:tcBorders>
            <w:shd w:val="clear" w:color="auto" w:fill="8DB3E2" w:themeFill="text2" w:themeFillTint="66"/>
            <w:vAlign w:val="center"/>
            <w:hideMark/>
          </w:tcPr>
          <w:p w:rsidR="001B3767" w:rsidRPr="00941F20" w:rsidRDefault="001B3767" w:rsidP="00941F20">
            <w:pPr>
              <w:pStyle w:val="cuadroCabe"/>
              <w:jc w:val="left"/>
              <w:rPr>
                <w:rFonts w:cs="Arial"/>
                <w:szCs w:val="18"/>
              </w:rPr>
            </w:pPr>
            <w:r w:rsidRPr="00941F20">
              <w:rPr>
                <w:rFonts w:cs="Arial"/>
                <w:szCs w:val="18"/>
              </w:rPr>
              <w:t>Objeto</w:t>
            </w:r>
          </w:p>
        </w:tc>
      </w:tr>
      <w:tr w:rsidR="001B3767" w:rsidRPr="00941F20" w:rsidTr="00941F20">
        <w:trPr>
          <w:trHeight w:val="227"/>
          <w:jc w:val="center"/>
        </w:trPr>
        <w:tc>
          <w:tcPr>
            <w:tcW w:w="4156" w:type="dxa"/>
            <w:tcBorders>
              <w:top w:val="single" w:sz="4"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Baluarte</w:t>
            </w:r>
          </w:p>
        </w:tc>
        <w:tc>
          <w:tcPr>
            <w:tcW w:w="4680" w:type="dxa"/>
            <w:tcBorders>
              <w:top w:val="single" w:sz="4"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Promoción actividades culturales en Baluarte</w:t>
            </w:r>
          </w:p>
        </w:tc>
      </w:tr>
      <w:tr w:rsidR="001B3767" w:rsidRPr="00941F20"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Conservación del Patrimonio Histórico de Navarra</w:t>
            </w:r>
          </w:p>
        </w:tc>
        <w:tc>
          <w:tcPr>
            <w:tcW w:w="4680"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Conservación y restauración de Bienes de interés cultural</w:t>
            </w:r>
          </w:p>
        </w:tc>
      </w:tr>
      <w:tr w:rsidR="001B3767" w:rsidRPr="00941F20"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Formación en Energías Renovables</w:t>
            </w:r>
          </w:p>
        </w:tc>
        <w:tc>
          <w:tcPr>
            <w:tcW w:w="4680"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Formación profesional del personal para el desarrollo del sector de las energías renovables</w:t>
            </w:r>
          </w:p>
        </w:tc>
      </w:tr>
      <w:tr w:rsidR="001B3767" w:rsidRPr="00941F20"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Inst. Navarro de Artes Audiovisuales y Cinematografía</w:t>
            </w:r>
          </w:p>
        </w:tc>
        <w:tc>
          <w:tcPr>
            <w:tcW w:w="4680"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Fomento del sector audiovisual y del cine en Navarra</w:t>
            </w:r>
          </w:p>
        </w:tc>
      </w:tr>
      <w:tr w:rsidR="001B3767" w:rsidRPr="00941F20" w:rsidTr="00941F20">
        <w:trPr>
          <w:trHeight w:val="227"/>
          <w:jc w:val="center"/>
        </w:trPr>
        <w:tc>
          <w:tcPr>
            <w:tcW w:w="4156"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Miguel Servet</w:t>
            </w:r>
          </w:p>
        </w:tc>
        <w:tc>
          <w:tcPr>
            <w:tcW w:w="4680"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Fomento de la investigación sanitaria</w:t>
            </w:r>
          </w:p>
        </w:tc>
      </w:tr>
      <w:tr w:rsidR="001B3767" w:rsidRPr="00941F20" w:rsidTr="001F60EA">
        <w:trPr>
          <w:trHeight w:val="227"/>
          <w:jc w:val="center"/>
        </w:trPr>
        <w:tc>
          <w:tcPr>
            <w:tcW w:w="4156"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Navarra para la Excelencia</w:t>
            </w:r>
          </w:p>
        </w:tc>
        <w:tc>
          <w:tcPr>
            <w:tcW w:w="4680" w:type="dxa"/>
            <w:tcBorders>
              <w:top w:val="single" w:sz="2" w:space="0" w:color="auto"/>
              <w:left w:val="nil"/>
              <w:bottom w:val="single" w:sz="2"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Promoción de los principios de calidad en empresas navarras tanto públicas como privadas</w:t>
            </w:r>
          </w:p>
        </w:tc>
      </w:tr>
      <w:tr w:rsidR="001B3767" w:rsidRPr="00941F20" w:rsidTr="00941F20">
        <w:trPr>
          <w:trHeight w:val="227"/>
          <w:jc w:val="center"/>
        </w:trPr>
        <w:tc>
          <w:tcPr>
            <w:tcW w:w="4156" w:type="dxa"/>
            <w:tcBorders>
              <w:top w:val="single" w:sz="2" w:space="0" w:color="auto"/>
              <w:left w:val="nil"/>
              <w:bottom w:val="single" w:sz="4"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Tutela de las Personas Adultas</w:t>
            </w:r>
          </w:p>
        </w:tc>
        <w:tc>
          <w:tcPr>
            <w:tcW w:w="4680" w:type="dxa"/>
            <w:tcBorders>
              <w:top w:val="single" w:sz="2" w:space="0" w:color="auto"/>
              <w:left w:val="nil"/>
              <w:bottom w:val="single" w:sz="4" w:space="0" w:color="auto"/>
              <w:right w:val="nil"/>
            </w:tcBorders>
            <w:vAlign w:val="center"/>
            <w:hideMark/>
          </w:tcPr>
          <w:p w:rsidR="001B3767" w:rsidRPr="00941F20" w:rsidRDefault="001B3767" w:rsidP="00941F20">
            <w:pPr>
              <w:spacing w:after="0"/>
              <w:ind w:firstLine="0"/>
              <w:jc w:val="left"/>
              <w:rPr>
                <w:rFonts w:ascii="Arial Narrow" w:hAnsi="Arial Narrow" w:cs="Arial"/>
                <w:sz w:val="18"/>
                <w:szCs w:val="18"/>
                <w:lang w:val="es-ES" w:eastAsia="es-ES"/>
              </w:rPr>
            </w:pPr>
            <w:r w:rsidRPr="00941F20">
              <w:rPr>
                <w:rFonts w:ascii="Arial Narrow" w:hAnsi="Arial Narrow" w:cs="Arial"/>
                <w:sz w:val="18"/>
                <w:szCs w:val="18"/>
                <w:lang w:val="es-ES" w:eastAsia="es-ES"/>
              </w:rPr>
              <w:t>Atención y tutela de personas mayores de edad e incapacitadas</w:t>
            </w:r>
          </w:p>
        </w:tc>
      </w:tr>
    </w:tbl>
    <w:p w:rsidR="00C3773A" w:rsidRDefault="00C3773A" w:rsidP="00C3773A">
      <w:pPr>
        <w:pStyle w:val="texto"/>
        <w:spacing w:before="140" w:after="120"/>
        <w:rPr>
          <w:lang w:val="es-ES"/>
        </w:rPr>
      </w:pPr>
      <w:r>
        <w:rPr>
          <w:lang w:val="es-ES"/>
        </w:rPr>
        <w:t>El 20 de marzo de 2014, el Gobierno de Navarra acordó ordenar el inicio de los procedimientos de extinción de la Fundación para la Conservación del P</w:t>
      </w:r>
      <w:r>
        <w:rPr>
          <w:lang w:val="es-ES"/>
        </w:rPr>
        <w:t>a</w:t>
      </w:r>
      <w:r>
        <w:rPr>
          <w:lang w:val="es-ES"/>
        </w:rPr>
        <w:t>trimonio Históric</w:t>
      </w:r>
      <w:r w:rsidRPr="00A05744">
        <w:rPr>
          <w:lang w:val="es-ES"/>
        </w:rPr>
        <w:t xml:space="preserve">o </w:t>
      </w:r>
      <w:r w:rsidR="00C40B8C" w:rsidRPr="00A05744">
        <w:rPr>
          <w:lang w:val="es-ES"/>
        </w:rPr>
        <w:t>y</w:t>
      </w:r>
      <w:r w:rsidRPr="00A05744">
        <w:rPr>
          <w:lang w:val="es-ES"/>
        </w:rPr>
        <w:t xml:space="preserve"> </w:t>
      </w:r>
      <w:r w:rsidR="00DF6851" w:rsidRPr="00A05744">
        <w:rPr>
          <w:lang w:val="es-ES"/>
        </w:rPr>
        <w:t>mod</w:t>
      </w:r>
      <w:r w:rsidR="00DF6851">
        <w:rPr>
          <w:lang w:val="es-ES"/>
        </w:rPr>
        <w:t xml:space="preserve">ificar los estatutos de </w:t>
      </w:r>
      <w:r>
        <w:rPr>
          <w:lang w:val="es-ES"/>
        </w:rPr>
        <w:t xml:space="preserve">la Fundación </w:t>
      </w:r>
      <w:r w:rsidR="00DF6851">
        <w:rPr>
          <w:lang w:val="es-ES"/>
        </w:rPr>
        <w:t xml:space="preserve">para la Formación </w:t>
      </w:r>
      <w:r w:rsidR="00DF6851">
        <w:rPr>
          <w:lang w:val="es-ES"/>
        </w:rPr>
        <w:lastRenderedPageBreak/>
        <w:t>de Energías Renovables a fin de eliminar la presencia de la Administración P</w:t>
      </w:r>
      <w:r w:rsidR="00DF6851">
        <w:rPr>
          <w:lang w:val="es-ES"/>
        </w:rPr>
        <w:t>ú</w:t>
      </w:r>
      <w:r w:rsidR="00DF6851">
        <w:rPr>
          <w:lang w:val="es-ES"/>
        </w:rPr>
        <w:t>blica en su Patronato.</w:t>
      </w:r>
    </w:p>
    <w:p w:rsidR="001B3767" w:rsidRDefault="001B3767" w:rsidP="00C3773A">
      <w:pPr>
        <w:pStyle w:val="texto"/>
        <w:spacing w:before="140" w:after="120"/>
        <w:rPr>
          <w:lang w:val="es-ES"/>
        </w:rPr>
      </w:pPr>
      <w:r w:rsidRPr="000E2288">
        <w:rPr>
          <w:lang w:val="es-ES"/>
        </w:rPr>
        <w:t>El 28 de mayo de 2014, el Gobierno de Navarra acordó la extinción de la Fundación Pública Instituto Navarro de Artes Audiovisuales y Cinematografía.</w:t>
      </w:r>
    </w:p>
    <w:p w:rsidR="00C3773A" w:rsidRPr="000E2288" w:rsidRDefault="00C3773A" w:rsidP="00C3773A">
      <w:pPr>
        <w:pStyle w:val="texto"/>
        <w:spacing w:before="240" w:after="180"/>
        <w:rPr>
          <w:lang w:val="es-ES"/>
        </w:rPr>
      </w:pPr>
      <w:r w:rsidRPr="000E2288">
        <w:rPr>
          <w:lang w:val="es-ES"/>
        </w:rPr>
        <w:t xml:space="preserve">El </w:t>
      </w:r>
      <w:r>
        <w:rPr>
          <w:lang w:val="es-ES"/>
        </w:rPr>
        <w:t>29 de diciembre de</w:t>
      </w:r>
      <w:r w:rsidRPr="000E2288">
        <w:rPr>
          <w:lang w:val="es-ES"/>
        </w:rPr>
        <w:t xml:space="preserve"> 2014</w:t>
      </w:r>
      <w:r>
        <w:rPr>
          <w:lang w:val="es-ES"/>
        </w:rPr>
        <w:t>,</w:t>
      </w:r>
      <w:r w:rsidRPr="000E2288">
        <w:rPr>
          <w:lang w:val="es-ES"/>
        </w:rPr>
        <w:t xml:space="preserve"> el Gobierno de Navarra </w:t>
      </w:r>
      <w:r>
        <w:rPr>
          <w:lang w:val="es-ES"/>
        </w:rPr>
        <w:t xml:space="preserve">aprobó la modificación de los </w:t>
      </w:r>
      <w:r w:rsidRPr="000E2288">
        <w:rPr>
          <w:lang w:val="es-ES"/>
        </w:rPr>
        <w:t xml:space="preserve">estatutos de la Fundación Navarra para la Excelencia a fin de </w:t>
      </w:r>
      <w:r>
        <w:rPr>
          <w:lang w:val="es-ES"/>
        </w:rPr>
        <w:t>que</w:t>
      </w:r>
      <w:r w:rsidRPr="000E2288">
        <w:rPr>
          <w:lang w:val="es-ES"/>
        </w:rPr>
        <w:t xml:space="preserve"> </w:t>
      </w:r>
      <w:r>
        <w:rPr>
          <w:lang w:val="es-ES"/>
        </w:rPr>
        <w:t>pase a tener el carácter de fundación privada.</w:t>
      </w:r>
    </w:p>
    <w:p w:rsidR="001B3767" w:rsidRPr="000E2288" w:rsidRDefault="00D53F05" w:rsidP="00627EA1">
      <w:pPr>
        <w:pStyle w:val="texto"/>
        <w:spacing w:after="120"/>
        <w:rPr>
          <w:lang w:val="es-ES"/>
        </w:rPr>
      </w:pPr>
      <w:r>
        <w:rPr>
          <w:lang w:val="es-ES"/>
        </w:rPr>
        <w:t>Los principales</w:t>
      </w:r>
      <w:r w:rsidR="00A05744">
        <w:rPr>
          <w:lang w:val="es-ES"/>
        </w:rPr>
        <w:t xml:space="preserve"> datos económicos</w:t>
      </w:r>
      <w:r w:rsidR="001B3767" w:rsidRPr="000E2288">
        <w:rPr>
          <w:lang w:val="es-ES"/>
        </w:rPr>
        <w:t xml:space="preserve"> y de personal a 31 de diciembre de 2014 de las entidades que componen el Sector Público Foral, ampliados y coment</w:t>
      </w:r>
      <w:r w:rsidR="001B3767" w:rsidRPr="000E2288">
        <w:rPr>
          <w:lang w:val="es-ES"/>
        </w:rPr>
        <w:t>a</w:t>
      </w:r>
      <w:r w:rsidR="001B3767" w:rsidRPr="000E2288">
        <w:rPr>
          <w:lang w:val="es-ES"/>
        </w:rPr>
        <w:t>dos en la memoria de las Cuentas Generales, son los siguientes:</w:t>
      </w:r>
    </w:p>
    <w:p w:rsidR="001B3767" w:rsidRDefault="001B3767" w:rsidP="0035789F">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89"/>
        <w:rPr>
          <w:rFonts w:cs="Arial"/>
        </w:rPr>
      </w:pPr>
      <w:r>
        <w:rPr>
          <w:rFonts w:cs="Arial"/>
        </w:rPr>
        <w:t>Administración de la Comunidad Foral.</w:t>
      </w:r>
    </w:p>
    <w:p w:rsidR="000814B9" w:rsidRPr="00763287" w:rsidRDefault="000814B9" w:rsidP="000814B9">
      <w:pPr>
        <w:pStyle w:val="texto"/>
        <w:tabs>
          <w:tab w:val="clear" w:pos="2835"/>
          <w:tab w:val="clear" w:pos="3969"/>
          <w:tab w:val="clear" w:pos="5103"/>
          <w:tab w:val="clear" w:pos="6237"/>
          <w:tab w:val="clear" w:pos="7371"/>
          <w:tab w:val="left" w:pos="480"/>
        </w:tabs>
        <w:spacing w:after="40"/>
        <w:ind w:left="289" w:firstLine="0"/>
        <w:jc w:val="right"/>
        <w:rPr>
          <w:rFonts w:ascii="Arial" w:hAnsi="Arial" w:cs="Arial"/>
          <w:sz w:val="16"/>
          <w:szCs w:val="16"/>
          <w:lang w:val="es-ES" w:eastAsia="es-ES"/>
        </w:rPr>
      </w:pPr>
      <w:r w:rsidRPr="00763287">
        <w:rPr>
          <w:rFonts w:ascii="Arial" w:hAnsi="Arial" w:cs="Arial"/>
          <w:sz w:val="16"/>
          <w:szCs w:val="16"/>
          <w:lang w:val="es-ES" w:eastAsia="es-ES"/>
        </w:rPr>
        <w:t>(</w:t>
      </w:r>
      <w:proofErr w:type="gramStart"/>
      <w:r w:rsidRPr="00763287">
        <w:rPr>
          <w:rFonts w:ascii="Arial" w:hAnsi="Arial" w:cs="Arial"/>
          <w:sz w:val="16"/>
          <w:szCs w:val="16"/>
          <w:lang w:val="es-ES" w:eastAsia="es-ES"/>
        </w:rPr>
        <w:t>millones</w:t>
      </w:r>
      <w:proofErr w:type="gramEnd"/>
      <w:r w:rsidRPr="00763287">
        <w:rPr>
          <w:rFonts w:ascii="Arial" w:hAnsi="Arial" w:cs="Arial"/>
          <w:sz w:val="16"/>
          <w:szCs w:val="16"/>
          <w:lang w:val="es-ES" w:eastAsia="es-ES"/>
        </w:rPr>
        <w:t xml:space="preserve"> de euros)</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D53F05" w:rsidRPr="00C86560" w:rsidTr="00DF620C">
        <w:trPr>
          <w:cantSplit/>
          <w:trHeight w:val="449"/>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D53F05" w:rsidRPr="00C86560" w:rsidRDefault="00D53F05" w:rsidP="00C86560">
            <w:pPr>
              <w:pStyle w:val="cuadroCabe"/>
              <w:jc w:val="left"/>
              <w:rPr>
                <w:rFonts w:cs="Arial"/>
                <w:sz w:val="17"/>
                <w:szCs w:val="17"/>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D53F05" w:rsidRPr="00C86560" w:rsidRDefault="00D53F05" w:rsidP="00C86560">
            <w:pPr>
              <w:pStyle w:val="cuadroCabe"/>
              <w:jc w:val="right"/>
              <w:rPr>
                <w:rFonts w:cs="Arial"/>
                <w:sz w:val="17"/>
                <w:szCs w:val="17"/>
              </w:rPr>
            </w:pPr>
            <w:r w:rsidRPr="00C86560">
              <w:rPr>
                <w:rFonts w:cs="Arial"/>
                <w:sz w:val="17"/>
                <w:szCs w:val="17"/>
              </w:rPr>
              <w:t>Derechos</w:t>
            </w:r>
          </w:p>
          <w:p w:rsidR="00D53F05" w:rsidRPr="00C86560" w:rsidRDefault="00D53F05" w:rsidP="00C86560">
            <w:pPr>
              <w:pStyle w:val="cuadroCabe"/>
              <w:jc w:val="right"/>
              <w:rPr>
                <w:rFonts w:cs="Arial"/>
                <w:sz w:val="17"/>
                <w:szCs w:val="17"/>
              </w:rPr>
            </w:pPr>
            <w:r w:rsidRPr="00C86560">
              <w:rPr>
                <w:rFonts w:cs="Arial"/>
                <w:sz w:val="17"/>
                <w:szCs w:val="17"/>
              </w:rPr>
              <w:t>reconocidos</w:t>
            </w: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D53F05" w:rsidRPr="00C86560" w:rsidRDefault="00D53F05" w:rsidP="00C86560">
            <w:pPr>
              <w:pStyle w:val="cuadroCabe"/>
              <w:jc w:val="right"/>
              <w:rPr>
                <w:rFonts w:cs="Arial"/>
                <w:sz w:val="17"/>
                <w:szCs w:val="17"/>
              </w:rPr>
            </w:pPr>
            <w:r w:rsidRPr="00C86560">
              <w:rPr>
                <w:rFonts w:cs="Arial"/>
                <w:sz w:val="17"/>
                <w:szCs w:val="17"/>
              </w:rPr>
              <w:t>Obligaciones</w:t>
            </w:r>
          </w:p>
          <w:p w:rsidR="00D53F05" w:rsidRPr="00C86560" w:rsidRDefault="00D53F05" w:rsidP="00C86560">
            <w:pPr>
              <w:pStyle w:val="cuadroCabe"/>
              <w:jc w:val="right"/>
              <w:rPr>
                <w:rFonts w:cs="Arial"/>
                <w:sz w:val="17"/>
                <w:szCs w:val="17"/>
              </w:rPr>
            </w:pPr>
            <w:r w:rsidRPr="00C86560">
              <w:rPr>
                <w:rFonts w:cs="Arial"/>
                <w:sz w:val="17"/>
                <w:szCs w:val="17"/>
              </w:rPr>
              <w:t>reconocidas</w:t>
            </w:r>
          </w:p>
        </w:tc>
      </w:tr>
      <w:tr w:rsidR="00D53F05" w:rsidRPr="00C86560" w:rsidTr="00DF620C">
        <w:trPr>
          <w:cantSplit/>
          <w:trHeight w:val="255"/>
          <w:jc w:val="center"/>
        </w:trPr>
        <w:tc>
          <w:tcPr>
            <w:tcW w:w="3083" w:type="dxa"/>
            <w:tcBorders>
              <w:top w:val="single" w:sz="4" w:space="0" w:color="auto"/>
              <w:left w:val="nil"/>
              <w:bottom w:val="single" w:sz="2" w:space="0" w:color="auto"/>
              <w:right w:val="nil"/>
            </w:tcBorders>
            <w:vAlign w:val="center"/>
            <w:hideMark/>
          </w:tcPr>
          <w:p w:rsidR="00D53F05" w:rsidRPr="00C86560" w:rsidRDefault="00D53F05" w:rsidP="00C86560">
            <w:pPr>
              <w:spacing w:after="0"/>
              <w:ind w:firstLine="0"/>
              <w:jc w:val="left"/>
              <w:rPr>
                <w:rFonts w:ascii="Arial Narrow" w:hAnsi="Arial Narrow" w:cs="Arial"/>
                <w:sz w:val="19"/>
                <w:szCs w:val="19"/>
                <w:lang w:val="es-ES" w:eastAsia="es-ES"/>
              </w:rPr>
            </w:pPr>
            <w:r w:rsidRPr="00C86560">
              <w:rPr>
                <w:rFonts w:ascii="Arial Narrow" w:hAnsi="Arial Narrow" w:cs="Arial"/>
                <w:sz w:val="19"/>
                <w:szCs w:val="19"/>
                <w:lang w:val="es-ES" w:eastAsia="es-ES"/>
              </w:rPr>
              <w:t>Departamentos</w:t>
            </w:r>
          </w:p>
        </w:tc>
        <w:tc>
          <w:tcPr>
            <w:tcW w:w="2564" w:type="dxa"/>
            <w:tcBorders>
              <w:top w:val="single" w:sz="4" w:space="0" w:color="auto"/>
              <w:left w:val="nil"/>
              <w:bottom w:val="single" w:sz="2" w:space="0" w:color="auto"/>
              <w:right w:val="nil"/>
            </w:tcBorders>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t>691,58</w:t>
            </w:r>
          </w:p>
        </w:tc>
        <w:tc>
          <w:tcPr>
            <w:tcW w:w="3170" w:type="dxa"/>
            <w:tcBorders>
              <w:top w:val="single" w:sz="4" w:space="0" w:color="auto"/>
              <w:left w:val="nil"/>
              <w:bottom w:val="single" w:sz="2" w:space="0" w:color="auto"/>
              <w:right w:val="nil"/>
            </w:tcBorders>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t>2.632,04</w:t>
            </w:r>
          </w:p>
        </w:tc>
      </w:tr>
      <w:tr w:rsidR="00D53F05" w:rsidRPr="00C86560" w:rsidTr="00DF620C">
        <w:trPr>
          <w:cantSplit/>
          <w:trHeight w:val="255"/>
          <w:jc w:val="center"/>
        </w:trPr>
        <w:tc>
          <w:tcPr>
            <w:tcW w:w="3083" w:type="dxa"/>
            <w:tcBorders>
              <w:top w:val="single" w:sz="2" w:space="0" w:color="auto"/>
              <w:left w:val="nil"/>
              <w:bottom w:val="single" w:sz="4" w:space="0" w:color="auto"/>
              <w:right w:val="nil"/>
            </w:tcBorders>
            <w:vAlign w:val="center"/>
            <w:hideMark/>
          </w:tcPr>
          <w:p w:rsidR="00D53F05" w:rsidRPr="00C86560" w:rsidRDefault="00D53F05" w:rsidP="00C86560">
            <w:pPr>
              <w:spacing w:after="0"/>
              <w:ind w:firstLine="0"/>
              <w:jc w:val="left"/>
              <w:rPr>
                <w:rFonts w:ascii="Arial Narrow" w:hAnsi="Arial Narrow" w:cs="Arial"/>
                <w:sz w:val="19"/>
                <w:szCs w:val="19"/>
                <w:lang w:val="es-ES" w:eastAsia="es-ES"/>
              </w:rPr>
            </w:pPr>
            <w:r w:rsidRPr="00C86560">
              <w:rPr>
                <w:rFonts w:ascii="Arial Narrow" w:hAnsi="Arial Narrow" w:cs="Arial"/>
                <w:sz w:val="19"/>
                <w:szCs w:val="19"/>
                <w:lang w:val="es-ES" w:eastAsia="es-ES"/>
              </w:rPr>
              <w:t>Organismos Autónomos</w:t>
            </w:r>
          </w:p>
        </w:tc>
        <w:tc>
          <w:tcPr>
            <w:tcW w:w="2564" w:type="dxa"/>
            <w:tcBorders>
              <w:top w:val="single" w:sz="2" w:space="0" w:color="auto"/>
              <w:left w:val="nil"/>
              <w:bottom w:val="single" w:sz="4" w:space="0" w:color="auto"/>
              <w:right w:val="nil"/>
            </w:tcBorders>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t>3.164,40</w:t>
            </w:r>
          </w:p>
        </w:tc>
        <w:tc>
          <w:tcPr>
            <w:tcW w:w="3170" w:type="dxa"/>
            <w:tcBorders>
              <w:top w:val="single" w:sz="2" w:space="0" w:color="auto"/>
              <w:left w:val="nil"/>
              <w:bottom w:val="single" w:sz="4" w:space="0" w:color="auto"/>
              <w:right w:val="nil"/>
            </w:tcBorders>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t>1.171,52</w:t>
            </w:r>
          </w:p>
        </w:tc>
      </w:tr>
      <w:tr w:rsidR="00D53F05" w:rsidRPr="00C86560" w:rsidTr="00DF620C">
        <w:trPr>
          <w:cantSplit/>
          <w:trHeight w:val="312"/>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D53F05" w:rsidRPr="00C86560" w:rsidRDefault="00D53F05" w:rsidP="00C86560">
            <w:pPr>
              <w:spacing w:after="0"/>
              <w:ind w:firstLine="0"/>
              <w:jc w:val="left"/>
              <w:rPr>
                <w:rFonts w:ascii="Arial Narrow" w:hAnsi="Arial Narrow" w:cs="Arial"/>
                <w:sz w:val="19"/>
                <w:szCs w:val="19"/>
                <w:lang w:val="es-ES" w:eastAsia="es-ES"/>
              </w:rPr>
            </w:pPr>
            <w:r w:rsidRPr="00C86560">
              <w:rPr>
                <w:rFonts w:ascii="Arial Narrow" w:hAnsi="Arial Narrow" w:cs="Arial"/>
                <w:sz w:val="19"/>
                <w:szCs w:val="19"/>
                <w:lang w:val="es-ES" w:eastAsia="es-ES"/>
              </w:rPr>
              <w:t>Total</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fldChar w:fldCharType="begin"/>
            </w:r>
            <w:r w:rsidRPr="00C86560">
              <w:rPr>
                <w:rFonts w:ascii="Arial Narrow" w:hAnsi="Arial Narrow" w:cs="Arial"/>
                <w:sz w:val="19"/>
                <w:szCs w:val="19"/>
                <w:lang w:val="es-ES" w:eastAsia="es-ES"/>
              </w:rPr>
              <w:instrText xml:space="preserve"> =SUM(ABOVE) </w:instrText>
            </w:r>
            <w:r w:rsidRPr="00C86560">
              <w:rPr>
                <w:rFonts w:ascii="Arial Narrow" w:hAnsi="Arial Narrow" w:cs="Arial"/>
                <w:sz w:val="19"/>
                <w:szCs w:val="19"/>
                <w:lang w:val="es-ES" w:eastAsia="es-ES"/>
              </w:rPr>
              <w:fldChar w:fldCharType="separate"/>
            </w:r>
            <w:r w:rsidRPr="00C86560">
              <w:rPr>
                <w:rFonts w:ascii="Arial Narrow" w:hAnsi="Arial Narrow" w:cs="Arial"/>
                <w:sz w:val="19"/>
                <w:szCs w:val="19"/>
                <w:lang w:val="es-ES" w:eastAsia="es-ES"/>
              </w:rPr>
              <w:t>3.855,98</w:t>
            </w:r>
            <w:r w:rsidRPr="00C86560">
              <w:rPr>
                <w:rFonts w:ascii="Arial Narrow" w:hAnsi="Arial Narrow" w:cs="Arial"/>
                <w:sz w:val="19"/>
                <w:szCs w:val="19"/>
                <w:lang w:val="es-ES" w:eastAsia="es-ES"/>
              </w:rPr>
              <w:fldChar w:fldCharType="end"/>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D53F05" w:rsidRPr="00C86560" w:rsidRDefault="00D53F05" w:rsidP="00C86560">
            <w:pPr>
              <w:spacing w:after="0"/>
              <w:ind w:firstLine="0"/>
              <w:jc w:val="right"/>
              <w:rPr>
                <w:rFonts w:ascii="Arial Narrow" w:hAnsi="Arial Narrow" w:cs="Arial"/>
                <w:sz w:val="19"/>
                <w:szCs w:val="19"/>
                <w:lang w:val="es-ES" w:eastAsia="es-ES"/>
              </w:rPr>
            </w:pPr>
            <w:r w:rsidRPr="00C86560">
              <w:rPr>
                <w:rFonts w:ascii="Arial Narrow" w:hAnsi="Arial Narrow" w:cs="Arial"/>
                <w:sz w:val="19"/>
                <w:szCs w:val="19"/>
                <w:lang w:val="es-ES" w:eastAsia="es-ES"/>
              </w:rPr>
              <w:fldChar w:fldCharType="begin"/>
            </w:r>
            <w:r w:rsidRPr="00C86560">
              <w:rPr>
                <w:rFonts w:ascii="Arial Narrow" w:hAnsi="Arial Narrow" w:cs="Arial"/>
                <w:sz w:val="19"/>
                <w:szCs w:val="19"/>
                <w:lang w:val="es-ES" w:eastAsia="es-ES"/>
              </w:rPr>
              <w:instrText xml:space="preserve"> =SUM(ABOVE) </w:instrText>
            </w:r>
            <w:r w:rsidRPr="00C86560">
              <w:rPr>
                <w:rFonts w:ascii="Arial Narrow" w:hAnsi="Arial Narrow" w:cs="Arial"/>
                <w:sz w:val="19"/>
                <w:szCs w:val="19"/>
                <w:lang w:val="es-ES" w:eastAsia="es-ES"/>
              </w:rPr>
              <w:fldChar w:fldCharType="separate"/>
            </w:r>
            <w:r w:rsidRPr="00C86560">
              <w:rPr>
                <w:rFonts w:ascii="Arial Narrow" w:hAnsi="Arial Narrow" w:cs="Arial"/>
                <w:sz w:val="19"/>
                <w:szCs w:val="19"/>
                <w:lang w:val="es-ES" w:eastAsia="es-ES"/>
              </w:rPr>
              <w:t>3.803,56</w:t>
            </w:r>
            <w:r w:rsidRPr="00C86560">
              <w:rPr>
                <w:rFonts w:ascii="Arial Narrow" w:hAnsi="Arial Narrow" w:cs="Arial"/>
                <w:sz w:val="19"/>
                <w:szCs w:val="19"/>
                <w:lang w:val="es-ES" w:eastAsia="es-ES"/>
              </w:rPr>
              <w:fldChar w:fldCharType="end"/>
            </w:r>
          </w:p>
        </w:tc>
      </w:tr>
    </w:tbl>
    <w:p w:rsidR="001B3767" w:rsidRDefault="001B3767" w:rsidP="00214E2B">
      <w:pPr>
        <w:pStyle w:val="texto"/>
        <w:numPr>
          <w:ilvl w:val="0"/>
          <w:numId w:val="11"/>
        </w:numPr>
        <w:tabs>
          <w:tab w:val="clear" w:pos="2835"/>
          <w:tab w:val="clear" w:pos="3969"/>
          <w:tab w:val="clear" w:pos="5103"/>
          <w:tab w:val="clear" w:pos="6237"/>
          <w:tab w:val="clear" w:pos="7371"/>
          <w:tab w:val="left" w:pos="480"/>
          <w:tab w:val="num" w:pos="600"/>
          <w:tab w:val="num" w:pos="720"/>
        </w:tabs>
        <w:spacing w:before="240" w:after="120"/>
        <w:ind w:left="0" w:firstLine="289"/>
        <w:rPr>
          <w:rFonts w:cs="Arial"/>
        </w:rPr>
      </w:pPr>
      <w:r>
        <w:rPr>
          <w:rFonts w:cs="Arial"/>
        </w:rPr>
        <w:t>Sociedades públicas.</w:t>
      </w:r>
    </w:p>
    <w:p w:rsidR="000814B9" w:rsidRPr="00763287" w:rsidRDefault="000814B9" w:rsidP="000814B9">
      <w:pPr>
        <w:pStyle w:val="texto"/>
        <w:tabs>
          <w:tab w:val="clear" w:pos="2835"/>
          <w:tab w:val="clear" w:pos="3969"/>
          <w:tab w:val="clear" w:pos="5103"/>
          <w:tab w:val="clear" w:pos="6237"/>
          <w:tab w:val="clear" w:pos="7371"/>
          <w:tab w:val="left" w:pos="480"/>
        </w:tabs>
        <w:spacing w:after="40"/>
        <w:ind w:firstLine="0"/>
        <w:jc w:val="right"/>
        <w:rPr>
          <w:rFonts w:ascii="Arial" w:hAnsi="Arial" w:cs="Arial"/>
          <w:sz w:val="16"/>
          <w:szCs w:val="16"/>
          <w:lang w:val="es-ES" w:eastAsia="es-ES"/>
        </w:rPr>
      </w:pPr>
      <w:r w:rsidRPr="00763287">
        <w:rPr>
          <w:rFonts w:ascii="Arial" w:hAnsi="Arial" w:cs="Arial"/>
          <w:sz w:val="16"/>
          <w:szCs w:val="16"/>
          <w:lang w:val="es-ES" w:eastAsia="es-ES"/>
        </w:rPr>
        <w:t>(</w:t>
      </w:r>
      <w:proofErr w:type="gramStart"/>
      <w:r w:rsidRPr="00763287">
        <w:rPr>
          <w:rFonts w:ascii="Arial" w:hAnsi="Arial" w:cs="Arial"/>
          <w:sz w:val="16"/>
          <w:szCs w:val="16"/>
          <w:lang w:val="es-ES" w:eastAsia="es-ES"/>
        </w:rPr>
        <w:t>miles</w:t>
      </w:r>
      <w:proofErr w:type="gramEnd"/>
      <w:r w:rsidRPr="00763287">
        <w:rPr>
          <w:rFonts w:ascii="Arial" w:hAnsi="Arial" w:cs="Arial"/>
          <w:sz w:val="16"/>
          <w:szCs w:val="16"/>
          <w:lang w:val="es-ES" w:eastAsia="es-ES"/>
        </w:rPr>
        <w:t xml:space="preserve"> de euros)</w:t>
      </w:r>
    </w:p>
    <w:tbl>
      <w:tblPr>
        <w:tblW w:w="8856"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279"/>
      </w:tblGrid>
      <w:tr w:rsidR="001B3767" w:rsidRPr="00A352CE" w:rsidTr="00DC6EF0">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1B3767" w:rsidRPr="00A352CE" w:rsidRDefault="001B3767" w:rsidP="00C86560">
            <w:pPr>
              <w:pStyle w:val="cuadroCabe"/>
              <w:jc w:val="left"/>
              <w:rPr>
                <w:rFonts w:cs="Arial"/>
                <w:sz w:val="16"/>
                <w:szCs w:val="16"/>
              </w:rPr>
            </w:pPr>
            <w:r w:rsidRPr="00A352CE">
              <w:rPr>
                <w:rFonts w:cs="Arial"/>
                <w:sz w:val="16"/>
                <w:szCs w:val="16"/>
              </w:rPr>
              <w:t>Sociedad</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A352CE" w:rsidRDefault="001B3767" w:rsidP="00C86560">
            <w:pPr>
              <w:pStyle w:val="cuadroCabe"/>
              <w:jc w:val="right"/>
              <w:rPr>
                <w:rFonts w:cs="Arial"/>
                <w:sz w:val="16"/>
                <w:szCs w:val="16"/>
              </w:rPr>
            </w:pPr>
            <w:r w:rsidRPr="00A352CE">
              <w:rPr>
                <w:rFonts w:cs="Arial"/>
                <w:sz w:val="16"/>
                <w:szCs w:val="16"/>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1B3767" w:rsidRPr="00A352CE" w:rsidRDefault="001B3767" w:rsidP="00C86560">
            <w:pPr>
              <w:pStyle w:val="cuadroCabe"/>
              <w:jc w:val="right"/>
              <w:rPr>
                <w:rFonts w:cs="Arial"/>
                <w:sz w:val="16"/>
                <w:szCs w:val="16"/>
              </w:rPr>
            </w:pPr>
            <w:r w:rsidRPr="00A352CE">
              <w:rPr>
                <w:rFonts w:cs="Arial"/>
                <w:sz w:val="16"/>
                <w:szCs w:val="16"/>
              </w:rPr>
              <w:t xml:space="preserve">Subvenciones </w:t>
            </w:r>
          </w:p>
          <w:p w:rsidR="001B3767" w:rsidRPr="00A352CE" w:rsidRDefault="001B3767" w:rsidP="001A79CE">
            <w:pPr>
              <w:pStyle w:val="cuadroCabe"/>
              <w:jc w:val="right"/>
              <w:rPr>
                <w:rFonts w:cs="Arial"/>
                <w:sz w:val="16"/>
                <w:szCs w:val="16"/>
              </w:rPr>
            </w:pPr>
            <w:r w:rsidRPr="00A352CE">
              <w:rPr>
                <w:rFonts w:cs="Arial"/>
                <w:sz w:val="16"/>
                <w:szCs w:val="16"/>
              </w:rPr>
              <w:t>Adm</w:t>
            </w:r>
            <w:r w:rsidR="001A79CE">
              <w:rPr>
                <w:rFonts w:cs="Arial"/>
                <w:sz w:val="16"/>
                <w:szCs w:val="16"/>
              </w:rPr>
              <w:t>ó</w:t>
            </w:r>
            <w:r w:rsidRPr="00A352CE">
              <w:rPr>
                <w:rFonts w:cs="Arial"/>
                <w:sz w:val="16"/>
                <w:szCs w:val="16"/>
              </w:rPr>
              <w:t>n</w:t>
            </w:r>
            <w:r w:rsidR="001A79CE">
              <w:rPr>
                <w:rFonts w:cs="Arial"/>
                <w:sz w:val="16"/>
                <w:szCs w:val="16"/>
              </w:rPr>
              <w:t>.</w:t>
            </w:r>
            <w:r w:rsidRPr="00A352CE">
              <w:rPr>
                <w:rFonts w:cs="Arial"/>
                <w:sz w:val="16"/>
                <w:szCs w:val="16"/>
              </w:rPr>
              <w:t xml:space="preserve"> </w:t>
            </w:r>
            <w:r w:rsidR="001A79CE" w:rsidRPr="00A352CE">
              <w:rPr>
                <w:rFonts w:cs="Arial"/>
                <w:sz w:val="16"/>
                <w:szCs w:val="16"/>
              </w:rPr>
              <w:t>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1B3767" w:rsidRPr="00A352CE" w:rsidRDefault="001B3767" w:rsidP="00747994">
            <w:pPr>
              <w:pStyle w:val="cuadroCabe"/>
              <w:jc w:val="right"/>
              <w:rPr>
                <w:rFonts w:cs="Arial"/>
                <w:sz w:val="16"/>
                <w:szCs w:val="16"/>
              </w:rPr>
            </w:pPr>
            <w:r w:rsidRPr="00A352CE">
              <w:rPr>
                <w:rFonts w:cs="Arial"/>
                <w:sz w:val="16"/>
                <w:szCs w:val="16"/>
              </w:rPr>
              <w:t>Endeudamiento largo plazo</w:t>
            </w:r>
            <w:r w:rsidR="00BE24B7">
              <w:rPr>
                <w:rFonts w:cs="Arial"/>
                <w:sz w:val="16"/>
                <w:szCs w:val="16"/>
              </w:rPr>
              <w:t xml:space="preserve">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1B3767" w:rsidRPr="00A352CE" w:rsidRDefault="001B3767" w:rsidP="00C86560">
            <w:pPr>
              <w:pStyle w:val="cuadroCabe"/>
              <w:jc w:val="right"/>
              <w:rPr>
                <w:rFonts w:cs="Arial"/>
                <w:sz w:val="16"/>
                <w:szCs w:val="16"/>
              </w:rPr>
            </w:pPr>
            <w:r w:rsidRPr="00A352CE">
              <w:rPr>
                <w:rFonts w:cs="Arial"/>
                <w:sz w:val="16"/>
                <w:szCs w:val="16"/>
              </w:rPr>
              <w:t>Patrimonio</w:t>
            </w:r>
          </w:p>
          <w:p w:rsidR="001B3767" w:rsidRPr="00A352CE" w:rsidRDefault="001B3767" w:rsidP="00C86560">
            <w:pPr>
              <w:pStyle w:val="cuadroCabe"/>
              <w:jc w:val="right"/>
              <w:rPr>
                <w:rFonts w:cs="Arial"/>
                <w:sz w:val="16"/>
                <w:szCs w:val="16"/>
              </w:rPr>
            </w:pPr>
            <w:r w:rsidRPr="00A352CE">
              <w:rPr>
                <w:rFonts w:cs="Arial"/>
                <w:sz w:val="16"/>
                <w:szCs w:val="16"/>
              </w:rPr>
              <w:t xml:space="preserve"> neto</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A352CE" w:rsidRDefault="001B3767" w:rsidP="00C86560">
            <w:pPr>
              <w:pStyle w:val="cuadroCabe"/>
              <w:jc w:val="right"/>
              <w:rPr>
                <w:rFonts w:cs="Arial"/>
                <w:sz w:val="16"/>
                <w:szCs w:val="16"/>
              </w:rPr>
            </w:pPr>
            <w:r w:rsidRPr="00A352CE">
              <w:rPr>
                <w:rFonts w:cs="Arial"/>
                <w:sz w:val="16"/>
                <w:szCs w:val="16"/>
              </w:rPr>
              <w:t>Nº medio de empleados</w:t>
            </w:r>
          </w:p>
        </w:tc>
      </w:tr>
      <w:tr w:rsidR="001B3767" w:rsidRPr="00F15917" w:rsidTr="00DC6EF0">
        <w:trPr>
          <w:trHeight w:val="238"/>
          <w:jc w:val="center"/>
        </w:trPr>
        <w:tc>
          <w:tcPr>
            <w:tcW w:w="2314" w:type="dxa"/>
            <w:tcBorders>
              <w:top w:val="single" w:sz="4" w:space="0" w:color="auto"/>
              <w:left w:val="nil"/>
              <w:bottom w:val="single" w:sz="4" w:space="0" w:color="auto"/>
              <w:right w:val="nil"/>
            </w:tcBorders>
            <w:vAlign w:val="center"/>
          </w:tcPr>
          <w:p w:rsidR="001B3767" w:rsidRPr="00F15917" w:rsidRDefault="00747994" w:rsidP="00C86560">
            <w:pPr>
              <w:pStyle w:val="cuatexto"/>
              <w:jc w:val="left"/>
              <w:rPr>
                <w:sz w:val="18"/>
                <w:szCs w:val="18"/>
              </w:rPr>
            </w:pPr>
            <w:r w:rsidRPr="00F15917">
              <w:rPr>
                <w:sz w:val="18"/>
                <w:szCs w:val="18"/>
              </w:rPr>
              <w:t xml:space="preserve">Total </w:t>
            </w:r>
            <w:r w:rsidR="00F15917">
              <w:rPr>
                <w:sz w:val="18"/>
                <w:szCs w:val="18"/>
              </w:rPr>
              <w:t>16 sociedades públicas</w:t>
            </w:r>
          </w:p>
        </w:tc>
        <w:tc>
          <w:tcPr>
            <w:tcW w:w="1134" w:type="dxa"/>
            <w:tcBorders>
              <w:top w:val="single" w:sz="4" w:space="0" w:color="auto"/>
              <w:left w:val="nil"/>
              <w:bottom w:val="single" w:sz="4" w:space="0" w:color="auto"/>
              <w:right w:val="nil"/>
            </w:tcBorders>
            <w:vAlign w:val="center"/>
          </w:tcPr>
          <w:p w:rsidR="001B3767" w:rsidRPr="00F15917" w:rsidRDefault="001B3767" w:rsidP="00C86560">
            <w:pPr>
              <w:pStyle w:val="cuatexto"/>
              <w:jc w:val="right"/>
              <w:rPr>
                <w:sz w:val="18"/>
                <w:szCs w:val="18"/>
              </w:rPr>
            </w:pPr>
            <w:r w:rsidRPr="00F15917">
              <w:rPr>
                <w:sz w:val="18"/>
                <w:szCs w:val="18"/>
              </w:rPr>
              <w:fldChar w:fldCharType="begin"/>
            </w:r>
            <w:r w:rsidRPr="00F15917">
              <w:rPr>
                <w:sz w:val="18"/>
                <w:szCs w:val="18"/>
              </w:rPr>
              <w:instrText xml:space="preserve"> =SUM(ABOVE) </w:instrText>
            </w:r>
            <w:r w:rsidRPr="00F15917">
              <w:rPr>
                <w:sz w:val="18"/>
                <w:szCs w:val="18"/>
              </w:rPr>
              <w:fldChar w:fldCharType="separate"/>
            </w:r>
            <w:r w:rsidRPr="00F15917">
              <w:rPr>
                <w:noProof/>
                <w:sz w:val="18"/>
                <w:szCs w:val="18"/>
              </w:rPr>
              <w:t>3.358,52</w:t>
            </w:r>
            <w:r w:rsidRPr="00F15917">
              <w:rPr>
                <w:sz w:val="18"/>
                <w:szCs w:val="18"/>
              </w:rPr>
              <w:fldChar w:fldCharType="end"/>
            </w:r>
          </w:p>
        </w:tc>
        <w:tc>
          <w:tcPr>
            <w:tcW w:w="1396" w:type="dxa"/>
            <w:tcBorders>
              <w:top w:val="single" w:sz="4" w:space="0" w:color="auto"/>
              <w:left w:val="nil"/>
              <w:bottom w:val="single" w:sz="4" w:space="0" w:color="auto"/>
              <w:right w:val="nil"/>
            </w:tcBorders>
            <w:vAlign w:val="center"/>
          </w:tcPr>
          <w:p w:rsidR="001B3767" w:rsidRPr="00F15917" w:rsidRDefault="001B3767" w:rsidP="00C86560">
            <w:pPr>
              <w:pStyle w:val="cuatexto"/>
              <w:jc w:val="right"/>
              <w:rPr>
                <w:sz w:val="18"/>
                <w:szCs w:val="18"/>
              </w:rPr>
            </w:pPr>
            <w:r w:rsidRPr="00F15917">
              <w:rPr>
                <w:sz w:val="18"/>
                <w:szCs w:val="18"/>
              </w:rPr>
              <w:fldChar w:fldCharType="begin"/>
            </w:r>
            <w:r w:rsidRPr="00F15917">
              <w:rPr>
                <w:sz w:val="18"/>
                <w:szCs w:val="18"/>
              </w:rPr>
              <w:instrText xml:space="preserve"> =SUM(ABOVE) </w:instrText>
            </w:r>
            <w:r w:rsidRPr="00F15917">
              <w:rPr>
                <w:sz w:val="18"/>
                <w:szCs w:val="18"/>
              </w:rPr>
              <w:fldChar w:fldCharType="separate"/>
            </w:r>
            <w:r w:rsidRPr="00F15917">
              <w:rPr>
                <w:noProof/>
                <w:sz w:val="18"/>
                <w:szCs w:val="18"/>
              </w:rPr>
              <w:t>5.854,1</w:t>
            </w:r>
            <w:r w:rsidRPr="00F15917">
              <w:rPr>
                <w:sz w:val="18"/>
                <w:szCs w:val="18"/>
              </w:rPr>
              <w:fldChar w:fldCharType="end"/>
            </w:r>
            <w:r w:rsidRPr="00F15917">
              <w:rPr>
                <w:sz w:val="18"/>
                <w:szCs w:val="18"/>
              </w:rPr>
              <w:t>2</w:t>
            </w:r>
          </w:p>
        </w:tc>
        <w:tc>
          <w:tcPr>
            <w:tcW w:w="1519" w:type="dxa"/>
            <w:tcBorders>
              <w:top w:val="single" w:sz="4" w:space="0" w:color="auto"/>
              <w:left w:val="nil"/>
              <w:bottom w:val="single" w:sz="4" w:space="0" w:color="auto"/>
              <w:right w:val="nil"/>
            </w:tcBorders>
            <w:vAlign w:val="center"/>
          </w:tcPr>
          <w:p w:rsidR="001B3767" w:rsidRPr="00F15917" w:rsidRDefault="001B3767" w:rsidP="00C86560">
            <w:pPr>
              <w:pStyle w:val="cuatexto"/>
              <w:jc w:val="right"/>
              <w:rPr>
                <w:sz w:val="18"/>
                <w:szCs w:val="18"/>
              </w:rPr>
            </w:pPr>
            <w:r w:rsidRPr="00F15917">
              <w:rPr>
                <w:sz w:val="18"/>
                <w:szCs w:val="18"/>
              </w:rPr>
              <w:fldChar w:fldCharType="begin"/>
            </w:r>
            <w:r w:rsidRPr="00F15917">
              <w:rPr>
                <w:sz w:val="18"/>
                <w:szCs w:val="18"/>
              </w:rPr>
              <w:instrText xml:space="preserve"> =SUM(ABOVE) </w:instrText>
            </w:r>
            <w:r w:rsidRPr="00F15917">
              <w:rPr>
                <w:sz w:val="18"/>
                <w:szCs w:val="18"/>
              </w:rPr>
              <w:fldChar w:fldCharType="separate"/>
            </w:r>
            <w:r w:rsidRPr="00F15917">
              <w:rPr>
                <w:noProof/>
                <w:sz w:val="18"/>
                <w:szCs w:val="18"/>
              </w:rPr>
              <w:t>224.649,7</w:t>
            </w:r>
            <w:r w:rsidRPr="00F15917">
              <w:rPr>
                <w:sz w:val="18"/>
                <w:szCs w:val="18"/>
              </w:rPr>
              <w:fldChar w:fldCharType="end"/>
            </w:r>
            <w:r w:rsidRPr="00F15917">
              <w:rPr>
                <w:sz w:val="18"/>
                <w:szCs w:val="18"/>
              </w:rPr>
              <w:t>4</w:t>
            </w:r>
          </w:p>
        </w:tc>
        <w:tc>
          <w:tcPr>
            <w:tcW w:w="1214" w:type="dxa"/>
            <w:tcBorders>
              <w:top w:val="single" w:sz="4" w:space="0" w:color="auto"/>
              <w:left w:val="nil"/>
              <w:bottom w:val="single" w:sz="4" w:space="0" w:color="auto"/>
              <w:right w:val="nil"/>
            </w:tcBorders>
            <w:vAlign w:val="center"/>
          </w:tcPr>
          <w:p w:rsidR="001B3767" w:rsidRPr="00F15917" w:rsidRDefault="001B3767" w:rsidP="00C86560">
            <w:pPr>
              <w:pStyle w:val="cuatexto"/>
              <w:jc w:val="right"/>
              <w:rPr>
                <w:sz w:val="18"/>
                <w:szCs w:val="18"/>
              </w:rPr>
            </w:pPr>
            <w:r w:rsidRPr="00F15917">
              <w:rPr>
                <w:sz w:val="18"/>
                <w:szCs w:val="18"/>
              </w:rPr>
              <w:fldChar w:fldCharType="begin"/>
            </w:r>
            <w:r w:rsidRPr="00F15917">
              <w:rPr>
                <w:sz w:val="18"/>
                <w:szCs w:val="18"/>
              </w:rPr>
              <w:instrText xml:space="preserve"> =SUM(ABOVE) </w:instrText>
            </w:r>
            <w:r w:rsidRPr="00F15917">
              <w:rPr>
                <w:sz w:val="18"/>
                <w:szCs w:val="18"/>
              </w:rPr>
              <w:fldChar w:fldCharType="separate"/>
            </w:r>
            <w:r w:rsidRPr="00F15917">
              <w:rPr>
                <w:noProof/>
                <w:sz w:val="18"/>
                <w:szCs w:val="18"/>
              </w:rPr>
              <w:t>816.513,99</w:t>
            </w:r>
            <w:r w:rsidRPr="00F15917">
              <w:rPr>
                <w:sz w:val="18"/>
                <w:szCs w:val="18"/>
              </w:rPr>
              <w:fldChar w:fldCharType="end"/>
            </w:r>
          </w:p>
        </w:tc>
        <w:tc>
          <w:tcPr>
            <w:tcW w:w="1279" w:type="dxa"/>
            <w:tcBorders>
              <w:top w:val="single" w:sz="4" w:space="0" w:color="auto"/>
              <w:left w:val="nil"/>
              <w:bottom w:val="single" w:sz="4" w:space="0" w:color="auto"/>
              <w:right w:val="nil"/>
            </w:tcBorders>
            <w:vAlign w:val="center"/>
          </w:tcPr>
          <w:p w:rsidR="001B3767" w:rsidRPr="00F15917" w:rsidRDefault="001B3767" w:rsidP="00C86560">
            <w:pPr>
              <w:pStyle w:val="cuatexto"/>
              <w:jc w:val="right"/>
              <w:rPr>
                <w:sz w:val="18"/>
                <w:szCs w:val="18"/>
              </w:rPr>
            </w:pPr>
            <w:r w:rsidRPr="00F15917">
              <w:rPr>
                <w:sz w:val="18"/>
                <w:szCs w:val="18"/>
              </w:rPr>
              <w:t>1.038</w:t>
            </w:r>
            <w:r w:rsidRPr="00F15917">
              <w:rPr>
                <w:sz w:val="18"/>
                <w:szCs w:val="18"/>
              </w:rPr>
              <w:fldChar w:fldCharType="begin"/>
            </w:r>
            <w:r w:rsidRPr="00F15917">
              <w:rPr>
                <w:sz w:val="18"/>
                <w:szCs w:val="18"/>
              </w:rPr>
              <w:instrText xml:space="preserve"> =SUM(ABOVE) </w:instrText>
            </w:r>
            <w:r w:rsidRPr="00F15917">
              <w:rPr>
                <w:sz w:val="18"/>
                <w:szCs w:val="18"/>
              </w:rPr>
              <w:fldChar w:fldCharType="end"/>
            </w:r>
          </w:p>
        </w:tc>
      </w:tr>
    </w:tbl>
    <w:p w:rsidR="001B3767"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before="280" w:after="240"/>
        <w:ind w:left="0" w:firstLine="289"/>
        <w:rPr>
          <w:rFonts w:cs="Arial"/>
        </w:rPr>
      </w:pPr>
      <w:r>
        <w:rPr>
          <w:rFonts w:cs="Arial"/>
        </w:rPr>
        <w:t>Fundaciones</w:t>
      </w:r>
      <w:r w:rsidR="00BA4E29">
        <w:rPr>
          <w:rFonts w:cs="Arial"/>
        </w:rPr>
        <w:t>.</w:t>
      </w:r>
    </w:p>
    <w:p w:rsidR="000814B9" w:rsidRPr="00763287" w:rsidRDefault="000814B9" w:rsidP="000814B9">
      <w:pPr>
        <w:pStyle w:val="texto"/>
        <w:tabs>
          <w:tab w:val="clear" w:pos="2835"/>
          <w:tab w:val="clear" w:pos="3969"/>
          <w:tab w:val="clear" w:pos="5103"/>
          <w:tab w:val="clear" w:pos="6237"/>
          <w:tab w:val="clear" w:pos="7371"/>
          <w:tab w:val="left" w:pos="480"/>
        </w:tabs>
        <w:spacing w:after="40"/>
        <w:ind w:firstLine="0"/>
        <w:jc w:val="right"/>
        <w:rPr>
          <w:rFonts w:ascii="Arial" w:hAnsi="Arial" w:cs="Arial"/>
          <w:sz w:val="16"/>
          <w:szCs w:val="16"/>
          <w:lang w:val="es-ES" w:eastAsia="es-ES"/>
        </w:rPr>
      </w:pPr>
      <w:r w:rsidRPr="00763287">
        <w:rPr>
          <w:rFonts w:ascii="Arial" w:hAnsi="Arial" w:cs="Arial"/>
          <w:sz w:val="16"/>
          <w:szCs w:val="16"/>
          <w:lang w:val="es-ES" w:eastAsia="es-ES"/>
        </w:rPr>
        <w:t>(</w:t>
      </w:r>
      <w:proofErr w:type="gramStart"/>
      <w:r w:rsidRPr="00763287">
        <w:rPr>
          <w:rFonts w:ascii="Arial" w:hAnsi="Arial" w:cs="Arial"/>
          <w:sz w:val="16"/>
          <w:szCs w:val="16"/>
          <w:lang w:val="es-ES" w:eastAsia="es-ES"/>
        </w:rPr>
        <w:t>miles</w:t>
      </w:r>
      <w:proofErr w:type="gramEnd"/>
      <w:r w:rsidRPr="00763287">
        <w:rPr>
          <w:rFonts w:ascii="Arial" w:hAnsi="Arial" w:cs="Arial"/>
          <w:sz w:val="16"/>
          <w:szCs w:val="16"/>
          <w:lang w:val="es-ES" w:eastAsia="es-ES"/>
        </w:rPr>
        <w:t xml:space="preserve"> de euros)</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1B3767" w:rsidRPr="00D475E7" w:rsidTr="00D475E7">
        <w:trPr>
          <w:cantSplit/>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1B3767" w:rsidRPr="00D475E7" w:rsidRDefault="00747994" w:rsidP="000E2288">
            <w:pPr>
              <w:pStyle w:val="cuadroCabe"/>
              <w:jc w:val="left"/>
              <w:rPr>
                <w:rFonts w:cs="Arial"/>
                <w:szCs w:val="18"/>
              </w:rPr>
            </w:pPr>
            <w:r>
              <w:rPr>
                <w:rFonts w:cs="Arial"/>
                <w:szCs w:val="18"/>
              </w:rPr>
              <w:t>Fundaciones</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1B3767" w:rsidRPr="00D475E7" w:rsidRDefault="001B3767" w:rsidP="00D475E7">
            <w:pPr>
              <w:pStyle w:val="cuadroCabe"/>
              <w:jc w:val="right"/>
              <w:rPr>
                <w:rFonts w:cs="Arial"/>
                <w:szCs w:val="18"/>
              </w:rPr>
            </w:pPr>
            <w:r w:rsidRPr="00D475E7">
              <w:rPr>
                <w:rFonts w:cs="Arial"/>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1B3767" w:rsidRPr="00D475E7" w:rsidRDefault="001B3767" w:rsidP="00D475E7">
            <w:pPr>
              <w:pStyle w:val="cuadroCabe"/>
              <w:jc w:val="right"/>
              <w:rPr>
                <w:rFonts w:cs="Arial"/>
                <w:szCs w:val="18"/>
              </w:rPr>
            </w:pPr>
            <w:r w:rsidRPr="00D475E7">
              <w:rPr>
                <w:rFonts w:cs="Arial"/>
                <w:szCs w:val="18"/>
              </w:rPr>
              <w:t>Patrimonio</w:t>
            </w:r>
          </w:p>
          <w:p w:rsidR="001B3767" w:rsidRPr="00D475E7" w:rsidRDefault="001B3767" w:rsidP="00D475E7">
            <w:pPr>
              <w:pStyle w:val="cuadroCabe"/>
              <w:jc w:val="right"/>
              <w:rPr>
                <w:rFonts w:cs="Arial"/>
                <w:szCs w:val="18"/>
              </w:rPr>
            </w:pPr>
            <w:r w:rsidRPr="00D475E7">
              <w:rPr>
                <w:rFonts w:cs="Arial"/>
                <w:szCs w:val="18"/>
              </w:rPr>
              <w:t xml:space="preserve"> neto</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1B3767" w:rsidRPr="00D475E7" w:rsidRDefault="001B3767" w:rsidP="00D475E7">
            <w:pPr>
              <w:pStyle w:val="cuadroCabe"/>
              <w:jc w:val="right"/>
              <w:rPr>
                <w:rFonts w:cs="Arial"/>
                <w:szCs w:val="18"/>
              </w:rPr>
            </w:pPr>
            <w:r w:rsidRPr="00D475E7">
              <w:rPr>
                <w:rFonts w:cs="Arial"/>
                <w:szCs w:val="18"/>
              </w:rPr>
              <w:t xml:space="preserve">Nº medio de </w:t>
            </w:r>
          </w:p>
          <w:p w:rsidR="001B3767" w:rsidRPr="00D475E7" w:rsidRDefault="001B3767" w:rsidP="00D475E7">
            <w:pPr>
              <w:pStyle w:val="cuadroCabe"/>
              <w:jc w:val="right"/>
              <w:rPr>
                <w:rFonts w:cs="Arial"/>
                <w:szCs w:val="18"/>
              </w:rPr>
            </w:pPr>
            <w:r w:rsidRPr="00D475E7">
              <w:rPr>
                <w:rFonts w:cs="Arial"/>
                <w:szCs w:val="18"/>
              </w:rPr>
              <w:t>empleados</w:t>
            </w:r>
          </w:p>
        </w:tc>
      </w:tr>
      <w:tr w:rsidR="001B3767" w:rsidRPr="00D475E7" w:rsidTr="00747994">
        <w:trPr>
          <w:trHeight w:val="284"/>
          <w:jc w:val="center"/>
        </w:trPr>
        <w:tc>
          <w:tcPr>
            <w:tcW w:w="4142" w:type="dxa"/>
            <w:tcBorders>
              <w:top w:val="single" w:sz="4" w:space="0" w:color="auto"/>
              <w:left w:val="nil"/>
              <w:bottom w:val="single" w:sz="4" w:space="0" w:color="auto"/>
              <w:right w:val="nil"/>
            </w:tcBorders>
            <w:shd w:val="clear" w:color="auto" w:fill="auto"/>
            <w:vAlign w:val="center"/>
          </w:tcPr>
          <w:p w:rsidR="001B3767" w:rsidRPr="00747994" w:rsidRDefault="001B3767" w:rsidP="00D475E7">
            <w:pPr>
              <w:spacing w:after="0"/>
              <w:ind w:firstLine="0"/>
              <w:jc w:val="left"/>
              <w:rPr>
                <w:rFonts w:ascii="Arial" w:hAnsi="Arial" w:cs="Arial"/>
                <w:sz w:val="18"/>
                <w:szCs w:val="18"/>
                <w:lang w:val="es-ES" w:eastAsia="es-ES"/>
              </w:rPr>
            </w:pPr>
            <w:r w:rsidRPr="00747994">
              <w:rPr>
                <w:rFonts w:ascii="Arial" w:hAnsi="Arial" w:cs="Arial"/>
                <w:sz w:val="18"/>
                <w:szCs w:val="18"/>
                <w:lang w:val="es-ES" w:eastAsia="es-ES"/>
              </w:rPr>
              <w:t>Total</w:t>
            </w:r>
            <w:r w:rsidR="00747994">
              <w:rPr>
                <w:rFonts w:ascii="Arial" w:hAnsi="Arial" w:cs="Arial"/>
                <w:sz w:val="18"/>
                <w:szCs w:val="18"/>
                <w:lang w:val="es-ES" w:eastAsia="es-ES"/>
              </w:rPr>
              <w:t xml:space="preserve"> 7 fundaciones públicas</w:t>
            </w:r>
          </w:p>
        </w:tc>
        <w:tc>
          <w:tcPr>
            <w:tcW w:w="1521" w:type="dxa"/>
            <w:tcBorders>
              <w:top w:val="single" w:sz="4" w:space="0" w:color="auto"/>
              <w:left w:val="nil"/>
              <w:bottom w:val="single" w:sz="4" w:space="0" w:color="auto"/>
              <w:right w:val="nil"/>
            </w:tcBorders>
            <w:shd w:val="clear" w:color="auto" w:fill="auto"/>
            <w:vAlign w:val="center"/>
          </w:tcPr>
          <w:p w:rsidR="001B3767" w:rsidRPr="00747994" w:rsidRDefault="001B3767" w:rsidP="00D475E7">
            <w:pPr>
              <w:spacing w:after="0"/>
              <w:ind w:firstLine="0"/>
              <w:jc w:val="right"/>
              <w:rPr>
                <w:rFonts w:ascii="Arial" w:hAnsi="Arial" w:cs="Arial"/>
                <w:sz w:val="18"/>
                <w:szCs w:val="18"/>
                <w:lang w:val="es-ES" w:eastAsia="es-ES"/>
              </w:rPr>
            </w:pPr>
            <w:r w:rsidRPr="00747994">
              <w:rPr>
                <w:rFonts w:ascii="Arial" w:hAnsi="Arial" w:cs="Arial"/>
                <w:sz w:val="18"/>
                <w:szCs w:val="18"/>
                <w:lang w:val="es-ES" w:eastAsia="es-ES"/>
              </w:rPr>
              <w:fldChar w:fldCharType="begin"/>
            </w:r>
            <w:r w:rsidRPr="00747994">
              <w:rPr>
                <w:rFonts w:ascii="Arial" w:hAnsi="Arial" w:cs="Arial"/>
                <w:sz w:val="18"/>
                <w:szCs w:val="18"/>
                <w:lang w:val="es-ES" w:eastAsia="es-ES"/>
              </w:rPr>
              <w:instrText xml:space="preserve"> =SUM(ABOVE) </w:instrText>
            </w:r>
            <w:r w:rsidRPr="00747994">
              <w:rPr>
                <w:rFonts w:ascii="Arial" w:hAnsi="Arial" w:cs="Arial"/>
                <w:sz w:val="18"/>
                <w:szCs w:val="18"/>
                <w:lang w:val="es-ES" w:eastAsia="es-ES"/>
              </w:rPr>
              <w:fldChar w:fldCharType="separate"/>
            </w:r>
            <w:r w:rsidRPr="00747994">
              <w:rPr>
                <w:rFonts w:ascii="Arial" w:hAnsi="Arial" w:cs="Arial"/>
                <w:sz w:val="18"/>
                <w:szCs w:val="18"/>
                <w:lang w:val="es-ES" w:eastAsia="es-ES"/>
              </w:rPr>
              <w:t>-651,21</w:t>
            </w:r>
            <w:r w:rsidRPr="00747994">
              <w:rPr>
                <w:rFonts w:ascii="Arial" w:hAnsi="Arial" w:cs="Arial"/>
                <w:sz w:val="18"/>
                <w:szCs w:val="18"/>
                <w:lang w:val="es-ES" w:eastAsia="es-ES"/>
              </w:rPr>
              <w:fldChar w:fldCharType="end"/>
            </w:r>
          </w:p>
        </w:tc>
        <w:tc>
          <w:tcPr>
            <w:tcW w:w="1555" w:type="dxa"/>
            <w:tcBorders>
              <w:top w:val="single" w:sz="4" w:space="0" w:color="auto"/>
              <w:left w:val="nil"/>
              <w:bottom w:val="single" w:sz="4" w:space="0" w:color="auto"/>
              <w:right w:val="nil"/>
            </w:tcBorders>
            <w:shd w:val="clear" w:color="auto" w:fill="auto"/>
            <w:vAlign w:val="center"/>
          </w:tcPr>
          <w:p w:rsidR="001B3767" w:rsidRPr="00747994" w:rsidRDefault="001B3767" w:rsidP="00D475E7">
            <w:pPr>
              <w:spacing w:after="0"/>
              <w:ind w:firstLine="0"/>
              <w:jc w:val="right"/>
              <w:rPr>
                <w:rFonts w:ascii="Arial" w:hAnsi="Arial" w:cs="Arial"/>
                <w:sz w:val="18"/>
                <w:szCs w:val="18"/>
                <w:lang w:val="es-ES" w:eastAsia="es-ES"/>
              </w:rPr>
            </w:pPr>
            <w:r w:rsidRPr="00747994">
              <w:rPr>
                <w:rFonts w:ascii="Arial" w:hAnsi="Arial" w:cs="Arial"/>
                <w:sz w:val="18"/>
                <w:szCs w:val="18"/>
                <w:lang w:val="es-ES" w:eastAsia="es-ES"/>
              </w:rPr>
              <w:fldChar w:fldCharType="begin"/>
            </w:r>
            <w:r w:rsidRPr="00747994">
              <w:rPr>
                <w:rFonts w:ascii="Arial" w:hAnsi="Arial" w:cs="Arial"/>
                <w:sz w:val="18"/>
                <w:szCs w:val="18"/>
                <w:lang w:val="es-ES" w:eastAsia="es-ES"/>
              </w:rPr>
              <w:instrText xml:space="preserve"> =SUM(ABOVE) </w:instrText>
            </w:r>
            <w:r w:rsidRPr="00747994">
              <w:rPr>
                <w:rFonts w:ascii="Arial" w:hAnsi="Arial" w:cs="Arial"/>
                <w:sz w:val="18"/>
                <w:szCs w:val="18"/>
                <w:lang w:val="es-ES" w:eastAsia="es-ES"/>
              </w:rPr>
              <w:fldChar w:fldCharType="separate"/>
            </w:r>
            <w:r w:rsidRPr="00747994">
              <w:rPr>
                <w:rFonts w:ascii="Arial" w:hAnsi="Arial" w:cs="Arial"/>
                <w:sz w:val="18"/>
                <w:szCs w:val="18"/>
                <w:lang w:val="es-ES" w:eastAsia="es-ES"/>
              </w:rPr>
              <w:t>8.519,6</w:t>
            </w:r>
            <w:r w:rsidRPr="00747994">
              <w:rPr>
                <w:rFonts w:ascii="Arial" w:hAnsi="Arial" w:cs="Arial"/>
                <w:sz w:val="18"/>
                <w:szCs w:val="18"/>
                <w:lang w:val="es-ES" w:eastAsia="es-ES"/>
              </w:rPr>
              <w:fldChar w:fldCharType="end"/>
            </w:r>
            <w:r w:rsidRPr="00747994">
              <w:rPr>
                <w:rFonts w:ascii="Arial" w:hAnsi="Arial" w:cs="Arial"/>
                <w:sz w:val="18"/>
                <w:szCs w:val="18"/>
                <w:lang w:val="es-ES" w:eastAsia="es-ES"/>
              </w:rPr>
              <w:t>1</w:t>
            </w:r>
          </w:p>
        </w:tc>
        <w:tc>
          <w:tcPr>
            <w:tcW w:w="1625" w:type="dxa"/>
            <w:tcBorders>
              <w:top w:val="single" w:sz="4" w:space="0" w:color="auto"/>
              <w:left w:val="nil"/>
              <w:bottom w:val="single" w:sz="4" w:space="0" w:color="auto"/>
              <w:right w:val="nil"/>
            </w:tcBorders>
            <w:shd w:val="clear" w:color="auto" w:fill="auto"/>
            <w:vAlign w:val="center"/>
          </w:tcPr>
          <w:p w:rsidR="001B3767" w:rsidRPr="00D475E7" w:rsidRDefault="001B3767" w:rsidP="00D475E7">
            <w:pPr>
              <w:spacing w:after="0"/>
              <w:ind w:firstLine="0"/>
              <w:jc w:val="right"/>
              <w:rPr>
                <w:rFonts w:ascii="Arial" w:hAnsi="Arial" w:cs="Arial"/>
                <w:sz w:val="18"/>
                <w:szCs w:val="18"/>
                <w:lang w:val="es-ES" w:eastAsia="es-ES"/>
              </w:rPr>
            </w:pPr>
            <w:r w:rsidRPr="00747994">
              <w:rPr>
                <w:rFonts w:ascii="Arial" w:hAnsi="Arial" w:cs="Arial"/>
                <w:sz w:val="18"/>
                <w:szCs w:val="18"/>
                <w:lang w:val="es-ES" w:eastAsia="es-ES"/>
              </w:rPr>
              <w:t>80,51</w:t>
            </w:r>
          </w:p>
        </w:tc>
      </w:tr>
    </w:tbl>
    <w:p w:rsidR="001B3767" w:rsidRDefault="001B3767" w:rsidP="0035789F">
      <w:pPr>
        <w:pStyle w:val="texto"/>
        <w:numPr>
          <w:ilvl w:val="0"/>
          <w:numId w:val="11"/>
        </w:numPr>
        <w:tabs>
          <w:tab w:val="clear" w:pos="2835"/>
          <w:tab w:val="clear" w:pos="3969"/>
          <w:tab w:val="clear" w:pos="5103"/>
          <w:tab w:val="clear" w:pos="6237"/>
          <w:tab w:val="clear" w:pos="7371"/>
          <w:tab w:val="left" w:pos="480"/>
          <w:tab w:val="num" w:pos="600"/>
          <w:tab w:val="num" w:pos="720"/>
        </w:tabs>
        <w:spacing w:before="200" w:after="200"/>
        <w:ind w:left="0" w:firstLine="289"/>
        <w:rPr>
          <w:rFonts w:cs="Arial"/>
        </w:rPr>
      </w:pPr>
      <w:r>
        <w:rPr>
          <w:rFonts w:cs="Arial"/>
        </w:rPr>
        <w:t>Otras entidades</w:t>
      </w:r>
      <w:r w:rsidR="00BA4E29">
        <w:rPr>
          <w:rFonts w:cs="Arial"/>
        </w:rPr>
        <w:t>.</w:t>
      </w:r>
    </w:p>
    <w:tbl>
      <w:tblPr>
        <w:tblW w:w="8819" w:type="dxa"/>
        <w:jc w:val="center"/>
        <w:tblInd w:w="902" w:type="dxa"/>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835"/>
        <w:gridCol w:w="1420"/>
        <w:gridCol w:w="1638"/>
        <w:gridCol w:w="1599"/>
        <w:gridCol w:w="1327"/>
      </w:tblGrid>
      <w:tr w:rsidR="004E2DE3" w:rsidRPr="00D475E7" w:rsidTr="00374983">
        <w:trPr>
          <w:cantSplit/>
          <w:trHeight w:val="240"/>
          <w:jc w:val="center"/>
        </w:trPr>
        <w:tc>
          <w:tcPr>
            <w:tcW w:w="2835" w:type="dxa"/>
            <w:tcBorders>
              <w:top w:val="single" w:sz="4" w:space="0" w:color="auto"/>
              <w:left w:val="nil"/>
              <w:bottom w:val="single" w:sz="4" w:space="0" w:color="auto"/>
              <w:right w:val="nil"/>
            </w:tcBorders>
            <w:shd w:val="clear" w:color="auto" w:fill="8DB3E2" w:themeFill="text2" w:themeFillTint="66"/>
            <w:vAlign w:val="center"/>
            <w:hideMark/>
          </w:tcPr>
          <w:p w:rsidR="004E2DE3" w:rsidRPr="00D475E7" w:rsidRDefault="004E2DE3" w:rsidP="000E2288">
            <w:pPr>
              <w:pStyle w:val="cuadroCabe"/>
              <w:jc w:val="left"/>
              <w:rPr>
                <w:rFonts w:cs="Arial"/>
                <w:szCs w:val="18"/>
              </w:rPr>
            </w:pPr>
            <w:r w:rsidRPr="00D475E7">
              <w:rPr>
                <w:rFonts w:cs="Arial"/>
                <w:szCs w:val="18"/>
              </w:rPr>
              <w:t>Entidad</w:t>
            </w:r>
          </w:p>
        </w:tc>
        <w:tc>
          <w:tcPr>
            <w:tcW w:w="1420" w:type="dxa"/>
            <w:tcBorders>
              <w:top w:val="single" w:sz="4" w:space="0" w:color="auto"/>
              <w:left w:val="nil"/>
              <w:bottom w:val="single" w:sz="4" w:space="0" w:color="auto"/>
              <w:right w:val="nil"/>
            </w:tcBorders>
            <w:shd w:val="clear" w:color="auto" w:fill="8DB3E2" w:themeFill="text2" w:themeFillTint="66"/>
            <w:vAlign w:val="center"/>
          </w:tcPr>
          <w:p w:rsidR="004E2DE3" w:rsidRPr="00D475E7" w:rsidRDefault="004E2DE3" w:rsidP="00D475E7">
            <w:pPr>
              <w:pStyle w:val="cuadroCabe"/>
              <w:jc w:val="right"/>
              <w:rPr>
                <w:rFonts w:cs="Arial"/>
                <w:szCs w:val="18"/>
              </w:rPr>
            </w:pPr>
            <w:r w:rsidRPr="00D475E7">
              <w:rPr>
                <w:rFonts w:cs="Arial"/>
                <w:szCs w:val="18"/>
              </w:rPr>
              <w:t>Derechos</w:t>
            </w:r>
          </w:p>
          <w:p w:rsidR="004E2DE3" w:rsidRPr="00D475E7" w:rsidRDefault="004E2DE3" w:rsidP="00D475E7">
            <w:pPr>
              <w:pStyle w:val="cuadroCabe"/>
              <w:jc w:val="right"/>
              <w:rPr>
                <w:rFonts w:cs="Arial"/>
                <w:szCs w:val="18"/>
              </w:rPr>
            </w:pPr>
            <w:r w:rsidRPr="00D475E7">
              <w:rPr>
                <w:rFonts w:cs="Arial"/>
                <w:szCs w:val="18"/>
              </w:rPr>
              <w:t>reconocidos</w:t>
            </w:r>
          </w:p>
        </w:tc>
        <w:tc>
          <w:tcPr>
            <w:tcW w:w="1638" w:type="dxa"/>
            <w:tcBorders>
              <w:top w:val="single" w:sz="4" w:space="0" w:color="auto"/>
              <w:left w:val="nil"/>
              <w:bottom w:val="single" w:sz="4" w:space="0" w:color="auto"/>
              <w:right w:val="nil"/>
            </w:tcBorders>
            <w:shd w:val="clear" w:color="auto" w:fill="8DB3E2" w:themeFill="text2" w:themeFillTint="66"/>
            <w:vAlign w:val="center"/>
          </w:tcPr>
          <w:p w:rsidR="004E2DE3" w:rsidRPr="00D475E7" w:rsidRDefault="004E2DE3" w:rsidP="00D475E7">
            <w:pPr>
              <w:pStyle w:val="cuadroCabe"/>
              <w:jc w:val="right"/>
              <w:rPr>
                <w:rFonts w:cs="Arial"/>
                <w:szCs w:val="18"/>
              </w:rPr>
            </w:pPr>
            <w:r w:rsidRPr="00D475E7">
              <w:rPr>
                <w:rFonts w:cs="Arial"/>
                <w:szCs w:val="18"/>
              </w:rPr>
              <w:t>Obligaciones</w:t>
            </w:r>
          </w:p>
          <w:p w:rsidR="004E2DE3" w:rsidRPr="00D475E7" w:rsidRDefault="004E2DE3" w:rsidP="00D475E7">
            <w:pPr>
              <w:pStyle w:val="cuadroCabe"/>
              <w:jc w:val="right"/>
              <w:rPr>
                <w:rFonts w:cs="Arial"/>
                <w:szCs w:val="18"/>
              </w:rPr>
            </w:pPr>
            <w:r w:rsidRPr="00D475E7">
              <w:rPr>
                <w:rFonts w:cs="Arial"/>
                <w:szCs w:val="18"/>
              </w:rPr>
              <w:t>reconocidas</w:t>
            </w:r>
          </w:p>
        </w:tc>
        <w:tc>
          <w:tcPr>
            <w:tcW w:w="1599" w:type="dxa"/>
            <w:tcBorders>
              <w:top w:val="single" w:sz="4" w:space="0" w:color="auto"/>
              <w:left w:val="nil"/>
              <w:bottom w:val="single" w:sz="4" w:space="0" w:color="auto"/>
              <w:right w:val="nil"/>
            </w:tcBorders>
            <w:shd w:val="clear" w:color="auto" w:fill="8DB3E2" w:themeFill="text2" w:themeFillTint="66"/>
          </w:tcPr>
          <w:p w:rsidR="004E2DE3" w:rsidRPr="00D475E7" w:rsidRDefault="00F15917" w:rsidP="00D475E7">
            <w:pPr>
              <w:pStyle w:val="cuadroCabe"/>
              <w:jc w:val="right"/>
              <w:rPr>
                <w:rFonts w:cs="Arial"/>
                <w:szCs w:val="18"/>
              </w:rPr>
            </w:pPr>
            <w:r>
              <w:rPr>
                <w:rFonts w:cs="Arial"/>
                <w:szCs w:val="18"/>
              </w:rPr>
              <w:t>Remanente d</w:t>
            </w:r>
            <w:r>
              <w:rPr>
                <w:rFonts w:cs="Arial"/>
                <w:szCs w:val="18"/>
              </w:rPr>
              <w:t>e</w:t>
            </w:r>
            <w:r>
              <w:rPr>
                <w:rFonts w:cs="Arial"/>
                <w:szCs w:val="18"/>
              </w:rPr>
              <w:t>vuelto a la H</w:t>
            </w:r>
            <w:r>
              <w:rPr>
                <w:rFonts w:cs="Arial"/>
                <w:szCs w:val="18"/>
              </w:rPr>
              <w:t>a</w:t>
            </w:r>
            <w:r>
              <w:rPr>
                <w:rFonts w:cs="Arial"/>
                <w:szCs w:val="18"/>
              </w:rPr>
              <w:t>cienda Foral</w:t>
            </w:r>
          </w:p>
        </w:tc>
        <w:tc>
          <w:tcPr>
            <w:tcW w:w="1327" w:type="dxa"/>
            <w:tcBorders>
              <w:top w:val="single" w:sz="4" w:space="0" w:color="auto"/>
              <w:left w:val="nil"/>
              <w:bottom w:val="single" w:sz="4" w:space="0" w:color="auto"/>
              <w:right w:val="nil"/>
            </w:tcBorders>
            <w:shd w:val="clear" w:color="auto" w:fill="8DB3E2" w:themeFill="text2" w:themeFillTint="66"/>
            <w:vAlign w:val="center"/>
          </w:tcPr>
          <w:p w:rsidR="004E2DE3" w:rsidRDefault="004E2DE3" w:rsidP="00D475E7">
            <w:pPr>
              <w:pStyle w:val="cuadroCabe"/>
              <w:jc w:val="right"/>
              <w:rPr>
                <w:rFonts w:cs="Arial"/>
                <w:szCs w:val="18"/>
              </w:rPr>
            </w:pPr>
            <w:r w:rsidRPr="00D475E7">
              <w:rPr>
                <w:rFonts w:cs="Arial"/>
                <w:szCs w:val="18"/>
              </w:rPr>
              <w:t xml:space="preserve">Personal a </w:t>
            </w:r>
          </w:p>
          <w:p w:rsidR="004E2DE3" w:rsidRPr="00D475E7" w:rsidRDefault="004E2DE3" w:rsidP="00D475E7">
            <w:pPr>
              <w:pStyle w:val="cuadroCabe"/>
              <w:jc w:val="right"/>
              <w:rPr>
                <w:rFonts w:cs="Arial"/>
                <w:szCs w:val="18"/>
              </w:rPr>
            </w:pPr>
            <w:r w:rsidRPr="00D475E7">
              <w:rPr>
                <w:rFonts w:cs="Arial"/>
                <w:szCs w:val="18"/>
              </w:rPr>
              <w:t>31-12-2014</w:t>
            </w:r>
          </w:p>
        </w:tc>
      </w:tr>
      <w:tr w:rsidR="004E2DE3" w:rsidRPr="00D475E7" w:rsidTr="00374983">
        <w:trPr>
          <w:trHeight w:val="227"/>
          <w:jc w:val="center"/>
        </w:trPr>
        <w:tc>
          <w:tcPr>
            <w:tcW w:w="2835" w:type="dxa"/>
            <w:tcBorders>
              <w:top w:val="single" w:sz="4" w:space="0" w:color="auto"/>
              <w:left w:val="nil"/>
              <w:bottom w:val="single" w:sz="2" w:space="0" w:color="auto"/>
              <w:right w:val="nil"/>
            </w:tcBorders>
            <w:vAlign w:val="center"/>
            <w:hideMark/>
          </w:tcPr>
          <w:p w:rsidR="004E2DE3" w:rsidRPr="00D475E7" w:rsidRDefault="004E2DE3" w:rsidP="00D475E7">
            <w:pPr>
              <w:spacing w:after="0"/>
              <w:ind w:firstLine="0"/>
              <w:jc w:val="left"/>
              <w:rPr>
                <w:rFonts w:ascii="Arial Narrow" w:hAnsi="Arial Narrow" w:cs="Arial"/>
                <w:lang w:val="es-ES" w:eastAsia="es-ES"/>
              </w:rPr>
            </w:pPr>
            <w:r w:rsidRPr="00D475E7">
              <w:rPr>
                <w:rFonts w:ascii="Arial Narrow" w:hAnsi="Arial Narrow" w:cs="Arial"/>
                <w:lang w:val="es-ES" w:eastAsia="es-ES"/>
              </w:rPr>
              <w:t>Parlamento de Navarra</w:t>
            </w:r>
          </w:p>
        </w:tc>
        <w:tc>
          <w:tcPr>
            <w:tcW w:w="1420" w:type="dxa"/>
            <w:tcBorders>
              <w:top w:val="single" w:sz="4"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12.531.560</w:t>
            </w:r>
          </w:p>
        </w:tc>
        <w:tc>
          <w:tcPr>
            <w:tcW w:w="1638" w:type="dxa"/>
            <w:tcBorders>
              <w:top w:val="single" w:sz="4"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10.471.684</w:t>
            </w:r>
          </w:p>
        </w:tc>
        <w:tc>
          <w:tcPr>
            <w:tcW w:w="1599" w:type="dxa"/>
            <w:tcBorders>
              <w:top w:val="single" w:sz="4" w:space="0" w:color="auto"/>
              <w:left w:val="nil"/>
              <w:bottom w:val="single" w:sz="2" w:space="0" w:color="auto"/>
              <w:right w:val="nil"/>
            </w:tcBorders>
          </w:tcPr>
          <w:p w:rsidR="004E2DE3" w:rsidRPr="00D475E7" w:rsidRDefault="00727B28" w:rsidP="00D475E7">
            <w:pPr>
              <w:spacing w:after="0"/>
              <w:ind w:firstLine="0"/>
              <w:jc w:val="right"/>
              <w:rPr>
                <w:rFonts w:ascii="Arial Narrow" w:hAnsi="Arial Narrow" w:cs="Arial"/>
                <w:lang w:val="es-ES" w:eastAsia="es-ES"/>
              </w:rPr>
            </w:pPr>
            <w:r>
              <w:rPr>
                <w:rFonts w:ascii="Arial Narrow" w:hAnsi="Arial Narrow" w:cs="Arial"/>
                <w:lang w:val="es-ES" w:eastAsia="es-ES"/>
              </w:rPr>
              <w:t>2.027.837</w:t>
            </w:r>
          </w:p>
        </w:tc>
        <w:tc>
          <w:tcPr>
            <w:tcW w:w="1327" w:type="dxa"/>
            <w:tcBorders>
              <w:top w:val="single" w:sz="4"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67</w:t>
            </w:r>
          </w:p>
        </w:tc>
      </w:tr>
      <w:tr w:rsidR="004E2DE3" w:rsidRPr="00D475E7" w:rsidTr="00374983">
        <w:trPr>
          <w:trHeight w:val="227"/>
          <w:jc w:val="center"/>
        </w:trPr>
        <w:tc>
          <w:tcPr>
            <w:tcW w:w="2835"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left"/>
              <w:rPr>
                <w:rFonts w:ascii="Arial Narrow" w:hAnsi="Arial Narrow" w:cs="Arial"/>
                <w:lang w:val="es-ES" w:eastAsia="es-ES"/>
              </w:rPr>
            </w:pPr>
            <w:r w:rsidRPr="00D475E7">
              <w:rPr>
                <w:rFonts w:ascii="Arial Narrow" w:hAnsi="Arial Narrow" w:cs="Arial"/>
                <w:lang w:val="es-ES" w:eastAsia="es-ES"/>
              </w:rPr>
              <w:t>Cámara de Comptos</w:t>
            </w:r>
          </w:p>
        </w:tc>
        <w:tc>
          <w:tcPr>
            <w:tcW w:w="1420"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2.584.899</w:t>
            </w:r>
          </w:p>
        </w:tc>
        <w:tc>
          <w:tcPr>
            <w:tcW w:w="1638"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2.436.228</w:t>
            </w:r>
          </w:p>
        </w:tc>
        <w:tc>
          <w:tcPr>
            <w:tcW w:w="1599" w:type="dxa"/>
            <w:tcBorders>
              <w:top w:val="single" w:sz="2" w:space="0" w:color="auto"/>
              <w:left w:val="nil"/>
              <w:bottom w:val="single" w:sz="2" w:space="0" w:color="auto"/>
              <w:right w:val="nil"/>
            </w:tcBorders>
          </w:tcPr>
          <w:p w:rsidR="004E2DE3" w:rsidRPr="00D475E7" w:rsidRDefault="00727B28" w:rsidP="00D475E7">
            <w:pPr>
              <w:spacing w:after="0"/>
              <w:ind w:firstLine="0"/>
              <w:jc w:val="right"/>
              <w:rPr>
                <w:rFonts w:ascii="Arial Narrow" w:hAnsi="Arial Narrow" w:cs="Arial"/>
                <w:lang w:val="es-ES" w:eastAsia="es-ES"/>
              </w:rPr>
            </w:pPr>
            <w:r>
              <w:rPr>
                <w:rFonts w:ascii="Arial Narrow" w:hAnsi="Arial Narrow" w:cs="Arial"/>
                <w:lang w:val="es-ES" w:eastAsia="es-ES"/>
              </w:rPr>
              <w:t>164.541</w:t>
            </w:r>
          </w:p>
        </w:tc>
        <w:tc>
          <w:tcPr>
            <w:tcW w:w="1327" w:type="dxa"/>
            <w:tcBorders>
              <w:top w:val="single" w:sz="2" w:space="0" w:color="auto"/>
              <w:left w:val="nil"/>
              <w:bottom w:val="single" w:sz="2" w:space="0" w:color="auto"/>
              <w:right w:val="nil"/>
            </w:tcBorders>
            <w:vAlign w:val="center"/>
          </w:tcPr>
          <w:p w:rsidR="004E2DE3" w:rsidRPr="00D475E7" w:rsidRDefault="00F15917" w:rsidP="00D475E7">
            <w:pPr>
              <w:spacing w:after="0"/>
              <w:ind w:firstLine="0"/>
              <w:jc w:val="right"/>
              <w:rPr>
                <w:rFonts w:ascii="Arial Narrow" w:hAnsi="Arial Narrow" w:cs="Arial"/>
                <w:lang w:val="es-ES" w:eastAsia="es-ES"/>
              </w:rPr>
            </w:pPr>
            <w:r>
              <w:rPr>
                <w:rFonts w:ascii="Arial Narrow" w:hAnsi="Arial Narrow" w:cs="Arial"/>
                <w:lang w:val="es-ES" w:eastAsia="es-ES"/>
              </w:rPr>
              <w:t>36</w:t>
            </w:r>
          </w:p>
        </w:tc>
      </w:tr>
      <w:tr w:rsidR="004E2DE3" w:rsidRPr="00D475E7" w:rsidTr="00374983">
        <w:trPr>
          <w:trHeight w:val="227"/>
          <w:jc w:val="center"/>
        </w:trPr>
        <w:tc>
          <w:tcPr>
            <w:tcW w:w="2835"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left"/>
              <w:rPr>
                <w:rFonts w:ascii="Arial Narrow" w:hAnsi="Arial Narrow" w:cs="Arial"/>
                <w:lang w:val="es-ES" w:eastAsia="es-ES"/>
              </w:rPr>
            </w:pPr>
            <w:r w:rsidRPr="00D475E7">
              <w:rPr>
                <w:rFonts w:ascii="Arial Narrow" w:hAnsi="Arial Narrow" w:cs="Arial"/>
                <w:lang w:val="es-ES" w:eastAsia="es-ES"/>
              </w:rPr>
              <w:t>Defensor del Pueblo</w:t>
            </w:r>
          </w:p>
        </w:tc>
        <w:tc>
          <w:tcPr>
            <w:tcW w:w="1420"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774.836</w:t>
            </w:r>
          </w:p>
        </w:tc>
        <w:tc>
          <w:tcPr>
            <w:tcW w:w="1638"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640.687</w:t>
            </w:r>
          </w:p>
        </w:tc>
        <w:tc>
          <w:tcPr>
            <w:tcW w:w="1599" w:type="dxa"/>
            <w:tcBorders>
              <w:top w:val="single" w:sz="2" w:space="0" w:color="auto"/>
              <w:left w:val="nil"/>
              <w:bottom w:val="single" w:sz="2" w:space="0" w:color="auto"/>
              <w:right w:val="nil"/>
            </w:tcBorders>
          </w:tcPr>
          <w:p w:rsidR="004E2DE3" w:rsidRPr="00D475E7" w:rsidRDefault="00727B28" w:rsidP="00D475E7">
            <w:pPr>
              <w:spacing w:after="0"/>
              <w:ind w:firstLine="0"/>
              <w:jc w:val="right"/>
              <w:rPr>
                <w:rFonts w:ascii="Arial Narrow" w:hAnsi="Arial Narrow" w:cs="Arial"/>
                <w:lang w:val="es-ES" w:eastAsia="es-ES"/>
              </w:rPr>
            </w:pPr>
            <w:r>
              <w:rPr>
                <w:rFonts w:ascii="Arial Narrow" w:hAnsi="Arial Narrow" w:cs="Arial"/>
                <w:lang w:val="es-ES" w:eastAsia="es-ES"/>
              </w:rPr>
              <w:t>134.148</w:t>
            </w:r>
          </w:p>
        </w:tc>
        <w:tc>
          <w:tcPr>
            <w:tcW w:w="1327" w:type="dxa"/>
            <w:tcBorders>
              <w:top w:val="single" w:sz="2" w:space="0" w:color="auto"/>
              <w:left w:val="nil"/>
              <w:bottom w:val="single" w:sz="2"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7</w:t>
            </w:r>
          </w:p>
        </w:tc>
      </w:tr>
      <w:tr w:rsidR="004E2DE3" w:rsidRPr="00D475E7" w:rsidTr="00374983">
        <w:trPr>
          <w:trHeight w:val="227"/>
          <w:jc w:val="center"/>
        </w:trPr>
        <w:tc>
          <w:tcPr>
            <w:tcW w:w="2835" w:type="dxa"/>
            <w:tcBorders>
              <w:top w:val="single" w:sz="2" w:space="0" w:color="auto"/>
              <w:left w:val="nil"/>
              <w:bottom w:val="single" w:sz="4" w:space="0" w:color="auto"/>
              <w:right w:val="nil"/>
            </w:tcBorders>
            <w:vAlign w:val="center"/>
          </w:tcPr>
          <w:p w:rsidR="004E2DE3" w:rsidRPr="00D475E7" w:rsidRDefault="004E2DE3" w:rsidP="00D475E7">
            <w:pPr>
              <w:spacing w:after="0"/>
              <w:ind w:firstLine="0"/>
              <w:jc w:val="left"/>
              <w:rPr>
                <w:rFonts w:ascii="Arial Narrow" w:hAnsi="Arial Narrow" w:cs="Arial"/>
                <w:lang w:val="es-ES" w:eastAsia="es-ES"/>
              </w:rPr>
            </w:pPr>
            <w:r w:rsidRPr="00D475E7">
              <w:rPr>
                <w:rFonts w:ascii="Arial Narrow" w:hAnsi="Arial Narrow" w:cs="Arial"/>
                <w:lang w:val="es-ES" w:eastAsia="es-ES"/>
              </w:rPr>
              <w:t>Consejo de Navarra</w:t>
            </w:r>
          </w:p>
        </w:tc>
        <w:tc>
          <w:tcPr>
            <w:tcW w:w="1420" w:type="dxa"/>
            <w:tcBorders>
              <w:top w:val="single" w:sz="2" w:space="0" w:color="auto"/>
              <w:left w:val="nil"/>
              <w:bottom w:val="single" w:sz="4"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369.677</w:t>
            </w:r>
          </w:p>
        </w:tc>
        <w:tc>
          <w:tcPr>
            <w:tcW w:w="1638" w:type="dxa"/>
            <w:tcBorders>
              <w:top w:val="single" w:sz="2" w:space="0" w:color="auto"/>
              <w:left w:val="nil"/>
              <w:bottom w:val="single" w:sz="4"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273.305</w:t>
            </w:r>
          </w:p>
        </w:tc>
        <w:tc>
          <w:tcPr>
            <w:tcW w:w="1599" w:type="dxa"/>
            <w:tcBorders>
              <w:top w:val="single" w:sz="2" w:space="0" w:color="auto"/>
              <w:left w:val="nil"/>
              <w:bottom w:val="single" w:sz="4" w:space="0" w:color="auto"/>
              <w:right w:val="nil"/>
            </w:tcBorders>
          </w:tcPr>
          <w:p w:rsidR="004E2DE3" w:rsidRPr="00D475E7" w:rsidRDefault="00EA6B34" w:rsidP="00D475E7">
            <w:pPr>
              <w:spacing w:after="0"/>
              <w:ind w:firstLine="0"/>
              <w:jc w:val="right"/>
              <w:rPr>
                <w:rFonts w:ascii="Arial Narrow" w:hAnsi="Arial Narrow" w:cs="Arial"/>
                <w:lang w:val="es-ES" w:eastAsia="es-ES"/>
              </w:rPr>
            </w:pPr>
            <w:r>
              <w:rPr>
                <w:rFonts w:ascii="Arial Narrow" w:hAnsi="Arial Narrow" w:cs="Arial"/>
                <w:lang w:val="es-ES" w:eastAsia="es-ES"/>
              </w:rPr>
              <w:t>96.372</w:t>
            </w:r>
          </w:p>
        </w:tc>
        <w:tc>
          <w:tcPr>
            <w:tcW w:w="1327" w:type="dxa"/>
            <w:tcBorders>
              <w:top w:val="single" w:sz="2" w:space="0" w:color="auto"/>
              <w:left w:val="nil"/>
              <w:bottom w:val="single" w:sz="4" w:space="0" w:color="auto"/>
              <w:right w:val="nil"/>
            </w:tcBorders>
            <w:vAlign w:val="center"/>
          </w:tcPr>
          <w:p w:rsidR="004E2DE3" w:rsidRPr="00D475E7" w:rsidRDefault="004E2DE3" w:rsidP="00D475E7">
            <w:pPr>
              <w:spacing w:after="0"/>
              <w:ind w:firstLine="0"/>
              <w:jc w:val="right"/>
              <w:rPr>
                <w:rFonts w:ascii="Arial Narrow" w:hAnsi="Arial Narrow" w:cs="Arial"/>
                <w:lang w:val="es-ES" w:eastAsia="es-ES"/>
              </w:rPr>
            </w:pPr>
            <w:r w:rsidRPr="00D475E7">
              <w:rPr>
                <w:rFonts w:ascii="Arial Narrow" w:hAnsi="Arial Narrow" w:cs="Arial"/>
                <w:lang w:val="es-ES" w:eastAsia="es-ES"/>
              </w:rPr>
              <w:t>2</w:t>
            </w:r>
          </w:p>
        </w:tc>
      </w:tr>
    </w:tbl>
    <w:p w:rsidR="001B3767" w:rsidRDefault="001B3767" w:rsidP="00627EA1">
      <w:pPr>
        <w:pStyle w:val="atitulo2"/>
        <w:spacing w:before="360" w:after="200"/>
      </w:pPr>
      <w:bookmarkStart w:id="8" w:name="_Toc418853773"/>
      <w:bookmarkStart w:id="9" w:name="_Toc402180170"/>
      <w:bookmarkStart w:id="10" w:name="_Toc434399385"/>
      <w:r>
        <w:t>II.2. Sector Público a efectos de la Ley</w:t>
      </w:r>
      <w:r w:rsidR="00727B28">
        <w:t xml:space="preserve"> Orgánica</w:t>
      </w:r>
      <w:r>
        <w:t xml:space="preserve"> 2/2012, de 27 de abril, de Estabilidad Presupuestaria y Sostenibilidad Financiera.</w:t>
      </w:r>
      <w:bookmarkEnd w:id="8"/>
      <w:bookmarkEnd w:id="9"/>
      <w:bookmarkEnd w:id="10"/>
    </w:p>
    <w:p w:rsidR="001B3767" w:rsidRPr="000E2288" w:rsidRDefault="001B3767" w:rsidP="00627EA1">
      <w:pPr>
        <w:pStyle w:val="texto"/>
        <w:spacing w:after="120"/>
        <w:rPr>
          <w:lang w:val="es-ES"/>
        </w:rPr>
      </w:pPr>
      <w:r w:rsidRPr="000E2288">
        <w:rPr>
          <w:lang w:val="es-ES"/>
        </w:rPr>
        <w:t>A efectos de la aplicación de la Ley</w:t>
      </w:r>
      <w:r w:rsidR="00727B28">
        <w:rPr>
          <w:lang w:val="es-ES"/>
        </w:rPr>
        <w:t xml:space="preserve"> Orgánica</w:t>
      </w:r>
      <w:r w:rsidRPr="000E2288">
        <w:rPr>
          <w:lang w:val="es-ES"/>
        </w:rPr>
        <w:t xml:space="preserve"> 2/2012, el sector público está integrado por las siguientes unidades: </w:t>
      </w:r>
    </w:p>
    <w:p w:rsidR="001B3767" w:rsidRDefault="00BA4E29" w:rsidP="00627EA1">
      <w:pPr>
        <w:pStyle w:val="texto"/>
        <w:spacing w:after="120"/>
        <w:rPr>
          <w:lang w:val="es-ES"/>
        </w:rPr>
      </w:pPr>
      <w:r w:rsidRPr="00BA4E29">
        <w:rPr>
          <w:b/>
          <w:lang w:val="es-ES"/>
        </w:rPr>
        <w:lastRenderedPageBreak/>
        <w:t>A</w:t>
      </w:r>
      <w:r w:rsidR="001B3767" w:rsidRPr="00BA4E29">
        <w:rPr>
          <w:b/>
          <w:lang w:val="es-ES"/>
        </w:rPr>
        <w:t>1</w:t>
      </w:r>
      <w:r w:rsidRPr="00BA4E29">
        <w:rPr>
          <w:b/>
          <w:lang w:val="es-ES"/>
        </w:rPr>
        <w:t>)</w:t>
      </w:r>
      <w:r w:rsidR="00BB6021">
        <w:rPr>
          <w:lang w:val="es-ES"/>
        </w:rPr>
        <w:t xml:space="preserve"> </w:t>
      </w:r>
      <w:r w:rsidR="001B3767">
        <w:rPr>
          <w:lang w:val="es-ES"/>
        </w:rPr>
        <w:t>Sector Administración Pública, definida conforme al Sistema Europeo de Cuentas Nacionales y Regionales</w:t>
      </w:r>
      <w:r w:rsidR="00727B28">
        <w:rPr>
          <w:lang w:val="es-ES"/>
        </w:rPr>
        <w:t>, en el que se incluye, entre otros, el su</w:t>
      </w:r>
      <w:r w:rsidR="00727B28">
        <w:rPr>
          <w:lang w:val="es-ES"/>
        </w:rPr>
        <w:t>b</w:t>
      </w:r>
      <w:r w:rsidR="00727B28">
        <w:rPr>
          <w:lang w:val="es-ES"/>
        </w:rPr>
        <w:t>sector Comunidades Autónomas, que en el caso de la Comunidad Foral está i</w:t>
      </w:r>
      <w:r w:rsidR="00727B28">
        <w:rPr>
          <w:lang w:val="es-ES"/>
        </w:rPr>
        <w:t>n</w:t>
      </w:r>
      <w:r w:rsidR="00727B28">
        <w:rPr>
          <w:lang w:val="es-ES"/>
        </w:rPr>
        <w:t xml:space="preserve">tegrado por las siguientes </w:t>
      </w:r>
      <w:r w:rsidR="001B3767">
        <w:rPr>
          <w:lang w:val="es-ES"/>
        </w:rPr>
        <w:t>unidades institucionales públi</w:t>
      </w:r>
      <w:r w:rsidR="00727B28">
        <w:rPr>
          <w:lang w:val="es-ES"/>
        </w:rPr>
        <w:t>cas no de mercado:</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La Administración de la Comunidad Foral y sus organismos autónomos.</w:t>
      </w:r>
    </w:p>
    <w:p w:rsidR="001B3767"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846868">
        <w:rPr>
          <w:rFonts w:cs="Arial"/>
        </w:rPr>
        <w:t>El Parlamento de Navarra y sus entes dependientes.</w:t>
      </w:r>
    </w:p>
    <w:p w:rsidR="00E671E9" w:rsidRPr="00846868" w:rsidRDefault="00E671E9"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rPr>
      </w:pPr>
      <w:r>
        <w:rPr>
          <w:rFonts w:cs="Arial"/>
        </w:rPr>
        <w:t>El Consejo de Navarra</w:t>
      </w:r>
    </w:p>
    <w:p w:rsidR="001B3767" w:rsidRPr="00846868"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846868">
        <w:rPr>
          <w:rFonts w:cs="Arial"/>
        </w:rPr>
        <w:t>La Universidad Pública de Navarra.</w:t>
      </w:r>
    </w:p>
    <w:p w:rsidR="001B3767" w:rsidRPr="00627EA1"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spacing w:val="4"/>
        </w:rPr>
      </w:pPr>
      <w:r w:rsidRPr="00627EA1">
        <w:rPr>
          <w:rFonts w:cs="Arial"/>
          <w:spacing w:val="4"/>
        </w:rPr>
        <w:t>Las sociedades públicas de la Comunidad Foral que no se financian mayor</w:t>
      </w:r>
      <w:r w:rsidRPr="00627EA1">
        <w:rPr>
          <w:rFonts w:cs="Arial"/>
          <w:spacing w:val="4"/>
        </w:rPr>
        <w:t>i</w:t>
      </w:r>
      <w:r w:rsidRPr="00627EA1">
        <w:rPr>
          <w:rFonts w:cs="Arial"/>
          <w:spacing w:val="4"/>
        </w:rPr>
        <w:t>tariamente con ingresos comerciales. En concreto, se consideran administración pública las siguientes 11 sociedades de las 16 en las que participa la Administr</w:t>
      </w:r>
      <w:r w:rsidRPr="00627EA1">
        <w:rPr>
          <w:rFonts w:cs="Arial"/>
          <w:spacing w:val="4"/>
        </w:rPr>
        <w:t>a</w:t>
      </w:r>
      <w:r w:rsidRPr="00627EA1">
        <w:rPr>
          <w:rFonts w:cs="Arial"/>
          <w:spacing w:val="4"/>
        </w:rPr>
        <w:t>ción Foral de forma mayoritaria: Centro Europeo de Empresa e Innovación, SLU, Centro Navarro de Autoaprendizaje de Idiomas SAU, Ciudad Agroalime</w:t>
      </w:r>
      <w:r w:rsidRPr="00627EA1">
        <w:rPr>
          <w:rFonts w:cs="Arial"/>
          <w:spacing w:val="4"/>
        </w:rPr>
        <w:t>n</w:t>
      </w:r>
      <w:r w:rsidRPr="00627EA1">
        <w:rPr>
          <w:rFonts w:cs="Arial"/>
          <w:spacing w:val="4"/>
        </w:rPr>
        <w:t>taria de Tudela, SLU, Corporación Pública Empresarial de Navarra, SLU, Ge</w:t>
      </w:r>
      <w:r w:rsidRPr="00627EA1">
        <w:rPr>
          <w:rFonts w:cs="Arial"/>
          <w:spacing w:val="4"/>
        </w:rPr>
        <w:t>s</w:t>
      </w:r>
      <w:r w:rsidRPr="00627EA1">
        <w:rPr>
          <w:rFonts w:cs="Arial"/>
          <w:spacing w:val="4"/>
        </w:rPr>
        <w:t>tión Ambiental de Navarra, SAU, Instituto Navarro de Tecnologías e Infraestru</w:t>
      </w:r>
      <w:r w:rsidRPr="00627EA1">
        <w:rPr>
          <w:rFonts w:cs="Arial"/>
          <w:spacing w:val="4"/>
        </w:rPr>
        <w:t>c</w:t>
      </w:r>
      <w:r w:rsidRPr="00627EA1">
        <w:rPr>
          <w:rFonts w:cs="Arial"/>
          <w:spacing w:val="4"/>
        </w:rPr>
        <w:t xml:space="preserve">turas Agroalimentarias, SAU, Navarra de Infraestructuras de Cultura, Deporte y Ocio, SL, Navarra de Servicios y Tecnologías, SAU; Sociedad de Desarrollo de Navarra SL; </w:t>
      </w:r>
      <w:proofErr w:type="spellStart"/>
      <w:r w:rsidRPr="00627EA1">
        <w:rPr>
          <w:rFonts w:cs="Arial"/>
          <w:spacing w:val="4"/>
        </w:rPr>
        <w:t>Start</w:t>
      </w:r>
      <w:proofErr w:type="spellEnd"/>
      <w:r w:rsidRPr="00627EA1">
        <w:rPr>
          <w:rFonts w:cs="Arial"/>
          <w:spacing w:val="4"/>
        </w:rPr>
        <w:t xml:space="preserve"> Up Capital Navarra SA y Trabajos Catastrales SA.</w:t>
      </w:r>
    </w:p>
    <w:p w:rsidR="001B3767" w:rsidRPr="00846868" w:rsidRDefault="001B3767" w:rsidP="00627EA1">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846868">
        <w:rPr>
          <w:rFonts w:cs="Arial"/>
        </w:rPr>
        <w:t>Fundaciones: se incluyen las siete fundaciones públicas además de las ci</w:t>
      </w:r>
      <w:r w:rsidRPr="00846868">
        <w:rPr>
          <w:rFonts w:cs="Arial"/>
        </w:rPr>
        <w:t>n</w:t>
      </w:r>
      <w:r w:rsidRPr="00846868">
        <w:rPr>
          <w:rFonts w:cs="Arial"/>
        </w:rPr>
        <w:t xml:space="preserve">co siguientes: Fundación Pablo </w:t>
      </w:r>
      <w:proofErr w:type="spellStart"/>
      <w:r w:rsidRPr="00846868">
        <w:rPr>
          <w:rFonts w:cs="Arial"/>
        </w:rPr>
        <w:t>Sarasate</w:t>
      </w:r>
      <w:proofErr w:type="spellEnd"/>
      <w:r w:rsidRPr="00846868">
        <w:rPr>
          <w:rFonts w:cs="Arial"/>
        </w:rPr>
        <w:t xml:space="preserve">, Fundación </w:t>
      </w:r>
      <w:proofErr w:type="spellStart"/>
      <w:r w:rsidRPr="00846868">
        <w:rPr>
          <w:rFonts w:cs="Arial"/>
        </w:rPr>
        <w:t>Cener-Ciemat</w:t>
      </w:r>
      <w:proofErr w:type="spellEnd"/>
      <w:r w:rsidRPr="00846868">
        <w:rPr>
          <w:rFonts w:cs="Arial"/>
        </w:rPr>
        <w:t xml:space="preserve">, Fundación Amado Alonso, Fundación </w:t>
      </w:r>
      <w:proofErr w:type="spellStart"/>
      <w:r w:rsidRPr="00846868">
        <w:rPr>
          <w:rFonts w:cs="Arial"/>
        </w:rPr>
        <w:t>Itoiz</w:t>
      </w:r>
      <w:proofErr w:type="spellEnd"/>
      <w:r w:rsidRPr="00846868">
        <w:rPr>
          <w:rFonts w:cs="Arial"/>
        </w:rPr>
        <w:t>-Canal de Navarra</w:t>
      </w:r>
      <w:r w:rsidR="00DA49C0">
        <w:rPr>
          <w:rStyle w:val="Refdenotaalpie"/>
          <w:rFonts w:cs="Arial"/>
        </w:rPr>
        <w:footnoteReference w:id="1"/>
      </w:r>
      <w:r w:rsidRPr="00846868">
        <w:rPr>
          <w:rFonts w:cs="Arial"/>
        </w:rPr>
        <w:t>, Fundación Centro de R</w:t>
      </w:r>
      <w:r w:rsidRPr="00846868">
        <w:rPr>
          <w:rFonts w:cs="Arial"/>
        </w:rPr>
        <w:t>e</w:t>
      </w:r>
      <w:r w:rsidRPr="00846868">
        <w:rPr>
          <w:rFonts w:cs="Arial"/>
        </w:rPr>
        <w:t>cursos Ambientales de Navarra</w:t>
      </w:r>
      <w:r w:rsidR="00DF6851">
        <w:rPr>
          <w:rStyle w:val="Refdenotaalpie"/>
          <w:rFonts w:cs="Arial"/>
        </w:rPr>
        <w:footnoteReference w:id="2"/>
      </w:r>
      <w:r w:rsidRPr="00846868">
        <w:rPr>
          <w:rFonts w:cs="Arial"/>
        </w:rPr>
        <w:t xml:space="preserve">. En total, </w:t>
      </w:r>
      <w:r w:rsidR="008D364F">
        <w:rPr>
          <w:rFonts w:cs="Arial"/>
        </w:rPr>
        <w:t>12</w:t>
      </w:r>
      <w:r w:rsidRPr="00846868">
        <w:rPr>
          <w:rFonts w:cs="Arial"/>
        </w:rPr>
        <w:t xml:space="preserve"> fundaciones.</w:t>
      </w:r>
    </w:p>
    <w:p w:rsidR="001B3767" w:rsidRDefault="00BA4E29" w:rsidP="00627EA1">
      <w:pPr>
        <w:pStyle w:val="texto"/>
        <w:spacing w:after="120"/>
        <w:rPr>
          <w:lang w:val="es-ES"/>
        </w:rPr>
      </w:pPr>
      <w:r>
        <w:rPr>
          <w:b/>
          <w:lang w:val="es-ES"/>
        </w:rPr>
        <w:t>B2</w:t>
      </w:r>
      <w:r w:rsidRPr="00BA4E29">
        <w:rPr>
          <w:b/>
          <w:lang w:val="es-ES"/>
        </w:rPr>
        <w:t>)</w:t>
      </w:r>
      <w:r w:rsidR="001B3767">
        <w:rPr>
          <w:lang w:val="es-ES"/>
        </w:rPr>
        <w:t xml:space="preserve"> </w:t>
      </w:r>
      <w:r w:rsidR="00727B28">
        <w:rPr>
          <w:lang w:val="es-ES"/>
        </w:rPr>
        <w:t>El resto de s</w:t>
      </w:r>
      <w:r w:rsidR="001B3767">
        <w:rPr>
          <w:lang w:val="es-ES"/>
        </w:rPr>
        <w:t>ociedades mercantiles y demás entes de derecho público d</w:t>
      </w:r>
      <w:r w:rsidR="001B3767">
        <w:rPr>
          <w:lang w:val="es-ES"/>
        </w:rPr>
        <w:t>e</w:t>
      </w:r>
      <w:r w:rsidR="001B3767">
        <w:rPr>
          <w:lang w:val="es-ES"/>
        </w:rPr>
        <w:t>pendientes de la Administración Pública no incluid</w:t>
      </w:r>
      <w:r w:rsidR="00E54C76">
        <w:rPr>
          <w:lang w:val="es-ES"/>
        </w:rPr>
        <w:t>o</w:t>
      </w:r>
      <w:r w:rsidR="001B3767">
        <w:rPr>
          <w:lang w:val="es-ES"/>
        </w:rPr>
        <w:t xml:space="preserve">s en el </w:t>
      </w:r>
      <w:r w:rsidR="00E54C76">
        <w:rPr>
          <w:lang w:val="es-ES"/>
        </w:rPr>
        <w:t xml:space="preserve">sector </w:t>
      </w:r>
      <w:r w:rsidR="001B3767">
        <w:rPr>
          <w:lang w:val="es-ES"/>
        </w:rPr>
        <w:t>Administr</w:t>
      </w:r>
      <w:r w:rsidR="001B3767">
        <w:rPr>
          <w:lang w:val="es-ES"/>
        </w:rPr>
        <w:t>a</w:t>
      </w:r>
      <w:r w:rsidR="001B3767">
        <w:rPr>
          <w:lang w:val="es-ES"/>
        </w:rPr>
        <w:t>ción Pública</w:t>
      </w:r>
      <w:r w:rsidR="009E68E2">
        <w:rPr>
          <w:lang w:val="es-ES"/>
        </w:rPr>
        <w:t xml:space="preserve"> tendrán asimismo consideración de sector público</w:t>
      </w:r>
      <w:r w:rsidR="001B3767">
        <w:rPr>
          <w:lang w:val="es-ES"/>
        </w:rPr>
        <w:t>.</w:t>
      </w:r>
    </w:p>
    <w:p w:rsidR="00DA49C0" w:rsidRDefault="00DA49C0" w:rsidP="001302E4">
      <w:pPr>
        <w:pStyle w:val="texto"/>
        <w:spacing w:after="180"/>
        <w:rPr>
          <w:lang w:val="es-ES"/>
        </w:rPr>
      </w:pPr>
      <w:r>
        <w:rPr>
          <w:lang w:val="es-ES"/>
        </w:rPr>
        <w:t xml:space="preserve">En resumen, el </w:t>
      </w:r>
      <w:r w:rsidR="00E54C76">
        <w:rPr>
          <w:lang w:val="es-ES"/>
        </w:rPr>
        <w:t xml:space="preserve">sector </w:t>
      </w:r>
      <w:r>
        <w:rPr>
          <w:lang w:val="es-ES"/>
        </w:rPr>
        <w:t>Administración Pública de la Comunidad Foral a efe</w:t>
      </w:r>
      <w:r>
        <w:rPr>
          <w:lang w:val="es-ES"/>
        </w:rPr>
        <w:t>c</w:t>
      </w:r>
      <w:r>
        <w:rPr>
          <w:lang w:val="es-ES"/>
        </w:rPr>
        <w:t>tos de la Ley Orgánica 2/2012 de Estabilidad Presupuestaria y Sostenibilidad Financiera se diferencia del Sector Público Foral regulado en la Ley Foral 13/2</w:t>
      </w:r>
      <w:r w:rsidR="001302E4">
        <w:rPr>
          <w:lang w:val="es-ES"/>
        </w:rPr>
        <w:t>007, de Hacienda Pública en que incluye la Universidad Pública de Nav</w:t>
      </w:r>
      <w:r w:rsidR="001302E4">
        <w:rPr>
          <w:lang w:val="es-ES"/>
        </w:rPr>
        <w:t>a</w:t>
      </w:r>
      <w:r w:rsidR="001302E4">
        <w:rPr>
          <w:lang w:val="es-ES"/>
        </w:rPr>
        <w:t xml:space="preserve">rra, 11 de las 16 sociedades </w:t>
      </w:r>
      <w:r w:rsidR="00E54C76">
        <w:rPr>
          <w:lang w:val="es-ES"/>
        </w:rPr>
        <w:t xml:space="preserve">públicas </w:t>
      </w:r>
      <w:r w:rsidR="001302E4">
        <w:rPr>
          <w:lang w:val="es-ES"/>
        </w:rPr>
        <w:t xml:space="preserve">de la Comunidad Foral y cinco </w:t>
      </w:r>
      <w:r w:rsidR="00E54C76">
        <w:rPr>
          <w:lang w:val="es-ES"/>
        </w:rPr>
        <w:t>fundaci</w:t>
      </w:r>
      <w:r w:rsidR="00E54C76">
        <w:rPr>
          <w:lang w:val="es-ES"/>
        </w:rPr>
        <w:t>o</w:t>
      </w:r>
      <w:r w:rsidR="00E54C76">
        <w:rPr>
          <w:lang w:val="es-ES"/>
        </w:rPr>
        <w:t>nes</w:t>
      </w:r>
      <w:r w:rsidR="001302E4">
        <w:rPr>
          <w:lang w:val="es-ES"/>
        </w:rPr>
        <w:t xml:space="preserve">, además de las siete </w:t>
      </w:r>
      <w:r w:rsidR="00E54C76">
        <w:rPr>
          <w:lang w:val="es-ES"/>
        </w:rPr>
        <w:t>fundaciones públicas</w:t>
      </w:r>
      <w:r w:rsidR="001302E4">
        <w:rPr>
          <w:lang w:val="es-ES"/>
        </w:rPr>
        <w:t xml:space="preserve">. </w:t>
      </w:r>
    </w:p>
    <w:p w:rsidR="001B3767" w:rsidRDefault="001B3767" w:rsidP="00627EA1">
      <w:pPr>
        <w:pStyle w:val="atitulo2"/>
        <w:spacing w:after="200"/>
      </w:pPr>
      <w:bookmarkStart w:id="11" w:name="_Toc418853774"/>
      <w:bookmarkStart w:id="12" w:name="_Toc290377611"/>
      <w:bookmarkStart w:id="13" w:name="_Toc253057723"/>
      <w:bookmarkStart w:id="14" w:name="_Toc434399386"/>
      <w:r>
        <w:lastRenderedPageBreak/>
        <w:t>II.3</w:t>
      </w:r>
      <w:r w:rsidR="00BA4E29">
        <w:t>.</w:t>
      </w:r>
      <w:r>
        <w:t xml:space="preserve"> Normativa</w:t>
      </w:r>
      <w:bookmarkEnd w:id="11"/>
      <w:bookmarkEnd w:id="12"/>
      <w:bookmarkEnd w:id="13"/>
      <w:bookmarkEnd w:id="14"/>
    </w:p>
    <w:p w:rsidR="001B3767" w:rsidRPr="000E2288" w:rsidRDefault="001B3767" w:rsidP="001B3767">
      <w:pPr>
        <w:pStyle w:val="texto"/>
        <w:rPr>
          <w:lang w:val="es-ES"/>
        </w:rPr>
      </w:pPr>
      <w:r w:rsidRPr="000E2288">
        <w:rPr>
          <w:lang w:val="es-ES"/>
        </w:rPr>
        <w:t>La normativa básica aplicable a la Hacienda Foral durante el ejercicio 2014 está constituida fundamentalmente por Ley Foral 19/2011, de 28 de diciembre, de Presupuestos Generales de Navarra para el año 2012, el Acuerdo del G</w:t>
      </w:r>
      <w:r w:rsidRPr="000E2288">
        <w:rPr>
          <w:lang w:val="es-ES"/>
        </w:rPr>
        <w:t>o</w:t>
      </w:r>
      <w:r w:rsidRPr="000E2288">
        <w:rPr>
          <w:lang w:val="es-ES"/>
        </w:rPr>
        <w:t>bierno de Navarra, de 30 de diciembre de 2013, por el que se dictan las normas de ejecución que regirán la prórroga de los Presupuestos Generales de Navarra de 2012, para el ejercicio de 2014, la Ley Foral 13/2007, de 4 de abril, de la Hacienda Pública de Navarra, la Ley Orgánica 2/2012, de 27 de abril, de Est</w:t>
      </w:r>
      <w:r w:rsidRPr="000E2288">
        <w:rPr>
          <w:lang w:val="es-ES"/>
        </w:rPr>
        <w:t>a</w:t>
      </w:r>
      <w:r w:rsidRPr="000E2288">
        <w:rPr>
          <w:lang w:val="es-ES"/>
        </w:rPr>
        <w:t>bilidad Presupuestaria y de Sostenibilidad Financiera, así como por la normat</w:t>
      </w:r>
      <w:r w:rsidRPr="000E2288">
        <w:rPr>
          <w:lang w:val="es-ES"/>
        </w:rPr>
        <w:t>i</w:t>
      </w:r>
      <w:r w:rsidRPr="000E2288">
        <w:rPr>
          <w:lang w:val="es-ES"/>
        </w:rPr>
        <w:t xml:space="preserve">va sectorial vigente. </w:t>
      </w:r>
    </w:p>
    <w:p w:rsidR="001B3767" w:rsidRPr="0026277C" w:rsidRDefault="001B3767" w:rsidP="001B3767">
      <w:pPr>
        <w:pStyle w:val="atitulo1"/>
      </w:pPr>
      <w:r w:rsidRPr="001639F7">
        <w:rPr>
          <w:highlight w:val="yellow"/>
        </w:rPr>
        <w:br w:type="page"/>
      </w:r>
      <w:bookmarkStart w:id="15" w:name="_Toc434399387"/>
      <w:r w:rsidRPr="0026277C">
        <w:lastRenderedPageBreak/>
        <w:t>III. Objetivo</w:t>
      </w:r>
      <w:bookmarkEnd w:id="15"/>
      <w:r w:rsidRPr="0026277C">
        <w:t xml:space="preserve"> </w:t>
      </w:r>
    </w:p>
    <w:p w:rsidR="001B3767" w:rsidRPr="000E2288" w:rsidRDefault="001B3767" w:rsidP="001B3767">
      <w:pPr>
        <w:pStyle w:val="texto"/>
        <w:rPr>
          <w:lang w:val="es-ES"/>
        </w:rPr>
      </w:pPr>
      <w:r w:rsidRPr="000E2288">
        <w:rPr>
          <w:lang w:val="es-ES"/>
        </w:rPr>
        <w:t>De acuerdo con la normativa legal aplicable, se ha realizado la fiscalización financiera y de cumplimiento de legalidad de las Cuentas Generales de Navarra correspondientes al ejercicio de 2014.</w:t>
      </w:r>
    </w:p>
    <w:p w:rsidR="001B3767" w:rsidRPr="000E2288" w:rsidRDefault="001B3767" w:rsidP="001B3767">
      <w:pPr>
        <w:pStyle w:val="texto"/>
        <w:rPr>
          <w:lang w:val="es-ES"/>
        </w:rPr>
      </w:pPr>
      <w:r w:rsidRPr="000E2288">
        <w:rPr>
          <w:lang w:val="es-ES"/>
        </w:rPr>
        <w:t>El objetivo de la fiscalización es expresar nuestra opinión acerca de:</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 Si las </w:t>
      </w:r>
      <w:r w:rsidR="00406950" w:rsidRPr="00846868">
        <w:rPr>
          <w:rFonts w:cs="Arial"/>
        </w:rPr>
        <w:t xml:space="preserve">cuentas </w:t>
      </w:r>
      <w:r w:rsidRPr="00846868">
        <w:rPr>
          <w:rFonts w:cs="Arial"/>
        </w:rPr>
        <w:t xml:space="preserve">anuales de la Administración de la Comunidad Foral y sus </w:t>
      </w:r>
      <w:r w:rsidR="00406950" w:rsidRPr="00846868">
        <w:rPr>
          <w:rFonts w:cs="Arial"/>
        </w:rPr>
        <w:t xml:space="preserve">organismos autónomos </w:t>
      </w:r>
      <w:r w:rsidRPr="00846868">
        <w:rPr>
          <w:rFonts w:cs="Arial"/>
        </w:rPr>
        <w:t>del ejercicio 2014 reflejan, en todos los aspectos sign</w:t>
      </w:r>
      <w:r w:rsidRPr="00846868">
        <w:rPr>
          <w:rFonts w:cs="Arial"/>
        </w:rPr>
        <w:t>i</w:t>
      </w:r>
      <w:r w:rsidRPr="00846868">
        <w:rPr>
          <w:rFonts w:cs="Arial"/>
        </w:rPr>
        <w:t>ficativos, la imagen fiel del patrimonio, de la liquidación del presupuesto y de la situación financiera al 31 de diciembre de 2014, así como del resultado ec</w:t>
      </w:r>
      <w:r w:rsidRPr="00846868">
        <w:rPr>
          <w:rFonts w:cs="Arial"/>
        </w:rPr>
        <w:t>o</w:t>
      </w:r>
      <w:r w:rsidRPr="00846868">
        <w:rPr>
          <w:rFonts w:cs="Arial"/>
        </w:rPr>
        <w:t>nómico patrimonial correspondiente al ejercicio anual terminado en dicha f</w:t>
      </w:r>
      <w:r w:rsidRPr="00846868">
        <w:rPr>
          <w:rFonts w:cs="Arial"/>
        </w:rPr>
        <w:t>e</w:t>
      </w:r>
      <w:r w:rsidRPr="00846868">
        <w:rPr>
          <w:rFonts w:cs="Arial"/>
        </w:rPr>
        <w:t>cha, de conformidad con el marco normativo de información financiera pública que resulta de aplicación y, en particular, con los principios y criterios cont</w:t>
      </w:r>
      <w:r w:rsidRPr="00846868">
        <w:rPr>
          <w:rFonts w:cs="Arial"/>
        </w:rPr>
        <w:t>a</w:t>
      </w:r>
      <w:r w:rsidRPr="00846868">
        <w:rPr>
          <w:rFonts w:cs="Arial"/>
        </w:rPr>
        <w:t>bles contenidos en el mismo.</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 El cumplimiento de la legislación aplicable a la actividad financiera de la Administración Foral y sus </w:t>
      </w:r>
      <w:r w:rsidR="00406950" w:rsidRPr="00846868">
        <w:rPr>
          <w:rFonts w:cs="Arial"/>
        </w:rPr>
        <w:t xml:space="preserve">organismos autónomos </w:t>
      </w:r>
      <w:r w:rsidRPr="00846868">
        <w:rPr>
          <w:rFonts w:cs="Arial"/>
        </w:rPr>
        <w:t>en el año 2014.</w:t>
      </w:r>
    </w:p>
    <w:p w:rsidR="00E671E9"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 La situación financiera de la Administración de la Comunidad Foral y sus </w:t>
      </w:r>
      <w:r w:rsidR="00406950" w:rsidRPr="00846868">
        <w:rPr>
          <w:rFonts w:cs="Arial"/>
        </w:rPr>
        <w:t xml:space="preserve">organismos autónomos </w:t>
      </w:r>
      <w:r w:rsidRPr="00846868">
        <w:rPr>
          <w:rFonts w:cs="Arial"/>
        </w:rPr>
        <w:t xml:space="preserve">a 31 de diciembre de 2014. </w:t>
      </w:r>
    </w:p>
    <w:p w:rsidR="00B93539" w:rsidRDefault="00DB38D2"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Análisis del cu</w:t>
      </w:r>
      <w:r w:rsidR="00B93539">
        <w:rPr>
          <w:rFonts w:cs="Arial"/>
        </w:rPr>
        <w:t>mplimiento de los objetivos de estabilidad presupuestaria y sostenibilidad financiera.</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El cumplimiento de las recomendaciones emitidas por esta Cámara en i</w:t>
      </w:r>
      <w:r w:rsidRPr="00846868">
        <w:rPr>
          <w:rFonts w:cs="Arial"/>
        </w:rPr>
        <w:t>n</w:t>
      </w:r>
      <w:r w:rsidRPr="00846868">
        <w:rPr>
          <w:rFonts w:cs="Arial"/>
        </w:rPr>
        <w:t>formes anteriores.</w:t>
      </w:r>
    </w:p>
    <w:p w:rsidR="001B3767" w:rsidRPr="00DD660D" w:rsidRDefault="001B3767" w:rsidP="001B3767">
      <w:pPr>
        <w:pStyle w:val="atitulo1"/>
        <w:suppressAutoHyphens/>
        <w:rPr>
          <w:color w:val="auto"/>
        </w:rPr>
      </w:pPr>
      <w:r w:rsidRPr="001639F7">
        <w:rPr>
          <w:highlight w:val="yellow"/>
        </w:rPr>
        <w:br w:type="page"/>
      </w:r>
      <w:bookmarkStart w:id="16" w:name="_Toc434399388"/>
      <w:bookmarkStart w:id="17" w:name="_Toc305415947"/>
      <w:bookmarkStart w:id="18" w:name="_Toc305480465"/>
      <w:r w:rsidRPr="00DD660D">
        <w:rPr>
          <w:color w:val="auto"/>
        </w:rPr>
        <w:lastRenderedPageBreak/>
        <w:t>IV. Alcance</w:t>
      </w:r>
      <w:bookmarkEnd w:id="16"/>
      <w:r w:rsidRPr="00DD660D">
        <w:rPr>
          <w:color w:val="auto"/>
        </w:rPr>
        <w:t xml:space="preserve"> </w:t>
      </w:r>
      <w:bookmarkEnd w:id="17"/>
      <w:bookmarkEnd w:id="18"/>
    </w:p>
    <w:p w:rsidR="001B3767" w:rsidRPr="000E2288" w:rsidRDefault="001B3767" w:rsidP="001B3767">
      <w:pPr>
        <w:pStyle w:val="texto"/>
        <w:rPr>
          <w:lang w:val="es-ES"/>
        </w:rPr>
      </w:pPr>
      <w:r w:rsidRPr="000E2288">
        <w:rPr>
          <w:lang w:val="es-ES"/>
        </w:rPr>
        <w:t>Las Cuentas Generales de Navarra están integradas por las cuentas de los e</w:t>
      </w:r>
      <w:r w:rsidRPr="000E2288">
        <w:rPr>
          <w:lang w:val="es-ES"/>
        </w:rPr>
        <w:t>n</w:t>
      </w:r>
      <w:r w:rsidRPr="000E2288">
        <w:rPr>
          <w:lang w:val="es-ES"/>
        </w:rPr>
        <w:t>tes que componen el Sector Público Foral conforme a la Ley Foral 13/2007, de la Hacienda Pública de Navarra, detalladas en el epígrafe II.1 de este informe.</w:t>
      </w:r>
    </w:p>
    <w:p w:rsidR="001B3767" w:rsidRPr="000E2288" w:rsidRDefault="001B3767" w:rsidP="001B3767">
      <w:pPr>
        <w:pStyle w:val="texto"/>
        <w:rPr>
          <w:lang w:val="es-ES"/>
        </w:rPr>
      </w:pPr>
      <w:r w:rsidRPr="000E2288">
        <w:rPr>
          <w:lang w:val="es-ES"/>
        </w:rPr>
        <w:t xml:space="preserve">El alcance de la fiscalización de regularidad han sido las cuentas anuales del ejercicio 2014 de la Administración de la Comunidad Foral y sus </w:t>
      </w:r>
      <w:r w:rsidR="00A27790" w:rsidRPr="000E2288">
        <w:rPr>
          <w:lang w:val="es-ES"/>
        </w:rPr>
        <w:t xml:space="preserve">organismos autónomos </w:t>
      </w:r>
      <w:r w:rsidRPr="000E2288">
        <w:rPr>
          <w:lang w:val="es-ES"/>
        </w:rPr>
        <w:t>que comprenden los siguientes estados: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La liquidación de los </w:t>
      </w:r>
      <w:r w:rsidR="00A27790" w:rsidRPr="00846868">
        <w:rPr>
          <w:rFonts w:cs="Arial"/>
        </w:rPr>
        <w:t>presupuestos</w:t>
      </w:r>
      <w:r w:rsidRPr="00846868">
        <w:rPr>
          <w:rFonts w:cs="Arial"/>
        </w:rPr>
        <w:t>.</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Un balance de resultados y un informe de gestión de 57 programas pres</w:t>
      </w:r>
      <w:r w:rsidRPr="00846868">
        <w:rPr>
          <w:rFonts w:cs="Arial"/>
        </w:rPr>
        <w:t>u</w:t>
      </w:r>
      <w:r w:rsidRPr="00846868">
        <w:rPr>
          <w:rFonts w:cs="Arial"/>
        </w:rPr>
        <w:t>puestarios determinados por el Departamento de Economía y Hacienda.</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El balance de situación consolidado y el individual para cada entidad.</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 La cuenta de resultado económico-patrimonial </w:t>
      </w:r>
      <w:proofErr w:type="gramStart"/>
      <w:r w:rsidRPr="00846868">
        <w:rPr>
          <w:rFonts w:cs="Arial"/>
        </w:rPr>
        <w:t>consolidada</w:t>
      </w:r>
      <w:proofErr w:type="gramEnd"/>
      <w:r w:rsidRPr="00846868">
        <w:rPr>
          <w:rFonts w:cs="Arial"/>
        </w:rPr>
        <w:t xml:space="preserve"> y la individual para cada entidad.</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Una memoria global que amplí</w:t>
      </w:r>
      <w:r w:rsidR="00EA6B34">
        <w:rPr>
          <w:rFonts w:cs="Arial"/>
        </w:rPr>
        <w:t>a</w:t>
      </w:r>
      <w:r w:rsidRPr="00846868">
        <w:rPr>
          <w:rFonts w:cs="Arial"/>
        </w:rPr>
        <w:t xml:space="preserve"> y coment</w:t>
      </w:r>
      <w:r w:rsidR="00EA6B34">
        <w:rPr>
          <w:rFonts w:cs="Arial"/>
        </w:rPr>
        <w:t>a</w:t>
      </w:r>
      <w:r w:rsidRPr="00846868">
        <w:rPr>
          <w:rFonts w:cs="Arial"/>
        </w:rPr>
        <w:t xml:space="preserve"> la información contenida en los estados anteriores.</w:t>
      </w:r>
    </w:p>
    <w:p w:rsidR="001B3767" w:rsidRDefault="001B3767" w:rsidP="001B3767">
      <w:pPr>
        <w:pStyle w:val="texto"/>
        <w:rPr>
          <w:lang w:val="es-ES"/>
        </w:rPr>
      </w:pPr>
      <w:r w:rsidRPr="000E2288">
        <w:rPr>
          <w:lang w:val="es-ES"/>
        </w:rPr>
        <w:t>El ejercicio de fiscalización es el año 2014 y</w:t>
      </w:r>
      <w:r w:rsidR="00A27790">
        <w:rPr>
          <w:lang w:val="es-ES"/>
        </w:rPr>
        <w:t>,</w:t>
      </w:r>
      <w:r w:rsidRPr="000E2288">
        <w:rPr>
          <w:lang w:val="es-ES"/>
        </w:rPr>
        <w:t xml:space="preserve"> a efectos comparativos, se i</w:t>
      </w:r>
      <w:r w:rsidRPr="000E2288">
        <w:rPr>
          <w:lang w:val="es-ES"/>
        </w:rPr>
        <w:t>n</w:t>
      </w:r>
      <w:r w:rsidRPr="000E2288">
        <w:rPr>
          <w:lang w:val="es-ES"/>
        </w:rPr>
        <w:t>cluye información financiera del ejercicio anterior.</w:t>
      </w:r>
    </w:p>
    <w:p w:rsidR="00835398" w:rsidRDefault="00835398" w:rsidP="00835398">
      <w:pPr>
        <w:pStyle w:val="texto"/>
        <w:rPr>
          <w:lang w:val="es-ES"/>
        </w:rPr>
      </w:pPr>
      <w:r>
        <w:rPr>
          <w:lang w:val="es-ES"/>
        </w:rPr>
        <w:t>En cuanto a los objetivos de estabilidad presupuestaria y sostenibilidad f</w:t>
      </w:r>
      <w:r>
        <w:rPr>
          <w:lang w:val="es-ES"/>
        </w:rPr>
        <w:t>i</w:t>
      </w:r>
      <w:r>
        <w:rPr>
          <w:lang w:val="es-ES"/>
        </w:rPr>
        <w:t>nanciera</w:t>
      </w:r>
      <w:r w:rsidR="009D06C4">
        <w:rPr>
          <w:lang w:val="es-ES"/>
        </w:rPr>
        <w:t>,</w:t>
      </w:r>
      <w:r>
        <w:rPr>
          <w:lang w:val="es-ES"/>
        </w:rPr>
        <w:t xml:space="preserve"> se han revisado los cálculos realizados por la Administración Foral y su conformidad con lo establecido en la Ley Orgánica </w:t>
      </w:r>
      <w:r w:rsidRPr="00835398">
        <w:rPr>
          <w:lang w:val="es-ES"/>
        </w:rPr>
        <w:t>2/2012, de 27 de abril, de Estabilidad Presupuestaria y Sostenibilidad Financiera.</w:t>
      </w:r>
    </w:p>
    <w:p w:rsidR="00835398" w:rsidRDefault="00835398" w:rsidP="00835398">
      <w:pPr>
        <w:pStyle w:val="texto"/>
      </w:pPr>
      <w:r>
        <w:t>El trabajo se ha ejecutado de acuerdo con los principios y normas de fiscal</w:t>
      </w:r>
      <w:r>
        <w:t>i</w:t>
      </w:r>
      <w:r>
        <w:t>zación aprobadas por la Comisión de Coordinación de los Órganos Públicos de Control Externo del Estado Español y con las ISSAI-ES 100, 200 y 400 apr</w:t>
      </w:r>
      <w:r>
        <w:t>o</w:t>
      </w:r>
      <w:r>
        <w:t>badas por las Instituciones Públicas de control Externo.</w:t>
      </w:r>
    </w:p>
    <w:p w:rsidR="00835398" w:rsidRDefault="00EA6B34" w:rsidP="00835398">
      <w:pPr>
        <w:pStyle w:val="texto"/>
      </w:pPr>
      <w:r>
        <w:t>Se han tenido en cuenta</w:t>
      </w:r>
      <w:r w:rsidR="00835398">
        <w:t xml:space="preserve"> los informes de control interno realizados por la I</w:t>
      </w:r>
      <w:r w:rsidR="00835398">
        <w:t>n</w:t>
      </w:r>
      <w:r w:rsidR="00835398">
        <w:t xml:space="preserve">tervención General del Gobierno de Navarra en relación con las actuaciones de control financiero permanente y de auditoría pública. </w:t>
      </w:r>
    </w:p>
    <w:p w:rsidR="00E671E9" w:rsidRDefault="00835398" w:rsidP="00E671E9">
      <w:pPr>
        <w:pStyle w:val="texto"/>
        <w:rPr>
          <w:lang w:val="es-ES"/>
        </w:rPr>
      </w:pPr>
      <w:r>
        <w:t xml:space="preserve">Así mismo, se han considerado los </w:t>
      </w:r>
      <w:r w:rsidR="00E671E9">
        <w:rPr>
          <w:lang w:val="es-ES"/>
        </w:rPr>
        <w:t>siguientes informes que esta Cámara em</w:t>
      </w:r>
      <w:r w:rsidR="00E671E9">
        <w:rPr>
          <w:lang w:val="es-ES"/>
        </w:rPr>
        <w:t>i</w:t>
      </w:r>
      <w:r w:rsidR="00E671E9">
        <w:rPr>
          <w:lang w:val="es-ES"/>
        </w:rPr>
        <w:t xml:space="preserve">tió </w:t>
      </w:r>
      <w:r>
        <w:rPr>
          <w:lang w:val="es-ES"/>
        </w:rPr>
        <w:t>referidos a</w:t>
      </w:r>
      <w:r w:rsidR="00E671E9">
        <w:rPr>
          <w:lang w:val="es-ES"/>
        </w:rPr>
        <w:t>l ejercicio 2014:</w:t>
      </w:r>
      <w:r w:rsidR="00E671E9" w:rsidRPr="00E671E9">
        <w:rPr>
          <w:lang w:val="es-ES"/>
        </w:rPr>
        <w:t xml:space="preserve"> </w:t>
      </w:r>
      <w:r w:rsidR="00E671E9">
        <w:rPr>
          <w:lang w:val="es-ES"/>
        </w:rPr>
        <w:t>“</w:t>
      </w:r>
      <w:r w:rsidR="00226C94">
        <w:rPr>
          <w:lang w:val="es-ES"/>
        </w:rPr>
        <w:t>S</w:t>
      </w:r>
      <w:r w:rsidR="00E671E9" w:rsidRPr="00E671E9">
        <w:rPr>
          <w:lang w:val="es-ES"/>
        </w:rPr>
        <w:t>ubvenciones del Gobierno de Navarra a dive</w:t>
      </w:r>
      <w:r w:rsidR="00E671E9" w:rsidRPr="00E671E9">
        <w:rPr>
          <w:lang w:val="es-ES"/>
        </w:rPr>
        <w:t>r</w:t>
      </w:r>
      <w:r w:rsidR="00E671E9" w:rsidRPr="00E671E9">
        <w:rPr>
          <w:lang w:val="es-ES"/>
        </w:rPr>
        <w:t>sas entidades y asociaciones</w:t>
      </w:r>
      <w:r w:rsidR="00E671E9">
        <w:rPr>
          <w:lang w:val="es-ES"/>
        </w:rPr>
        <w:t xml:space="preserve">”, </w:t>
      </w:r>
      <w:r w:rsidR="00226C94">
        <w:rPr>
          <w:lang w:val="es-ES"/>
        </w:rPr>
        <w:t>“C</w:t>
      </w:r>
      <w:r w:rsidR="00E671E9">
        <w:rPr>
          <w:lang w:val="es-ES"/>
        </w:rPr>
        <w:t>ontratación de los servicios de limpieza del Gobierno de Navarra</w:t>
      </w:r>
      <w:r w:rsidR="00226C94">
        <w:rPr>
          <w:lang w:val="es-ES"/>
        </w:rPr>
        <w:t xml:space="preserve">” y </w:t>
      </w:r>
      <w:r w:rsidR="00E671E9">
        <w:rPr>
          <w:lang w:val="es-ES"/>
        </w:rPr>
        <w:t xml:space="preserve">“Gestión de </w:t>
      </w:r>
      <w:r w:rsidR="00226C94">
        <w:rPr>
          <w:lang w:val="es-ES"/>
        </w:rPr>
        <w:t>infraestructuras sanitarias del Servicio Navarro de Salud-</w:t>
      </w:r>
      <w:proofErr w:type="spellStart"/>
      <w:r w:rsidR="00226C94">
        <w:rPr>
          <w:lang w:val="es-ES"/>
        </w:rPr>
        <w:t>Osasunbidea</w:t>
      </w:r>
      <w:proofErr w:type="spellEnd"/>
      <w:r w:rsidR="00226C94">
        <w:rPr>
          <w:lang w:val="es-ES"/>
        </w:rPr>
        <w:t>”.</w:t>
      </w:r>
    </w:p>
    <w:p w:rsidR="001B3767" w:rsidRPr="000E2288" w:rsidRDefault="001B3767" w:rsidP="001B3767">
      <w:pPr>
        <w:pStyle w:val="texto"/>
        <w:rPr>
          <w:lang w:val="es-ES"/>
        </w:rPr>
      </w:pPr>
      <w:r w:rsidRPr="000E2288">
        <w:rPr>
          <w:lang w:val="es-ES"/>
        </w:rPr>
        <w:t>El resto de entes que conforman el Sector Público Foral no han sido objeto de este trabajo de fiscalización de regularidad, dado que:</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lastRenderedPageBreak/>
        <w:t xml:space="preserve">Las cuentas anuales de 2014 del Parlamento de Navarra, del Defensor del Pueblo y del Consejo de Navarra han </w:t>
      </w:r>
      <w:r w:rsidR="008D364F">
        <w:rPr>
          <w:rFonts w:cs="Arial"/>
        </w:rPr>
        <w:t xml:space="preserve">sido </w:t>
      </w:r>
      <w:r w:rsidRPr="00846868">
        <w:rPr>
          <w:rFonts w:cs="Arial"/>
        </w:rPr>
        <w:t>fiscalizadas por esta Cámara de Comptos.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Las cuentas anuales de 2014 de la propia Cámara de Comptos han sido </w:t>
      </w:r>
      <w:r w:rsidR="00E47368">
        <w:rPr>
          <w:rFonts w:cs="Arial"/>
        </w:rPr>
        <w:t>a</w:t>
      </w:r>
      <w:r w:rsidR="00E47368">
        <w:rPr>
          <w:rFonts w:cs="Arial"/>
        </w:rPr>
        <w:t>u</w:t>
      </w:r>
      <w:r w:rsidR="00E47368">
        <w:rPr>
          <w:rFonts w:cs="Arial"/>
        </w:rPr>
        <w:t>ditadas</w:t>
      </w:r>
      <w:r w:rsidRPr="00846868">
        <w:rPr>
          <w:rFonts w:cs="Arial"/>
        </w:rPr>
        <w:t xml:space="preserve"> por una firma de auditoría.</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Las cuentas anuales de las sociedades y fundaciones públicas son objeto de auditoría realizada por profesionales externos.</w:t>
      </w:r>
    </w:p>
    <w:p w:rsidR="001B3767" w:rsidRPr="0075285F" w:rsidRDefault="001B3767" w:rsidP="001B3767">
      <w:pPr>
        <w:pStyle w:val="atitulo1"/>
        <w:suppressAutoHyphens/>
        <w:rPr>
          <w:color w:val="auto"/>
        </w:rPr>
      </w:pPr>
      <w:r w:rsidRPr="001639F7">
        <w:rPr>
          <w:highlight w:val="yellow"/>
        </w:rPr>
        <w:br w:type="page"/>
      </w:r>
      <w:bookmarkStart w:id="19" w:name="_Toc434399389"/>
      <w:r w:rsidRPr="0075285F">
        <w:rPr>
          <w:color w:val="auto"/>
        </w:rPr>
        <w:lastRenderedPageBreak/>
        <w:t>V. Opinión</w:t>
      </w:r>
      <w:bookmarkEnd w:id="19"/>
    </w:p>
    <w:p w:rsidR="001B3767" w:rsidRPr="000E2288" w:rsidRDefault="001B3767" w:rsidP="002834DA">
      <w:pPr>
        <w:pStyle w:val="texto"/>
        <w:spacing w:after="180"/>
        <w:rPr>
          <w:lang w:val="es-ES"/>
        </w:rPr>
      </w:pPr>
      <w:r w:rsidRPr="000E2288">
        <w:rPr>
          <w:lang w:val="es-ES"/>
        </w:rPr>
        <w:t xml:space="preserve">Hemos fiscalizado las </w:t>
      </w:r>
      <w:r w:rsidR="00677D5C" w:rsidRPr="000E2288">
        <w:rPr>
          <w:lang w:val="es-ES"/>
        </w:rPr>
        <w:t xml:space="preserve">cuentas </w:t>
      </w:r>
      <w:r w:rsidRPr="000E2288">
        <w:rPr>
          <w:lang w:val="es-ES"/>
        </w:rPr>
        <w:t xml:space="preserve">anuales de la Administración de la Comunidad Foral y sus </w:t>
      </w:r>
      <w:r w:rsidR="00677D5C" w:rsidRPr="000E2288">
        <w:rPr>
          <w:lang w:val="es-ES"/>
        </w:rPr>
        <w:t xml:space="preserve">organismos autónomos </w:t>
      </w:r>
      <w:r w:rsidRPr="000E2288">
        <w:rPr>
          <w:lang w:val="es-ES"/>
        </w:rPr>
        <w:t xml:space="preserve">correspondientes al ejercicio 2014, algunos de cuyos estados contables se recogen en el apartado VI de este informe. </w:t>
      </w:r>
    </w:p>
    <w:p w:rsidR="001B3767" w:rsidRPr="00C6744B" w:rsidRDefault="001B3767" w:rsidP="002834DA">
      <w:pPr>
        <w:pStyle w:val="texto"/>
        <w:spacing w:before="120" w:after="180"/>
        <w:ind w:firstLine="0"/>
        <w:rPr>
          <w:rFonts w:ascii="Arial" w:hAnsi="Arial" w:cs="Arial"/>
          <w:i/>
          <w:sz w:val="24"/>
          <w:lang w:val="es-ES"/>
        </w:rPr>
      </w:pPr>
      <w:r w:rsidRPr="00C6744B">
        <w:rPr>
          <w:rFonts w:ascii="Arial" w:hAnsi="Arial" w:cs="Arial"/>
          <w:i/>
          <w:sz w:val="24"/>
          <w:lang w:val="es-ES"/>
        </w:rPr>
        <w:t xml:space="preserve">Responsabilidad del Gobierno de  Navarra </w:t>
      </w:r>
    </w:p>
    <w:p w:rsidR="00E56FA9" w:rsidRPr="00677D5C" w:rsidRDefault="001B3767" w:rsidP="009852EB">
      <w:pPr>
        <w:pStyle w:val="texto"/>
        <w:spacing w:after="120"/>
        <w:rPr>
          <w:lang w:val="es-ES"/>
        </w:rPr>
      </w:pPr>
      <w:r w:rsidRPr="00677D5C">
        <w:rPr>
          <w:lang w:val="es-ES"/>
        </w:rPr>
        <w:t xml:space="preserve">El Departamento de Economía y Hacienda es el responsable de elaborar las </w:t>
      </w:r>
      <w:r w:rsidR="00677D5C" w:rsidRPr="00677D5C">
        <w:rPr>
          <w:lang w:val="es-ES"/>
        </w:rPr>
        <w:t xml:space="preserve">cuentas </w:t>
      </w:r>
      <w:r w:rsidR="00DB38D2" w:rsidRPr="00677D5C">
        <w:rPr>
          <w:lang w:val="es-ES"/>
        </w:rPr>
        <w:t>anuales</w:t>
      </w:r>
      <w:r w:rsidRPr="00677D5C">
        <w:rPr>
          <w:lang w:val="es-ES"/>
        </w:rPr>
        <w:t xml:space="preserve"> de </w:t>
      </w:r>
      <w:r w:rsidR="00DB38D2" w:rsidRPr="00677D5C">
        <w:rPr>
          <w:lang w:val="es-ES"/>
        </w:rPr>
        <w:t xml:space="preserve">la Administración Foral y sus </w:t>
      </w:r>
      <w:r w:rsidR="00677D5C" w:rsidRPr="00677D5C">
        <w:rPr>
          <w:lang w:val="es-ES"/>
        </w:rPr>
        <w:t>organismos autónomos</w:t>
      </w:r>
      <w:r w:rsidRPr="00677D5C">
        <w:rPr>
          <w:lang w:val="es-ES"/>
        </w:rPr>
        <w:t xml:space="preserve">, </w:t>
      </w:r>
      <w:r w:rsidR="00DB38D2" w:rsidRPr="00677D5C">
        <w:rPr>
          <w:lang w:val="es-ES"/>
        </w:rPr>
        <w:t xml:space="preserve">de forma que expresen la imagen fiel del patrimonio, de la situación financiera, de los resultados y de la ejecución del presupuesto, de </w:t>
      </w:r>
      <w:r w:rsidRPr="00677D5C">
        <w:rPr>
          <w:lang w:val="es-ES"/>
        </w:rPr>
        <w:t xml:space="preserve">conformidad con el marco </w:t>
      </w:r>
      <w:r w:rsidR="00DB38D2" w:rsidRPr="00677D5C">
        <w:rPr>
          <w:lang w:val="es-ES"/>
        </w:rPr>
        <w:t xml:space="preserve">normativo </w:t>
      </w:r>
      <w:r w:rsidRPr="00677D5C">
        <w:rPr>
          <w:lang w:val="es-ES"/>
        </w:rPr>
        <w:t xml:space="preserve">de información financiera </w:t>
      </w:r>
      <w:r w:rsidR="00DB38D2" w:rsidRPr="00677D5C">
        <w:rPr>
          <w:lang w:val="es-ES"/>
        </w:rPr>
        <w:t xml:space="preserve">pública </w:t>
      </w:r>
      <w:r w:rsidRPr="00677D5C">
        <w:rPr>
          <w:lang w:val="es-ES"/>
        </w:rPr>
        <w:t>aplicable</w:t>
      </w:r>
      <w:r w:rsidR="00DB38D2" w:rsidRPr="00677D5C">
        <w:rPr>
          <w:lang w:val="es-ES"/>
        </w:rPr>
        <w:t xml:space="preserve"> y del control interno que considere necesario para permitir la preparación de cuentas anuales libres </w:t>
      </w:r>
      <w:r w:rsidR="00E56FA9" w:rsidRPr="00677D5C">
        <w:rPr>
          <w:lang w:val="es-ES"/>
        </w:rPr>
        <w:t>de incorrecciones materiales debidas a fraude o error.</w:t>
      </w:r>
    </w:p>
    <w:p w:rsidR="00E56FA9" w:rsidRDefault="00E56FA9" w:rsidP="002834DA">
      <w:pPr>
        <w:pStyle w:val="texto"/>
        <w:spacing w:after="180"/>
        <w:rPr>
          <w:lang w:val="es-ES"/>
        </w:rPr>
      </w:pPr>
      <w:r>
        <w:rPr>
          <w:lang w:val="es-ES"/>
        </w:rPr>
        <w:t>El Gobierno de Navarra además deberá garantizar que las actividades, oper</w:t>
      </w:r>
      <w:r>
        <w:rPr>
          <w:lang w:val="es-ES"/>
        </w:rPr>
        <w:t>a</w:t>
      </w:r>
      <w:r>
        <w:rPr>
          <w:lang w:val="es-ES"/>
        </w:rPr>
        <w:t>ciones</w:t>
      </w:r>
      <w:r w:rsidR="000B1768">
        <w:rPr>
          <w:lang w:val="es-ES"/>
        </w:rPr>
        <w:t xml:space="preserve"> presupuestarias y</w:t>
      </w:r>
      <w:r>
        <w:rPr>
          <w:lang w:val="es-ES"/>
        </w:rPr>
        <w:t xml:space="preserve"> financieras y la información reflejada en </w:t>
      </w:r>
      <w:r w:rsidR="000B1768">
        <w:rPr>
          <w:lang w:val="es-ES"/>
        </w:rPr>
        <w:t>las cuentas anuales</w:t>
      </w:r>
      <w:r>
        <w:rPr>
          <w:lang w:val="es-ES"/>
        </w:rPr>
        <w:t xml:space="preserve"> resultan conformes con la normativa </w:t>
      </w:r>
      <w:r w:rsidR="000B1768">
        <w:rPr>
          <w:lang w:val="es-ES"/>
        </w:rPr>
        <w:t xml:space="preserve">aplicable y </w:t>
      </w:r>
      <w:r>
        <w:rPr>
          <w:lang w:val="es-ES"/>
        </w:rPr>
        <w:t>e</w:t>
      </w:r>
      <w:r w:rsidR="000B1768">
        <w:rPr>
          <w:lang w:val="es-ES"/>
        </w:rPr>
        <w:t>stablecer los sistemas de control interno que considere necesarios para dicha finalidad.</w:t>
      </w:r>
    </w:p>
    <w:p w:rsidR="001B3767" w:rsidRPr="00C6744B" w:rsidRDefault="001B3767" w:rsidP="002834DA">
      <w:pPr>
        <w:pStyle w:val="texto"/>
        <w:spacing w:before="120" w:after="180"/>
        <w:ind w:firstLine="0"/>
        <w:rPr>
          <w:rFonts w:ascii="Arial" w:hAnsi="Arial" w:cs="Arial"/>
          <w:i/>
          <w:sz w:val="24"/>
          <w:lang w:val="es-ES"/>
        </w:rPr>
      </w:pPr>
      <w:r w:rsidRPr="00C6744B">
        <w:rPr>
          <w:rFonts w:ascii="Arial" w:hAnsi="Arial" w:cs="Arial"/>
          <w:i/>
          <w:sz w:val="24"/>
          <w:lang w:val="es-ES"/>
        </w:rPr>
        <w:t>Responsabilidad de la Cámara de Comptos de Navarra</w:t>
      </w:r>
    </w:p>
    <w:p w:rsidR="00240FC2" w:rsidRDefault="001B3767" w:rsidP="009852EB">
      <w:pPr>
        <w:pStyle w:val="texto"/>
        <w:spacing w:after="120"/>
        <w:rPr>
          <w:lang w:val="es-ES"/>
        </w:rPr>
      </w:pPr>
      <w:r w:rsidRPr="000E2288">
        <w:rPr>
          <w:lang w:val="es-ES"/>
        </w:rPr>
        <w:t>Nuestra responsabilidad es expresar una opinión sobre la</w:t>
      </w:r>
      <w:r w:rsidR="00DB38D2">
        <w:rPr>
          <w:lang w:val="es-ES"/>
        </w:rPr>
        <w:t>s</w:t>
      </w:r>
      <w:r w:rsidRPr="000E2288">
        <w:rPr>
          <w:lang w:val="es-ES"/>
        </w:rPr>
        <w:t xml:space="preserve"> cuentas anuales </w:t>
      </w:r>
      <w:r w:rsidR="00DB38D2">
        <w:rPr>
          <w:lang w:val="es-ES"/>
        </w:rPr>
        <w:t xml:space="preserve">adjuntas </w:t>
      </w:r>
      <w:r w:rsidRPr="000E2288">
        <w:rPr>
          <w:lang w:val="es-ES"/>
        </w:rPr>
        <w:t xml:space="preserve">y </w:t>
      </w:r>
      <w:r w:rsidR="00240FC2">
        <w:rPr>
          <w:lang w:val="es-ES"/>
        </w:rPr>
        <w:t xml:space="preserve">la legalidad de las operaciones </w:t>
      </w:r>
      <w:r w:rsidR="001841A8">
        <w:rPr>
          <w:lang w:val="es-ES"/>
        </w:rPr>
        <w:t xml:space="preserve">efectuadas </w:t>
      </w:r>
      <w:r w:rsidR="00240FC2">
        <w:rPr>
          <w:lang w:val="es-ES"/>
        </w:rPr>
        <w:t xml:space="preserve">basada en nuestra </w:t>
      </w:r>
      <w:r w:rsidR="000B1768">
        <w:rPr>
          <w:lang w:val="es-ES"/>
        </w:rPr>
        <w:t>fiscal</w:t>
      </w:r>
      <w:r w:rsidR="000B1768">
        <w:rPr>
          <w:lang w:val="es-ES"/>
        </w:rPr>
        <w:t>i</w:t>
      </w:r>
      <w:r w:rsidR="000B1768">
        <w:rPr>
          <w:lang w:val="es-ES"/>
        </w:rPr>
        <w:t>zación</w:t>
      </w:r>
      <w:r w:rsidR="00240FC2">
        <w:rPr>
          <w:lang w:val="es-ES"/>
        </w:rPr>
        <w:t>. Para ello, hemos llevado a cabo la misma de conformidad con los pri</w:t>
      </w:r>
      <w:r w:rsidR="00240FC2">
        <w:rPr>
          <w:lang w:val="es-ES"/>
        </w:rPr>
        <w:t>n</w:t>
      </w:r>
      <w:r w:rsidR="00240FC2">
        <w:rPr>
          <w:lang w:val="es-ES"/>
        </w:rPr>
        <w:t xml:space="preserve">cipios fundamentales de fiscalización de las Instituciones Públicas de Control Externo. Dichos principios exigen que cumplamos </w:t>
      </w:r>
      <w:r w:rsidRPr="000E2288">
        <w:rPr>
          <w:lang w:val="es-ES"/>
        </w:rPr>
        <w:t xml:space="preserve">los requerimientos de ética, así como que planifiquemos y ejecutemos la </w:t>
      </w:r>
      <w:r w:rsidR="000B1768">
        <w:rPr>
          <w:lang w:val="es-ES"/>
        </w:rPr>
        <w:t>auditoría</w:t>
      </w:r>
      <w:r w:rsidR="00240FC2">
        <w:rPr>
          <w:lang w:val="es-ES"/>
        </w:rPr>
        <w:t xml:space="preserve"> </w:t>
      </w:r>
      <w:r w:rsidRPr="000E2288">
        <w:rPr>
          <w:lang w:val="es-ES"/>
        </w:rPr>
        <w:t>con el fin de obtener una seguridad razonable de que las cuentas anuales están libres de incorrecciones materiales y que la</w:t>
      </w:r>
      <w:r w:rsidR="00240FC2">
        <w:rPr>
          <w:lang w:val="es-ES"/>
        </w:rPr>
        <w:t>s actividades, operaciones financieras y la información refl</w:t>
      </w:r>
      <w:r w:rsidR="00240FC2">
        <w:rPr>
          <w:lang w:val="es-ES"/>
        </w:rPr>
        <w:t>e</w:t>
      </w:r>
      <w:r w:rsidR="00240FC2">
        <w:rPr>
          <w:lang w:val="es-ES"/>
        </w:rPr>
        <w:t>jada en los estados financieros result</w:t>
      </w:r>
      <w:r w:rsidR="000B1768">
        <w:rPr>
          <w:lang w:val="es-ES"/>
        </w:rPr>
        <w:t>a</w:t>
      </w:r>
      <w:r w:rsidR="00240FC2">
        <w:rPr>
          <w:lang w:val="es-ES"/>
        </w:rPr>
        <w:t xml:space="preserve">n, en todos los aspectos significativos, conformes con la normativa </w:t>
      </w:r>
      <w:r w:rsidR="000B1768">
        <w:rPr>
          <w:lang w:val="es-ES"/>
        </w:rPr>
        <w:t>aplicable</w:t>
      </w:r>
      <w:r w:rsidR="00240FC2">
        <w:rPr>
          <w:lang w:val="es-ES"/>
        </w:rPr>
        <w:t>.</w:t>
      </w:r>
    </w:p>
    <w:p w:rsidR="001B3767" w:rsidRPr="009852EB" w:rsidRDefault="001B3767" w:rsidP="009852EB">
      <w:pPr>
        <w:pStyle w:val="texto"/>
        <w:spacing w:after="120"/>
        <w:rPr>
          <w:w w:val="98"/>
          <w:lang w:val="es-ES"/>
        </w:rPr>
      </w:pPr>
      <w:r w:rsidRPr="009852EB">
        <w:rPr>
          <w:w w:val="98"/>
          <w:lang w:val="es-ES"/>
        </w:rPr>
        <w:t xml:space="preserve">Una </w:t>
      </w:r>
      <w:r w:rsidR="00DB38D2">
        <w:rPr>
          <w:w w:val="98"/>
          <w:lang w:val="es-ES"/>
        </w:rPr>
        <w:t>auditoría</w:t>
      </w:r>
      <w:r w:rsidR="00240FC2" w:rsidRPr="009852EB">
        <w:rPr>
          <w:w w:val="98"/>
          <w:lang w:val="es-ES"/>
        </w:rPr>
        <w:t xml:space="preserve"> </w:t>
      </w:r>
      <w:r w:rsidRPr="009852EB">
        <w:rPr>
          <w:w w:val="98"/>
          <w:lang w:val="es-ES"/>
        </w:rPr>
        <w:t xml:space="preserve">requiere la aplicación de procedimientos para obtener evidencia sobre los importes y la información </w:t>
      </w:r>
      <w:r w:rsidR="000B1768">
        <w:rPr>
          <w:w w:val="98"/>
          <w:lang w:val="es-ES"/>
        </w:rPr>
        <w:t>revelada</w:t>
      </w:r>
      <w:r w:rsidRPr="009852EB">
        <w:rPr>
          <w:w w:val="98"/>
          <w:lang w:val="es-ES"/>
        </w:rPr>
        <w:t xml:space="preserve"> en las cuentas anuales y sobre la legalidad de las operaciones. Los procedimientos seleccionados dependen del juicio del auditor, incluida la valoración de los riesgos tanto de incorrección m</w:t>
      </w:r>
      <w:r w:rsidRPr="009852EB">
        <w:rPr>
          <w:w w:val="98"/>
          <w:lang w:val="es-ES"/>
        </w:rPr>
        <w:t>a</w:t>
      </w:r>
      <w:r w:rsidRPr="009852EB">
        <w:rPr>
          <w:w w:val="98"/>
          <w:lang w:val="es-ES"/>
        </w:rPr>
        <w:t>terial en las cuentas anuales, debida a fraude o error</w:t>
      </w:r>
      <w:r w:rsidR="000B1768">
        <w:rPr>
          <w:w w:val="98"/>
          <w:lang w:val="es-ES"/>
        </w:rPr>
        <w:t>,</w:t>
      </w:r>
      <w:r w:rsidRPr="009852EB">
        <w:rPr>
          <w:w w:val="98"/>
          <w:lang w:val="es-ES"/>
        </w:rPr>
        <w:t xml:space="preserve"> como de incumplimientos significativos de la legalidad. Al efectuar dichas valoraciones del riesgo, el aud</w:t>
      </w:r>
      <w:r w:rsidRPr="009852EB">
        <w:rPr>
          <w:w w:val="98"/>
          <w:lang w:val="es-ES"/>
        </w:rPr>
        <w:t>i</w:t>
      </w:r>
      <w:r w:rsidRPr="009852EB">
        <w:rPr>
          <w:w w:val="98"/>
          <w:lang w:val="es-ES"/>
        </w:rPr>
        <w:t xml:space="preserve">tor tiene en cuenta el control interno relevante para la formulación </w:t>
      </w:r>
      <w:r w:rsidR="000B1768">
        <w:rPr>
          <w:w w:val="98"/>
          <w:lang w:val="es-ES"/>
        </w:rPr>
        <w:t xml:space="preserve">por parte de la entidad </w:t>
      </w:r>
      <w:r w:rsidRPr="009852EB">
        <w:rPr>
          <w:w w:val="98"/>
          <w:lang w:val="es-ES"/>
        </w:rPr>
        <w:t xml:space="preserve">de </w:t>
      </w:r>
      <w:r w:rsidR="001841A8">
        <w:rPr>
          <w:w w:val="98"/>
          <w:lang w:val="es-ES"/>
        </w:rPr>
        <w:t>las cuentas anuales y para garantizar el cumplimiento de la legalidad</w:t>
      </w:r>
      <w:r w:rsidRPr="009852EB">
        <w:rPr>
          <w:w w:val="98"/>
          <w:lang w:val="es-ES"/>
        </w:rPr>
        <w:t>, con el fin de diseñar los procedimientos de auditoría que sean adecuados en fu</w:t>
      </w:r>
      <w:r w:rsidRPr="009852EB">
        <w:rPr>
          <w:w w:val="98"/>
          <w:lang w:val="es-ES"/>
        </w:rPr>
        <w:t>n</w:t>
      </w:r>
      <w:r w:rsidRPr="009852EB">
        <w:rPr>
          <w:w w:val="98"/>
          <w:lang w:val="es-ES"/>
        </w:rPr>
        <w:t>ción de las circunstancias, y no con la finalidad de expresar una opinión sobre la eficacia del control interno de la entidad. Una auditoría también incluye la ev</w:t>
      </w:r>
      <w:r w:rsidRPr="009852EB">
        <w:rPr>
          <w:w w:val="98"/>
          <w:lang w:val="es-ES"/>
        </w:rPr>
        <w:t>a</w:t>
      </w:r>
      <w:r w:rsidRPr="009852EB">
        <w:rPr>
          <w:w w:val="98"/>
          <w:lang w:val="es-ES"/>
        </w:rPr>
        <w:t xml:space="preserve">luación de la adecuación de las políticas contables aplicadas, de la razonabilidad </w:t>
      </w:r>
      <w:r w:rsidRPr="009852EB">
        <w:rPr>
          <w:w w:val="98"/>
          <w:lang w:val="es-ES"/>
        </w:rPr>
        <w:lastRenderedPageBreak/>
        <w:t>de las estimaciones contables realizadas por los responsables</w:t>
      </w:r>
      <w:r w:rsidR="001841A8">
        <w:rPr>
          <w:w w:val="98"/>
          <w:lang w:val="es-ES"/>
        </w:rPr>
        <w:t>, así como la ev</w:t>
      </w:r>
      <w:r w:rsidR="001841A8">
        <w:rPr>
          <w:w w:val="98"/>
          <w:lang w:val="es-ES"/>
        </w:rPr>
        <w:t>a</w:t>
      </w:r>
      <w:r w:rsidR="001841A8">
        <w:rPr>
          <w:w w:val="98"/>
          <w:lang w:val="es-ES"/>
        </w:rPr>
        <w:t xml:space="preserve">luación </w:t>
      </w:r>
      <w:r w:rsidRPr="009852EB">
        <w:rPr>
          <w:w w:val="98"/>
          <w:lang w:val="es-ES"/>
        </w:rPr>
        <w:t xml:space="preserve">de la presentación </w:t>
      </w:r>
      <w:r w:rsidR="001841A8">
        <w:rPr>
          <w:w w:val="98"/>
          <w:lang w:val="es-ES"/>
        </w:rPr>
        <w:t>de las cuentas anuales tomadas en su conjunto</w:t>
      </w:r>
      <w:r w:rsidRPr="009852EB">
        <w:rPr>
          <w:w w:val="98"/>
          <w:lang w:val="es-ES"/>
        </w:rPr>
        <w:t>.</w:t>
      </w:r>
    </w:p>
    <w:p w:rsidR="001B3767" w:rsidRPr="000E2288" w:rsidRDefault="001B3767" w:rsidP="002834DA">
      <w:pPr>
        <w:pStyle w:val="texto"/>
        <w:rPr>
          <w:lang w:val="es-ES"/>
        </w:rPr>
      </w:pPr>
      <w:r w:rsidRPr="000E2288">
        <w:rPr>
          <w:lang w:val="es-ES"/>
        </w:rPr>
        <w:t xml:space="preserve">Consideramos que la evidencia de auditoría que hemos obtenido proporciona una base suficiente y adecuada </w:t>
      </w:r>
      <w:r w:rsidR="00262859">
        <w:rPr>
          <w:lang w:val="es-ES"/>
        </w:rPr>
        <w:t>para sustentar nuestra opinión</w:t>
      </w:r>
      <w:r w:rsidR="001841A8">
        <w:rPr>
          <w:lang w:val="es-ES"/>
        </w:rPr>
        <w:t xml:space="preserve"> de auditoría f</w:t>
      </w:r>
      <w:r w:rsidR="001841A8">
        <w:rPr>
          <w:lang w:val="es-ES"/>
        </w:rPr>
        <w:t>i</w:t>
      </w:r>
      <w:r w:rsidR="001841A8">
        <w:rPr>
          <w:lang w:val="es-ES"/>
        </w:rPr>
        <w:t>nanciera y de legalidad</w:t>
      </w:r>
      <w:r w:rsidR="00262859">
        <w:rPr>
          <w:lang w:val="es-ES"/>
        </w:rPr>
        <w:t>.</w:t>
      </w:r>
    </w:p>
    <w:p w:rsidR="001B3767" w:rsidRPr="002B59A1" w:rsidRDefault="001B3767" w:rsidP="002A47E2">
      <w:pPr>
        <w:pStyle w:val="atitulo2"/>
        <w:spacing w:before="240" w:after="320"/>
      </w:pPr>
      <w:bookmarkStart w:id="20" w:name="_Toc305415949"/>
      <w:bookmarkStart w:id="21" w:name="_Toc305480467"/>
      <w:bookmarkStart w:id="22" w:name="_Toc434399390"/>
      <w:r w:rsidRPr="002B59A1">
        <w:t xml:space="preserve">V.1. Opinión financiera </w:t>
      </w:r>
      <w:r w:rsidRPr="00637098">
        <w:t xml:space="preserve">sobre las Cuentas </w:t>
      </w:r>
      <w:bookmarkEnd w:id="20"/>
      <w:bookmarkEnd w:id="21"/>
      <w:r w:rsidRPr="00637098">
        <w:t>anuales</w:t>
      </w:r>
      <w:r>
        <w:t xml:space="preserve"> </w:t>
      </w:r>
      <w:r w:rsidRPr="002B59A1">
        <w:t>2014</w:t>
      </w:r>
      <w:r>
        <w:t xml:space="preserve"> de la Admini</w:t>
      </w:r>
      <w:r>
        <w:t>s</w:t>
      </w:r>
      <w:r>
        <w:t>tración Foral y sus Organismos Autónomos</w:t>
      </w:r>
      <w:bookmarkEnd w:id="22"/>
    </w:p>
    <w:p w:rsidR="001B3767" w:rsidRPr="00B81019" w:rsidRDefault="001B3767" w:rsidP="002A47E2">
      <w:pPr>
        <w:pStyle w:val="texto"/>
        <w:spacing w:before="240" w:after="240"/>
        <w:ind w:firstLine="0"/>
        <w:rPr>
          <w:rFonts w:ascii="Arial" w:hAnsi="Arial" w:cs="Arial"/>
          <w:i/>
          <w:sz w:val="24"/>
          <w:lang w:val="es-ES"/>
        </w:rPr>
      </w:pPr>
      <w:r w:rsidRPr="00B81019">
        <w:rPr>
          <w:rFonts w:ascii="Arial" w:hAnsi="Arial" w:cs="Arial"/>
          <w:i/>
          <w:sz w:val="24"/>
          <w:lang w:val="es-ES"/>
        </w:rPr>
        <w:t>Fundamento de la opinión con salvedades</w:t>
      </w:r>
    </w:p>
    <w:p w:rsidR="001B3767" w:rsidRPr="00846868" w:rsidRDefault="001B3767" w:rsidP="002A47E2">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846868">
        <w:rPr>
          <w:rFonts w:cs="Arial"/>
        </w:rPr>
        <w:t>El saldo de inmovilizado material, 2.107,55 millones a 31 de diciembre</w:t>
      </w:r>
      <w:r w:rsidR="003A3F6A">
        <w:rPr>
          <w:rFonts w:cs="Arial"/>
        </w:rPr>
        <w:t>,</w:t>
      </w:r>
      <w:r w:rsidRPr="00846868">
        <w:rPr>
          <w:rFonts w:cs="Arial"/>
        </w:rPr>
        <w:t xml:space="preserve"> no está soportado por el inventario general de bienes y derechos y no incluye la totalidad de los bienes propiedad de la Administración de la Comunidad Foral y sus </w:t>
      </w:r>
      <w:r w:rsidR="003A3F6A" w:rsidRPr="00846868">
        <w:rPr>
          <w:rFonts w:cs="Arial"/>
        </w:rPr>
        <w:t>organismos autónomos</w:t>
      </w:r>
      <w:r w:rsidRPr="00846868">
        <w:rPr>
          <w:rFonts w:cs="Arial"/>
        </w:rPr>
        <w:t>. No existe un inventario valorado de todos los bi</w:t>
      </w:r>
      <w:r w:rsidRPr="00846868">
        <w:rPr>
          <w:rFonts w:cs="Arial"/>
        </w:rPr>
        <w:t>e</w:t>
      </w:r>
      <w:r w:rsidRPr="00846868">
        <w:rPr>
          <w:rFonts w:cs="Arial"/>
        </w:rPr>
        <w:t>nes y derechos propiedad de la Administración Foral.</w:t>
      </w:r>
    </w:p>
    <w:p w:rsidR="001B3767" w:rsidRPr="00846868" w:rsidRDefault="001B3767" w:rsidP="002A47E2">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846868">
        <w:rPr>
          <w:rFonts w:cs="Arial"/>
        </w:rPr>
        <w:t>No se registró en el balance la provisión para las obligaciones futuras de pensiones correspondientes al montepío del personal de la Administración. De acuerdo con el estudio sobre el gasto de pensiones del Gobierno de Navarra, el coste de dichas prestaciones previsto para el periodo 2015-2087 se estima en 2.231,47 millones de euros constantes.</w:t>
      </w:r>
    </w:p>
    <w:p w:rsidR="001B3767" w:rsidRPr="00262859" w:rsidRDefault="001B3767" w:rsidP="002A47E2">
      <w:pPr>
        <w:pStyle w:val="texto"/>
        <w:numPr>
          <w:ilvl w:val="0"/>
          <w:numId w:val="1"/>
        </w:numPr>
        <w:tabs>
          <w:tab w:val="clear" w:pos="1948"/>
          <w:tab w:val="clear" w:pos="2835"/>
          <w:tab w:val="clear" w:pos="3969"/>
          <w:tab w:val="clear" w:pos="5103"/>
          <w:tab w:val="clear" w:pos="6237"/>
          <w:tab w:val="clear" w:pos="7371"/>
          <w:tab w:val="num" w:pos="300"/>
          <w:tab w:val="num" w:pos="360"/>
          <w:tab w:val="left" w:pos="480"/>
        </w:tabs>
        <w:spacing w:after="180"/>
        <w:ind w:left="0" w:firstLine="289"/>
        <w:rPr>
          <w:spacing w:val="2"/>
        </w:rPr>
      </w:pPr>
      <w:r w:rsidRPr="00262859">
        <w:rPr>
          <w:spacing w:val="2"/>
          <w:lang w:val="es-ES"/>
        </w:rPr>
        <w:t>No se ha informado en la memoria sobre las posibles contingencias derivadas de</w:t>
      </w:r>
      <w:r w:rsidR="00840D77">
        <w:rPr>
          <w:spacing w:val="2"/>
          <w:lang w:val="es-ES"/>
        </w:rPr>
        <w:t xml:space="preserve">l recurso de la Administración del Estado ante el Tribunal Supremo, archivado provisionalmente, </w:t>
      </w:r>
      <w:r w:rsidR="00416EC3">
        <w:rPr>
          <w:spacing w:val="2"/>
          <w:lang w:val="es-ES"/>
        </w:rPr>
        <w:t>en relación con</w:t>
      </w:r>
      <w:r w:rsidR="00840D77">
        <w:rPr>
          <w:spacing w:val="2"/>
          <w:lang w:val="es-ES"/>
        </w:rPr>
        <w:t xml:space="preserve"> el conflicto de competencias por la devolución del IVA </w:t>
      </w:r>
      <w:r w:rsidR="00416EC3">
        <w:rPr>
          <w:spacing w:val="2"/>
          <w:lang w:val="es-ES"/>
        </w:rPr>
        <w:t>soportado por una sociedad comercializadora de vehículos fabricados en Navarra.</w:t>
      </w:r>
      <w:r w:rsidRPr="00262859">
        <w:rPr>
          <w:spacing w:val="2"/>
          <w:lang w:val="es-ES"/>
        </w:rPr>
        <w:t xml:space="preserve"> </w:t>
      </w:r>
    </w:p>
    <w:p w:rsidR="001B3767" w:rsidRPr="000E2288" w:rsidRDefault="001B3767" w:rsidP="002A47E2">
      <w:pPr>
        <w:pStyle w:val="texto"/>
        <w:spacing w:after="280"/>
        <w:rPr>
          <w:lang w:val="es-ES"/>
        </w:rPr>
      </w:pPr>
      <w:r w:rsidRPr="000E2288">
        <w:rPr>
          <w:lang w:val="es-ES"/>
        </w:rPr>
        <w:t>En nuestra opinión, excepto por las salvedades anteriores, las cuentas anu</w:t>
      </w:r>
      <w:r w:rsidRPr="000E2288">
        <w:rPr>
          <w:lang w:val="es-ES"/>
        </w:rPr>
        <w:t>a</w:t>
      </w:r>
      <w:r w:rsidRPr="000E2288">
        <w:rPr>
          <w:lang w:val="es-ES"/>
        </w:rPr>
        <w:t xml:space="preserve">les del ejercicio 2014 de la Administración de la Comunidad Foral y sus </w:t>
      </w:r>
      <w:r w:rsidR="003A3F6A" w:rsidRPr="000E2288">
        <w:rPr>
          <w:lang w:val="es-ES"/>
        </w:rPr>
        <w:t>org</w:t>
      </w:r>
      <w:r w:rsidR="003A3F6A" w:rsidRPr="000E2288">
        <w:rPr>
          <w:lang w:val="es-ES"/>
        </w:rPr>
        <w:t>a</w:t>
      </w:r>
      <w:r w:rsidR="003A3F6A" w:rsidRPr="000E2288">
        <w:rPr>
          <w:lang w:val="es-ES"/>
        </w:rPr>
        <w:t xml:space="preserve">nismos autónomos </w:t>
      </w:r>
      <w:r w:rsidRPr="000E2288">
        <w:rPr>
          <w:lang w:val="es-ES"/>
        </w:rPr>
        <w:t>expresan, en todos los aspectos significativos, la imagen fiel del patrimonio, de la liquidación del presupuesto y de la situación financiera de la Administración a 31 de diciembre de 2014, así como del resultado económ</w:t>
      </w:r>
      <w:r w:rsidRPr="000E2288">
        <w:rPr>
          <w:lang w:val="es-ES"/>
        </w:rPr>
        <w:t>i</w:t>
      </w:r>
      <w:r w:rsidRPr="000E2288">
        <w:rPr>
          <w:lang w:val="es-ES"/>
        </w:rPr>
        <w:t>co-patrimonial del ejercicio anual terminado en dicha fecha, de conformidad con el marco normativo de información financiera aplicable y, en particular, con los principios y criterios contables contenidos en el mismo.</w:t>
      </w:r>
    </w:p>
    <w:p w:rsidR="001B3767" w:rsidRPr="00466767" w:rsidRDefault="001B3767" w:rsidP="002834DA">
      <w:pPr>
        <w:pStyle w:val="atitulo2"/>
        <w:spacing w:before="240"/>
      </w:pPr>
      <w:bookmarkStart w:id="23" w:name="_Toc305415950"/>
      <w:bookmarkStart w:id="24" w:name="_Toc305480468"/>
      <w:bookmarkStart w:id="25" w:name="_Toc434399391"/>
      <w:r w:rsidRPr="00466767">
        <w:t>V.2. Opinión sobre cumplimiento</w:t>
      </w:r>
      <w:bookmarkEnd w:id="23"/>
      <w:bookmarkEnd w:id="24"/>
      <w:r w:rsidRPr="00466767">
        <w:t xml:space="preserve"> de legalidad</w:t>
      </w:r>
      <w:bookmarkEnd w:id="25"/>
    </w:p>
    <w:p w:rsidR="001B3767" w:rsidRPr="000E2288" w:rsidRDefault="001B3767" w:rsidP="002A47E2">
      <w:pPr>
        <w:pStyle w:val="texto"/>
        <w:spacing w:after="280"/>
        <w:rPr>
          <w:lang w:val="es-ES"/>
        </w:rPr>
      </w:pPr>
      <w:bookmarkStart w:id="26" w:name="_Toc305415951"/>
      <w:bookmarkStart w:id="27" w:name="_Toc305480469"/>
      <w:r w:rsidRPr="000E2288">
        <w:rPr>
          <w:lang w:val="es-ES"/>
        </w:rPr>
        <w:t>En nuestra opinión, la actividad financiera de la Administración de la Com</w:t>
      </w:r>
      <w:r w:rsidRPr="000E2288">
        <w:rPr>
          <w:lang w:val="es-ES"/>
        </w:rPr>
        <w:t>u</w:t>
      </w:r>
      <w:r w:rsidRPr="000E2288">
        <w:rPr>
          <w:lang w:val="es-ES"/>
        </w:rPr>
        <w:t>nidad Foral y de sus organismos autónomos en el ejercicio de 2014 es confo</w:t>
      </w:r>
      <w:r w:rsidRPr="000E2288">
        <w:rPr>
          <w:lang w:val="es-ES"/>
        </w:rPr>
        <w:t>r</w:t>
      </w:r>
      <w:r w:rsidRPr="000E2288">
        <w:rPr>
          <w:lang w:val="es-ES"/>
        </w:rPr>
        <w:t>me, en todos los aspectos significativos</w:t>
      </w:r>
      <w:r w:rsidR="003A3F6A">
        <w:rPr>
          <w:lang w:val="es-ES"/>
        </w:rPr>
        <w:t>,</w:t>
      </w:r>
      <w:r w:rsidRPr="000E2288">
        <w:rPr>
          <w:lang w:val="es-ES"/>
        </w:rPr>
        <w:t xml:space="preserve"> con la normativa aplicable.</w:t>
      </w:r>
    </w:p>
    <w:p w:rsidR="001B3767" w:rsidRPr="00105425" w:rsidRDefault="001B3767" w:rsidP="002834DA">
      <w:pPr>
        <w:pStyle w:val="atitulo2"/>
        <w:spacing w:before="240"/>
      </w:pPr>
      <w:bookmarkStart w:id="28" w:name="_Toc434399392"/>
      <w:r w:rsidRPr="00105425">
        <w:lastRenderedPageBreak/>
        <w:t>V.3. Situación económico-financiera</w:t>
      </w:r>
      <w:bookmarkEnd w:id="26"/>
      <w:bookmarkEnd w:id="27"/>
      <w:r w:rsidRPr="00105425">
        <w:t xml:space="preserve"> a 31 de diciembre de 2014</w:t>
      </w:r>
      <w:bookmarkEnd w:id="28"/>
    </w:p>
    <w:p w:rsidR="001B3767" w:rsidRPr="000E2288" w:rsidRDefault="001B3767" w:rsidP="001B3767">
      <w:pPr>
        <w:pStyle w:val="texto"/>
        <w:rPr>
          <w:lang w:val="es-ES"/>
        </w:rPr>
      </w:pPr>
      <w:r w:rsidRPr="000E2288">
        <w:rPr>
          <w:lang w:val="es-ES"/>
        </w:rPr>
        <w:t>Las obligaciones reconocidas en 2014 ascendieron a 3.803,56 millones y los derechos reconocidos netos en dicho ejercicio fueron de 3.855,98 millones de euros.</w:t>
      </w:r>
    </w:p>
    <w:p w:rsidR="001B3767" w:rsidRPr="000E2288" w:rsidRDefault="001B3767" w:rsidP="006F3C4F">
      <w:pPr>
        <w:pStyle w:val="texto"/>
        <w:rPr>
          <w:lang w:val="es-ES"/>
        </w:rPr>
      </w:pPr>
      <w:r w:rsidRPr="000E2288">
        <w:rPr>
          <w:lang w:val="es-ES"/>
        </w:rPr>
        <w:t>A continuación se presentan una serie de indicadores sobre la situación f</w:t>
      </w:r>
      <w:r w:rsidRPr="000E2288">
        <w:rPr>
          <w:lang w:val="es-ES"/>
        </w:rPr>
        <w:t>i</w:t>
      </w:r>
      <w:r w:rsidRPr="000E2288">
        <w:rPr>
          <w:lang w:val="es-ES"/>
        </w:rPr>
        <w:t xml:space="preserve">nanciera de 2014 –y su comparación con 2013– de la Administración de la Comunidad Foral y sus </w:t>
      </w:r>
      <w:r w:rsidR="00351AAA" w:rsidRPr="000E2288">
        <w:rPr>
          <w:lang w:val="es-ES"/>
        </w:rPr>
        <w:t>organismos autónomos</w:t>
      </w:r>
      <w:r w:rsidRPr="000E2288">
        <w:rPr>
          <w:lang w:val="es-ES"/>
        </w:rPr>
        <w:t>.</w:t>
      </w:r>
    </w:p>
    <w:p w:rsidR="001B3767" w:rsidRPr="00207E18" w:rsidRDefault="006B7817" w:rsidP="006B7817">
      <w:pPr>
        <w:pStyle w:val="texto"/>
        <w:spacing w:after="20"/>
        <w:ind w:right="-1556"/>
        <w:jc w:val="center"/>
        <w:rPr>
          <w:rFonts w:ascii="Arial Narrow" w:hAnsi="Arial Narrow"/>
          <w:spacing w:val="-3"/>
          <w:sz w:val="20"/>
          <w:szCs w:val="20"/>
        </w:rPr>
      </w:pPr>
      <w:r>
        <w:rPr>
          <w:rFonts w:ascii="Arial Narrow" w:hAnsi="Arial Narrow"/>
          <w:spacing w:val="-3"/>
          <w:sz w:val="20"/>
          <w:szCs w:val="20"/>
        </w:rPr>
        <w:tab/>
      </w:r>
      <w:r>
        <w:rPr>
          <w:rFonts w:ascii="Arial Narrow" w:hAnsi="Arial Narrow"/>
          <w:spacing w:val="-3"/>
          <w:sz w:val="20"/>
          <w:szCs w:val="20"/>
        </w:rPr>
        <w:tab/>
      </w:r>
      <w:r>
        <w:rPr>
          <w:rFonts w:ascii="Arial Narrow" w:hAnsi="Arial Narrow"/>
          <w:spacing w:val="-3"/>
          <w:sz w:val="20"/>
          <w:szCs w:val="20"/>
        </w:rPr>
        <w:tab/>
      </w:r>
      <w:r>
        <w:rPr>
          <w:rFonts w:ascii="Arial Narrow" w:hAnsi="Arial Narrow"/>
          <w:spacing w:val="-3"/>
          <w:sz w:val="20"/>
          <w:szCs w:val="20"/>
        </w:rPr>
        <w:tab/>
      </w:r>
      <w:r w:rsidR="00E05116" w:rsidRPr="00E05116">
        <w:rPr>
          <w:rFonts w:ascii="Arial" w:hAnsi="Arial" w:cs="Arial"/>
          <w:sz w:val="16"/>
          <w:szCs w:val="16"/>
          <w:lang w:val="es-ES" w:eastAsia="es-ES"/>
        </w:rPr>
        <w:t>(</w:t>
      </w:r>
      <w:proofErr w:type="gramStart"/>
      <w:r w:rsidR="00911231" w:rsidRPr="00E05116">
        <w:rPr>
          <w:rFonts w:ascii="Arial" w:hAnsi="Arial" w:cs="Arial"/>
          <w:sz w:val="16"/>
          <w:szCs w:val="16"/>
          <w:lang w:val="es-ES" w:eastAsia="es-ES"/>
        </w:rPr>
        <w:t>millones</w:t>
      </w:r>
      <w:proofErr w:type="gramEnd"/>
      <w:r w:rsidR="00911231" w:rsidRPr="00E05116">
        <w:rPr>
          <w:rFonts w:ascii="Arial" w:hAnsi="Arial" w:cs="Arial"/>
          <w:sz w:val="16"/>
          <w:szCs w:val="16"/>
          <w:lang w:val="es-ES" w:eastAsia="es-ES"/>
        </w:rPr>
        <w:t xml:space="preserve"> </w:t>
      </w:r>
      <w:r w:rsidR="00E05116" w:rsidRPr="00E05116">
        <w:rPr>
          <w:rFonts w:ascii="Arial" w:hAnsi="Arial" w:cs="Arial"/>
          <w:sz w:val="16"/>
          <w:szCs w:val="16"/>
          <w:lang w:val="es-ES" w:eastAsia="es-ES"/>
        </w:rPr>
        <w:t>de euros)</w:t>
      </w:r>
    </w:p>
    <w:tbl>
      <w:tblPr>
        <w:tblW w:w="8819" w:type="dxa"/>
        <w:jc w:val="center"/>
        <w:tblCellMar>
          <w:left w:w="70" w:type="dxa"/>
          <w:right w:w="70" w:type="dxa"/>
        </w:tblCellMar>
        <w:tblLook w:val="0000" w:firstRow="0" w:lastRow="0" w:firstColumn="0" w:lastColumn="0" w:noHBand="0" w:noVBand="0"/>
      </w:tblPr>
      <w:tblGrid>
        <w:gridCol w:w="4200"/>
        <w:gridCol w:w="1440"/>
        <w:gridCol w:w="1289"/>
        <w:gridCol w:w="1890"/>
      </w:tblGrid>
      <w:tr w:rsidR="001B3767" w:rsidRPr="00F77B0C" w:rsidTr="007468C5">
        <w:trPr>
          <w:trHeight w:hRule="exact" w:val="255"/>
          <w:jc w:val="center"/>
        </w:trPr>
        <w:tc>
          <w:tcPr>
            <w:tcW w:w="4200" w:type="dxa"/>
            <w:tcBorders>
              <w:top w:val="single" w:sz="4" w:space="0" w:color="auto"/>
              <w:left w:val="nil"/>
              <w:bottom w:val="single" w:sz="4" w:space="0" w:color="auto"/>
              <w:right w:val="nil"/>
            </w:tcBorders>
            <w:shd w:val="clear" w:color="auto" w:fill="8DB3E2" w:themeFill="text2" w:themeFillTint="66"/>
            <w:noWrap/>
            <w:vAlign w:val="center"/>
          </w:tcPr>
          <w:p w:rsidR="001B3767" w:rsidRPr="00F77B0C" w:rsidRDefault="001B3767" w:rsidP="004B6B4B">
            <w:pPr>
              <w:pStyle w:val="cuadroCabe"/>
              <w:jc w:val="left"/>
            </w:pPr>
            <w:r w:rsidRPr="00F77B0C">
              <w:t xml:space="preserve">Indicador </w:t>
            </w:r>
          </w:p>
        </w:tc>
        <w:tc>
          <w:tcPr>
            <w:tcW w:w="1440" w:type="dxa"/>
            <w:tcBorders>
              <w:top w:val="single" w:sz="4" w:space="0" w:color="auto"/>
              <w:left w:val="nil"/>
              <w:bottom w:val="single" w:sz="4" w:space="0" w:color="auto"/>
              <w:right w:val="nil"/>
            </w:tcBorders>
            <w:shd w:val="clear" w:color="auto" w:fill="8DB3E2" w:themeFill="text2" w:themeFillTint="66"/>
            <w:noWrap/>
            <w:vAlign w:val="center"/>
          </w:tcPr>
          <w:p w:rsidR="001B3767" w:rsidRPr="00F77B0C" w:rsidRDefault="001B3767" w:rsidP="004B6B4B">
            <w:pPr>
              <w:pStyle w:val="cuadroCabe"/>
              <w:jc w:val="right"/>
            </w:pPr>
            <w:r w:rsidRPr="00F77B0C">
              <w:t>2013</w:t>
            </w:r>
          </w:p>
        </w:tc>
        <w:tc>
          <w:tcPr>
            <w:tcW w:w="1289" w:type="dxa"/>
            <w:tcBorders>
              <w:top w:val="single" w:sz="4" w:space="0" w:color="auto"/>
              <w:left w:val="nil"/>
              <w:bottom w:val="single" w:sz="4" w:space="0" w:color="auto"/>
              <w:right w:val="nil"/>
            </w:tcBorders>
            <w:shd w:val="clear" w:color="auto" w:fill="8DB3E2" w:themeFill="text2" w:themeFillTint="66"/>
            <w:vAlign w:val="center"/>
          </w:tcPr>
          <w:p w:rsidR="001B3767" w:rsidRPr="00F77B0C" w:rsidRDefault="001B3767" w:rsidP="004B6B4B">
            <w:pPr>
              <w:pStyle w:val="cuadroCabe"/>
              <w:jc w:val="right"/>
              <w:rPr>
                <w:sz w:val="17"/>
                <w:szCs w:val="17"/>
              </w:rPr>
            </w:pPr>
            <w:r w:rsidRPr="00F77B0C">
              <w:rPr>
                <w:sz w:val="17"/>
                <w:szCs w:val="17"/>
              </w:rPr>
              <w:t>2014</w:t>
            </w:r>
          </w:p>
        </w:tc>
        <w:tc>
          <w:tcPr>
            <w:tcW w:w="1890" w:type="dxa"/>
            <w:tcBorders>
              <w:top w:val="single" w:sz="4" w:space="0" w:color="auto"/>
              <w:left w:val="nil"/>
              <w:bottom w:val="single" w:sz="4" w:space="0" w:color="auto"/>
              <w:right w:val="nil"/>
            </w:tcBorders>
            <w:shd w:val="clear" w:color="auto" w:fill="8DB3E2" w:themeFill="text2" w:themeFillTint="66"/>
            <w:noWrap/>
            <w:vAlign w:val="center"/>
          </w:tcPr>
          <w:p w:rsidR="001B3767" w:rsidRPr="00F77B0C" w:rsidRDefault="001B3767" w:rsidP="004B6B4B">
            <w:pPr>
              <w:pStyle w:val="cuadroCabe"/>
              <w:jc w:val="right"/>
              <w:rPr>
                <w:sz w:val="17"/>
                <w:szCs w:val="17"/>
              </w:rPr>
            </w:pPr>
            <w:proofErr w:type="spellStart"/>
            <w:r w:rsidRPr="00F77B0C">
              <w:rPr>
                <w:sz w:val="17"/>
                <w:szCs w:val="17"/>
              </w:rPr>
              <w:t>Porcent</w:t>
            </w:r>
            <w:proofErr w:type="spellEnd"/>
            <w:r w:rsidRPr="00F77B0C">
              <w:rPr>
                <w:sz w:val="17"/>
                <w:szCs w:val="17"/>
              </w:rPr>
              <w:t>. variación</w:t>
            </w:r>
          </w:p>
        </w:tc>
      </w:tr>
      <w:tr w:rsidR="001B3767" w:rsidRPr="004B6B4B" w:rsidTr="006F3C4F">
        <w:trPr>
          <w:trHeight w:hRule="exact" w:val="227"/>
          <w:jc w:val="center"/>
        </w:trPr>
        <w:tc>
          <w:tcPr>
            <w:tcW w:w="4200" w:type="dxa"/>
            <w:tcBorders>
              <w:top w:val="single" w:sz="4"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Ingreso total</w:t>
            </w:r>
          </w:p>
        </w:tc>
        <w:tc>
          <w:tcPr>
            <w:tcW w:w="1440" w:type="dxa"/>
            <w:tcBorders>
              <w:top w:val="single" w:sz="4"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3.732,53</w:t>
            </w:r>
          </w:p>
        </w:tc>
        <w:tc>
          <w:tcPr>
            <w:tcW w:w="1289" w:type="dxa"/>
            <w:tcBorders>
              <w:top w:val="single" w:sz="4"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3.855,98</w:t>
            </w:r>
          </w:p>
        </w:tc>
        <w:tc>
          <w:tcPr>
            <w:tcW w:w="1890" w:type="dxa"/>
            <w:tcBorders>
              <w:top w:val="single" w:sz="4"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3,31</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 xml:space="preserve">Gasto total </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3.679,62</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3.803,56</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3,37</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226C94" w:rsidP="004B6B4B">
            <w:pPr>
              <w:pStyle w:val="cuatexto"/>
              <w:jc w:val="left"/>
              <w:rPr>
                <w:szCs w:val="20"/>
              </w:rPr>
            </w:pPr>
            <w:r>
              <w:rPr>
                <w:szCs w:val="20"/>
              </w:rPr>
              <w:t>Saldo</w:t>
            </w:r>
            <w:r w:rsidR="001B3767" w:rsidRPr="004B6B4B">
              <w:rPr>
                <w:szCs w:val="20"/>
              </w:rPr>
              <w:t xml:space="preserve"> presupuestario ajustado</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67,66</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71,61</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5,84</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Ingresos corrientes (cap.1 a 5)</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3.140,38</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3.200,08</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1,90</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Ingresos tributarios (cap.1 a 3)</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2.956,57</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3.028,67</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2,44</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Gastos de funcionamiento (cap. 1,2 y 4)</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3.006,69</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3.031,08</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0,81</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Ahorro Bruto</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133,69</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169,00</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26,42</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Carga financiera (cap.3 y 9)</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300,54</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401,48</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33,59</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Ahorro neto</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-166,85</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-232,47</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841A8" w:rsidP="004B6B4B">
            <w:pPr>
              <w:pStyle w:val="cuatexto"/>
              <w:jc w:val="right"/>
              <w:rPr>
                <w:szCs w:val="20"/>
              </w:rPr>
            </w:pPr>
            <w:r>
              <w:rPr>
                <w:szCs w:val="20"/>
              </w:rPr>
              <w:t>-</w:t>
            </w:r>
            <w:r w:rsidR="001B3767" w:rsidRPr="004B6B4B">
              <w:rPr>
                <w:szCs w:val="20"/>
              </w:rPr>
              <w:t>39,33</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Ingresos de capital (cap.6 y 7)</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24,28</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49,61</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104,36</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Gastos de capital (cap. 6 y 7)</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269,15</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217,90</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-19,04</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Resultado de operaciones de capital</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-244,87</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-168,29</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31</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Gastos operaciones financieras (cap. 8 y 9)</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296,45</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449,64</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51,67</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Ingresos operaciones financieras (cap.8 y 9)</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567,88</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606,29</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6,76</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Porcentaje Nivel de endeudamiento</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9,57%</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12,55%</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31,09</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Deuda de la Administración</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2.501,60</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2.697,88</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7,85</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 xml:space="preserve">Avales constituidos </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157,81</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149.59</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-5,21</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Remanente de tesorería total</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-135,78</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-113,28</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16,57</w:t>
            </w:r>
          </w:p>
        </w:tc>
      </w:tr>
      <w:tr w:rsidR="001B3767" w:rsidRPr="004B6B4B" w:rsidTr="006F3C4F">
        <w:trPr>
          <w:trHeight w:hRule="exact" w:val="227"/>
          <w:jc w:val="center"/>
        </w:trPr>
        <w:tc>
          <w:tcPr>
            <w:tcW w:w="420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left"/>
              <w:rPr>
                <w:szCs w:val="20"/>
              </w:rPr>
            </w:pPr>
            <w:r w:rsidRPr="004B6B4B">
              <w:rPr>
                <w:szCs w:val="20"/>
              </w:rPr>
              <w:t>Remanente de Tesorería para Gastos Generales</w:t>
            </w:r>
          </w:p>
        </w:tc>
        <w:tc>
          <w:tcPr>
            <w:tcW w:w="144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-221,19</w:t>
            </w:r>
          </w:p>
        </w:tc>
        <w:tc>
          <w:tcPr>
            <w:tcW w:w="1289" w:type="dxa"/>
            <w:tcBorders>
              <w:top w:val="single" w:sz="2" w:space="0" w:color="auto"/>
              <w:left w:val="nil"/>
              <w:bottom w:val="single" w:sz="2" w:space="0" w:color="auto"/>
              <w:right w:val="nil"/>
            </w:tcBorders>
            <w:vAlign w:val="center"/>
          </w:tcPr>
          <w:p w:rsidR="001B3767" w:rsidRPr="004B6B4B" w:rsidRDefault="001B3767" w:rsidP="004B6B4B">
            <w:pPr>
              <w:pStyle w:val="cuatexto"/>
              <w:jc w:val="right"/>
              <w:rPr>
                <w:szCs w:val="20"/>
              </w:rPr>
            </w:pPr>
            <w:r w:rsidRPr="004B6B4B">
              <w:rPr>
                <w:szCs w:val="20"/>
              </w:rPr>
              <w:t>-184,09</w:t>
            </w:r>
          </w:p>
        </w:tc>
        <w:tc>
          <w:tcPr>
            <w:tcW w:w="1890" w:type="dxa"/>
            <w:tcBorders>
              <w:top w:val="single" w:sz="2" w:space="0" w:color="auto"/>
              <w:left w:val="nil"/>
              <w:bottom w:val="single" w:sz="2" w:space="0" w:color="auto"/>
              <w:right w:val="nil"/>
            </w:tcBorders>
            <w:shd w:val="clear" w:color="auto" w:fill="auto"/>
            <w:noWrap/>
            <w:vAlign w:val="center"/>
          </w:tcPr>
          <w:p w:rsidR="001B3767" w:rsidRPr="004B6B4B" w:rsidRDefault="001B3767" w:rsidP="004B6B4B">
            <w:pPr>
              <w:pStyle w:val="cuatexto"/>
              <w:jc w:val="right"/>
              <w:rPr>
                <w:szCs w:val="20"/>
              </w:rPr>
            </w:pPr>
            <w:r w:rsidRPr="004B6B4B">
              <w:rPr>
                <w:szCs w:val="20"/>
              </w:rPr>
              <w:t>16,77</w:t>
            </w:r>
          </w:p>
        </w:tc>
      </w:tr>
      <w:tr w:rsidR="00416EC3" w:rsidRPr="004B6B4B" w:rsidTr="006F3C4F">
        <w:trPr>
          <w:trHeight w:hRule="exact" w:val="227"/>
          <w:jc w:val="center"/>
        </w:trPr>
        <w:tc>
          <w:tcPr>
            <w:tcW w:w="4200" w:type="dxa"/>
            <w:tcBorders>
              <w:top w:val="single" w:sz="2" w:space="0" w:color="auto"/>
              <w:left w:val="nil"/>
              <w:bottom w:val="single" w:sz="4" w:space="0" w:color="auto"/>
              <w:right w:val="nil"/>
            </w:tcBorders>
            <w:shd w:val="clear" w:color="auto" w:fill="auto"/>
            <w:noWrap/>
            <w:vAlign w:val="center"/>
          </w:tcPr>
          <w:p w:rsidR="00416EC3" w:rsidRPr="004B6B4B" w:rsidRDefault="004905E7" w:rsidP="004905E7">
            <w:pPr>
              <w:pStyle w:val="cuatexto"/>
              <w:jc w:val="left"/>
              <w:rPr>
                <w:szCs w:val="20"/>
              </w:rPr>
            </w:pPr>
            <w:r>
              <w:rPr>
                <w:szCs w:val="20"/>
              </w:rPr>
              <w:t xml:space="preserve">Patrimonio neto </w:t>
            </w:r>
          </w:p>
        </w:tc>
        <w:tc>
          <w:tcPr>
            <w:tcW w:w="1440" w:type="dxa"/>
            <w:tcBorders>
              <w:top w:val="single" w:sz="2" w:space="0" w:color="auto"/>
              <w:left w:val="nil"/>
              <w:bottom w:val="single" w:sz="4" w:space="0" w:color="auto"/>
              <w:right w:val="nil"/>
            </w:tcBorders>
            <w:shd w:val="clear" w:color="auto" w:fill="auto"/>
            <w:noWrap/>
            <w:vAlign w:val="center"/>
          </w:tcPr>
          <w:p w:rsidR="00416EC3" w:rsidRPr="004B6B4B" w:rsidRDefault="004905E7" w:rsidP="004B6B4B">
            <w:pPr>
              <w:pStyle w:val="cuatexto"/>
              <w:jc w:val="right"/>
              <w:rPr>
                <w:szCs w:val="20"/>
              </w:rPr>
            </w:pPr>
            <w:r>
              <w:rPr>
                <w:szCs w:val="20"/>
              </w:rPr>
              <w:t>-10,91</w:t>
            </w:r>
          </w:p>
        </w:tc>
        <w:tc>
          <w:tcPr>
            <w:tcW w:w="1289" w:type="dxa"/>
            <w:tcBorders>
              <w:top w:val="single" w:sz="2" w:space="0" w:color="auto"/>
              <w:left w:val="nil"/>
              <w:bottom w:val="single" w:sz="4" w:space="0" w:color="auto"/>
              <w:right w:val="nil"/>
            </w:tcBorders>
            <w:vAlign w:val="center"/>
          </w:tcPr>
          <w:p w:rsidR="00416EC3" w:rsidRPr="004B6B4B" w:rsidRDefault="004905E7" w:rsidP="004B6B4B">
            <w:pPr>
              <w:pStyle w:val="cuatexto"/>
              <w:jc w:val="right"/>
              <w:rPr>
                <w:szCs w:val="20"/>
              </w:rPr>
            </w:pPr>
            <w:r>
              <w:rPr>
                <w:szCs w:val="20"/>
              </w:rPr>
              <w:t>-97,86</w:t>
            </w:r>
          </w:p>
        </w:tc>
        <w:tc>
          <w:tcPr>
            <w:tcW w:w="1890" w:type="dxa"/>
            <w:tcBorders>
              <w:top w:val="single" w:sz="2" w:space="0" w:color="auto"/>
              <w:left w:val="nil"/>
              <w:bottom w:val="single" w:sz="4" w:space="0" w:color="auto"/>
              <w:right w:val="nil"/>
            </w:tcBorders>
            <w:shd w:val="clear" w:color="auto" w:fill="auto"/>
            <w:noWrap/>
            <w:vAlign w:val="center"/>
          </w:tcPr>
          <w:p w:rsidR="00416EC3" w:rsidRPr="004B6B4B" w:rsidRDefault="004905E7" w:rsidP="004B6B4B">
            <w:pPr>
              <w:pStyle w:val="cuatexto"/>
              <w:jc w:val="right"/>
              <w:rPr>
                <w:szCs w:val="20"/>
              </w:rPr>
            </w:pPr>
            <w:r>
              <w:rPr>
                <w:szCs w:val="20"/>
              </w:rPr>
              <w:t>-796,76</w:t>
            </w:r>
          </w:p>
        </w:tc>
      </w:tr>
    </w:tbl>
    <w:p w:rsidR="001B3767" w:rsidRPr="00846868"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spacing w:before="240"/>
        <w:ind w:left="0" w:firstLine="289"/>
        <w:rPr>
          <w:rFonts w:cs="Arial"/>
        </w:rPr>
      </w:pPr>
      <w:r w:rsidRPr="00846868">
        <w:rPr>
          <w:rFonts w:cs="Arial"/>
        </w:rPr>
        <w:t xml:space="preserve">El </w:t>
      </w:r>
      <w:r w:rsidR="00226C94">
        <w:rPr>
          <w:rFonts w:cs="Arial"/>
        </w:rPr>
        <w:t>saldo</w:t>
      </w:r>
      <w:r w:rsidRPr="00846868">
        <w:rPr>
          <w:rFonts w:cs="Arial"/>
        </w:rPr>
        <w:t xml:space="preserve"> presupuestario ajustado resultante de la ejecución del presupuesto de 2014 ascendió a 71,61 millones de euros, y se originó por las operaciones de endeudamiento concertadas en el ejercicio, dado que tanto el </w:t>
      </w:r>
      <w:r w:rsidR="00226C94">
        <w:rPr>
          <w:rFonts w:cs="Arial"/>
        </w:rPr>
        <w:t xml:space="preserve">ahorro neto </w:t>
      </w:r>
      <w:r w:rsidRPr="00846868">
        <w:rPr>
          <w:rFonts w:cs="Arial"/>
        </w:rPr>
        <w:t xml:space="preserve">como </w:t>
      </w:r>
      <w:r w:rsidR="00226C94">
        <w:rPr>
          <w:rFonts w:cs="Arial"/>
        </w:rPr>
        <w:t xml:space="preserve">el resultado </w:t>
      </w:r>
      <w:r w:rsidRPr="00846868">
        <w:rPr>
          <w:rFonts w:cs="Arial"/>
        </w:rPr>
        <w:t>de capital fueron negativos.</w:t>
      </w:r>
    </w:p>
    <w:p w:rsidR="001B3767"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cs="Arial"/>
        </w:rPr>
      </w:pPr>
      <w:r w:rsidRPr="00846868">
        <w:rPr>
          <w:rFonts w:cs="Arial"/>
        </w:rPr>
        <w:t>Durante el ejercicio 2014 se generó un ahorro bruto de 169 millones de e</w:t>
      </w:r>
      <w:r w:rsidRPr="00846868">
        <w:rPr>
          <w:rFonts w:cs="Arial"/>
        </w:rPr>
        <w:t>u</w:t>
      </w:r>
      <w:r w:rsidRPr="00846868">
        <w:rPr>
          <w:rFonts w:cs="Arial"/>
        </w:rPr>
        <w:t xml:space="preserve">ros, una vez atendidos los gastos de funcionamiento con ingresos corrientes. Este ahorro no fue suficiente para atender la carga financiera </w:t>
      </w:r>
      <w:r w:rsidR="00866068">
        <w:rPr>
          <w:rFonts w:cs="Arial"/>
        </w:rPr>
        <w:t>del endeudamie</w:t>
      </w:r>
      <w:r w:rsidR="00866068">
        <w:rPr>
          <w:rFonts w:cs="Arial"/>
        </w:rPr>
        <w:t>n</w:t>
      </w:r>
      <w:r w:rsidR="00866068">
        <w:rPr>
          <w:rFonts w:cs="Arial"/>
        </w:rPr>
        <w:t>to</w:t>
      </w:r>
      <w:r w:rsidR="00351AAA">
        <w:rPr>
          <w:rFonts w:cs="Arial"/>
        </w:rPr>
        <w:t>,</w:t>
      </w:r>
      <w:r w:rsidRPr="00846868">
        <w:rPr>
          <w:rFonts w:cs="Arial"/>
        </w:rPr>
        <w:t xml:space="preserve"> que ascendió a 401,48 millones euros</w:t>
      </w:r>
      <w:r w:rsidR="00351AAA">
        <w:rPr>
          <w:rFonts w:cs="Arial"/>
        </w:rPr>
        <w:t>,</w:t>
      </w:r>
      <w:r w:rsidRPr="00846868">
        <w:rPr>
          <w:rFonts w:cs="Arial"/>
        </w:rPr>
        <w:t xml:space="preserve"> y que representa un nivel de ende</w:t>
      </w:r>
      <w:r w:rsidRPr="00846868">
        <w:rPr>
          <w:rFonts w:cs="Arial"/>
        </w:rPr>
        <w:t>u</w:t>
      </w:r>
      <w:r w:rsidRPr="00846868">
        <w:rPr>
          <w:rFonts w:cs="Arial"/>
        </w:rPr>
        <w:t xml:space="preserve">damiento del 12,55 por ciento de los ingresos corrientes. En estos dos últimos ejercicios no se han generado ingresos </w:t>
      </w:r>
      <w:r w:rsidR="00226C94">
        <w:rPr>
          <w:rFonts w:cs="Arial"/>
        </w:rPr>
        <w:t xml:space="preserve">corrientes </w:t>
      </w:r>
      <w:r w:rsidRPr="00846868">
        <w:rPr>
          <w:rFonts w:cs="Arial"/>
        </w:rPr>
        <w:t>para atender la carga financi</w:t>
      </w:r>
      <w:r w:rsidRPr="00846868">
        <w:rPr>
          <w:rFonts w:cs="Arial"/>
        </w:rPr>
        <w:t>e</w:t>
      </w:r>
      <w:r w:rsidRPr="00846868">
        <w:rPr>
          <w:rFonts w:cs="Arial"/>
        </w:rPr>
        <w:t>ra, que se financia con nuevas emisiones.</w:t>
      </w:r>
    </w:p>
    <w:p w:rsidR="00226C94" w:rsidRDefault="00226C94"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 xml:space="preserve">La carga financiera </w:t>
      </w:r>
      <w:r w:rsidR="00866068">
        <w:rPr>
          <w:rFonts w:cs="Arial"/>
        </w:rPr>
        <w:t xml:space="preserve">devengada en </w:t>
      </w:r>
      <w:r>
        <w:rPr>
          <w:rFonts w:cs="Arial"/>
        </w:rPr>
        <w:t>2014 fue de 401,48 millones de euros, de la cual 296,</w:t>
      </w:r>
      <w:r w:rsidR="00226C11">
        <w:rPr>
          <w:rFonts w:cs="Arial"/>
        </w:rPr>
        <w:t>53 millones corresponden a amortización y 104,95 millones a i</w:t>
      </w:r>
      <w:r w:rsidR="00226C11">
        <w:rPr>
          <w:rFonts w:cs="Arial"/>
        </w:rPr>
        <w:t>n</w:t>
      </w:r>
      <w:r w:rsidR="00226C11">
        <w:rPr>
          <w:rFonts w:cs="Arial"/>
        </w:rPr>
        <w:t>tereses. Se observa un aumento de un 34 por ciento de la carga financiera de 2013 a 2014, aumento debido al gasto de amortización dado que los intereses</w:t>
      </w:r>
      <w:r w:rsidR="00866068">
        <w:rPr>
          <w:rFonts w:cs="Arial"/>
        </w:rPr>
        <w:t xml:space="preserve"> disminuyeron.</w:t>
      </w:r>
    </w:p>
    <w:p w:rsidR="00866068" w:rsidRDefault="00866068"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lastRenderedPageBreak/>
        <w:t>El endeudamiento a 31 de diciembre de 2014 ascendía a 2.697,88 millones de euros, 196,25 millones superior a la existente en 2013. Presenta un tipo de interés medio del 4,02 por ciento. El tipo de interés medio del endeudamiento concertado en 2014 fue del 3,29 por ciento.</w:t>
      </w:r>
    </w:p>
    <w:p w:rsidR="001B3767" w:rsidRPr="00846868" w:rsidRDefault="001B3767" w:rsidP="006F3C4F">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En 2014, el remanente de tesorería para gastos generales es negativo en 184,09 millones, lo cual indica que la Administración no generó recursos líqu</w:t>
      </w:r>
      <w:r w:rsidRPr="00846868">
        <w:rPr>
          <w:rFonts w:cs="Arial"/>
        </w:rPr>
        <w:t>i</w:t>
      </w:r>
      <w:r w:rsidRPr="00846868">
        <w:rPr>
          <w:rFonts w:cs="Arial"/>
        </w:rPr>
        <w:t>dos para financiar gastos en el ejercicio siguiente.</w:t>
      </w:r>
      <w:r w:rsidR="00DF6851">
        <w:rPr>
          <w:rFonts w:cs="Arial"/>
        </w:rPr>
        <w:t xml:space="preserve"> Es destacable el incremento de 37,1 millones de euros que tuvo en el año 2014 el remanente de tesorería p</w:t>
      </w:r>
      <w:r w:rsidR="00DF6851">
        <w:rPr>
          <w:rFonts w:cs="Arial"/>
        </w:rPr>
        <w:t>a</w:t>
      </w:r>
      <w:r w:rsidR="00DF6851">
        <w:rPr>
          <w:rFonts w:cs="Arial"/>
        </w:rPr>
        <w:t>ra gastos generales.</w:t>
      </w:r>
    </w:p>
    <w:p w:rsidR="001B3767" w:rsidRDefault="001B3767" w:rsidP="006F3C4F">
      <w:pPr>
        <w:pStyle w:val="texto"/>
        <w:rPr>
          <w:lang w:val="es-ES"/>
        </w:rPr>
      </w:pPr>
      <w:r w:rsidRPr="000E2288">
        <w:rPr>
          <w:lang w:val="es-ES"/>
        </w:rPr>
        <w:t xml:space="preserve">No consta que se hayan </w:t>
      </w:r>
      <w:r w:rsidR="008D364F">
        <w:rPr>
          <w:lang w:val="es-ES"/>
        </w:rPr>
        <w:t xml:space="preserve">regulado ni </w:t>
      </w:r>
      <w:r w:rsidRPr="000E2288">
        <w:rPr>
          <w:lang w:val="es-ES"/>
        </w:rPr>
        <w:t>adoptado medidas para financiar el r</w:t>
      </w:r>
      <w:r w:rsidRPr="000E2288">
        <w:rPr>
          <w:lang w:val="es-ES"/>
        </w:rPr>
        <w:t>e</w:t>
      </w:r>
      <w:r w:rsidRPr="000E2288">
        <w:rPr>
          <w:lang w:val="es-ES"/>
        </w:rPr>
        <w:t>manente de tesorería para gastos generales negativo.</w:t>
      </w:r>
    </w:p>
    <w:p w:rsidR="00416EC3" w:rsidRDefault="007B7B55" w:rsidP="007B7B55">
      <w:pPr>
        <w:pStyle w:val="texto"/>
        <w:numPr>
          <w:ilvl w:val="0"/>
          <w:numId w:val="11"/>
        </w:numPr>
        <w:tabs>
          <w:tab w:val="clear" w:pos="2835"/>
          <w:tab w:val="clear" w:pos="3969"/>
          <w:tab w:val="clear" w:pos="5103"/>
          <w:tab w:val="clear" w:pos="6237"/>
          <w:tab w:val="clear" w:pos="7371"/>
          <w:tab w:val="left" w:pos="480"/>
          <w:tab w:val="num" w:pos="600"/>
          <w:tab w:val="num" w:pos="720"/>
        </w:tabs>
        <w:spacing w:after="80"/>
        <w:ind w:left="0" w:firstLine="290"/>
        <w:rPr>
          <w:rFonts w:cs="Arial"/>
        </w:rPr>
      </w:pPr>
      <w:r w:rsidRPr="007B7B55">
        <w:rPr>
          <w:rFonts w:cs="Arial"/>
        </w:rPr>
        <w:t xml:space="preserve">A 31 de diciembre de 2014, el patrimonio neto era </w:t>
      </w:r>
      <w:r>
        <w:rPr>
          <w:rFonts w:cs="Arial"/>
        </w:rPr>
        <w:t>de -</w:t>
      </w:r>
      <w:r w:rsidRPr="007B7B55">
        <w:rPr>
          <w:rFonts w:cs="Arial"/>
        </w:rPr>
        <w:t xml:space="preserve"> 97,86 millones de euros. Este patrimonio negativo se ha generado debido a</w:t>
      </w:r>
      <w:r>
        <w:rPr>
          <w:rFonts w:cs="Arial"/>
        </w:rPr>
        <w:t xml:space="preserve">l </w:t>
      </w:r>
      <w:r w:rsidR="00F2373B">
        <w:rPr>
          <w:rFonts w:cs="Arial"/>
        </w:rPr>
        <w:t>resultado económico patrimonial negativo</w:t>
      </w:r>
      <w:r w:rsidRPr="007B7B55">
        <w:rPr>
          <w:rFonts w:cs="Arial"/>
        </w:rPr>
        <w:t xml:space="preserve">, -88,31 millones en 2014, -257,46 en 2013 y -385,42 en 2012. </w:t>
      </w:r>
    </w:p>
    <w:p w:rsidR="007B7B55" w:rsidRPr="007B7B55" w:rsidRDefault="007B7B55" w:rsidP="007B7B55">
      <w:pPr>
        <w:pStyle w:val="texto"/>
        <w:tabs>
          <w:tab w:val="clear" w:pos="2835"/>
          <w:tab w:val="clear" w:pos="3969"/>
          <w:tab w:val="clear" w:pos="5103"/>
          <w:tab w:val="clear" w:pos="6237"/>
          <w:tab w:val="clear" w:pos="7371"/>
          <w:tab w:val="left" w:pos="480"/>
          <w:tab w:val="num" w:pos="720"/>
        </w:tabs>
        <w:spacing w:after="80"/>
        <w:ind w:left="290" w:firstLine="0"/>
        <w:rPr>
          <w:rFonts w:cs="Arial"/>
        </w:rPr>
      </w:pPr>
    </w:p>
    <w:p w:rsidR="001B3767" w:rsidRPr="000E2288" w:rsidRDefault="001B3767" w:rsidP="006F3C4F">
      <w:pPr>
        <w:pStyle w:val="texto"/>
        <w:rPr>
          <w:lang w:val="es-ES"/>
        </w:rPr>
      </w:pPr>
      <w:r w:rsidRPr="000E2288">
        <w:rPr>
          <w:lang w:val="es-ES"/>
        </w:rPr>
        <w:t>Como viene insistiendo esta Cámara en sus últimos informes, la situación a</w:t>
      </w:r>
      <w:r w:rsidRPr="000E2288">
        <w:rPr>
          <w:lang w:val="es-ES"/>
        </w:rPr>
        <w:t>c</w:t>
      </w:r>
      <w:r w:rsidRPr="000E2288">
        <w:rPr>
          <w:lang w:val="es-ES"/>
        </w:rPr>
        <w:t>tual exige una revisión sistemática y continua de las políticas tanto de gastos como de ingresos, de los objetivos y de la propia organización, al objeto de identificar áreas prioritarias o susceptibles de mejora y primar las partidas de gasto productivo. Todo ello dirigido a buscar la máxima armonización y equil</w:t>
      </w:r>
      <w:r w:rsidRPr="000E2288">
        <w:rPr>
          <w:lang w:val="es-ES"/>
        </w:rPr>
        <w:t>i</w:t>
      </w:r>
      <w:r w:rsidRPr="000E2288">
        <w:rPr>
          <w:lang w:val="es-ES"/>
        </w:rPr>
        <w:t>brio entre el saneamiento de las cuentas públicas, el cumplimiento de los obj</w:t>
      </w:r>
      <w:r w:rsidRPr="000E2288">
        <w:rPr>
          <w:lang w:val="es-ES"/>
        </w:rPr>
        <w:t>e</w:t>
      </w:r>
      <w:r w:rsidRPr="000E2288">
        <w:rPr>
          <w:lang w:val="es-ES"/>
        </w:rPr>
        <w:t>tivos de estabilidad presupuestaria y sostenibilidad financiera y el necesario crecimiento sostenible de la economía navarra y del empleo.</w:t>
      </w:r>
    </w:p>
    <w:p w:rsidR="001B3767" w:rsidRPr="00792275" w:rsidRDefault="001B3767" w:rsidP="008F0D57">
      <w:pPr>
        <w:pStyle w:val="atitulo2"/>
        <w:spacing w:after="300"/>
      </w:pPr>
      <w:r w:rsidRPr="00A05EA1">
        <w:rPr>
          <w:bCs w:val="0"/>
          <w:iCs w:val="0"/>
        </w:rPr>
        <w:br w:type="page"/>
      </w:r>
      <w:bookmarkStart w:id="29" w:name="_Toc434399393"/>
      <w:r w:rsidRPr="00792275">
        <w:lastRenderedPageBreak/>
        <w:t>V.4. Estabilidad presupuestaria y sostenibilidad financiera</w:t>
      </w:r>
      <w:bookmarkEnd w:id="29"/>
    </w:p>
    <w:p w:rsidR="001B3767" w:rsidRPr="00792275" w:rsidRDefault="001B3767" w:rsidP="008F0D57">
      <w:pPr>
        <w:pStyle w:val="atitulo3"/>
        <w:spacing w:before="240"/>
      </w:pPr>
      <w:r w:rsidRPr="00792275">
        <w:t>V.4.1. Estabilidad presupuestaria</w:t>
      </w:r>
    </w:p>
    <w:p w:rsidR="001B3767" w:rsidRPr="00A52583" w:rsidRDefault="001B3767" w:rsidP="007468C5">
      <w:pPr>
        <w:pStyle w:val="texto"/>
      </w:pPr>
      <w:r w:rsidRPr="00792275">
        <w:t xml:space="preserve">Se entiende por </w:t>
      </w:r>
      <w:r w:rsidRPr="00792275">
        <w:rPr>
          <w:b/>
        </w:rPr>
        <w:t>estabilidad presupuestaria</w:t>
      </w:r>
      <w:r w:rsidRPr="00792275">
        <w:t xml:space="preserve"> de las Administraciones Públ</w:t>
      </w:r>
      <w:r w:rsidRPr="00792275">
        <w:t>i</w:t>
      </w:r>
      <w:r w:rsidRPr="00792275">
        <w:t xml:space="preserve">cas, la situación de equilibrio o superávit estructural, </w:t>
      </w:r>
      <w:r w:rsidRPr="00A52583">
        <w:t>calculado conforme a la metodología utilizada por la Comisión Europea.</w:t>
      </w:r>
    </w:p>
    <w:p w:rsidR="001B3767" w:rsidRPr="000E2288" w:rsidRDefault="001B3767" w:rsidP="001B3767">
      <w:pPr>
        <w:pStyle w:val="texto"/>
        <w:rPr>
          <w:lang w:val="es-ES"/>
        </w:rPr>
      </w:pPr>
      <w:r w:rsidRPr="000E2288">
        <w:rPr>
          <w:lang w:val="es-ES"/>
        </w:rPr>
        <w:t xml:space="preserve">El objetivo de estabilidad presupuestaria para el año 2014 se fijó en </w:t>
      </w:r>
      <w:r w:rsidR="006848FC">
        <w:rPr>
          <w:lang w:val="es-ES"/>
        </w:rPr>
        <w:t xml:space="preserve">un -1 </w:t>
      </w:r>
      <w:r w:rsidRPr="000E2288">
        <w:rPr>
          <w:lang w:val="es-ES"/>
        </w:rPr>
        <w:t xml:space="preserve">por ciento del PIB regional. </w:t>
      </w:r>
    </w:p>
    <w:p w:rsidR="001B3767" w:rsidRPr="000E2288" w:rsidRDefault="001B3767" w:rsidP="007468C5">
      <w:pPr>
        <w:pStyle w:val="texto"/>
        <w:spacing w:after="200"/>
        <w:rPr>
          <w:lang w:val="es-ES"/>
        </w:rPr>
      </w:pPr>
      <w:r w:rsidRPr="000E2288">
        <w:rPr>
          <w:lang w:val="es-ES"/>
        </w:rPr>
        <w:t xml:space="preserve">A falta del informe definitivo del Ministerio de Hacienda y Administraciones Públicas, el Gobierno de Navarra ha calculado en -149,5 millones el déficit del Sector Administración Pública del ejercicio 2014, el -0,84 por ciento del PIB regional, </w:t>
      </w:r>
      <w:r w:rsidR="00866068">
        <w:rPr>
          <w:lang w:val="es-ES"/>
        </w:rPr>
        <w:t>inferior al objetivo del -1 por ciento establecido para 2014. El cálculo se ha realizado co</w:t>
      </w:r>
      <w:r w:rsidRPr="000E2288">
        <w:rPr>
          <w:lang w:val="es-ES"/>
        </w:rPr>
        <w:t>nsiderando los siguientes datos, según se informa en la m</w:t>
      </w:r>
      <w:r w:rsidRPr="000E2288">
        <w:rPr>
          <w:lang w:val="es-ES"/>
        </w:rPr>
        <w:t>e</w:t>
      </w:r>
      <w:r w:rsidRPr="000E2288">
        <w:rPr>
          <w:lang w:val="es-ES"/>
        </w:rPr>
        <w:t>moria de la Cuenta General:</w:t>
      </w:r>
    </w:p>
    <w:p w:rsidR="001B3767" w:rsidRPr="00E05116" w:rsidRDefault="001B3767" w:rsidP="007468C5">
      <w:pPr>
        <w:pStyle w:val="texto"/>
        <w:spacing w:after="80"/>
        <w:jc w:val="right"/>
        <w:rPr>
          <w:rFonts w:ascii="Arial" w:hAnsi="Arial" w:cs="Arial"/>
          <w:sz w:val="16"/>
          <w:szCs w:val="16"/>
          <w:lang w:val="es-ES" w:eastAsia="es-ES"/>
        </w:rPr>
      </w:pPr>
      <w:r w:rsidRPr="00792275">
        <w:rPr>
          <w:rFonts w:ascii="Arial Narrow" w:hAnsi="Arial Narrow"/>
          <w:sz w:val="16"/>
          <w:szCs w:val="16"/>
          <w:lang w:val="es-ES" w:eastAsia="es-ES"/>
        </w:rPr>
        <w:t xml:space="preserve"> </w:t>
      </w:r>
      <w:r w:rsidRPr="00E05116">
        <w:rPr>
          <w:rFonts w:ascii="Arial" w:hAnsi="Arial" w:cs="Arial"/>
          <w:sz w:val="16"/>
          <w:szCs w:val="16"/>
          <w:lang w:val="es-ES" w:eastAsia="es-ES"/>
        </w:rPr>
        <w:t>(</w:t>
      </w:r>
      <w:proofErr w:type="gramStart"/>
      <w:r w:rsidR="00911231" w:rsidRPr="00E05116">
        <w:rPr>
          <w:rFonts w:ascii="Arial" w:hAnsi="Arial" w:cs="Arial"/>
          <w:sz w:val="16"/>
          <w:szCs w:val="16"/>
          <w:lang w:val="es-ES" w:eastAsia="es-ES"/>
        </w:rPr>
        <w:t>millones</w:t>
      </w:r>
      <w:proofErr w:type="gramEnd"/>
      <w:r w:rsidR="00911231" w:rsidRPr="00E05116">
        <w:rPr>
          <w:rFonts w:ascii="Arial" w:hAnsi="Arial" w:cs="Arial"/>
          <w:sz w:val="16"/>
          <w:szCs w:val="16"/>
          <w:lang w:val="es-ES" w:eastAsia="es-ES"/>
        </w:rPr>
        <w:t xml:space="preserve"> </w:t>
      </w:r>
      <w:r w:rsidRPr="00E05116">
        <w:rPr>
          <w:rFonts w:ascii="Arial" w:hAnsi="Arial" w:cs="Arial"/>
          <w:sz w:val="16"/>
          <w:szCs w:val="16"/>
          <w:lang w:val="es-ES" w:eastAsia="es-ES"/>
        </w:rPr>
        <w:t>de euros)</w:t>
      </w:r>
    </w:p>
    <w:tbl>
      <w:tblPr>
        <w:tblW w:w="8760"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320"/>
      </w:tblGrid>
      <w:tr w:rsidR="001B3767" w:rsidRPr="00792275" w:rsidTr="007468C5">
        <w:trPr>
          <w:trHeight w:val="312"/>
        </w:trPr>
        <w:tc>
          <w:tcPr>
            <w:tcW w:w="7440" w:type="dxa"/>
            <w:tcBorders>
              <w:top w:val="single" w:sz="4" w:space="0" w:color="000000"/>
              <w:bottom w:val="single" w:sz="4" w:space="0" w:color="000000"/>
            </w:tcBorders>
            <w:shd w:val="clear" w:color="auto" w:fill="8DB3E2" w:themeFill="text2" w:themeFillTint="66"/>
            <w:noWrap/>
            <w:vAlign w:val="center"/>
          </w:tcPr>
          <w:p w:rsidR="001B3767" w:rsidRPr="00792275" w:rsidRDefault="001B3767" w:rsidP="000E2288">
            <w:pPr>
              <w:pStyle w:val="cuadroCabe"/>
              <w:jc w:val="left"/>
              <w:rPr>
                <w:rFonts w:cs="Arial"/>
              </w:rPr>
            </w:pPr>
            <w:r>
              <w:rPr>
                <w:rFonts w:cs="Arial"/>
              </w:rPr>
              <w:t xml:space="preserve">Déficit Sector </w:t>
            </w:r>
            <w:r w:rsidRPr="00792275">
              <w:rPr>
                <w:rFonts w:cs="Arial"/>
              </w:rPr>
              <w:t>Administración Pública de la Comunidad Foral</w:t>
            </w:r>
          </w:p>
        </w:tc>
        <w:tc>
          <w:tcPr>
            <w:tcW w:w="1320" w:type="dxa"/>
            <w:tcBorders>
              <w:top w:val="single" w:sz="4" w:space="0" w:color="000000"/>
              <w:bottom w:val="single" w:sz="4" w:space="0" w:color="000000"/>
            </w:tcBorders>
            <w:shd w:val="clear" w:color="auto" w:fill="8DB3E2" w:themeFill="text2" w:themeFillTint="66"/>
            <w:vAlign w:val="center"/>
          </w:tcPr>
          <w:p w:rsidR="001B3767" w:rsidRPr="00792275" w:rsidRDefault="001B3767" w:rsidP="000E2288">
            <w:pPr>
              <w:pStyle w:val="cuadroCabe"/>
              <w:jc w:val="right"/>
              <w:rPr>
                <w:rFonts w:cs="Arial"/>
              </w:rPr>
            </w:pPr>
            <w:r w:rsidRPr="00792275">
              <w:rPr>
                <w:rFonts w:cs="Arial"/>
              </w:rPr>
              <w:t>201</w:t>
            </w:r>
            <w:r>
              <w:rPr>
                <w:rFonts w:cs="Arial"/>
              </w:rPr>
              <w:t>4</w:t>
            </w:r>
          </w:p>
        </w:tc>
      </w:tr>
      <w:tr w:rsidR="001B3767" w:rsidRPr="007468C5" w:rsidTr="007468C5">
        <w:trPr>
          <w:trHeight w:val="227"/>
        </w:trPr>
        <w:tc>
          <w:tcPr>
            <w:tcW w:w="7440" w:type="dxa"/>
            <w:tcBorders>
              <w:top w:val="single" w:sz="4"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I. Saldo Presupuestario No Financiero </w:t>
            </w:r>
            <w:r w:rsidRPr="007468C5">
              <w:rPr>
                <w:rFonts w:ascii="Arial Narrow" w:hAnsi="Arial Narrow" w:cs="Arial"/>
                <w:lang w:val="es-ES" w:eastAsia="es-ES"/>
              </w:rPr>
              <w:t>(cap. 1 al 7 de ingresos menos cap.1 al 7 de gastos)</w:t>
            </w:r>
          </w:p>
        </w:tc>
        <w:tc>
          <w:tcPr>
            <w:tcW w:w="1320" w:type="dxa"/>
            <w:tcBorders>
              <w:top w:val="single" w:sz="4"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b/>
                <w:lang w:val="es-ES" w:eastAsia="es-ES"/>
              </w:rPr>
            </w:pPr>
            <w:r w:rsidRPr="007468C5">
              <w:rPr>
                <w:rFonts w:ascii="Arial Narrow" w:hAnsi="Arial Narrow" w:cs="Arial"/>
                <w:b/>
                <w:lang w:val="es-ES" w:eastAsia="es-ES"/>
              </w:rPr>
              <w:t>-102,5</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De la Administración General y sus Organismos Autónomos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-104,2</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Del Parlamento, Defensor del Pueblo, Consejo de Navarra y Cámara de Comptos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0,6</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De la Universidad Pública de Navarra</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1,1</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II. Ajustes al saldo presupuestario </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b/>
                <w:lang w:val="es-ES" w:eastAsia="es-ES"/>
              </w:rPr>
            </w:pPr>
            <w:r w:rsidRPr="007468C5">
              <w:rPr>
                <w:rFonts w:ascii="Arial Narrow" w:hAnsi="Arial Narrow" w:cs="Arial"/>
                <w:b/>
                <w:lang w:val="es-ES" w:eastAsia="es-ES"/>
              </w:rPr>
              <w:t>-66,2</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Aportación Convenio Económico</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35,1</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Transferencias de la Administración Central y de la Seguridad Social</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1,0</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Transferencias de Fondos Comunitarios </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0,9</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Transferencias internas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0,4</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Recaudación incierta </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-70</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Céntimo sanitario</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-11</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Operaciones pendientes de aplicar al presupuesto</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0,1</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Inversiones a través de </w:t>
            </w:r>
            <w:proofErr w:type="spellStart"/>
            <w:r w:rsidRPr="007468C5">
              <w:rPr>
                <w:rFonts w:ascii="Arial Narrow" w:hAnsi="Arial Narrow" w:cs="Arial"/>
                <w:lang w:val="es-ES" w:eastAsia="es-ES"/>
              </w:rPr>
              <w:t>Asoc</w:t>
            </w:r>
            <w:proofErr w:type="spellEnd"/>
            <w:r w:rsidRPr="007468C5">
              <w:rPr>
                <w:rFonts w:ascii="Arial Narrow" w:hAnsi="Arial Narrow" w:cs="Arial"/>
                <w:lang w:val="es-ES" w:eastAsia="es-ES"/>
              </w:rPr>
              <w:t>. Público-Privadas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3,1</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Intereses devengados no vencidos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-10,2</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Anticipos de obras ADIF (TAV)</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-16,5</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Avales ejecutados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-3,3</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 xml:space="preserve">Acreedores por devolución de impuestos </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45,5</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lang w:val="es-ES" w:eastAsia="es-ES"/>
              </w:rPr>
            </w:pPr>
            <w:r w:rsidRPr="007468C5">
              <w:rPr>
                <w:rFonts w:ascii="Arial Narrow" w:hAnsi="Arial Narrow" w:cs="Arial"/>
                <w:lang w:val="es-ES" w:eastAsia="es-ES"/>
              </w:rPr>
              <w:t>Aportaciones financieras empresas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lang w:val="es-ES" w:eastAsia="es-ES"/>
              </w:rPr>
            </w:pPr>
            <w:r w:rsidRPr="007468C5">
              <w:rPr>
                <w:rFonts w:ascii="Arial Narrow" w:hAnsi="Arial Narrow" w:cs="Arial"/>
                <w:lang w:val="es-ES" w:eastAsia="es-ES"/>
              </w:rPr>
              <w:t>-41,3</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b/>
                <w:lang w:val="es-ES" w:eastAsia="es-ES"/>
              </w:rPr>
            </w:pPr>
            <w:r w:rsidRPr="007468C5">
              <w:rPr>
                <w:rFonts w:ascii="Arial Narrow" w:hAnsi="Arial Narrow" w:cs="Arial"/>
                <w:b/>
                <w:lang w:val="es-ES" w:eastAsia="es-ES"/>
              </w:rPr>
              <w:t>III. Otras unidades consideradas como AA.PP (sociedades y fundaciones públicas)</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b/>
                <w:lang w:val="es-ES" w:eastAsia="es-ES"/>
              </w:rPr>
            </w:pPr>
            <w:r w:rsidRPr="007468C5">
              <w:rPr>
                <w:rFonts w:ascii="Arial Narrow" w:hAnsi="Arial Narrow" w:cs="Arial"/>
                <w:b/>
                <w:lang w:val="es-ES" w:eastAsia="es-ES"/>
              </w:rPr>
              <w:t>19,2</w:t>
            </w:r>
          </w:p>
        </w:tc>
      </w:tr>
      <w:tr w:rsidR="001B3767" w:rsidRPr="007468C5" w:rsidTr="007468C5">
        <w:trPr>
          <w:trHeight w:val="227"/>
        </w:trPr>
        <w:tc>
          <w:tcPr>
            <w:tcW w:w="7440" w:type="dxa"/>
            <w:tcBorders>
              <w:top w:val="single" w:sz="2" w:space="0" w:color="000000"/>
              <w:bottom w:val="single" w:sz="2" w:space="0" w:color="000000"/>
            </w:tcBorders>
            <w:shd w:val="clear" w:color="auto" w:fill="auto"/>
            <w:vAlign w:val="center"/>
          </w:tcPr>
          <w:p w:rsidR="001B3767" w:rsidRPr="007468C5" w:rsidRDefault="001B3767" w:rsidP="000E2288">
            <w:pPr>
              <w:spacing w:after="0"/>
              <w:ind w:firstLine="0"/>
              <w:jc w:val="left"/>
              <w:rPr>
                <w:rFonts w:ascii="Arial Narrow" w:hAnsi="Arial Narrow" w:cs="Arial"/>
                <w:b/>
                <w:lang w:val="es-ES" w:eastAsia="es-ES"/>
              </w:rPr>
            </w:pPr>
            <w:r w:rsidRPr="007468C5">
              <w:rPr>
                <w:rFonts w:ascii="Arial Narrow" w:hAnsi="Arial Narrow" w:cs="Arial"/>
                <w:b/>
                <w:lang w:val="es-ES" w:eastAsia="es-ES"/>
              </w:rPr>
              <w:t xml:space="preserve">IV. Necesidad financiación a efectos cumplimiento objetivo de </w:t>
            </w:r>
            <w:proofErr w:type="spellStart"/>
            <w:r w:rsidRPr="007468C5">
              <w:rPr>
                <w:rFonts w:ascii="Arial Narrow" w:hAnsi="Arial Narrow" w:cs="Arial"/>
                <w:b/>
                <w:lang w:val="es-ES" w:eastAsia="es-ES"/>
              </w:rPr>
              <w:t>Estab</w:t>
            </w:r>
            <w:proofErr w:type="spellEnd"/>
            <w:r w:rsidRPr="007468C5">
              <w:rPr>
                <w:rFonts w:ascii="Arial Narrow" w:hAnsi="Arial Narrow" w:cs="Arial"/>
                <w:b/>
                <w:lang w:val="es-ES" w:eastAsia="es-ES"/>
              </w:rPr>
              <w:t>. Presupuestaria (I a III)</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b/>
                <w:lang w:val="es-ES" w:eastAsia="es-ES"/>
              </w:rPr>
            </w:pPr>
            <w:r w:rsidRPr="007468C5">
              <w:rPr>
                <w:rFonts w:ascii="Arial Narrow" w:hAnsi="Arial Narrow" w:cs="Arial"/>
                <w:b/>
                <w:lang w:val="es-ES" w:eastAsia="es-ES"/>
              </w:rPr>
              <w:t>-149,5</w:t>
            </w:r>
          </w:p>
        </w:tc>
      </w:tr>
      <w:tr w:rsidR="001B3767" w:rsidRPr="007468C5" w:rsidTr="007468C5">
        <w:trPr>
          <w:trHeight w:val="227"/>
        </w:trPr>
        <w:tc>
          <w:tcPr>
            <w:tcW w:w="7440" w:type="dxa"/>
            <w:tcBorders>
              <w:top w:val="single" w:sz="2" w:space="0" w:color="000000"/>
              <w:bottom w:val="single" w:sz="2" w:space="0" w:color="000000"/>
            </w:tcBorders>
            <w:shd w:val="clear" w:color="auto" w:fill="auto"/>
            <w:noWrap/>
            <w:vAlign w:val="center"/>
          </w:tcPr>
          <w:p w:rsidR="001B3767" w:rsidRPr="007468C5" w:rsidRDefault="001B3767" w:rsidP="000E2288">
            <w:pPr>
              <w:spacing w:after="0"/>
              <w:ind w:firstLine="0"/>
              <w:jc w:val="left"/>
              <w:rPr>
                <w:rFonts w:ascii="Arial Narrow" w:hAnsi="Arial Narrow" w:cs="Arial"/>
                <w:b/>
                <w:lang w:val="es-ES" w:eastAsia="es-ES"/>
              </w:rPr>
            </w:pPr>
            <w:r w:rsidRPr="007468C5">
              <w:rPr>
                <w:rFonts w:ascii="Arial Narrow" w:hAnsi="Arial Narrow" w:cs="Arial"/>
                <w:b/>
                <w:lang w:val="es-ES" w:eastAsia="es-ES"/>
              </w:rPr>
              <w:t>Porcentaje de las necesidades de financiación sobre PIB (1)</w:t>
            </w:r>
          </w:p>
        </w:tc>
        <w:tc>
          <w:tcPr>
            <w:tcW w:w="1320" w:type="dxa"/>
            <w:tcBorders>
              <w:top w:val="single" w:sz="2" w:space="0" w:color="000000"/>
              <w:bottom w:val="single" w:sz="2" w:space="0" w:color="000000"/>
            </w:tcBorders>
            <w:vAlign w:val="center"/>
          </w:tcPr>
          <w:p w:rsidR="001B3767" w:rsidRPr="007468C5" w:rsidRDefault="001B3767" w:rsidP="000E2288">
            <w:pPr>
              <w:spacing w:after="0"/>
              <w:ind w:firstLine="0"/>
              <w:jc w:val="right"/>
              <w:rPr>
                <w:rFonts w:ascii="Arial Narrow" w:hAnsi="Arial Narrow" w:cs="Arial"/>
                <w:b/>
                <w:lang w:val="es-ES" w:eastAsia="es-ES"/>
              </w:rPr>
            </w:pPr>
            <w:r w:rsidRPr="007468C5">
              <w:rPr>
                <w:rFonts w:ascii="Arial Narrow" w:hAnsi="Arial Narrow" w:cs="Arial"/>
                <w:b/>
                <w:lang w:val="es-ES" w:eastAsia="es-ES"/>
              </w:rPr>
              <w:t>-0,84</w:t>
            </w:r>
          </w:p>
        </w:tc>
      </w:tr>
      <w:tr w:rsidR="001B3767" w:rsidRPr="007468C5" w:rsidTr="007468C5">
        <w:trPr>
          <w:trHeight w:val="227"/>
        </w:trPr>
        <w:tc>
          <w:tcPr>
            <w:tcW w:w="7440" w:type="dxa"/>
            <w:tcBorders>
              <w:top w:val="single" w:sz="2" w:space="0" w:color="000000"/>
              <w:bottom w:val="single" w:sz="4" w:space="0" w:color="000000"/>
            </w:tcBorders>
            <w:shd w:val="clear" w:color="auto" w:fill="auto"/>
            <w:noWrap/>
            <w:vAlign w:val="center"/>
          </w:tcPr>
          <w:p w:rsidR="001B3767" w:rsidRPr="007468C5" w:rsidRDefault="001B3767" w:rsidP="000E2288">
            <w:pPr>
              <w:spacing w:after="0"/>
              <w:ind w:firstLine="0"/>
              <w:jc w:val="left"/>
              <w:rPr>
                <w:rFonts w:ascii="Arial Narrow" w:hAnsi="Arial Narrow" w:cs="Arial"/>
                <w:b/>
                <w:i/>
                <w:lang w:val="es-ES" w:eastAsia="es-ES"/>
              </w:rPr>
            </w:pPr>
            <w:r w:rsidRPr="007468C5">
              <w:rPr>
                <w:rFonts w:ascii="Arial Narrow" w:hAnsi="Arial Narrow" w:cs="Arial"/>
                <w:b/>
                <w:i/>
                <w:lang w:val="es-ES" w:eastAsia="es-ES"/>
              </w:rPr>
              <w:t>Objetivo marcado en porcentaje sobre el PIB regional</w:t>
            </w:r>
          </w:p>
        </w:tc>
        <w:tc>
          <w:tcPr>
            <w:tcW w:w="1320" w:type="dxa"/>
            <w:tcBorders>
              <w:top w:val="single" w:sz="2" w:space="0" w:color="000000"/>
              <w:bottom w:val="single" w:sz="4" w:space="0" w:color="000000"/>
            </w:tcBorders>
            <w:vAlign w:val="center"/>
          </w:tcPr>
          <w:p w:rsidR="001B3767" w:rsidRPr="007468C5" w:rsidRDefault="001B3767" w:rsidP="000E2288">
            <w:pPr>
              <w:spacing w:after="0"/>
              <w:ind w:firstLine="0"/>
              <w:jc w:val="right"/>
              <w:rPr>
                <w:rFonts w:ascii="Arial Narrow" w:hAnsi="Arial Narrow" w:cs="Arial"/>
                <w:b/>
                <w:i/>
                <w:lang w:val="es-ES" w:eastAsia="es-ES"/>
              </w:rPr>
            </w:pPr>
            <w:r w:rsidRPr="007468C5">
              <w:rPr>
                <w:rFonts w:ascii="Arial Narrow" w:hAnsi="Arial Narrow" w:cs="Arial"/>
                <w:b/>
                <w:i/>
                <w:lang w:val="es-ES" w:eastAsia="es-ES"/>
              </w:rPr>
              <w:t>-1</w:t>
            </w:r>
          </w:p>
        </w:tc>
      </w:tr>
    </w:tbl>
    <w:p w:rsidR="001B3767" w:rsidRPr="000B583F" w:rsidRDefault="001B3767" w:rsidP="007468C5">
      <w:pPr>
        <w:spacing w:before="120" w:after="0"/>
        <w:ind w:firstLine="0"/>
        <w:jc w:val="left"/>
        <w:rPr>
          <w:rFonts w:ascii="Arial Narrow" w:hAnsi="Arial Narrow" w:cs="Arial"/>
          <w:sz w:val="18"/>
          <w:szCs w:val="18"/>
          <w:lang w:val="es-ES" w:eastAsia="es-ES"/>
        </w:rPr>
      </w:pPr>
      <w:r w:rsidRPr="000B583F">
        <w:rPr>
          <w:rFonts w:ascii="Arial Narrow" w:hAnsi="Arial Narrow" w:cs="Arial"/>
          <w:sz w:val="18"/>
          <w:szCs w:val="18"/>
          <w:lang w:val="es-ES" w:eastAsia="es-ES"/>
        </w:rPr>
        <w:t xml:space="preserve"> (1) PIB de Navarra en 2014 provisional estimado en 17.887 millones (fuente INE)</w:t>
      </w:r>
    </w:p>
    <w:p w:rsidR="001B3767" w:rsidRPr="001639F7" w:rsidRDefault="001B3767" w:rsidP="007468C5">
      <w:pPr>
        <w:spacing w:after="120"/>
        <w:ind w:firstLine="0"/>
        <w:jc w:val="left"/>
        <w:rPr>
          <w:rFonts w:ascii="Arial Narrow" w:hAnsi="Arial Narrow" w:cs="Arial"/>
          <w:sz w:val="18"/>
          <w:szCs w:val="18"/>
          <w:highlight w:val="yellow"/>
          <w:lang w:val="es-ES" w:eastAsia="es-ES"/>
        </w:rPr>
      </w:pPr>
    </w:p>
    <w:p w:rsidR="001B3767" w:rsidRPr="000E2288" w:rsidRDefault="001B3767" w:rsidP="0016325D">
      <w:pPr>
        <w:pStyle w:val="texto"/>
        <w:rPr>
          <w:lang w:val="es-ES"/>
        </w:rPr>
      </w:pPr>
      <w:r w:rsidRPr="00091AF8">
        <w:t>El 11 de septiembre de 2013, el Gobierno</w:t>
      </w:r>
      <w:r>
        <w:t xml:space="preserve"> de Navarra </w:t>
      </w:r>
      <w:r w:rsidRPr="00091AF8">
        <w:t xml:space="preserve">aprobó un límite de gasto no financiero </w:t>
      </w:r>
      <w:r>
        <w:t xml:space="preserve">para el Sector Administración Pública en </w:t>
      </w:r>
      <w:r w:rsidRPr="00091AF8">
        <w:t>2014 de 3.405,55 millones</w:t>
      </w:r>
      <w:r>
        <w:t xml:space="preserve"> y el</w:t>
      </w:r>
      <w:r w:rsidRPr="00E21426">
        <w:t xml:space="preserve"> 30 de diciembre de 2013 acordó reducir</w:t>
      </w:r>
      <w:r>
        <w:t>lo</w:t>
      </w:r>
      <w:r w:rsidRPr="00E21426">
        <w:t xml:space="preserve"> a 3.382,75 </w:t>
      </w:r>
      <w:r w:rsidRPr="00E54330">
        <w:t xml:space="preserve">euros. A 31 de diciembre de 2014, el gasto no financiero del Sector Administración </w:t>
      </w:r>
      <w:r w:rsidRPr="006848FC">
        <w:t xml:space="preserve">Pública de la Comunidad Foral, según </w:t>
      </w:r>
      <w:r w:rsidR="006848FC" w:rsidRPr="006848FC">
        <w:t>la</w:t>
      </w:r>
      <w:r w:rsidRPr="006848FC">
        <w:t xml:space="preserve"> IGAE, fue de 3.143 millones, por debajo del </w:t>
      </w:r>
      <w:r w:rsidRPr="006848FC">
        <w:lastRenderedPageBreak/>
        <w:t>importe aprobado por el Gobierno de Navarra</w:t>
      </w:r>
      <w:r w:rsidRPr="00E54330">
        <w:t xml:space="preserve"> para el ejercicio 2014.</w:t>
      </w:r>
      <w:r w:rsidR="0016325D">
        <w:t xml:space="preserve"> </w:t>
      </w:r>
      <w:r w:rsidRPr="000E2288">
        <w:rPr>
          <w:lang w:val="es-ES"/>
        </w:rPr>
        <w:t>El límite de gasto no financiero se desglosa en los siguientes conceptos:</w:t>
      </w:r>
    </w:p>
    <w:p w:rsidR="00E05116" w:rsidRPr="00E05116" w:rsidRDefault="001B3767" w:rsidP="00E05116">
      <w:pPr>
        <w:pStyle w:val="texto"/>
        <w:spacing w:after="80"/>
        <w:jc w:val="right"/>
        <w:rPr>
          <w:rFonts w:ascii="Arial" w:hAnsi="Arial" w:cs="Arial"/>
          <w:sz w:val="16"/>
          <w:szCs w:val="16"/>
          <w:lang w:val="es-ES" w:eastAsia="es-ES"/>
        </w:rPr>
      </w:pPr>
      <w:r>
        <w:rPr>
          <w:rFonts w:ascii="Arial Narrow" w:hAnsi="Arial Narrow"/>
          <w:sz w:val="16"/>
          <w:szCs w:val="16"/>
          <w:lang w:val="es-ES" w:eastAsia="es-ES"/>
        </w:rPr>
        <w:t xml:space="preserve">       </w:t>
      </w:r>
      <w:r w:rsidR="00E05116" w:rsidRPr="00E05116">
        <w:rPr>
          <w:rFonts w:ascii="Arial" w:hAnsi="Arial" w:cs="Arial"/>
          <w:sz w:val="16"/>
          <w:szCs w:val="16"/>
          <w:lang w:val="es-ES" w:eastAsia="es-ES"/>
        </w:rPr>
        <w:t>(</w:t>
      </w:r>
      <w:proofErr w:type="gramStart"/>
      <w:r w:rsidR="005B19E0" w:rsidRPr="00E05116">
        <w:rPr>
          <w:rFonts w:ascii="Arial" w:hAnsi="Arial" w:cs="Arial"/>
          <w:sz w:val="16"/>
          <w:szCs w:val="16"/>
          <w:lang w:val="es-ES" w:eastAsia="es-ES"/>
        </w:rPr>
        <w:t>millones</w:t>
      </w:r>
      <w:proofErr w:type="gramEnd"/>
      <w:r w:rsidR="005B19E0" w:rsidRPr="00E05116">
        <w:rPr>
          <w:rFonts w:ascii="Arial" w:hAnsi="Arial" w:cs="Arial"/>
          <w:sz w:val="16"/>
          <w:szCs w:val="16"/>
          <w:lang w:val="es-ES" w:eastAsia="es-ES"/>
        </w:rPr>
        <w:t xml:space="preserve"> </w:t>
      </w:r>
      <w:r w:rsidR="00E05116" w:rsidRPr="00E05116">
        <w:rPr>
          <w:rFonts w:ascii="Arial" w:hAnsi="Arial" w:cs="Arial"/>
          <w:sz w:val="16"/>
          <w:szCs w:val="16"/>
          <w:lang w:val="es-ES" w:eastAsia="es-ES"/>
        </w:rPr>
        <w:t>de euros)</w:t>
      </w:r>
    </w:p>
    <w:tbl>
      <w:tblPr>
        <w:tblW w:w="8875" w:type="dxa"/>
        <w:jc w:val="center"/>
        <w:tblLayout w:type="fixed"/>
        <w:tblLook w:val="01E0" w:firstRow="1" w:lastRow="1" w:firstColumn="1" w:lastColumn="1" w:noHBand="0" w:noVBand="0"/>
      </w:tblPr>
      <w:tblGrid>
        <w:gridCol w:w="4136"/>
        <w:gridCol w:w="1729"/>
        <w:gridCol w:w="1505"/>
        <w:gridCol w:w="1505"/>
      </w:tblGrid>
      <w:tr w:rsidR="001B3767" w:rsidRPr="00E54330" w:rsidTr="004B061F">
        <w:trPr>
          <w:trHeight w:hRule="exact" w:val="624"/>
          <w:jc w:val="center"/>
        </w:trPr>
        <w:tc>
          <w:tcPr>
            <w:tcW w:w="4136" w:type="dxa"/>
            <w:tcBorders>
              <w:top w:val="single" w:sz="4" w:space="0" w:color="auto"/>
              <w:bottom w:val="single" w:sz="4" w:space="0" w:color="auto"/>
            </w:tcBorders>
            <w:shd w:val="clear" w:color="auto" w:fill="8DB3E2" w:themeFill="text2" w:themeFillTint="66"/>
            <w:vAlign w:val="center"/>
          </w:tcPr>
          <w:p w:rsidR="001B3767" w:rsidRPr="00E05116" w:rsidRDefault="001B3767" w:rsidP="00E05116">
            <w:pPr>
              <w:pStyle w:val="cuadroCabe"/>
              <w:jc w:val="left"/>
            </w:pPr>
          </w:p>
        </w:tc>
        <w:tc>
          <w:tcPr>
            <w:tcW w:w="1729" w:type="dxa"/>
            <w:tcBorders>
              <w:top w:val="single" w:sz="4" w:space="0" w:color="auto"/>
              <w:bottom w:val="single" w:sz="4" w:space="0" w:color="auto"/>
            </w:tcBorders>
            <w:shd w:val="clear" w:color="auto" w:fill="8DB3E2" w:themeFill="text2" w:themeFillTint="66"/>
            <w:vAlign w:val="center"/>
            <w:hideMark/>
          </w:tcPr>
          <w:p w:rsidR="001B3767" w:rsidRPr="00E05116" w:rsidRDefault="001B3767" w:rsidP="00E05116">
            <w:pPr>
              <w:pStyle w:val="cuadroCabe"/>
              <w:jc w:val="right"/>
            </w:pPr>
            <w:r w:rsidRPr="00E05116">
              <w:t>Importe</w:t>
            </w:r>
          </w:p>
          <w:p w:rsidR="001B3767" w:rsidRPr="00E05116" w:rsidRDefault="007A03F7" w:rsidP="00E05116">
            <w:pPr>
              <w:pStyle w:val="cuadroCabe"/>
              <w:jc w:val="right"/>
            </w:pPr>
            <w:r>
              <w:t>a</w:t>
            </w:r>
            <w:r w:rsidR="001B3767" w:rsidRPr="00E05116">
              <w:t>probado el 11/9/2013</w:t>
            </w:r>
          </w:p>
        </w:tc>
        <w:tc>
          <w:tcPr>
            <w:tcW w:w="1505" w:type="dxa"/>
            <w:tcBorders>
              <w:top w:val="single" w:sz="4" w:space="0" w:color="auto"/>
              <w:bottom w:val="single" w:sz="4" w:space="0" w:color="auto"/>
            </w:tcBorders>
            <w:shd w:val="clear" w:color="auto" w:fill="8DB3E2" w:themeFill="text2" w:themeFillTint="66"/>
            <w:vAlign w:val="center"/>
          </w:tcPr>
          <w:p w:rsidR="001B3767" w:rsidRPr="00E05116" w:rsidRDefault="001B3767" w:rsidP="00E05116">
            <w:pPr>
              <w:pStyle w:val="cuadroCabe"/>
              <w:jc w:val="right"/>
            </w:pPr>
            <w:r w:rsidRPr="00E05116">
              <w:t xml:space="preserve">Importe </w:t>
            </w:r>
          </w:p>
          <w:p w:rsidR="001B3767" w:rsidRPr="00E05116" w:rsidRDefault="001B3767" w:rsidP="00E05116">
            <w:pPr>
              <w:pStyle w:val="cuadroCabe"/>
              <w:jc w:val="right"/>
            </w:pPr>
            <w:r w:rsidRPr="00E05116">
              <w:t>aprobado el 30/12/2013</w:t>
            </w:r>
          </w:p>
        </w:tc>
        <w:tc>
          <w:tcPr>
            <w:tcW w:w="1505" w:type="dxa"/>
            <w:tcBorders>
              <w:top w:val="single" w:sz="4" w:space="0" w:color="auto"/>
              <w:bottom w:val="single" w:sz="4" w:space="0" w:color="auto"/>
            </w:tcBorders>
            <w:shd w:val="clear" w:color="auto" w:fill="8DB3E2" w:themeFill="text2" w:themeFillTint="66"/>
            <w:vAlign w:val="center"/>
          </w:tcPr>
          <w:p w:rsidR="001B3767" w:rsidRPr="00E05116" w:rsidRDefault="001B3767" w:rsidP="00E05116">
            <w:pPr>
              <w:pStyle w:val="cuadroCabe"/>
              <w:jc w:val="right"/>
            </w:pPr>
            <w:r w:rsidRPr="00E05116">
              <w:t>Importe a 31/12/2014</w:t>
            </w:r>
          </w:p>
          <w:p w:rsidR="001B3767" w:rsidRPr="00E05116" w:rsidRDefault="001B3767" w:rsidP="00E05116">
            <w:pPr>
              <w:pStyle w:val="cuadroCabe"/>
              <w:jc w:val="right"/>
            </w:pPr>
            <w:r w:rsidRPr="00E05116">
              <w:t>IGAE</w:t>
            </w:r>
          </w:p>
        </w:tc>
      </w:tr>
      <w:tr w:rsidR="001B3767" w:rsidRPr="00E05116" w:rsidTr="004B061F">
        <w:trPr>
          <w:trHeight w:hRule="exact" w:val="227"/>
          <w:jc w:val="center"/>
        </w:trPr>
        <w:tc>
          <w:tcPr>
            <w:tcW w:w="4136" w:type="dxa"/>
            <w:tcBorders>
              <w:top w:val="single" w:sz="4" w:space="0" w:color="auto"/>
              <w:bottom w:val="single" w:sz="2" w:space="0" w:color="auto"/>
            </w:tcBorders>
            <w:vAlign w:val="center"/>
            <w:hideMark/>
          </w:tcPr>
          <w:p w:rsidR="001B3767" w:rsidRPr="00E05116" w:rsidRDefault="001B3767" w:rsidP="00E05116">
            <w:pPr>
              <w:pStyle w:val="cuatexto"/>
              <w:jc w:val="left"/>
              <w:rPr>
                <w:szCs w:val="20"/>
              </w:rPr>
            </w:pPr>
            <w:r w:rsidRPr="00E05116">
              <w:rPr>
                <w:szCs w:val="20"/>
              </w:rPr>
              <w:t>Ingresos No Financieros</w:t>
            </w:r>
          </w:p>
        </w:tc>
        <w:tc>
          <w:tcPr>
            <w:tcW w:w="1729" w:type="dxa"/>
            <w:tcBorders>
              <w:top w:val="single" w:sz="4" w:space="0" w:color="auto"/>
              <w:bottom w:val="single" w:sz="2" w:space="0" w:color="auto"/>
            </w:tcBorders>
            <w:vAlign w:val="center"/>
            <w:hideMark/>
          </w:tcPr>
          <w:p w:rsidR="001B3767" w:rsidRPr="00E05116" w:rsidRDefault="001B3767" w:rsidP="00E05116">
            <w:pPr>
              <w:pStyle w:val="cuatexto"/>
              <w:jc w:val="right"/>
              <w:rPr>
                <w:szCs w:val="20"/>
              </w:rPr>
            </w:pPr>
            <w:r w:rsidRPr="00E05116">
              <w:rPr>
                <w:szCs w:val="20"/>
              </w:rPr>
              <w:t>3.190,62</w:t>
            </w:r>
          </w:p>
        </w:tc>
        <w:tc>
          <w:tcPr>
            <w:tcW w:w="1505" w:type="dxa"/>
            <w:tcBorders>
              <w:top w:val="single" w:sz="4" w:space="0" w:color="auto"/>
              <w:bottom w:val="single" w:sz="2" w:space="0" w:color="auto"/>
            </w:tcBorders>
            <w:vAlign w:val="center"/>
          </w:tcPr>
          <w:p w:rsidR="001B3767" w:rsidRPr="00E05116" w:rsidRDefault="001B3767" w:rsidP="00E05116">
            <w:pPr>
              <w:pStyle w:val="cuatexto"/>
              <w:jc w:val="right"/>
              <w:rPr>
                <w:szCs w:val="20"/>
              </w:rPr>
            </w:pPr>
            <w:r w:rsidRPr="00E05116">
              <w:rPr>
                <w:szCs w:val="20"/>
              </w:rPr>
              <w:t>3.126,35</w:t>
            </w:r>
          </w:p>
        </w:tc>
        <w:tc>
          <w:tcPr>
            <w:tcW w:w="1505" w:type="dxa"/>
            <w:tcBorders>
              <w:top w:val="single" w:sz="4" w:space="0" w:color="auto"/>
              <w:bottom w:val="single" w:sz="2" w:space="0" w:color="auto"/>
            </w:tcBorders>
            <w:vAlign w:val="center"/>
          </w:tcPr>
          <w:p w:rsidR="001B3767" w:rsidRPr="00E05116" w:rsidRDefault="001B3767" w:rsidP="00E05116">
            <w:pPr>
              <w:pStyle w:val="cuatexto"/>
              <w:jc w:val="right"/>
              <w:rPr>
                <w:szCs w:val="20"/>
              </w:rPr>
            </w:pPr>
          </w:p>
        </w:tc>
      </w:tr>
      <w:tr w:rsidR="001B3767" w:rsidRPr="00E05116" w:rsidTr="004B061F">
        <w:trPr>
          <w:trHeight w:hRule="exact" w:val="227"/>
          <w:jc w:val="center"/>
        </w:trPr>
        <w:tc>
          <w:tcPr>
            <w:tcW w:w="4136" w:type="dxa"/>
            <w:tcBorders>
              <w:top w:val="single" w:sz="2" w:space="0" w:color="auto"/>
              <w:bottom w:val="single" w:sz="2" w:space="0" w:color="auto"/>
            </w:tcBorders>
            <w:vAlign w:val="center"/>
            <w:hideMark/>
          </w:tcPr>
          <w:p w:rsidR="001B3767" w:rsidRPr="00E05116" w:rsidRDefault="001B3767" w:rsidP="00E05116">
            <w:pPr>
              <w:pStyle w:val="cuatexto"/>
              <w:jc w:val="left"/>
              <w:rPr>
                <w:szCs w:val="20"/>
              </w:rPr>
            </w:pPr>
            <w:r w:rsidRPr="00E05116">
              <w:rPr>
                <w:szCs w:val="20"/>
              </w:rPr>
              <w:t xml:space="preserve">Objetivo de déficit 1 por ciento del PIB  </w:t>
            </w:r>
          </w:p>
        </w:tc>
        <w:tc>
          <w:tcPr>
            <w:tcW w:w="1729" w:type="dxa"/>
            <w:tcBorders>
              <w:top w:val="single" w:sz="2" w:space="0" w:color="auto"/>
              <w:bottom w:val="single" w:sz="2" w:space="0" w:color="auto"/>
            </w:tcBorders>
            <w:vAlign w:val="center"/>
            <w:hideMark/>
          </w:tcPr>
          <w:p w:rsidR="001B3767" w:rsidRPr="00E05116" w:rsidRDefault="001B3767" w:rsidP="00E05116">
            <w:pPr>
              <w:pStyle w:val="cuatexto"/>
              <w:jc w:val="right"/>
              <w:rPr>
                <w:szCs w:val="20"/>
              </w:rPr>
            </w:pPr>
            <w:r w:rsidRPr="00E05116">
              <w:rPr>
                <w:szCs w:val="20"/>
              </w:rPr>
              <w:t>185,07</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r w:rsidRPr="00E05116">
              <w:rPr>
                <w:szCs w:val="20"/>
              </w:rPr>
              <w:t>185,07</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p>
        </w:tc>
      </w:tr>
      <w:tr w:rsidR="001B3767" w:rsidRPr="00E05116" w:rsidTr="004B061F">
        <w:trPr>
          <w:trHeight w:hRule="exact" w:val="227"/>
          <w:jc w:val="center"/>
        </w:trPr>
        <w:tc>
          <w:tcPr>
            <w:tcW w:w="4136" w:type="dxa"/>
            <w:tcBorders>
              <w:top w:val="single" w:sz="2" w:space="0" w:color="auto"/>
              <w:bottom w:val="single" w:sz="2" w:space="0" w:color="auto"/>
            </w:tcBorders>
            <w:vAlign w:val="center"/>
            <w:hideMark/>
          </w:tcPr>
          <w:p w:rsidR="001B3767" w:rsidRPr="00E05116" w:rsidRDefault="001B3767" w:rsidP="00E05116">
            <w:pPr>
              <w:pStyle w:val="cuatexto"/>
              <w:jc w:val="left"/>
              <w:rPr>
                <w:szCs w:val="20"/>
              </w:rPr>
            </w:pPr>
            <w:r w:rsidRPr="00E05116">
              <w:rPr>
                <w:szCs w:val="20"/>
              </w:rPr>
              <w:t>Ajustes de Contabilidad Nacional</w:t>
            </w:r>
          </w:p>
        </w:tc>
        <w:tc>
          <w:tcPr>
            <w:tcW w:w="1729" w:type="dxa"/>
            <w:tcBorders>
              <w:top w:val="single" w:sz="2" w:space="0" w:color="auto"/>
              <w:bottom w:val="single" w:sz="2" w:space="0" w:color="auto"/>
            </w:tcBorders>
            <w:vAlign w:val="center"/>
            <w:hideMark/>
          </w:tcPr>
          <w:p w:rsidR="001B3767" w:rsidRPr="00E05116" w:rsidRDefault="001B3767" w:rsidP="00E05116">
            <w:pPr>
              <w:pStyle w:val="cuatexto"/>
              <w:jc w:val="right"/>
              <w:rPr>
                <w:szCs w:val="20"/>
              </w:rPr>
            </w:pPr>
            <w:r w:rsidRPr="00E05116">
              <w:rPr>
                <w:szCs w:val="20"/>
              </w:rPr>
              <w:t>29,87</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r w:rsidRPr="00E05116">
              <w:rPr>
                <w:szCs w:val="20"/>
              </w:rPr>
              <w:t>91,57</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p>
        </w:tc>
      </w:tr>
      <w:tr w:rsidR="001B3767" w:rsidRPr="00E05116" w:rsidTr="004B061F">
        <w:trPr>
          <w:trHeight w:hRule="exact" w:val="227"/>
          <w:jc w:val="center"/>
        </w:trPr>
        <w:tc>
          <w:tcPr>
            <w:tcW w:w="4136" w:type="dxa"/>
            <w:tcBorders>
              <w:top w:val="single" w:sz="2" w:space="0" w:color="auto"/>
              <w:bottom w:val="single" w:sz="2" w:space="0" w:color="auto"/>
            </w:tcBorders>
            <w:vAlign w:val="center"/>
          </w:tcPr>
          <w:p w:rsidR="001B3767" w:rsidRPr="00E05116" w:rsidRDefault="001B3767" w:rsidP="00E05116">
            <w:pPr>
              <w:pStyle w:val="cuatexto"/>
              <w:jc w:val="left"/>
              <w:rPr>
                <w:szCs w:val="20"/>
              </w:rPr>
            </w:pPr>
            <w:r w:rsidRPr="00E05116">
              <w:rPr>
                <w:szCs w:val="20"/>
              </w:rPr>
              <w:t>Ajustes por gastos no financieros</w:t>
            </w:r>
          </w:p>
        </w:tc>
        <w:tc>
          <w:tcPr>
            <w:tcW w:w="1729"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r w:rsidRPr="00E05116">
              <w:rPr>
                <w:szCs w:val="20"/>
              </w:rPr>
              <w:t>0</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r w:rsidRPr="00E05116">
              <w:rPr>
                <w:szCs w:val="20"/>
              </w:rPr>
              <w:t>-20,24</w:t>
            </w:r>
          </w:p>
        </w:tc>
        <w:tc>
          <w:tcPr>
            <w:tcW w:w="1505" w:type="dxa"/>
            <w:tcBorders>
              <w:top w:val="single" w:sz="2" w:space="0" w:color="auto"/>
              <w:bottom w:val="single" w:sz="2" w:space="0" w:color="auto"/>
            </w:tcBorders>
            <w:vAlign w:val="center"/>
          </w:tcPr>
          <w:p w:rsidR="001B3767" w:rsidRPr="00E05116" w:rsidRDefault="001B3767" w:rsidP="00E05116">
            <w:pPr>
              <w:pStyle w:val="cuatexto"/>
              <w:jc w:val="right"/>
              <w:rPr>
                <w:szCs w:val="20"/>
              </w:rPr>
            </w:pPr>
          </w:p>
        </w:tc>
      </w:tr>
      <w:tr w:rsidR="001B3767" w:rsidRPr="00E05116" w:rsidTr="003D1A1B">
        <w:trPr>
          <w:trHeight w:hRule="exact" w:val="284"/>
          <w:jc w:val="center"/>
        </w:trPr>
        <w:tc>
          <w:tcPr>
            <w:tcW w:w="4136" w:type="dxa"/>
            <w:tcBorders>
              <w:top w:val="single" w:sz="2" w:space="0" w:color="auto"/>
              <w:bottom w:val="single" w:sz="4" w:space="0" w:color="auto"/>
            </w:tcBorders>
            <w:vAlign w:val="center"/>
            <w:hideMark/>
          </w:tcPr>
          <w:p w:rsidR="001B3767" w:rsidRPr="00E05116" w:rsidRDefault="001B3767" w:rsidP="00E05116">
            <w:pPr>
              <w:pStyle w:val="cuatexto"/>
              <w:jc w:val="left"/>
              <w:rPr>
                <w:b/>
                <w:szCs w:val="20"/>
              </w:rPr>
            </w:pPr>
            <w:r w:rsidRPr="00E05116">
              <w:rPr>
                <w:b/>
                <w:szCs w:val="20"/>
              </w:rPr>
              <w:t xml:space="preserve">Límite de Gasto No Financiero 2014 </w:t>
            </w:r>
          </w:p>
        </w:tc>
        <w:tc>
          <w:tcPr>
            <w:tcW w:w="1729" w:type="dxa"/>
            <w:tcBorders>
              <w:top w:val="single" w:sz="2" w:space="0" w:color="auto"/>
              <w:bottom w:val="single" w:sz="4" w:space="0" w:color="auto"/>
            </w:tcBorders>
            <w:vAlign w:val="center"/>
            <w:hideMark/>
          </w:tcPr>
          <w:p w:rsidR="001B3767" w:rsidRPr="00E05116" w:rsidRDefault="001B3767" w:rsidP="00E05116">
            <w:pPr>
              <w:pStyle w:val="cuatexto"/>
              <w:jc w:val="right"/>
              <w:rPr>
                <w:b/>
                <w:szCs w:val="20"/>
              </w:rPr>
            </w:pPr>
            <w:r w:rsidRPr="00E05116">
              <w:rPr>
                <w:b/>
                <w:szCs w:val="20"/>
              </w:rPr>
              <w:t>3.405,55</w:t>
            </w:r>
          </w:p>
        </w:tc>
        <w:tc>
          <w:tcPr>
            <w:tcW w:w="1505" w:type="dxa"/>
            <w:tcBorders>
              <w:top w:val="single" w:sz="2" w:space="0" w:color="auto"/>
              <w:bottom w:val="single" w:sz="4" w:space="0" w:color="auto"/>
            </w:tcBorders>
            <w:vAlign w:val="center"/>
          </w:tcPr>
          <w:p w:rsidR="001B3767" w:rsidRPr="00E05116" w:rsidRDefault="001B3767" w:rsidP="00E05116">
            <w:pPr>
              <w:pStyle w:val="cuatexto"/>
              <w:jc w:val="right"/>
              <w:rPr>
                <w:b/>
                <w:szCs w:val="20"/>
              </w:rPr>
            </w:pPr>
            <w:r w:rsidRPr="00E05116">
              <w:rPr>
                <w:b/>
                <w:szCs w:val="20"/>
              </w:rPr>
              <w:fldChar w:fldCharType="begin"/>
            </w:r>
            <w:r w:rsidRPr="00E05116">
              <w:rPr>
                <w:b/>
                <w:szCs w:val="20"/>
              </w:rPr>
              <w:instrText xml:space="preserve"> =SUM(ABOVE) </w:instrText>
            </w:r>
            <w:r w:rsidRPr="00E05116">
              <w:rPr>
                <w:b/>
                <w:szCs w:val="20"/>
              </w:rPr>
              <w:fldChar w:fldCharType="separate"/>
            </w:r>
            <w:r w:rsidRPr="00E05116">
              <w:rPr>
                <w:b/>
                <w:szCs w:val="20"/>
              </w:rPr>
              <w:t>3.382,75</w:t>
            </w:r>
            <w:r w:rsidRPr="00E05116">
              <w:rPr>
                <w:b/>
                <w:szCs w:val="20"/>
              </w:rPr>
              <w:fldChar w:fldCharType="end"/>
            </w:r>
          </w:p>
        </w:tc>
        <w:tc>
          <w:tcPr>
            <w:tcW w:w="1505" w:type="dxa"/>
            <w:tcBorders>
              <w:top w:val="single" w:sz="2" w:space="0" w:color="auto"/>
              <w:bottom w:val="single" w:sz="4" w:space="0" w:color="auto"/>
            </w:tcBorders>
            <w:vAlign w:val="center"/>
          </w:tcPr>
          <w:p w:rsidR="001B3767" w:rsidRPr="00E05116" w:rsidRDefault="001B3767" w:rsidP="00E05116">
            <w:pPr>
              <w:pStyle w:val="cuatexto"/>
              <w:jc w:val="right"/>
              <w:rPr>
                <w:b/>
                <w:szCs w:val="20"/>
              </w:rPr>
            </w:pPr>
            <w:r w:rsidRPr="00E05116">
              <w:rPr>
                <w:b/>
                <w:szCs w:val="20"/>
              </w:rPr>
              <w:t>3.143</w:t>
            </w:r>
          </w:p>
        </w:tc>
      </w:tr>
    </w:tbl>
    <w:p w:rsidR="001B3767" w:rsidRPr="00792275" w:rsidRDefault="001B3767" w:rsidP="004B061F">
      <w:pPr>
        <w:pStyle w:val="atitulo3"/>
        <w:spacing w:before="360"/>
      </w:pPr>
      <w:r w:rsidRPr="00792275">
        <w:t>V.4.</w:t>
      </w:r>
      <w:r>
        <w:t>2</w:t>
      </w:r>
      <w:r w:rsidRPr="00792275">
        <w:t xml:space="preserve">. </w:t>
      </w:r>
      <w:r>
        <w:t>Sostenibilidad financiera</w:t>
      </w:r>
    </w:p>
    <w:p w:rsidR="001B3767" w:rsidRPr="00787A2D" w:rsidRDefault="001B3767" w:rsidP="001B3767">
      <w:pPr>
        <w:pStyle w:val="texto"/>
        <w:spacing w:before="120"/>
        <w:rPr>
          <w:sz w:val="24"/>
          <w:szCs w:val="20"/>
        </w:rPr>
      </w:pPr>
      <w:r w:rsidRPr="00787A2D">
        <w:t xml:space="preserve">Se entiende por </w:t>
      </w:r>
      <w:r w:rsidRPr="00787A2D">
        <w:rPr>
          <w:b/>
        </w:rPr>
        <w:t>sostenibilidad financiera</w:t>
      </w:r>
      <w:r w:rsidRPr="00787A2D">
        <w:t xml:space="preserve"> la capacidad para financiar co</w:t>
      </w:r>
      <w:r w:rsidRPr="00787A2D">
        <w:t>m</w:t>
      </w:r>
      <w:r w:rsidRPr="00787A2D">
        <w:t>promisos de gasto presentes y futuros dentro de los límites de déficit, deuda pública y morosidad de deuda comercial.</w:t>
      </w:r>
    </w:p>
    <w:p w:rsidR="001B3767" w:rsidRPr="000E2288" w:rsidRDefault="001B3767" w:rsidP="001B3767">
      <w:pPr>
        <w:pStyle w:val="texto"/>
        <w:rPr>
          <w:lang w:val="es-ES"/>
        </w:rPr>
      </w:pPr>
      <w:r w:rsidRPr="000E2288">
        <w:rPr>
          <w:lang w:val="es-ES"/>
        </w:rPr>
        <w:t>Existe sostenibilidad de la deuda comercial, cuando el período medio de p</w:t>
      </w:r>
      <w:r w:rsidRPr="000E2288">
        <w:rPr>
          <w:lang w:val="es-ES"/>
        </w:rPr>
        <w:t>a</w:t>
      </w:r>
      <w:r w:rsidRPr="000E2288">
        <w:rPr>
          <w:lang w:val="es-ES"/>
        </w:rPr>
        <w:t xml:space="preserve">go a los proveedores no supere el plazo máximo previsto en la normativa sobre morosidad, plazo que para el año 2014 es de 30 días. </w:t>
      </w:r>
    </w:p>
    <w:p w:rsidR="001B3767" w:rsidRPr="00E21426" w:rsidRDefault="001B3767" w:rsidP="001B3767">
      <w:pPr>
        <w:pStyle w:val="texto"/>
      </w:pPr>
      <w:r w:rsidRPr="00C2257B">
        <w:t xml:space="preserve">La Administración de la </w:t>
      </w:r>
      <w:r w:rsidRPr="001728A4">
        <w:t xml:space="preserve">Comunidad </w:t>
      </w:r>
      <w:r w:rsidRPr="006848FC">
        <w:t>foral publica mensualmente, a</w:t>
      </w:r>
      <w:r w:rsidRPr="00E21426">
        <w:t xml:space="preserve"> partir de octubre de 2014, su periodo medio de </w:t>
      </w:r>
      <w:r w:rsidRPr="005566D2">
        <w:t>pago que se calcula de acuerdo</w:t>
      </w:r>
      <w:r w:rsidRPr="00E21426">
        <w:t xml:space="preserve"> con la metodología establecida en el Real Decreto 635/201</w:t>
      </w:r>
      <w:r>
        <w:t>4</w:t>
      </w:r>
      <w:r w:rsidRPr="00E21426">
        <w:t>, de 25 de julio.</w:t>
      </w:r>
    </w:p>
    <w:p w:rsidR="001B3767" w:rsidRDefault="001B3767" w:rsidP="00922ACE">
      <w:pPr>
        <w:pStyle w:val="texto"/>
        <w:spacing w:after="260"/>
        <w:rPr>
          <w:lang w:val="es-ES"/>
        </w:rPr>
      </w:pPr>
      <w:r w:rsidRPr="000E2288">
        <w:rPr>
          <w:lang w:val="es-ES"/>
        </w:rPr>
        <w:t>En los informes sobre plazo de pago a proveedores elaborados por el Mini</w:t>
      </w:r>
      <w:r w:rsidRPr="000E2288">
        <w:rPr>
          <w:lang w:val="es-ES"/>
        </w:rPr>
        <w:t>s</w:t>
      </w:r>
      <w:r w:rsidRPr="000E2288">
        <w:rPr>
          <w:lang w:val="es-ES"/>
        </w:rPr>
        <w:t>terio de Hacienda y Administraciones Públicas, Navarra presenta ratios negat</w:t>
      </w:r>
      <w:r w:rsidRPr="000E2288">
        <w:rPr>
          <w:lang w:val="es-ES"/>
        </w:rPr>
        <w:t>i</w:t>
      </w:r>
      <w:r w:rsidRPr="000E2288">
        <w:rPr>
          <w:lang w:val="es-ES"/>
        </w:rPr>
        <w:t>vos</w:t>
      </w:r>
      <w:r w:rsidR="0097595D">
        <w:rPr>
          <w:lang w:val="es-ES"/>
        </w:rPr>
        <w:t xml:space="preserve"> en</w:t>
      </w:r>
      <w:r w:rsidRPr="000E2288">
        <w:rPr>
          <w:lang w:val="es-ES"/>
        </w:rPr>
        <w:t xml:space="preserve"> los meses de septiembre a diciembre de 2014, lo cual indica que paga antes de que hayan transcurrido treinta días naturales desde la presentación de las facturas.</w:t>
      </w:r>
      <w:r w:rsidR="0097595D">
        <w:rPr>
          <w:lang w:val="es-ES"/>
        </w:rPr>
        <w:t xml:space="preserve"> El periodo medio de pago de los meses de septiembre a diciembre de 2014 </w:t>
      </w:r>
      <w:r w:rsidR="00AD166B">
        <w:rPr>
          <w:lang w:val="es-ES"/>
        </w:rPr>
        <w:t>fue</w:t>
      </w:r>
      <w:r w:rsidR="0097595D">
        <w:rPr>
          <w:lang w:val="es-ES"/>
        </w:rPr>
        <w:t xml:space="preserve"> el siguiente:</w:t>
      </w:r>
    </w:p>
    <w:tbl>
      <w:tblPr>
        <w:tblW w:w="8875" w:type="dxa"/>
        <w:jc w:val="center"/>
        <w:tblLayout w:type="fixed"/>
        <w:tblLook w:val="01E0" w:firstRow="1" w:lastRow="1" w:firstColumn="1" w:lastColumn="1" w:noHBand="0" w:noVBand="0"/>
      </w:tblPr>
      <w:tblGrid>
        <w:gridCol w:w="6259"/>
        <w:gridCol w:w="2616"/>
      </w:tblGrid>
      <w:tr w:rsidR="0097595D" w:rsidRPr="00E05116" w:rsidTr="00922ACE">
        <w:trPr>
          <w:trHeight w:hRule="exact" w:val="454"/>
          <w:jc w:val="center"/>
        </w:trPr>
        <w:tc>
          <w:tcPr>
            <w:tcW w:w="6259" w:type="dxa"/>
            <w:tcBorders>
              <w:top w:val="single" w:sz="4" w:space="0" w:color="auto"/>
              <w:bottom w:val="single" w:sz="4" w:space="0" w:color="auto"/>
            </w:tcBorders>
            <w:shd w:val="clear" w:color="auto" w:fill="8DB3E2" w:themeFill="text2" w:themeFillTint="66"/>
            <w:vAlign w:val="center"/>
          </w:tcPr>
          <w:p w:rsidR="0097595D" w:rsidRPr="00E05116" w:rsidRDefault="0097595D" w:rsidP="0097595D">
            <w:pPr>
              <w:pStyle w:val="cuadroCabe"/>
              <w:jc w:val="left"/>
            </w:pPr>
          </w:p>
        </w:tc>
        <w:tc>
          <w:tcPr>
            <w:tcW w:w="2616" w:type="dxa"/>
            <w:tcBorders>
              <w:top w:val="single" w:sz="4" w:space="0" w:color="auto"/>
              <w:bottom w:val="single" w:sz="4" w:space="0" w:color="auto"/>
            </w:tcBorders>
            <w:shd w:val="clear" w:color="auto" w:fill="8DB3E2" w:themeFill="text2" w:themeFillTint="66"/>
            <w:vAlign w:val="center"/>
            <w:hideMark/>
          </w:tcPr>
          <w:p w:rsidR="0097595D" w:rsidRDefault="0097595D" w:rsidP="0097595D">
            <w:pPr>
              <w:pStyle w:val="cuadroCabe"/>
              <w:jc w:val="right"/>
            </w:pPr>
            <w:r>
              <w:t>Periodo med</w:t>
            </w:r>
            <w:r w:rsidR="003D1A1B">
              <w:t>i</w:t>
            </w:r>
            <w:r>
              <w:t>o</w:t>
            </w:r>
          </w:p>
          <w:p w:rsidR="0097595D" w:rsidRPr="00E05116" w:rsidRDefault="0097595D" w:rsidP="0097595D">
            <w:pPr>
              <w:pStyle w:val="cuadroCabe"/>
              <w:jc w:val="right"/>
            </w:pPr>
            <w:r>
              <w:t xml:space="preserve"> de pago (días)</w:t>
            </w:r>
          </w:p>
        </w:tc>
      </w:tr>
      <w:tr w:rsidR="0097595D" w:rsidRPr="00E05116" w:rsidTr="0097595D">
        <w:trPr>
          <w:trHeight w:hRule="exact" w:val="227"/>
          <w:jc w:val="center"/>
        </w:trPr>
        <w:tc>
          <w:tcPr>
            <w:tcW w:w="6259" w:type="dxa"/>
            <w:tcBorders>
              <w:top w:val="single" w:sz="4" w:space="0" w:color="auto"/>
              <w:bottom w:val="single" w:sz="2" w:space="0" w:color="auto"/>
            </w:tcBorders>
            <w:vAlign w:val="center"/>
          </w:tcPr>
          <w:p w:rsidR="0097595D" w:rsidRPr="00E05116" w:rsidRDefault="0097595D" w:rsidP="0097595D">
            <w:pPr>
              <w:pStyle w:val="cuatexto"/>
              <w:jc w:val="left"/>
              <w:rPr>
                <w:szCs w:val="20"/>
              </w:rPr>
            </w:pPr>
            <w:r>
              <w:rPr>
                <w:szCs w:val="20"/>
              </w:rPr>
              <w:t>Septiembre</w:t>
            </w:r>
          </w:p>
        </w:tc>
        <w:tc>
          <w:tcPr>
            <w:tcW w:w="2616" w:type="dxa"/>
            <w:tcBorders>
              <w:top w:val="single" w:sz="4" w:space="0" w:color="auto"/>
              <w:bottom w:val="single" w:sz="2" w:space="0" w:color="auto"/>
            </w:tcBorders>
            <w:vAlign w:val="center"/>
          </w:tcPr>
          <w:p w:rsidR="0097595D" w:rsidRPr="00E05116" w:rsidRDefault="0097595D" w:rsidP="0097595D">
            <w:pPr>
              <w:pStyle w:val="cuatexto"/>
              <w:jc w:val="right"/>
              <w:rPr>
                <w:szCs w:val="20"/>
              </w:rPr>
            </w:pPr>
            <w:r>
              <w:rPr>
                <w:szCs w:val="20"/>
              </w:rPr>
              <w:t>-6,06</w:t>
            </w:r>
          </w:p>
        </w:tc>
      </w:tr>
      <w:tr w:rsidR="0097595D" w:rsidRPr="00E05116" w:rsidTr="0097595D">
        <w:trPr>
          <w:trHeight w:hRule="exact" w:val="227"/>
          <w:jc w:val="center"/>
        </w:trPr>
        <w:tc>
          <w:tcPr>
            <w:tcW w:w="6259" w:type="dxa"/>
            <w:tcBorders>
              <w:top w:val="single" w:sz="2" w:space="0" w:color="auto"/>
              <w:bottom w:val="single" w:sz="2" w:space="0" w:color="auto"/>
            </w:tcBorders>
            <w:vAlign w:val="center"/>
          </w:tcPr>
          <w:p w:rsidR="0097595D" w:rsidRPr="00E05116" w:rsidRDefault="0097595D" w:rsidP="0097595D">
            <w:pPr>
              <w:pStyle w:val="cuatexto"/>
              <w:jc w:val="left"/>
              <w:rPr>
                <w:szCs w:val="20"/>
              </w:rPr>
            </w:pPr>
            <w:r>
              <w:rPr>
                <w:szCs w:val="20"/>
              </w:rPr>
              <w:t>Octubre</w:t>
            </w:r>
          </w:p>
        </w:tc>
        <w:tc>
          <w:tcPr>
            <w:tcW w:w="2616" w:type="dxa"/>
            <w:tcBorders>
              <w:top w:val="single" w:sz="2" w:space="0" w:color="auto"/>
              <w:bottom w:val="single" w:sz="2" w:space="0" w:color="auto"/>
            </w:tcBorders>
            <w:vAlign w:val="center"/>
          </w:tcPr>
          <w:p w:rsidR="0097595D" w:rsidRPr="00E05116" w:rsidRDefault="0097595D" w:rsidP="0097595D">
            <w:pPr>
              <w:pStyle w:val="cuatexto"/>
              <w:jc w:val="right"/>
              <w:rPr>
                <w:szCs w:val="20"/>
              </w:rPr>
            </w:pPr>
            <w:r>
              <w:rPr>
                <w:szCs w:val="20"/>
              </w:rPr>
              <w:t>-4,67</w:t>
            </w:r>
          </w:p>
        </w:tc>
      </w:tr>
      <w:tr w:rsidR="0097595D" w:rsidRPr="00E05116" w:rsidTr="00922ACE">
        <w:trPr>
          <w:trHeight w:hRule="exact" w:val="227"/>
          <w:jc w:val="center"/>
        </w:trPr>
        <w:tc>
          <w:tcPr>
            <w:tcW w:w="6259" w:type="dxa"/>
            <w:tcBorders>
              <w:top w:val="single" w:sz="2" w:space="0" w:color="auto"/>
              <w:bottom w:val="single" w:sz="2" w:space="0" w:color="auto"/>
            </w:tcBorders>
            <w:vAlign w:val="center"/>
          </w:tcPr>
          <w:p w:rsidR="0097595D" w:rsidRPr="00E05116" w:rsidRDefault="0097595D" w:rsidP="0097595D">
            <w:pPr>
              <w:pStyle w:val="cuatexto"/>
              <w:jc w:val="left"/>
              <w:rPr>
                <w:szCs w:val="20"/>
              </w:rPr>
            </w:pPr>
            <w:r>
              <w:rPr>
                <w:szCs w:val="20"/>
              </w:rPr>
              <w:t>Noviembre</w:t>
            </w:r>
          </w:p>
        </w:tc>
        <w:tc>
          <w:tcPr>
            <w:tcW w:w="2616" w:type="dxa"/>
            <w:tcBorders>
              <w:top w:val="single" w:sz="2" w:space="0" w:color="auto"/>
              <w:bottom w:val="single" w:sz="2" w:space="0" w:color="auto"/>
            </w:tcBorders>
            <w:vAlign w:val="center"/>
          </w:tcPr>
          <w:p w:rsidR="0097595D" w:rsidRPr="00E05116" w:rsidRDefault="0097595D" w:rsidP="0097595D">
            <w:pPr>
              <w:pStyle w:val="cuatexto"/>
              <w:jc w:val="right"/>
              <w:rPr>
                <w:szCs w:val="20"/>
              </w:rPr>
            </w:pPr>
            <w:r>
              <w:rPr>
                <w:szCs w:val="20"/>
              </w:rPr>
              <w:t>-5,39</w:t>
            </w:r>
          </w:p>
        </w:tc>
      </w:tr>
      <w:tr w:rsidR="0097595D" w:rsidRPr="00E05116" w:rsidTr="00922ACE">
        <w:trPr>
          <w:trHeight w:hRule="exact" w:val="227"/>
          <w:jc w:val="center"/>
        </w:trPr>
        <w:tc>
          <w:tcPr>
            <w:tcW w:w="6259" w:type="dxa"/>
            <w:tcBorders>
              <w:top w:val="single" w:sz="2" w:space="0" w:color="auto"/>
              <w:bottom w:val="single" w:sz="4" w:space="0" w:color="auto"/>
            </w:tcBorders>
            <w:vAlign w:val="center"/>
          </w:tcPr>
          <w:p w:rsidR="0097595D" w:rsidRPr="00E05116" w:rsidRDefault="0097595D" w:rsidP="0097595D">
            <w:pPr>
              <w:pStyle w:val="cuatexto"/>
              <w:jc w:val="left"/>
              <w:rPr>
                <w:szCs w:val="20"/>
              </w:rPr>
            </w:pPr>
            <w:r>
              <w:rPr>
                <w:szCs w:val="20"/>
              </w:rPr>
              <w:t>Diciembre</w:t>
            </w:r>
          </w:p>
        </w:tc>
        <w:tc>
          <w:tcPr>
            <w:tcW w:w="2616" w:type="dxa"/>
            <w:tcBorders>
              <w:top w:val="single" w:sz="2" w:space="0" w:color="auto"/>
              <w:bottom w:val="single" w:sz="4" w:space="0" w:color="auto"/>
            </w:tcBorders>
            <w:vAlign w:val="center"/>
          </w:tcPr>
          <w:p w:rsidR="0097595D" w:rsidRPr="00E05116" w:rsidRDefault="0097595D" w:rsidP="0097595D">
            <w:pPr>
              <w:pStyle w:val="cuatexto"/>
              <w:jc w:val="right"/>
              <w:rPr>
                <w:szCs w:val="20"/>
              </w:rPr>
            </w:pPr>
            <w:r>
              <w:rPr>
                <w:szCs w:val="20"/>
              </w:rPr>
              <w:t>-9,95</w:t>
            </w:r>
          </w:p>
        </w:tc>
      </w:tr>
    </w:tbl>
    <w:p w:rsidR="001B3767" w:rsidRPr="000E2288" w:rsidRDefault="001B3767" w:rsidP="00F2373B">
      <w:pPr>
        <w:pStyle w:val="texto"/>
        <w:spacing w:before="240"/>
        <w:rPr>
          <w:lang w:val="es-ES"/>
        </w:rPr>
      </w:pPr>
      <w:r w:rsidRPr="000E2288">
        <w:rPr>
          <w:lang w:val="es-ES"/>
        </w:rPr>
        <w:t>El objetivo de deuda pública para el año 2014, calculado conforme a la m</w:t>
      </w:r>
      <w:r w:rsidRPr="000E2288">
        <w:rPr>
          <w:lang w:val="es-ES"/>
        </w:rPr>
        <w:t>e</w:t>
      </w:r>
      <w:r w:rsidRPr="000E2288">
        <w:rPr>
          <w:lang w:val="es-ES"/>
        </w:rPr>
        <w:t>todología del Procedimiento de déficit excesivo (PDE), se fijó para la Comun</w:t>
      </w:r>
      <w:r w:rsidRPr="000E2288">
        <w:rPr>
          <w:lang w:val="es-ES"/>
        </w:rPr>
        <w:t>i</w:t>
      </w:r>
      <w:r w:rsidRPr="000E2288">
        <w:rPr>
          <w:lang w:val="es-ES"/>
        </w:rPr>
        <w:t>dad Foral en el 18,1 por ciento del PIB regional.</w:t>
      </w:r>
    </w:p>
    <w:p w:rsidR="001B3767" w:rsidRPr="000E2288" w:rsidRDefault="001B3767" w:rsidP="001B3767">
      <w:pPr>
        <w:pStyle w:val="texto"/>
        <w:rPr>
          <w:lang w:val="es-ES"/>
        </w:rPr>
      </w:pPr>
      <w:r w:rsidRPr="000E2288">
        <w:rPr>
          <w:lang w:val="es-ES"/>
        </w:rPr>
        <w:t>Según el PDE se entiende por deuda pública el valor nominal de las oblig</w:t>
      </w:r>
      <w:r w:rsidRPr="000E2288">
        <w:rPr>
          <w:lang w:val="es-ES"/>
        </w:rPr>
        <w:t>a</w:t>
      </w:r>
      <w:r w:rsidRPr="000E2288">
        <w:rPr>
          <w:lang w:val="es-ES"/>
        </w:rPr>
        <w:t>ciones brutas del sector administración pública pendientes a final de año, esto es, la emisión de moneda metálica, obligaciones y bonos, préstamos y créditos. No se incluyen los derivados financieros, los créditos comerciales ni los pas</w:t>
      </w:r>
      <w:r w:rsidRPr="000E2288">
        <w:rPr>
          <w:lang w:val="es-ES"/>
        </w:rPr>
        <w:t>i</w:t>
      </w:r>
      <w:r w:rsidRPr="000E2288">
        <w:rPr>
          <w:lang w:val="es-ES"/>
        </w:rPr>
        <w:t xml:space="preserve">vos de la Administración Pública en poder de otras </w:t>
      </w:r>
      <w:r w:rsidR="003D1A1B" w:rsidRPr="000E2288">
        <w:rPr>
          <w:lang w:val="es-ES"/>
        </w:rPr>
        <w:t>administraciones públicas</w:t>
      </w:r>
      <w:r w:rsidRPr="000E2288">
        <w:rPr>
          <w:lang w:val="es-ES"/>
        </w:rPr>
        <w:t>.</w:t>
      </w:r>
    </w:p>
    <w:p w:rsidR="001B3767" w:rsidRPr="000E2288" w:rsidRDefault="001B3767" w:rsidP="00DC76B0">
      <w:pPr>
        <w:pStyle w:val="texto"/>
        <w:spacing w:after="200"/>
        <w:rPr>
          <w:lang w:val="es-ES"/>
        </w:rPr>
      </w:pPr>
      <w:r w:rsidRPr="000E2288">
        <w:rPr>
          <w:lang w:val="es-ES"/>
        </w:rPr>
        <w:lastRenderedPageBreak/>
        <w:t xml:space="preserve">El cálculo de la deuda pública lo realiza el Banco de España, según el cual, a 31 de diciembre de 2014, el endeudamiento total del Sector Administración Pública ascendía a 3.197 millones, un 17,9 por ciento del PIB regional, inferior al límite fijado en el 18,1 por ciento. Su desglose es el siguiente: </w:t>
      </w:r>
    </w:p>
    <w:p w:rsidR="001B3767" w:rsidRPr="00DC76B0" w:rsidRDefault="001B3767" w:rsidP="00DC76B0">
      <w:pPr>
        <w:pStyle w:val="texto"/>
        <w:spacing w:after="80"/>
        <w:ind w:right="-212"/>
        <w:jc w:val="right"/>
        <w:rPr>
          <w:rFonts w:ascii="Arial" w:hAnsi="Arial" w:cs="Arial"/>
          <w:sz w:val="16"/>
          <w:szCs w:val="16"/>
          <w:lang w:val="es-ES" w:eastAsia="es-ES"/>
        </w:rPr>
      </w:pPr>
      <w:r>
        <w:rPr>
          <w:rFonts w:ascii="Arial Narrow" w:hAnsi="Arial Narrow"/>
          <w:sz w:val="16"/>
          <w:szCs w:val="16"/>
          <w:lang w:val="es-ES" w:eastAsia="es-ES"/>
        </w:rPr>
        <w:t xml:space="preserve">                  </w:t>
      </w:r>
      <w:r w:rsidRPr="00DC76B0">
        <w:rPr>
          <w:rFonts w:ascii="Arial" w:hAnsi="Arial" w:cs="Arial"/>
          <w:sz w:val="16"/>
          <w:szCs w:val="16"/>
          <w:lang w:val="es-ES" w:eastAsia="es-ES"/>
        </w:rPr>
        <w:t>(</w:t>
      </w:r>
      <w:proofErr w:type="gramStart"/>
      <w:r w:rsidR="00911231" w:rsidRPr="00DC76B0">
        <w:rPr>
          <w:rFonts w:ascii="Arial" w:hAnsi="Arial" w:cs="Arial"/>
          <w:sz w:val="16"/>
          <w:szCs w:val="16"/>
          <w:lang w:val="es-ES" w:eastAsia="es-ES"/>
        </w:rPr>
        <w:t>millones</w:t>
      </w:r>
      <w:proofErr w:type="gramEnd"/>
      <w:r w:rsidR="00911231" w:rsidRPr="00DC76B0">
        <w:rPr>
          <w:rFonts w:ascii="Arial" w:hAnsi="Arial" w:cs="Arial"/>
          <w:sz w:val="16"/>
          <w:szCs w:val="16"/>
          <w:lang w:val="es-ES" w:eastAsia="es-ES"/>
        </w:rPr>
        <w:t xml:space="preserve"> </w:t>
      </w:r>
      <w:r w:rsidRPr="00DC76B0">
        <w:rPr>
          <w:rFonts w:ascii="Arial" w:hAnsi="Arial" w:cs="Arial"/>
          <w:sz w:val="16"/>
          <w:szCs w:val="16"/>
          <w:lang w:val="es-ES" w:eastAsia="es-ES"/>
        </w:rPr>
        <w:t>de euros)</w:t>
      </w:r>
    </w:p>
    <w:tbl>
      <w:tblPr>
        <w:tblW w:w="9245" w:type="dxa"/>
        <w:jc w:val="center"/>
        <w:tblBorders>
          <w:top w:val="single" w:sz="4" w:space="0" w:color="000000"/>
          <w:bottom w:val="single" w:sz="4" w:space="0" w:color="000000"/>
        </w:tblBorders>
        <w:tblLayout w:type="fixed"/>
        <w:tblLook w:val="01E0" w:firstRow="1" w:lastRow="1" w:firstColumn="1" w:lastColumn="1" w:noHBand="0" w:noVBand="0"/>
      </w:tblPr>
      <w:tblGrid>
        <w:gridCol w:w="2994"/>
        <w:gridCol w:w="913"/>
        <w:gridCol w:w="1187"/>
        <w:gridCol w:w="1141"/>
        <w:gridCol w:w="1276"/>
        <w:gridCol w:w="500"/>
        <w:gridCol w:w="203"/>
        <w:gridCol w:w="120"/>
        <w:gridCol w:w="911"/>
      </w:tblGrid>
      <w:tr w:rsidR="001B3767" w:rsidRPr="008C2656" w:rsidTr="00A057F1">
        <w:trPr>
          <w:trHeight w:val="255"/>
          <w:jc w:val="center"/>
        </w:trPr>
        <w:tc>
          <w:tcPr>
            <w:tcW w:w="2994" w:type="dxa"/>
            <w:tcBorders>
              <w:top w:val="single" w:sz="4" w:space="0" w:color="000000"/>
              <w:bottom w:val="nil"/>
            </w:tcBorders>
            <w:shd w:val="clear" w:color="auto" w:fill="8DB3E2" w:themeFill="text2" w:themeFillTint="66"/>
            <w:vAlign w:val="center"/>
          </w:tcPr>
          <w:p w:rsidR="001B3767" w:rsidRPr="008C2656" w:rsidRDefault="001B3767" w:rsidP="008C2656">
            <w:pPr>
              <w:pStyle w:val="cuadroCabe"/>
              <w:jc w:val="left"/>
              <w:rPr>
                <w:rFonts w:cs="Arial"/>
                <w:sz w:val="16"/>
                <w:szCs w:val="16"/>
                <w:highlight w:val="yellow"/>
              </w:rPr>
            </w:pPr>
          </w:p>
        </w:tc>
        <w:tc>
          <w:tcPr>
            <w:tcW w:w="6251" w:type="dxa"/>
            <w:gridSpan w:val="8"/>
            <w:tcBorders>
              <w:top w:val="single" w:sz="4" w:space="0" w:color="000000"/>
              <w:bottom w:val="single" w:sz="4" w:space="0" w:color="000000"/>
            </w:tcBorders>
            <w:shd w:val="clear" w:color="auto" w:fill="8DB3E2" w:themeFill="text2" w:themeFillTint="66"/>
            <w:vAlign w:val="center"/>
          </w:tcPr>
          <w:p w:rsidR="001B3767" w:rsidRPr="008C2656" w:rsidRDefault="001B3767" w:rsidP="000E2288">
            <w:pPr>
              <w:pStyle w:val="cuadroCabe"/>
              <w:jc w:val="center"/>
              <w:rPr>
                <w:rFonts w:cs="Arial"/>
                <w:sz w:val="16"/>
                <w:szCs w:val="16"/>
              </w:rPr>
            </w:pPr>
            <w:r w:rsidRPr="008C2656">
              <w:rPr>
                <w:rFonts w:cs="Arial"/>
                <w:sz w:val="16"/>
                <w:szCs w:val="16"/>
              </w:rPr>
              <w:t>Sector Administración Pública</w:t>
            </w:r>
          </w:p>
        </w:tc>
      </w:tr>
      <w:tr w:rsidR="001B3767" w:rsidRPr="008C2656" w:rsidTr="00A057F1">
        <w:trPr>
          <w:trHeight w:val="255"/>
          <w:jc w:val="center"/>
        </w:trPr>
        <w:tc>
          <w:tcPr>
            <w:tcW w:w="2994" w:type="dxa"/>
            <w:tcBorders>
              <w:top w:val="nil"/>
              <w:bottom w:val="single" w:sz="4" w:space="0" w:color="000000"/>
            </w:tcBorders>
            <w:shd w:val="clear" w:color="auto" w:fill="8DB3E2" w:themeFill="text2" w:themeFillTint="66"/>
            <w:vAlign w:val="center"/>
          </w:tcPr>
          <w:p w:rsidR="001B3767" w:rsidRPr="008C2656" w:rsidRDefault="001B3767" w:rsidP="008C2656">
            <w:pPr>
              <w:pStyle w:val="cuadroCabe"/>
              <w:jc w:val="left"/>
              <w:rPr>
                <w:rFonts w:cs="Arial"/>
                <w:sz w:val="16"/>
                <w:szCs w:val="16"/>
              </w:rPr>
            </w:pPr>
            <w:r w:rsidRPr="008C2656">
              <w:rPr>
                <w:rFonts w:cs="Arial"/>
                <w:sz w:val="16"/>
                <w:szCs w:val="16"/>
              </w:rPr>
              <w:t xml:space="preserve">Deuda según PDE </w:t>
            </w:r>
          </w:p>
        </w:tc>
        <w:tc>
          <w:tcPr>
            <w:tcW w:w="913"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3218E6">
            <w:pPr>
              <w:pStyle w:val="cuadroCabe"/>
              <w:jc w:val="right"/>
              <w:rPr>
                <w:rFonts w:cs="Arial"/>
                <w:sz w:val="16"/>
                <w:szCs w:val="16"/>
              </w:rPr>
            </w:pPr>
            <w:r w:rsidRPr="008C2656">
              <w:rPr>
                <w:rFonts w:cs="Arial"/>
                <w:sz w:val="16"/>
                <w:szCs w:val="16"/>
              </w:rPr>
              <w:t>Adm</w:t>
            </w:r>
            <w:r w:rsidR="003218E6">
              <w:rPr>
                <w:rFonts w:cs="Arial"/>
                <w:sz w:val="16"/>
                <w:szCs w:val="16"/>
              </w:rPr>
              <w:t>ó</w:t>
            </w:r>
            <w:r w:rsidRPr="008C2656">
              <w:rPr>
                <w:rFonts w:cs="Arial"/>
                <w:sz w:val="16"/>
                <w:szCs w:val="16"/>
              </w:rPr>
              <w:t>n.</w:t>
            </w:r>
          </w:p>
        </w:tc>
        <w:tc>
          <w:tcPr>
            <w:tcW w:w="1187"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rPr>
            </w:pPr>
            <w:r w:rsidRPr="008C2656">
              <w:rPr>
                <w:rFonts w:cs="Arial"/>
                <w:sz w:val="16"/>
                <w:szCs w:val="16"/>
              </w:rPr>
              <w:t xml:space="preserve">Organismos </w:t>
            </w:r>
            <w:r w:rsidR="009E36CD" w:rsidRPr="008C2656">
              <w:rPr>
                <w:rFonts w:cs="Arial"/>
                <w:sz w:val="16"/>
                <w:szCs w:val="16"/>
              </w:rPr>
              <w:t>Autónomos</w:t>
            </w:r>
          </w:p>
        </w:tc>
        <w:tc>
          <w:tcPr>
            <w:tcW w:w="1141"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rPr>
            </w:pPr>
            <w:r w:rsidRPr="008C2656">
              <w:rPr>
                <w:rFonts w:cs="Arial"/>
                <w:sz w:val="16"/>
                <w:szCs w:val="16"/>
              </w:rPr>
              <w:t>Sociedades</w:t>
            </w:r>
          </w:p>
        </w:tc>
        <w:tc>
          <w:tcPr>
            <w:tcW w:w="1276"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rPr>
            </w:pPr>
            <w:r w:rsidRPr="008C2656">
              <w:rPr>
                <w:rFonts w:cs="Arial"/>
                <w:sz w:val="16"/>
                <w:szCs w:val="16"/>
              </w:rPr>
              <w:t>Fundaciones</w:t>
            </w:r>
          </w:p>
        </w:tc>
        <w:tc>
          <w:tcPr>
            <w:tcW w:w="703" w:type="dxa"/>
            <w:gridSpan w:val="2"/>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rPr>
            </w:pPr>
            <w:r w:rsidRPr="008C2656">
              <w:rPr>
                <w:rFonts w:cs="Arial"/>
                <w:sz w:val="16"/>
                <w:szCs w:val="16"/>
              </w:rPr>
              <w:t>UPNA</w:t>
            </w:r>
          </w:p>
        </w:tc>
        <w:tc>
          <w:tcPr>
            <w:tcW w:w="1031" w:type="dxa"/>
            <w:gridSpan w:val="2"/>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rPr>
            </w:pPr>
            <w:r w:rsidRPr="008C2656">
              <w:rPr>
                <w:rFonts w:cs="Arial"/>
                <w:sz w:val="16"/>
                <w:szCs w:val="16"/>
              </w:rPr>
              <w:t>Total</w:t>
            </w:r>
          </w:p>
        </w:tc>
      </w:tr>
      <w:tr w:rsidR="001B3767" w:rsidRPr="008C2656" w:rsidTr="00DC76B0">
        <w:trPr>
          <w:trHeight w:val="227"/>
          <w:jc w:val="center"/>
        </w:trPr>
        <w:tc>
          <w:tcPr>
            <w:tcW w:w="2994" w:type="dxa"/>
            <w:tcBorders>
              <w:top w:val="single" w:sz="4" w:space="0" w:color="000000"/>
              <w:bottom w:val="single" w:sz="2" w:space="0" w:color="000000"/>
            </w:tcBorders>
            <w:vAlign w:val="center"/>
          </w:tcPr>
          <w:p w:rsidR="001B3767" w:rsidRPr="008C2656" w:rsidRDefault="001B3767" w:rsidP="008C2656">
            <w:pPr>
              <w:spacing w:after="0"/>
              <w:ind w:firstLine="0"/>
              <w:jc w:val="left"/>
              <w:rPr>
                <w:rFonts w:ascii="Arial Narrow" w:hAnsi="Arial Narrow" w:cs="Arial"/>
                <w:sz w:val="17"/>
                <w:szCs w:val="17"/>
                <w:lang w:val="es-ES" w:eastAsia="es-ES"/>
              </w:rPr>
            </w:pPr>
            <w:r w:rsidRPr="008C2656">
              <w:rPr>
                <w:rFonts w:ascii="Arial Narrow" w:hAnsi="Arial Narrow" w:cs="Arial"/>
                <w:sz w:val="17"/>
                <w:szCs w:val="17"/>
                <w:lang w:val="es-ES" w:eastAsia="es-ES"/>
              </w:rPr>
              <w:t xml:space="preserve">Deuda Pública </w:t>
            </w:r>
          </w:p>
        </w:tc>
        <w:tc>
          <w:tcPr>
            <w:tcW w:w="913"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2.018,57</w:t>
            </w:r>
          </w:p>
        </w:tc>
        <w:tc>
          <w:tcPr>
            <w:tcW w:w="1187"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141"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276"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703" w:type="dxa"/>
            <w:gridSpan w:val="2"/>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031" w:type="dxa"/>
            <w:gridSpan w:val="2"/>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2.018,57</w:t>
            </w:r>
          </w:p>
        </w:tc>
      </w:tr>
      <w:tr w:rsidR="001B3767" w:rsidRPr="008C2656" w:rsidTr="00DC76B0">
        <w:trPr>
          <w:trHeight w:val="227"/>
          <w:jc w:val="center"/>
        </w:trPr>
        <w:tc>
          <w:tcPr>
            <w:tcW w:w="2994" w:type="dxa"/>
            <w:tcBorders>
              <w:top w:val="single" w:sz="2" w:space="0" w:color="000000"/>
              <w:bottom w:val="single" w:sz="2" w:space="0" w:color="000000"/>
            </w:tcBorders>
            <w:vAlign w:val="center"/>
          </w:tcPr>
          <w:p w:rsidR="001B3767" w:rsidRPr="008C2656" w:rsidRDefault="001B3767" w:rsidP="008C2656">
            <w:pPr>
              <w:spacing w:after="0"/>
              <w:ind w:firstLine="0"/>
              <w:jc w:val="left"/>
              <w:rPr>
                <w:rFonts w:ascii="Arial Narrow" w:hAnsi="Arial Narrow" w:cs="Arial"/>
                <w:sz w:val="17"/>
                <w:szCs w:val="17"/>
                <w:lang w:val="es-ES" w:eastAsia="es-ES"/>
              </w:rPr>
            </w:pPr>
            <w:r w:rsidRPr="008C2656">
              <w:rPr>
                <w:rFonts w:ascii="Arial Narrow" w:hAnsi="Arial Narrow" w:cs="Arial"/>
                <w:sz w:val="17"/>
                <w:szCs w:val="17"/>
                <w:lang w:val="es-ES" w:eastAsia="es-ES"/>
              </w:rPr>
              <w:t xml:space="preserve">Préstamos con entidades financieras </w:t>
            </w:r>
          </w:p>
        </w:tc>
        <w:tc>
          <w:tcPr>
            <w:tcW w:w="913"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365,4</w:t>
            </w:r>
          </w:p>
        </w:tc>
        <w:tc>
          <w:tcPr>
            <w:tcW w:w="1187"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141"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67,59</w:t>
            </w:r>
          </w:p>
        </w:tc>
        <w:tc>
          <w:tcPr>
            <w:tcW w:w="1276"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5,91</w:t>
            </w:r>
          </w:p>
        </w:tc>
        <w:tc>
          <w:tcPr>
            <w:tcW w:w="703"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031"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438,92</w:t>
            </w:r>
          </w:p>
        </w:tc>
      </w:tr>
      <w:tr w:rsidR="001B3767" w:rsidRPr="008C2656" w:rsidTr="00DC76B0">
        <w:trPr>
          <w:trHeight w:val="227"/>
          <w:jc w:val="center"/>
        </w:trPr>
        <w:tc>
          <w:tcPr>
            <w:tcW w:w="2994" w:type="dxa"/>
            <w:tcBorders>
              <w:top w:val="single" w:sz="2" w:space="0" w:color="000000"/>
              <w:bottom w:val="single" w:sz="2" w:space="0" w:color="000000"/>
            </w:tcBorders>
            <w:vAlign w:val="center"/>
          </w:tcPr>
          <w:p w:rsidR="001B3767" w:rsidRPr="008C2656" w:rsidRDefault="001B3767" w:rsidP="008C2656">
            <w:pPr>
              <w:spacing w:after="0"/>
              <w:ind w:firstLine="0"/>
              <w:jc w:val="left"/>
              <w:rPr>
                <w:rFonts w:ascii="Arial Narrow" w:hAnsi="Arial Narrow" w:cs="Arial"/>
                <w:sz w:val="17"/>
                <w:szCs w:val="17"/>
                <w:lang w:val="es-ES" w:eastAsia="es-ES"/>
              </w:rPr>
            </w:pPr>
            <w:r w:rsidRPr="008C2656">
              <w:rPr>
                <w:rFonts w:ascii="Arial Narrow" w:hAnsi="Arial Narrow" w:cs="Arial"/>
                <w:sz w:val="17"/>
                <w:szCs w:val="17"/>
                <w:lang w:val="es-ES" w:eastAsia="es-ES"/>
              </w:rPr>
              <w:t>Préstamos con el BEI</w:t>
            </w:r>
          </w:p>
        </w:tc>
        <w:tc>
          <w:tcPr>
            <w:tcW w:w="913"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300</w:t>
            </w:r>
          </w:p>
        </w:tc>
        <w:tc>
          <w:tcPr>
            <w:tcW w:w="1187"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141"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100</w:t>
            </w:r>
          </w:p>
        </w:tc>
        <w:tc>
          <w:tcPr>
            <w:tcW w:w="1276"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703"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031"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400</w:t>
            </w:r>
          </w:p>
        </w:tc>
      </w:tr>
      <w:tr w:rsidR="001B3767" w:rsidRPr="008C2656" w:rsidTr="00DC76B0">
        <w:trPr>
          <w:trHeight w:val="227"/>
          <w:jc w:val="center"/>
        </w:trPr>
        <w:tc>
          <w:tcPr>
            <w:tcW w:w="2994" w:type="dxa"/>
            <w:tcBorders>
              <w:top w:val="single" w:sz="2" w:space="0" w:color="000000"/>
              <w:bottom w:val="single" w:sz="2" w:space="0" w:color="000000"/>
            </w:tcBorders>
            <w:vAlign w:val="center"/>
          </w:tcPr>
          <w:p w:rsidR="001B3767" w:rsidRPr="008C2656" w:rsidRDefault="001B3767" w:rsidP="008C2656">
            <w:pPr>
              <w:spacing w:after="0"/>
              <w:ind w:firstLine="0"/>
              <w:jc w:val="left"/>
              <w:rPr>
                <w:rFonts w:ascii="Arial Narrow" w:hAnsi="Arial Narrow" w:cs="Arial"/>
                <w:sz w:val="17"/>
                <w:szCs w:val="17"/>
                <w:lang w:val="es-ES" w:eastAsia="es-ES"/>
              </w:rPr>
            </w:pPr>
            <w:proofErr w:type="spellStart"/>
            <w:r w:rsidRPr="008C2656">
              <w:rPr>
                <w:rFonts w:ascii="Arial Narrow" w:hAnsi="Arial Narrow" w:cs="Arial"/>
                <w:sz w:val="17"/>
                <w:szCs w:val="17"/>
                <w:lang w:val="es-ES" w:eastAsia="es-ES"/>
              </w:rPr>
              <w:t>Factoring</w:t>
            </w:r>
            <w:proofErr w:type="spellEnd"/>
            <w:r w:rsidRPr="008C2656">
              <w:rPr>
                <w:rFonts w:ascii="Arial Narrow" w:hAnsi="Arial Narrow" w:cs="Arial"/>
                <w:sz w:val="17"/>
                <w:szCs w:val="17"/>
                <w:lang w:val="es-ES" w:eastAsia="es-ES"/>
              </w:rPr>
              <w:t xml:space="preserve"> sin rec</w:t>
            </w:r>
            <w:r w:rsidR="0097595D">
              <w:rPr>
                <w:rFonts w:ascii="Arial Narrow" w:hAnsi="Arial Narrow" w:cs="Arial"/>
                <w:sz w:val="17"/>
                <w:szCs w:val="17"/>
                <w:lang w:val="es-ES" w:eastAsia="es-ES"/>
              </w:rPr>
              <w:t>urso</w:t>
            </w:r>
          </w:p>
        </w:tc>
        <w:tc>
          <w:tcPr>
            <w:tcW w:w="913"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18,46</w:t>
            </w:r>
          </w:p>
        </w:tc>
        <w:tc>
          <w:tcPr>
            <w:tcW w:w="1187"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0,19</w:t>
            </w:r>
          </w:p>
        </w:tc>
        <w:tc>
          <w:tcPr>
            <w:tcW w:w="1141"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0,02</w:t>
            </w:r>
          </w:p>
        </w:tc>
        <w:tc>
          <w:tcPr>
            <w:tcW w:w="1276" w:type="dxa"/>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703"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0,05</w:t>
            </w:r>
          </w:p>
        </w:tc>
        <w:tc>
          <w:tcPr>
            <w:tcW w:w="1031" w:type="dxa"/>
            <w:gridSpan w:val="2"/>
            <w:tcBorders>
              <w:top w:val="single" w:sz="2"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18,72</w:t>
            </w:r>
          </w:p>
        </w:tc>
      </w:tr>
      <w:tr w:rsidR="001B3767" w:rsidRPr="008C2656" w:rsidTr="00DC76B0">
        <w:trPr>
          <w:trHeight w:val="227"/>
          <w:jc w:val="center"/>
        </w:trPr>
        <w:tc>
          <w:tcPr>
            <w:tcW w:w="2994" w:type="dxa"/>
            <w:tcBorders>
              <w:top w:val="single" w:sz="2" w:space="0" w:color="000000"/>
              <w:bottom w:val="single" w:sz="4" w:space="0" w:color="000000"/>
            </w:tcBorders>
            <w:vAlign w:val="center"/>
          </w:tcPr>
          <w:p w:rsidR="001B3767" w:rsidRPr="008C2656" w:rsidRDefault="001B3767" w:rsidP="008C2656">
            <w:pPr>
              <w:spacing w:after="0"/>
              <w:ind w:firstLine="0"/>
              <w:jc w:val="left"/>
              <w:rPr>
                <w:rFonts w:ascii="Arial Narrow" w:hAnsi="Arial Narrow" w:cs="Arial"/>
                <w:sz w:val="17"/>
                <w:szCs w:val="17"/>
                <w:lang w:val="es-ES" w:eastAsia="es-ES"/>
              </w:rPr>
            </w:pPr>
            <w:r w:rsidRPr="008C2656">
              <w:rPr>
                <w:rFonts w:ascii="Arial Narrow" w:hAnsi="Arial Narrow" w:cs="Arial"/>
                <w:sz w:val="17"/>
                <w:szCs w:val="17"/>
                <w:lang w:val="es-ES" w:eastAsia="es-ES"/>
              </w:rPr>
              <w:t>Autovía del Pirineo Y Canal de Navarra</w:t>
            </w:r>
          </w:p>
        </w:tc>
        <w:tc>
          <w:tcPr>
            <w:tcW w:w="913"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321</w:t>
            </w:r>
          </w:p>
        </w:tc>
        <w:tc>
          <w:tcPr>
            <w:tcW w:w="1187"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141"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276"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703" w:type="dxa"/>
            <w:gridSpan w:val="2"/>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p>
        </w:tc>
        <w:tc>
          <w:tcPr>
            <w:tcW w:w="1031" w:type="dxa"/>
            <w:gridSpan w:val="2"/>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sz w:val="17"/>
                <w:szCs w:val="17"/>
                <w:lang w:val="es-ES" w:eastAsia="es-ES"/>
              </w:rPr>
            </w:pPr>
            <w:r w:rsidRPr="008C2656">
              <w:rPr>
                <w:rFonts w:ascii="Arial Narrow" w:hAnsi="Arial Narrow" w:cs="Arial"/>
                <w:sz w:val="17"/>
                <w:szCs w:val="17"/>
                <w:lang w:val="es-ES" w:eastAsia="es-ES"/>
              </w:rPr>
              <w:t>321</w:t>
            </w:r>
          </w:p>
        </w:tc>
      </w:tr>
      <w:tr w:rsidR="001B3767" w:rsidRPr="008C2656" w:rsidTr="00C414B5">
        <w:trPr>
          <w:trHeight w:val="227"/>
          <w:jc w:val="center"/>
        </w:trPr>
        <w:tc>
          <w:tcPr>
            <w:tcW w:w="2994"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left"/>
              <w:rPr>
                <w:rFonts w:cs="Arial"/>
                <w:sz w:val="16"/>
                <w:szCs w:val="16"/>
                <w:lang w:val="es-ES" w:eastAsia="es-ES"/>
              </w:rPr>
            </w:pPr>
            <w:r w:rsidRPr="008C2656">
              <w:rPr>
                <w:rFonts w:cs="Arial"/>
                <w:sz w:val="16"/>
                <w:szCs w:val="16"/>
                <w:lang w:val="es-ES" w:eastAsia="es-ES"/>
              </w:rPr>
              <w:t xml:space="preserve">Total </w:t>
            </w:r>
            <w:r w:rsidR="00DC76B0" w:rsidRPr="008C2656">
              <w:rPr>
                <w:rFonts w:cs="Arial"/>
                <w:sz w:val="16"/>
                <w:szCs w:val="16"/>
                <w:lang w:val="es-ES" w:eastAsia="es-ES"/>
              </w:rPr>
              <w:t xml:space="preserve">endeudamiento </w:t>
            </w:r>
            <w:r w:rsidRPr="008C2656">
              <w:rPr>
                <w:rFonts w:cs="Arial"/>
                <w:sz w:val="16"/>
                <w:szCs w:val="16"/>
                <w:lang w:val="es-ES" w:eastAsia="es-ES"/>
              </w:rPr>
              <w:t>a 31-XII-2014</w:t>
            </w:r>
          </w:p>
        </w:tc>
        <w:tc>
          <w:tcPr>
            <w:tcW w:w="913"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lang w:val="es-ES" w:eastAsia="es-ES"/>
              </w:rPr>
            </w:pPr>
            <w:r w:rsidRPr="008C2656">
              <w:rPr>
                <w:rFonts w:cs="Arial"/>
                <w:sz w:val="16"/>
                <w:szCs w:val="16"/>
                <w:lang w:val="es-ES" w:eastAsia="es-ES"/>
              </w:rPr>
              <w:fldChar w:fldCharType="begin"/>
            </w:r>
            <w:r w:rsidRPr="008C2656">
              <w:rPr>
                <w:rFonts w:cs="Arial"/>
                <w:sz w:val="16"/>
                <w:szCs w:val="16"/>
                <w:lang w:val="es-ES" w:eastAsia="es-ES"/>
              </w:rPr>
              <w:instrText xml:space="preserve"> =SUM(ABOVE) </w:instrText>
            </w:r>
            <w:r w:rsidRPr="008C2656">
              <w:rPr>
                <w:rFonts w:cs="Arial"/>
                <w:sz w:val="16"/>
                <w:szCs w:val="16"/>
                <w:lang w:val="es-ES" w:eastAsia="es-ES"/>
              </w:rPr>
              <w:fldChar w:fldCharType="separate"/>
            </w:r>
            <w:r w:rsidRPr="008C2656">
              <w:rPr>
                <w:rFonts w:cs="Arial"/>
                <w:noProof/>
                <w:sz w:val="16"/>
                <w:szCs w:val="16"/>
                <w:lang w:val="es-ES" w:eastAsia="es-ES"/>
              </w:rPr>
              <w:t>3.023,43</w:t>
            </w:r>
            <w:r w:rsidRPr="008C2656">
              <w:rPr>
                <w:rFonts w:cs="Arial"/>
                <w:sz w:val="16"/>
                <w:szCs w:val="16"/>
                <w:lang w:val="es-ES" w:eastAsia="es-ES"/>
              </w:rPr>
              <w:fldChar w:fldCharType="end"/>
            </w:r>
          </w:p>
        </w:tc>
        <w:tc>
          <w:tcPr>
            <w:tcW w:w="1187"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lang w:val="es-ES" w:eastAsia="es-ES"/>
              </w:rPr>
            </w:pPr>
            <w:r w:rsidRPr="008C2656">
              <w:rPr>
                <w:rFonts w:cs="Arial"/>
                <w:sz w:val="16"/>
                <w:szCs w:val="16"/>
                <w:lang w:val="es-ES" w:eastAsia="es-ES"/>
              </w:rPr>
              <w:t>0,19</w:t>
            </w:r>
          </w:p>
        </w:tc>
        <w:tc>
          <w:tcPr>
            <w:tcW w:w="1141"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lang w:val="es-ES" w:eastAsia="es-ES"/>
              </w:rPr>
            </w:pPr>
            <w:r w:rsidRPr="008C2656">
              <w:rPr>
                <w:rFonts w:cs="Arial"/>
                <w:sz w:val="16"/>
                <w:szCs w:val="16"/>
                <w:lang w:val="es-ES" w:eastAsia="es-ES"/>
              </w:rPr>
              <w:t>167,61</w:t>
            </w:r>
          </w:p>
        </w:tc>
        <w:tc>
          <w:tcPr>
            <w:tcW w:w="1276"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lang w:val="es-ES" w:eastAsia="es-ES"/>
              </w:rPr>
            </w:pPr>
            <w:r w:rsidRPr="008C2656">
              <w:rPr>
                <w:rFonts w:cs="Arial"/>
                <w:sz w:val="16"/>
                <w:szCs w:val="16"/>
                <w:lang w:val="es-ES" w:eastAsia="es-ES"/>
              </w:rPr>
              <w:t>5,91</w:t>
            </w:r>
          </w:p>
        </w:tc>
        <w:tc>
          <w:tcPr>
            <w:tcW w:w="823" w:type="dxa"/>
            <w:gridSpan w:val="3"/>
            <w:tcBorders>
              <w:top w:val="single" w:sz="4" w:space="0" w:color="000000"/>
              <w:bottom w:val="single" w:sz="4" w:space="0" w:color="000000"/>
            </w:tcBorders>
            <w:shd w:val="clear" w:color="auto" w:fill="8DB3E2" w:themeFill="text2" w:themeFillTint="66"/>
            <w:vAlign w:val="center"/>
          </w:tcPr>
          <w:p w:rsidR="001B3767" w:rsidRPr="008C2656" w:rsidRDefault="00DC76B0" w:rsidP="00DC76B0">
            <w:pPr>
              <w:pStyle w:val="cuadroCabe"/>
              <w:jc w:val="center"/>
              <w:rPr>
                <w:rFonts w:cs="Arial"/>
                <w:sz w:val="16"/>
                <w:szCs w:val="16"/>
                <w:lang w:val="es-ES" w:eastAsia="es-ES"/>
              </w:rPr>
            </w:pPr>
            <w:r>
              <w:rPr>
                <w:rFonts w:cs="Arial"/>
                <w:sz w:val="16"/>
                <w:szCs w:val="16"/>
                <w:lang w:val="es-ES" w:eastAsia="es-ES"/>
              </w:rPr>
              <w:t xml:space="preserve">  </w:t>
            </w:r>
            <w:r w:rsidR="001B3767" w:rsidRPr="008C2656">
              <w:rPr>
                <w:rFonts w:cs="Arial"/>
                <w:sz w:val="16"/>
                <w:szCs w:val="16"/>
                <w:lang w:val="es-ES" w:eastAsia="es-ES"/>
              </w:rPr>
              <w:t>0,05</w:t>
            </w:r>
          </w:p>
        </w:tc>
        <w:tc>
          <w:tcPr>
            <w:tcW w:w="911" w:type="dxa"/>
            <w:tcBorders>
              <w:top w:val="single" w:sz="4" w:space="0" w:color="000000"/>
              <w:bottom w:val="single" w:sz="4" w:space="0" w:color="000000"/>
            </w:tcBorders>
            <w:shd w:val="clear" w:color="auto" w:fill="8DB3E2" w:themeFill="text2" w:themeFillTint="66"/>
            <w:vAlign w:val="center"/>
          </w:tcPr>
          <w:p w:rsidR="001B3767" w:rsidRPr="008C2656" w:rsidRDefault="001B3767" w:rsidP="008C2656">
            <w:pPr>
              <w:pStyle w:val="cuadroCabe"/>
              <w:jc w:val="right"/>
              <w:rPr>
                <w:rFonts w:cs="Arial"/>
                <w:sz w:val="16"/>
                <w:szCs w:val="16"/>
                <w:lang w:val="es-ES" w:eastAsia="es-ES"/>
              </w:rPr>
            </w:pPr>
            <w:r w:rsidRPr="008C2656">
              <w:rPr>
                <w:rFonts w:cs="Arial"/>
                <w:sz w:val="16"/>
                <w:szCs w:val="16"/>
                <w:lang w:val="es-ES" w:eastAsia="es-ES"/>
              </w:rPr>
              <w:t>3.197,28</w:t>
            </w:r>
          </w:p>
        </w:tc>
      </w:tr>
      <w:tr w:rsidR="001B3767" w:rsidRPr="008C2656" w:rsidTr="00DC76B0">
        <w:trPr>
          <w:trHeight w:val="227"/>
          <w:jc w:val="center"/>
        </w:trPr>
        <w:tc>
          <w:tcPr>
            <w:tcW w:w="2994" w:type="dxa"/>
            <w:tcBorders>
              <w:top w:val="single" w:sz="4" w:space="0" w:color="000000"/>
              <w:bottom w:val="single" w:sz="2" w:space="0" w:color="000000"/>
            </w:tcBorders>
            <w:vAlign w:val="center"/>
          </w:tcPr>
          <w:p w:rsidR="001B3767" w:rsidRPr="008C2656" w:rsidRDefault="001B3767" w:rsidP="008C2656">
            <w:pPr>
              <w:spacing w:after="0"/>
              <w:ind w:firstLine="0"/>
              <w:jc w:val="left"/>
              <w:rPr>
                <w:rFonts w:ascii="Arial Narrow" w:hAnsi="Arial Narrow" w:cs="Arial"/>
                <w:b/>
                <w:sz w:val="17"/>
                <w:szCs w:val="17"/>
                <w:lang w:val="es-ES" w:eastAsia="es-ES"/>
              </w:rPr>
            </w:pPr>
            <w:r w:rsidRPr="008C2656">
              <w:rPr>
                <w:rFonts w:ascii="Arial Narrow" w:hAnsi="Arial Narrow" w:cs="Arial"/>
                <w:b/>
                <w:sz w:val="17"/>
                <w:szCs w:val="17"/>
                <w:lang w:val="es-ES" w:eastAsia="es-ES"/>
              </w:rPr>
              <w:t>Porcentaje sobre el PIB de Navarra</w:t>
            </w:r>
          </w:p>
        </w:tc>
        <w:tc>
          <w:tcPr>
            <w:tcW w:w="913"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187"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141"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776" w:type="dxa"/>
            <w:gridSpan w:val="2"/>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323" w:type="dxa"/>
            <w:gridSpan w:val="2"/>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911" w:type="dxa"/>
            <w:tcBorders>
              <w:top w:val="single" w:sz="4" w:space="0" w:color="000000"/>
              <w:bottom w:val="single" w:sz="2"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r w:rsidRPr="008C2656">
              <w:rPr>
                <w:rFonts w:ascii="Arial Narrow" w:hAnsi="Arial Narrow" w:cs="Arial"/>
                <w:b/>
                <w:sz w:val="17"/>
                <w:szCs w:val="17"/>
                <w:lang w:val="es-ES" w:eastAsia="es-ES"/>
              </w:rPr>
              <w:t>17,9</w:t>
            </w:r>
          </w:p>
        </w:tc>
      </w:tr>
      <w:tr w:rsidR="001B3767" w:rsidRPr="008C2656" w:rsidTr="00DC76B0">
        <w:trPr>
          <w:trHeight w:val="227"/>
          <w:jc w:val="center"/>
        </w:trPr>
        <w:tc>
          <w:tcPr>
            <w:tcW w:w="2994" w:type="dxa"/>
            <w:tcBorders>
              <w:top w:val="single" w:sz="2" w:space="0" w:color="000000"/>
              <w:bottom w:val="single" w:sz="4" w:space="0" w:color="000000"/>
            </w:tcBorders>
            <w:vAlign w:val="center"/>
          </w:tcPr>
          <w:p w:rsidR="001B3767" w:rsidRPr="008C2656" w:rsidRDefault="001B3767" w:rsidP="008C2656">
            <w:pPr>
              <w:spacing w:after="0"/>
              <w:ind w:firstLine="0"/>
              <w:jc w:val="left"/>
              <w:rPr>
                <w:rFonts w:ascii="Arial Narrow" w:hAnsi="Arial Narrow" w:cs="Arial"/>
                <w:b/>
                <w:i/>
                <w:sz w:val="17"/>
                <w:szCs w:val="17"/>
                <w:lang w:val="es-ES" w:eastAsia="es-ES"/>
              </w:rPr>
            </w:pPr>
            <w:r w:rsidRPr="008C2656">
              <w:rPr>
                <w:rFonts w:ascii="Arial Narrow" w:hAnsi="Arial Narrow" w:cs="Arial"/>
                <w:b/>
                <w:i/>
                <w:sz w:val="17"/>
                <w:szCs w:val="17"/>
                <w:lang w:val="es-ES" w:eastAsia="es-ES"/>
              </w:rPr>
              <w:t>Porcentaje objetivo sobre el PIB  Navarra</w:t>
            </w:r>
          </w:p>
        </w:tc>
        <w:tc>
          <w:tcPr>
            <w:tcW w:w="913"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187"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141"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1776" w:type="dxa"/>
            <w:gridSpan w:val="2"/>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323" w:type="dxa"/>
            <w:gridSpan w:val="2"/>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p>
        </w:tc>
        <w:tc>
          <w:tcPr>
            <w:tcW w:w="911" w:type="dxa"/>
            <w:tcBorders>
              <w:top w:val="single" w:sz="2" w:space="0" w:color="000000"/>
              <w:bottom w:val="single" w:sz="4" w:space="0" w:color="000000"/>
            </w:tcBorders>
            <w:vAlign w:val="center"/>
          </w:tcPr>
          <w:p w:rsidR="001B3767" w:rsidRPr="008C2656" w:rsidRDefault="001B3767" w:rsidP="008C2656">
            <w:pPr>
              <w:spacing w:after="0"/>
              <w:ind w:firstLine="0"/>
              <w:jc w:val="right"/>
              <w:rPr>
                <w:rFonts w:ascii="Arial Narrow" w:hAnsi="Arial Narrow" w:cs="Arial"/>
                <w:b/>
                <w:sz w:val="17"/>
                <w:szCs w:val="17"/>
                <w:lang w:val="es-ES" w:eastAsia="es-ES"/>
              </w:rPr>
            </w:pPr>
            <w:r w:rsidRPr="008C2656">
              <w:rPr>
                <w:rFonts w:ascii="Arial Narrow" w:hAnsi="Arial Narrow" w:cs="Arial"/>
                <w:b/>
                <w:sz w:val="17"/>
                <w:szCs w:val="17"/>
                <w:lang w:val="es-ES" w:eastAsia="es-ES"/>
              </w:rPr>
              <w:t>18,1</w:t>
            </w:r>
          </w:p>
        </w:tc>
      </w:tr>
    </w:tbl>
    <w:p w:rsidR="001B3767" w:rsidRPr="006848FC" w:rsidRDefault="001B3767" w:rsidP="00DC76B0">
      <w:pPr>
        <w:pStyle w:val="texto"/>
        <w:spacing w:before="260"/>
      </w:pPr>
      <w:r w:rsidRPr="00415F6B">
        <w:rPr>
          <w:rFonts w:ascii="Times New (W1)" w:hAnsi="Times New (W1)"/>
          <w:b/>
        </w:rPr>
        <w:t>En conclusión</w:t>
      </w:r>
      <w:r w:rsidRPr="00415F6B">
        <w:rPr>
          <w:rFonts w:ascii="Times New (W1)" w:hAnsi="Times New (W1)"/>
        </w:rPr>
        <w:t xml:space="preserve">, el Sector Administración </w:t>
      </w:r>
      <w:r w:rsidRPr="005566D2">
        <w:rPr>
          <w:rFonts w:ascii="Times New (W1)" w:hAnsi="Times New (W1)"/>
        </w:rPr>
        <w:t xml:space="preserve">Pública de la Comunidad Foral ha cumplido en el ejercicio </w:t>
      </w:r>
      <w:r w:rsidRPr="006848FC">
        <w:rPr>
          <w:rFonts w:ascii="Times New (W1)" w:hAnsi="Times New (W1)"/>
        </w:rPr>
        <w:t xml:space="preserve">2014 con los objetivos de estabilidad presupuestaria y sostenibilidad financiera establecidos para dicho ejercicio, a falta del informe definitivo del </w:t>
      </w:r>
      <w:r w:rsidR="006848FC" w:rsidRPr="006848FC">
        <w:rPr>
          <w:rFonts w:ascii="Times New (W1)" w:hAnsi="Times New (W1)"/>
        </w:rPr>
        <w:t>Ministerio</w:t>
      </w:r>
      <w:r w:rsidRPr="006848FC">
        <w:rPr>
          <w:rFonts w:ascii="Times New (W1)" w:hAnsi="Times New (W1)"/>
        </w:rPr>
        <w:t xml:space="preserve"> </w:t>
      </w:r>
      <w:r w:rsidRPr="006848FC">
        <w:t>de Hacienda y Administraciones Públicas sobre el grado de cumplimiento de los objetivos de estabilidad presupuestaria y de de</w:t>
      </w:r>
      <w:r w:rsidRPr="006848FC">
        <w:t>u</w:t>
      </w:r>
      <w:r w:rsidRPr="006848FC">
        <w:t xml:space="preserve">da pública y de la regla de gasto del ejercicio 2014. </w:t>
      </w:r>
    </w:p>
    <w:p w:rsidR="001B3767" w:rsidRPr="000E2288" w:rsidRDefault="001B3767" w:rsidP="001B3767">
      <w:pPr>
        <w:pStyle w:val="texto"/>
        <w:rPr>
          <w:lang w:val="es-ES"/>
        </w:rPr>
      </w:pPr>
      <w:r w:rsidRPr="000E2288">
        <w:rPr>
          <w:lang w:val="es-ES"/>
        </w:rPr>
        <w:t>El Gobierno de Navarra no informa en la memoria sobre el cumplimiento de la regla de gasto ni del objetivo de sostenibilidad financiera en cuanto a la de</w:t>
      </w:r>
      <w:r w:rsidRPr="000E2288">
        <w:rPr>
          <w:lang w:val="es-ES"/>
        </w:rPr>
        <w:t>u</w:t>
      </w:r>
      <w:r w:rsidRPr="000E2288">
        <w:rPr>
          <w:lang w:val="es-ES"/>
        </w:rPr>
        <w:t>da comercial y la deuda pública.</w:t>
      </w:r>
    </w:p>
    <w:p w:rsidR="001B3767" w:rsidRPr="003B5BE9" w:rsidRDefault="001B3767" w:rsidP="005846B7">
      <w:pPr>
        <w:pStyle w:val="atitulo2"/>
        <w:spacing w:before="240"/>
      </w:pPr>
      <w:bookmarkStart w:id="30" w:name="_Toc305415952"/>
      <w:bookmarkStart w:id="31" w:name="_Toc305480470"/>
      <w:bookmarkStart w:id="32" w:name="_Toc434399394"/>
      <w:r w:rsidRPr="003B5BE9">
        <w:t>V.5. Seguimiento de recomendaciones</w:t>
      </w:r>
      <w:bookmarkEnd w:id="30"/>
      <w:bookmarkEnd w:id="31"/>
      <w:bookmarkEnd w:id="32"/>
      <w:r w:rsidRPr="003B5BE9">
        <w:t xml:space="preserve"> </w:t>
      </w:r>
    </w:p>
    <w:p w:rsidR="001B3767" w:rsidRPr="000E2288" w:rsidRDefault="001B3767" w:rsidP="001B3767">
      <w:pPr>
        <w:pStyle w:val="texto"/>
        <w:rPr>
          <w:lang w:val="es-ES"/>
        </w:rPr>
      </w:pPr>
      <w:r w:rsidRPr="000E2288">
        <w:rPr>
          <w:lang w:val="es-ES"/>
        </w:rPr>
        <w:t>Se han cumplido o están en fase de ejecución las siguientes recomendaciones emitidas en el informe de 2013:</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Se está desarrollando el proceso de análisis y reforma del sistema de Co</w:t>
      </w:r>
      <w:r w:rsidRPr="00846868">
        <w:rPr>
          <w:rFonts w:cs="Arial"/>
          <w:i/>
        </w:rPr>
        <w:t>n</w:t>
      </w:r>
      <w:r w:rsidRPr="00846868">
        <w:rPr>
          <w:rFonts w:cs="Arial"/>
          <w:i/>
        </w:rPr>
        <w:t>tabilidad Auxiliar de Terceros (CAT), lo que permitirá mejorar tanto la gestión de los tributos como su coordinación con el sistema de contabilidad general.</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 xml:space="preserve">Se ha completado el desarrollo del </w:t>
      </w:r>
      <w:r w:rsidR="00A0314F" w:rsidRPr="00846868">
        <w:rPr>
          <w:rFonts w:cs="Arial"/>
          <w:i/>
        </w:rPr>
        <w:t xml:space="preserve">registro </w:t>
      </w:r>
      <w:r w:rsidRPr="00846868">
        <w:rPr>
          <w:rFonts w:cs="Arial"/>
          <w:i/>
        </w:rPr>
        <w:t>contable de facturas y se ha i</w:t>
      </w:r>
      <w:r w:rsidRPr="00846868">
        <w:rPr>
          <w:rFonts w:cs="Arial"/>
          <w:i/>
        </w:rPr>
        <w:t>n</w:t>
      </w:r>
      <w:r w:rsidRPr="00846868">
        <w:rPr>
          <w:rFonts w:cs="Arial"/>
          <w:i/>
        </w:rPr>
        <w:t>tegrado con el sistema contable.</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Se han contabilizado las cuentas de tesorería para la gestión y comedor de centros educativos</w:t>
      </w:r>
      <w:r w:rsidR="006848FC">
        <w:rPr>
          <w:rFonts w:cs="Arial"/>
          <w:i/>
        </w:rPr>
        <w:t xml:space="preserve"> y las cuentas especiales de ingresos</w:t>
      </w:r>
      <w:r w:rsidRPr="00846868">
        <w:rPr>
          <w:rFonts w:cs="Arial"/>
          <w:i/>
        </w:rPr>
        <w:t xml:space="preserve">. </w:t>
      </w:r>
    </w:p>
    <w:p w:rsidR="001B3767" w:rsidRPr="000E2288" w:rsidRDefault="001B3767" w:rsidP="001B3767">
      <w:pPr>
        <w:pStyle w:val="texto"/>
        <w:rPr>
          <w:lang w:val="es-ES"/>
        </w:rPr>
      </w:pPr>
      <w:r w:rsidRPr="000E2288">
        <w:rPr>
          <w:lang w:val="es-ES"/>
        </w:rPr>
        <w:t>Siguen vigentes las siguientes recomendaciones emitidas por esta Cámara en informes de ejercicios anteriores: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Aprobar el Plan General de Contabilidad Pública de la Comunidad Foral y en su defecto, aplicar en toda su extensión el Plan General de Contabilidad Pública del Sector Público Estatal, aplicable desde el 1 de enero de 2011.</w:t>
      </w:r>
    </w:p>
    <w:p w:rsidR="001B3767" w:rsidRPr="00846868" w:rsidRDefault="0097595D"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i/>
        </w:rPr>
      </w:pPr>
      <w:r>
        <w:rPr>
          <w:rFonts w:cs="Arial"/>
          <w:i/>
        </w:rPr>
        <w:lastRenderedPageBreak/>
        <w:t>Reflejar en el balance</w:t>
      </w:r>
      <w:r w:rsidR="001B3767" w:rsidRPr="00846868">
        <w:rPr>
          <w:rFonts w:cs="Arial"/>
          <w:i/>
        </w:rPr>
        <w:t xml:space="preserve"> las obligaciones actuariales derivadas de los der</w:t>
      </w:r>
      <w:r w:rsidR="001B3767" w:rsidRPr="00846868">
        <w:rPr>
          <w:rFonts w:cs="Arial"/>
          <w:i/>
        </w:rPr>
        <w:t>e</w:t>
      </w:r>
      <w:r w:rsidR="001B3767" w:rsidRPr="00846868">
        <w:rPr>
          <w:rFonts w:cs="Arial"/>
          <w:i/>
        </w:rPr>
        <w:t>chos pasivos de los funcionarios forales.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Elaborar un inventario valorado de todos los bienes y derechos de la C</w:t>
      </w:r>
      <w:r w:rsidRPr="00846868">
        <w:rPr>
          <w:rFonts w:cs="Arial"/>
          <w:i/>
        </w:rPr>
        <w:t>o</w:t>
      </w:r>
      <w:r w:rsidRPr="00846868">
        <w:rPr>
          <w:rFonts w:cs="Arial"/>
          <w:i/>
        </w:rPr>
        <w:t>munidad Foral que respalde los saldos contables del inmovilizado.</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Incluir en la memoria de las cuentas generales toda aquella información que facilite una mejor comprensión de la situación y actividad desarrollada en el ejercicio, entre otra, la siguiente:</w:t>
      </w:r>
    </w:p>
    <w:p w:rsidR="001B3767" w:rsidRPr="00996A61" w:rsidRDefault="001B3767" w:rsidP="001B3767">
      <w:pPr>
        <w:pStyle w:val="texto"/>
        <w:rPr>
          <w:i/>
        </w:rPr>
      </w:pPr>
      <w:r w:rsidRPr="00996A61">
        <w:rPr>
          <w:i/>
        </w:rPr>
        <w:t>a) Grado de cumplimiento de todos los objetivos de estabilidad presupuest</w:t>
      </w:r>
      <w:r w:rsidRPr="00996A61">
        <w:rPr>
          <w:i/>
        </w:rPr>
        <w:t>a</w:t>
      </w:r>
      <w:r w:rsidRPr="00996A61">
        <w:rPr>
          <w:i/>
        </w:rPr>
        <w:t>ria y sostenibilidad financiera.</w:t>
      </w:r>
    </w:p>
    <w:p w:rsidR="001B3767" w:rsidRPr="001C6FCD" w:rsidRDefault="001B3767" w:rsidP="001B3767">
      <w:pPr>
        <w:pStyle w:val="texto"/>
        <w:rPr>
          <w:i/>
        </w:rPr>
      </w:pPr>
      <w:r>
        <w:rPr>
          <w:i/>
        </w:rPr>
        <w:t>b</w:t>
      </w:r>
      <w:r w:rsidRPr="001C6FCD">
        <w:rPr>
          <w:i/>
        </w:rPr>
        <w:t>) Análisis de la ejecución de los beneficios fiscales.</w:t>
      </w:r>
    </w:p>
    <w:p w:rsidR="001B3767" w:rsidRDefault="001B3767" w:rsidP="001B3767">
      <w:pPr>
        <w:pStyle w:val="texto"/>
        <w:rPr>
          <w:i/>
        </w:rPr>
      </w:pPr>
      <w:r w:rsidRPr="00A52583">
        <w:rPr>
          <w:i/>
        </w:rPr>
        <w:t>c) Contingencias</w:t>
      </w:r>
      <w:r>
        <w:rPr>
          <w:i/>
        </w:rPr>
        <w:t xml:space="preserve"> </w:t>
      </w:r>
    </w:p>
    <w:p w:rsidR="001B3767" w:rsidRDefault="001B3767" w:rsidP="001B3767">
      <w:pPr>
        <w:pStyle w:val="texto"/>
        <w:rPr>
          <w:i/>
        </w:rPr>
      </w:pPr>
      <w:r>
        <w:rPr>
          <w:i/>
        </w:rPr>
        <w:t>d) Hechos posteriores al cierre</w:t>
      </w:r>
    </w:p>
    <w:p w:rsidR="001B3767" w:rsidRDefault="006848FC" w:rsidP="001B3767">
      <w:pPr>
        <w:pStyle w:val="texto"/>
        <w:rPr>
          <w:i/>
        </w:rPr>
      </w:pPr>
      <w:r>
        <w:rPr>
          <w:i/>
        </w:rPr>
        <w:t>e</w:t>
      </w:r>
      <w:r w:rsidR="001B3767">
        <w:rPr>
          <w:i/>
        </w:rPr>
        <w:t>) Inventario de bienes y derechos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Desarrollar el sistema contable de manera que suministre información p</w:t>
      </w:r>
      <w:r w:rsidRPr="00846868">
        <w:rPr>
          <w:rFonts w:cs="Arial"/>
          <w:i/>
        </w:rPr>
        <w:t>a</w:t>
      </w:r>
      <w:r w:rsidRPr="00846868">
        <w:rPr>
          <w:rFonts w:cs="Arial"/>
          <w:i/>
        </w:rPr>
        <w:t>ra determinar el coste de los servicios públicos.</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i/>
        </w:rPr>
      </w:pPr>
      <w:r w:rsidRPr="00846868">
        <w:rPr>
          <w:rFonts w:cs="Arial"/>
          <w:i/>
        </w:rPr>
        <w:t>Completar los programas presupuestarios con indicadores para la med</w:t>
      </w:r>
      <w:r w:rsidRPr="00846868">
        <w:rPr>
          <w:rFonts w:cs="Arial"/>
          <w:i/>
        </w:rPr>
        <w:t>i</w:t>
      </w:r>
      <w:r w:rsidRPr="00846868">
        <w:rPr>
          <w:rFonts w:cs="Arial"/>
          <w:i/>
        </w:rPr>
        <w:t xml:space="preserve">ción de los objetivos previstos, objetivos que sean cuantificables y medibles, analizando su grado de cumplimiento y las desviaciones producidas. </w:t>
      </w:r>
    </w:p>
    <w:p w:rsidR="001B3767" w:rsidRPr="001C7C24" w:rsidRDefault="001B3767" w:rsidP="001B3767">
      <w:pPr>
        <w:pStyle w:val="atitulo1"/>
      </w:pPr>
      <w:bookmarkStart w:id="33" w:name="_Toc305415953"/>
      <w:bookmarkStart w:id="34" w:name="_Toc305480471"/>
      <w:bookmarkStart w:id="35" w:name="_Toc307984966"/>
      <w:r>
        <w:br w:type="page"/>
      </w:r>
      <w:bookmarkStart w:id="36" w:name="_Toc434399395"/>
      <w:r w:rsidRPr="001C7C24">
        <w:lastRenderedPageBreak/>
        <w:t xml:space="preserve">VI. Resumen de las cuentas de la Administración de la Comunidad Foral </w:t>
      </w:r>
      <w:r>
        <w:t xml:space="preserve">y sus </w:t>
      </w:r>
      <w:r w:rsidR="0031203B">
        <w:t xml:space="preserve">organismos autónomos </w:t>
      </w:r>
      <w:r w:rsidRPr="001C7C24">
        <w:t>201</w:t>
      </w:r>
      <w:bookmarkEnd w:id="33"/>
      <w:bookmarkEnd w:id="34"/>
      <w:bookmarkEnd w:id="35"/>
      <w:r w:rsidRPr="001C7C24">
        <w:t>4</w:t>
      </w:r>
      <w:bookmarkEnd w:id="36"/>
    </w:p>
    <w:p w:rsidR="001B3767" w:rsidRPr="000E2288" w:rsidRDefault="001B3767" w:rsidP="0048456D">
      <w:pPr>
        <w:pStyle w:val="texto"/>
        <w:spacing w:after="280"/>
        <w:rPr>
          <w:lang w:val="es-ES"/>
        </w:rPr>
      </w:pPr>
      <w:r w:rsidRPr="000E2288">
        <w:rPr>
          <w:lang w:val="es-ES"/>
        </w:rPr>
        <w:t>A continuación se presentan los estados contables más relevantes que int</w:t>
      </w:r>
      <w:r w:rsidRPr="000E2288">
        <w:rPr>
          <w:lang w:val="es-ES"/>
        </w:rPr>
        <w:t>e</w:t>
      </w:r>
      <w:r w:rsidRPr="000E2288">
        <w:rPr>
          <w:lang w:val="es-ES"/>
        </w:rPr>
        <w:t xml:space="preserve">gran las cuentas anuales de 2014 de la Administración de la Comunidad Foral y de sus </w:t>
      </w:r>
      <w:r w:rsidR="00C017B6" w:rsidRPr="000E2288">
        <w:rPr>
          <w:lang w:val="es-ES"/>
        </w:rPr>
        <w:t>organismos autónomos</w:t>
      </w:r>
      <w:r w:rsidRPr="000E2288">
        <w:rPr>
          <w:lang w:val="es-ES"/>
        </w:rPr>
        <w:t>.</w:t>
      </w:r>
    </w:p>
    <w:p w:rsidR="001B3767" w:rsidRPr="001C7C24" w:rsidRDefault="001B3767" w:rsidP="001B3767">
      <w:pPr>
        <w:pStyle w:val="atitulo2"/>
      </w:pPr>
      <w:bookmarkStart w:id="37" w:name="_Toc158779625"/>
      <w:bookmarkStart w:id="38" w:name="_Toc217272074"/>
      <w:bookmarkStart w:id="39" w:name="_Toc305415954"/>
      <w:bookmarkStart w:id="40" w:name="_Toc305480472"/>
      <w:bookmarkStart w:id="41" w:name="_Toc307984967"/>
      <w:bookmarkStart w:id="42" w:name="_Toc340229943"/>
      <w:bookmarkStart w:id="43" w:name="_Toc394485121"/>
      <w:bookmarkStart w:id="44" w:name="_Toc434399396"/>
      <w:bookmarkStart w:id="45" w:name="_Toc305415958"/>
      <w:bookmarkStart w:id="46" w:name="_Toc305480476"/>
      <w:r w:rsidRPr="001C7C24">
        <w:t>VI.1. Liquidación del presupuesto de 20</w:t>
      </w:r>
      <w:bookmarkEnd w:id="37"/>
      <w:bookmarkEnd w:id="38"/>
      <w:r w:rsidRPr="001C7C24">
        <w:t>1</w:t>
      </w:r>
      <w:bookmarkEnd w:id="39"/>
      <w:bookmarkEnd w:id="40"/>
      <w:bookmarkEnd w:id="41"/>
      <w:bookmarkEnd w:id="42"/>
      <w:bookmarkEnd w:id="43"/>
      <w:r w:rsidRPr="001C7C24">
        <w:t>4</w:t>
      </w:r>
      <w:bookmarkEnd w:id="44"/>
    </w:p>
    <w:p w:rsidR="001B3767" w:rsidRPr="00C80021" w:rsidRDefault="001B3767" w:rsidP="0031203B">
      <w:pPr>
        <w:pStyle w:val="cuatitul"/>
        <w:suppressAutoHyphens/>
        <w:spacing w:before="120" w:after="120"/>
        <w:ind w:right="28"/>
        <w:rPr>
          <w:sz w:val="24"/>
          <w:szCs w:val="24"/>
        </w:rPr>
      </w:pPr>
      <w:r w:rsidRPr="00C80021">
        <w:rPr>
          <w:sz w:val="24"/>
          <w:szCs w:val="24"/>
        </w:rPr>
        <w:t>Liquidación del presupuesto de gastos de 2014, por capítulos económicos</w:t>
      </w:r>
    </w:p>
    <w:p w:rsidR="001B3767" w:rsidRPr="001C7C24" w:rsidRDefault="001B3767" w:rsidP="001B3767">
      <w:pPr>
        <w:pStyle w:val="cuatitul"/>
        <w:suppressAutoHyphens/>
        <w:ind w:right="-211"/>
        <w:jc w:val="right"/>
        <w:rPr>
          <w:rFonts w:ascii="Arial Narrow" w:hAnsi="Arial Narrow"/>
        </w:rPr>
      </w:pPr>
      <w:r w:rsidRPr="001C7C24">
        <w:rPr>
          <w:rFonts w:ascii="Arial Narrow" w:hAnsi="Arial Narrow"/>
        </w:rPr>
        <w:t xml:space="preserve">                                                                                             </w:t>
      </w:r>
      <w:r w:rsidR="000A77B7">
        <w:rPr>
          <w:rFonts w:ascii="Arial Narrow" w:hAnsi="Arial Narrow"/>
        </w:rPr>
        <w:t xml:space="preserve"> </w:t>
      </w:r>
      <w:r w:rsidRPr="001C7C24">
        <w:rPr>
          <w:rFonts w:ascii="Arial Narrow" w:hAnsi="Arial Narrow"/>
        </w:rPr>
        <w:t xml:space="preserve"> </w:t>
      </w:r>
      <w:r w:rsidRPr="001C7C24">
        <w:rPr>
          <w:rFonts w:ascii="Arial Narrow" w:hAnsi="Arial Narrow"/>
          <w:sz w:val="18"/>
          <w:szCs w:val="18"/>
        </w:rPr>
        <w:t>(</w:t>
      </w:r>
      <w:proofErr w:type="gramStart"/>
      <w:r w:rsidRPr="001C7C24">
        <w:rPr>
          <w:rFonts w:ascii="Arial Narrow" w:hAnsi="Arial Narrow"/>
          <w:sz w:val="18"/>
          <w:szCs w:val="18"/>
        </w:rPr>
        <w:t>miles</w:t>
      </w:r>
      <w:proofErr w:type="gramEnd"/>
      <w:r w:rsidRPr="001C7C24">
        <w:rPr>
          <w:rFonts w:ascii="Arial Narrow" w:hAnsi="Arial Narrow"/>
          <w:sz w:val="18"/>
          <w:szCs w:val="18"/>
        </w:rPr>
        <w:t xml:space="preserve"> de euros)</w:t>
      </w:r>
    </w:p>
    <w:tbl>
      <w:tblPr>
        <w:tblW w:w="9333"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53"/>
        <w:gridCol w:w="988"/>
        <w:gridCol w:w="1087"/>
        <w:gridCol w:w="1113"/>
        <w:gridCol w:w="1014"/>
        <w:gridCol w:w="1018"/>
        <w:gridCol w:w="900"/>
        <w:gridCol w:w="960"/>
      </w:tblGrid>
      <w:tr w:rsidR="001B3767" w:rsidRPr="001C7C24" w:rsidTr="006A5967">
        <w:trPr>
          <w:trHeight w:hRule="exact" w:val="380"/>
          <w:jc w:val="center"/>
        </w:trPr>
        <w:tc>
          <w:tcPr>
            <w:tcW w:w="2253" w:type="dxa"/>
            <w:tcBorders>
              <w:bottom w:val="single" w:sz="4" w:space="0" w:color="auto"/>
            </w:tcBorders>
            <w:shd w:val="clear" w:color="auto" w:fill="8DB3E2" w:themeFill="text2" w:themeFillTint="66"/>
            <w:vAlign w:val="center"/>
          </w:tcPr>
          <w:p w:rsidR="001B3767" w:rsidRPr="001C7C24" w:rsidRDefault="001B3767" w:rsidP="000E2288">
            <w:pPr>
              <w:pStyle w:val="cuadroCabe"/>
              <w:rPr>
                <w:sz w:val="17"/>
                <w:szCs w:val="17"/>
              </w:rPr>
            </w:pPr>
            <w:r w:rsidRPr="001C7C24">
              <w:rPr>
                <w:sz w:val="17"/>
                <w:szCs w:val="17"/>
              </w:rPr>
              <w:t>Capítulo económico</w:t>
            </w:r>
          </w:p>
        </w:tc>
        <w:tc>
          <w:tcPr>
            <w:tcW w:w="988"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proofErr w:type="spellStart"/>
            <w:r w:rsidRPr="001C7C24">
              <w:rPr>
                <w:sz w:val="17"/>
                <w:szCs w:val="17"/>
              </w:rPr>
              <w:t>Cto</w:t>
            </w:r>
            <w:proofErr w:type="spellEnd"/>
            <w:r w:rsidRPr="001C7C24">
              <w:rPr>
                <w:sz w:val="17"/>
                <w:szCs w:val="17"/>
              </w:rPr>
              <w:t>. inicial</w:t>
            </w:r>
          </w:p>
        </w:tc>
        <w:tc>
          <w:tcPr>
            <w:tcW w:w="1087"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r w:rsidRPr="001C7C24">
              <w:rPr>
                <w:sz w:val="17"/>
                <w:szCs w:val="17"/>
              </w:rPr>
              <w:t>Consolidado</w:t>
            </w:r>
          </w:p>
        </w:tc>
        <w:tc>
          <w:tcPr>
            <w:tcW w:w="1113"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r w:rsidRPr="001C7C24">
              <w:rPr>
                <w:sz w:val="17"/>
                <w:szCs w:val="17"/>
              </w:rPr>
              <w:t>Autorizado</w:t>
            </w:r>
          </w:p>
        </w:tc>
        <w:tc>
          <w:tcPr>
            <w:tcW w:w="1014"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r w:rsidRPr="001C7C24">
              <w:rPr>
                <w:sz w:val="17"/>
                <w:szCs w:val="17"/>
              </w:rPr>
              <w:t>Dispuesto</w:t>
            </w:r>
          </w:p>
        </w:tc>
        <w:tc>
          <w:tcPr>
            <w:tcW w:w="1018"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r w:rsidRPr="001C7C24">
              <w:rPr>
                <w:sz w:val="17"/>
                <w:szCs w:val="17"/>
              </w:rPr>
              <w:t>Realizado</w:t>
            </w:r>
          </w:p>
        </w:tc>
        <w:tc>
          <w:tcPr>
            <w:tcW w:w="900" w:type="dxa"/>
            <w:tcBorders>
              <w:bottom w:val="single" w:sz="4" w:space="0" w:color="auto"/>
            </w:tcBorders>
            <w:shd w:val="clear" w:color="auto" w:fill="8DB3E2" w:themeFill="text2" w:themeFillTint="66"/>
            <w:vAlign w:val="center"/>
          </w:tcPr>
          <w:p w:rsidR="001B3767" w:rsidRPr="001C7C24" w:rsidRDefault="001B3767" w:rsidP="000E2288">
            <w:pPr>
              <w:pStyle w:val="cuadroCabe"/>
              <w:jc w:val="center"/>
              <w:rPr>
                <w:sz w:val="17"/>
                <w:szCs w:val="17"/>
              </w:rPr>
            </w:pPr>
            <w:r w:rsidRPr="001C7C24">
              <w:rPr>
                <w:sz w:val="17"/>
                <w:szCs w:val="17"/>
              </w:rPr>
              <w:t>%</w:t>
            </w:r>
          </w:p>
          <w:p w:rsidR="001B3767" w:rsidRPr="001C7C24" w:rsidRDefault="001B3767" w:rsidP="000E2288">
            <w:pPr>
              <w:pStyle w:val="cuadroCabe"/>
              <w:jc w:val="right"/>
              <w:rPr>
                <w:sz w:val="17"/>
                <w:szCs w:val="17"/>
              </w:rPr>
            </w:pPr>
            <w:r w:rsidRPr="001C7C24">
              <w:rPr>
                <w:sz w:val="17"/>
                <w:szCs w:val="17"/>
              </w:rPr>
              <w:t>ejecución</w:t>
            </w:r>
          </w:p>
        </w:tc>
        <w:tc>
          <w:tcPr>
            <w:tcW w:w="960" w:type="dxa"/>
            <w:tcBorders>
              <w:bottom w:val="single" w:sz="4" w:space="0" w:color="auto"/>
            </w:tcBorders>
            <w:shd w:val="clear" w:color="auto" w:fill="8DB3E2" w:themeFill="text2" w:themeFillTint="66"/>
            <w:vAlign w:val="center"/>
          </w:tcPr>
          <w:p w:rsidR="001B3767" w:rsidRPr="001C7C24" w:rsidRDefault="001B3767" w:rsidP="000E2288">
            <w:pPr>
              <w:pStyle w:val="cuadroCabe"/>
              <w:jc w:val="right"/>
              <w:rPr>
                <w:sz w:val="17"/>
                <w:szCs w:val="17"/>
              </w:rPr>
            </w:pPr>
            <w:r w:rsidRPr="001C7C24">
              <w:rPr>
                <w:sz w:val="17"/>
                <w:szCs w:val="17"/>
              </w:rPr>
              <w:t>Pagado</w:t>
            </w:r>
          </w:p>
        </w:tc>
      </w:tr>
      <w:tr w:rsidR="001B3767" w:rsidRPr="001639F7" w:rsidTr="000E2288">
        <w:trPr>
          <w:trHeight w:hRule="exact" w:val="300"/>
          <w:jc w:val="center"/>
        </w:trPr>
        <w:tc>
          <w:tcPr>
            <w:tcW w:w="2253" w:type="dxa"/>
            <w:tcBorders>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Gastos de personal</w:t>
            </w:r>
          </w:p>
        </w:tc>
        <w:tc>
          <w:tcPr>
            <w:tcW w:w="988"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1.093.855</w:t>
            </w:r>
          </w:p>
        </w:tc>
        <w:tc>
          <w:tcPr>
            <w:tcW w:w="1087"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1.112.296</w:t>
            </w:r>
          </w:p>
        </w:tc>
        <w:tc>
          <w:tcPr>
            <w:tcW w:w="1113"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1.111.761</w:t>
            </w:r>
          </w:p>
        </w:tc>
        <w:tc>
          <w:tcPr>
            <w:tcW w:w="1014"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1.111.760</w:t>
            </w:r>
          </w:p>
        </w:tc>
        <w:tc>
          <w:tcPr>
            <w:tcW w:w="1018"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1.111.719</w:t>
            </w:r>
          </w:p>
        </w:tc>
        <w:tc>
          <w:tcPr>
            <w:tcW w:w="900" w:type="dxa"/>
            <w:tcBorders>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99,95</w:t>
            </w:r>
          </w:p>
        </w:tc>
        <w:tc>
          <w:tcPr>
            <w:tcW w:w="960" w:type="dxa"/>
            <w:tcBorders>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1.111.238</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proofErr w:type="spellStart"/>
            <w:r w:rsidRPr="001C7C24">
              <w:rPr>
                <w:sz w:val="18"/>
                <w:szCs w:val="18"/>
                <w:lang w:val="es-ES"/>
              </w:rPr>
              <w:t>Gtos</w:t>
            </w:r>
            <w:proofErr w:type="spellEnd"/>
            <w:r w:rsidRPr="001C7C24">
              <w:rPr>
                <w:sz w:val="18"/>
                <w:szCs w:val="18"/>
                <w:lang w:val="es-ES"/>
              </w:rPr>
              <w:t xml:space="preserve">. </w:t>
            </w:r>
            <w:proofErr w:type="spellStart"/>
            <w:r w:rsidRPr="001C7C24">
              <w:rPr>
                <w:sz w:val="18"/>
                <w:szCs w:val="18"/>
                <w:lang w:val="es-ES"/>
              </w:rPr>
              <w:t>Corr</w:t>
            </w:r>
            <w:proofErr w:type="spellEnd"/>
            <w:r w:rsidRPr="001C7C24">
              <w:rPr>
                <w:sz w:val="18"/>
                <w:szCs w:val="18"/>
                <w:lang w:val="es-ES"/>
              </w:rPr>
              <w:t xml:space="preserve">. </w:t>
            </w:r>
            <w:proofErr w:type="gramStart"/>
            <w:r w:rsidRPr="001C7C24">
              <w:rPr>
                <w:sz w:val="18"/>
                <w:szCs w:val="18"/>
                <w:lang w:val="es-ES"/>
              </w:rPr>
              <w:t>en</w:t>
            </w:r>
            <w:proofErr w:type="gramEnd"/>
            <w:r w:rsidRPr="001C7C24">
              <w:rPr>
                <w:sz w:val="18"/>
                <w:szCs w:val="18"/>
                <w:lang w:val="es-ES"/>
              </w:rPr>
              <w:t xml:space="preserve"> bienes y </w:t>
            </w:r>
            <w:proofErr w:type="spellStart"/>
            <w:r w:rsidRPr="001C7C24">
              <w:rPr>
                <w:sz w:val="18"/>
                <w:szCs w:val="18"/>
                <w:lang w:val="es-ES"/>
              </w:rPr>
              <w:t>serv</w:t>
            </w:r>
            <w:proofErr w:type="spellEnd"/>
            <w:r w:rsidRPr="001C7C24">
              <w:rPr>
                <w:sz w:val="18"/>
                <w:szCs w:val="18"/>
                <w:lang w:val="es-ES"/>
              </w:rPr>
              <w:t>.</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534.422</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545.663</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534.663</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533.820</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532.492</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97,59</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463.393</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Gastos financieros</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127.904</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105.058</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104.945</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104.945</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104.945</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99,89</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104.680</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Transferencias corrientes</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1.306.343</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1.393.814</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1.389.987</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1.388.426</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1.386.869</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99,50</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1.307.714</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Crédito global</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82.011</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39.506</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0</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0</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0</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0</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0</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Inversiones reales</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177.964</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180.046</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95.827</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95.394</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94.126</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52,28</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70.566</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 xml:space="preserve">Transferencias de capital </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141.264</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134.899</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125.739</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124.835</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123.776</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91,75</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99.594</w:t>
            </w:r>
          </w:p>
        </w:tc>
      </w:tr>
      <w:tr w:rsidR="001B3767" w:rsidRPr="001639F7" w:rsidTr="000E2288">
        <w:trPr>
          <w:trHeight w:hRule="exact" w:val="300"/>
          <w:jc w:val="center"/>
        </w:trPr>
        <w:tc>
          <w:tcPr>
            <w:tcW w:w="2253" w:type="dxa"/>
            <w:tcBorders>
              <w:top w:val="single" w:sz="2" w:space="0" w:color="auto"/>
              <w:bottom w:val="single" w:sz="2"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Activos financieros</w:t>
            </w:r>
          </w:p>
        </w:tc>
        <w:tc>
          <w:tcPr>
            <w:tcW w:w="98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77.421</w:t>
            </w:r>
          </w:p>
        </w:tc>
        <w:tc>
          <w:tcPr>
            <w:tcW w:w="1087"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154.991</w:t>
            </w:r>
          </w:p>
        </w:tc>
        <w:tc>
          <w:tcPr>
            <w:tcW w:w="1113"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153.105</w:t>
            </w:r>
          </w:p>
        </w:tc>
        <w:tc>
          <w:tcPr>
            <w:tcW w:w="1014"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153.105</w:t>
            </w:r>
          </w:p>
        </w:tc>
        <w:tc>
          <w:tcPr>
            <w:tcW w:w="1018"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153.105</w:t>
            </w:r>
          </w:p>
        </w:tc>
        <w:tc>
          <w:tcPr>
            <w:tcW w:w="900" w:type="dxa"/>
            <w:tcBorders>
              <w:top w:val="single" w:sz="2" w:space="0" w:color="auto"/>
              <w:bottom w:val="single" w:sz="2" w:space="0" w:color="auto"/>
            </w:tcBorders>
            <w:vAlign w:val="center"/>
          </w:tcPr>
          <w:p w:rsidR="001B3767" w:rsidRPr="001C5397" w:rsidRDefault="001B3767" w:rsidP="000E2288">
            <w:pPr>
              <w:pStyle w:val="cuatexto"/>
              <w:jc w:val="right"/>
              <w:rPr>
                <w:sz w:val="18"/>
                <w:szCs w:val="18"/>
                <w:lang w:val="es-ES"/>
              </w:rPr>
            </w:pPr>
            <w:r>
              <w:rPr>
                <w:sz w:val="18"/>
                <w:szCs w:val="18"/>
                <w:lang w:val="es-ES"/>
              </w:rPr>
              <w:t>98,78</w:t>
            </w:r>
          </w:p>
        </w:tc>
        <w:tc>
          <w:tcPr>
            <w:tcW w:w="960" w:type="dxa"/>
            <w:tcBorders>
              <w:top w:val="single" w:sz="2" w:space="0" w:color="auto"/>
              <w:bottom w:val="single" w:sz="2"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153.099</w:t>
            </w:r>
          </w:p>
        </w:tc>
      </w:tr>
      <w:tr w:rsidR="001B3767" w:rsidRPr="001639F7" w:rsidTr="000E2288">
        <w:trPr>
          <w:trHeight w:hRule="exact" w:val="300"/>
          <w:jc w:val="center"/>
        </w:trPr>
        <w:tc>
          <w:tcPr>
            <w:tcW w:w="2253" w:type="dxa"/>
            <w:tcBorders>
              <w:top w:val="single" w:sz="2" w:space="0" w:color="auto"/>
              <w:bottom w:val="single" w:sz="4" w:space="0" w:color="auto"/>
            </w:tcBorders>
            <w:vAlign w:val="center"/>
          </w:tcPr>
          <w:p w:rsidR="001B3767" w:rsidRPr="001C7C24" w:rsidRDefault="001B3767" w:rsidP="000E2288">
            <w:pPr>
              <w:pStyle w:val="cuatexto"/>
              <w:ind w:right="29"/>
              <w:rPr>
                <w:sz w:val="18"/>
                <w:szCs w:val="18"/>
                <w:lang w:val="es-ES"/>
              </w:rPr>
            </w:pPr>
            <w:r w:rsidRPr="001C7C24">
              <w:rPr>
                <w:sz w:val="18"/>
                <w:szCs w:val="18"/>
                <w:lang w:val="es-ES"/>
              </w:rPr>
              <w:t>Pasivos financieros</w:t>
            </w:r>
          </w:p>
        </w:tc>
        <w:tc>
          <w:tcPr>
            <w:tcW w:w="988"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296.532</w:t>
            </w:r>
          </w:p>
        </w:tc>
        <w:tc>
          <w:tcPr>
            <w:tcW w:w="1087"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296.532</w:t>
            </w:r>
          </w:p>
        </w:tc>
        <w:tc>
          <w:tcPr>
            <w:tcW w:w="1113"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296.532</w:t>
            </w:r>
          </w:p>
        </w:tc>
        <w:tc>
          <w:tcPr>
            <w:tcW w:w="1014"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296.532</w:t>
            </w:r>
          </w:p>
        </w:tc>
        <w:tc>
          <w:tcPr>
            <w:tcW w:w="1018"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296.532</w:t>
            </w:r>
          </w:p>
        </w:tc>
        <w:tc>
          <w:tcPr>
            <w:tcW w:w="900" w:type="dxa"/>
            <w:tcBorders>
              <w:top w:val="single" w:sz="2" w:space="0" w:color="auto"/>
              <w:bottom w:val="single" w:sz="4" w:space="0" w:color="auto"/>
            </w:tcBorders>
            <w:vAlign w:val="center"/>
          </w:tcPr>
          <w:p w:rsidR="001B3767" w:rsidRPr="001C5397" w:rsidRDefault="001B3767" w:rsidP="000E2288">
            <w:pPr>
              <w:pStyle w:val="cuatexto"/>
              <w:jc w:val="right"/>
              <w:rPr>
                <w:sz w:val="18"/>
                <w:szCs w:val="18"/>
                <w:lang w:val="es-ES"/>
              </w:rPr>
            </w:pPr>
            <w:r>
              <w:rPr>
                <w:sz w:val="18"/>
                <w:szCs w:val="18"/>
                <w:lang w:val="es-ES"/>
              </w:rPr>
              <w:t>100</w:t>
            </w:r>
          </w:p>
        </w:tc>
        <w:tc>
          <w:tcPr>
            <w:tcW w:w="960" w:type="dxa"/>
            <w:tcBorders>
              <w:top w:val="single" w:sz="2" w:space="0" w:color="auto"/>
              <w:bottom w:val="single" w:sz="4" w:space="0" w:color="auto"/>
            </w:tcBorders>
            <w:vAlign w:val="center"/>
          </w:tcPr>
          <w:p w:rsidR="001B3767" w:rsidRPr="001C5397" w:rsidRDefault="001B3767" w:rsidP="000E2288">
            <w:pPr>
              <w:pStyle w:val="cuatexto"/>
              <w:ind w:right="29"/>
              <w:jc w:val="right"/>
              <w:rPr>
                <w:sz w:val="18"/>
                <w:szCs w:val="18"/>
                <w:lang w:val="es-ES"/>
              </w:rPr>
            </w:pPr>
            <w:r>
              <w:rPr>
                <w:sz w:val="18"/>
                <w:szCs w:val="18"/>
                <w:lang w:val="es-ES"/>
              </w:rPr>
              <w:t>296.464</w:t>
            </w:r>
          </w:p>
        </w:tc>
      </w:tr>
      <w:tr w:rsidR="001B3767" w:rsidRPr="001639F7" w:rsidTr="000A77B7">
        <w:trPr>
          <w:trHeight w:hRule="exact" w:val="300"/>
          <w:jc w:val="center"/>
        </w:trPr>
        <w:tc>
          <w:tcPr>
            <w:tcW w:w="2253" w:type="dxa"/>
            <w:shd w:val="clear" w:color="auto" w:fill="8DB3E2" w:themeFill="text2" w:themeFillTint="66"/>
            <w:vAlign w:val="center"/>
          </w:tcPr>
          <w:p w:rsidR="001B3767" w:rsidRPr="001C7C24" w:rsidRDefault="001B3767" w:rsidP="000E2288">
            <w:pPr>
              <w:pStyle w:val="cuadroCabe"/>
              <w:rPr>
                <w:sz w:val="17"/>
                <w:szCs w:val="17"/>
                <w:lang w:val="es-ES"/>
              </w:rPr>
            </w:pPr>
            <w:r w:rsidRPr="001C7C24">
              <w:rPr>
                <w:sz w:val="17"/>
                <w:szCs w:val="17"/>
                <w:lang w:val="es-ES"/>
              </w:rPr>
              <w:t>Total</w:t>
            </w:r>
          </w:p>
        </w:tc>
        <w:tc>
          <w:tcPr>
            <w:tcW w:w="988"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3.837.717</w:t>
            </w:r>
            <w:r>
              <w:rPr>
                <w:sz w:val="17"/>
                <w:szCs w:val="17"/>
                <w:lang w:val="es-ES"/>
              </w:rPr>
              <w:fldChar w:fldCharType="end"/>
            </w:r>
          </w:p>
        </w:tc>
        <w:tc>
          <w:tcPr>
            <w:tcW w:w="1087"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3.962.805</w:t>
            </w:r>
            <w:r>
              <w:rPr>
                <w:sz w:val="17"/>
                <w:szCs w:val="17"/>
                <w:lang w:val="es-ES"/>
              </w:rPr>
              <w:fldChar w:fldCharType="end"/>
            </w:r>
          </w:p>
        </w:tc>
        <w:tc>
          <w:tcPr>
            <w:tcW w:w="1113"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3.812.559</w:t>
            </w:r>
            <w:r>
              <w:rPr>
                <w:sz w:val="17"/>
                <w:szCs w:val="17"/>
                <w:lang w:val="es-ES"/>
              </w:rPr>
              <w:fldChar w:fldCharType="end"/>
            </w:r>
          </w:p>
        </w:tc>
        <w:tc>
          <w:tcPr>
            <w:tcW w:w="1014"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3.808.817</w:t>
            </w:r>
            <w:r>
              <w:rPr>
                <w:sz w:val="17"/>
                <w:szCs w:val="17"/>
                <w:lang w:val="es-ES"/>
              </w:rPr>
              <w:fldChar w:fldCharType="end"/>
            </w:r>
          </w:p>
        </w:tc>
        <w:tc>
          <w:tcPr>
            <w:tcW w:w="1018"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3.803.564</w:t>
            </w:r>
            <w:r>
              <w:rPr>
                <w:sz w:val="17"/>
                <w:szCs w:val="17"/>
                <w:lang w:val="es-ES"/>
              </w:rPr>
              <w:fldChar w:fldCharType="end"/>
            </w:r>
          </w:p>
        </w:tc>
        <w:tc>
          <w:tcPr>
            <w:tcW w:w="900"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t>95,98</w:t>
            </w:r>
          </w:p>
        </w:tc>
        <w:tc>
          <w:tcPr>
            <w:tcW w:w="960" w:type="dxa"/>
            <w:shd w:val="clear" w:color="auto" w:fill="8DB3E2" w:themeFill="text2" w:themeFillTint="66"/>
            <w:vAlign w:val="center"/>
          </w:tcPr>
          <w:p w:rsidR="001B3767" w:rsidRPr="001C5397" w:rsidRDefault="001B3767" w:rsidP="000E2288">
            <w:pPr>
              <w:pStyle w:val="cuadroCabe"/>
              <w:jc w:val="right"/>
              <w:rPr>
                <w:sz w:val="17"/>
                <w:szCs w:val="17"/>
                <w:lang w:val="es-ES"/>
              </w:rPr>
            </w:pPr>
            <w:r>
              <w:rPr>
                <w:sz w:val="17"/>
                <w:szCs w:val="17"/>
                <w:lang w:val="es-ES"/>
              </w:rPr>
              <w:fldChar w:fldCharType="begin"/>
            </w:r>
            <w:r>
              <w:rPr>
                <w:sz w:val="17"/>
                <w:szCs w:val="17"/>
                <w:lang w:val="es-ES"/>
              </w:rPr>
              <w:instrText xml:space="preserve"> =SUM(ABOVE) </w:instrText>
            </w:r>
            <w:r>
              <w:rPr>
                <w:sz w:val="17"/>
                <w:szCs w:val="17"/>
                <w:lang w:val="es-ES"/>
              </w:rPr>
              <w:fldChar w:fldCharType="separate"/>
            </w:r>
            <w:r>
              <w:rPr>
                <w:noProof/>
                <w:sz w:val="17"/>
                <w:szCs w:val="17"/>
                <w:lang w:val="es-ES"/>
              </w:rPr>
              <w:t>3.606.748</w:t>
            </w:r>
            <w:r>
              <w:rPr>
                <w:sz w:val="17"/>
                <w:szCs w:val="17"/>
                <w:lang w:val="es-ES"/>
              </w:rPr>
              <w:fldChar w:fldCharType="end"/>
            </w:r>
          </w:p>
        </w:tc>
      </w:tr>
    </w:tbl>
    <w:p w:rsidR="001B3767" w:rsidRPr="001639F7" w:rsidRDefault="001B3767" w:rsidP="001B3767">
      <w:pPr>
        <w:pStyle w:val="cuatitul"/>
        <w:suppressAutoHyphens/>
        <w:ind w:right="29"/>
        <w:rPr>
          <w:sz w:val="16"/>
          <w:szCs w:val="16"/>
          <w:highlight w:val="yellow"/>
        </w:rPr>
      </w:pPr>
    </w:p>
    <w:p w:rsidR="001B3767" w:rsidRPr="001639F7" w:rsidRDefault="001B3767" w:rsidP="001B3767">
      <w:pPr>
        <w:pStyle w:val="cuatitul"/>
        <w:suppressAutoHyphens/>
        <w:ind w:right="29"/>
        <w:rPr>
          <w:sz w:val="16"/>
          <w:szCs w:val="16"/>
          <w:highlight w:val="yellow"/>
        </w:rPr>
      </w:pPr>
    </w:p>
    <w:p w:rsidR="001B3767" w:rsidRPr="00C80021" w:rsidRDefault="001B3767" w:rsidP="0031203B">
      <w:pPr>
        <w:pStyle w:val="cuatitul"/>
        <w:suppressAutoHyphens/>
        <w:spacing w:before="240" w:after="120"/>
        <w:ind w:right="28"/>
        <w:rPr>
          <w:sz w:val="24"/>
          <w:szCs w:val="24"/>
        </w:rPr>
      </w:pPr>
      <w:r w:rsidRPr="00C80021">
        <w:rPr>
          <w:sz w:val="24"/>
          <w:szCs w:val="24"/>
        </w:rPr>
        <w:t>Liquidación del presupuesto de ingresos de 2014, por capítulos económicos</w:t>
      </w:r>
    </w:p>
    <w:p w:rsidR="001B3767" w:rsidRPr="001C7C24" w:rsidRDefault="001B3767" w:rsidP="002A0A9D">
      <w:pPr>
        <w:pStyle w:val="cuatitul"/>
        <w:suppressAutoHyphens/>
        <w:ind w:right="-210"/>
        <w:jc w:val="right"/>
        <w:rPr>
          <w:rFonts w:ascii="Arial Narrow" w:hAnsi="Arial Narrow"/>
          <w:sz w:val="18"/>
          <w:szCs w:val="18"/>
        </w:rPr>
      </w:pPr>
      <w:r w:rsidRPr="001C7C24">
        <w:rPr>
          <w:rFonts w:ascii="Arial Narrow" w:hAnsi="Arial Narrow"/>
          <w:sz w:val="18"/>
          <w:szCs w:val="18"/>
        </w:rPr>
        <w:t xml:space="preserve">                                                                                              (</w:t>
      </w:r>
      <w:proofErr w:type="gramStart"/>
      <w:r w:rsidRPr="001C7C24">
        <w:rPr>
          <w:rFonts w:ascii="Arial Narrow" w:hAnsi="Arial Narrow"/>
          <w:sz w:val="18"/>
          <w:szCs w:val="18"/>
        </w:rPr>
        <w:t>miles</w:t>
      </w:r>
      <w:proofErr w:type="gramEnd"/>
      <w:r w:rsidRPr="001C7C24">
        <w:rPr>
          <w:rFonts w:ascii="Arial Narrow" w:hAnsi="Arial Narrow"/>
          <w:sz w:val="18"/>
          <w:szCs w:val="18"/>
        </w:rPr>
        <w:t xml:space="preserve"> de euros)</w:t>
      </w:r>
    </w:p>
    <w:tbl>
      <w:tblPr>
        <w:tblW w:w="9312" w:type="dxa"/>
        <w:jc w:val="center"/>
        <w:tblInd w:w="-48"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68"/>
        <w:gridCol w:w="1256"/>
        <w:gridCol w:w="1537"/>
        <w:gridCol w:w="1713"/>
        <w:gridCol w:w="898"/>
        <w:gridCol w:w="10"/>
        <w:gridCol w:w="1430"/>
      </w:tblGrid>
      <w:tr w:rsidR="001B3767" w:rsidRPr="00745B12" w:rsidTr="006A5967">
        <w:trPr>
          <w:trHeight w:hRule="exact" w:val="500"/>
          <w:jc w:val="center"/>
        </w:trPr>
        <w:tc>
          <w:tcPr>
            <w:tcW w:w="2468" w:type="dxa"/>
            <w:tcBorders>
              <w:bottom w:val="single" w:sz="4" w:space="0" w:color="auto"/>
            </w:tcBorders>
            <w:shd w:val="clear" w:color="auto" w:fill="8DB3E2" w:themeFill="text2" w:themeFillTint="66"/>
            <w:vAlign w:val="center"/>
          </w:tcPr>
          <w:p w:rsidR="001B3767" w:rsidRPr="00745B12" w:rsidRDefault="001B3767" w:rsidP="000E2288">
            <w:pPr>
              <w:pStyle w:val="cuadroCabe"/>
              <w:rPr>
                <w:sz w:val="16"/>
              </w:rPr>
            </w:pPr>
            <w:r w:rsidRPr="00745B12">
              <w:t>Capítulo económico</w:t>
            </w:r>
          </w:p>
        </w:tc>
        <w:tc>
          <w:tcPr>
            <w:tcW w:w="1256" w:type="dxa"/>
            <w:tcBorders>
              <w:bottom w:val="single" w:sz="4" w:space="0" w:color="auto"/>
            </w:tcBorders>
            <w:shd w:val="clear" w:color="auto" w:fill="8DB3E2" w:themeFill="text2" w:themeFillTint="66"/>
            <w:vAlign w:val="center"/>
          </w:tcPr>
          <w:p w:rsidR="001B3767" w:rsidRPr="00A6318B" w:rsidRDefault="001B3767" w:rsidP="000E2288">
            <w:pPr>
              <w:pStyle w:val="cuadroCabe"/>
              <w:jc w:val="right"/>
              <w:rPr>
                <w:sz w:val="17"/>
                <w:szCs w:val="17"/>
              </w:rPr>
            </w:pPr>
            <w:r w:rsidRPr="00A6318B">
              <w:rPr>
                <w:sz w:val="17"/>
                <w:szCs w:val="17"/>
              </w:rPr>
              <w:t>Presupuesto</w:t>
            </w:r>
          </w:p>
          <w:p w:rsidR="001B3767" w:rsidRPr="00A6318B" w:rsidRDefault="001B3767" w:rsidP="000E2288">
            <w:pPr>
              <w:pStyle w:val="cuadroCabe"/>
              <w:jc w:val="right"/>
              <w:rPr>
                <w:sz w:val="17"/>
                <w:szCs w:val="17"/>
              </w:rPr>
            </w:pPr>
            <w:r w:rsidRPr="00A6318B">
              <w:rPr>
                <w:sz w:val="17"/>
                <w:szCs w:val="17"/>
              </w:rPr>
              <w:t>inicial</w:t>
            </w:r>
          </w:p>
        </w:tc>
        <w:tc>
          <w:tcPr>
            <w:tcW w:w="1537" w:type="dxa"/>
            <w:tcBorders>
              <w:bottom w:val="single" w:sz="4" w:space="0" w:color="auto"/>
            </w:tcBorders>
            <w:shd w:val="clear" w:color="auto" w:fill="8DB3E2" w:themeFill="text2" w:themeFillTint="66"/>
            <w:vAlign w:val="center"/>
          </w:tcPr>
          <w:p w:rsidR="001B3767" w:rsidRPr="00A6318B" w:rsidRDefault="001B3767" w:rsidP="000E2288">
            <w:pPr>
              <w:pStyle w:val="cuadroCabe"/>
              <w:jc w:val="right"/>
              <w:rPr>
                <w:sz w:val="17"/>
                <w:szCs w:val="17"/>
              </w:rPr>
            </w:pPr>
            <w:r w:rsidRPr="00A6318B">
              <w:rPr>
                <w:sz w:val="17"/>
                <w:szCs w:val="17"/>
              </w:rPr>
              <w:t>Presupuesto</w:t>
            </w:r>
          </w:p>
          <w:p w:rsidR="001B3767" w:rsidRPr="00A6318B" w:rsidRDefault="00E3479B" w:rsidP="000E2288">
            <w:pPr>
              <w:pStyle w:val="cuadroCabe"/>
              <w:jc w:val="right"/>
              <w:rPr>
                <w:sz w:val="17"/>
                <w:szCs w:val="17"/>
              </w:rPr>
            </w:pPr>
            <w:r w:rsidRPr="00A6318B">
              <w:rPr>
                <w:sz w:val="17"/>
                <w:szCs w:val="17"/>
              </w:rPr>
              <w:t>definitivo</w:t>
            </w:r>
          </w:p>
        </w:tc>
        <w:tc>
          <w:tcPr>
            <w:tcW w:w="1713" w:type="dxa"/>
            <w:tcBorders>
              <w:bottom w:val="single" w:sz="4" w:space="0" w:color="auto"/>
            </w:tcBorders>
            <w:shd w:val="clear" w:color="auto" w:fill="8DB3E2" w:themeFill="text2" w:themeFillTint="66"/>
            <w:vAlign w:val="center"/>
          </w:tcPr>
          <w:p w:rsidR="001B3767" w:rsidRPr="00A6318B" w:rsidRDefault="001B3767" w:rsidP="0031203B">
            <w:pPr>
              <w:pStyle w:val="cuadroCabe"/>
              <w:ind w:right="201"/>
              <w:jc w:val="right"/>
              <w:rPr>
                <w:sz w:val="17"/>
                <w:szCs w:val="17"/>
              </w:rPr>
            </w:pPr>
            <w:r w:rsidRPr="00A6318B">
              <w:rPr>
                <w:sz w:val="17"/>
                <w:szCs w:val="17"/>
              </w:rPr>
              <w:t>Derechos</w:t>
            </w:r>
          </w:p>
          <w:p w:rsidR="001B3767" w:rsidRPr="00A6318B" w:rsidRDefault="001B3767" w:rsidP="0031203B">
            <w:pPr>
              <w:pStyle w:val="cuadroCabe"/>
              <w:ind w:right="201"/>
              <w:jc w:val="right"/>
              <w:rPr>
                <w:sz w:val="17"/>
                <w:szCs w:val="17"/>
              </w:rPr>
            </w:pPr>
            <w:r w:rsidRPr="00A6318B">
              <w:rPr>
                <w:sz w:val="17"/>
                <w:szCs w:val="17"/>
              </w:rPr>
              <w:t xml:space="preserve"> </w:t>
            </w:r>
            <w:proofErr w:type="spellStart"/>
            <w:proofErr w:type="gramStart"/>
            <w:r w:rsidR="00E3479B" w:rsidRPr="00A6318B">
              <w:rPr>
                <w:sz w:val="17"/>
                <w:szCs w:val="17"/>
              </w:rPr>
              <w:t>recon</w:t>
            </w:r>
            <w:proofErr w:type="spellEnd"/>
            <w:proofErr w:type="gramEnd"/>
            <w:r w:rsidRPr="00A6318B">
              <w:rPr>
                <w:sz w:val="17"/>
                <w:szCs w:val="17"/>
              </w:rPr>
              <w:t>.  netos</w:t>
            </w:r>
          </w:p>
        </w:tc>
        <w:tc>
          <w:tcPr>
            <w:tcW w:w="908" w:type="dxa"/>
            <w:gridSpan w:val="2"/>
            <w:tcBorders>
              <w:bottom w:val="single" w:sz="4" w:space="0" w:color="auto"/>
            </w:tcBorders>
            <w:shd w:val="clear" w:color="auto" w:fill="8DB3E2" w:themeFill="text2" w:themeFillTint="66"/>
            <w:vAlign w:val="center"/>
          </w:tcPr>
          <w:p w:rsidR="001B3767" w:rsidRPr="00A6318B" w:rsidRDefault="001B3767" w:rsidP="000E2288">
            <w:pPr>
              <w:pStyle w:val="cuadroCabe"/>
              <w:jc w:val="center"/>
              <w:rPr>
                <w:sz w:val="17"/>
                <w:szCs w:val="17"/>
              </w:rPr>
            </w:pPr>
            <w:r w:rsidRPr="00A6318B">
              <w:rPr>
                <w:sz w:val="17"/>
                <w:szCs w:val="17"/>
              </w:rPr>
              <w:t>%</w:t>
            </w:r>
          </w:p>
          <w:p w:rsidR="001B3767" w:rsidRPr="00A6318B" w:rsidRDefault="001B3767" w:rsidP="000E2288">
            <w:pPr>
              <w:pStyle w:val="cuadroCabe"/>
              <w:jc w:val="right"/>
              <w:rPr>
                <w:sz w:val="17"/>
                <w:szCs w:val="17"/>
              </w:rPr>
            </w:pPr>
            <w:r w:rsidRPr="00A6318B">
              <w:rPr>
                <w:sz w:val="17"/>
                <w:szCs w:val="17"/>
              </w:rPr>
              <w:t>ejecución</w:t>
            </w:r>
          </w:p>
        </w:tc>
        <w:tc>
          <w:tcPr>
            <w:tcW w:w="1430" w:type="dxa"/>
            <w:tcBorders>
              <w:bottom w:val="single" w:sz="4" w:space="0" w:color="auto"/>
            </w:tcBorders>
            <w:shd w:val="clear" w:color="auto" w:fill="8DB3E2" w:themeFill="text2" w:themeFillTint="66"/>
            <w:vAlign w:val="center"/>
          </w:tcPr>
          <w:p w:rsidR="001B3767" w:rsidRPr="00A6318B" w:rsidRDefault="001B3767" w:rsidP="000E2288">
            <w:pPr>
              <w:pStyle w:val="cuadroCabe"/>
              <w:jc w:val="right"/>
              <w:rPr>
                <w:sz w:val="17"/>
                <w:szCs w:val="17"/>
              </w:rPr>
            </w:pPr>
            <w:r w:rsidRPr="00A6318B">
              <w:rPr>
                <w:sz w:val="17"/>
                <w:szCs w:val="17"/>
              </w:rPr>
              <w:t>Recaudación neta</w:t>
            </w:r>
          </w:p>
        </w:tc>
      </w:tr>
      <w:tr w:rsidR="001B3767" w:rsidRPr="00745B12" w:rsidTr="000E2288">
        <w:trPr>
          <w:trHeight w:hRule="exact" w:val="300"/>
          <w:jc w:val="center"/>
        </w:trPr>
        <w:tc>
          <w:tcPr>
            <w:tcW w:w="2468" w:type="dxa"/>
            <w:tcBorders>
              <w:top w:val="single" w:sz="4"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Impuestos directos</w:t>
            </w:r>
          </w:p>
        </w:tc>
        <w:tc>
          <w:tcPr>
            <w:tcW w:w="1256" w:type="dxa"/>
            <w:tcBorders>
              <w:top w:val="single" w:sz="4"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1.434.617</w:t>
            </w:r>
          </w:p>
        </w:tc>
        <w:tc>
          <w:tcPr>
            <w:tcW w:w="1537" w:type="dxa"/>
            <w:tcBorders>
              <w:top w:val="single" w:sz="4"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1.449.261</w:t>
            </w:r>
          </w:p>
        </w:tc>
        <w:tc>
          <w:tcPr>
            <w:tcW w:w="1713" w:type="dxa"/>
            <w:tcBorders>
              <w:top w:val="single" w:sz="4"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1.427.976</w:t>
            </w:r>
          </w:p>
        </w:tc>
        <w:tc>
          <w:tcPr>
            <w:tcW w:w="908" w:type="dxa"/>
            <w:gridSpan w:val="2"/>
            <w:tcBorders>
              <w:top w:val="single" w:sz="4"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98,53</w:t>
            </w:r>
          </w:p>
        </w:tc>
        <w:tc>
          <w:tcPr>
            <w:tcW w:w="1430" w:type="dxa"/>
            <w:tcBorders>
              <w:top w:val="single" w:sz="4"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1.384.084</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Impuestos indirectos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1.763.838</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1.763.838</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1.586.507</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89,95</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1.523.741</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Tasas, precios públicos y otros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104.790</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122.057</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138.678</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113,62</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96.625</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Transferencias corrientes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67.759</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68.792</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32.855</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47,76</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32.538</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Ingresos patrimoniales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9.952</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9.973</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14.069</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141,07</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6.802</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Enajenación inversiones reales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9.405</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9.883</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2.017</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20,41</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1.606</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Transferencias de capital</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17.579</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19.962</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47.595</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238,42</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47.479</w:t>
            </w:r>
          </w:p>
        </w:tc>
      </w:tr>
      <w:tr w:rsidR="001B3767" w:rsidRPr="00745B12" w:rsidTr="000E2288">
        <w:trPr>
          <w:trHeight w:hRule="exact" w:val="300"/>
          <w:jc w:val="center"/>
        </w:trPr>
        <w:tc>
          <w:tcPr>
            <w:tcW w:w="2468" w:type="dxa"/>
            <w:tcBorders>
              <w:top w:val="single" w:sz="2" w:space="0" w:color="auto"/>
              <w:bottom w:val="single" w:sz="2" w:space="0" w:color="auto"/>
            </w:tcBorders>
            <w:vAlign w:val="center"/>
          </w:tcPr>
          <w:p w:rsidR="001B3767" w:rsidRPr="00745B12" w:rsidRDefault="001B3767" w:rsidP="000E2288">
            <w:pPr>
              <w:pStyle w:val="cuatexto"/>
              <w:ind w:right="29"/>
              <w:rPr>
                <w:sz w:val="18"/>
                <w:szCs w:val="18"/>
                <w:lang w:val="es-ES"/>
              </w:rPr>
            </w:pPr>
            <w:r w:rsidRPr="00745B12">
              <w:rPr>
                <w:sz w:val="18"/>
                <w:szCs w:val="18"/>
                <w:lang w:val="es-ES"/>
              </w:rPr>
              <w:t>Activos financieros</w:t>
            </w:r>
          </w:p>
        </w:tc>
        <w:tc>
          <w:tcPr>
            <w:tcW w:w="1256"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21.527</w:t>
            </w:r>
          </w:p>
        </w:tc>
        <w:tc>
          <w:tcPr>
            <w:tcW w:w="1537"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110.889</w:t>
            </w:r>
          </w:p>
        </w:tc>
        <w:tc>
          <w:tcPr>
            <w:tcW w:w="1713" w:type="dxa"/>
            <w:tcBorders>
              <w:top w:val="single" w:sz="2" w:space="0" w:color="auto"/>
              <w:bottom w:val="single" w:sz="2"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113.702</w:t>
            </w:r>
          </w:p>
        </w:tc>
        <w:tc>
          <w:tcPr>
            <w:tcW w:w="908" w:type="dxa"/>
            <w:gridSpan w:val="2"/>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102,54</w:t>
            </w:r>
          </w:p>
        </w:tc>
        <w:tc>
          <w:tcPr>
            <w:tcW w:w="1430" w:type="dxa"/>
            <w:tcBorders>
              <w:top w:val="single" w:sz="2" w:space="0" w:color="auto"/>
              <w:bottom w:val="single" w:sz="2" w:space="0" w:color="auto"/>
            </w:tcBorders>
            <w:vAlign w:val="center"/>
          </w:tcPr>
          <w:p w:rsidR="001B3767" w:rsidRPr="00745B12" w:rsidRDefault="001B3767" w:rsidP="000E2288">
            <w:pPr>
              <w:pStyle w:val="cuatexto"/>
              <w:jc w:val="right"/>
              <w:rPr>
                <w:sz w:val="18"/>
                <w:szCs w:val="18"/>
                <w:lang w:val="es-ES"/>
              </w:rPr>
            </w:pPr>
            <w:r>
              <w:rPr>
                <w:sz w:val="18"/>
                <w:szCs w:val="18"/>
                <w:lang w:val="es-ES"/>
              </w:rPr>
              <w:t>109.914</w:t>
            </w:r>
          </w:p>
        </w:tc>
      </w:tr>
      <w:tr w:rsidR="001B3767" w:rsidRPr="00745B12" w:rsidTr="00E3479B">
        <w:trPr>
          <w:trHeight w:hRule="exact" w:val="300"/>
          <w:jc w:val="center"/>
        </w:trPr>
        <w:tc>
          <w:tcPr>
            <w:tcW w:w="2468" w:type="dxa"/>
            <w:tcBorders>
              <w:top w:val="single" w:sz="2" w:space="0" w:color="auto"/>
              <w:bottom w:val="single" w:sz="4" w:space="0" w:color="auto"/>
            </w:tcBorders>
            <w:vAlign w:val="center"/>
          </w:tcPr>
          <w:p w:rsidR="001B3767" w:rsidRPr="00745B12" w:rsidRDefault="001B3767" w:rsidP="000E2288">
            <w:pPr>
              <w:pStyle w:val="cuatexto"/>
              <w:ind w:right="29"/>
              <w:rPr>
                <w:rFonts w:ascii="GillSans" w:hAnsi="GillSans"/>
                <w:sz w:val="18"/>
                <w:szCs w:val="18"/>
                <w:lang w:val="es-ES"/>
              </w:rPr>
            </w:pPr>
            <w:r w:rsidRPr="00745B12">
              <w:rPr>
                <w:sz w:val="18"/>
                <w:szCs w:val="18"/>
                <w:lang w:val="es-ES"/>
              </w:rPr>
              <w:t>Pasivos financieros</w:t>
            </w:r>
          </w:p>
        </w:tc>
        <w:tc>
          <w:tcPr>
            <w:tcW w:w="1256" w:type="dxa"/>
            <w:tcBorders>
              <w:top w:val="single" w:sz="2" w:space="0" w:color="auto"/>
              <w:bottom w:val="single" w:sz="4" w:space="0" w:color="auto"/>
            </w:tcBorders>
            <w:vAlign w:val="center"/>
          </w:tcPr>
          <w:p w:rsidR="001B3767" w:rsidRPr="00745B12" w:rsidRDefault="001B3767" w:rsidP="000E2288">
            <w:pPr>
              <w:pStyle w:val="cuatexto"/>
              <w:jc w:val="right"/>
              <w:rPr>
                <w:sz w:val="18"/>
                <w:szCs w:val="18"/>
                <w:lang w:val="es-ES"/>
              </w:rPr>
            </w:pPr>
            <w:r>
              <w:rPr>
                <w:sz w:val="18"/>
                <w:szCs w:val="18"/>
                <w:lang w:val="es-ES"/>
              </w:rPr>
              <w:t>408.250</w:t>
            </w:r>
          </w:p>
        </w:tc>
        <w:tc>
          <w:tcPr>
            <w:tcW w:w="1537" w:type="dxa"/>
            <w:tcBorders>
              <w:top w:val="single" w:sz="2" w:space="0" w:color="auto"/>
              <w:bottom w:val="single" w:sz="4" w:space="0" w:color="auto"/>
            </w:tcBorders>
            <w:vAlign w:val="center"/>
          </w:tcPr>
          <w:p w:rsidR="001B3767" w:rsidRPr="00745B12" w:rsidRDefault="001B3767" w:rsidP="000E2288">
            <w:pPr>
              <w:pStyle w:val="cuatexto"/>
              <w:jc w:val="right"/>
              <w:rPr>
                <w:sz w:val="18"/>
                <w:szCs w:val="18"/>
                <w:lang w:val="es-ES"/>
              </w:rPr>
            </w:pPr>
            <w:r>
              <w:rPr>
                <w:sz w:val="18"/>
                <w:szCs w:val="18"/>
                <w:lang w:val="es-ES"/>
              </w:rPr>
              <w:t>408.250</w:t>
            </w:r>
          </w:p>
        </w:tc>
        <w:tc>
          <w:tcPr>
            <w:tcW w:w="1713" w:type="dxa"/>
            <w:tcBorders>
              <w:top w:val="single" w:sz="2" w:space="0" w:color="auto"/>
              <w:bottom w:val="single" w:sz="4" w:space="0" w:color="auto"/>
            </w:tcBorders>
            <w:vAlign w:val="center"/>
          </w:tcPr>
          <w:p w:rsidR="001B3767" w:rsidRPr="00745B12" w:rsidRDefault="001B3767" w:rsidP="0031203B">
            <w:pPr>
              <w:pStyle w:val="cuatexto"/>
              <w:ind w:right="201"/>
              <w:jc w:val="right"/>
              <w:rPr>
                <w:sz w:val="18"/>
                <w:szCs w:val="18"/>
                <w:lang w:val="es-ES"/>
              </w:rPr>
            </w:pPr>
            <w:r>
              <w:rPr>
                <w:sz w:val="18"/>
                <w:szCs w:val="18"/>
                <w:lang w:val="es-ES"/>
              </w:rPr>
              <w:t>492.585</w:t>
            </w:r>
          </w:p>
        </w:tc>
        <w:tc>
          <w:tcPr>
            <w:tcW w:w="908" w:type="dxa"/>
            <w:gridSpan w:val="2"/>
            <w:tcBorders>
              <w:top w:val="single" w:sz="2" w:space="0" w:color="auto"/>
              <w:bottom w:val="single" w:sz="4" w:space="0" w:color="auto"/>
            </w:tcBorders>
            <w:vAlign w:val="center"/>
          </w:tcPr>
          <w:p w:rsidR="001B3767" w:rsidRPr="00745B12" w:rsidRDefault="001B3767" w:rsidP="000E2288">
            <w:pPr>
              <w:pStyle w:val="cuatexto"/>
              <w:jc w:val="right"/>
              <w:rPr>
                <w:sz w:val="18"/>
                <w:szCs w:val="18"/>
                <w:lang w:val="es-ES"/>
              </w:rPr>
            </w:pPr>
            <w:r>
              <w:rPr>
                <w:sz w:val="18"/>
                <w:szCs w:val="18"/>
                <w:lang w:val="es-ES"/>
              </w:rPr>
              <w:t>120,66</w:t>
            </w:r>
          </w:p>
        </w:tc>
        <w:tc>
          <w:tcPr>
            <w:tcW w:w="1430" w:type="dxa"/>
            <w:tcBorders>
              <w:top w:val="single" w:sz="2" w:space="0" w:color="auto"/>
              <w:bottom w:val="single" w:sz="4" w:space="0" w:color="auto"/>
            </w:tcBorders>
            <w:vAlign w:val="center"/>
          </w:tcPr>
          <w:p w:rsidR="001B3767" w:rsidRPr="00745B12" w:rsidRDefault="001B3767" w:rsidP="000E2288">
            <w:pPr>
              <w:pStyle w:val="cuatexto"/>
              <w:jc w:val="right"/>
              <w:rPr>
                <w:sz w:val="18"/>
                <w:szCs w:val="18"/>
                <w:lang w:val="es-ES"/>
              </w:rPr>
            </w:pPr>
            <w:r>
              <w:rPr>
                <w:sz w:val="18"/>
                <w:szCs w:val="18"/>
                <w:lang w:val="es-ES"/>
              </w:rPr>
              <w:t>492.585</w:t>
            </w:r>
          </w:p>
        </w:tc>
      </w:tr>
      <w:tr w:rsidR="001B3767" w:rsidRPr="00745B12" w:rsidTr="00E3479B">
        <w:trPr>
          <w:trHeight w:hRule="exact" w:val="300"/>
          <w:jc w:val="center"/>
        </w:trPr>
        <w:tc>
          <w:tcPr>
            <w:tcW w:w="2468" w:type="dxa"/>
            <w:tcBorders>
              <w:top w:val="single" w:sz="4" w:space="0" w:color="auto"/>
              <w:bottom w:val="single" w:sz="4" w:space="0" w:color="auto"/>
            </w:tcBorders>
            <w:shd w:val="clear" w:color="auto" w:fill="8DB3E2" w:themeFill="text2" w:themeFillTint="66"/>
            <w:vAlign w:val="center"/>
          </w:tcPr>
          <w:p w:rsidR="001B3767" w:rsidRPr="00745B12" w:rsidRDefault="001B3767" w:rsidP="000E2288">
            <w:pPr>
              <w:pStyle w:val="cuadroCabe"/>
              <w:rPr>
                <w:lang w:val="es-ES"/>
              </w:rPr>
            </w:pPr>
            <w:r w:rsidRPr="00745B12">
              <w:rPr>
                <w:lang w:val="es-ES"/>
              </w:rPr>
              <w:t>Total</w:t>
            </w:r>
          </w:p>
        </w:tc>
        <w:tc>
          <w:tcPr>
            <w:tcW w:w="1256" w:type="dxa"/>
            <w:tcBorders>
              <w:top w:val="single" w:sz="4" w:space="0" w:color="auto"/>
              <w:bottom w:val="single" w:sz="4" w:space="0" w:color="auto"/>
            </w:tcBorders>
            <w:shd w:val="clear" w:color="auto" w:fill="8DB3E2" w:themeFill="text2" w:themeFillTint="66"/>
            <w:vAlign w:val="center"/>
          </w:tcPr>
          <w:p w:rsidR="001B3767" w:rsidRPr="00745B12" w:rsidRDefault="001B3767" w:rsidP="000E2288">
            <w:pPr>
              <w:pStyle w:val="cuadroCabe"/>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3.837.717</w:t>
            </w:r>
            <w:r>
              <w:rPr>
                <w:lang w:val="es-ES"/>
              </w:rPr>
              <w:fldChar w:fldCharType="end"/>
            </w:r>
          </w:p>
        </w:tc>
        <w:tc>
          <w:tcPr>
            <w:tcW w:w="1537" w:type="dxa"/>
            <w:tcBorders>
              <w:top w:val="single" w:sz="4" w:space="0" w:color="auto"/>
              <w:bottom w:val="single" w:sz="4" w:space="0" w:color="auto"/>
            </w:tcBorders>
            <w:shd w:val="clear" w:color="auto" w:fill="8DB3E2" w:themeFill="text2" w:themeFillTint="66"/>
            <w:vAlign w:val="center"/>
          </w:tcPr>
          <w:p w:rsidR="001B3767" w:rsidRPr="00745B12" w:rsidRDefault="001B3767" w:rsidP="000E2288">
            <w:pPr>
              <w:pStyle w:val="cuadroCabe"/>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3.962.905</w:t>
            </w:r>
            <w:r>
              <w:rPr>
                <w:lang w:val="es-ES"/>
              </w:rPr>
              <w:fldChar w:fldCharType="end"/>
            </w:r>
          </w:p>
        </w:tc>
        <w:tc>
          <w:tcPr>
            <w:tcW w:w="1713" w:type="dxa"/>
            <w:tcBorders>
              <w:top w:val="single" w:sz="4" w:space="0" w:color="auto"/>
              <w:bottom w:val="single" w:sz="4" w:space="0" w:color="auto"/>
            </w:tcBorders>
            <w:shd w:val="clear" w:color="auto" w:fill="8DB3E2" w:themeFill="text2" w:themeFillTint="66"/>
            <w:vAlign w:val="center"/>
          </w:tcPr>
          <w:p w:rsidR="001B3767" w:rsidRPr="00745B12" w:rsidRDefault="001B3767" w:rsidP="0031203B">
            <w:pPr>
              <w:pStyle w:val="cuadroCabe"/>
              <w:ind w:right="201"/>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3.855.984</w:t>
            </w:r>
            <w:r>
              <w:rPr>
                <w:lang w:val="es-ES"/>
              </w:rPr>
              <w:fldChar w:fldCharType="end"/>
            </w:r>
          </w:p>
        </w:tc>
        <w:tc>
          <w:tcPr>
            <w:tcW w:w="898" w:type="dxa"/>
            <w:tcBorders>
              <w:top w:val="single" w:sz="4" w:space="0" w:color="auto"/>
              <w:bottom w:val="single" w:sz="4" w:space="0" w:color="auto"/>
            </w:tcBorders>
            <w:shd w:val="clear" w:color="auto" w:fill="8DB3E2" w:themeFill="text2" w:themeFillTint="66"/>
            <w:vAlign w:val="center"/>
          </w:tcPr>
          <w:p w:rsidR="001B3767" w:rsidRPr="00745B12" w:rsidRDefault="001B3767" w:rsidP="000E2288">
            <w:pPr>
              <w:pStyle w:val="cuadroCabe"/>
              <w:jc w:val="right"/>
              <w:rPr>
                <w:lang w:val="es-ES"/>
              </w:rPr>
            </w:pPr>
            <w:r>
              <w:rPr>
                <w:lang w:val="es-ES"/>
              </w:rPr>
              <w:t>97,30</w:t>
            </w:r>
          </w:p>
        </w:tc>
        <w:tc>
          <w:tcPr>
            <w:tcW w:w="1440" w:type="dxa"/>
            <w:gridSpan w:val="2"/>
            <w:tcBorders>
              <w:top w:val="single" w:sz="4" w:space="0" w:color="auto"/>
              <w:bottom w:val="single" w:sz="4" w:space="0" w:color="auto"/>
            </w:tcBorders>
            <w:shd w:val="clear" w:color="auto" w:fill="8DB3E2" w:themeFill="text2" w:themeFillTint="66"/>
            <w:vAlign w:val="center"/>
          </w:tcPr>
          <w:p w:rsidR="001B3767" w:rsidRPr="00745B12" w:rsidRDefault="001B3767" w:rsidP="000E2288">
            <w:pPr>
              <w:pStyle w:val="cuadroCabe"/>
              <w:jc w:val="right"/>
              <w:rPr>
                <w:lang w:val="es-ES"/>
              </w:rPr>
            </w:pPr>
            <w:r>
              <w:rPr>
                <w:lang w:val="es-ES"/>
              </w:rPr>
              <w:fldChar w:fldCharType="begin"/>
            </w:r>
            <w:r>
              <w:rPr>
                <w:lang w:val="es-ES"/>
              </w:rPr>
              <w:instrText xml:space="preserve"> =SUM(ABOVE) </w:instrText>
            </w:r>
            <w:r>
              <w:rPr>
                <w:lang w:val="es-ES"/>
              </w:rPr>
              <w:fldChar w:fldCharType="separate"/>
            </w:r>
            <w:r>
              <w:rPr>
                <w:noProof/>
                <w:lang w:val="es-ES"/>
              </w:rPr>
              <w:t>3.695.374</w:t>
            </w:r>
            <w:r>
              <w:rPr>
                <w:lang w:val="es-ES"/>
              </w:rPr>
              <w:fldChar w:fldCharType="end"/>
            </w:r>
          </w:p>
        </w:tc>
      </w:tr>
    </w:tbl>
    <w:p w:rsidR="001B3767" w:rsidRPr="001639F7" w:rsidRDefault="001B3767" w:rsidP="001B3767">
      <w:pPr>
        <w:ind w:left="567" w:firstLine="0"/>
        <w:rPr>
          <w:highlight w:val="yellow"/>
        </w:rPr>
      </w:pPr>
    </w:p>
    <w:p w:rsidR="001B3767" w:rsidRPr="001639F7" w:rsidRDefault="001B3767" w:rsidP="001B3767">
      <w:pPr>
        <w:pStyle w:val="texto"/>
        <w:rPr>
          <w:highlight w:val="yellow"/>
        </w:rPr>
      </w:pPr>
    </w:p>
    <w:p w:rsidR="001B3767" w:rsidRPr="001639F7" w:rsidRDefault="001B3767" w:rsidP="001B3767">
      <w:pPr>
        <w:pStyle w:val="texto"/>
        <w:rPr>
          <w:highlight w:val="yellow"/>
        </w:rPr>
      </w:pPr>
    </w:p>
    <w:p w:rsidR="001B3767" w:rsidRPr="001C7C24" w:rsidRDefault="001B3767" w:rsidP="001B3767">
      <w:pPr>
        <w:pStyle w:val="atitulo2"/>
      </w:pPr>
      <w:bookmarkStart w:id="47" w:name="_Toc340229944"/>
      <w:bookmarkStart w:id="48" w:name="_Toc394485122"/>
      <w:bookmarkStart w:id="49" w:name="_Toc434399397"/>
      <w:r w:rsidRPr="001C7C24">
        <w:t>VI.2. Resultado presupuestario ejercicio 201</w:t>
      </w:r>
      <w:bookmarkEnd w:id="47"/>
      <w:bookmarkEnd w:id="48"/>
      <w:r w:rsidRPr="001C7C24">
        <w:t>4</w:t>
      </w:r>
      <w:bookmarkEnd w:id="49"/>
    </w:p>
    <w:p w:rsidR="001B3767" w:rsidRPr="001C7C24" w:rsidRDefault="001B3767" w:rsidP="002A0A9D">
      <w:pPr>
        <w:pStyle w:val="texto"/>
        <w:spacing w:after="60"/>
        <w:jc w:val="right"/>
        <w:rPr>
          <w:rFonts w:ascii="Arial Narrow" w:hAnsi="Arial Narrow"/>
          <w:sz w:val="18"/>
          <w:szCs w:val="18"/>
        </w:rPr>
      </w:pPr>
      <w:r w:rsidRPr="001C7C24">
        <w:rPr>
          <w:rFonts w:ascii="Arial Narrow" w:hAnsi="Arial Narrow"/>
          <w:sz w:val="18"/>
          <w:szCs w:val="18"/>
        </w:rPr>
        <w:t>(</w:t>
      </w:r>
      <w:proofErr w:type="gramStart"/>
      <w:r w:rsidRPr="001C7C24">
        <w:rPr>
          <w:rFonts w:ascii="Arial Narrow" w:hAnsi="Arial Narrow"/>
          <w:sz w:val="18"/>
          <w:szCs w:val="18"/>
        </w:rPr>
        <w:t>miles</w:t>
      </w:r>
      <w:proofErr w:type="gramEnd"/>
      <w:r w:rsidRPr="001C7C24">
        <w:rPr>
          <w:rFonts w:ascii="Arial Narrow" w:hAnsi="Arial Narrow"/>
          <w:sz w:val="18"/>
          <w:szCs w:val="18"/>
        </w:rPr>
        <w:t xml:space="preserve"> de euros)</w:t>
      </w:r>
    </w:p>
    <w:tbl>
      <w:tblPr>
        <w:tblW w:w="884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665"/>
        <w:gridCol w:w="2015"/>
        <w:gridCol w:w="1593"/>
        <w:gridCol w:w="1569"/>
      </w:tblGrid>
      <w:tr w:rsidR="001B3767" w:rsidRPr="001C7C24" w:rsidTr="004245A4">
        <w:trPr>
          <w:trHeight w:hRule="exact" w:val="454"/>
          <w:jc w:val="center"/>
        </w:trPr>
        <w:tc>
          <w:tcPr>
            <w:tcW w:w="3665" w:type="dxa"/>
            <w:tcBorders>
              <w:top w:val="single" w:sz="4" w:space="0" w:color="auto"/>
              <w:bottom w:val="single" w:sz="4" w:space="0" w:color="auto"/>
            </w:tcBorders>
            <w:shd w:val="clear" w:color="auto" w:fill="8DB3E2" w:themeFill="text2" w:themeFillTint="66"/>
            <w:vAlign w:val="center"/>
          </w:tcPr>
          <w:p w:rsidR="001B3767" w:rsidRPr="001C7C24" w:rsidRDefault="001B3767" w:rsidP="000E2288">
            <w:pPr>
              <w:pStyle w:val="cuadroCabe"/>
              <w:rPr>
                <w:snapToGrid w:val="0"/>
              </w:rPr>
            </w:pPr>
            <w:r w:rsidRPr="001C7C24">
              <w:rPr>
                <w:snapToGrid w:val="0"/>
              </w:rPr>
              <w:t>Conceptos</w:t>
            </w:r>
          </w:p>
        </w:tc>
        <w:tc>
          <w:tcPr>
            <w:tcW w:w="2015" w:type="dxa"/>
            <w:tcBorders>
              <w:top w:val="single" w:sz="4" w:space="0" w:color="auto"/>
              <w:bottom w:val="single" w:sz="4" w:space="0" w:color="auto"/>
            </w:tcBorders>
            <w:shd w:val="clear" w:color="auto" w:fill="8DB3E2" w:themeFill="text2" w:themeFillTint="66"/>
            <w:vAlign w:val="center"/>
          </w:tcPr>
          <w:p w:rsidR="001B3767" w:rsidRPr="001C7C24" w:rsidRDefault="001B3767" w:rsidP="000E2288">
            <w:pPr>
              <w:pStyle w:val="cuadroCabe"/>
              <w:jc w:val="right"/>
              <w:rPr>
                <w:snapToGrid w:val="0"/>
                <w:color w:val="000000"/>
                <w:lang w:val="es-ES"/>
              </w:rPr>
            </w:pPr>
            <w:r w:rsidRPr="001C7C24">
              <w:rPr>
                <w:snapToGrid w:val="0"/>
                <w:color w:val="000000"/>
                <w:lang w:val="es-ES"/>
              </w:rPr>
              <w:t xml:space="preserve">Derechos </w:t>
            </w:r>
          </w:p>
          <w:p w:rsidR="001B3767" w:rsidRPr="001C7C24" w:rsidRDefault="00543671" w:rsidP="000E2288">
            <w:pPr>
              <w:pStyle w:val="cuadroCabe"/>
              <w:jc w:val="right"/>
              <w:rPr>
                <w:snapToGrid w:val="0"/>
                <w:color w:val="000000"/>
                <w:lang w:val="es-ES"/>
              </w:rPr>
            </w:pPr>
            <w:r w:rsidRPr="001C7C24">
              <w:rPr>
                <w:snapToGrid w:val="0"/>
                <w:color w:val="000000"/>
                <w:lang w:val="es-ES"/>
              </w:rPr>
              <w:t>reconocidos</w:t>
            </w:r>
          </w:p>
        </w:tc>
        <w:tc>
          <w:tcPr>
            <w:tcW w:w="1593" w:type="dxa"/>
            <w:tcBorders>
              <w:top w:val="single" w:sz="4" w:space="0" w:color="auto"/>
              <w:bottom w:val="single" w:sz="4" w:space="0" w:color="auto"/>
            </w:tcBorders>
            <w:shd w:val="clear" w:color="auto" w:fill="8DB3E2" w:themeFill="text2" w:themeFillTint="66"/>
            <w:vAlign w:val="center"/>
          </w:tcPr>
          <w:p w:rsidR="001B3767" w:rsidRPr="001C7C24" w:rsidRDefault="001B3767" w:rsidP="000E2288">
            <w:pPr>
              <w:pStyle w:val="cuadroCabe"/>
              <w:jc w:val="right"/>
              <w:rPr>
                <w:snapToGrid w:val="0"/>
                <w:color w:val="000000"/>
                <w:lang w:val="es-ES"/>
              </w:rPr>
            </w:pPr>
            <w:r w:rsidRPr="001C7C24">
              <w:rPr>
                <w:snapToGrid w:val="0"/>
                <w:color w:val="000000"/>
                <w:lang w:val="es-ES"/>
              </w:rPr>
              <w:t>Obligaciones</w:t>
            </w:r>
          </w:p>
          <w:p w:rsidR="001B3767" w:rsidRPr="001C7C24" w:rsidRDefault="00543671" w:rsidP="000E2288">
            <w:pPr>
              <w:pStyle w:val="cuadroCabe"/>
              <w:jc w:val="right"/>
              <w:rPr>
                <w:snapToGrid w:val="0"/>
                <w:color w:val="000000"/>
                <w:lang w:val="es-ES"/>
              </w:rPr>
            </w:pPr>
            <w:r w:rsidRPr="001C7C24">
              <w:rPr>
                <w:snapToGrid w:val="0"/>
                <w:color w:val="000000"/>
                <w:lang w:val="es-ES"/>
              </w:rPr>
              <w:t>reconocidas</w:t>
            </w:r>
          </w:p>
        </w:tc>
        <w:tc>
          <w:tcPr>
            <w:tcW w:w="1569" w:type="dxa"/>
            <w:tcBorders>
              <w:top w:val="single" w:sz="4" w:space="0" w:color="auto"/>
              <w:bottom w:val="single" w:sz="4" w:space="0" w:color="auto"/>
            </w:tcBorders>
            <w:shd w:val="clear" w:color="auto" w:fill="8DB3E2" w:themeFill="text2" w:themeFillTint="66"/>
            <w:vAlign w:val="center"/>
          </w:tcPr>
          <w:p w:rsidR="001B3767" w:rsidRPr="001C7C24" w:rsidRDefault="001B3767" w:rsidP="000E2288">
            <w:pPr>
              <w:pStyle w:val="cuadroCabe"/>
              <w:jc w:val="right"/>
              <w:rPr>
                <w:snapToGrid w:val="0"/>
                <w:color w:val="000000"/>
                <w:lang w:val="es-ES"/>
              </w:rPr>
            </w:pPr>
            <w:r w:rsidRPr="001C7C24">
              <w:rPr>
                <w:snapToGrid w:val="0"/>
                <w:color w:val="000000"/>
                <w:lang w:val="es-ES"/>
              </w:rPr>
              <w:t>Importe</w:t>
            </w:r>
          </w:p>
        </w:tc>
      </w:tr>
      <w:tr w:rsidR="001B3767" w:rsidRPr="00A6318B" w:rsidTr="00F9098E">
        <w:trPr>
          <w:trHeight w:hRule="exact" w:val="284"/>
          <w:jc w:val="center"/>
        </w:trPr>
        <w:tc>
          <w:tcPr>
            <w:tcW w:w="3665" w:type="dxa"/>
            <w:tcBorders>
              <w:top w:val="single" w:sz="4" w:space="0" w:color="auto"/>
              <w:bottom w:val="nil"/>
            </w:tcBorders>
            <w:vAlign w:val="center"/>
          </w:tcPr>
          <w:p w:rsidR="001B3767" w:rsidRPr="00A6318B" w:rsidRDefault="001B3767" w:rsidP="00911231">
            <w:pPr>
              <w:pStyle w:val="Tabla"/>
              <w:ind w:left="-253"/>
              <w:rPr>
                <w:rFonts w:ascii="Arial Narrow" w:hAnsi="Arial Narrow" w:cs="Arial"/>
                <w:snapToGrid w:val="0"/>
                <w:sz w:val="20"/>
              </w:rPr>
            </w:pPr>
            <w:r w:rsidRPr="00A6318B">
              <w:rPr>
                <w:rFonts w:ascii="Arial Narrow" w:hAnsi="Arial Narrow" w:cs="Arial"/>
                <w:snapToGrid w:val="0"/>
                <w:sz w:val="20"/>
              </w:rPr>
              <w:t xml:space="preserve">     1. Operaciones corrientes</w:t>
            </w:r>
          </w:p>
        </w:tc>
        <w:tc>
          <w:tcPr>
            <w:tcW w:w="2015" w:type="dxa"/>
            <w:tcBorders>
              <w:top w:val="single" w:sz="4" w:space="0" w:color="auto"/>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3.200.085</w:t>
            </w:r>
          </w:p>
        </w:tc>
        <w:tc>
          <w:tcPr>
            <w:tcW w:w="1593" w:type="dxa"/>
            <w:tcBorders>
              <w:top w:val="single" w:sz="4" w:space="0" w:color="auto"/>
              <w:bottom w:val="nil"/>
            </w:tcBorders>
            <w:vAlign w:val="center"/>
          </w:tcPr>
          <w:p w:rsidR="001B3767" w:rsidRPr="00A6318B" w:rsidRDefault="001B3767" w:rsidP="000E2288">
            <w:pPr>
              <w:pStyle w:val="Tabla"/>
              <w:ind w:right="41"/>
              <w:jc w:val="right"/>
              <w:rPr>
                <w:rFonts w:ascii="Arial Narrow" w:hAnsi="Arial Narrow" w:cs="Arial"/>
                <w:snapToGrid w:val="0"/>
                <w:sz w:val="20"/>
              </w:rPr>
            </w:pPr>
            <w:r>
              <w:rPr>
                <w:rFonts w:ascii="Arial Narrow" w:hAnsi="Arial Narrow" w:cs="Arial"/>
                <w:snapToGrid w:val="0"/>
                <w:sz w:val="20"/>
              </w:rPr>
              <w:t>3.136.024</w:t>
            </w:r>
          </w:p>
        </w:tc>
        <w:tc>
          <w:tcPr>
            <w:tcW w:w="1569" w:type="dxa"/>
            <w:tcBorders>
              <w:top w:val="single" w:sz="4" w:space="0" w:color="auto"/>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64.060</w:t>
            </w:r>
          </w:p>
        </w:tc>
      </w:tr>
      <w:tr w:rsidR="001B3767" w:rsidRPr="00A6318B" w:rsidTr="00F9098E">
        <w:trPr>
          <w:trHeight w:hRule="exact" w:val="284"/>
          <w:jc w:val="center"/>
        </w:trPr>
        <w:tc>
          <w:tcPr>
            <w:tcW w:w="3665" w:type="dxa"/>
            <w:tcBorders>
              <w:top w:val="nil"/>
              <w:bottom w:val="nil"/>
            </w:tcBorders>
            <w:vAlign w:val="center"/>
          </w:tcPr>
          <w:p w:rsidR="001B3767" w:rsidRPr="00A6318B" w:rsidRDefault="001B3767" w:rsidP="00911231">
            <w:pPr>
              <w:pStyle w:val="Tabla"/>
              <w:ind w:left="-253"/>
              <w:rPr>
                <w:rFonts w:ascii="Arial Narrow" w:hAnsi="Arial Narrow" w:cs="Arial"/>
                <w:snapToGrid w:val="0"/>
                <w:sz w:val="20"/>
              </w:rPr>
            </w:pPr>
            <w:r w:rsidRPr="00A6318B">
              <w:rPr>
                <w:rFonts w:ascii="Arial Narrow" w:hAnsi="Arial Narrow" w:cs="Arial"/>
                <w:snapToGrid w:val="0"/>
                <w:sz w:val="20"/>
              </w:rPr>
              <w:t xml:space="preserve">     2. Operaciones de capital</w:t>
            </w:r>
          </w:p>
        </w:tc>
        <w:tc>
          <w:tcPr>
            <w:tcW w:w="2015" w:type="dxa"/>
            <w:tcBorders>
              <w:top w:val="nil"/>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49.612</w:t>
            </w:r>
          </w:p>
        </w:tc>
        <w:tc>
          <w:tcPr>
            <w:tcW w:w="1593" w:type="dxa"/>
            <w:tcBorders>
              <w:top w:val="nil"/>
              <w:bottom w:val="nil"/>
            </w:tcBorders>
            <w:vAlign w:val="center"/>
          </w:tcPr>
          <w:p w:rsidR="001B3767" w:rsidRPr="00A6318B" w:rsidRDefault="001B3767" w:rsidP="000E2288">
            <w:pPr>
              <w:pStyle w:val="Tabla"/>
              <w:ind w:right="41"/>
              <w:jc w:val="right"/>
              <w:rPr>
                <w:rFonts w:ascii="Arial Narrow" w:hAnsi="Arial Narrow" w:cs="Arial"/>
                <w:snapToGrid w:val="0"/>
                <w:sz w:val="20"/>
              </w:rPr>
            </w:pPr>
            <w:r>
              <w:rPr>
                <w:rFonts w:ascii="Arial Narrow" w:hAnsi="Arial Narrow" w:cs="Arial"/>
                <w:snapToGrid w:val="0"/>
                <w:sz w:val="20"/>
              </w:rPr>
              <w:t>217.902</w:t>
            </w:r>
          </w:p>
        </w:tc>
        <w:tc>
          <w:tcPr>
            <w:tcW w:w="1569" w:type="dxa"/>
            <w:tcBorders>
              <w:top w:val="nil"/>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-168.290</w:t>
            </w:r>
          </w:p>
        </w:tc>
      </w:tr>
      <w:tr w:rsidR="001B3767" w:rsidRPr="00A6318B" w:rsidTr="00F9098E">
        <w:trPr>
          <w:trHeight w:hRule="exact" w:val="284"/>
          <w:jc w:val="center"/>
        </w:trPr>
        <w:tc>
          <w:tcPr>
            <w:tcW w:w="3665" w:type="dxa"/>
            <w:tcBorders>
              <w:top w:val="nil"/>
              <w:bottom w:val="single" w:sz="2" w:space="0" w:color="auto"/>
            </w:tcBorders>
            <w:vAlign w:val="center"/>
          </w:tcPr>
          <w:p w:rsidR="001B3767" w:rsidRPr="00A6318B" w:rsidRDefault="001B3767" w:rsidP="00911231">
            <w:pPr>
              <w:pStyle w:val="Tabla"/>
              <w:ind w:left="-253"/>
              <w:rPr>
                <w:rFonts w:ascii="Arial Narrow" w:hAnsi="Arial Narrow" w:cs="Arial"/>
                <w:snapToGrid w:val="0"/>
                <w:sz w:val="20"/>
              </w:rPr>
            </w:pPr>
            <w:r w:rsidRPr="00A6318B">
              <w:rPr>
                <w:rFonts w:ascii="Arial Narrow" w:hAnsi="Arial Narrow" w:cs="Arial"/>
                <w:snapToGrid w:val="0"/>
                <w:sz w:val="20"/>
              </w:rPr>
              <w:t xml:space="preserve">     3. Operaciones con activos financieros</w:t>
            </w:r>
          </w:p>
        </w:tc>
        <w:tc>
          <w:tcPr>
            <w:tcW w:w="2015" w:type="dxa"/>
            <w:tcBorders>
              <w:top w:val="nil"/>
              <w:bottom w:val="single" w:sz="2"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113.702</w:t>
            </w:r>
          </w:p>
        </w:tc>
        <w:tc>
          <w:tcPr>
            <w:tcW w:w="1593" w:type="dxa"/>
            <w:tcBorders>
              <w:top w:val="nil"/>
              <w:bottom w:val="single" w:sz="2" w:space="0" w:color="auto"/>
            </w:tcBorders>
            <w:vAlign w:val="center"/>
          </w:tcPr>
          <w:p w:rsidR="001B3767" w:rsidRPr="00A6318B" w:rsidRDefault="001B3767" w:rsidP="000E2288">
            <w:pPr>
              <w:pStyle w:val="Tabla"/>
              <w:ind w:right="41"/>
              <w:jc w:val="right"/>
              <w:rPr>
                <w:rFonts w:ascii="Arial Narrow" w:hAnsi="Arial Narrow" w:cs="Arial"/>
                <w:snapToGrid w:val="0"/>
                <w:sz w:val="20"/>
              </w:rPr>
            </w:pPr>
            <w:r>
              <w:rPr>
                <w:rFonts w:ascii="Arial Narrow" w:hAnsi="Arial Narrow" w:cs="Arial"/>
                <w:snapToGrid w:val="0"/>
                <w:sz w:val="20"/>
              </w:rPr>
              <w:t>153.105</w:t>
            </w:r>
          </w:p>
        </w:tc>
        <w:tc>
          <w:tcPr>
            <w:tcW w:w="1569" w:type="dxa"/>
            <w:tcBorders>
              <w:top w:val="nil"/>
              <w:bottom w:val="single" w:sz="2"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-39.403</w:t>
            </w:r>
          </w:p>
        </w:tc>
      </w:tr>
      <w:tr w:rsidR="001B3767" w:rsidRPr="00A6318B" w:rsidTr="000E2288">
        <w:trPr>
          <w:trHeight w:hRule="exact" w:val="284"/>
          <w:jc w:val="center"/>
        </w:trPr>
        <w:tc>
          <w:tcPr>
            <w:tcW w:w="3665" w:type="dxa"/>
            <w:tcBorders>
              <w:top w:val="single" w:sz="2" w:space="0" w:color="auto"/>
              <w:bottom w:val="single" w:sz="2" w:space="0" w:color="auto"/>
            </w:tcBorders>
            <w:vAlign w:val="center"/>
          </w:tcPr>
          <w:p w:rsidR="001B3767" w:rsidRPr="00A6318B" w:rsidRDefault="001B3767" w:rsidP="000E2288">
            <w:pPr>
              <w:pStyle w:val="Tabla"/>
              <w:rPr>
                <w:rFonts w:ascii="Arial Narrow" w:hAnsi="Arial Narrow" w:cs="Arial"/>
                <w:snapToGrid w:val="0"/>
                <w:sz w:val="20"/>
              </w:rPr>
            </w:pPr>
            <w:r w:rsidRPr="00A6318B">
              <w:rPr>
                <w:rFonts w:ascii="Arial Narrow" w:hAnsi="Arial Narrow" w:cs="Arial"/>
                <w:snapToGrid w:val="0"/>
                <w:sz w:val="20"/>
              </w:rPr>
              <w:t>I. Resultado Presupuestario del ejercicio</w:t>
            </w:r>
          </w:p>
        </w:tc>
        <w:tc>
          <w:tcPr>
            <w:tcW w:w="2015" w:type="dxa"/>
            <w:tcBorders>
              <w:top w:val="single" w:sz="2" w:space="0" w:color="auto"/>
              <w:bottom w:val="single" w:sz="2"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3.363.398</w:t>
            </w:r>
          </w:p>
        </w:tc>
        <w:tc>
          <w:tcPr>
            <w:tcW w:w="1593" w:type="dxa"/>
            <w:tcBorders>
              <w:top w:val="single" w:sz="2" w:space="0" w:color="auto"/>
              <w:bottom w:val="single" w:sz="2" w:space="0" w:color="auto"/>
            </w:tcBorders>
            <w:vAlign w:val="center"/>
          </w:tcPr>
          <w:p w:rsidR="001B3767" w:rsidRPr="00A6318B" w:rsidRDefault="001B3767" w:rsidP="000E2288">
            <w:pPr>
              <w:pStyle w:val="Tabla"/>
              <w:ind w:right="41"/>
              <w:jc w:val="right"/>
              <w:rPr>
                <w:rFonts w:ascii="Arial Narrow" w:hAnsi="Arial Narrow" w:cs="Arial"/>
                <w:snapToGrid w:val="0"/>
                <w:sz w:val="20"/>
              </w:rPr>
            </w:pPr>
            <w:r>
              <w:rPr>
                <w:rFonts w:ascii="Arial Narrow" w:hAnsi="Arial Narrow" w:cs="Arial"/>
                <w:snapToGrid w:val="0"/>
                <w:sz w:val="20"/>
              </w:rPr>
              <w:t>3.507.032</w:t>
            </w:r>
          </w:p>
        </w:tc>
        <w:tc>
          <w:tcPr>
            <w:tcW w:w="1569" w:type="dxa"/>
            <w:tcBorders>
              <w:top w:val="single" w:sz="2" w:space="0" w:color="auto"/>
              <w:bottom w:val="single" w:sz="2"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-143.634</w:t>
            </w:r>
          </w:p>
        </w:tc>
      </w:tr>
      <w:tr w:rsidR="001B3767" w:rsidRPr="00A6318B" w:rsidTr="004245A4">
        <w:trPr>
          <w:trHeight w:hRule="exact" w:val="284"/>
          <w:jc w:val="center"/>
        </w:trPr>
        <w:tc>
          <w:tcPr>
            <w:tcW w:w="3665" w:type="dxa"/>
            <w:tcBorders>
              <w:top w:val="single" w:sz="2" w:space="0" w:color="auto"/>
              <w:bottom w:val="single" w:sz="4" w:space="0" w:color="auto"/>
            </w:tcBorders>
            <w:vAlign w:val="center"/>
          </w:tcPr>
          <w:p w:rsidR="001B3767" w:rsidRPr="00A6318B" w:rsidRDefault="001B3767" w:rsidP="000E2288">
            <w:pPr>
              <w:pStyle w:val="Tabla"/>
              <w:rPr>
                <w:rFonts w:ascii="Arial Narrow" w:hAnsi="Arial Narrow" w:cs="Arial"/>
                <w:snapToGrid w:val="0"/>
                <w:sz w:val="20"/>
              </w:rPr>
            </w:pPr>
            <w:r w:rsidRPr="00A6318B">
              <w:rPr>
                <w:rFonts w:ascii="Arial Narrow" w:hAnsi="Arial Narrow" w:cs="Arial"/>
                <w:snapToGrid w:val="0"/>
                <w:sz w:val="20"/>
              </w:rPr>
              <w:t>II. Variación neta de pasivos financieros</w:t>
            </w:r>
          </w:p>
        </w:tc>
        <w:tc>
          <w:tcPr>
            <w:tcW w:w="2015" w:type="dxa"/>
            <w:tcBorders>
              <w:top w:val="single" w:sz="2" w:space="0" w:color="auto"/>
              <w:bottom w:val="single" w:sz="4"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492.585</w:t>
            </w:r>
          </w:p>
        </w:tc>
        <w:tc>
          <w:tcPr>
            <w:tcW w:w="1593" w:type="dxa"/>
            <w:tcBorders>
              <w:top w:val="single" w:sz="2" w:space="0" w:color="auto"/>
              <w:bottom w:val="single" w:sz="4" w:space="0" w:color="auto"/>
            </w:tcBorders>
            <w:vAlign w:val="center"/>
          </w:tcPr>
          <w:p w:rsidR="001B3767" w:rsidRPr="00A6318B" w:rsidRDefault="001B3767" w:rsidP="000E2288">
            <w:pPr>
              <w:pStyle w:val="Tabla"/>
              <w:ind w:right="41"/>
              <w:jc w:val="right"/>
              <w:rPr>
                <w:rFonts w:ascii="Arial Narrow" w:hAnsi="Arial Narrow" w:cs="Arial"/>
                <w:snapToGrid w:val="0"/>
                <w:sz w:val="20"/>
              </w:rPr>
            </w:pPr>
            <w:r>
              <w:rPr>
                <w:rFonts w:ascii="Arial Narrow" w:hAnsi="Arial Narrow" w:cs="Arial"/>
                <w:snapToGrid w:val="0"/>
                <w:sz w:val="20"/>
              </w:rPr>
              <w:t>296.532</w:t>
            </w:r>
          </w:p>
        </w:tc>
        <w:tc>
          <w:tcPr>
            <w:tcW w:w="1569" w:type="dxa"/>
            <w:tcBorders>
              <w:top w:val="single" w:sz="2" w:space="0" w:color="auto"/>
              <w:bottom w:val="single" w:sz="4" w:space="0" w:color="auto"/>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196.052</w:t>
            </w:r>
          </w:p>
        </w:tc>
      </w:tr>
      <w:tr w:rsidR="001B3767" w:rsidRPr="00A6318B" w:rsidTr="00F9098E">
        <w:trPr>
          <w:trHeight w:hRule="exact" w:val="284"/>
          <w:jc w:val="center"/>
        </w:trPr>
        <w:tc>
          <w:tcPr>
            <w:tcW w:w="7273" w:type="dxa"/>
            <w:gridSpan w:val="3"/>
            <w:tcBorders>
              <w:top w:val="single" w:sz="4" w:space="0" w:color="auto"/>
              <w:bottom w:val="single" w:sz="4" w:space="0" w:color="auto"/>
            </w:tcBorders>
            <w:vAlign w:val="center"/>
          </w:tcPr>
          <w:p w:rsidR="001B3767" w:rsidRPr="00A6318B" w:rsidRDefault="001B3767" w:rsidP="000E2288">
            <w:pPr>
              <w:pStyle w:val="Tabla"/>
              <w:ind w:right="239"/>
              <w:jc w:val="left"/>
              <w:rPr>
                <w:rFonts w:ascii="Arial Narrow" w:hAnsi="Arial Narrow" w:cs="Arial"/>
                <w:b/>
                <w:snapToGrid w:val="0"/>
                <w:sz w:val="20"/>
              </w:rPr>
            </w:pPr>
            <w:r w:rsidRPr="00A6318B">
              <w:rPr>
                <w:rFonts w:ascii="Arial Narrow" w:hAnsi="Arial Narrow" w:cs="Arial"/>
                <w:b/>
                <w:snapToGrid w:val="0"/>
                <w:sz w:val="20"/>
              </w:rPr>
              <w:t>III. Saldo presupuestario del ejercicio</w:t>
            </w:r>
          </w:p>
        </w:tc>
        <w:tc>
          <w:tcPr>
            <w:tcW w:w="1569" w:type="dxa"/>
            <w:tcBorders>
              <w:top w:val="single" w:sz="4" w:space="0" w:color="auto"/>
              <w:bottom w:val="single" w:sz="4" w:space="0" w:color="auto"/>
            </w:tcBorders>
            <w:vAlign w:val="center"/>
          </w:tcPr>
          <w:p w:rsidR="001B3767" w:rsidRPr="00A6318B" w:rsidRDefault="001B3767" w:rsidP="000E2288">
            <w:pPr>
              <w:pStyle w:val="Tabla"/>
              <w:jc w:val="right"/>
              <w:rPr>
                <w:rFonts w:ascii="Arial Narrow" w:hAnsi="Arial Narrow" w:cs="Arial"/>
                <w:b/>
                <w:snapToGrid w:val="0"/>
                <w:sz w:val="20"/>
              </w:rPr>
            </w:pPr>
            <w:r>
              <w:rPr>
                <w:rFonts w:ascii="Arial Narrow" w:hAnsi="Arial Narrow" w:cs="Arial"/>
                <w:b/>
                <w:snapToGrid w:val="0"/>
                <w:sz w:val="20"/>
              </w:rPr>
              <w:t>52.419</w:t>
            </w:r>
          </w:p>
        </w:tc>
      </w:tr>
      <w:tr w:rsidR="001B3767" w:rsidRPr="00A6318B" w:rsidTr="00F9098E">
        <w:trPr>
          <w:trHeight w:hRule="exact" w:val="284"/>
          <w:jc w:val="center"/>
        </w:trPr>
        <w:tc>
          <w:tcPr>
            <w:tcW w:w="5680" w:type="dxa"/>
            <w:gridSpan w:val="2"/>
            <w:tcBorders>
              <w:top w:val="single" w:sz="4" w:space="0" w:color="auto"/>
              <w:bottom w:val="nil"/>
            </w:tcBorders>
            <w:vAlign w:val="center"/>
          </w:tcPr>
          <w:p w:rsidR="001B3767" w:rsidRPr="00A6318B" w:rsidRDefault="001B3767" w:rsidP="00F9098E">
            <w:pPr>
              <w:pStyle w:val="Tabla"/>
              <w:ind w:left="-239"/>
              <w:rPr>
                <w:rFonts w:ascii="Arial Narrow" w:hAnsi="Arial Narrow" w:cs="Arial"/>
                <w:snapToGrid w:val="0"/>
                <w:sz w:val="20"/>
              </w:rPr>
            </w:pPr>
            <w:r w:rsidRPr="00A6318B">
              <w:rPr>
                <w:rFonts w:ascii="Arial Narrow" w:hAnsi="Arial Narrow" w:cs="Arial"/>
                <w:snapToGrid w:val="0"/>
                <w:sz w:val="20"/>
              </w:rPr>
              <w:t xml:space="preserve">     4. </w:t>
            </w:r>
            <w:proofErr w:type="spellStart"/>
            <w:r w:rsidRPr="00A6318B">
              <w:rPr>
                <w:rFonts w:ascii="Arial Narrow" w:hAnsi="Arial Narrow" w:cs="Arial"/>
                <w:snapToGrid w:val="0"/>
                <w:sz w:val="20"/>
              </w:rPr>
              <w:t>O</w:t>
            </w:r>
            <w:r>
              <w:rPr>
                <w:rFonts w:ascii="Arial Narrow" w:hAnsi="Arial Narrow" w:cs="Arial"/>
                <w:snapToGrid w:val="0"/>
                <w:sz w:val="20"/>
              </w:rPr>
              <w:t>bligac</w:t>
            </w:r>
            <w:proofErr w:type="spellEnd"/>
            <w:r>
              <w:rPr>
                <w:rFonts w:ascii="Arial Narrow" w:hAnsi="Arial Narrow" w:cs="Arial"/>
                <w:snapToGrid w:val="0"/>
                <w:sz w:val="20"/>
              </w:rPr>
              <w:t xml:space="preserve">. </w:t>
            </w:r>
            <w:proofErr w:type="spellStart"/>
            <w:proofErr w:type="gramStart"/>
            <w:r w:rsidR="00075A16">
              <w:rPr>
                <w:rFonts w:ascii="Arial Narrow" w:hAnsi="Arial Narrow" w:cs="Arial"/>
                <w:snapToGrid w:val="0"/>
                <w:sz w:val="20"/>
              </w:rPr>
              <w:t>reconoc</w:t>
            </w:r>
            <w:proofErr w:type="spellEnd"/>
            <w:proofErr w:type="gramEnd"/>
            <w:r>
              <w:rPr>
                <w:rFonts w:ascii="Arial Narrow" w:hAnsi="Arial Narrow" w:cs="Arial"/>
                <w:snapToGrid w:val="0"/>
                <w:sz w:val="20"/>
              </w:rPr>
              <w:t>.</w:t>
            </w:r>
            <w:r w:rsidRPr="00A6318B">
              <w:rPr>
                <w:rFonts w:ascii="Arial Narrow" w:hAnsi="Arial Narrow" w:cs="Arial"/>
                <w:snapToGrid w:val="0"/>
                <w:sz w:val="20"/>
              </w:rPr>
              <w:t xml:space="preserve"> financiadas con Remanente de Tesorería</w:t>
            </w:r>
            <w:r>
              <w:rPr>
                <w:rFonts w:ascii="Arial Narrow" w:hAnsi="Arial Narrow" w:cs="Arial"/>
                <w:snapToGrid w:val="0"/>
                <w:sz w:val="20"/>
              </w:rPr>
              <w:t xml:space="preserve"> no afecto</w:t>
            </w:r>
          </w:p>
        </w:tc>
        <w:tc>
          <w:tcPr>
            <w:tcW w:w="1593" w:type="dxa"/>
            <w:tcBorders>
              <w:top w:val="single" w:sz="4" w:space="0" w:color="auto"/>
              <w:bottom w:val="nil"/>
            </w:tcBorders>
            <w:vAlign w:val="center"/>
          </w:tcPr>
          <w:p w:rsidR="001B3767" w:rsidRPr="00A6318B" w:rsidRDefault="001B3767" w:rsidP="000E2288">
            <w:pPr>
              <w:pStyle w:val="Tabla"/>
              <w:rPr>
                <w:rFonts w:ascii="Arial Narrow" w:hAnsi="Arial Narrow" w:cs="Arial"/>
                <w:snapToGrid w:val="0"/>
                <w:sz w:val="20"/>
              </w:rPr>
            </w:pPr>
          </w:p>
        </w:tc>
        <w:tc>
          <w:tcPr>
            <w:tcW w:w="1569" w:type="dxa"/>
            <w:tcBorders>
              <w:top w:val="single" w:sz="4" w:space="0" w:color="auto"/>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0</w:t>
            </w:r>
          </w:p>
        </w:tc>
      </w:tr>
      <w:tr w:rsidR="001B3767" w:rsidRPr="00A6318B" w:rsidTr="00F9098E">
        <w:trPr>
          <w:trHeight w:hRule="exact" w:val="284"/>
          <w:jc w:val="center"/>
        </w:trPr>
        <w:tc>
          <w:tcPr>
            <w:tcW w:w="5680" w:type="dxa"/>
            <w:gridSpan w:val="2"/>
            <w:tcBorders>
              <w:top w:val="nil"/>
              <w:bottom w:val="nil"/>
            </w:tcBorders>
            <w:vAlign w:val="center"/>
          </w:tcPr>
          <w:p w:rsidR="001B3767" w:rsidRPr="00A6318B" w:rsidRDefault="001B3767" w:rsidP="00F9098E">
            <w:pPr>
              <w:pStyle w:val="Tabla"/>
              <w:ind w:left="-239"/>
              <w:rPr>
                <w:rFonts w:ascii="Arial Narrow" w:hAnsi="Arial Narrow" w:cs="Arial"/>
                <w:snapToGrid w:val="0"/>
                <w:sz w:val="20"/>
              </w:rPr>
            </w:pPr>
            <w:r w:rsidRPr="00A6318B">
              <w:rPr>
                <w:rFonts w:ascii="Arial Narrow" w:hAnsi="Arial Narrow" w:cs="Arial"/>
                <w:snapToGrid w:val="0"/>
                <w:sz w:val="20"/>
              </w:rPr>
              <w:t xml:space="preserve">     5. </w:t>
            </w:r>
            <w:proofErr w:type="spellStart"/>
            <w:r>
              <w:rPr>
                <w:rFonts w:ascii="Arial Narrow" w:hAnsi="Arial Narrow" w:cs="Arial"/>
                <w:snapToGrid w:val="0"/>
                <w:sz w:val="20"/>
              </w:rPr>
              <w:t>Obligac</w:t>
            </w:r>
            <w:proofErr w:type="spellEnd"/>
            <w:r>
              <w:rPr>
                <w:rFonts w:ascii="Arial Narrow" w:hAnsi="Arial Narrow" w:cs="Arial"/>
                <w:snapToGrid w:val="0"/>
                <w:sz w:val="20"/>
              </w:rPr>
              <w:t>.</w:t>
            </w:r>
            <w:r w:rsidR="00075A16">
              <w:rPr>
                <w:rFonts w:ascii="Arial Narrow" w:hAnsi="Arial Narrow" w:cs="Arial"/>
                <w:snapToGrid w:val="0"/>
                <w:sz w:val="20"/>
              </w:rPr>
              <w:t xml:space="preserve"> </w:t>
            </w:r>
            <w:proofErr w:type="spellStart"/>
            <w:proofErr w:type="gramStart"/>
            <w:r>
              <w:rPr>
                <w:rFonts w:ascii="Arial Narrow" w:hAnsi="Arial Narrow" w:cs="Arial"/>
                <w:snapToGrid w:val="0"/>
                <w:sz w:val="20"/>
              </w:rPr>
              <w:t>reconoc</w:t>
            </w:r>
            <w:proofErr w:type="spellEnd"/>
            <w:proofErr w:type="gramEnd"/>
            <w:r>
              <w:rPr>
                <w:rFonts w:ascii="Arial Narrow" w:hAnsi="Arial Narrow" w:cs="Arial"/>
                <w:snapToGrid w:val="0"/>
                <w:sz w:val="20"/>
              </w:rPr>
              <w:t>.</w:t>
            </w:r>
            <w:r w:rsidR="00075A16">
              <w:rPr>
                <w:rFonts w:ascii="Arial Narrow" w:hAnsi="Arial Narrow" w:cs="Arial"/>
                <w:snapToGrid w:val="0"/>
                <w:sz w:val="20"/>
              </w:rPr>
              <w:t xml:space="preserve"> </w:t>
            </w:r>
            <w:r>
              <w:rPr>
                <w:rFonts w:ascii="Arial Narrow" w:hAnsi="Arial Narrow" w:cs="Arial"/>
                <w:snapToGrid w:val="0"/>
                <w:sz w:val="20"/>
              </w:rPr>
              <w:t>financiadas con RT afecto al FPELIN</w:t>
            </w:r>
          </w:p>
        </w:tc>
        <w:tc>
          <w:tcPr>
            <w:tcW w:w="1593" w:type="dxa"/>
            <w:tcBorders>
              <w:top w:val="nil"/>
              <w:bottom w:val="nil"/>
            </w:tcBorders>
            <w:vAlign w:val="center"/>
          </w:tcPr>
          <w:p w:rsidR="001B3767" w:rsidRPr="00A6318B" w:rsidRDefault="001B3767" w:rsidP="000E2288">
            <w:pPr>
              <w:pStyle w:val="Tabla"/>
              <w:rPr>
                <w:rFonts w:ascii="Arial Narrow" w:hAnsi="Arial Narrow" w:cs="Arial"/>
                <w:snapToGrid w:val="0"/>
                <w:sz w:val="20"/>
              </w:rPr>
            </w:pPr>
          </w:p>
        </w:tc>
        <w:tc>
          <w:tcPr>
            <w:tcW w:w="1569" w:type="dxa"/>
            <w:tcBorders>
              <w:top w:val="nil"/>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13.623</w:t>
            </w:r>
          </w:p>
        </w:tc>
      </w:tr>
      <w:tr w:rsidR="001B3767" w:rsidRPr="00A6318B" w:rsidTr="00F9098E">
        <w:trPr>
          <w:trHeight w:hRule="exact" w:val="284"/>
          <w:jc w:val="center"/>
        </w:trPr>
        <w:tc>
          <w:tcPr>
            <w:tcW w:w="5680" w:type="dxa"/>
            <w:gridSpan w:val="2"/>
            <w:tcBorders>
              <w:top w:val="nil"/>
              <w:bottom w:val="nil"/>
            </w:tcBorders>
            <w:vAlign w:val="center"/>
          </w:tcPr>
          <w:p w:rsidR="001B3767" w:rsidRPr="00A6318B" w:rsidRDefault="001B3767" w:rsidP="00F9098E">
            <w:pPr>
              <w:pStyle w:val="Tabla"/>
              <w:ind w:left="-239"/>
              <w:rPr>
                <w:rFonts w:ascii="Arial Narrow" w:hAnsi="Arial Narrow" w:cs="Arial"/>
                <w:snapToGrid w:val="0"/>
                <w:sz w:val="20"/>
              </w:rPr>
            </w:pPr>
            <w:r w:rsidRPr="00A6318B">
              <w:rPr>
                <w:rFonts w:ascii="Arial Narrow" w:hAnsi="Arial Narrow" w:cs="Arial"/>
                <w:snapToGrid w:val="0"/>
                <w:sz w:val="20"/>
              </w:rPr>
              <w:t xml:space="preserve">     6. Desviaciones de financiación </w:t>
            </w:r>
            <w:r>
              <w:rPr>
                <w:rFonts w:ascii="Arial Narrow" w:hAnsi="Arial Narrow" w:cs="Arial"/>
                <w:snapToGrid w:val="0"/>
                <w:sz w:val="20"/>
              </w:rPr>
              <w:t>negativas</w:t>
            </w:r>
            <w:r w:rsidRPr="00A6318B">
              <w:rPr>
                <w:rFonts w:ascii="Arial Narrow" w:hAnsi="Arial Narrow" w:cs="Arial"/>
                <w:snapToGrid w:val="0"/>
                <w:sz w:val="20"/>
              </w:rPr>
              <w:t xml:space="preserve"> imputables al ejercicio</w:t>
            </w:r>
          </w:p>
        </w:tc>
        <w:tc>
          <w:tcPr>
            <w:tcW w:w="1593" w:type="dxa"/>
            <w:tcBorders>
              <w:top w:val="nil"/>
              <w:bottom w:val="nil"/>
            </w:tcBorders>
            <w:vAlign w:val="center"/>
          </w:tcPr>
          <w:p w:rsidR="001B3767" w:rsidRPr="00A6318B" w:rsidRDefault="001B3767" w:rsidP="000E2288">
            <w:pPr>
              <w:pStyle w:val="Tabla"/>
              <w:rPr>
                <w:rFonts w:ascii="Arial Narrow" w:hAnsi="Arial Narrow" w:cs="Arial"/>
                <w:snapToGrid w:val="0"/>
                <w:sz w:val="20"/>
              </w:rPr>
            </w:pPr>
          </w:p>
        </w:tc>
        <w:tc>
          <w:tcPr>
            <w:tcW w:w="1569" w:type="dxa"/>
            <w:tcBorders>
              <w:top w:val="nil"/>
              <w:bottom w:val="nil"/>
            </w:tcBorders>
            <w:vAlign w:val="center"/>
          </w:tcPr>
          <w:p w:rsidR="001B3767" w:rsidRPr="00A6318B" w:rsidRDefault="001B3767" w:rsidP="000E2288">
            <w:pPr>
              <w:pStyle w:val="Tabla"/>
              <w:jc w:val="right"/>
              <w:rPr>
                <w:rFonts w:ascii="Arial Narrow" w:hAnsi="Arial Narrow" w:cs="Arial"/>
                <w:snapToGrid w:val="0"/>
                <w:sz w:val="20"/>
              </w:rPr>
            </w:pPr>
            <w:r>
              <w:rPr>
                <w:rFonts w:ascii="Arial Narrow" w:hAnsi="Arial Narrow" w:cs="Arial"/>
                <w:snapToGrid w:val="0"/>
                <w:sz w:val="20"/>
              </w:rPr>
              <w:t>11.202</w:t>
            </w:r>
          </w:p>
        </w:tc>
      </w:tr>
      <w:tr w:rsidR="001B3767" w:rsidRPr="00A6318B" w:rsidTr="00F9098E">
        <w:trPr>
          <w:trHeight w:hRule="exact" w:val="284"/>
          <w:jc w:val="center"/>
        </w:trPr>
        <w:tc>
          <w:tcPr>
            <w:tcW w:w="5680" w:type="dxa"/>
            <w:gridSpan w:val="2"/>
            <w:tcBorders>
              <w:top w:val="nil"/>
              <w:bottom w:val="single" w:sz="4" w:space="0" w:color="auto"/>
            </w:tcBorders>
            <w:vAlign w:val="center"/>
          </w:tcPr>
          <w:p w:rsidR="001B3767" w:rsidRPr="00A6318B" w:rsidRDefault="001B3767" w:rsidP="00F9098E">
            <w:pPr>
              <w:pStyle w:val="Tabla"/>
              <w:ind w:left="-239"/>
              <w:rPr>
                <w:rFonts w:ascii="Arial Narrow" w:hAnsi="Arial Narrow" w:cs="Arial"/>
                <w:snapToGrid w:val="0"/>
                <w:sz w:val="20"/>
              </w:rPr>
            </w:pPr>
            <w:r w:rsidRPr="00A6318B">
              <w:rPr>
                <w:rFonts w:ascii="Arial Narrow" w:hAnsi="Arial Narrow" w:cs="Arial"/>
                <w:snapToGrid w:val="0"/>
                <w:sz w:val="20"/>
              </w:rPr>
              <w:t xml:space="preserve">     </w:t>
            </w:r>
            <w:r>
              <w:rPr>
                <w:rFonts w:ascii="Arial Narrow" w:hAnsi="Arial Narrow" w:cs="Arial"/>
                <w:snapToGrid w:val="0"/>
                <w:sz w:val="20"/>
              </w:rPr>
              <w:t>7</w:t>
            </w:r>
            <w:r w:rsidRPr="00A6318B">
              <w:rPr>
                <w:rFonts w:ascii="Arial Narrow" w:hAnsi="Arial Narrow" w:cs="Arial"/>
                <w:snapToGrid w:val="0"/>
                <w:sz w:val="20"/>
              </w:rPr>
              <w:t>. Desviaciones de financiación positivas imputables al ejercicio</w:t>
            </w:r>
          </w:p>
        </w:tc>
        <w:tc>
          <w:tcPr>
            <w:tcW w:w="1593" w:type="dxa"/>
            <w:tcBorders>
              <w:top w:val="nil"/>
              <w:bottom w:val="single" w:sz="4" w:space="0" w:color="auto"/>
            </w:tcBorders>
            <w:vAlign w:val="center"/>
          </w:tcPr>
          <w:p w:rsidR="001B3767" w:rsidRPr="00A6318B" w:rsidRDefault="001B3767" w:rsidP="000E2288">
            <w:pPr>
              <w:pStyle w:val="Tabla"/>
              <w:rPr>
                <w:rFonts w:ascii="Arial Narrow" w:hAnsi="Arial Narrow" w:cs="Arial"/>
                <w:snapToGrid w:val="0"/>
                <w:sz w:val="20"/>
              </w:rPr>
            </w:pPr>
          </w:p>
        </w:tc>
        <w:tc>
          <w:tcPr>
            <w:tcW w:w="1569" w:type="dxa"/>
            <w:tcBorders>
              <w:top w:val="nil"/>
              <w:bottom w:val="single" w:sz="4" w:space="0" w:color="auto"/>
            </w:tcBorders>
            <w:vAlign w:val="center"/>
          </w:tcPr>
          <w:p w:rsidR="001B3767" w:rsidRDefault="00FE24EC" w:rsidP="000E2288">
            <w:pPr>
              <w:pStyle w:val="Tabla"/>
              <w:jc w:val="right"/>
              <w:rPr>
                <w:rFonts w:ascii="Arial Narrow" w:hAnsi="Arial Narrow" w:cs="Arial"/>
                <w:snapToGrid w:val="0"/>
                <w:sz w:val="20"/>
              </w:rPr>
            </w:pPr>
            <w:r>
              <w:rPr>
                <w:rFonts w:ascii="Arial Narrow" w:hAnsi="Arial Narrow" w:cs="Arial"/>
                <w:snapToGrid w:val="0"/>
                <w:sz w:val="20"/>
              </w:rPr>
              <w:t>-</w:t>
            </w:r>
            <w:r w:rsidR="001B3767">
              <w:rPr>
                <w:rFonts w:ascii="Arial Narrow" w:hAnsi="Arial Narrow" w:cs="Arial"/>
                <w:snapToGrid w:val="0"/>
                <w:sz w:val="20"/>
              </w:rPr>
              <w:t>5.637</w:t>
            </w:r>
          </w:p>
        </w:tc>
      </w:tr>
      <w:tr w:rsidR="001B3767" w:rsidRPr="00A6318B" w:rsidTr="004245A4">
        <w:trPr>
          <w:trHeight w:hRule="exact" w:val="284"/>
          <w:jc w:val="center"/>
        </w:trPr>
        <w:tc>
          <w:tcPr>
            <w:tcW w:w="7273" w:type="dxa"/>
            <w:gridSpan w:val="3"/>
            <w:tcBorders>
              <w:top w:val="single" w:sz="4" w:space="0" w:color="auto"/>
              <w:bottom w:val="single" w:sz="4" w:space="0" w:color="auto"/>
            </w:tcBorders>
            <w:vAlign w:val="center"/>
          </w:tcPr>
          <w:p w:rsidR="001B3767" w:rsidRPr="00A6318B" w:rsidRDefault="001B3767" w:rsidP="000E2288">
            <w:pPr>
              <w:pStyle w:val="Tabla"/>
              <w:rPr>
                <w:rFonts w:ascii="Arial Narrow" w:hAnsi="Arial Narrow" w:cs="Arial"/>
                <w:b/>
                <w:snapToGrid w:val="0"/>
                <w:sz w:val="20"/>
              </w:rPr>
            </w:pPr>
            <w:r w:rsidRPr="00A6318B">
              <w:rPr>
                <w:rFonts w:ascii="Arial Narrow" w:hAnsi="Arial Narrow" w:cs="Arial"/>
                <w:b/>
                <w:snapToGrid w:val="0"/>
                <w:sz w:val="20"/>
              </w:rPr>
              <w:t>V. Saldo presupuestario ajustado del ejercicio (III+4+5-6)</w:t>
            </w:r>
          </w:p>
        </w:tc>
        <w:tc>
          <w:tcPr>
            <w:tcW w:w="1569" w:type="dxa"/>
            <w:tcBorders>
              <w:top w:val="single" w:sz="4" w:space="0" w:color="auto"/>
              <w:bottom w:val="single" w:sz="4" w:space="0" w:color="auto"/>
            </w:tcBorders>
            <w:vAlign w:val="center"/>
          </w:tcPr>
          <w:p w:rsidR="001B3767" w:rsidRPr="00A6318B" w:rsidRDefault="001B3767" w:rsidP="000E2288">
            <w:pPr>
              <w:pStyle w:val="Tabla"/>
              <w:jc w:val="right"/>
              <w:rPr>
                <w:rFonts w:ascii="Arial Narrow" w:hAnsi="Arial Narrow" w:cs="Arial"/>
                <w:b/>
                <w:snapToGrid w:val="0"/>
                <w:sz w:val="20"/>
              </w:rPr>
            </w:pPr>
            <w:r>
              <w:rPr>
                <w:rFonts w:ascii="Arial Narrow" w:hAnsi="Arial Narrow" w:cs="Arial"/>
                <w:b/>
                <w:snapToGrid w:val="0"/>
                <w:sz w:val="20"/>
              </w:rPr>
              <w:t>71.607</w:t>
            </w:r>
          </w:p>
        </w:tc>
      </w:tr>
    </w:tbl>
    <w:p w:rsidR="001B3767" w:rsidRPr="00A6318B" w:rsidRDefault="001B3767" w:rsidP="001B3767">
      <w:pPr>
        <w:pStyle w:val="texto"/>
      </w:pPr>
      <w:bookmarkStart w:id="50" w:name="_Toc340229945"/>
    </w:p>
    <w:p w:rsidR="001B3767" w:rsidRPr="001639F7" w:rsidRDefault="001B3767" w:rsidP="001B3767">
      <w:pPr>
        <w:pStyle w:val="texto"/>
        <w:rPr>
          <w:highlight w:val="yellow"/>
        </w:rPr>
      </w:pPr>
    </w:p>
    <w:p w:rsidR="001B3767" w:rsidRPr="001C7C24" w:rsidRDefault="001B3767" w:rsidP="001B3767">
      <w:pPr>
        <w:pStyle w:val="atitulo2"/>
        <w:spacing w:after="120"/>
      </w:pPr>
      <w:bookmarkStart w:id="51" w:name="_Toc394485123"/>
      <w:bookmarkStart w:id="52" w:name="_Toc434399398"/>
      <w:r w:rsidRPr="001C7C24">
        <w:t>VI.3. Remanente de Tesorería a 31 de diciembre de 201</w:t>
      </w:r>
      <w:bookmarkEnd w:id="50"/>
      <w:bookmarkEnd w:id="51"/>
      <w:r w:rsidRPr="001C7C24">
        <w:t>4</w:t>
      </w:r>
      <w:bookmarkEnd w:id="52"/>
    </w:p>
    <w:p w:rsidR="001B3767" w:rsidRPr="001C7C24" w:rsidRDefault="001B3767" w:rsidP="002A0A9D">
      <w:pPr>
        <w:pStyle w:val="texto"/>
        <w:spacing w:after="60"/>
        <w:jc w:val="right"/>
        <w:rPr>
          <w:rFonts w:ascii="Arial Narrow" w:hAnsi="Arial Narrow"/>
          <w:sz w:val="18"/>
          <w:szCs w:val="18"/>
        </w:rPr>
      </w:pPr>
      <w:r w:rsidRPr="001C7C24">
        <w:rPr>
          <w:rFonts w:ascii="Arial Narrow" w:hAnsi="Arial Narrow"/>
          <w:sz w:val="18"/>
          <w:szCs w:val="18"/>
        </w:rPr>
        <w:t>(</w:t>
      </w:r>
      <w:proofErr w:type="gramStart"/>
      <w:r w:rsidRPr="001C7C24">
        <w:rPr>
          <w:rFonts w:ascii="Arial Narrow" w:hAnsi="Arial Narrow"/>
          <w:sz w:val="18"/>
          <w:szCs w:val="18"/>
        </w:rPr>
        <w:t>en</w:t>
      </w:r>
      <w:proofErr w:type="gramEnd"/>
      <w:r w:rsidRPr="001C7C24">
        <w:rPr>
          <w:rFonts w:ascii="Arial Narrow" w:hAnsi="Arial Narrow"/>
          <w:sz w:val="18"/>
          <w:szCs w:val="18"/>
        </w:rPr>
        <w:t xml:space="preserve">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1B3767" w:rsidRPr="00645B93" w:rsidTr="004245A4">
        <w:trPr>
          <w:trHeight w:hRule="exact" w:val="321"/>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rPr>
                <w:snapToGrid w:val="0"/>
              </w:rPr>
            </w:pPr>
            <w:r w:rsidRPr="00645B93">
              <w:rPr>
                <w:snapToGrid w:val="0"/>
              </w:rPr>
              <w:t>Conceptos</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jc w:val="right"/>
              <w:rPr>
                <w:snapToGrid w:val="0"/>
              </w:rPr>
            </w:pPr>
            <w:r w:rsidRPr="00645B93">
              <w:rPr>
                <w:snapToGrid w:val="0"/>
              </w:rPr>
              <w:t>Importe</w:t>
            </w:r>
          </w:p>
        </w:tc>
      </w:tr>
      <w:tr w:rsidR="001B3767" w:rsidRPr="00645B93" w:rsidTr="004245A4">
        <w:trPr>
          <w:trHeight w:hRule="exact" w:val="284"/>
          <w:jc w:val="center"/>
        </w:trPr>
        <w:tc>
          <w:tcPr>
            <w:tcW w:w="6986" w:type="dxa"/>
            <w:gridSpan w:val="2"/>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b/>
                <w:bCs/>
              </w:rPr>
            </w:pPr>
            <w:r>
              <w:rPr>
                <w:rFonts w:ascii="Arial Narrow" w:hAnsi="Arial Narrow" w:cs="Arial"/>
                <w:b/>
                <w:bCs/>
              </w:rPr>
              <w:t>+ Derechos pendientes de cobro</w:t>
            </w:r>
          </w:p>
        </w:tc>
        <w:tc>
          <w:tcPr>
            <w:tcW w:w="1967" w:type="dxa"/>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bCs/>
              </w:rPr>
            </w:pPr>
            <w:r>
              <w:rPr>
                <w:rFonts w:ascii="Arial Narrow" w:hAnsi="Arial Narrow" w:cs="Arial"/>
                <w:bCs/>
              </w:rPr>
              <w:t>234.355.762</w:t>
            </w:r>
          </w:p>
        </w:tc>
      </w:tr>
      <w:tr w:rsidR="001B3767" w:rsidRPr="00645B93"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Presupuesto Ingresos: ejercicio corriente</w:t>
            </w:r>
          </w:p>
        </w:tc>
        <w:tc>
          <w:tcPr>
            <w:tcW w:w="2281"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762.304.658</w:t>
            </w:r>
          </w:p>
        </w:tc>
        <w:tc>
          <w:tcPr>
            <w:tcW w:w="1967"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-510.539.944</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Partidas pendientes de aplicar</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-35.783.932</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4.157.857</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-3.386.944</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17.812.135</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Derechos difícil recaudación</w:t>
            </w:r>
          </w:p>
        </w:tc>
        <w:tc>
          <w:tcPr>
            <w:tcW w:w="2281"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-208.068</w:t>
            </w:r>
          </w:p>
        </w:tc>
        <w:tc>
          <w:tcPr>
            <w:tcW w:w="1967"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4245A4">
        <w:trPr>
          <w:trHeight w:hRule="exact" w:val="284"/>
          <w:jc w:val="center"/>
        </w:trPr>
        <w:tc>
          <w:tcPr>
            <w:tcW w:w="6986" w:type="dxa"/>
            <w:gridSpan w:val="2"/>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b/>
                <w:bCs/>
              </w:rPr>
            </w:pPr>
            <w:r w:rsidRPr="00645B93">
              <w:rPr>
                <w:rFonts w:ascii="Arial Narrow" w:hAnsi="Arial Narrow" w:cs="Arial"/>
                <w:b/>
                <w:bCs/>
              </w:rPr>
              <w:t>- Obligaciones pendientes de pago</w:t>
            </w:r>
          </w:p>
        </w:tc>
        <w:tc>
          <w:tcPr>
            <w:tcW w:w="1967" w:type="dxa"/>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bCs/>
              </w:rPr>
            </w:pPr>
            <w:r>
              <w:rPr>
                <w:rFonts w:ascii="Arial Narrow" w:hAnsi="Arial Narrow" w:cs="Arial"/>
                <w:bCs/>
              </w:rPr>
              <w:t>-513.355.447</w:t>
            </w:r>
          </w:p>
        </w:tc>
      </w:tr>
      <w:tr w:rsidR="001B3767" w:rsidRPr="00645B93"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right="-70" w:firstLine="0"/>
              <w:rPr>
                <w:rFonts w:ascii="Arial Narrow" w:hAnsi="Arial Narrow" w:cs="Arial"/>
              </w:rPr>
            </w:pPr>
            <w:r w:rsidRPr="00645B93">
              <w:rPr>
                <w:rFonts w:ascii="Arial Narrow" w:hAnsi="Arial Narrow" w:cs="Arial"/>
              </w:rPr>
              <w:t>Presupuesto Gastos: ejercicio corriente</w:t>
            </w:r>
          </w:p>
        </w:tc>
        <w:tc>
          <w:tcPr>
            <w:tcW w:w="2281"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451.070.700</w:t>
            </w:r>
          </w:p>
        </w:tc>
        <w:tc>
          <w:tcPr>
            <w:tcW w:w="1967"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31.677.890</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vAlign w:val="center"/>
          </w:tcPr>
          <w:p w:rsidR="001B3767" w:rsidRDefault="001B3767" w:rsidP="000E2288">
            <w:pPr>
              <w:spacing w:after="0"/>
              <w:ind w:hanging="1"/>
              <w:jc w:val="right"/>
              <w:rPr>
                <w:rFonts w:ascii="Arial Narrow" w:hAnsi="Arial Narrow" w:cs="Arial"/>
              </w:rPr>
            </w:pPr>
            <w:r>
              <w:rPr>
                <w:rFonts w:ascii="Arial Narrow" w:hAnsi="Arial Narrow" w:cs="Arial"/>
              </w:rPr>
              <w:t>30.606.857</w:t>
            </w:r>
          </w:p>
          <w:p w:rsidR="001B3767" w:rsidRPr="00645B93" w:rsidRDefault="001B3767" w:rsidP="000E2288">
            <w:pPr>
              <w:spacing w:after="0"/>
              <w:ind w:hanging="1"/>
              <w:jc w:val="right"/>
              <w:rPr>
                <w:rFonts w:ascii="Arial Narrow" w:hAnsi="Arial Narrow" w:cs="Arial"/>
              </w:rPr>
            </w:pPr>
            <w:r>
              <w:rPr>
                <w:rFonts w:ascii="Arial Narrow" w:hAnsi="Arial Narrow" w:cs="Arial"/>
              </w:rPr>
              <w:t>85</w:t>
            </w: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0E2288">
        <w:trPr>
          <w:trHeight w:hRule="exact" w:val="284"/>
          <w:jc w:val="center"/>
        </w:trPr>
        <w:tc>
          <w:tcPr>
            <w:tcW w:w="4705"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Obligaciones y bonos a corto plazo</w:t>
            </w:r>
          </w:p>
        </w:tc>
        <w:tc>
          <w:tcPr>
            <w:tcW w:w="2281"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p>
        </w:tc>
        <w:tc>
          <w:tcPr>
            <w:tcW w:w="1967" w:type="dxa"/>
            <w:tcBorders>
              <w:top w:val="single" w:sz="2"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Devolución pasivos financieros c/p</w:t>
            </w:r>
          </w:p>
        </w:tc>
        <w:tc>
          <w:tcPr>
            <w:tcW w:w="2281"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p>
        </w:tc>
        <w:tc>
          <w:tcPr>
            <w:tcW w:w="1967"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rPr>
            </w:pPr>
          </w:p>
        </w:tc>
      </w:tr>
      <w:tr w:rsidR="001B3767" w:rsidRPr="00645B93" w:rsidTr="004245A4">
        <w:trPr>
          <w:trHeight w:hRule="exact" w:val="284"/>
          <w:jc w:val="center"/>
        </w:trPr>
        <w:tc>
          <w:tcPr>
            <w:tcW w:w="4705" w:type="dxa"/>
            <w:tcBorders>
              <w:top w:val="single" w:sz="4" w:space="0" w:color="auto"/>
              <w:bottom w:val="single" w:sz="4" w:space="0" w:color="auto"/>
            </w:tcBorders>
            <w:shd w:val="clear" w:color="auto" w:fill="auto"/>
            <w:noWrap/>
            <w:vAlign w:val="center"/>
          </w:tcPr>
          <w:p w:rsidR="001B3767" w:rsidRPr="00645B93" w:rsidRDefault="001B3767" w:rsidP="000E2288">
            <w:pPr>
              <w:spacing w:after="0"/>
              <w:ind w:firstLine="12"/>
              <w:rPr>
                <w:rFonts w:ascii="Arial Narrow" w:hAnsi="Arial Narrow" w:cs="Arial"/>
                <w:b/>
                <w:bCs/>
              </w:rPr>
            </w:pPr>
            <w:r w:rsidRPr="00645B93">
              <w:rPr>
                <w:rFonts w:ascii="Arial Narrow" w:hAnsi="Arial Narrow" w:cs="Arial"/>
                <w:b/>
                <w:bCs/>
              </w:rPr>
              <w:t>+ Fondos líquidos</w:t>
            </w:r>
          </w:p>
        </w:tc>
        <w:tc>
          <w:tcPr>
            <w:tcW w:w="2281" w:type="dxa"/>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b/>
              </w:rPr>
            </w:pPr>
          </w:p>
        </w:tc>
        <w:tc>
          <w:tcPr>
            <w:tcW w:w="1967" w:type="dxa"/>
            <w:tcBorders>
              <w:top w:val="single" w:sz="4"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bCs/>
              </w:rPr>
            </w:pPr>
            <w:r>
              <w:rPr>
                <w:rFonts w:ascii="Arial Narrow" w:hAnsi="Arial Narrow" w:cs="Arial"/>
                <w:bCs/>
              </w:rPr>
              <w:t>165.715.367</w:t>
            </w:r>
          </w:p>
        </w:tc>
      </w:tr>
      <w:tr w:rsidR="001B3767" w:rsidRPr="00645B93"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rPr>
                <w:rFonts w:ascii="Arial Narrow" w:hAnsi="Arial Narrow" w:cs="Arial"/>
                <w:b/>
                <w:bCs/>
              </w:rPr>
            </w:pPr>
            <w:r w:rsidRPr="00645B93">
              <w:t>Remanente de Tesorería Total</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jc w:val="right"/>
              <w:rPr>
                <w:rFonts w:ascii="Arial Narrow" w:hAnsi="Arial Narrow" w:cs="Arial"/>
                <w:b/>
                <w:bCs/>
              </w:rPr>
            </w:pPr>
            <w:r>
              <w:rPr>
                <w:rFonts w:ascii="Arial Narrow" w:hAnsi="Arial Narrow" w:cs="Arial"/>
                <w:b/>
                <w:bCs/>
              </w:rPr>
              <w:t>-113.284.317</w:t>
            </w:r>
          </w:p>
        </w:tc>
      </w:tr>
      <w:tr w:rsidR="001B3767" w:rsidRPr="00645B93" w:rsidTr="004245A4">
        <w:trPr>
          <w:trHeight w:hRule="exact" w:val="284"/>
          <w:jc w:val="center"/>
        </w:trPr>
        <w:tc>
          <w:tcPr>
            <w:tcW w:w="4705" w:type="dxa"/>
            <w:tcBorders>
              <w:top w:val="single" w:sz="4" w:space="0" w:color="auto"/>
              <w:bottom w:val="single" w:sz="2" w:space="0" w:color="auto"/>
            </w:tcBorders>
            <w:shd w:val="clear" w:color="auto" w:fill="auto"/>
            <w:noWrap/>
            <w:vAlign w:val="center"/>
          </w:tcPr>
          <w:p w:rsidR="001B3767" w:rsidRPr="00645B93" w:rsidRDefault="00F7476D" w:rsidP="000E2288">
            <w:pPr>
              <w:spacing w:after="0"/>
              <w:ind w:firstLine="0"/>
              <w:rPr>
                <w:rFonts w:ascii="Arial Narrow" w:hAnsi="Arial Narrow" w:cs="Arial"/>
              </w:rPr>
            </w:pPr>
            <w:r>
              <w:rPr>
                <w:rFonts w:ascii="Arial Narrow" w:hAnsi="Arial Narrow" w:cs="Arial"/>
              </w:rPr>
              <w:t>Remanente Tesorería</w:t>
            </w:r>
            <w:r w:rsidR="001B3767" w:rsidRPr="00645B93">
              <w:rPr>
                <w:rFonts w:ascii="Arial Narrow" w:hAnsi="Arial Narrow" w:cs="Arial"/>
              </w:rPr>
              <w:t xml:space="preserve"> afecto a Fondo Haciendas Locales</w:t>
            </w:r>
          </w:p>
        </w:tc>
        <w:tc>
          <w:tcPr>
            <w:tcW w:w="2281"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65.502.069</w:t>
            </w:r>
          </w:p>
        </w:tc>
        <w:tc>
          <w:tcPr>
            <w:tcW w:w="1967" w:type="dxa"/>
            <w:tcBorders>
              <w:top w:val="single" w:sz="4" w:space="0" w:color="auto"/>
              <w:bottom w:val="single" w:sz="2" w:space="0" w:color="auto"/>
            </w:tcBorders>
            <w:shd w:val="clear" w:color="auto" w:fill="auto"/>
            <w:noWrap/>
            <w:vAlign w:val="center"/>
          </w:tcPr>
          <w:p w:rsidR="001B3767" w:rsidRPr="00645B93" w:rsidRDefault="001B3767" w:rsidP="000E2288">
            <w:pPr>
              <w:spacing w:after="0"/>
              <w:ind w:hanging="1"/>
              <w:rPr>
                <w:rFonts w:ascii="Arial Narrow" w:hAnsi="Arial Narrow" w:cs="Arial"/>
                <w:b/>
              </w:rPr>
            </w:pPr>
          </w:p>
        </w:tc>
      </w:tr>
      <w:tr w:rsidR="001B3767" w:rsidRPr="00645B93" w:rsidTr="004245A4">
        <w:trPr>
          <w:trHeight w:hRule="exact" w:val="284"/>
          <w:jc w:val="center"/>
        </w:trPr>
        <w:tc>
          <w:tcPr>
            <w:tcW w:w="4705"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firstLine="0"/>
              <w:rPr>
                <w:rFonts w:ascii="Arial Narrow" w:hAnsi="Arial Narrow" w:cs="Arial"/>
              </w:rPr>
            </w:pPr>
            <w:r w:rsidRPr="00645B93">
              <w:rPr>
                <w:rFonts w:ascii="Arial Narrow" w:hAnsi="Arial Narrow" w:cs="Arial"/>
              </w:rPr>
              <w:t>Desviaciones de financiación acumuladas positivas</w:t>
            </w:r>
          </w:p>
        </w:tc>
        <w:tc>
          <w:tcPr>
            <w:tcW w:w="2281"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jc w:val="right"/>
              <w:rPr>
                <w:rFonts w:ascii="Arial Narrow" w:hAnsi="Arial Narrow" w:cs="Arial"/>
              </w:rPr>
            </w:pPr>
            <w:r>
              <w:rPr>
                <w:rFonts w:ascii="Arial Narrow" w:hAnsi="Arial Narrow" w:cs="Arial"/>
              </w:rPr>
              <w:t>5.301.224</w:t>
            </w:r>
          </w:p>
        </w:tc>
        <w:tc>
          <w:tcPr>
            <w:tcW w:w="1967" w:type="dxa"/>
            <w:tcBorders>
              <w:top w:val="single" w:sz="2" w:space="0" w:color="auto"/>
              <w:bottom w:val="single" w:sz="4" w:space="0" w:color="auto"/>
            </w:tcBorders>
            <w:shd w:val="clear" w:color="auto" w:fill="auto"/>
            <w:noWrap/>
            <w:vAlign w:val="center"/>
          </w:tcPr>
          <w:p w:rsidR="001B3767" w:rsidRPr="00645B93" w:rsidRDefault="001B3767" w:rsidP="000E2288">
            <w:pPr>
              <w:spacing w:after="0"/>
              <w:ind w:hanging="1"/>
              <w:rPr>
                <w:rFonts w:ascii="Arial Narrow" w:hAnsi="Arial Narrow" w:cs="Arial"/>
                <w:b/>
              </w:rPr>
            </w:pPr>
          </w:p>
        </w:tc>
      </w:tr>
      <w:tr w:rsidR="001B3767" w:rsidRPr="00645B93"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pPr>
            <w:r w:rsidRPr="00645B93">
              <w:t>Remanente de Tesorería afecto</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jc w:val="right"/>
              <w:rPr>
                <w:b/>
              </w:rPr>
            </w:pPr>
            <w:r>
              <w:rPr>
                <w:b/>
              </w:rPr>
              <w:t>70.803.293</w:t>
            </w:r>
          </w:p>
        </w:tc>
      </w:tr>
      <w:tr w:rsidR="001B3767" w:rsidRPr="00645B93" w:rsidTr="004245A4">
        <w:trPr>
          <w:trHeight w:hRule="exact" w:val="284"/>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pPr>
            <w:r w:rsidRPr="00645B93">
              <w:t>Remanente de Tesorería gastos generales</w:t>
            </w:r>
          </w:p>
        </w:tc>
        <w:tc>
          <w:tcPr>
            <w:tcW w:w="1967" w:type="dxa"/>
            <w:tcBorders>
              <w:top w:val="single" w:sz="4" w:space="0" w:color="auto"/>
              <w:bottom w:val="single" w:sz="4" w:space="0" w:color="auto"/>
            </w:tcBorders>
            <w:shd w:val="clear" w:color="auto" w:fill="8DB3E2" w:themeFill="text2" w:themeFillTint="66"/>
            <w:noWrap/>
            <w:vAlign w:val="center"/>
          </w:tcPr>
          <w:p w:rsidR="001B3767" w:rsidRPr="00645B93" w:rsidRDefault="001B3767" w:rsidP="000E2288">
            <w:pPr>
              <w:pStyle w:val="cuadroCabe"/>
              <w:jc w:val="right"/>
              <w:rPr>
                <w:rFonts w:ascii="Arial Narrow" w:hAnsi="Arial Narrow" w:cs="Arial"/>
                <w:b/>
                <w:bCs/>
              </w:rPr>
            </w:pPr>
            <w:r>
              <w:rPr>
                <w:rFonts w:ascii="Arial Narrow" w:hAnsi="Arial Narrow" w:cs="Arial"/>
                <w:b/>
                <w:bCs/>
              </w:rPr>
              <w:t>-184.087.610</w:t>
            </w:r>
          </w:p>
        </w:tc>
      </w:tr>
    </w:tbl>
    <w:p w:rsidR="001B3767" w:rsidRPr="001639F7" w:rsidRDefault="001B3767" w:rsidP="001B3767">
      <w:pPr>
        <w:pStyle w:val="texto"/>
        <w:rPr>
          <w:highlight w:val="yellow"/>
        </w:rPr>
      </w:pPr>
    </w:p>
    <w:p w:rsidR="001B3767" w:rsidRPr="00957681" w:rsidRDefault="001B3767" w:rsidP="001B3767">
      <w:pPr>
        <w:pStyle w:val="atitulo2"/>
      </w:pPr>
      <w:r w:rsidRPr="001639F7">
        <w:rPr>
          <w:highlight w:val="yellow"/>
        </w:rPr>
        <w:br w:type="page"/>
      </w:r>
      <w:bookmarkStart w:id="53" w:name="_Toc340229946"/>
      <w:bookmarkStart w:id="54" w:name="_Toc394485124"/>
      <w:bookmarkStart w:id="55" w:name="_Toc434399399"/>
      <w:r w:rsidRPr="00957681">
        <w:lastRenderedPageBreak/>
        <w:t>VI.4. Balance de situación a 31 de diciembre de 201</w:t>
      </w:r>
      <w:bookmarkEnd w:id="53"/>
      <w:bookmarkEnd w:id="54"/>
      <w:r w:rsidRPr="00957681">
        <w:t>4</w:t>
      </w:r>
      <w:bookmarkEnd w:id="55"/>
    </w:p>
    <w:p w:rsidR="001B3767" w:rsidRPr="00957681" w:rsidRDefault="001B3767" w:rsidP="00D841E1">
      <w:pPr>
        <w:pStyle w:val="texto"/>
        <w:spacing w:after="60"/>
        <w:ind w:right="-85"/>
        <w:jc w:val="right"/>
        <w:rPr>
          <w:rFonts w:ascii="Arial Narrow" w:hAnsi="Arial Narrow"/>
          <w:sz w:val="18"/>
          <w:szCs w:val="18"/>
        </w:rPr>
      </w:pPr>
      <w:r w:rsidRPr="00957681">
        <w:rPr>
          <w:rFonts w:ascii="Arial Narrow" w:hAnsi="Arial Narrow"/>
          <w:sz w:val="18"/>
          <w:szCs w:val="18"/>
        </w:rPr>
        <w:t>(</w:t>
      </w:r>
      <w:proofErr w:type="gramStart"/>
      <w:r w:rsidRPr="00957681">
        <w:rPr>
          <w:rFonts w:ascii="Arial Narrow" w:hAnsi="Arial Narrow"/>
          <w:sz w:val="18"/>
          <w:szCs w:val="18"/>
        </w:rPr>
        <w:t>en</w:t>
      </w:r>
      <w:proofErr w:type="gramEnd"/>
      <w:r w:rsidRPr="00957681">
        <w:rPr>
          <w:rFonts w:ascii="Arial Narrow" w:hAnsi="Arial Narrow"/>
          <w:sz w:val="18"/>
          <w:szCs w:val="18"/>
        </w:rPr>
        <w:t xml:space="preserve"> euros)</w:t>
      </w:r>
    </w:p>
    <w:tbl>
      <w:tblPr>
        <w:tblW w:w="9052" w:type="dxa"/>
        <w:jc w:val="center"/>
        <w:tblLayout w:type="fixed"/>
        <w:tblCellMar>
          <w:left w:w="70" w:type="dxa"/>
          <w:right w:w="70" w:type="dxa"/>
        </w:tblCellMar>
        <w:tblLook w:val="0000" w:firstRow="0" w:lastRow="0" w:firstColumn="0" w:lastColumn="0" w:noHBand="0" w:noVBand="0"/>
      </w:tblPr>
      <w:tblGrid>
        <w:gridCol w:w="5358"/>
        <w:gridCol w:w="1855"/>
        <w:gridCol w:w="1839"/>
      </w:tblGrid>
      <w:tr w:rsidR="001B3767" w:rsidRPr="00957681" w:rsidTr="00D841E1">
        <w:trPr>
          <w:trHeight w:hRule="exact" w:val="340"/>
          <w:jc w:val="center"/>
        </w:trPr>
        <w:tc>
          <w:tcPr>
            <w:tcW w:w="5358" w:type="dxa"/>
            <w:tcBorders>
              <w:top w:val="single" w:sz="4" w:space="0" w:color="auto"/>
              <w:bottom w:val="single" w:sz="4" w:space="0" w:color="auto"/>
            </w:tcBorders>
            <w:shd w:val="clear" w:color="auto" w:fill="8DB3E2" w:themeFill="text2" w:themeFillTint="66"/>
            <w:vAlign w:val="center"/>
          </w:tcPr>
          <w:p w:rsidR="001B3767" w:rsidRPr="00957681" w:rsidRDefault="001B3767" w:rsidP="000E2288">
            <w:pPr>
              <w:pStyle w:val="cuadroCabe"/>
              <w:rPr>
                <w:snapToGrid w:val="0"/>
              </w:rPr>
            </w:pPr>
            <w:r w:rsidRPr="00957681">
              <w:rPr>
                <w:snapToGrid w:val="0"/>
              </w:rPr>
              <w:t>ACTIVO</w:t>
            </w:r>
          </w:p>
        </w:tc>
        <w:tc>
          <w:tcPr>
            <w:tcW w:w="1855" w:type="dxa"/>
            <w:tcBorders>
              <w:top w:val="single" w:sz="4" w:space="0" w:color="auto"/>
              <w:bottom w:val="single" w:sz="4" w:space="0" w:color="auto"/>
            </w:tcBorders>
            <w:shd w:val="clear" w:color="auto" w:fill="8DB3E2" w:themeFill="text2" w:themeFillTint="66"/>
            <w:vAlign w:val="center"/>
          </w:tcPr>
          <w:p w:rsidR="001B3767" w:rsidRPr="00957681" w:rsidRDefault="001B3767" w:rsidP="000E2288">
            <w:pPr>
              <w:pStyle w:val="cuadroCabe"/>
              <w:jc w:val="right"/>
              <w:rPr>
                <w:snapToGrid w:val="0"/>
                <w:lang w:val="es-ES"/>
              </w:rPr>
            </w:pPr>
            <w:r w:rsidRPr="00957681">
              <w:rPr>
                <w:snapToGrid w:val="0"/>
                <w:lang w:val="es-ES"/>
              </w:rPr>
              <w:t>Ejercicio 201</w:t>
            </w:r>
            <w:r>
              <w:rPr>
                <w:snapToGrid w:val="0"/>
                <w:lang w:val="es-ES"/>
              </w:rPr>
              <w:t>4</w:t>
            </w:r>
          </w:p>
        </w:tc>
        <w:tc>
          <w:tcPr>
            <w:tcW w:w="1839" w:type="dxa"/>
            <w:tcBorders>
              <w:top w:val="single" w:sz="4" w:space="0" w:color="auto"/>
              <w:bottom w:val="single" w:sz="4" w:space="0" w:color="auto"/>
            </w:tcBorders>
            <w:shd w:val="clear" w:color="auto" w:fill="8DB3E2" w:themeFill="text2" w:themeFillTint="66"/>
            <w:vAlign w:val="center"/>
          </w:tcPr>
          <w:p w:rsidR="001B3767" w:rsidRPr="00957681" w:rsidRDefault="001B3767" w:rsidP="000E2288">
            <w:pPr>
              <w:pStyle w:val="cuadroCabe"/>
              <w:jc w:val="right"/>
              <w:rPr>
                <w:snapToGrid w:val="0"/>
                <w:lang w:val="es-ES"/>
              </w:rPr>
            </w:pPr>
            <w:r w:rsidRPr="00957681">
              <w:rPr>
                <w:snapToGrid w:val="0"/>
                <w:lang w:val="es-ES"/>
              </w:rPr>
              <w:t>Ejercicio 2013</w:t>
            </w:r>
          </w:p>
        </w:tc>
      </w:tr>
      <w:tr w:rsidR="001B3767" w:rsidRPr="00957681" w:rsidTr="006A5967">
        <w:trPr>
          <w:trHeight w:hRule="exact" w:val="312"/>
          <w:jc w:val="center"/>
        </w:trPr>
        <w:tc>
          <w:tcPr>
            <w:tcW w:w="5358" w:type="dxa"/>
            <w:tcBorders>
              <w:top w:val="single" w:sz="4" w:space="0" w:color="auto"/>
              <w:bottom w:val="single" w:sz="4" w:space="0" w:color="auto"/>
            </w:tcBorders>
            <w:vAlign w:val="center"/>
          </w:tcPr>
          <w:p w:rsidR="001B3767" w:rsidRPr="00957681" w:rsidRDefault="001B3767" w:rsidP="000E2288">
            <w:pPr>
              <w:spacing w:after="0"/>
              <w:ind w:left="71" w:firstLine="0"/>
              <w:rPr>
                <w:rFonts w:ascii="Arial Narrow" w:hAnsi="Arial Narrow" w:cs="Arial"/>
                <w:b/>
                <w:snapToGrid w:val="0"/>
                <w:color w:val="000000"/>
              </w:rPr>
            </w:pPr>
            <w:r w:rsidRPr="00957681">
              <w:rPr>
                <w:rFonts w:ascii="Arial Narrow" w:hAnsi="Arial Narrow" w:cs="Arial"/>
                <w:b/>
                <w:snapToGrid w:val="0"/>
                <w:color w:val="000000"/>
              </w:rPr>
              <w:t xml:space="preserve">A) Inmovilizado </w:t>
            </w:r>
          </w:p>
        </w:tc>
        <w:tc>
          <w:tcPr>
            <w:tcW w:w="1855" w:type="dxa"/>
            <w:tcBorders>
              <w:top w:val="single" w:sz="4" w:space="0" w:color="auto"/>
              <w:bottom w:val="single" w:sz="4" w:space="0" w:color="auto"/>
            </w:tcBorders>
            <w:vAlign w:val="center"/>
          </w:tcPr>
          <w:p w:rsidR="001B3767" w:rsidRPr="00957681" w:rsidRDefault="001B3767" w:rsidP="000E2288">
            <w:pPr>
              <w:spacing w:after="0"/>
              <w:ind w:firstLine="0"/>
              <w:jc w:val="right"/>
              <w:rPr>
                <w:rFonts w:ascii="Arial Narrow" w:hAnsi="Arial Narrow" w:cs="Arial"/>
                <w:b/>
                <w:snapToGrid w:val="0"/>
                <w:lang w:val="es-ES"/>
              </w:rPr>
            </w:pPr>
            <w:r>
              <w:rPr>
                <w:rFonts w:ascii="Arial Narrow" w:hAnsi="Arial Narrow" w:cs="Arial"/>
                <w:b/>
                <w:snapToGrid w:val="0"/>
                <w:lang w:val="es-ES"/>
              </w:rPr>
              <w:t>2.697.387.829</w:t>
            </w:r>
          </w:p>
        </w:tc>
        <w:tc>
          <w:tcPr>
            <w:tcW w:w="1839" w:type="dxa"/>
            <w:tcBorders>
              <w:top w:val="single" w:sz="4" w:space="0" w:color="auto"/>
              <w:bottom w:val="single" w:sz="4" w:space="0" w:color="auto"/>
            </w:tcBorders>
            <w:vAlign w:val="center"/>
          </w:tcPr>
          <w:p w:rsidR="001B3767" w:rsidRPr="00957681" w:rsidRDefault="001B3767" w:rsidP="000E2288">
            <w:pPr>
              <w:spacing w:after="0"/>
              <w:ind w:firstLine="0"/>
              <w:jc w:val="right"/>
              <w:rPr>
                <w:rFonts w:ascii="Arial Narrow" w:hAnsi="Arial Narrow" w:cs="Arial"/>
                <w:b/>
                <w:snapToGrid w:val="0"/>
                <w:lang w:val="es-ES"/>
              </w:rPr>
            </w:pPr>
            <w:r>
              <w:rPr>
                <w:rFonts w:ascii="Arial Narrow" w:hAnsi="Arial Narrow" w:cs="Arial"/>
                <w:b/>
                <w:snapToGrid w:val="0"/>
                <w:lang w:val="es-ES"/>
              </w:rPr>
              <w:t>2.590.142.177</w:t>
            </w:r>
          </w:p>
        </w:tc>
      </w:tr>
      <w:tr w:rsidR="001B3767" w:rsidRPr="00957681" w:rsidTr="006A5967">
        <w:trPr>
          <w:trHeight w:hRule="exact" w:val="312"/>
          <w:jc w:val="center"/>
        </w:trPr>
        <w:tc>
          <w:tcPr>
            <w:tcW w:w="5358" w:type="dxa"/>
            <w:tcBorders>
              <w:top w:val="single" w:sz="4"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III. Inmovilizaciones materiales</w:t>
            </w:r>
          </w:p>
        </w:tc>
        <w:tc>
          <w:tcPr>
            <w:tcW w:w="1855" w:type="dxa"/>
            <w:tcBorders>
              <w:top w:val="single" w:sz="4"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2.107.553.379</w:t>
            </w:r>
          </w:p>
        </w:tc>
        <w:tc>
          <w:tcPr>
            <w:tcW w:w="1839" w:type="dxa"/>
            <w:tcBorders>
              <w:top w:val="single" w:sz="4"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2.082.603.408</w:t>
            </w:r>
          </w:p>
        </w:tc>
      </w:tr>
      <w:tr w:rsidR="001B3767" w:rsidRPr="00957681" w:rsidTr="000E2288">
        <w:trPr>
          <w:trHeight w:hRule="exact" w:val="312"/>
          <w:jc w:val="center"/>
        </w:trPr>
        <w:tc>
          <w:tcPr>
            <w:tcW w:w="5358" w:type="dxa"/>
            <w:tcBorders>
              <w:top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1. Terrenos y construcciones </w:t>
            </w:r>
          </w:p>
        </w:tc>
        <w:tc>
          <w:tcPr>
            <w:tcW w:w="1855"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1.431.369.914</w:t>
            </w:r>
          </w:p>
        </w:tc>
        <w:tc>
          <w:tcPr>
            <w:tcW w:w="1839"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sidRPr="00957681">
              <w:rPr>
                <w:rFonts w:ascii="Arial Narrow" w:hAnsi="Arial Narrow" w:cs="Arial"/>
                <w:snapToGrid w:val="0"/>
                <w:color w:val="000000"/>
                <w:lang w:val="es-ES"/>
              </w:rPr>
              <w:t>1.419.186.332</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2. Instalaciones técnicas y maquinaria</w:t>
            </w:r>
          </w:p>
        </w:tc>
        <w:tc>
          <w:tcPr>
            <w:tcW w:w="1855"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66.726.158</w:t>
            </w:r>
          </w:p>
        </w:tc>
        <w:tc>
          <w:tcPr>
            <w:tcW w:w="1839" w:type="dxa"/>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66.273.649</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3. Utillaje y mobiliario</w:t>
            </w:r>
          </w:p>
        </w:tc>
        <w:tc>
          <w:tcPr>
            <w:tcW w:w="1855"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364.228.749</w:t>
            </w:r>
          </w:p>
        </w:tc>
        <w:tc>
          <w:tcPr>
            <w:tcW w:w="1839" w:type="dxa"/>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357.189.677</w:t>
            </w:r>
          </w:p>
        </w:tc>
      </w:tr>
      <w:tr w:rsidR="001B3767" w:rsidRPr="00957681" w:rsidTr="006A5967">
        <w:trPr>
          <w:trHeight w:hRule="exact" w:val="312"/>
          <w:jc w:val="center"/>
        </w:trPr>
        <w:tc>
          <w:tcPr>
            <w:tcW w:w="5358" w:type="dxa"/>
            <w:tcBorders>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4. Otro inmovilizado </w:t>
            </w:r>
          </w:p>
        </w:tc>
        <w:tc>
          <w:tcPr>
            <w:tcW w:w="1855" w:type="dxa"/>
            <w:tcBorders>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245.228.558</w:t>
            </w:r>
          </w:p>
        </w:tc>
        <w:tc>
          <w:tcPr>
            <w:tcW w:w="1839" w:type="dxa"/>
            <w:tcBorders>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239.953.751</w:t>
            </w:r>
          </w:p>
        </w:tc>
      </w:tr>
      <w:tr w:rsidR="001B3767" w:rsidRPr="00957681" w:rsidTr="000E2288">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V. Inversiones financieras permanentes</w:t>
            </w:r>
          </w:p>
        </w:tc>
        <w:tc>
          <w:tcPr>
            <w:tcW w:w="1855"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589.834.451</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507.538.769</w:t>
            </w:r>
          </w:p>
        </w:tc>
      </w:tr>
      <w:tr w:rsidR="001B3767" w:rsidRPr="00957681" w:rsidTr="000E2288">
        <w:trPr>
          <w:trHeight w:hRule="exact" w:val="312"/>
          <w:jc w:val="center"/>
        </w:trPr>
        <w:tc>
          <w:tcPr>
            <w:tcW w:w="5358" w:type="dxa"/>
            <w:tcBorders>
              <w:top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1. Cartera de valores a largo plazo </w:t>
            </w:r>
          </w:p>
        </w:tc>
        <w:tc>
          <w:tcPr>
            <w:tcW w:w="1855"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504.328.407</w:t>
            </w:r>
          </w:p>
        </w:tc>
        <w:tc>
          <w:tcPr>
            <w:tcW w:w="1839"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color w:val="000000"/>
                <w:lang w:val="es-ES"/>
              </w:rPr>
            </w:pPr>
            <w:r w:rsidRPr="00957681">
              <w:rPr>
                <w:rFonts w:ascii="Arial Narrow" w:hAnsi="Arial Narrow" w:cs="Arial"/>
                <w:snapToGrid w:val="0"/>
                <w:color w:val="000000"/>
                <w:lang w:val="es-ES"/>
              </w:rPr>
              <w:t>474.448.894</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2. Otras inversiones y créditos a largo plazo</w:t>
            </w:r>
          </w:p>
        </w:tc>
        <w:tc>
          <w:tcPr>
            <w:tcW w:w="1855" w:type="dxa"/>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86.364.103</w:t>
            </w:r>
          </w:p>
        </w:tc>
        <w:tc>
          <w:tcPr>
            <w:tcW w:w="1839" w:type="dxa"/>
            <w:vAlign w:val="center"/>
          </w:tcPr>
          <w:p w:rsidR="001B3767" w:rsidRPr="00957681" w:rsidRDefault="001B3767" w:rsidP="000E2288">
            <w:pPr>
              <w:spacing w:after="0"/>
              <w:ind w:firstLine="0"/>
              <w:jc w:val="right"/>
              <w:rPr>
                <w:rFonts w:ascii="Arial Narrow" w:hAnsi="Arial Narrow" w:cs="Arial"/>
                <w:snapToGrid w:val="0"/>
                <w:color w:val="000000"/>
                <w:lang w:val="es-ES"/>
              </w:rPr>
            </w:pPr>
            <w:r>
              <w:rPr>
                <w:rFonts w:ascii="Arial Narrow" w:hAnsi="Arial Narrow" w:cs="Arial"/>
                <w:snapToGrid w:val="0"/>
                <w:color w:val="000000"/>
                <w:lang w:val="es-ES"/>
              </w:rPr>
              <w:t>107.423.540</w:t>
            </w:r>
          </w:p>
        </w:tc>
      </w:tr>
      <w:tr w:rsidR="001B3767" w:rsidRPr="00957681" w:rsidTr="006A5967">
        <w:trPr>
          <w:trHeight w:hRule="exact" w:val="312"/>
          <w:jc w:val="center"/>
        </w:trPr>
        <w:tc>
          <w:tcPr>
            <w:tcW w:w="5358" w:type="dxa"/>
            <w:tcBorders>
              <w:bottom w:val="single" w:sz="4"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4. (Provisiones)</w:t>
            </w:r>
          </w:p>
        </w:tc>
        <w:tc>
          <w:tcPr>
            <w:tcW w:w="1855" w:type="dxa"/>
            <w:tcBorders>
              <w:bottom w:val="single" w:sz="4"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-858.059</w:t>
            </w:r>
          </w:p>
        </w:tc>
        <w:tc>
          <w:tcPr>
            <w:tcW w:w="1839" w:type="dxa"/>
            <w:tcBorders>
              <w:bottom w:val="single" w:sz="4"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-74.333.665</w:t>
            </w:r>
          </w:p>
        </w:tc>
      </w:tr>
      <w:tr w:rsidR="001B3767" w:rsidRPr="00957681" w:rsidTr="006A5967">
        <w:trPr>
          <w:trHeight w:hRule="exact" w:val="312"/>
          <w:jc w:val="center"/>
        </w:trPr>
        <w:tc>
          <w:tcPr>
            <w:tcW w:w="5358" w:type="dxa"/>
            <w:tcBorders>
              <w:top w:val="single" w:sz="4" w:space="0" w:color="auto"/>
              <w:bottom w:val="single" w:sz="4" w:space="0" w:color="auto"/>
            </w:tcBorders>
            <w:vAlign w:val="center"/>
          </w:tcPr>
          <w:p w:rsidR="001B3767" w:rsidRPr="00957681" w:rsidRDefault="001B3767" w:rsidP="000E2288">
            <w:pPr>
              <w:spacing w:after="0"/>
              <w:ind w:left="71" w:firstLine="0"/>
              <w:rPr>
                <w:rFonts w:ascii="Arial Narrow" w:hAnsi="Arial Narrow" w:cs="Arial"/>
                <w:b/>
                <w:snapToGrid w:val="0"/>
                <w:color w:val="000000"/>
              </w:rPr>
            </w:pPr>
            <w:r w:rsidRPr="00957681">
              <w:rPr>
                <w:rFonts w:ascii="Arial Narrow" w:hAnsi="Arial Narrow" w:cs="Arial"/>
                <w:b/>
                <w:snapToGrid w:val="0"/>
                <w:color w:val="000000"/>
              </w:rPr>
              <w:t>C) Activo circulante</w:t>
            </w:r>
          </w:p>
        </w:tc>
        <w:tc>
          <w:tcPr>
            <w:tcW w:w="1855" w:type="dxa"/>
            <w:tcBorders>
              <w:top w:val="single" w:sz="4" w:space="0" w:color="auto"/>
              <w:bottom w:val="single" w:sz="4" w:space="0" w:color="auto"/>
            </w:tcBorders>
            <w:vAlign w:val="center"/>
          </w:tcPr>
          <w:p w:rsidR="001B3767" w:rsidRPr="00957681" w:rsidRDefault="001B3767" w:rsidP="000E2288">
            <w:pPr>
              <w:spacing w:after="0"/>
              <w:ind w:firstLine="0"/>
              <w:jc w:val="right"/>
              <w:rPr>
                <w:rFonts w:ascii="Arial Narrow" w:hAnsi="Arial Narrow" w:cs="Arial"/>
                <w:b/>
                <w:snapToGrid w:val="0"/>
                <w:lang w:val="es-ES"/>
              </w:rPr>
            </w:pPr>
            <w:r>
              <w:rPr>
                <w:rFonts w:ascii="Arial Narrow" w:hAnsi="Arial Narrow" w:cs="Arial"/>
                <w:b/>
                <w:snapToGrid w:val="0"/>
                <w:lang w:val="es-ES"/>
              </w:rPr>
              <w:t>512.852.158</w:t>
            </w:r>
          </w:p>
        </w:tc>
        <w:tc>
          <w:tcPr>
            <w:tcW w:w="1839" w:type="dxa"/>
            <w:tcBorders>
              <w:top w:val="single" w:sz="4" w:space="0" w:color="auto"/>
              <w:bottom w:val="single" w:sz="4" w:space="0" w:color="auto"/>
            </w:tcBorders>
            <w:vAlign w:val="center"/>
          </w:tcPr>
          <w:p w:rsidR="001B3767" w:rsidRPr="00957681" w:rsidRDefault="001B3767" w:rsidP="000E2288">
            <w:pPr>
              <w:spacing w:after="0"/>
              <w:ind w:firstLine="0"/>
              <w:jc w:val="right"/>
              <w:rPr>
                <w:rFonts w:ascii="Arial Narrow" w:hAnsi="Arial Narrow" w:cs="Arial"/>
                <w:b/>
                <w:snapToGrid w:val="0"/>
                <w:lang w:val="es-ES"/>
              </w:rPr>
            </w:pPr>
            <w:r>
              <w:rPr>
                <w:rFonts w:ascii="Arial Narrow" w:hAnsi="Arial Narrow" w:cs="Arial"/>
                <w:b/>
                <w:snapToGrid w:val="0"/>
                <w:lang w:val="es-ES"/>
              </w:rPr>
              <w:t>466.990.801</w:t>
            </w:r>
          </w:p>
        </w:tc>
      </w:tr>
      <w:tr w:rsidR="001B3767" w:rsidRPr="00957681" w:rsidTr="000E2288">
        <w:trPr>
          <w:trHeight w:hRule="exact" w:val="312"/>
          <w:jc w:val="center"/>
        </w:trPr>
        <w:tc>
          <w:tcPr>
            <w:tcW w:w="5358" w:type="dxa"/>
            <w:tcBorders>
              <w:top w:val="single" w:sz="4"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I. Existencias </w:t>
            </w:r>
          </w:p>
        </w:tc>
        <w:tc>
          <w:tcPr>
            <w:tcW w:w="1855" w:type="dxa"/>
            <w:tcBorders>
              <w:top w:val="single" w:sz="4"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8.924.844</w:t>
            </w:r>
          </w:p>
        </w:tc>
        <w:tc>
          <w:tcPr>
            <w:tcW w:w="1839" w:type="dxa"/>
            <w:tcBorders>
              <w:top w:val="single" w:sz="4"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13.929.942</w:t>
            </w:r>
          </w:p>
        </w:tc>
      </w:tr>
      <w:tr w:rsidR="001B3767" w:rsidRPr="00957681" w:rsidTr="000E2288">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2. Materias primas y otros aprovisionamientos</w:t>
            </w:r>
          </w:p>
        </w:tc>
        <w:tc>
          <w:tcPr>
            <w:tcW w:w="1855"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8.924.844</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13.929.942</w:t>
            </w:r>
          </w:p>
        </w:tc>
      </w:tr>
      <w:tr w:rsidR="001B3767" w:rsidRPr="00957681" w:rsidTr="000E2288">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II. Deudores </w:t>
            </w:r>
          </w:p>
        </w:tc>
        <w:tc>
          <w:tcPr>
            <w:tcW w:w="1855"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338.194.678</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329.892.208</w:t>
            </w:r>
          </w:p>
        </w:tc>
      </w:tr>
      <w:tr w:rsidR="001B3767" w:rsidRPr="00957681" w:rsidTr="000E2288">
        <w:trPr>
          <w:trHeight w:hRule="exact" w:val="312"/>
          <w:jc w:val="center"/>
        </w:trPr>
        <w:tc>
          <w:tcPr>
            <w:tcW w:w="5358" w:type="dxa"/>
            <w:tcBorders>
              <w:top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1. Deudores presupuestarios</w:t>
            </w:r>
          </w:p>
        </w:tc>
        <w:tc>
          <w:tcPr>
            <w:tcW w:w="1855"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834.530.699</w:t>
            </w:r>
          </w:p>
        </w:tc>
        <w:tc>
          <w:tcPr>
            <w:tcW w:w="1839" w:type="dxa"/>
            <w:tcBorders>
              <w:top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806.145.764</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2. Deudores no presupuestarios</w:t>
            </w:r>
          </w:p>
        </w:tc>
        <w:tc>
          <w:tcPr>
            <w:tcW w:w="1855"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17.053.338</w:t>
            </w:r>
          </w:p>
        </w:tc>
        <w:tc>
          <w:tcPr>
            <w:tcW w:w="1839"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5.373.316</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3. Deudores por admón. de recursos por cuenta de otros EEPP </w:t>
            </w:r>
          </w:p>
        </w:tc>
        <w:tc>
          <w:tcPr>
            <w:tcW w:w="1855"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82.324</w:t>
            </w:r>
          </w:p>
        </w:tc>
        <w:tc>
          <w:tcPr>
            <w:tcW w:w="1839" w:type="dxa"/>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69.005</w:t>
            </w:r>
          </w:p>
        </w:tc>
      </w:tr>
      <w:tr w:rsidR="001B3767" w:rsidRPr="00957681" w:rsidTr="000E2288">
        <w:trPr>
          <w:trHeight w:hRule="exact" w:val="312"/>
          <w:jc w:val="center"/>
        </w:trPr>
        <w:tc>
          <w:tcPr>
            <w:tcW w:w="5358" w:type="dxa"/>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5. Otros deudores </w:t>
            </w:r>
          </w:p>
        </w:tc>
        <w:tc>
          <w:tcPr>
            <w:tcW w:w="1855" w:type="dxa"/>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15.178.489</w:t>
            </w:r>
          </w:p>
        </w:tc>
        <w:tc>
          <w:tcPr>
            <w:tcW w:w="1839" w:type="dxa"/>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14.317.472</w:t>
            </w:r>
          </w:p>
        </w:tc>
      </w:tr>
      <w:tr w:rsidR="001B3767" w:rsidRPr="00957681" w:rsidTr="006A5967">
        <w:trPr>
          <w:trHeight w:hRule="exact" w:val="312"/>
          <w:jc w:val="center"/>
        </w:trPr>
        <w:tc>
          <w:tcPr>
            <w:tcW w:w="5358" w:type="dxa"/>
            <w:tcBorders>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6 (Provisiones)</w:t>
            </w:r>
          </w:p>
        </w:tc>
        <w:tc>
          <w:tcPr>
            <w:tcW w:w="1855" w:type="dxa"/>
            <w:tcBorders>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-528.650.172</w:t>
            </w:r>
          </w:p>
        </w:tc>
        <w:tc>
          <w:tcPr>
            <w:tcW w:w="1839" w:type="dxa"/>
            <w:tcBorders>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-496.013.350</w:t>
            </w:r>
          </w:p>
        </w:tc>
      </w:tr>
      <w:tr w:rsidR="001B3767" w:rsidRPr="00957681" w:rsidTr="000E2288">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III. Inversiones financieras temporales</w:t>
            </w:r>
          </w:p>
        </w:tc>
        <w:tc>
          <w:tcPr>
            <w:tcW w:w="1855"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17.269</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15.720</w:t>
            </w:r>
          </w:p>
        </w:tc>
      </w:tr>
      <w:tr w:rsidR="001B3767" w:rsidRPr="00957681" w:rsidTr="006A5967">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3. Fianzas y depósitos constituidos a corto plazo </w:t>
            </w:r>
          </w:p>
        </w:tc>
        <w:tc>
          <w:tcPr>
            <w:tcW w:w="1855" w:type="dxa"/>
            <w:tcBorders>
              <w:top w:val="single" w:sz="2" w:space="0" w:color="auto"/>
              <w:bottom w:val="single" w:sz="2" w:space="0" w:color="auto"/>
            </w:tcBorders>
            <w:vAlign w:val="center"/>
          </w:tcPr>
          <w:p w:rsidR="001B3767" w:rsidRPr="00612049" w:rsidRDefault="001B3767" w:rsidP="000E2288">
            <w:pPr>
              <w:spacing w:after="0"/>
              <w:ind w:firstLine="0"/>
              <w:jc w:val="right"/>
              <w:rPr>
                <w:rFonts w:ascii="Arial Narrow" w:hAnsi="Arial Narrow" w:cs="Arial"/>
                <w:snapToGrid w:val="0"/>
              </w:rPr>
            </w:pPr>
            <w:r>
              <w:rPr>
                <w:rFonts w:ascii="Arial Narrow" w:hAnsi="Arial Narrow" w:cs="Arial"/>
                <w:snapToGrid w:val="0"/>
              </w:rPr>
              <w:t>17.269</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15.720</w:t>
            </w:r>
          </w:p>
        </w:tc>
      </w:tr>
      <w:tr w:rsidR="001B3767" w:rsidRPr="00957681" w:rsidTr="006A5967">
        <w:trPr>
          <w:trHeight w:hRule="exact" w:val="312"/>
          <w:jc w:val="center"/>
        </w:trPr>
        <w:tc>
          <w:tcPr>
            <w:tcW w:w="5358" w:type="dxa"/>
            <w:tcBorders>
              <w:top w:val="single" w:sz="2" w:space="0" w:color="auto"/>
              <w:bottom w:val="single" w:sz="2" w:space="0" w:color="auto"/>
            </w:tcBorders>
            <w:vAlign w:val="center"/>
          </w:tcPr>
          <w:p w:rsidR="001B3767" w:rsidRPr="00957681" w:rsidRDefault="001B3767" w:rsidP="000E2288">
            <w:pPr>
              <w:spacing w:after="0"/>
              <w:ind w:left="71" w:firstLine="0"/>
              <w:rPr>
                <w:rFonts w:ascii="Arial Narrow" w:hAnsi="Arial Narrow" w:cs="Arial"/>
                <w:snapToGrid w:val="0"/>
                <w:color w:val="000000"/>
              </w:rPr>
            </w:pPr>
            <w:r w:rsidRPr="00957681">
              <w:rPr>
                <w:rFonts w:ascii="Arial Narrow" w:hAnsi="Arial Narrow" w:cs="Arial"/>
                <w:snapToGrid w:val="0"/>
                <w:color w:val="000000"/>
              </w:rPr>
              <w:t xml:space="preserve">IV. Tesorería </w:t>
            </w:r>
          </w:p>
        </w:tc>
        <w:tc>
          <w:tcPr>
            <w:tcW w:w="1855"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Pr>
                <w:rFonts w:ascii="Arial Narrow" w:hAnsi="Arial Narrow" w:cs="Arial"/>
                <w:snapToGrid w:val="0"/>
                <w:lang w:val="es-ES"/>
              </w:rPr>
              <w:t>165.715.367</w:t>
            </w:r>
          </w:p>
        </w:tc>
        <w:tc>
          <w:tcPr>
            <w:tcW w:w="1839" w:type="dxa"/>
            <w:tcBorders>
              <w:top w:val="single" w:sz="2" w:space="0" w:color="auto"/>
              <w:bottom w:val="single" w:sz="2" w:space="0" w:color="auto"/>
            </w:tcBorders>
            <w:vAlign w:val="center"/>
          </w:tcPr>
          <w:p w:rsidR="001B3767" w:rsidRPr="00957681" w:rsidRDefault="001B3767" w:rsidP="000E2288">
            <w:pPr>
              <w:spacing w:after="0"/>
              <w:ind w:firstLine="0"/>
              <w:jc w:val="right"/>
              <w:rPr>
                <w:rFonts w:ascii="Arial Narrow" w:hAnsi="Arial Narrow" w:cs="Arial"/>
                <w:snapToGrid w:val="0"/>
                <w:lang w:val="es-ES"/>
              </w:rPr>
            </w:pPr>
            <w:r w:rsidRPr="00957681">
              <w:rPr>
                <w:rFonts w:ascii="Arial Narrow" w:hAnsi="Arial Narrow" w:cs="Arial"/>
                <w:snapToGrid w:val="0"/>
                <w:lang w:val="es-ES"/>
              </w:rPr>
              <w:t>123.152.931</w:t>
            </w:r>
          </w:p>
        </w:tc>
      </w:tr>
      <w:tr w:rsidR="001B3767" w:rsidRPr="00957681" w:rsidTr="00D841E1">
        <w:trPr>
          <w:trHeight w:hRule="exact" w:val="340"/>
          <w:jc w:val="center"/>
        </w:trPr>
        <w:tc>
          <w:tcPr>
            <w:tcW w:w="5358" w:type="dxa"/>
            <w:tcBorders>
              <w:top w:val="single" w:sz="2" w:space="0" w:color="auto"/>
              <w:bottom w:val="single" w:sz="4" w:space="0" w:color="auto"/>
            </w:tcBorders>
            <w:shd w:val="clear" w:color="auto" w:fill="8DB3E2" w:themeFill="text2" w:themeFillTint="66"/>
            <w:vAlign w:val="center"/>
          </w:tcPr>
          <w:p w:rsidR="001B3767" w:rsidRPr="00957681" w:rsidRDefault="001B3767" w:rsidP="000E2288">
            <w:pPr>
              <w:pStyle w:val="cuadroCabe"/>
              <w:rPr>
                <w:snapToGrid w:val="0"/>
              </w:rPr>
            </w:pPr>
            <w:r w:rsidRPr="00957681">
              <w:rPr>
                <w:snapToGrid w:val="0"/>
              </w:rPr>
              <w:t>Total Activo (A+B+C)</w:t>
            </w:r>
          </w:p>
        </w:tc>
        <w:tc>
          <w:tcPr>
            <w:tcW w:w="1855" w:type="dxa"/>
            <w:tcBorders>
              <w:top w:val="single" w:sz="2" w:space="0" w:color="auto"/>
              <w:bottom w:val="single" w:sz="4" w:space="0" w:color="auto"/>
            </w:tcBorders>
            <w:shd w:val="clear" w:color="auto" w:fill="8DB3E2" w:themeFill="text2" w:themeFillTint="66"/>
            <w:vAlign w:val="center"/>
          </w:tcPr>
          <w:p w:rsidR="001B3767" w:rsidRPr="00957681" w:rsidRDefault="001B3767" w:rsidP="000E2288">
            <w:pPr>
              <w:pStyle w:val="cuadroCabe"/>
              <w:jc w:val="right"/>
              <w:rPr>
                <w:snapToGrid w:val="0"/>
                <w:lang w:val="es-ES"/>
              </w:rPr>
            </w:pPr>
            <w:r>
              <w:rPr>
                <w:snapToGrid w:val="0"/>
                <w:lang w:val="es-ES"/>
              </w:rPr>
              <w:t>3.210.239.987</w:t>
            </w:r>
          </w:p>
        </w:tc>
        <w:tc>
          <w:tcPr>
            <w:tcW w:w="1839" w:type="dxa"/>
            <w:tcBorders>
              <w:top w:val="single" w:sz="2" w:space="0" w:color="auto"/>
              <w:bottom w:val="single" w:sz="4" w:space="0" w:color="auto"/>
            </w:tcBorders>
            <w:shd w:val="clear" w:color="auto" w:fill="8DB3E2" w:themeFill="text2" w:themeFillTint="66"/>
            <w:vAlign w:val="center"/>
          </w:tcPr>
          <w:p w:rsidR="001B3767" w:rsidRPr="00957681" w:rsidRDefault="001B3767" w:rsidP="000E2288">
            <w:pPr>
              <w:pStyle w:val="cuadroCabe"/>
              <w:jc w:val="right"/>
              <w:rPr>
                <w:snapToGrid w:val="0"/>
                <w:lang w:val="es-ES"/>
              </w:rPr>
            </w:pPr>
            <w:r w:rsidRPr="00957681">
              <w:rPr>
                <w:snapToGrid w:val="0"/>
                <w:lang w:val="es-ES"/>
              </w:rPr>
              <w:t>3.057.132.978</w:t>
            </w:r>
          </w:p>
        </w:tc>
      </w:tr>
    </w:tbl>
    <w:p w:rsidR="001B3767" w:rsidRPr="00957681" w:rsidRDefault="001B3767" w:rsidP="001B3767">
      <w:pPr>
        <w:pStyle w:val="texto"/>
        <w:spacing w:before="120" w:after="0"/>
        <w:ind w:left="-357" w:firstLine="0"/>
        <w:rPr>
          <w:rFonts w:ascii="Arial Narrow" w:hAnsi="Arial Narrow"/>
          <w:sz w:val="18"/>
          <w:szCs w:val="18"/>
        </w:rPr>
      </w:pPr>
    </w:p>
    <w:p w:rsidR="001B3767" w:rsidRPr="00957681" w:rsidRDefault="001B3767" w:rsidP="001B3767">
      <w:pPr>
        <w:pStyle w:val="texto"/>
        <w:spacing w:before="120" w:after="0"/>
        <w:ind w:left="-357" w:firstLine="0"/>
        <w:jc w:val="left"/>
        <w:rPr>
          <w:rFonts w:ascii="Arial Narrow" w:hAnsi="Arial Narrow"/>
          <w:sz w:val="20"/>
        </w:rPr>
      </w:pPr>
    </w:p>
    <w:p w:rsidR="001B3767" w:rsidRPr="00957681" w:rsidRDefault="001B3767" w:rsidP="001B3767">
      <w:pPr>
        <w:pStyle w:val="texto"/>
        <w:spacing w:before="120" w:after="0"/>
        <w:ind w:left="-357" w:firstLine="0"/>
        <w:jc w:val="left"/>
        <w:rPr>
          <w:rFonts w:ascii="Arial Narrow" w:hAnsi="Arial Narrow"/>
          <w:sz w:val="20"/>
        </w:rPr>
      </w:pPr>
    </w:p>
    <w:p w:rsidR="001B3767" w:rsidRPr="00957681" w:rsidRDefault="001B3767" w:rsidP="001B3767">
      <w:pPr>
        <w:pStyle w:val="texto"/>
        <w:spacing w:before="120" w:after="0"/>
        <w:ind w:left="-357" w:firstLine="0"/>
        <w:jc w:val="left"/>
        <w:rPr>
          <w:rFonts w:ascii="Arial Narrow" w:hAnsi="Arial Narrow"/>
          <w:sz w:val="20"/>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Default="001B3767" w:rsidP="001B3767">
      <w:pPr>
        <w:pStyle w:val="texto"/>
        <w:spacing w:before="120" w:after="0"/>
        <w:ind w:left="-357" w:firstLine="0"/>
        <w:jc w:val="left"/>
        <w:rPr>
          <w:rFonts w:ascii="Arial Narrow" w:hAnsi="Arial Narrow"/>
          <w:sz w:val="20"/>
          <w:highlight w:val="yellow"/>
        </w:rPr>
      </w:pPr>
    </w:p>
    <w:p w:rsidR="001B376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p>
    <w:p w:rsidR="001B3767" w:rsidRPr="001639F7" w:rsidRDefault="001B3767" w:rsidP="001B3767">
      <w:pPr>
        <w:pStyle w:val="texto"/>
        <w:spacing w:before="120" w:after="0"/>
        <w:ind w:left="-357" w:firstLine="0"/>
        <w:jc w:val="left"/>
        <w:rPr>
          <w:rFonts w:ascii="Arial Narrow" w:hAnsi="Arial Narrow"/>
          <w:sz w:val="20"/>
          <w:highlight w:val="yellow"/>
        </w:rPr>
      </w:pPr>
      <w:r w:rsidRPr="001639F7">
        <w:rPr>
          <w:rFonts w:ascii="Arial Narrow" w:hAnsi="Arial Narrow"/>
          <w:sz w:val="20"/>
          <w:highlight w:val="yellow"/>
        </w:rPr>
        <w:lastRenderedPageBreak/>
        <w:t xml:space="preserve"> </w:t>
      </w:r>
    </w:p>
    <w:tbl>
      <w:tblPr>
        <w:tblW w:w="9560" w:type="dxa"/>
        <w:jc w:val="center"/>
        <w:tblLayout w:type="fixed"/>
        <w:tblCellMar>
          <w:left w:w="70" w:type="dxa"/>
          <w:right w:w="70" w:type="dxa"/>
        </w:tblCellMar>
        <w:tblLook w:val="0000" w:firstRow="0" w:lastRow="0" w:firstColumn="0" w:lastColumn="0" w:noHBand="0" w:noVBand="0"/>
      </w:tblPr>
      <w:tblGrid>
        <w:gridCol w:w="5327"/>
        <w:gridCol w:w="2171"/>
        <w:gridCol w:w="2062"/>
      </w:tblGrid>
      <w:tr w:rsidR="001B3767" w:rsidRPr="006B262B" w:rsidTr="00035F07">
        <w:trPr>
          <w:trHeight w:hRule="exact" w:val="340"/>
          <w:jc w:val="center"/>
        </w:trPr>
        <w:tc>
          <w:tcPr>
            <w:tcW w:w="5327"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rPr>
                <w:snapToGrid w:val="0"/>
              </w:rPr>
            </w:pPr>
            <w:r w:rsidRPr="006B262B">
              <w:rPr>
                <w:snapToGrid w:val="0"/>
              </w:rPr>
              <w:br w:type="page"/>
            </w:r>
            <w:r w:rsidRPr="006B262B">
              <w:rPr>
                <w:snapToGrid w:val="0"/>
              </w:rPr>
              <w:br w:type="page"/>
              <w:t>PATRIMONIO NETO Y PASIVO</w:t>
            </w:r>
          </w:p>
        </w:tc>
        <w:tc>
          <w:tcPr>
            <w:tcW w:w="2171"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jc w:val="right"/>
              <w:rPr>
                <w:snapToGrid w:val="0"/>
              </w:rPr>
            </w:pPr>
            <w:r w:rsidRPr="006B262B">
              <w:rPr>
                <w:snapToGrid w:val="0"/>
              </w:rPr>
              <w:t>Ejercicio 201</w:t>
            </w:r>
            <w:r>
              <w:rPr>
                <w:snapToGrid w:val="0"/>
              </w:rPr>
              <w:t>4</w:t>
            </w:r>
          </w:p>
        </w:tc>
        <w:tc>
          <w:tcPr>
            <w:tcW w:w="2062"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jc w:val="right"/>
              <w:rPr>
                <w:snapToGrid w:val="0"/>
              </w:rPr>
            </w:pPr>
            <w:r w:rsidRPr="006B262B">
              <w:rPr>
                <w:snapToGrid w:val="0"/>
              </w:rPr>
              <w:t>Ejercicio 2013</w:t>
            </w:r>
          </w:p>
        </w:tc>
      </w:tr>
      <w:tr w:rsidR="001B3767" w:rsidRPr="006B262B" w:rsidTr="000E2288">
        <w:trPr>
          <w:trHeight w:hRule="exact" w:val="340"/>
          <w:jc w:val="center"/>
        </w:trPr>
        <w:tc>
          <w:tcPr>
            <w:tcW w:w="5327" w:type="dxa"/>
            <w:tcBorders>
              <w:top w:val="single" w:sz="4" w:space="0" w:color="auto"/>
              <w:bottom w:val="single" w:sz="2" w:space="0" w:color="auto"/>
            </w:tcBorders>
            <w:vAlign w:val="center"/>
          </w:tcPr>
          <w:p w:rsidR="001B3767" w:rsidRPr="006B262B" w:rsidRDefault="001B3767" w:rsidP="000E2288">
            <w:pPr>
              <w:spacing w:after="0"/>
              <w:ind w:left="71" w:firstLine="0"/>
              <w:rPr>
                <w:rFonts w:ascii="Arial Narrow" w:hAnsi="Arial Narrow" w:cs="Arial"/>
                <w:b/>
                <w:snapToGrid w:val="0"/>
                <w:color w:val="000000"/>
              </w:rPr>
            </w:pPr>
            <w:r w:rsidRPr="006B262B">
              <w:rPr>
                <w:rFonts w:ascii="Arial Narrow" w:hAnsi="Arial Narrow" w:cs="Arial"/>
                <w:b/>
                <w:snapToGrid w:val="0"/>
                <w:color w:val="000000"/>
              </w:rPr>
              <w:t>A) Fondos Propios</w:t>
            </w:r>
          </w:p>
        </w:tc>
        <w:tc>
          <w:tcPr>
            <w:tcW w:w="2171" w:type="dxa"/>
            <w:tcBorders>
              <w:top w:val="single" w:sz="4"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Pr>
                <w:rFonts w:ascii="Arial Narrow" w:hAnsi="Arial Narrow" w:cs="Arial"/>
                <w:b/>
                <w:snapToGrid w:val="0"/>
                <w:color w:val="000000"/>
              </w:rPr>
              <w:t>-97.860.167</w:t>
            </w:r>
          </w:p>
        </w:tc>
        <w:tc>
          <w:tcPr>
            <w:tcW w:w="2062" w:type="dxa"/>
            <w:tcBorders>
              <w:top w:val="single" w:sz="4"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sidRPr="006B262B">
              <w:rPr>
                <w:rFonts w:ascii="Arial Narrow" w:hAnsi="Arial Narrow" w:cs="Arial"/>
                <w:b/>
                <w:snapToGrid w:val="0"/>
                <w:color w:val="000000"/>
              </w:rPr>
              <w:t>-10.912.637</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I. Patrimonio </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246.543.170</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631.965.381</w:t>
            </w:r>
          </w:p>
        </w:tc>
      </w:tr>
      <w:tr w:rsidR="001B3767" w:rsidRPr="006B262B" w:rsidTr="000E2288">
        <w:trPr>
          <w:trHeight w:hRule="exact" w:val="340"/>
          <w:jc w:val="center"/>
        </w:trPr>
        <w:tc>
          <w:tcPr>
            <w:tcW w:w="5327" w:type="dxa"/>
            <w:tcBorders>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1. Patrimonio </w:t>
            </w:r>
          </w:p>
        </w:tc>
        <w:tc>
          <w:tcPr>
            <w:tcW w:w="2171"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246.543.170</w:t>
            </w:r>
          </w:p>
        </w:tc>
        <w:tc>
          <w:tcPr>
            <w:tcW w:w="2062"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631.965.381</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III. Resultados del ejercicio anterior</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-256.095.176</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-385.422.211</w:t>
            </w:r>
          </w:p>
        </w:tc>
      </w:tr>
      <w:tr w:rsidR="001B3767" w:rsidRPr="006B262B" w:rsidTr="000E2288">
        <w:trPr>
          <w:trHeight w:hRule="exact" w:val="340"/>
          <w:jc w:val="center"/>
        </w:trPr>
        <w:tc>
          <w:tcPr>
            <w:tcW w:w="5327" w:type="dxa"/>
            <w:tcBorders>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1. Resultados del ejercicio anterior</w:t>
            </w:r>
          </w:p>
        </w:tc>
        <w:tc>
          <w:tcPr>
            <w:tcW w:w="2171"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-256.095.176</w:t>
            </w:r>
          </w:p>
        </w:tc>
        <w:tc>
          <w:tcPr>
            <w:tcW w:w="2062"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-385.422.211</w:t>
            </w:r>
          </w:p>
        </w:tc>
      </w:tr>
      <w:tr w:rsidR="001B3767" w:rsidRPr="006B262B" w:rsidTr="000E2288">
        <w:trPr>
          <w:trHeight w:hRule="exact" w:val="340"/>
          <w:jc w:val="center"/>
        </w:trPr>
        <w:tc>
          <w:tcPr>
            <w:tcW w:w="5327" w:type="dxa"/>
            <w:tcBorders>
              <w:top w:val="single" w:sz="2" w:space="0" w:color="auto"/>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IV. Resultados del ejercicio </w:t>
            </w:r>
          </w:p>
        </w:tc>
        <w:tc>
          <w:tcPr>
            <w:tcW w:w="2171"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-88.308.161</w:t>
            </w:r>
          </w:p>
        </w:tc>
        <w:tc>
          <w:tcPr>
            <w:tcW w:w="2062"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-257.455.807</w:t>
            </w:r>
          </w:p>
        </w:tc>
      </w:tr>
      <w:tr w:rsidR="001B3767" w:rsidRPr="006B262B" w:rsidTr="000E2288">
        <w:trPr>
          <w:trHeight w:hRule="exact" w:val="340"/>
          <w:jc w:val="center"/>
        </w:trPr>
        <w:tc>
          <w:tcPr>
            <w:tcW w:w="5327" w:type="dxa"/>
            <w:tcBorders>
              <w:top w:val="single" w:sz="2" w:space="0" w:color="auto"/>
              <w:bottom w:val="single" w:sz="2" w:space="0" w:color="auto"/>
            </w:tcBorders>
            <w:vAlign w:val="center"/>
          </w:tcPr>
          <w:p w:rsidR="001B3767" w:rsidRPr="006B262B" w:rsidRDefault="001B3767" w:rsidP="000E2288">
            <w:pPr>
              <w:spacing w:after="0"/>
              <w:ind w:left="71" w:firstLine="0"/>
              <w:rPr>
                <w:rFonts w:ascii="Arial Narrow" w:hAnsi="Arial Narrow" w:cs="Arial"/>
                <w:b/>
                <w:snapToGrid w:val="0"/>
                <w:color w:val="000000"/>
              </w:rPr>
            </w:pPr>
            <w:r w:rsidRPr="006B262B">
              <w:rPr>
                <w:rFonts w:ascii="Arial Narrow" w:hAnsi="Arial Narrow" w:cs="Arial"/>
                <w:b/>
                <w:snapToGrid w:val="0"/>
                <w:color w:val="000000"/>
              </w:rPr>
              <w:t>C) Acreedores a largo plazo</w:t>
            </w:r>
          </w:p>
        </w:tc>
        <w:tc>
          <w:tcPr>
            <w:tcW w:w="2171"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Pr>
                <w:rFonts w:ascii="Arial Narrow" w:hAnsi="Arial Narrow" w:cs="Arial"/>
                <w:b/>
                <w:snapToGrid w:val="0"/>
                <w:color w:val="000000"/>
              </w:rPr>
              <w:t>2.447.634.157</w:t>
            </w:r>
          </w:p>
        </w:tc>
        <w:tc>
          <w:tcPr>
            <w:tcW w:w="2062"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sidRPr="006B262B">
              <w:rPr>
                <w:rFonts w:ascii="Arial Narrow" w:hAnsi="Arial Narrow" w:cs="Arial"/>
                <w:b/>
                <w:snapToGrid w:val="0"/>
                <w:color w:val="000000"/>
              </w:rPr>
              <w:t>2.290.458.016</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I. Emisiones de obligaciones y otros valores negociables</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1.759.500.149</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1.660.499.050</w:t>
            </w:r>
          </w:p>
        </w:tc>
      </w:tr>
      <w:tr w:rsidR="001B3767" w:rsidRPr="006B262B" w:rsidTr="000E2288">
        <w:trPr>
          <w:trHeight w:hRule="exact" w:val="340"/>
          <w:jc w:val="center"/>
        </w:trPr>
        <w:tc>
          <w:tcPr>
            <w:tcW w:w="5327" w:type="dxa"/>
            <w:tcBorders>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1. Obligaciones y bonos </w:t>
            </w:r>
          </w:p>
        </w:tc>
        <w:tc>
          <w:tcPr>
            <w:tcW w:w="2171"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1.759.500.149</w:t>
            </w:r>
          </w:p>
        </w:tc>
        <w:tc>
          <w:tcPr>
            <w:tcW w:w="2062"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1.660.499.050</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II. Otras deudas a largo plazo </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688.134.008</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629.958.967</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2. Otras deudas </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687.664.600</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629.469.747</w:t>
            </w:r>
          </w:p>
        </w:tc>
      </w:tr>
      <w:tr w:rsidR="001B3767" w:rsidRPr="006B262B" w:rsidTr="000E2288">
        <w:trPr>
          <w:trHeight w:hRule="exact" w:val="340"/>
          <w:jc w:val="center"/>
        </w:trPr>
        <w:tc>
          <w:tcPr>
            <w:tcW w:w="5327" w:type="dxa"/>
            <w:tcBorders>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4. Fianzas y depósitos recibidos a largo plazo</w:t>
            </w:r>
          </w:p>
        </w:tc>
        <w:tc>
          <w:tcPr>
            <w:tcW w:w="2171"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469.408</w:t>
            </w:r>
          </w:p>
        </w:tc>
        <w:tc>
          <w:tcPr>
            <w:tcW w:w="2062"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489.220</w:t>
            </w:r>
          </w:p>
        </w:tc>
      </w:tr>
      <w:tr w:rsidR="001B3767" w:rsidRPr="006B262B" w:rsidTr="000E2288">
        <w:trPr>
          <w:trHeight w:hRule="exact" w:val="340"/>
          <w:jc w:val="center"/>
        </w:trPr>
        <w:tc>
          <w:tcPr>
            <w:tcW w:w="5327" w:type="dxa"/>
            <w:tcBorders>
              <w:top w:val="single" w:sz="2" w:space="0" w:color="auto"/>
              <w:bottom w:val="single" w:sz="2" w:space="0" w:color="auto"/>
            </w:tcBorders>
            <w:vAlign w:val="center"/>
          </w:tcPr>
          <w:p w:rsidR="001B3767" w:rsidRPr="006B262B" w:rsidRDefault="001B3767" w:rsidP="000E2288">
            <w:pPr>
              <w:spacing w:after="0"/>
              <w:ind w:left="71" w:firstLine="0"/>
              <w:rPr>
                <w:rFonts w:ascii="Arial Narrow" w:hAnsi="Arial Narrow" w:cs="Arial"/>
                <w:b/>
                <w:snapToGrid w:val="0"/>
                <w:color w:val="000000"/>
              </w:rPr>
            </w:pPr>
            <w:r w:rsidRPr="006B262B">
              <w:rPr>
                <w:rFonts w:ascii="Arial Narrow" w:hAnsi="Arial Narrow" w:cs="Arial"/>
                <w:b/>
                <w:snapToGrid w:val="0"/>
                <w:color w:val="000000"/>
              </w:rPr>
              <w:t>D) Acreedores a corto plazo</w:t>
            </w:r>
          </w:p>
        </w:tc>
        <w:tc>
          <w:tcPr>
            <w:tcW w:w="2171"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Pr>
                <w:rFonts w:ascii="Arial Narrow" w:hAnsi="Arial Narrow" w:cs="Arial"/>
                <w:b/>
                <w:snapToGrid w:val="0"/>
                <w:color w:val="000000"/>
              </w:rPr>
              <w:t>860.465.997</w:t>
            </w:r>
          </w:p>
        </w:tc>
        <w:tc>
          <w:tcPr>
            <w:tcW w:w="2062" w:type="dxa"/>
            <w:tcBorders>
              <w:top w:val="single" w:sz="2" w:space="0" w:color="auto"/>
              <w:bottom w:val="single" w:sz="2" w:space="0" w:color="auto"/>
            </w:tcBorders>
            <w:vAlign w:val="center"/>
          </w:tcPr>
          <w:p w:rsidR="001B3767" w:rsidRPr="006B262B" w:rsidRDefault="001B3767" w:rsidP="000E2288">
            <w:pPr>
              <w:spacing w:after="0"/>
              <w:ind w:left="71" w:firstLine="0"/>
              <w:jc w:val="right"/>
              <w:rPr>
                <w:rFonts w:ascii="Arial Narrow" w:hAnsi="Arial Narrow" w:cs="Arial"/>
                <w:b/>
                <w:snapToGrid w:val="0"/>
                <w:color w:val="000000"/>
              </w:rPr>
            </w:pPr>
            <w:r w:rsidRPr="006B262B">
              <w:rPr>
                <w:rFonts w:ascii="Arial Narrow" w:hAnsi="Arial Narrow" w:cs="Arial"/>
                <w:b/>
                <w:snapToGrid w:val="0"/>
                <w:color w:val="000000"/>
              </w:rPr>
              <w:t>777.587.598</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I. Emisiones de obligaciones y otros valores negociables</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312.449.250</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263.027.797</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1. Obligaciones y bonos a corto plazo </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304.295.838</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243.039.935</w:t>
            </w:r>
          </w:p>
        </w:tc>
      </w:tr>
      <w:tr w:rsidR="001B3767" w:rsidRPr="006B262B" w:rsidTr="000E2288">
        <w:trPr>
          <w:trHeight w:hRule="exact" w:val="340"/>
          <w:jc w:val="center"/>
        </w:trPr>
        <w:tc>
          <w:tcPr>
            <w:tcW w:w="5327" w:type="dxa"/>
            <w:tcBorders>
              <w:bottom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2. Deudas con entidades de crédito a corto plazo</w:t>
            </w:r>
          </w:p>
        </w:tc>
        <w:tc>
          <w:tcPr>
            <w:tcW w:w="2171"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8.153.412</w:t>
            </w:r>
          </w:p>
        </w:tc>
        <w:tc>
          <w:tcPr>
            <w:tcW w:w="2062" w:type="dxa"/>
            <w:tcBorders>
              <w:bottom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19.987.861</w:t>
            </w:r>
          </w:p>
        </w:tc>
      </w:tr>
      <w:tr w:rsidR="001B3767" w:rsidRPr="006B262B" w:rsidTr="000E2288">
        <w:trPr>
          <w:trHeight w:hRule="exact" w:val="340"/>
          <w:jc w:val="center"/>
        </w:trPr>
        <w:tc>
          <w:tcPr>
            <w:tcW w:w="5327" w:type="dxa"/>
            <w:tcBorders>
              <w:top w:val="single" w:sz="2"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III. Acreedores </w:t>
            </w:r>
          </w:p>
        </w:tc>
        <w:tc>
          <w:tcPr>
            <w:tcW w:w="2171"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548.016.747</w:t>
            </w:r>
          </w:p>
        </w:tc>
        <w:tc>
          <w:tcPr>
            <w:tcW w:w="2062" w:type="dxa"/>
            <w:tcBorders>
              <w:top w:val="single" w:sz="2"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514.559.802</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1. Acreedores presupuestarios </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490.572.877</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469.245.734</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3. Acreedores por admón. de recursos por cuenta de otros EEPP </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8.529.806</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6.026.218</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4. Administraciones públicas </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2.862.132</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2.768.143</w:t>
            </w:r>
          </w:p>
        </w:tc>
      </w:tr>
      <w:tr w:rsidR="001B3767" w:rsidRPr="006B262B" w:rsidTr="000E2288">
        <w:trPr>
          <w:trHeight w:hRule="exact" w:val="340"/>
          <w:jc w:val="center"/>
        </w:trPr>
        <w:tc>
          <w:tcPr>
            <w:tcW w:w="5327" w:type="dxa"/>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5. Otros acreedores</w:t>
            </w:r>
          </w:p>
        </w:tc>
        <w:tc>
          <w:tcPr>
            <w:tcW w:w="2171" w:type="dxa"/>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42.849.881</w:t>
            </w:r>
          </w:p>
        </w:tc>
        <w:tc>
          <w:tcPr>
            <w:tcW w:w="2062" w:type="dxa"/>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33.489.853</w:t>
            </w:r>
          </w:p>
        </w:tc>
      </w:tr>
      <w:tr w:rsidR="001B3767" w:rsidRPr="006B262B" w:rsidTr="000E2288">
        <w:trPr>
          <w:trHeight w:hRule="exact" w:val="340"/>
          <w:jc w:val="center"/>
        </w:trPr>
        <w:tc>
          <w:tcPr>
            <w:tcW w:w="5327" w:type="dxa"/>
            <w:tcBorders>
              <w:bottom w:val="single" w:sz="4" w:space="0" w:color="auto"/>
            </w:tcBorders>
            <w:vAlign w:val="center"/>
          </w:tcPr>
          <w:p w:rsidR="001B3767" w:rsidRPr="006B262B" w:rsidRDefault="001B3767" w:rsidP="000E2288">
            <w:pPr>
              <w:spacing w:after="0"/>
              <w:ind w:left="71" w:firstLine="0"/>
              <w:rPr>
                <w:rFonts w:ascii="Arial Narrow" w:hAnsi="Arial Narrow" w:cs="Arial"/>
                <w:snapToGrid w:val="0"/>
                <w:color w:val="000000"/>
              </w:rPr>
            </w:pPr>
            <w:r w:rsidRPr="006B262B">
              <w:rPr>
                <w:rFonts w:ascii="Arial Narrow" w:hAnsi="Arial Narrow" w:cs="Arial"/>
                <w:snapToGrid w:val="0"/>
                <w:color w:val="000000"/>
              </w:rPr>
              <w:t xml:space="preserve">6. Fianzas y depósitos recibidos a corto plazo </w:t>
            </w:r>
          </w:p>
        </w:tc>
        <w:tc>
          <w:tcPr>
            <w:tcW w:w="2171" w:type="dxa"/>
            <w:tcBorders>
              <w:bottom w:val="single" w:sz="4"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Pr>
                <w:rFonts w:ascii="Arial Narrow" w:hAnsi="Arial Narrow" w:cs="Arial"/>
                <w:snapToGrid w:val="0"/>
                <w:color w:val="000000"/>
              </w:rPr>
              <w:t>3.202.050</w:t>
            </w:r>
          </w:p>
        </w:tc>
        <w:tc>
          <w:tcPr>
            <w:tcW w:w="2062" w:type="dxa"/>
            <w:tcBorders>
              <w:bottom w:val="single" w:sz="4" w:space="0" w:color="auto"/>
            </w:tcBorders>
            <w:vAlign w:val="center"/>
          </w:tcPr>
          <w:p w:rsidR="001B3767" w:rsidRPr="006B262B" w:rsidRDefault="001B3767" w:rsidP="000E2288">
            <w:pPr>
              <w:spacing w:after="0"/>
              <w:ind w:left="71" w:firstLine="0"/>
              <w:jc w:val="right"/>
              <w:rPr>
                <w:rFonts w:ascii="Arial Narrow" w:hAnsi="Arial Narrow" w:cs="Arial"/>
                <w:snapToGrid w:val="0"/>
                <w:color w:val="000000"/>
              </w:rPr>
            </w:pPr>
            <w:r w:rsidRPr="006B262B">
              <w:rPr>
                <w:rFonts w:ascii="Arial Narrow" w:hAnsi="Arial Narrow" w:cs="Arial"/>
                <w:snapToGrid w:val="0"/>
                <w:color w:val="000000"/>
              </w:rPr>
              <w:t>3.029.853</w:t>
            </w:r>
          </w:p>
        </w:tc>
      </w:tr>
      <w:tr w:rsidR="001B3767" w:rsidRPr="006B262B" w:rsidTr="00035F07">
        <w:trPr>
          <w:trHeight w:hRule="exact" w:val="340"/>
          <w:jc w:val="center"/>
        </w:trPr>
        <w:tc>
          <w:tcPr>
            <w:tcW w:w="5327"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rPr>
                <w:snapToGrid w:val="0"/>
              </w:rPr>
            </w:pPr>
            <w:r w:rsidRPr="006B262B">
              <w:rPr>
                <w:snapToGrid w:val="0"/>
              </w:rPr>
              <w:t xml:space="preserve">Total Patrimonio Neto y Pasivo (A+C+D) </w:t>
            </w:r>
          </w:p>
        </w:tc>
        <w:tc>
          <w:tcPr>
            <w:tcW w:w="2171"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jc w:val="right"/>
              <w:rPr>
                <w:snapToGrid w:val="0"/>
              </w:rPr>
            </w:pPr>
            <w:r>
              <w:rPr>
                <w:snapToGrid w:val="0"/>
              </w:rPr>
              <w:t>3.210.239.987</w:t>
            </w:r>
          </w:p>
        </w:tc>
        <w:tc>
          <w:tcPr>
            <w:tcW w:w="2062" w:type="dxa"/>
            <w:tcBorders>
              <w:top w:val="single" w:sz="4" w:space="0" w:color="auto"/>
              <w:bottom w:val="single" w:sz="4" w:space="0" w:color="auto"/>
            </w:tcBorders>
            <w:shd w:val="clear" w:color="auto" w:fill="8DB3E2" w:themeFill="text2" w:themeFillTint="66"/>
            <w:vAlign w:val="center"/>
          </w:tcPr>
          <w:p w:rsidR="001B3767" w:rsidRPr="006B262B" w:rsidRDefault="001B3767" w:rsidP="000E2288">
            <w:pPr>
              <w:pStyle w:val="cuadroCabe"/>
              <w:jc w:val="right"/>
              <w:rPr>
                <w:snapToGrid w:val="0"/>
              </w:rPr>
            </w:pPr>
            <w:r w:rsidRPr="006B262B">
              <w:rPr>
                <w:snapToGrid w:val="0"/>
              </w:rPr>
              <w:t>3.057.132.978</w:t>
            </w:r>
          </w:p>
        </w:tc>
      </w:tr>
    </w:tbl>
    <w:p w:rsidR="001B3767" w:rsidRPr="001639F7" w:rsidRDefault="001B3767" w:rsidP="001B3767">
      <w:pPr>
        <w:pStyle w:val="texto"/>
        <w:spacing w:before="120" w:after="0"/>
        <w:ind w:left="-357" w:firstLine="0"/>
        <w:rPr>
          <w:rFonts w:ascii="Arial Narrow" w:hAnsi="Arial Narrow"/>
          <w:sz w:val="18"/>
          <w:szCs w:val="18"/>
          <w:highlight w:val="yellow"/>
        </w:rPr>
      </w:pPr>
    </w:p>
    <w:p w:rsidR="001B3767" w:rsidRPr="002A26C6" w:rsidRDefault="001B3767" w:rsidP="001B3767">
      <w:pPr>
        <w:pStyle w:val="atitulo2"/>
      </w:pPr>
      <w:r w:rsidRPr="001639F7">
        <w:rPr>
          <w:highlight w:val="yellow"/>
        </w:rPr>
        <w:br w:type="page"/>
      </w:r>
      <w:bookmarkStart w:id="56" w:name="_Toc340229947"/>
      <w:bookmarkStart w:id="57" w:name="_Toc394485125"/>
      <w:bookmarkStart w:id="58" w:name="_Toc434399400"/>
      <w:r w:rsidRPr="002A26C6">
        <w:lastRenderedPageBreak/>
        <w:t>VI.5. Cuenta de Resultados 201</w:t>
      </w:r>
      <w:bookmarkEnd w:id="56"/>
      <w:bookmarkEnd w:id="57"/>
      <w:r w:rsidRPr="002A26C6">
        <w:t>4</w:t>
      </w:r>
      <w:bookmarkEnd w:id="58"/>
    </w:p>
    <w:p w:rsidR="008C408C" w:rsidRPr="00957681" w:rsidRDefault="008C408C" w:rsidP="00B6323D">
      <w:pPr>
        <w:pStyle w:val="texto"/>
        <w:spacing w:after="60"/>
        <w:ind w:right="11"/>
        <w:jc w:val="right"/>
        <w:rPr>
          <w:rFonts w:ascii="Arial Narrow" w:hAnsi="Arial Narrow"/>
          <w:sz w:val="18"/>
          <w:szCs w:val="18"/>
        </w:rPr>
      </w:pPr>
      <w:r w:rsidRPr="00957681">
        <w:rPr>
          <w:rFonts w:ascii="Arial Narrow" w:hAnsi="Arial Narrow"/>
          <w:sz w:val="18"/>
          <w:szCs w:val="18"/>
        </w:rPr>
        <w:t>(</w:t>
      </w:r>
      <w:proofErr w:type="gramStart"/>
      <w:r w:rsidRPr="00957681">
        <w:rPr>
          <w:rFonts w:ascii="Arial Narrow" w:hAnsi="Arial Narrow"/>
          <w:sz w:val="18"/>
          <w:szCs w:val="18"/>
        </w:rPr>
        <w:t>en</w:t>
      </w:r>
      <w:proofErr w:type="gramEnd"/>
      <w:r w:rsidRPr="00957681">
        <w:rPr>
          <w:rFonts w:ascii="Arial Narrow" w:hAnsi="Arial Narrow"/>
          <w:sz w:val="18"/>
          <w:szCs w:val="18"/>
        </w:rPr>
        <w:t xml:space="preserve"> euros)</w:t>
      </w:r>
    </w:p>
    <w:tbl>
      <w:tblPr>
        <w:tblW w:w="8849"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393"/>
        <w:gridCol w:w="1692"/>
        <w:gridCol w:w="1764"/>
      </w:tblGrid>
      <w:tr w:rsidR="001B3767" w:rsidRPr="002A26C6" w:rsidTr="008C408C">
        <w:trPr>
          <w:trHeight w:hRule="exact" w:val="397"/>
          <w:jc w:val="center"/>
        </w:trPr>
        <w:tc>
          <w:tcPr>
            <w:tcW w:w="5393"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rPr>
                <w:snapToGrid w:val="0"/>
              </w:rPr>
            </w:pPr>
            <w:r w:rsidRPr="002A26C6">
              <w:rPr>
                <w:snapToGrid w:val="0"/>
              </w:rPr>
              <w:t>Debe</w:t>
            </w:r>
          </w:p>
        </w:tc>
        <w:tc>
          <w:tcPr>
            <w:tcW w:w="1692"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jc w:val="right"/>
              <w:rPr>
                <w:snapToGrid w:val="0"/>
                <w:color w:val="000000"/>
                <w:lang w:val="es-ES"/>
              </w:rPr>
            </w:pPr>
            <w:r w:rsidRPr="002A26C6">
              <w:rPr>
                <w:snapToGrid w:val="0"/>
                <w:color w:val="000000"/>
                <w:lang w:val="es-ES"/>
              </w:rPr>
              <w:t>Ejercicio 2014</w:t>
            </w:r>
          </w:p>
        </w:tc>
        <w:tc>
          <w:tcPr>
            <w:tcW w:w="1764"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jc w:val="right"/>
              <w:rPr>
                <w:snapToGrid w:val="0"/>
                <w:color w:val="000000"/>
                <w:lang w:val="es-ES"/>
              </w:rPr>
            </w:pPr>
            <w:r w:rsidRPr="002A26C6">
              <w:rPr>
                <w:snapToGrid w:val="0"/>
                <w:color w:val="000000"/>
                <w:lang w:val="es-ES"/>
              </w:rPr>
              <w:t>Ejercicio 2013</w:t>
            </w:r>
          </w:p>
        </w:tc>
      </w:tr>
      <w:tr w:rsidR="001B3767" w:rsidRPr="002A26C6" w:rsidTr="000E2288">
        <w:trPr>
          <w:trHeight w:hRule="exact" w:val="340"/>
          <w:jc w:val="center"/>
        </w:trPr>
        <w:tc>
          <w:tcPr>
            <w:tcW w:w="5393" w:type="dxa"/>
            <w:tcBorders>
              <w:top w:val="single" w:sz="4" w:space="0" w:color="auto"/>
              <w:bottom w:val="single" w:sz="2" w:space="0" w:color="auto"/>
            </w:tcBorders>
            <w:vAlign w:val="center"/>
          </w:tcPr>
          <w:p w:rsidR="001B3767" w:rsidRPr="002A26C6" w:rsidRDefault="001B3767" w:rsidP="000E2288">
            <w:pPr>
              <w:pStyle w:val="Tabla"/>
              <w:spacing w:before="60" w:after="60"/>
              <w:rPr>
                <w:rFonts w:ascii="Arial Narrow" w:hAnsi="Arial Narrow" w:cs="Arial"/>
                <w:snapToGrid w:val="0"/>
                <w:sz w:val="20"/>
              </w:rPr>
            </w:pPr>
            <w:r w:rsidRPr="002A26C6">
              <w:rPr>
                <w:rFonts w:ascii="Arial Narrow" w:hAnsi="Arial Narrow" w:cs="Arial"/>
                <w:snapToGrid w:val="0"/>
                <w:sz w:val="20"/>
              </w:rPr>
              <w:t>A) Gastos</w:t>
            </w:r>
          </w:p>
        </w:tc>
        <w:tc>
          <w:tcPr>
            <w:tcW w:w="1692" w:type="dxa"/>
            <w:tcBorders>
              <w:top w:val="single" w:sz="4"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color w:val="000000"/>
                <w:lang w:val="es-ES"/>
              </w:rPr>
            </w:pPr>
          </w:p>
        </w:tc>
        <w:tc>
          <w:tcPr>
            <w:tcW w:w="1764" w:type="dxa"/>
            <w:tcBorders>
              <w:top w:val="single" w:sz="4"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color w:val="000000"/>
                <w:lang w:val="es-ES"/>
              </w:rPr>
            </w:pPr>
          </w:p>
        </w:tc>
      </w:tr>
      <w:tr w:rsidR="001B3767" w:rsidRPr="002A26C6" w:rsidTr="000E2288">
        <w:trPr>
          <w:trHeight w:hRule="exact" w:val="340"/>
          <w:jc w:val="center"/>
        </w:trPr>
        <w:tc>
          <w:tcPr>
            <w:tcW w:w="5393" w:type="dxa"/>
            <w:tcBorders>
              <w:top w:val="single" w:sz="2" w:space="0" w:color="auto"/>
              <w:bottom w:val="single" w:sz="2" w:space="0" w:color="auto"/>
            </w:tcBorders>
            <w:vAlign w:val="center"/>
          </w:tcPr>
          <w:p w:rsidR="001B3767" w:rsidRPr="002A26C6" w:rsidRDefault="001B3767" w:rsidP="000E2288">
            <w:pPr>
              <w:pStyle w:val="Tabla"/>
              <w:spacing w:before="60" w:after="60"/>
              <w:rPr>
                <w:rFonts w:ascii="Arial Narrow" w:hAnsi="Arial Narrow" w:cs="Arial"/>
                <w:b/>
                <w:snapToGrid w:val="0"/>
                <w:sz w:val="20"/>
              </w:rPr>
            </w:pPr>
            <w:r w:rsidRPr="002A26C6">
              <w:rPr>
                <w:rFonts w:ascii="Arial Narrow" w:hAnsi="Arial Narrow" w:cs="Arial"/>
                <w:b/>
                <w:snapToGrid w:val="0"/>
                <w:sz w:val="20"/>
              </w:rPr>
              <w:t xml:space="preserve">2. Aprovisionamientos </w:t>
            </w:r>
          </w:p>
        </w:tc>
        <w:tc>
          <w:tcPr>
            <w:tcW w:w="1692" w:type="dxa"/>
            <w:tcBorders>
              <w:top w:val="single" w:sz="2" w:space="0" w:color="auto"/>
              <w:bottom w:val="single" w:sz="2" w:space="0" w:color="auto"/>
            </w:tcBorders>
            <w:vAlign w:val="center"/>
          </w:tcPr>
          <w:p w:rsidR="001B3767" w:rsidRPr="002A26C6" w:rsidRDefault="001B3767" w:rsidP="000E2288">
            <w:pPr>
              <w:pStyle w:val="Tabla"/>
              <w:spacing w:before="60" w:after="60"/>
              <w:jc w:val="right"/>
              <w:rPr>
                <w:rFonts w:ascii="Arial Narrow" w:hAnsi="Arial Narrow" w:cs="Arial"/>
                <w:b/>
                <w:snapToGrid w:val="0"/>
                <w:sz w:val="20"/>
              </w:rPr>
            </w:pPr>
            <w:r>
              <w:rPr>
                <w:rFonts w:ascii="Arial Narrow" w:hAnsi="Arial Narrow" w:cs="Arial"/>
                <w:b/>
                <w:snapToGrid w:val="0"/>
                <w:sz w:val="20"/>
              </w:rPr>
              <w:t>229.744.071</w:t>
            </w:r>
          </w:p>
        </w:tc>
        <w:tc>
          <w:tcPr>
            <w:tcW w:w="1764" w:type="dxa"/>
            <w:tcBorders>
              <w:top w:val="single" w:sz="2" w:space="0" w:color="auto"/>
              <w:bottom w:val="single" w:sz="2" w:space="0" w:color="auto"/>
            </w:tcBorders>
            <w:vAlign w:val="center"/>
          </w:tcPr>
          <w:p w:rsidR="001B3767" w:rsidRPr="002A26C6" w:rsidRDefault="001B3767" w:rsidP="000E2288">
            <w:pPr>
              <w:pStyle w:val="Tabla"/>
              <w:spacing w:before="60" w:after="60"/>
              <w:jc w:val="right"/>
              <w:rPr>
                <w:rFonts w:ascii="Arial Narrow" w:hAnsi="Arial Narrow" w:cs="Arial"/>
                <w:b/>
                <w:snapToGrid w:val="0"/>
                <w:sz w:val="20"/>
              </w:rPr>
            </w:pPr>
            <w:r w:rsidRPr="002A26C6">
              <w:rPr>
                <w:rFonts w:ascii="Arial Narrow" w:hAnsi="Arial Narrow" w:cs="Arial"/>
                <w:b/>
                <w:snapToGrid w:val="0"/>
                <w:sz w:val="20"/>
              </w:rPr>
              <w:t>212.415.412</w:t>
            </w:r>
          </w:p>
        </w:tc>
      </w:tr>
      <w:tr w:rsidR="001B3767" w:rsidRPr="002A26C6" w:rsidTr="000E2288">
        <w:trPr>
          <w:trHeight w:hRule="exact" w:val="340"/>
          <w:jc w:val="center"/>
        </w:trPr>
        <w:tc>
          <w:tcPr>
            <w:tcW w:w="5393" w:type="dxa"/>
            <w:tcBorders>
              <w:top w:val="single" w:sz="2" w:space="0" w:color="auto"/>
              <w:bottom w:val="nil"/>
            </w:tcBorders>
            <w:vAlign w:val="center"/>
          </w:tcPr>
          <w:p w:rsidR="001B3767" w:rsidRPr="002A26C6" w:rsidRDefault="001B3767" w:rsidP="000E2288">
            <w:pPr>
              <w:pStyle w:val="Tabla"/>
              <w:spacing w:before="60" w:after="60"/>
              <w:rPr>
                <w:rFonts w:ascii="Arial Narrow" w:hAnsi="Arial Narrow" w:cs="Arial"/>
                <w:snapToGrid w:val="0"/>
                <w:sz w:val="20"/>
              </w:rPr>
            </w:pPr>
            <w:r w:rsidRPr="002A26C6">
              <w:rPr>
                <w:rFonts w:ascii="Arial Narrow" w:hAnsi="Arial Narrow" w:cs="Arial"/>
                <w:snapToGrid w:val="0"/>
                <w:sz w:val="20"/>
              </w:rPr>
              <w:t xml:space="preserve">b) Consumos del ejercicio </w:t>
            </w:r>
          </w:p>
        </w:tc>
        <w:tc>
          <w:tcPr>
            <w:tcW w:w="1692" w:type="dxa"/>
            <w:tcBorders>
              <w:top w:val="single" w:sz="2" w:space="0" w:color="auto"/>
              <w:bottom w:val="nil"/>
            </w:tcBorders>
            <w:vAlign w:val="center"/>
          </w:tcPr>
          <w:p w:rsidR="001B3767" w:rsidRPr="002A26C6" w:rsidRDefault="001B3767" w:rsidP="000E2288">
            <w:pPr>
              <w:pStyle w:val="Tabla"/>
              <w:spacing w:before="60" w:after="60"/>
              <w:jc w:val="right"/>
              <w:rPr>
                <w:rFonts w:ascii="Arial Narrow" w:hAnsi="Arial Narrow" w:cs="Arial"/>
                <w:snapToGrid w:val="0"/>
                <w:sz w:val="20"/>
              </w:rPr>
            </w:pPr>
            <w:r>
              <w:rPr>
                <w:rFonts w:ascii="Arial Narrow" w:hAnsi="Arial Narrow" w:cs="Arial"/>
                <w:snapToGrid w:val="0"/>
                <w:sz w:val="20"/>
              </w:rPr>
              <w:t>229.744.071</w:t>
            </w:r>
          </w:p>
        </w:tc>
        <w:tc>
          <w:tcPr>
            <w:tcW w:w="1764" w:type="dxa"/>
            <w:tcBorders>
              <w:top w:val="single" w:sz="2" w:space="0" w:color="auto"/>
              <w:bottom w:val="nil"/>
            </w:tcBorders>
            <w:vAlign w:val="center"/>
          </w:tcPr>
          <w:p w:rsidR="001B3767" w:rsidRPr="002A26C6" w:rsidRDefault="001B3767" w:rsidP="000E2288">
            <w:pPr>
              <w:pStyle w:val="Tabla"/>
              <w:spacing w:before="60" w:after="60"/>
              <w:jc w:val="right"/>
              <w:rPr>
                <w:rFonts w:ascii="Arial Narrow" w:hAnsi="Arial Narrow" w:cs="Arial"/>
                <w:snapToGrid w:val="0"/>
                <w:sz w:val="20"/>
              </w:rPr>
            </w:pPr>
            <w:r w:rsidRPr="002A26C6">
              <w:rPr>
                <w:rFonts w:ascii="Arial Narrow" w:hAnsi="Arial Narrow" w:cs="Arial"/>
                <w:snapToGrid w:val="0"/>
                <w:sz w:val="20"/>
              </w:rPr>
              <w:t>212.415.412</w:t>
            </w:r>
          </w:p>
        </w:tc>
      </w:tr>
      <w:tr w:rsidR="001B3767" w:rsidRPr="002A26C6" w:rsidTr="000E2288">
        <w:trPr>
          <w:trHeight w:hRule="exact" w:val="340"/>
          <w:jc w:val="center"/>
        </w:trPr>
        <w:tc>
          <w:tcPr>
            <w:tcW w:w="5393" w:type="dxa"/>
            <w:tcBorders>
              <w:top w:val="single" w:sz="2" w:space="0" w:color="auto"/>
              <w:bottom w:val="single" w:sz="2" w:space="0" w:color="auto"/>
            </w:tcBorders>
            <w:vAlign w:val="center"/>
          </w:tcPr>
          <w:p w:rsidR="001B3767" w:rsidRPr="002A26C6" w:rsidRDefault="001B3767" w:rsidP="000E2288">
            <w:pPr>
              <w:spacing w:before="60" w:after="60"/>
              <w:ind w:firstLine="0"/>
              <w:rPr>
                <w:rFonts w:ascii="Arial Narrow" w:hAnsi="Arial Narrow" w:cs="Arial"/>
                <w:b/>
                <w:snapToGrid w:val="0"/>
              </w:rPr>
            </w:pPr>
            <w:r w:rsidRPr="002A26C6">
              <w:rPr>
                <w:rFonts w:ascii="Arial Narrow" w:hAnsi="Arial Narrow" w:cs="Arial"/>
                <w:b/>
                <w:snapToGrid w:val="0"/>
              </w:rPr>
              <w:t>3. Otros gastos de gestión ordinaria</w:t>
            </w:r>
          </w:p>
        </w:tc>
        <w:tc>
          <w:tcPr>
            <w:tcW w:w="1692"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Pr>
                <w:rFonts w:ascii="Arial Narrow" w:hAnsi="Arial Narrow" w:cs="Arial"/>
                <w:b/>
                <w:snapToGrid w:val="0"/>
                <w:lang w:val="es-ES"/>
              </w:rPr>
              <w:t>1.498.671.579</w:t>
            </w:r>
          </w:p>
        </w:tc>
        <w:tc>
          <w:tcPr>
            <w:tcW w:w="1764"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sidRPr="002A26C6">
              <w:rPr>
                <w:rFonts w:ascii="Arial Narrow" w:hAnsi="Arial Narrow" w:cs="Arial"/>
                <w:b/>
                <w:snapToGrid w:val="0"/>
                <w:lang w:val="es-ES"/>
              </w:rPr>
              <w:t>1.600.277.162</w:t>
            </w:r>
          </w:p>
        </w:tc>
      </w:tr>
      <w:tr w:rsidR="001B3767" w:rsidRPr="002A26C6" w:rsidTr="000E2288">
        <w:trPr>
          <w:trHeight w:hRule="exact" w:val="340"/>
          <w:jc w:val="center"/>
        </w:trPr>
        <w:tc>
          <w:tcPr>
            <w:tcW w:w="5393" w:type="dxa"/>
            <w:tcBorders>
              <w:top w:val="single" w:sz="2"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a) Gastos de personal.</w:t>
            </w:r>
          </w:p>
        </w:tc>
        <w:tc>
          <w:tcPr>
            <w:tcW w:w="1692" w:type="dxa"/>
            <w:tcBorders>
              <w:top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1.032.977.096</w:t>
            </w:r>
          </w:p>
        </w:tc>
        <w:tc>
          <w:tcPr>
            <w:tcW w:w="1764" w:type="dxa"/>
            <w:tcBorders>
              <w:top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1.021.331.733</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 xml:space="preserve">a.1) Sueldos y salarios </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874.215.028</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871.698.212</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 xml:space="preserve">a.2) Cargas sociales </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158.762.068</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149.633.521</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b) Prestaciones sociales</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78.959.114</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75.288.925</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d) Variación de provisiones de tráfico</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32.636.822</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60.436.085</w:t>
            </w:r>
          </w:p>
        </w:tc>
      </w:tr>
      <w:tr w:rsidR="001B3767" w:rsidRPr="002A26C6" w:rsidTr="000E2288">
        <w:trPr>
          <w:trHeight w:hRule="exact" w:val="399"/>
          <w:jc w:val="center"/>
        </w:trPr>
        <w:tc>
          <w:tcPr>
            <w:tcW w:w="5393" w:type="dxa"/>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 xml:space="preserve">d.1) Variación de provisiones y pérdidas de créditos incobrables </w:t>
            </w:r>
          </w:p>
        </w:tc>
        <w:tc>
          <w:tcPr>
            <w:tcW w:w="1692" w:type="dxa"/>
            <w:vAlign w:val="center"/>
          </w:tcPr>
          <w:p w:rsidR="001B3767" w:rsidRPr="002A26C6" w:rsidRDefault="001B3767" w:rsidP="000E2288">
            <w:pPr>
              <w:spacing w:before="60" w:after="60"/>
              <w:ind w:firstLine="200"/>
              <w:jc w:val="right"/>
              <w:rPr>
                <w:rFonts w:ascii="Arial Narrow" w:hAnsi="Arial Narrow" w:cs="Arial"/>
                <w:snapToGrid w:val="0"/>
              </w:rPr>
            </w:pPr>
            <w:r>
              <w:rPr>
                <w:rFonts w:ascii="Arial Narrow" w:hAnsi="Arial Narrow" w:cs="Arial"/>
                <w:snapToGrid w:val="0"/>
              </w:rPr>
              <w:t>32.636.822</w:t>
            </w:r>
          </w:p>
        </w:tc>
        <w:tc>
          <w:tcPr>
            <w:tcW w:w="1764" w:type="dxa"/>
            <w:vAlign w:val="center"/>
          </w:tcPr>
          <w:p w:rsidR="001B3767" w:rsidRPr="002A26C6" w:rsidRDefault="001B3767" w:rsidP="000E2288">
            <w:pPr>
              <w:spacing w:before="60" w:after="60"/>
              <w:ind w:firstLine="200"/>
              <w:jc w:val="right"/>
              <w:rPr>
                <w:rFonts w:ascii="Arial Narrow" w:hAnsi="Arial Narrow" w:cs="Arial"/>
                <w:snapToGrid w:val="0"/>
              </w:rPr>
            </w:pPr>
            <w:r w:rsidRPr="002A26C6">
              <w:rPr>
                <w:rFonts w:ascii="Arial Narrow" w:hAnsi="Arial Narrow" w:cs="Arial"/>
                <w:snapToGrid w:val="0"/>
              </w:rPr>
              <w:t>60.436.085</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e) Otros gastos de gestión</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309.518.168</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310.404.298</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e.1) Servicios exteriores</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309.470.188</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310.390.640</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 xml:space="preserve">e.2) Tributos </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47.980</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13.658</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f) Gastos financieros y asimilables</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115.237.099</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107.154.057</w:t>
            </w:r>
          </w:p>
        </w:tc>
      </w:tr>
      <w:tr w:rsidR="001B3767" w:rsidRPr="002A26C6" w:rsidTr="000E2288">
        <w:trPr>
          <w:trHeight w:hRule="exact" w:val="340"/>
          <w:jc w:val="center"/>
        </w:trPr>
        <w:tc>
          <w:tcPr>
            <w:tcW w:w="5393" w:type="dxa"/>
            <w:tcBorders>
              <w:bottom w:val="nil"/>
            </w:tcBorders>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 xml:space="preserve">f.1) Por deudas </w:t>
            </w:r>
          </w:p>
        </w:tc>
        <w:tc>
          <w:tcPr>
            <w:tcW w:w="1692" w:type="dxa"/>
            <w:tcBorders>
              <w:bottom w:val="nil"/>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115.162.697</w:t>
            </w:r>
          </w:p>
        </w:tc>
        <w:tc>
          <w:tcPr>
            <w:tcW w:w="1764" w:type="dxa"/>
            <w:tcBorders>
              <w:bottom w:val="nil"/>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107.154.057</w:t>
            </w:r>
          </w:p>
        </w:tc>
      </w:tr>
      <w:tr w:rsidR="001B3767" w:rsidRPr="002A26C6" w:rsidTr="000E2288">
        <w:trPr>
          <w:trHeight w:hRule="exact" w:val="340"/>
          <w:jc w:val="center"/>
        </w:trPr>
        <w:tc>
          <w:tcPr>
            <w:tcW w:w="5393" w:type="dxa"/>
            <w:tcBorders>
              <w:top w:val="nil"/>
              <w:bottom w:val="single" w:sz="2" w:space="0" w:color="auto"/>
            </w:tcBorders>
            <w:vAlign w:val="center"/>
          </w:tcPr>
          <w:p w:rsidR="001B3767" w:rsidRPr="002A26C6" w:rsidRDefault="001B3767" w:rsidP="000E2288">
            <w:pPr>
              <w:spacing w:before="60" w:after="60"/>
              <w:ind w:firstLine="200"/>
              <w:rPr>
                <w:rFonts w:ascii="Arial Narrow" w:hAnsi="Arial Narrow" w:cs="Arial"/>
                <w:snapToGrid w:val="0"/>
              </w:rPr>
            </w:pPr>
            <w:r w:rsidRPr="002A26C6">
              <w:rPr>
                <w:rFonts w:ascii="Arial Narrow" w:hAnsi="Arial Narrow" w:cs="Arial"/>
                <w:snapToGrid w:val="0"/>
              </w:rPr>
              <w:t>f.</w:t>
            </w:r>
            <w:r>
              <w:rPr>
                <w:rFonts w:ascii="Arial Narrow" w:hAnsi="Arial Narrow" w:cs="Arial"/>
                <w:snapToGrid w:val="0"/>
              </w:rPr>
              <w:t>2</w:t>
            </w:r>
            <w:r w:rsidRPr="002A26C6">
              <w:rPr>
                <w:rFonts w:ascii="Arial Narrow" w:hAnsi="Arial Narrow" w:cs="Arial"/>
                <w:snapToGrid w:val="0"/>
              </w:rPr>
              <w:t xml:space="preserve">) Por </w:t>
            </w:r>
            <w:r>
              <w:rPr>
                <w:rFonts w:ascii="Arial Narrow" w:hAnsi="Arial Narrow" w:cs="Arial"/>
                <w:snapToGrid w:val="0"/>
              </w:rPr>
              <w:t>pérdidas de inversiones financieras (</w:t>
            </w:r>
            <w:proofErr w:type="spellStart"/>
            <w:r>
              <w:rPr>
                <w:rFonts w:ascii="Arial Narrow" w:hAnsi="Arial Narrow" w:cs="Arial"/>
                <w:snapToGrid w:val="0"/>
              </w:rPr>
              <w:t>CERs</w:t>
            </w:r>
            <w:proofErr w:type="spellEnd"/>
            <w:r>
              <w:rPr>
                <w:rFonts w:ascii="Arial Narrow" w:hAnsi="Arial Narrow" w:cs="Arial"/>
                <w:snapToGrid w:val="0"/>
              </w:rPr>
              <w:t>)</w:t>
            </w:r>
          </w:p>
        </w:tc>
        <w:tc>
          <w:tcPr>
            <w:tcW w:w="1692" w:type="dxa"/>
            <w:tcBorders>
              <w:top w:val="nil"/>
              <w:bottom w:val="single" w:sz="2" w:space="0" w:color="auto"/>
            </w:tcBorders>
            <w:vAlign w:val="center"/>
          </w:tcPr>
          <w:p w:rsidR="001B3767" w:rsidRPr="00EA4564" w:rsidRDefault="001B3767" w:rsidP="000E2288">
            <w:pPr>
              <w:spacing w:before="60" w:after="60" w:line="200" w:lineRule="atLeast"/>
              <w:ind w:firstLine="0"/>
              <w:jc w:val="right"/>
              <w:rPr>
                <w:rFonts w:ascii="Arial Narrow" w:hAnsi="Arial Narrow" w:cs="Arial"/>
                <w:snapToGrid w:val="0"/>
              </w:rPr>
            </w:pPr>
            <w:r>
              <w:rPr>
                <w:rFonts w:ascii="Arial Narrow" w:hAnsi="Arial Narrow" w:cs="Arial"/>
                <w:snapToGrid w:val="0"/>
              </w:rPr>
              <w:t>74.402</w:t>
            </w:r>
          </w:p>
        </w:tc>
        <w:tc>
          <w:tcPr>
            <w:tcW w:w="1764" w:type="dxa"/>
            <w:tcBorders>
              <w:top w:val="nil"/>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p>
        </w:tc>
      </w:tr>
      <w:tr w:rsidR="001B3767" w:rsidRPr="002A26C6" w:rsidTr="000E2288">
        <w:trPr>
          <w:trHeight w:hRule="exact" w:val="340"/>
          <w:jc w:val="center"/>
        </w:trPr>
        <w:tc>
          <w:tcPr>
            <w:tcW w:w="5393" w:type="dxa"/>
            <w:tcBorders>
              <w:top w:val="nil"/>
              <w:bottom w:val="single" w:sz="2"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 xml:space="preserve">g) Variación de las provisiones de inversiones financieras </w:t>
            </w:r>
          </w:p>
        </w:tc>
        <w:tc>
          <w:tcPr>
            <w:tcW w:w="1692" w:type="dxa"/>
            <w:tcBorders>
              <w:top w:val="nil"/>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-70.656.720</w:t>
            </w:r>
          </w:p>
        </w:tc>
        <w:tc>
          <w:tcPr>
            <w:tcW w:w="1764" w:type="dxa"/>
            <w:tcBorders>
              <w:top w:val="nil"/>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25.662.064</w:t>
            </w:r>
          </w:p>
        </w:tc>
      </w:tr>
      <w:tr w:rsidR="001B3767" w:rsidRPr="002A26C6" w:rsidTr="000E2288">
        <w:trPr>
          <w:trHeight w:hRule="exact" w:val="340"/>
          <w:jc w:val="center"/>
        </w:trPr>
        <w:tc>
          <w:tcPr>
            <w:tcW w:w="5393" w:type="dxa"/>
            <w:tcBorders>
              <w:top w:val="single" w:sz="2" w:space="0" w:color="auto"/>
              <w:bottom w:val="single" w:sz="2" w:space="0" w:color="auto"/>
            </w:tcBorders>
            <w:vAlign w:val="center"/>
          </w:tcPr>
          <w:p w:rsidR="001B3767" w:rsidRPr="002A26C6" w:rsidRDefault="001B3767" w:rsidP="000E2288">
            <w:pPr>
              <w:spacing w:before="60" w:after="60"/>
              <w:ind w:firstLine="0"/>
              <w:rPr>
                <w:rFonts w:ascii="Arial Narrow" w:hAnsi="Arial Narrow" w:cs="Arial"/>
                <w:b/>
                <w:snapToGrid w:val="0"/>
              </w:rPr>
            </w:pPr>
            <w:r w:rsidRPr="002A26C6">
              <w:rPr>
                <w:rFonts w:ascii="Arial Narrow" w:hAnsi="Arial Narrow" w:cs="Arial"/>
                <w:b/>
                <w:snapToGrid w:val="0"/>
              </w:rPr>
              <w:t xml:space="preserve">4. Transferencias y subvenciones </w:t>
            </w:r>
          </w:p>
        </w:tc>
        <w:tc>
          <w:tcPr>
            <w:tcW w:w="1692"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Pr>
                <w:rFonts w:ascii="Arial Narrow" w:hAnsi="Arial Narrow" w:cs="Arial"/>
                <w:b/>
                <w:snapToGrid w:val="0"/>
                <w:lang w:val="es-ES"/>
              </w:rPr>
              <w:t>1.510.607.103</w:t>
            </w:r>
          </w:p>
        </w:tc>
        <w:tc>
          <w:tcPr>
            <w:tcW w:w="1764"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sidRPr="002A26C6">
              <w:rPr>
                <w:rFonts w:ascii="Arial Narrow" w:hAnsi="Arial Narrow" w:cs="Arial"/>
                <w:b/>
                <w:snapToGrid w:val="0"/>
                <w:lang w:val="es-ES"/>
              </w:rPr>
              <w:t>1.530.762.771</w:t>
            </w:r>
          </w:p>
        </w:tc>
      </w:tr>
      <w:tr w:rsidR="001B3767" w:rsidRPr="002A26C6" w:rsidTr="000E2288">
        <w:trPr>
          <w:trHeight w:hRule="exact" w:val="340"/>
          <w:jc w:val="center"/>
        </w:trPr>
        <w:tc>
          <w:tcPr>
            <w:tcW w:w="5393" w:type="dxa"/>
            <w:tcBorders>
              <w:top w:val="single" w:sz="2" w:space="0" w:color="auto"/>
              <w:bottom w:val="nil"/>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 xml:space="preserve">a) Transferencias corrientes </w:t>
            </w:r>
          </w:p>
        </w:tc>
        <w:tc>
          <w:tcPr>
            <w:tcW w:w="1692" w:type="dxa"/>
            <w:tcBorders>
              <w:top w:val="single" w:sz="2" w:space="0" w:color="auto"/>
              <w:bottom w:val="nil"/>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1.386.823.137</w:t>
            </w:r>
          </w:p>
        </w:tc>
        <w:tc>
          <w:tcPr>
            <w:tcW w:w="1764" w:type="dxa"/>
            <w:tcBorders>
              <w:top w:val="single" w:sz="2" w:space="0" w:color="auto"/>
              <w:bottom w:val="nil"/>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1.386.665.797</w:t>
            </w:r>
          </w:p>
        </w:tc>
      </w:tr>
      <w:tr w:rsidR="001B3767" w:rsidRPr="002A26C6" w:rsidTr="000E2288">
        <w:trPr>
          <w:trHeight w:hRule="exact" w:val="340"/>
          <w:jc w:val="center"/>
        </w:trPr>
        <w:tc>
          <w:tcPr>
            <w:tcW w:w="5393" w:type="dxa"/>
            <w:tcBorders>
              <w:top w:val="nil"/>
              <w:bottom w:val="single" w:sz="2"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 xml:space="preserve">c) Transferencias de capital </w:t>
            </w:r>
          </w:p>
        </w:tc>
        <w:tc>
          <w:tcPr>
            <w:tcW w:w="1692" w:type="dxa"/>
            <w:tcBorders>
              <w:top w:val="nil"/>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123.783.966</w:t>
            </w:r>
          </w:p>
        </w:tc>
        <w:tc>
          <w:tcPr>
            <w:tcW w:w="1764" w:type="dxa"/>
            <w:tcBorders>
              <w:top w:val="nil"/>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144.096.973</w:t>
            </w:r>
          </w:p>
        </w:tc>
      </w:tr>
      <w:tr w:rsidR="001B3767" w:rsidRPr="002A26C6" w:rsidTr="000E2288">
        <w:trPr>
          <w:trHeight w:hRule="exact" w:val="340"/>
          <w:jc w:val="center"/>
        </w:trPr>
        <w:tc>
          <w:tcPr>
            <w:tcW w:w="5393" w:type="dxa"/>
            <w:tcBorders>
              <w:top w:val="single" w:sz="2" w:space="0" w:color="auto"/>
              <w:bottom w:val="single" w:sz="2" w:space="0" w:color="auto"/>
            </w:tcBorders>
            <w:vAlign w:val="center"/>
          </w:tcPr>
          <w:p w:rsidR="001B3767" w:rsidRPr="002A26C6" w:rsidRDefault="001B3767" w:rsidP="000E2288">
            <w:pPr>
              <w:spacing w:before="60" w:after="60"/>
              <w:ind w:firstLine="0"/>
              <w:rPr>
                <w:rFonts w:ascii="Arial Narrow" w:hAnsi="Arial Narrow" w:cs="Arial"/>
                <w:b/>
                <w:snapToGrid w:val="0"/>
              </w:rPr>
            </w:pPr>
            <w:r w:rsidRPr="002A26C6">
              <w:rPr>
                <w:rFonts w:ascii="Arial Narrow" w:hAnsi="Arial Narrow" w:cs="Arial"/>
                <w:b/>
                <w:snapToGrid w:val="0"/>
              </w:rPr>
              <w:t xml:space="preserve">5. Pérdidas y gastos extraordinarios </w:t>
            </w:r>
          </w:p>
        </w:tc>
        <w:tc>
          <w:tcPr>
            <w:tcW w:w="1692"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Pr>
                <w:rFonts w:ascii="Arial Narrow" w:hAnsi="Arial Narrow" w:cs="Arial"/>
                <w:b/>
                <w:snapToGrid w:val="0"/>
                <w:lang w:val="es-ES"/>
              </w:rPr>
              <w:t>72.785.293</w:t>
            </w:r>
          </w:p>
        </w:tc>
        <w:tc>
          <w:tcPr>
            <w:tcW w:w="1764" w:type="dxa"/>
            <w:tcBorders>
              <w:top w:val="single" w:sz="2" w:space="0" w:color="auto"/>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b/>
                <w:snapToGrid w:val="0"/>
                <w:lang w:val="es-ES"/>
              </w:rPr>
            </w:pPr>
            <w:r w:rsidRPr="002A26C6">
              <w:rPr>
                <w:rFonts w:ascii="Arial Narrow" w:hAnsi="Arial Narrow" w:cs="Arial"/>
                <w:b/>
                <w:snapToGrid w:val="0"/>
                <w:lang w:val="es-ES"/>
              </w:rPr>
              <w:t>78.182.143</w:t>
            </w:r>
          </w:p>
        </w:tc>
      </w:tr>
      <w:tr w:rsidR="001B3767" w:rsidRPr="002A26C6" w:rsidTr="000E2288">
        <w:trPr>
          <w:trHeight w:hRule="exact" w:val="340"/>
          <w:jc w:val="center"/>
        </w:trPr>
        <w:tc>
          <w:tcPr>
            <w:tcW w:w="5393" w:type="dxa"/>
            <w:tcBorders>
              <w:top w:val="single" w:sz="2"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a) Pérdidas procedentes del inmovilizado</w:t>
            </w:r>
          </w:p>
        </w:tc>
        <w:tc>
          <w:tcPr>
            <w:tcW w:w="1692" w:type="dxa"/>
            <w:tcBorders>
              <w:top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57.243</w:t>
            </w:r>
          </w:p>
        </w:tc>
        <w:tc>
          <w:tcPr>
            <w:tcW w:w="1764" w:type="dxa"/>
            <w:tcBorders>
              <w:top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0</w:t>
            </w:r>
          </w:p>
        </w:tc>
      </w:tr>
      <w:tr w:rsidR="001B3767" w:rsidRPr="002A26C6" w:rsidTr="000E2288">
        <w:trPr>
          <w:trHeight w:hRule="exact" w:val="340"/>
          <w:jc w:val="center"/>
        </w:trPr>
        <w:tc>
          <w:tcPr>
            <w:tcW w:w="5393" w:type="dxa"/>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 xml:space="preserve">c) Gastos extraordinarios </w:t>
            </w:r>
          </w:p>
        </w:tc>
        <w:tc>
          <w:tcPr>
            <w:tcW w:w="1692"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48.884.129</w:t>
            </w:r>
          </w:p>
        </w:tc>
        <w:tc>
          <w:tcPr>
            <w:tcW w:w="1764" w:type="dxa"/>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64.859.171</w:t>
            </w:r>
          </w:p>
        </w:tc>
      </w:tr>
      <w:tr w:rsidR="001B3767" w:rsidRPr="002A26C6" w:rsidTr="000E2288">
        <w:trPr>
          <w:trHeight w:hRule="exact" w:val="340"/>
          <w:jc w:val="center"/>
        </w:trPr>
        <w:tc>
          <w:tcPr>
            <w:tcW w:w="5393" w:type="dxa"/>
            <w:tcBorders>
              <w:bottom w:val="single" w:sz="2"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d) Gastos y pérdidas de otros ejercicios</w:t>
            </w:r>
          </w:p>
        </w:tc>
        <w:tc>
          <w:tcPr>
            <w:tcW w:w="1692" w:type="dxa"/>
            <w:tcBorders>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Pr>
                <w:rFonts w:ascii="Arial Narrow" w:hAnsi="Arial Narrow" w:cs="Arial"/>
                <w:snapToGrid w:val="0"/>
                <w:lang w:val="es-ES"/>
              </w:rPr>
              <w:t>23.843.921</w:t>
            </w:r>
          </w:p>
        </w:tc>
        <w:tc>
          <w:tcPr>
            <w:tcW w:w="1764" w:type="dxa"/>
            <w:tcBorders>
              <w:bottom w:val="single" w:sz="2"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r w:rsidRPr="002A26C6">
              <w:rPr>
                <w:rFonts w:ascii="Arial Narrow" w:hAnsi="Arial Narrow" w:cs="Arial"/>
                <w:snapToGrid w:val="0"/>
                <w:lang w:val="es-ES"/>
              </w:rPr>
              <w:t>13.322.972</w:t>
            </w:r>
          </w:p>
        </w:tc>
      </w:tr>
      <w:tr w:rsidR="001B3767" w:rsidRPr="002A26C6" w:rsidTr="000E2288">
        <w:trPr>
          <w:trHeight w:hRule="exact" w:val="340"/>
          <w:jc w:val="center"/>
        </w:trPr>
        <w:tc>
          <w:tcPr>
            <w:tcW w:w="5393" w:type="dxa"/>
            <w:tcBorders>
              <w:top w:val="single" w:sz="2" w:space="0" w:color="auto"/>
              <w:bottom w:val="single" w:sz="4" w:space="0" w:color="auto"/>
            </w:tcBorders>
            <w:vAlign w:val="center"/>
          </w:tcPr>
          <w:p w:rsidR="001B3767" w:rsidRPr="002A26C6" w:rsidRDefault="001B3767" w:rsidP="000E2288">
            <w:pPr>
              <w:spacing w:before="60" w:after="60"/>
              <w:ind w:firstLine="0"/>
              <w:rPr>
                <w:rFonts w:ascii="Arial Narrow" w:hAnsi="Arial Narrow" w:cs="Arial"/>
                <w:snapToGrid w:val="0"/>
              </w:rPr>
            </w:pPr>
            <w:r w:rsidRPr="002A26C6">
              <w:rPr>
                <w:rFonts w:ascii="Arial Narrow" w:hAnsi="Arial Narrow" w:cs="Arial"/>
                <w:snapToGrid w:val="0"/>
              </w:rPr>
              <w:t>Saldo Acreedor (Ahorro)</w:t>
            </w:r>
          </w:p>
        </w:tc>
        <w:tc>
          <w:tcPr>
            <w:tcW w:w="1692" w:type="dxa"/>
            <w:tcBorders>
              <w:top w:val="single" w:sz="2" w:space="0" w:color="auto"/>
              <w:bottom w:val="single" w:sz="4"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p>
        </w:tc>
        <w:tc>
          <w:tcPr>
            <w:tcW w:w="1764" w:type="dxa"/>
            <w:tcBorders>
              <w:top w:val="single" w:sz="2" w:space="0" w:color="auto"/>
              <w:bottom w:val="single" w:sz="4" w:space="0" w:color="auto"/>
            </w:tcBorders>
            <w:vAlign w:val="center"/>
          </w:tcPr>
          <w:p w:rsidR="001B3767" w:rsidRPr="002A26C6" w:rsidRDefault="001B3767" w:rsidP="000E2288">
            <w:pPr>
              <w:spacing w:before="60" w:after="60" w:line="200" w:lineRule="atLeast"/>
              <w:ind w:firstLine="0"/>
              <w:jc w:val="right"/>
              <w:rPr>
                <w:rFonts w:ascii="Arial Narrow" w:hAnsi="Arial Narrow" w:cs="Arial"/>
                <w:snapToGrid w:val="0"/>
                <w:lang w:val="es-ES"/>
              </w:rPr>
            </w:pPr>
          </w:p>
        </w:tc>
      </w:tr>
      <w:tr w:rsidR="001B3767" w:rsidRPr="002A26C6" w:rsidTr="008C408C">
        <w:trPr>
          <w:trHeight w:hRule="exact" w:val="340"/>
          <w:jc w:val="center"/>
        </w:trPr>
        <w:tc>
          <w:tcPr>
            <w:tcW w:w="5393"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rPr>
                <w:snapToGrid w:val="0"/>
              </w:rPr>
            </w:pPr>
            <w:r w:rsidRPr="002A26C6">
              <w:rPr>
                <w:snapToGrid w:val="0"/>
              </w:rPr>
              <w:t>Total Debe</w:t>
            </w:r>
          </w:p>
        </w:tc>
        <w:tc>
          <w:tcPr>
            <w:tcW w:w="1692"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jc w:val="right"/>
              <w:rPr>
                <w:snapToGrid w:val="0"/>
                <w:lang w:val="es-ES"/>
              </w:rPr>
            </w:pPr>
            <w:r>
              <w:rPr>
                <w:snapToGrid w:val="0"/>
                <w:lang w:val="es-ES"/>
              </w:rPr>
              <w:t>3.311.808.046</w:t>
            </w:r>
          </w:p>
        </w:tc>
        <w:tc>
          <w:tcPr>
            <w:tcW w:w="1764" w:type="dxa"/>
            <w:tcBorders>
              <w:top w:val="single" w:sz="4" w:space="0" w:color="auto"/>
              <w:bottom w:val="single" w:sz="4" w:space="0" w:color="auto"/>
            </w:tcBorders>
            <w:shd w:val="clear" w:color="auto" w:fill="8DB3E2" w:themeFill="text2" w:themeFillTint="66"/>
            <w:vAlign w:val="center"/>
          </w:tcPr>
          <w:p w:rsidR="001B3767" w:rsidRPr="002A26C6" w:rsidRDefault="001B3767" w:rsidP="000E2288">
            <w:pPr>
              <w:pStyle w:val="cuadroCabe"/>
              <w:jc w:val="right"/>
              <w:rPr>
                <w:snapToGrid w:val="0"/>
                <w:lang w:val="es-ES"/>
              </w:rPr>
            </w:pPr>
            <w:r w:rsidRPr="002A26C6">
              <w:rPr>
                <w:snapToGrid w:val="0"/>
                <w:lang w:val="es-ES"/>
              </w:rPr>
              <w:t>3.421.637.488</w:t>
            </w:r>
          </w:p>
        </w:tc>
      </w:tr>
    </w:tbl>
    <w:p w:rsidR="001B3767" w:rsidRPr="002A26C6" w:rsidRDefault="001B3767" w:rsidP="001B3767">
      <w:pPr>
        <w:pStyle w:val="texto"/>
        <w:spacing w:before="120" w:after="0"/>
        <w:rPr>
          <w:rFonts w:ascii="Arial Narrow" w:hAnsi="Arial Narrow"/>
          <w:sz w:val="18"/>
          <w:szCs w:val="18"/>
        </w:rPr>
      </w:pPr>
    </w:p>
    <w:p w:rsidR="001B3767" w:rsidRPr="002A26C6" w:rsidRDefault="001B3767" w:rsidP="001B3767">
      <w:pPr>
        <w:pStyle w:val="texto"/>
        <w:spacing w:before="120" w:after="0"/>
        <w:rPr>
          <w:rFonts w:ascii="Arial Narrow" w:hAnsi="Arial Narrow"/>
          <w:sz w:val="18"/>
          <w:szCs w:val="18"/>
        </w:rPr>
      </w:pPr>
    </w:p>
    <w:p w:rsidR="001B3767" w:rsidRPr="002A26C6" w:rsidRDefault="001B3767" w:rsidP="001B3767">
      <w:pPr>
        <w:pStyle w:val="texto"/>
        <w:spacing w:before="120" w:after="0"/>
        <w:rPr>
          <w:rFonts w:ascii="Arial Narrow" w:hAnsi="Arial Narrow"/>
          <w:sz w:val="18"/>
          <w:szCs w:val="18"/>
        </w:rPr>
      </w:pPr>
    </w:p>
    <w:p w:rsidR="001B3767" w:rsidRPr="002A26C6" w:rsidRDefault="001B3767" w:rsidP="001B3767">
      <w:pPr>
        <w:pStyle w:val="texto"/>
        <w:spacing w:before="120" w:after="0"/>
        <w:rPr>
          <w:rFonts w:ascii="Arial Narrow" w:hAnsi="Arial Narrow"/>
          <w:sz w:val="18"/>
          <w:szCs w:val="18"/>
        </w:rPr>
      </w:pPr>
    </w:p>
    <w:p w:rsidR="001B3767" w:rsidRPr="002A26C6" w:rsidRDefault="001B3767" w:rsidP="001B3767">
      <w:pPr>
        <w:pStyle w:val="texto"/>
        <w:spacing w:before="120" w:after="0"/>
        <w:rPr>
          <w:rFonts w:ascii="Arial Narrow" w:hAnsi="Arial Narrow"/>
          <w:sz w:val="18"/>
          <w:szCs w:val="18"/>
        </w:rPr>
      </w:pPr>
    </w:p>
    <w:p w:rsidR="001B3767" w:rsidRDefault="001B3767" w:rsidP="001B3767">
      <w:pPr>
        <w:pStyle w:val="texto"/>
        <w:spacing w:before="120" w:after="0"/>
        <w:rPr>
          <w:rFonts w:ascii="Arial Narrow" w:hAnsi="Arial Narrow"/>
          <w:sz w:val="18"/>
          <w:szCs w:val="18"/>
        </w:rPr>
      </w:pPr>
    </w:p>
    <w:p w:rsidR="00EA48AE" w:rsidRPr="002A26C6" w:rsidRDefault="00EA48AE" w:rsidP="001B3767">
      <w:pPr>
        <w:pStyle w:val="texto"/>
        <w:spacing w:before="120" w:after="0"/>
        <w:rPr>
          <w:rFonts w:ascii="Arial Narrow" w:hAnsi="Arial Narrow"/>
          <w:sz w:val="18"/>
          <w:szCs w:val="18"/>
        </w:rPr>
      </w:pPr>
    </w:p>
    <w:p w:rsidR="001B3767" w:rsidRPr="002A26C6" w:rsidRDefault="001B3767" w:rsidP="001B3767">
      <w:pPr>
        <w:pStyle w:val="texto"/>
        <w:spacing w:before="120" w:after="0"/>
        <w:rPr>
          <w:rFonts w:ascii="Arial Narrow" w:hAnsi="Arial Narrow"/>
          <w:sz w:val="18"/>
          <w:szCs w:val="18"/>
        </w:rPr>
      </w:pPr>
      <w:r w:rsidRPr="002A26C6">
        <w:rPr>
          <w:rFonts w:ascii="Arial Narrow" w:hAnsi="Arial Narrow"/>
          <w:sz w:val="18"/>
          <w:szCs w:val="18"/>
        </w:rPr>
        <w:br w:type="page"/>
      </w:r>
    </w:p>
    <w:p w:rsidR="00EA48AE" w:rsidRPr="00EA48AE" w:rsidRDefault="00EA48AE" w:rsidP="000E2288">
      <w:pPr>
        <w:pStyle w:val="cuadroCabe"/>
        <w:tabs>
          <w:tab w:val="clear" w:pos="2835"/>
          <w:tab w:val="clear" w:pos="3969"/>
          <w:tab w:val="clear" w:pos="5103"/>
          <w:tab w:val="clear" w:pos="6237"/>
          <w:tab w:val="clear" w:pos="7371"/>
          <w:tab w:val="right" w:pos="4818"/>
          <w:tab w:val="right" w:pos="6775"/>
        </w:tabs>
        <w:jc w:val="left"/>
        <w:rPr>
          <w:snapToGrid w:val="0"/>
          <w:sz w:val="24"/>
        </w:rPr>
      </w:pPr>
      <w:r w:rsidRPr="002A26C6">
        <w:lastRenderedPageBreak/>
        <w:tab/>
      </w:r>
      <w:r w:rsidRPr="002A26C6">
        <w:rPr>
          <w:snapToGrid w:val="0"/>
        </w:rPr>
        <w:tab/>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1B3767" w:rsidRPr="002A26C6" w:rsidTr="003F0870">
        <w:trPr>
          <w:trHeight w:val="340"/>
          <w:jc w:val="center"/>
        </w:trPr>
        <w:tc>
          <w:tcPr>
            <w:tcW w:w="4818" w:type="dxa"/>
            <w:tcBorders>
              <w:top w:val="single" w:sz="4" w:space="0" w:color="auto"/>
              <w:bottom w:val="single" w:sz="2" w:space="0" w:color="auto"/>
            </w:tcBorders>
            <w:shd w:val="clear" w:color="auto" w:fill="8DB3E2" w:themeFill="text2" w:themeFillTint="66"/>
            <w:vAlign w:val="center"/>
          </w:tcPr>
          <w:p w:rsidR="001B3767" w:rsidRPr="002A26C6" w:rsidRDefault="001B3767" w:rsidP="003F0870">
            <w:pPr>
              <w:pStyle w:val="cuadroCabe"/>
              <w:jc w:val="left"/>
              <w:rPr>
                <w:snapToGrid w:val="0"/>
              </w:rPr>
            </w:pPr>
            <w:r w:rsidRPr="002A26C6">
              <w:br w:type="page"/>
            </w:r>
            <w:r w:rsidRPr="002A26C6">
              <w:rPr>
                <w:snapToGrid w:val="0"/>
              </w:rPr>
              <w:t>Haber</w:t>
            </w:r>
          </w:p>
        </w:tc>
        <w:tc>
          <w:tcPr>
            <w:tcW w:w="1957" w:type="dxa"/>
            <w:tcBorders>
              <w:top w:val="single" w:sz="4" w:space="0" w:color="auto"/>
              <w:bottom w:val="single" w:sz="2" w:space="0" w:color="auto"/>
            </w:tcBorders>
            <w:shd w:val="clear" w:color="auto" w:fill="8DB3E2" w:themeFill="text2" w:themeFillTint="66"/>
            <w:vAlign w:val="center"/>
          </w:tcPr>
          <w:p w:rsidR="001B3767" w:rsidRPr="002A26C6" w:rsidRDefault="001B3767" w:rsidP="003F0870">
            <w:pPr>
              <w:pStyle w:val="cuadroCabe"/>
              <w:jc w:val="right"/>
              <w:rPr>
                <w:snapToGrid w:val="0"/>
              </w:rPr>
            </w:pPr>
            <w:r w:rsidRPr="002A26C6">
              <w:rPr>
                <w:snapToGrid w:val="0"/>
              </w:rPr>
              <w:t>Ejercicio 201</w:t>
            </w:r>
            <w:r>
              <w:rPr>
                <w:snapToGrid w:val="0"/>
              </w:rPr>
              <w:t>4</w:t>
            </w:r>
          </w:p>
        </w:tc>
        <w:tc>
          <w:tcPr>
            <w:tcW w:w="2077" w:type="dxa"/>
            <w:tcBorders>
              <w:top w:val="single" w:sz="4" w:space="0" w:color="auto"/>
              <w:bottom w:val="single" w:sz="2" w:space="0" w:color="auto"/>
            </w:tcBorders>
            <w:shd w:val="clear" w:color="auto" w:fill="8DB3E2" w:themeFill="text2" w:themeFillTint="66"/>
            <w:vAlign w:val="center"/>
          </w:tcPr>
          <w:p w:rsidR="001B3767" w:rsidRPr="002A26C6" w:rsidRDefault="001B3767" w:rsidP="003F0870">
            <w:pPr>
              <w:pStyle w:val="cuadroCabe"/>
              <w:jc w:val="right"/>
              <w:rPr>
                <w:snapToGrid w:val="0"/>
              </w:rPr>
            </w:pPr>
            <w:r w:rsidRPr="002A26C6">
              <w:rPr>
                <w:snapToGrid w:val="0"/>
              </w:rPr>
              <w:t>Ejercicio 2013</w:t>
            </w: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B) Ingresos</w:t>
            </w:r>
          </w:p>
        </w:tc>
        <w:tc>
          <w:tcPr>
            <w:tcW w:w="195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p>
        </w:tc>
        <w:tc>
          <w:tcPr>
            <w:tcW w:w="207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pStyle w:val="Tabla"/>
              <w:jc w:val="left"/>
              <w:rPr>
                <w:rFonts w:ascii="Arial Narrow" w:hAnsi="Arial Narrow" w:cs="Arial"/>
                <w:b/>
                <w:snapToGrid w:val="0"/>
                <w:sz w:val="20"/>
              </w:rPr>
            </w:pPr>
            <w:r w:rsidRPr="002A26C6">
              <w:rPr>
                <w:rFonts w:ascii="Arial Narrow" w:hAnsi="Arial Narrow" w:cs="Arial"/>
                <w:b/>
                <w:snapToGrid w:val="0"/>
                <w:sz w:val="20"/>
              </w:rPr>
              <w:t>1. Ingresos de gestión ordinaria</w:t>
            </w:r>
          </w:p>
        </w:tc>
        <w:tc>
          <w:tcPr>
            <w:tcW w:w="195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Pr>
                <w:rFonts w:ascii="Arial Narrow" w:hAnsi="Arial Narrow" w:cs="Arial"/>
                <w:b/>
                <w:snapToGrid w:val="0"/>
                <w:sz w:val="20"/>
              </w:rPr>
              <w:t>3.044.641.229</w:t>
            </w:r>
          </w:p>
        </w:tc>
        <w:tc>
          <w:tcPr>
            <w:tcW w:w="207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sidRPr="002A26C6">
              <w:rPr>
                <w:rFonts w:ascii="Arial Narrow" w:hAnsi="Arial Narrow" w:cs="Arial"/>
                <w:b/>
                <w:snapToGrid w:val="0"/>
                <w:sz w:val="20"/>
              </w:rPr>
              <w:t>2.972.677.375</w:t>
            </w:r>
          </w:p>
        </w:tc>
      </w:tr>
      <w:tr w:rsidR="001B3767" w:rsidRPr="002A26C6" w:rsidTr="003F0870">
        <w:trPr>
          <w:trHeight w:val="340"/>
          <w:jc w:val="center"/>
        </w:trPr>
        <w:tc>
          <w:tcPr>
            <w:tcW w:w="4818" w:type="dxa"/>
            <w:tcBorders>
              <w:top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a) Ingresos tributarios </w:t>
            </w:r>
          </w:p>
        </w:tc>
        <w:tc>
          <w:tcPr>
            <w:tcW w:w="195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3.028.665.258</w:t>
            </w:r>
          </w:p>
        </w:tc>
        <w:tc>
          <w:tcPr>
            <w:tcW w:w="207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2.956.568.649</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a.1) Impuesto sobre la renta de las personas físicas</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1.102.787.975</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1.086.628.933</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a.2) Impuesto sobre sociedades</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207.896.688</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164.636.186</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a.3) Impuesto sobre sucesiones y donaciones</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53.050.496</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90.661.944</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 xml:space="preserve">a.4) Impuesto sobre el patrimonio </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48.626.830</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54.528.361</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a.8) Otros impuestos directos</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15.613.999</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26.644.735</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 xml:space="preserve">a.9) Impuesto sobre transmisiones patrimoniales y AJD </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43.476.954</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39.807.606</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 xml:space="preserve">a.10) Impuesto sobre el valor añadido </w:t>
            </w:r>
          </w:p>
        </w:tc>
        <w:tc>
          <w:tcPr>
            <w:tcW w:w="1957" w:type="dxa"/>
            <w:vAlign w:val="center"/>
          </w:tcPr>
          <w:p w:rsidR="001B3767" w:rsidRPr="002A26C6" w:rsidRDefault="001B3767" w:rsidP="003F0870">
            <w:pPr>
              <w:spacing w:after="0"/>
              <w:ind w:firstLine="0"/>
              <w:jc w:val="right"/>
              <w:rPr>
                <w:rFonts w:ascii="Arial Narrow" w:hAnsi="Arial Narrow" w:cs="Arial"/>
                <w:snapToGrid w:val="0"/>
                <w:lang w:eastAsia="es-ES"/>
              </w:rPr>
            </w:pPr>
            <w:r>
              <w:rPr>
                <w:rFonts w:ascii="Arial Narrow" w:hAnsi="Arial Narrow" w:cs="Arial"/>
                <w:snapToGrid w:val="0"/>
                <w:lang w:eastAsia="es-ES"/>
              </w:rPr>
              <w:t>1.111.942.471</w:t>
            </w:r>
          </w:p>
        </w:tc>
        <w:tc>
          <w:tcPr>
            <w:tcW w:w="2077" w:type="dxa"/>
            <w:vAlign w:val="center"/>
          </w:tcPr>
          <w:p w:rsidR="001B3767" w:rsidRPr="002A26C6" w:rsidRDefault="001B3767" w:rsidP="003F0870">
            <w:pPr>
              <w:spacing w:after="0"/>
              <w:ind w:firstLine="0"/>
              <w:jc w:val="right"/>
              <w:rPr>
                <w:rFonts w:ascii="Arial Narrow" w:hAnsi="Arial Narrow" w:cs="Arial"/>
                <w:snapToGrid w:val="0"/>
                <w:lang w:eastAsia="es-ES"/>
              </w:rPr>
            </w:pPr>
            <w:r w:rsidRPr="002A26C6">
              <w:rPr>
                <w:rFonts w:ascii="Arial Narrow" w:hAnsi="Arial Narrow" w:cs="Arial"/>
                <w:snapToGrid w:val="0"/>
                <w:lang w:eastAsia="es-ES"/>
              </w:rPr>
              <w:t>985.662.777</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a.11) Impuestos especiales</w:t>
            </w:r>
          </w:p>
        </w:tc>
        <w:tc>
          <w:tcPr>
            <w:tcW w:w="1957" w:type="dxa"/>
            <w:vAlign w:val="center"/>
          </w:tcPr>
          <w:p w:rsidR="001B3767" w:rsidRPr="002A26C6" w:rsidRDefault="001B3767" w:rsidP="003F0870">
            <w:pPr>
              <w:spacing w:after="0"/>
              <w:ind w:firstLine="0"/>
              <w:jc w:val="right"/>
              <w:rPr>
                <w:rFonts w:ascii="Arial Narrow" w:hAnsi="Arial Narrow" w:cs="Arial"/>
                <w:snapToGrid w:val="0"/>
                <w:lang w:eastAsia="es-ES"/>
              </w:rPr>
            </w:pPr>
            <w:r>
              <w:rPr>
                <w:rFonts w:ascii="Arial Narrow" w:hAnsi="Arial Narrow" w:cs="Arial"/>
                <w:snapToGrid w:val="0"/>
                <w:lang w:eastAsia="es-ES"/>
              </w:rPr>
              <w:t>431.087.136</w:t>
            </w:r>
          </w:p>
        </w:tc>
        <w:tc>
          <w:tcPr>
            <w:tcW w:w="2077" w:type="dxa"/>
            <w:vAlign w:val="center"/>
          </w:tcPr>
          <w:p w:rsidR="001B3767" w:rsidRPr="002A26C6" w:rsidRDefault="001B3767" w:rsidP="003F0870">
            <w:pPr>
              <w:spacing w:after="0"/>
              <w:ind w:firstLine="0"/>
              <w:jc w:val="right"/>
              <w:rPr>
                <w:rFonts w:ascii="Arial Narrow" w:hAnsi="Arial Narrow" w:cs="Arial"/>
                <w:snapToGrid w:val="0"/>
                <w:lang w:eastAsia="es-ES"/>
              </w:rPr>
            </w:pPr>
            <w:r w:rsidRPr="002A26C6">
              <w:rPr>
                <w:rFonts w:ascii="Arial Narrow" w:hAnsi="Arial Narrow" w:cs="Arial"/>
                <w:snapToGrid w:val="0"/>
                <w:lang w:eastAsia="es-ES"/>
              </w:rPr>
              <w:t>496.597.550</w:t>
            </w:r>
          </w:p>
        </w:tc>
      </w:tr>
      <w:tr w:rsidR="001B3767" w:rsidRPr="002A26C6" w:rsidTr="003F0870">
        <w:trPr>
          <w:trHeight w:val="340"/>
          <w:jc w:val="center"/>
        </w:trPr>
        <w:tc>
          <w:tcPr>
            <w:tcW w:w="4818" w:type="dxa"/>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a.15) Tasas por prestación de servicios</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14.182.709</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11.400.555</w:t>
            </w:r>
          </w:p>
        </w:tc>
      </w:tr>
      <w:tr w:rsidR="001B3767" w:rsidRPr="002A26C6" w:rsidTr="003F0870">
        <w:trPr>
          <w:trHeight w:val="340"/>
          <w:jc w:val="center"/>
        </w:trPr>
        <w:tc>
          <w:tcPr>
            <w:tcW w:w="4818" w:type="dxa"/>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b) Cotizaciones sociales </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2.722.245</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2.955.930</w:t>
            </w:r>
          </w:p>
        </w:tc>
      </w:tr>
      <w:tr w:rsidR="001B3767" w:rsidRPr="002A26C6" w:rsidTr="003F0870">
        <w:trPr>
          <w:trHeight w:val="340"/>
          <w:jc w:val="center"/>
        </w:trPr>
        <w:tc>
          <w:tcPr>
            <w:tcW w:w="4818" w:type="dxa"/>
            <w:tcBorders>
              <w:bottom w:val="nil"/>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c) Prestaciones de servicios.</w:t>
            </w:r>
          </w:p>
        </w:tc>
        <w:tc>
          <w:tcPr>
            <w:tcW w:w="195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13.253.726</w:t>
            </w:r>
          </w:p>
        </w:tc>
        <w:tc>
          <w:tcPr>
            <w:tcW w:w="207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13.152.797</w:t>
            </w:r>
          </w:p>
        </w:tc>
      </w:tr>
      <w:tr w:rsidR="001B3767" w:rsidRPr="002A26C6" w:rsidTr="003F0870">
        <w:trPr>
          <w:trHeight w:val="340"/>
          <w:jc w:val="center"/>
        </w:trPr>
        <w:tc>
          <w:tcPr>
            <w:tcW w:w="4818" w:type="dxa"/>
            <w:tcBorders>
              <w:top w:val="nil"/>
              <w:bottom w:val="single" w:sz="2" w:space="0" w:color="auto"/>
            </w:tcBorders>
            <w:vAlign w:val="center"/>
          </w:tcPr>
          <w:p w:rsidR="001B3767" w:rsidRPr="002A26C6" w:rsidRDefault="001B3767" w:rsidP="003F0870">
            <w:pPr>
              <w:pStyle w:val="Tabla"/>
              <w:ind w:left="214"/>
              <w:jc w:val="left"/>
              <w:rPr>
                <w:rFonts w:ascii="Arial Narrow" w:hAnsi="Arial Narrow" w:cs="Arial"/>
                <w:snapToGrid w:val="0"/>
                <w:sz w:val="20"/>
              </w:rPr>
            </w:pPr>
            <w:r w:rsidRPr="002A26C6">
              <w:rPr>
                <w:rFonts w:ascii="Arial Narrow" w:hAnsi="Arial Narrow" w:cs="Arial"/>
                <w:snapToGrid w:val="0"/>
                <w:sz w:val="20"/>
              </w:rPr>
              <w:t>c.1)</w:t>
            </w:r>
            <w:r w:rsidR="003F0870">
              <w:rPr>
                <w:rFonts w:ascii="Arial Narrow" w:hAnsi="Arial Narrow" w:cs="Arial"/>
                <w:snapToGrid w:val="0"/>
                <w:sz w:val="20"/>
              </w:rPr>
              <w:t xml:space="preserve"> </w:t>
            </w:r>
            <w:r w:rsidRPr="002A26C6">
              <w:rPr>
                <w:rFonts w:ascii="Arial Narrow" w:hAnsi="Arial Narrow" w:cs="Arial"/>
                <w:snapToGrid w:val="0"/>
                <w:sz w:val="20"/>
              </w:rPr>
              <w:t>Precios públicos por prestación de servicios</w:t>
            </w:r>
          </w:p>
        </w:tc>
        <w:tc>
          <w:tcPr>
            <w:tcW w:w="195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13.253.726</w:t>
            </w:r>
          </w:p>
        </w:tc>
        <w:tc>
          <w:tcPr>
            <w:tcW w:w="207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13.152.797</w:t>
            </w: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pStyle w:val="Tabla"/>
              <w:jc w:val="left"/>
              <w:rPr>
                <w:rFonts w:ascii="Arial Narrow" w:hAnsi="Arial Narrow" w:cs="Arial"/>
                <w:b/>
                <w:snapToGrid w:val="0"/>
                <w:sz w:val="20"/>
              </w:rPr>
            </w:pPr>
            <w:r w:rsidRPr="002A26C6">
              <w:rPr>
                <w:rFonts w:ascii="Arial Narrow" w:hAnsi="Arial Narrow" w:cs="Arial"/>
                <w:b/>
                <w:snapToGrid w:val="0"/>
                <w:sz w:val="20"/>
              </w:rPr>
              <w:t>2. Otros ingresos de gestión ordinaria</w:t>
            </w:r>
          </w:p>
        </w:tc>
        <w:tc>
          <w:tcPr>
            <w:tcW w:w="195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Pr>
                <w:rFonts w:ascii="Arial Narrow" w:hAnsi="Arial Narrow" w:cs="Arial"/>
                <w:b/>
                <w:snapToGrid w:val="0"/>
                <w:sz w:val="20"/>
              </w:rPr>
              <w:t>127.676.667</w:t>
            </w:r>
          </w:p>
        </w:tc>
        <w:tc>
          <w:tcPr>
            <w:tcW w:w="207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sidRPr="002A26C6">
              <w:rPr>
                <w:rFonts w:ascii="Arial Narrow" w:hAnsi="Arial Narrow" w:cs="Arial"/>
                <w:b/>
                <w:snapToGrid w:val="0"/>
                <w:sz w:val="20"/>
              </w:rPr>
              <w:t>115.019.375</w:t>
            </w:r>
          </w:p>
        </w:tc>
      </w:tr>
      <w:tr w:rsidR="001B3767" w:rsidRPr="002A26C6" w:rsidTr="003F0870">
        <w:trPr>
          <w:trHeight w:val="340"/>
          <w:jc w:val="center"/>
        </w:trPr>
        <w:tc>
          <w:tcPr>
            <w:tcW w:w="4818" w:type="dxa"/>
            <w:tcBorders>
              <w:top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a) Reintegros</w:t>
            </w:r>
          </w:p>
        </w:tc>
        <w:tc>
          <w:tcPr>
            <w:tcW w:w="195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27.173.525</w:t>
            </w:r>
          </w:p>
        </w:tc>
        <w:tc>
          <w:tcPr>
            <w:tcW w:w="207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12.578.218</w:t>
            </w:r>
          </w:p>
        </w:tc>
      </w:tr>
      <w:tr w:rsidR="001B3767" w:rsidRPr="002A26C6" w:rsidTr="003F0870">
        <w:trPr>
          <w:trHeight w:val="340"/>
          <w:jc w:val="center"/>
        </w:trPr>
        <w:tc>
          <w:tcPr>
            <w:tcW w:w="4818" w:type="dxa"/>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b) Ventas y prestaciones de servicios </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35.914.974</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36.825.421</w:t>
            </w:r>
          </w:p>
        </w:tc>
      </w:tr>
      <w:tr w:rsidR="001B3767" w:rsidRPr="002A26C6" w:rsidTr="003F0870">
        <w:trPr>
          <w:trHeight w:val="340"/>
          <w:jc w:val="center"/>
        </w:trPr>
        <w:tc>
          <w:tcPr>
            <w:tcW w:w="4818" w:type="dxa"/>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c)</w:t>
            </w:r>
            <w:r w:rsidR="003F0870">
              <w:rPr>
                <w:rFonts w:ascii="Arial Narrow" w:hAnsi="Arial Narrow" w:cs="Arial"/>
                <w:snapToGrid w:val="0"/>
                <w:sz w:val="20"/>
              </w:rPr>
              <w:t xml:space="preserve"> </w:t>
            </w:r>
            <w:r w:rsidRPr="002A26C6">
              <w:rPr>
                <w:rFonts w:ascii="Arial Narrow" w:hAnsi="Arial Narrow" w:cs="Arial"/>
                <w:snapToGrid w:val="0"/>
                <w:sz w:val="20"/>
              </w:rPr>
              <w:t xml:space="preserve">Otros ingresos de gestión </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44.173.738</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48.753.884</w:t>
            </w:r>
          </w:p>
        </w:tc>
      </w:tr>
      <w:tr w:rsidR="001B3767" w:rsidRPr="002A26C6" w:rsidTr="003F0870">
        <w:trPr>
          <w:trHeight w:val="340"/>
          <w:jc w:val="center"/>
        </w:trPr>
        <w:tc>
          <w:tcPr>
            <w:tcW w:w="4818" w:type="dxa"/>
            <w:vAlign w:val="center"/>
          </w:tcPr>
          <w:p w:rsidR="001B3767" w:rsidRPr="002A26C6" w:rsidRDefault="001B3767" w:rsidP="003F0870">
            <w:pPr>
              <w:pStyle w:val="Tabla"/>
              <w:ind w:left="172"/>
              <w:jc w:val="left"/>
              <w:rPr>
                <w:rFonts w:ascii="Arial Narrow" w:hAnsi="Arial Narrow" w:cs="Arial"/>
                <w:snapToGrid w:val="0"/>
                <w:sz w:val="20"/>
              </w:rPr>
            </w:pPr>
            <w:r w:rsidRPr="002A26C6">
              <w:rPr>
                <w:rFonts w:ascii="Arial Narrow" w:hAnsi="Arial Narrow" w:cs="Arial"/>
                <w:snapToGrid w:val="0"/>
                <w:sz w:val="20"/>
              </w:rPr>
              <w:t>c.1) Ingresos accesorios y otros de gestión corriente</w:t>
            </w:r>
          </w:p>
        </w:tc>
        <w:tc>
          <w:tcPr>
            <w:tcW w:w="1957" w:type="dxa"/>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44.173.738</w:t>
            </w:r>
          </w:p>
        </w:tc>
        <w:tc>
          <w:tcPr>
            <w:tcW w:w="2077" w:type="dxa"/>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48.753.884</w:t>
            </w:r>
          </w:p>
        </w:tc>
      </w:tr>
      <w:tr w:rsidR="001B3767" w:rsidRPr="002A26C6" w:rsidTr="003F0870">
        <w:trPr>
          <w:trHeight w:val="340"/>
          <w:jc w:val="center"/>
        </w:trPr>
        <w:tc>
          <w:tcPr>
            <w:tcW w:w="4818" w:type="dxa"/>
            <w:tcBorders>
              <w:bottom w:val="nil"/>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f) Otros ingresos financieros</w:t>
            </w:r>
          </w:p>
        </w:tc>
        <w:tc>
          <w:tcPr>
            <w:tcW w:w="195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20.414.430</w:t>
            </w:r>
          </w:p>
        </w:tc>
        <w:tc>
          <w:tcPr>
            <w:tcW w:w="207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16.861.851</w:t>
            </w:r>
          </w:p>
        </w:tc>
      </w:tr>
      <w:tr w:rsidR="001B3767" w:rsidRPr="002A26C6" w:rsidTr="003F0870">
        <w:trPr>
          <w:trHeight w:val="340"/>
          <w:jc w:val="center"/>
        </w:trPr>
        <w:tc>
          <w:tcPr>
            <w:tcW w:w="4818" w:type="dxa"/>
            <w:tcBorders>
              <w:top w:val="nil"/>
              <w:bottom w:val="single" w:sz="2" w:space="0" w:color="auto"/>
            </w:tcBorders>
            <w:vAlign w:val="center"/>
          </w:tcPr>
          <w:p w:rsidR="001B3767" w:rsidRPr="002A26C6" w:rsidRDefault="001B3767" w:rsidP="003F0870">
            <w:pPr>
              <w:pStyle w:val="Tabla"/>
              <w:ind w:left="158"/>
              <w:jc w:val="left"/>
              <w:rPr>
                <w:rFonts w:ascii="Arial Narrow" w:hAnsi="Arial Narrow" w:cs="Arial"/>
                <w:snapToGrid w:val="0"/>
                <w:sz w:val="20"/>
              </w:rPr>
            </w:pPr>
            <w:r w:rsidRPr="002A26C6">
              <w:rPr>
                <w:rFonts w:ascii="Arial Narrow" w:hAnsi="Arial Narrow" w:cs="Arial"/>
                <w:snapToGrid w:val="0"/>
                <w:sz w:val="20"/>
              </w:rPr>
              <w:t xml:space="preserve">f.1) Otros intereses </w:t>
            </w:r>
          </w:p>
        </w:tc>
        <w:tc>
          <w:tcPr>
            <w:tcW w:w="195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20.414.430</w:t>
            </w:r>
          </w:p>
        </w:tc>
        <w:tc>
          <w:tcPr>
            <w:tcW w:w="207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16.861.851</w:t>
            </w: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pStyle w:val="Tabla"/>
              <w:jc w:val="left"/>
              <w:rPr>
                <w:rFonts w:ascii="Arial Narrow" w:hAnsi="Arial Narrow" w:cs="Arial"/>
                <w:b/>
                <w:snapToGrid w:val="0"/>
                <w:sz w:val="20"/>
              </w:rPr>
            </w:pPr>
            <w:r w:rsidRPr="002A26C6">
              <w:rPr>
                <w:rFonts w:ascii="Arial Narrow" w:hAnsi="Arial Narrow" w:cs="Arial"/>
                <w:b/>
                <w:snapToGrid w:val="0"/>
                <w:sz w:val="20"/>
              </w:rPr>
              <w:t xml:space="preserve">3. Transferencias y subvenciones </w:t>
            </w:r>
          </w:p>
        </w:tc>
        <w:tc>
          <w:tcPr>
            <w:tcW w:w="195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Pr>
                <w:rFonts w:ascii="Arial Narrow" w:hAnsi="Arial Narrow" w:cs="Arial"/>
                <w:b/>
                <w:snapToGrid w:val="0"/>
                <w:sz w:val="20"/>
              </w:rPr>
              <w:t>44.429.734</w:t>
            </w:r>
          </w:p>
        </w:tc>
        <w:tc>
          <w:tcPr>
            <w:tcW w:w="207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sidRPr="002A26C6">
              <w:rPr>
                <w:rFonts w:ascii="Arial Narrow" w:hAnsi="Arial Narrow" w:cs="Arial"/>
                <w:b/>
                <w:snapToGrid w:val="0"/>
                <w:sz w:val="20"/>
              </w:rPr>
              <w:t>69.763.843</w:t>
            </w:r>
          </w:p>
        </w:tc>
      </w:tr>
      <w:tr w:rsidR="001B3767" w:rsidRPr="002A26C6" w:rsidTr="003F0870">
        <w:trPr>
          <w:trHeight w:val="340"/>
          <w:jc w:val="center"/>
        </w:trPr>
        <w:tc>
          <w:tcPr>
            <w:tcW w:w="4818" w:type="dxa"/>
            <w:tcBorders>
              <w:top w:val="single" w:sz="2" w:space="0" w:color="auto"/>
              <w:bottom w:val="nil"/>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a) Transferencias corrientes </w:t>
            </w:r>
          </w:p>
        </w:tc>
        <w:tc>
          <w:tcPr>
            <w:tcW w:w="1957" w:type="dxa"/>
            <w:tcBorders>
              <w:top w:val="single" w:sz="2" w:space="0" w:color="auto"/>
              <w:bottom w:val="nil"/>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32.434.907</w:t>
            </w:r>
          </w:p>
        </w:tc>
        <w:tc>
          <w:tcPr>
            <w:tcW w:w="2077" w:type="dxa"/>
            <w:tcBorders>
              <w:top w:val="single" w:sz="2" w:space="0" w:color="auto"/>
              <w:bottom w:val="nil"/>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46.854.886</w:t>
            </w:r>
          </w:p>
        </w:tc>
      </w:tr>
      <w:tr w:rsidR="001B3767" w:rsidRPr="002A26C6" w:rsidTr="003F0870">
        <w:trPr>
          <w:trHeight w:val="340"/>
          <w:jc w:val="center"/>
        </w:trPr>
        <w:tc>
          <w:tcPr>
            <w:tcW w:w="4818" w:type="dxa"/>
            <w:tcBorders>
              <w:top w:val="nil"/>
              <w:bottom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b) Transferencias de capital </w:t>
            </w:r>
          </w:p>
        </w:tc>
        <w:tc>
          <w:tcPr>
            <w:tcW w:w="195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11.994.827</w:t>
            </w:r>
          </w:p>
        </w:tc>
        <w:tc>
          <w:tcPr>
            <w:tcW w:w="207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22.908.957</w:t>
            </w: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pStyle w:val="Tabla"/>
              <w:jc w:val="left"/>
              <w:rPr>
                <w:rFonts w:ascii="Arial Narrow" w:hAnsi="Arial Narrow" w:cs="Arial"/>
                <w:b/>
                <w:snapToGrid w:val="0"/>
                <w:sz w:val="20"/>
              </w:rPr>
            </w:pPr>
            <w:r w:rsidRPr="002A26C6">
              <w:rPr>
                <w:rFonts w:ascii="Arial Narrow" w:hAnsi="Arial Narrow" w:cs="Arial"/>
                <w:b/>
                <w:snapToGrid w:val="0"/>
                <w:sz w:val="20"/>
              </w:rPr>
              <w:t xml:space="preserve">5. Ganancias e ingresos extraordinarios </w:t>
            </w:r>
          </w:p>
        </w:tc>
        <w:tc>
          <w:tcPr>
            <w:tcW w:w="195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Pr>
                <w:rFonts w:ascii="Arial Narrow" w:hAnsi="Arial Narrow" w:cs="Arial"/>
                <w:b/>
                <w:snapToGrid w:val="0"/>
                <w:sz w:val="20"/>
              </w:rPr>
              <w:t>6.752.255</w:t>
            </w:r>
          </w:p>
        </w:tc>
        <w:tc>
          <w:tcPr>
            <w:tcW w:w="2077" w:type="dxa"/>
            <w:tcBorders>
              <w:top w:val="single" w:sz="2" w:space="0" w:color="auto"/>
              <w:bottom w:val="single" w:sz="2" w:space="0" w:color="auto"/>
            </w:tcBorders>
            <w:vAlign w:val="center"/>
          </w:tcPr>
          <w:p w:rsidR="001B3767" w:rsidRPr="002A26C6" w:rsidRDefault="001B3767" w:rsidP="003F0870">
            <w:pPr>
              <w:pStyle w:val="Tabla"/>
              <w:jc w:val="right"/>
              <w:rPr>
                <w:rFonts w:ascii="Arial Narrow" w:hAnsi="Arial Narrow" w:cs="Arial"/>
                <w:b/>
                <w:snapToGrid w:val="0"/>
                <w:sz w:val="20"/>
              </w:rPr>
            </w:pPr>
            <w:r w:rsidRPr="002A26C6">
              <w:rPr>
                <w:rFonts w:ascii="Arial Narrow" w:hAnsi="Arial Narrow" w:cs="Arial"/>
                <w:b/>
                <w:snapToGrid w:val="0"/>
                <w:sz w:val="20"/>
              </w:rPr>
              <w:t>6.720.933</w:t>
            </w:r>
          </w:p>
        </w:tc>
      </w:tr>
      <w:tr w:rsidR="001B3767" w:rsidRPr="002A26C6" w:rsidTr="003F0870">
        <w:trPr>
          <w:trHeight w:val="340"/>
          <w:jc w:val="center"/>
        </w:trPr>
        <w:tc>
          <w:tcPr>
            <w:tcW w:w="4818" w:type="dxa"/>
            <w:tcBorders>
              <w:top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 xml:space="preserve">a) Beneficios procedentes del inmovilizado </w:t>
            </w:r>
          </w:p>
        </w:tc>
        <w:tc>
          <w:tcPr>
            <w:tcW w:w="195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434.576</w:t>
            </w:r>
          </w:p>
        </w:tc>
        <w:tc>
          <w:tcPr>
            <w:tcW w:w="2077" w:type="dxa"/>
            <w:tcBorders>
              <w:top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1.097.339</w:t>
            </w:r>
          </w:p>
        </w:tc>
      </w:tr>
      <w:tr w:rsidR="001B3767" w:rsidRPr="002A26C6" w:rsidTr="003F0870">
        <w:trPr>
          <w:trHeight w:val="340"/>
          <w:jc w:val="center"/>
        </w:trPr>
        <w:tc>
          <w:tcPr>
            <w:tcW w:w="4818" w:type="dxa"/>
            <w:tcBorders>
              <w:bottom w:val="nil"/>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c) Ingresos extraordinarios ejercicio corriente</w:t>
            </w:r>
          </w:p>
        </w:tc>
        <w:tc>
          <w:tcPr>
            <w:tcW w:w="195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1.897</w:t>
            </w:r>
          </w:p>
        </w:tc>
        <w:tc>
          <w:tcPr>
            <w:tcW w:w="2077" w:type="dxa"/>
            <w:tcBorders>
              <w:bottom w:val="nil"/>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0</w:t>
            </w:r>
          </w:p>
        </w:tc>
      </w:tr>
      <w:tr w:rsidR="001B3767" w:rsidRPr="002A26C6" w:rsidTr="003F0870">
        <w:trPr>
          <w:trHeight w:val="340"/>
          <w:jc w:val="center"/>
        </w:trPr>
        <w:tc>
          <w:tcPr>
            <w:tcW w:w="4818" w:type="dxa"/>
            <w:tcBorders>
              <w:top w:val="nil"/>
              <w:bottom w:val="single" w:sz="2" w:space="0" w:color="auto"/>
            </w:tcBorders>
            <w:vAlign w:val="center"/>
          </w:tcPr>
          <w:p w:rsidR="001B3767" w:rsidRPr="002A26C6" w:rsidRDefault="001B3767" w:rsidP="003F0870">
            <w:pPr>
              <w:pStyle w:val="Tabla"/>
              <w:jc w:val="left"/>
              <w:rPr>
                <w:rFonts w:ascii="Arial Narrow" w:hAnsi="Arial Narrow" w:cs="Arial"/>
                <w:snapToGrid w:val="0"/>
                <w:sz w:val="20"/>
              </w:rPr>
            </w:pPr>
            <w:r w:rsidRPr="002A26C6">
              <w:rPr>
                <w:rFonts w:ascii="Arial Narrow" w:hAnsi="Arial Narrow" w:cs="Arial"/>
                <w:snapToGrid w:val="0"/>
                <w:sz w:val="20"/>
              </w:rPr>
              <w:t>d) Ingresos y beneficios de otros ejercicios</w:t>
            </w:r>
          </w:p>
        </w:tc>
        <w:tc>
          <w:tcPr>
            <w:tcW w:w="195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Pr>
                <w:rFonts w:ascii="Arial Narrow" w:hAnsi="Arial Narrow" w:cs="Arial"/>
                <w:snapToGrid w:val="0"/>
                <w:sz w:val="20"/>
              </w:rPr>
              <w:t>6.315.782</w:t>
            </w:r>
          </w:p>
        </w:tc>
        <w:tc>
          <w:tcPr>
            <w:tcW w:w="2077" w:type="dxa"/>
            <w:tcBorders>
              <w:top w:val="nil"/>
              <w:bottom w:val="single" w:sz="2" w:space="0" w:color="auto"/>
            </w:tcBorders>
            <w:vAlign w:val="center"/>
          </w:tcPr>
          <w:p w:rsidR="001B3767" w:rsidRPr="002A26C6" w:rsidRDefault="001B3767" w:rsidP="003F0870">
            <w:pPr>
              <w:pStyle w:val="Tabla"/>
              <w:jc w:val="right"/>
              <w:rPr>
                <w:rFonts w:ascii="Arial Narrow" w:hAnsi="Arial Narrow" w:cs="Arial"/>
                <w:snapToGrid w:val="0"/>
                <w:sz w:val="20"/>
              </w:rPr>
            </w:pPr>
            <w:r w:rsidRPr="002A26C6">
              <w:rPr>
                <w:rFonts w:ascii="Arial Narrow" w:hAnsi="Arial Narrow" w:cs="Arial"/>
                <w:snapToGrid w:val="0"/>
                <w:sz w:val="20"/>
              </w:rPr>
              <w:t>5.623.749</w:t>
            </w:r>
          </w:p>
        </w:tc>
      </w:tr>
      <w:tr w:rsidR="001B3767" w:rsidRPr="002A26C6" w:rsidTr="003F0870">
        <w:trPr>
          <w:trHeight w:val="340"/>
          <w:jc w:val="center"/>
        </w:trPr>
        <w:tc>
          <w:tcPr>
            <w:tcW w:w="4818" w:type="dxa"/>
            <w:tcBorders>
              <w:top w:val="single" w:sz="2" w:space="0" w:color="auto"/>
              <w:bottom w:val="single" w:sz="2" w:space="0" w:color="auto"/>
            </w:tcBorders>
            <w:vAlign w:val="center"/>
          </w:tcPr>
          <w:p w:rsidR="001B3767" w:rsidRPr="002A26C6" w:rsidRDefault="001B3767" w:rsidP="003F0870">
            <w:pPr>
              <w:spacing w:after="0"/>
              <w:ind w:firstLine="0"/>
              <w:jc w:val="left"/>
              <w:rPr>
                <w:rFonts w:ascii="Arial Narrow" w:hAnsi="Arial Narrow" w:cs="Arial"/>
                <w:b/>
                <w:snapToGrid w:val="0"/>
              </w:rPr>
            </w:pPr>
            <w:r w:rsidRPr="002A26C6">
              <w:rPr>
                <w:rFonts w:ascii="Arial Narrow" w:hAnsi="Arial Narrow" w:cs="Arial"/>
                <w:b/>
                <w:snapToGrid w:val="0"/>
              </w:rPr>
              <w:t>Saldo Deudor (Desahorro)</w:t>
            </w:r>
          </w:p>
        </w:tc>
        <w:tc>
          <w:tcPr>
            <w:tcW w:w="1957" w:type="dxa"/>
            <w:tcBorders>
              <w:top w:val="single" w:sz="2" w:space="0" w:color="auto"/>
              <w:bottom w:val="single" w:sz="2" w:space="0" w:color="auto"/>
            </w:tcBorders>
            <w:vAlign w:val="center"/>
          </w:tcPr>
          <w:p w:rsidR="001B3767" w:rsidRPr="002A26C6" w:rsidRDefault="001B3767" w:rsidP="003F0870">
            <w:pPr>
              <w:spacing w:after="0"/>
              <w:ind w:firstLine="0"/>
              <w:jc w:val="right"/>
              <w:rPr>
                <w:rFonts w:ascii="Arial Narrow" w:hAnsi="Arial Narrow" w:cs="Arial"/>
                <w:b/>
                <w:snapToGrid w:val="0"/>
                <w:color w:val="000000"/>
                <w:lang w:val="es-ES"/>
              </w:rPr>
            </w:pPr>
            <w:r>
              <w:rPr>
                <w:rFonts w:ascii="Arial Narrow" w:hAnsi="Arial Narrow" w:cs="Arial"/>
                <w:b/>
                <w:snapToGrid w:val="0"/>
                <w:color w:val="000000"/>
                <w:lang w:val="es-ES"/>
              </w:rPr>
              <w:t>88.308.161</w:t>
            </w:r>
          </w:p>
        </w:tc>
        <w:tc>
          <w:tcPr>
            <w:tcW w:w="2077" w:type="dxa"/>
            <w:tcBorders>
              <w:top w:val="single" w:sz="2" w:space="0" w:color="auto"/>
              <w:bottom w:val="single" w:sz="2" w:space="0" w:color="auto"/>
            </w:tcBorders>
            <w:vAlign w:val="center"/>
          </w:tcPr>
          <w:p w:rsidR="001B3767" w:rsidRPr="002A26C6" w:rsidRDefault="001B3767" w:rsidP="003F0870">
            <w:pPr>
              <w:spacing w:after="0"/>
              <w:ind w:firstLine="0"/>
              <w:jc w:val="right"/>
              <w:rPr>
                <w:rFonts w:ascii="Arial Narrow" w:hAnsi="Arial Narrow" w:cs="Arial"/>
                <w:b/>
                <w:snapToGrid w:val="0"/>
                <w:color w:val="000000"/>
                <w:lang w:val="es-ES"/>
              </w:rPr>
            </w:pPr>
            <w:r w:rsidRPr="002A26C6">
              <w:rPr>
                <w:rFonts w:ascii="Arial Narrow" w:hAnsi="Arial Narrow" w:cs="Arial"/>
                <w:b/>
                <w:snapToGrid w:val="0"/>
                <w:color w:val="000000"/>
                <w:lang w:val="es-ES"/>
              </w:rPr>
              <w:t>257.455.807</w:t>
            </w:r>
          </w:p>
        </w:tc>
      </w:tr>
      <w:tr w:rsidR="001B3767" w:rsidRPr="002A26C6" w:rsidTr="003F0870">
        <w:trPr>
          <w:trHeight w:val="340"/>
          <w:jc w:val="center"/>
        </w:trPr>
        <w:tc>
          <w:tcPr>
            <w:tcW w:w="4818" w:type="dxa"/>
            <w:tcBorders>
              <w:top w:val="single" w:sz="2" w:space="0" w:color="auto"/>
              <w:bottom w:val="single" w:sz="4" w:space="0" w:color="auto"/>
            </w:tcBorders>
            <w:shd w:val="clear" w:color="auto" w:fill="8DB3E2" w:themeFill="text2" w:themeFillTint="66"/>
            <w:vAlign w:val="center"/>
          </w:tcPr>
          <w:p w:rsidR="001B3767" w:rsidRPr="002A26C6" w:rsidRDefault="001B3767" w:rsidP="003F0870">
            <w:pPr>
              <w:pStyle w:val="cuadroCabe"/>
              <w:jc w:val="left"/>
              <w:rPr>
                <w:snapToGrid w:val="0"/>
              </w:rPr>
            </w:pPr>
            <w:r w:rsidRPr="002A26C6">
              <w:rPr>
                <w:snapToGrid w:val="0"/>
              </w:rPr>
              <w:t>Total Haber</w:t>
            </w:r>
          </w:p>
        </w:tc>
        <w:tc>
          <w:tcPr>
            <w:tcW w:w="1957" w:type="dxa"/>
            <w:tcBorders>
              <w:top w:val="single" w:sz="2" w:space="0" w:color="auto"/>
              <w:bottom w:val="single" w:sz="4" w:space="0" w:color="auto"/>
            </w:tcBorders>
            <w:shd w:val="clear" w:color="auto" w:fill="8DB3E2" w:themeFill="text2" w:themeFillTint="66"/>
            <w:vAlign w:val="center"/>
          </w:tcPr>
          <w:p w:rsidR="001B3767" w:rsidRPr="002A26C6" w:rsidRDefault="001B3767" w:rsidP="003F0870">
            <w:pPr>
              <w:pStyle w:val="cuadroCabe"/>
              <w:jc w:val="right"/>
              <w:rPr>
                <w:snapToGrid w:val="0"/>
              </w:rPr>
            </w:pPr>
            <w:r>
              <w:rPr>
                <w:snapToGrid w:val="0"/>
              </w:rPr>
              <w:t>3.311.808.046</w:t>
            </w:r>
          </w:p>
        </w:tc>
        <w:tc>
          <w:tcPr>
            <w:tcW w:w="2077" w:type="dxa"/>
            <w:tcBorders>
              <w:top w:val="single" w:sz="2" w:space="0" w:color="auto"/>
              <w:bottom w:val="single" w:sz="4" w:space="0" w:color="auto"/>
            </w:tcBorders>
            <w:shd w:val="clear" w:color="auto" w:fill="8DB3E2" w:themeFill="text2" w:themeFillTint="66"/>
            <w:vAlign w:val="center"/>
          </w:tcPr>
          <w:p w:rsidR="001B3767" w:rsidRPr="002A26C6" w:rsidRDefault="001B3767" w:rsidP="003F0870">
            <w:pPr>
              <w:pStyle w:val="cuadroCabe"/>
              <w:jc w:val="right"/>
              <w:rPr>
                <w:snapToGrid w:val="0"/>
              </w:rPr>
            </w:pPr>
            <w:r w:rsidRPr="002A26C6">
              <w:rPr>
                <w:snapToGrid w:val="0"/>
              </w:rPr>
              <w:t>3.421.637.489</w:t>
            </w:r>
          </w:p>
        </w:tc>
      </w:tr>
    </w:tbl>
    <w:p w:rsidR="001B3767" w:rsidRPr="002A26C6" w:rsidRDefault="001B3767" w:rsidP="001B3767">
      <w:pPr>
        <w:pStyle w:val="texto"/>
        <w:spacing w:before="120" w:after="0"/>
        <w:ind w:left="360" w:firstLine="0"/>
        <w:rPr>
          <w:rFonts w:ascii="Arial Narrow" w:hAnsi="Arial Narrow"/>
          <w:sz w:val="18"/>
          <w:szCs w:val="18"/>
        </w:rPr>
      </w:pPr>
    </w:p>
    <w:p w:rsidR="001B3767" w:rsidRPr="002A26C6" w:rsidRDefault="001B3767" w:rsidP="001B3767">
      <w:pPr>
        <w:pStyle w:val="texto"/>
        <w:spacing w:before="120" w:after="0"/>
        <w:ind w:left="360" w:firstLine="0"/>
        <w:rPr>
          <w:rFonts w:ascii="Arial Narrow" w:hAnsi="Arial Narrow"/>
          <w:sz w:val="18"/>
          <w:szCs w:val="18"/>
        </w:rPr>
      </w:pPr>
    </w:p>
    <w:p w:rsidR="001B3767" w:rsidRPr="00996A61" w:rsidRDefault="001B3767" w:rsidP="001B3767">
      <w:pPr>
        <w:pStyle w:val="atitulo1"/>
      </w:pPr>
      <w:r w:rsidRPr="002A26C6">
        <w:br w:type="page"/>
      </w:r>
      <w:bookmarkStart w:id="59" w:name="_Toc434399401"/>
      <w:r w:rsidRPr="00996A61">
        <w:lastRenderedPageBreak/>
        <w:t xml:space="preserve">VII. </w:t>
      </w:r>
      <w:bookmarkEnd w:id="45"/>
      <w:bookmarkEnd w:id="46"/>
      <w:r w:rsidRPr="00996A61">
        <w:t>Análisis del trabajo realizado</w:t>
      </w:r>
      <w:bookmarkEnd w:id="59"/>
    </w:p>
    <w:p w:rsidR="001B3767" w:rsidRPr="000E2288" w:rsidRDefault="001B3767" w:rsidP="000E2288">
      <w:pPr>
        <w:pStyle w:val="texto"/>
        <w:rPr>
          <w:lang w:val="es-ES"/>
        </w:rPr>
      </w:pPr>
      <w:r w:rsidRPr="000E2288">
        <w:rPr>
          <w:lang w:val="es-ES"/>
        </w:rPr>
        <w:t>A continuación se expone un análisis del trabajo realizado</w:t>
      </w:r>
      <w:r w:rsidR="00C017B6">
        <w:rPr>
          <w:lang w:val="es-ES"/>
        </w:rPr>
        <w:t>,</w:t>
      </w:r>
      <w:r w:rsidRPr="000E2288">
        <w:rPr>
          <w:lang w:val="es-ES"/>
        </w:rPr>
        <w:t xml:space="preserve"> así como las principales conclusiones obtenidas y las recomendaciones que emitimos para mejorar la gestión de la Administración Foral y sus </w:t>
      </w:r>
      <w:r w:rsidR="00C017B6" w:rsidRPr="000E2288">
        <w:rPr>
          <w:lang w:val="es-ES"/>
        </w:rPr>
        <w:t>organismos autónomos</w:t>
      </w:r>
      <w:r w:rsidRPr="000E2288">
        <w:rPr>
          <w:lang w:val="es-ES"/>
        </w:rPr>
        <w:t>.</w:t>
      </w:r>
    </w:p>
    <w:p w:rsidR="001B3767" w:rsidRPr="007C7320" w:rsidRDefault="001B3767" w:rsidP="008D2CC2">
      <w:pPr>
        <w:pStyle w:val="atitulo2"/>
        <w:spacing w:before="240"/>
        <w:rPr>
          <w:color w:val="auto"/>
        </w:rPr>
      </w:pPr>
      <w:bookmarkStart w:id="60" w:name="_Toc305415959"/>
      <w:bookmarkStart w:id="61" w:name="_Toc305480477"/>
      <w:bookmarkStart w:id="62" w:name="_Toc434399402"/>
      <w:r w:rsidRPr="007C7320">
        <w:rPr>
          <w:color w:val="auto"/>
        </w:rPr>
        <w:t>VII.1. Presupuesto</w:t>
      </w:r>
      <w:bookmarkEnd w:id="60"/>
      <w:bookmarkEnd w:id="61"/>
      <w:r w:rsidRPr="007C7320">
        <w:rPr>
          <w:color w:val="auto"/>
        </w:rPr>
        <w:t xml:space="preserve">s Generales </w:t>
      </w:r>
      <w:r>
        <w:rPr>
          <w:color w:val="auto"/>
        </w:rPr>
        <w:t xml:space="preserve">de Navarra ejercicio </w:t>
      </w:r>
      <w:r w:rsidRPr="007C7320">
        <w:rPr>
          <w:color w:val="auto"/>
        </w:rPr>
        <w:t>2014</w:t>
      </w:r>
      <w:bookmarkEnd w:id="62"/>
      <w:r w:rsidRPr="007C7320">
        <w:rPr>
          <w:color w:val="auto"/>
        </w:rPr>
        <w:t xml:space="preserve"> </w:t>
      </w:r>
    </w:p>
    <w:p w:rsidR="001B3767" w:rsidRPr="000E2288" w:rsidRDefault="001B3767" w:rsidP="001B3767">
      <w:pPr>
        <w:pStyle w:val="texto"/>
        <w:rPr>
          <w:lang w:val="es-ES"/>
        </w:rPr>
      </w:pPr>
      <w:r w:rsidRPr="000E2288">
        <w:rPr>
          <w:lang w:val="es-ES"/>
        </w:rPr>
        <w:t>El 18 de noviembre de 2013, el Gobierno presentó en el Parlamento el Pr</w:t>
      </w:r>
      <w:r w:rsidRPr="000E2288">
        <w:rPr>
          <w:lang w:val="es-ES"/>
        </w:rPr>
        <w:t>o</w:t>
      </w:r>
      <w:r w:rsidRPr="000E2288">
        <w:rPr>
          <w:lang w:val="es-ES"/>
        </w:rPr>
        <w:t>yecto de Ley Foral de Presupuestos Generales de Navarra para 2014 que co</w:t>
      </w:r>
      <w:r w:rsidRPr="000E2288">
        <w:rPr>
          <w:lang w:val="es-ES"/>
        </w:rPr>
        <w:t>n</w:t>
      </w:r>
      <w:r w:rsidRPr="000E2288">
        <w:rPr>
          <w:lang w:val="es-ES"/>
        </w:rPr>
        <w:t>templaba unas previsiones de 3.756,71 millones.</w:t>
      </w:r>
    </w:p>
    <w:p w:rsidR="001B3767" w:rsidRPr="000E2288" w:rsidRDefault="001B3767" w:rsidP="001B3767">
      <w:pPr>
        <w:pStyle w:val="texto"/>
        <w:rPr>
          <w:lang w:val="es-ES"/>
        </w:rPr>
      </w:pPr>
      <w:r w:rsidRPr="000E2288">
        <w:rPr>
          <w:lang w:val="es-ES"/>
        </w:rPr>
        <w:t xml:space="preserve">El Pleno del Parlamento aprobó el 10 de diciembre de 2013 una enmienda a la totalidad </w:t>
      </w:r>
      <w:r w:rsidR="00F2373B">
        <w:rPr>
          <w:lang w:val="es-ES"/>
        </w:rPr>
        <w:t>rechazando e</w:t>
      </w:r>
      <w:r w:rsidRPr="000E2288">
        <w:rPr>
          <w:lang w:val="es-ES"/>
        </w:rPr>
        <w:t>l proyecto de Ley Foral de Presupuestos Generales de Navarra para el ejercicio 2014</w:t>
      </w:r>
      <w:r w:rsidR="00F2373B">
        <w:rPr>
          <w:lang w:val="es-ES"/>
        </w:rPr>
        <w:t>. En consecuencia, se prorrogó</w:t>
      </w:r>
      <w:r w:rsidRPr="000E2288">
        <w:rPr>
          <w:lang w:val="es-ES"/>
        </w:rPr>
        <w:t xml:space="preserve"> la Ley Foral 19/2011, de 28 de diciembre, de Presupuestos Generales de 2012 con una cua</w:t>
      </w:r>
      <w:r w:rsidRPr="000E2288">
        <w:rPr>
          <w:lang w:val="es-ES"/>
        </w:rPr>
        <w:t>n</w:t>
      </w:r>
      <w:r w:rsidRPr="000E2288">
        <w:rPr>
          <w:lang w:val="es-ES"/>
        </w:rPr>
        <w:t>tía global de gastos e ingresos de 3.837,72 millones de euros.</w:t>
      </w:r>
    </w:p>
    <w:p w:rsidR="001B3767" w:rsidRPr="008D2CC2" w:rsidRDefault="001B3767" w:rsidP="008D2CC2">
      <w:pPr>
        <w:pStyle w:val="texto"/>
        <w:spacing w:before="240"/>
        <w:rPr>
          <w:rFonts w:ascii="Arial" w:hAnsi="Arial" w:cs="Arial"/>
          <w:i/>
          <w:sz w:val="23"/>
          <w:szCs w:val="23"/>
        </w:rPr>
      </w:pPr>
      <w:r w:rsidRPr="008D2CC2">
        <w:rPr>
          <w:rFonts w:ascii="Arial" w:hAnsi="Arial" w:cs="Arial"/>
          <w:i/>
          <w:sz w:val="23"/>
          <w:szCs w:val="23"/>
        </w:rPr>
        <w:t>Prórroga del presupuesto de 2012 para el ejercicio 2014</w:t>
      </w:r>
    </w:p>
    <w:p w:rsidR="00F2373B" w:rsidRDefault="00F2373B" w:rsidP="001B3767">
      <w:pPr>
        <w:pStyle w:val="texto"/>
        <w:rPr>
          <w:lang w:val="es-ES"/>
        </w:rPr>
      </w:pPr>
      <w:r>
        <w:rPr>
          <w:lang w:val="es-ES"/>
        </w:rPr>
        <w:t>La prórroga presupuestaria está regulada</w:t>
      </w:r>
      <w:r w:rsidR="00587F43">
        <w:rPr>
          <w:lang w:val="es-ES"/>
        </w:rPr>
        <w:t>, de manera general,</w:t>
      </w:r>
      <w:r>
        <w:rPr>
          <w:lang w:val="es-ES"/>
        </w:rPr>
        <w:t xml:space="preserve"> en el artículo 37 de la Ley Foral de Hacienda Pública de Navarra. </w:t>
      </w:r>
    </w:p>
    <w:p w:rsidR="00F2373B" w:rsidRPr="000E2288" w:rsidRDefault="00F2373B" w:rsidP="00F2373B">
      <w:pPr>
        <w:pStyle w:val="texto"/>
        <w:rPr>
          <w:lang w:val="es-ES"/>
        </w:rPr>
      </w:pPr>
      <w:r>
        <w:rPr>
          <w:lang w:val="es-ES"/>
        </w:rPr>
        <w:t xml:space="preserve">La regulación señala que se constituirá </w:t>
      </w:r>
      <w:r w:rsidRPr="000E2288">
        <w:rPr>
          <w:lang w:val="es-ES"/>
        </w:rPr>
        <w:t>un fondo de prórroga por la cuantía de aquellos servicios o programas concluidos al término de</w:t>
      </w:r>
      <w:r>
        <w:rPr>
          <w:lang w:val="es-ES"/>
        </w:rPr>
        <w:t xml:space="preserve">l ejercicio </w:t>
      </w:r>
      <w:r w:rsidR="001D2E5E">
        <w:rPr>
          <w:lang w:val="es-ES"/>
        </w:rPr>
        <w:t xml:space="preserve">cuyos presupuestos </w:t>
      </w:r>
      <w:r>
        <w:rPr>
          <w:lang w:val="es-ES"/>
        </w:rPr>
        <w:t>se prorrog</w:t>
      </w:r>
      <w:r w:rsidR="001D2E5E">
        <w:rPr>
          <w:lang w:val="es-ES"/>
        </w:rPr>
        <w:t>uen</w:t>
      </w:r>
      <w:r w:rsidRPr="000E2288">
        <w:rPr>
          <w:lang w:val="es-ES"/>
        </w:rPr>
        <w:t xml:space="preserve"> y obligaciones extinguidas en el mismo.</w:t>
      </w:r>
    </w:p>
    <w:p w:rsidR="00BA2465" w:rsidRDefault="001C5AB9" w:rsidP="001C5AB9">
      <w:pPr>
        <w:pStyle w:val="texto"/>
        <w:rPr>
          <w:lang w:val="es-ES"/>
        </w:rPr>
      </w:pPr>
      <w:r>
        <w:rPr>
          <w:lang w:val="es-ES"/>
        </w:rPr>
        <w:t xml:space="preserve">No se calculó el </w:t>
      </w:r>
      <w:r w:rsidRPr="000E2288">
        <w:rPr>
          <w:lang w:val="es-ES"/>
        </w:rPr>
        <w:t xml:space="preserve">fondo de prórroga </w:t>
      </w:r>
      <w:r>
        <w:rPr>
          <w:lang w:val="es-ES"/>
        </w:rPr>
        <w:t>en la manera establecida en la Ley de Hacienda Pública</w:t>
      </w:r>
      <w:r w:rsidR="00BA13B2">
        <w:rPr>
          <w:lang w:val="es-ES"/>
        </w:rPr>
        <w:t>, sino como la diferencia entre los ingresos del presupuesto de 2012, 3.837,72 millones y la previsión de ingresos del proyecto de presupue</w:t>
      </w:r>
      <w:r w:rsidR="00BA13B2">
        <w:rPr>
          <w:lang w:val="es-ES"/>
        </w:rPr>
        <w:t>s</w:t>
      </w:r>
      <w:r w:rsidR="00BA13B2">
        <w:rPr>
          <w:lang w:val="es-ES"/>
        </w:rPr>
        <w:t>tos de 2014, 3.756,71 millones.</w:t>
      </w:r>
    </w:p>
    <w:p w:rsidR="00BA2465" w:rsidRDefault="00BA2465" w:rsidP="00BA2465">
      <w:pPr>
        <w:pStyle w:val="texto"/>
        <w:rPr>
          <w:lang w:val="es-ES"/>
        </w:rPr>
      </w:pPr>
      <w:r>
        <w:rPr>
          <w:lang w:val="es-ES"/>
        </w:rPr>
        <w:t>Si bien los criterios aplicados para la prórroga pueden responder a las ex</w:t>
      </w:r>
      <w:r>
        <w:rPr>
          <w:lang w:val="es-ES"/>
        </w:rPr>
        <w:t>i</w:t>
      </w:r>
      <w:r>
        <w:rPr>
          <w:lang w:val="es-ES"/>
        </w:rPr>
        <w:t>gencias de la Ley Orgánica 2/2012 de Estabilidad Presupuestaria y Sostenibil</w:t>
      </w:r>
      <w:r>
        <w:rPr>
          <w:lang w:val="es-ES"/>
        </w:rPr>
        <w:t>i</w:t>
      </w:r>
      <w:r>
        <w:rPr>
          <w:lang w:val="es-ES"/>
        </w:rPr>
        <w:t>dad Financiera que debe cumplir el presupuesto prorrogado para el ejercicio 2014, entre ellos, el límite de gasto no financiero que el Gobierno había apr</w:t>
      </w:r>
      <w:r>
        <w:rPr>
          <w:lang w:val="es-ES"/>
        </w:rPr>
        <w:t>o</w:t>
      </w:r>
      <w:r>
        <w:rPr>
          <w:lang w:val="es-ES"/>
        </w:rPr>
        <w:t>bado para 2014, no consta en el informe sobre la prórroga los ajustes al pres</w:t>
      </w:r>
      <w:r>
        <w:rPr>
          <w:lang w:val="es-ES"/>
        </w:rPr>
        <w:t>u</w:t>
      </w:r>
      <w:r>
        <w:rPr>
          <w:lang w:val="es-ES"/>
        </w:rPr>
        <w:t xml:space="preserve">puesto prorrogado de 2012 necesarios para dar cumplimiento a los objetivos de </w:t>
      </w:r>
      <w:r w:rsidR="00587F43">
        <w:rPr>
          <w:lang w:val="es-ES"/>
        </w:rPr>
        <w:t>la citada ley orgánica</w:t>
      </w:r>
      <w:r>
        <w:rPr>
          <w:lang w:val="es-ES"/>
        </w:rPr>
        <w:t xml:space="preserve">. </w:t>
      </w:r>
    </w:p>
    <w:p w:rsidR="009912C4" w:rsidRPr="000E2288" w:rsidRDefault="001B3767" w:rsidP="009912C4">
      <w:pPr>
        <w:pStyle w:val="texto"/>
        <w:rPr>
          <w:lang w:val="es-ES"/>
        </w:rPr>
      </w:pPr>
      <w:r w:rsidRPr="000E2288">
        <w:rPr>
          <w:lang w:val="es-ES"/>
        </w:rPr>
        <w:t xml:space="preserve">El presupuesto prorrogado </w:t>
      </w:r>
      <w:r w:rsidR="00BA2465">
        <w:rPr>
          <w:lang w:val="es-ES"/>
        </w:rPr>
        <w:t xml:space="preserve">para 2014 </w:t>
      </w:r>
      <w:r w:rsidRPr="000E2288">
        <w:rPr>
          <w:lang w:val="es-ES"/>
        </w:rPr>
        <w:t>incluye créditos para gastos que no constituyen gastos comprometidos en ejercicios anteriores ni son obligatorios por normativa de rango legal y de los que debe darse cuenta al Parlamento.</w:t>
      </w:r>
    </w:p>
    <w:p w:rsidR="001B3767" w:rsidRPr="009A2221" w:rsidRDefault="001B3767" w:rsidP="001B3767">
      <w:pPr>
        <w:pStyle w:val="texto"/>
        <w:rPr>
          <w:w w:val="98"/>
          <w:lang w:val="es-ES"/>
        </w:rPr>
      </w:pPr>
      <w:r w:rsidRPr="000E2288">
        <w:rPr>
          <w:lang w:val="es-ES"/>
        </w:rPr>
        <w:t xml:space="preserve">En conclusión, entendemos </w:t>
      </w:r>
      <w:r w:rsidR="00587F43">
        <w:rPr>
          <w:lang w:val="es-ES"/>
        </w:rPr>
        <w:t xml:space="preserve">que </w:t>
      </w:r>
      <w:r w:rsidR="002964EA">
        <w:rPr>
          <w:lang w:val="es-ES"/>
        </w:rPr>
        <w:t>el</w:t>
      </w:r>
      <w:r w:rsidR="00587F43">
        <w:rPr>
          <w:lang w:val="es-ES"/>
        </w:rPr>
        <w:t xml:space="preserve"> fondo de prórroga </w:t>
      </w:r>
      <w:r w:rsidR="002964EA">
        <w:rPr>
          <w:lang w:val="es-ES"/>
        </w:rPr>
        <w:t>no se calculó conforme a la</w:t>
      </w:r>
      <w:r w:rsidR="002964EA" w:rsidRPr="000E2288">
        <w:rPr>
          <w:lang w:val="es-ES"/>
        </w:rPr>
        <w:t xml:space="preserve"> Ley Foral de Hacien</w:t>
      </w:r>
      <w:r w:rsidR="002964EA">
        <w:rPr>
          <w:lang w:val="es-ES"/>
        </w:rPr>
        <w:t xml:space="preserve">da Pública </w:t>
      </w:r>
      <w:r w:rsidR="00587F43">
        <w:rPr>
          <w:lang w:val="es-ES"/>
        </w:rPr>
        <w:t xml:space="preserve">y </w:t>
      </w:r>
      <w:r w:rsidR="002964EA">
        <w:rPr>
          <w:lang w:val="es-ES"/>
        </w:rPr>
        <w:t xml:space="preserve">que </w:t>
      </w:r>
      <w:r w:rsidR="00587F43">
        <w:rPr>
          <w:lang w:val="es-ES"/>
        </w:rPr>
        <w:t>la prórroga de los gastos no compr</w:t>
      </w:r>
      <w:r w:rsidR="00587F43">
        <w:rPr>
          <w:lang w:val="es-ES"/>
        </w:rPr>
        <w:t>o</w:t>
      </w:r>
      <w:r w:rsidR="00587F43">
        <w:rPr>
          <w:lang w:val="es-ES"/>
        </w:rPr>
        <w:t xml:space="preserve">metidos u obligatorios </w:t>
      </w:r>
      <w:r w:rsidRPr="000E2288">
        <w:rPr>
          <w:lang w:val="es-ES"/>
        </w:rPr>
        <w:t>no se tramit</w:t>
      </w:r>
      <w:r w:rsidR="002964EA">
        <w:rPr>
          <w:lang w:val="es-ES"/>
        </w:rPr>
        <w:t>ó</w:t>
      </w:r>
      <w:r w:rsidRPr="000E2288">
        <w:rPr>
          <w:lang w:val="es-ES"/>
        </w:rPr>
        <w:t xml:space="preserve"> conforme </w:t>
      </w:r>
      <w:r w:rsidR="009912C4">
        <w:rPr>
          <w:lang w:val="es-ES"/>
        </w:rPr>
        <w:t>a</w:t>
      </w:r>
      <w:r w:rsidRPr="000E2288">
        <w:rPr>
          <w:lang w:val="es-ES"/>
        </w:rPr>
        <w:t xml:space="preserve"> la </w:t>
      </w:r>
      <w:r w:rsidR="002964EA">
        <w:rPr>
          <w:lang w:val="es-ES"/>
        </w:rPr>
        <w:t>citada Ley Foral</w:t>
      </w:r>
      <w:r w:rsidR="009912C4">
        <w:rPr>
          <w:lang w:val="es-ES"/>
        </w:rPr>
        <w:t xml:space="preserve">, si </w:t>
      </w:r>
      <w:r w:rsidR="009912C4" w:rsidRPr="009A2221">
        <w:rPr>
          <w:w w:val="98"/>
          <w:lang w:val="es-ES"/>
        </w:rPr>
        <w:t>bien la tramitación ha respondido, en parte, a las exigencias de estabilidad presupuest</w:t>
      </w:r>
      <w:r w:rsidR="009912C4" w:rsidRPr="009A2221">
        <w:rPr>
          <w:w w:val="98"/>
          <w:lang w:val="es-ES"/>
        </w:rPr>
        <w:t>a</w:t>
      </w:r>
      <w:r w:rsidR="009912C4" w:rsidRPr="009A2221">
        <w:rPr>
          <w:w w:val="98"/>
          <w:lang w:val="es-ES"/>
        </w:rPr>
        <w:lastRenderedPageBreak/>
        <w:t xml:space="preserve">ria que debe cumplir el presupuesto prorrogado y a una interpretación </w:t>
      </w:r>
      <w:r w:rsidR="00587F43">
        <w:rPr>
          <w:w w:val="98"/>
          <w:lang w:val="es-ES"/>
        </w:rPr>
        <w:t>amplia y flexible de la</w:t>
      </w:r>
      <w:r w:rsidR="00770FBA" w:rsidRPr="009A2221">
        <w:rPr>
          <w:w w:val="98"/>
          <w:lang w:val="es-ES"/>
        </w:rPr>
        <w:t xml:space="preserve"> </w:t>
      </w:r>
      <w:r w:rsidR="009912C4" w:rsidRPr="009A2221">
        <w:rPr>
          <w:w w:val="98"/>
          <w:lang w:val="es-ES"/>
        </w:rPr>
        <w:t>regulación del procedimiento de prórroga en la Ley</w:t>
      </w:r>
      <w:r w:rsidR="00587F43">
        <w:rPr>
          <w:w w:val="98"/>
          <w:lang w:val="es-ES"/>
        </w:rPr>
        <w:t xml:space="preserve"> Foral de H</w:t>
      </w:r>
      <w:r w:rsidR="00587F43">
        <w:rPr>
          <w:w w:val="98"/>
          <w:lang w:val="es-ES"/>
        </w:rPr>
        <w:t>a</w:t>
      </w:r>
      <w:r w:rsidR="00587F43">
        <w:rPr>
          <w:w w:val="98"/>
          <w:lang w:val="es-ES"/>
        </w:rPr>
        <w:t>cienda Pública</w:t>
      </w:r>
      <w:r w:rsidR="009912C4" w:rsidRPr="009A2221">
        <w:rPr>
          <w:w w:val="98"/>
          <w:lang w:val="es-ES"/>
        </w:rPr>
        <w:t xml:space="preserve">.   </w:t>
      </w:r>
    </w:p>
    <w:p w:rsidR="001B3767" w:rsidRPr="00A33ED0" w:rsidRDefault="001B3767" w:rsidP="00DE4196">
      <w:pPr>
        <w:pStyle w:val="texto"/>
        <w:spacing w:before="200" w:after="200"/>
        <w:rPr>
          <w:rFonts w:ascii="Arial" w:hAnsi="Arial" w:cs="Arial"/>
          <w:i/>
          <w:sz w:val="24"/>
        </w:rPr>
      </w:pPr>
      <w:r w:rsidRPr="00A33ED0">
        <w:rPr>
          <w:rFonts w:ascii="Arial" w:hAnsi="Arial" w:cs="Arial"/>
          <w:i/>
          <w:sz w:val="24"/>
        </w:rPr>
        <w:t>Modificaciones presupuestarias</w:t>
      </w:r>
    </w:p>
    <w:p w:rsidR="00532491" w:rsidRDefault="001B3767" w:rsidP="00DE4196">
      <w:pPr>
        <w:pStyle w:val="texto"/>
        <w:spacing w:after="100"/>
        <w:rPr>
          <w:lang w:val="es-ES"/>
        </w:rPr>
      </w:pPr>
      <w:r w:rsidRPr="000E2288">
        <w:rPr>
          <w:lang w:val="es-ES"/>
        </w:rPr>
        <w:t xml:space="preserve">Las modificaciones presupuestarias de gastos aprobadas durante el año 2014 ascendieron a </w:t>
      </w:r>
      <w:r w:rsidR="001870E3">
        <w:rPr>
          <w:lang w:val="es-ES"/>
        </w:rPr>
        <w:t>240,26</w:t>
      </w:r>
      <w:r w:rsidRPr="000E2288">
        <w:rPr>
          <w:lang w:val="es-ES"/>
        </w:rPr>
        <w:t xml:space="preserve"> millones de euros. De este importe, 98,88 millones c</w:t>
      </w:r>
      <w:r w:rsidRPr="000E2288">
        <w:rPr>
          <w:lang w:val="es-ES"/>
        </w:rPr>
        <w:t>o</w:t>
      </w:r>
      <w:r w:rsidRPr="000E2288">
        <w:rPr>
          <w:lang w:val="es-ES"/>
        </w:rPr>
        <w:t xml:space="preserve">rresponden a ampliaciones </w:t>
      </w:r>
      <w:r w:rsidR="006848FC">
        <w:rPr>
          <w:lang w:val="es-ES"/>
        </w:rPr>
        <w:t xml:space="preserve">y suplementos </w:t>
      </w:r>
      <w:r w:rsidRPr="000E2288">
        <w:rPr>
          <w:lang w:val="es-ES"/>
        </w:rPr>
        <w:t>de crédito financiad</w:t>
      </w:r>
      <w:r w:rsidR="006848FC">
        <w:rPr>
          <w:lang w:val="es-ES"/>
        </w:rPr>
        <w:t>o</w:t>
      </w:r>
      <w:r w:rsidRPr="000E2288">
        <w:rPr>
          <w:lang w:val="es-ES"/>
        </w:rPr>
        <w:t>s con créditos disponibles en partidas de gastos</w:t>
      </w:r>
      <w:r w:rsidR="001870E3">
        <w:rPr>
          <w:lang w:val="es-ES"/>
        </w:rPr>
        <w:t xml:space="preserve"> y 16,19 millon</w:t>
      </w:r>
      <w:r w:rsidRPr="000E2288">
        <w:rPr>
          <w:lang w:val="es-ES"/>
        </w:rPr>
        <w:t>e</w:t>
      </w:r>
      <w:r w:rsidR="001870E3">
        <w:rPr>
          <w:lang w:val="es-ES"/>
        </w:rPr>
        <w:t>s a</w:t>
      </w:r>
      <w:r w:rsidRPr="000E2288">
        <w:rPr>
          <w:lang w:val="es-ES"/>
        </w:rPr>
        <w:t xml:space="preserve"> transferencias de crédito</w:t>
      </w:r>
    </w:p>
    <w:p w:rsidR="001B3767" w:rsidRPr="000E2288" w:rsidRDefault="001B3767" w:rsidP="00DE4196">
      <w:pPr>
        <w:pStyle w:val="texto"/>
        <w:spacing w:after="100"/>
        <w:rPr>
          <w:lang w:val="es-ES"/>
        </w:rPr>
      </w:pPr>
      <w:r w:rsidRPr="000E2288">
        <w:rPr>
          <w:lang w:val="es-ES"/>
        </w:rPr>
        <w:t xml:space="preserve"> Por tanto, </w:t>
      </w:r>
      <w:r w:rsidR="00C33A46">
        <w:rPr>
          <w:lang w:val="es-ES"/>
        </w:rPr>
        <w:t>si no tenemos en cuenta las modificaciones financiadas con créd</w:t>
      </w:r>
      <w:r w:rsidR="00C33A46">
        <w:rPr>
          <w:lang w:val="es-ES"/>
        </w:rPr>
        <w:t>i</w:t>
      </w:r>
      <w:r w:rsidR="00C33A46">
        <w:rPr>
          <w:lang w:val="es-ES"/>
        </w:rPr>
        <w:t>tos disponible</w:t>
      </w:r>
      <w:r w:rsidR="005118D7">
        <w:rPr>
          <w:lang w:val="es-ES"/>
        </w:rPr>
        <w:t>s</w:t>
      </w:r>
      <w:r w:rsidR="00C33A46">
        <w:rPr>
          <w:lang w:val="es-ES"/>
        </w:rPr>
        <w:t xml:space="preserve">, </w:t>
      </w:r>
      <w:r w:rsidRPr="000E2288">
        <w:rPr>
          <w:lang w:val="es-ES"/>
        </w:rPr>
        <w:t>solamente el tres por ciento de los créditos iniciales fueron i</w:t>
      </w:r>
      <w:r w:rsidRPr="000E2288">
        <w:rPr>
          <w:lang w:val="es-ES"/>
        </w:rPr>
        <w:t>n</w:t>
      </w:r>
      <w:r w:rsidRPr="000E2288">
        <w:rPr>
          <w:lang w:val="es-ES"/>
        </w:rPr>
        <w:t xml:space="preserve">crementados.  </w:t>
      </w:r>
    </w:p>
    <w:p w:rsidR="001B3767" w:rsidRPr="000E2288" w:rsidRDefault="001B3767" w:rsidP="00DE4196">
      <w:pPr>
        <w:pStyle w:val="texto"/>
        <w:spacing w:after="100"/>
        <w:rPr>
          <w:lang w:val="es-ES"/>
        </w:rPr>
      </w:pPr>
      <w:r w:rsidRPr="000E2288">
        <w:rPr>
          <w:lang w:val="es-ES"/>
        </w:rPr>
        <w:t xml:space="preserve">La </w:t>
      </w:r>
      <w:r w:rsidR="00587F43">
        <w:rPr>
          <w:lang w:val="es-ES"/>
        </w:rPr>
        <w:t>C</w:t>
      </w:r>
      <w:r w:rsidRPr="000E2288">
        <w:rPr>
          <w:lang w:val="es-ES"/>
        </w:rPr>
        <w:t>ámara de Comptos emitió, a solicitud del Parlamento, informes de leg</w:t>
      </w:r>
      <w:r w:rsidRPr="000E2288">
        <w:rPr>
          <w:lang w:val="es-ES"/>
        </w:rPr>
        <w:t>a</w:t>
      </w:r>
      <w:r w:rsidRPr="000E2288">
        <w:rPr>
          <w:lang w:val="es-ES"/>
        </w:rPr>
        <w:t>lidad sobre las modificaciones presupuestarias del ejercicio concluyendo que fueron aprobadas por el órgano competente y se respetaron las limitaciones l</w:t>
      </w:r>
      <w:r w:rsidRPr="000E2288">
        <w:rPr>
          <w:lang w:val="es-ES"/>
        </w:rPr>
        <w:t>e</w:t>
      </w:r>
      <w:r w:rsidRPr="000E2288">
        <w:rPr>
          <w:lang w:val="es-ES"/>
        </w:rPr>
        <w:t>gales establecidas en la normativa presupuestaria aprobada, entre ellas, la pe</w:t>
      </w:r>
      <w:r w:rsidRPr="000E2288">
        <w:rPr>
          <w:lang w:val="es-ES"/>
        </w:rPr>
        <w:t>r</w:t>
      </w:r>
      <w:r w:rsidRPr="000E2288">
        <w:rPr>
          <w:lang w:val="es-ES"/>
        </w:rPr>
        <w:t xml:space="preserve">tinencia de las fuentes de financiación. </w:t>
      </w:r>
    </w:p>
    <w:p w:rsidR="001B3767" w:rsidRPr="000E2288" w:rsidRDefault="001B3767" w:rsidP="00DE4196">
      <w:pPr>
        <w:pStyle w:val="texto"/>
        <w:spacing w:after="100"/>
        <w:rPr>
          <w:lang w:val="es-ES"/>
        </w:rPr>
      </w:pPr>
      <w:r w:rsidRPr="000E2288">
        <w:rPr>
          <w:lang w:val="es-ES"/>
        </w:rPr>
        <w:t xml:space="preserve">Los créditos no disponibles al cierre del ejercicio 2014 ascendían </w:t>
      </w:r>
      <w:r w:rsidR="0035527F">
        <w:rPr>
          <w:lang w:val="es-ES"/>
        </w:rPr>
        <w:t xml:space="preserve">a </w:t>
      </w:r>
      <w:r w:rsidRPr="000E2288">
        <w:rPr>
          <w:lang w:val="es-ES"/>
        </w:rPr>
        <w:t>5,67 m</w:t>
      </w:r>
      <w:r w:rsidRPr="000E2288">
        <w:rPr>
          <w:lang w:val="es-ES"/>
        </w:rPr>
        <w:t>i</w:t>
      </w:r>
      <w:r w:rsidRPr="000E2288">
        <w:rPr>
          <w:lang w:val="es-ES"/>
        </w:rPr>
        <w:t xml:space="preserve">llones de euros y corresponden a transferencias de capital a entidades locales </w:t>
      </w:r>
      <w:r w:rsidR="005118D7">
        <w:rPr>
          <w:lang w:val="es-ES"/>
        </w:rPr>
        <w:t>en el marco de</w:t>
      </w:r>
      <w:r w:rsidRPr="000E2288">
        <w:rPr>
          <w:lang w:val="es-ES"/>
        </w:rPr>
        <w:t>l Plan de Inversiones 2009-201</w:t>
      </w:r>
      <w:r w:rsidR="005118D7">
        <w:rPr>
          <w:lang w:val="es-ES"/>
        </w:rPr>
        <w:t>2</w:t>
      </w:r>
      <w:r w:rsidRPr="000E2288">
        <w:rPr>
          <w:lang w:val="es-ES"/>
        </w:rPr>
        <w:t xml:space="preserve">. </w:t>
      </w:r>
    </w:p>
    <w:p w:rsidR="001B3767" w:rsidRDefault="001B3767" w:rsidP="00DE4196">
      <w:pPr>
        <w:pStyle w:val="texto"/>
        <w:spacing w:after="100"/>
        <w:rPr>
          <w:lang w:val="es-ES"/>
        </w:rPr>
      </w:pPr>
      <w:r w:rsidRPr="000E2288">
        <w:rPr>
          <w:lang w:val="es-ES"/>
        </w:rPr>
        <w:t>No consta la aprobación de la no disponibilidad de los créditos.</w:t>
      </w:r>
    </w:p>
    <w:p w:rsidR="0097595D" w:rsidRPr="00A33ED0" w:rsidRDefault="0097595D" w:rsidP="00DE4196">
      <w:pPr>
        <w:pStyle w:val="texto"/>
        <w:spacing w:after="100"/>
      </w:pPr>
      <w:r w:rsidRPr="00A33ED0">
        <w:t>Recomendamos:</w:t>
      </w:r>
    </w:p>
    <w:p w:rsidR="0097595D" w:rsidRDefault="0097595D"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cs="Arial"/>
          <w:i/>
        </w:rPr>
      </w:pPr>
      <w:r>
        <w:rPr>
          <w:i/>
        </w:rPr>
        <w:t xml:space="preserve"> D</w:t>
      </w:r>
      <w:r w:rsidRPr="0097595D">
        <w:rPr>
          <w:rFonts w:cs="Arial"/>
          <w:i/>
        </w:rPr>
        <w:t xml:space="preserve">esarrollar la regulación del procedimiento de prórroga presupuestaria en la Ley de Hacienda Pública, contemplando en la misma las exigencias de la </w:t>
      </w:r>
      <w:r w:rsidR="0035527F" w:rsidRPr="0097595D">
        <w:rPr>
          <w:rFonts w:cs="Arial"/>
          <w:i/>
        </w:rPr>
        <w:t xml:space="preserve">Ley </w:t>
      </w:r>
      <w:r w:rsidRPr="0097595D">
        <w:rPr>
          <w:rFonts w:cs="Arial"/>
          <w:i/>
        </w:rPr>
        <w:t xml:space="preserve">de </w:t>
      </w:r>
      <w:r w:rsidR="0035527F" w:rsidRPr="0097595D">
        <w:rPr>
          <w:rFonts w:cs="Arial"/>
          <w:i/>
        </w:rPr>
        <w:t xml:space="preserve">Estabilidad Presupuestaria </w:t>
      </w:r>
      <w:r w:rsidRPr="0097595D">
        <w:rPr>
          <w:rFonts w:cs="Arial"/>
          <w:i/>
        </w:rPr>
        <w:t xml:space="preserve">y </w:t>
      </w:r>
      <w:r w:rsidR="0035527F" w:rsidRPr="0097595D">
        <w:rPr>
          <w:rFonts w:cs="Arial"/>
          <w:i/>
        </w:rPr>
        <w:t>Sostenibilidad Financiera</w:t>
      </w:r>
      <w:r w:rsidRPr="0097595D">
        <w:rPr>
          <w:rFonts w:cs="Arial"/>
          <w:i/>
        </w:rPr>
        <w:t>.</w:t>
      </w:r>
    </w:p>
    <w:p w:rsidR="001C5AB9" w:rsidRPr="00770FBA" w:rsidRDefault="001C5AB9"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cs="Arial"/>
          <w:i/>
        </w:rPr>
      </w:pPr>
      <w:r>
        <w:rPr>
          <w:i/>
        </w:rPr>
        <w:t xml:space="preserve">Calcular el fondo de prórroga conforme al criterio establecido en la Ley de Hacienda Pública y dar cuenta al Parlamento de aquellos créditos que no constituyen gastos comprometidos en ejercicios anteriores ni son obligatorios por normativa legal. </w:t>
      </w:r>
    </w:p>
    <w:p w:rsidR="00770FBA" w:rsidRDefault="00770FBA" w:rsidP="00DE4196">
      <w:pPr>
        <w:pStyle w:val="texto"/>
        <w:numPr>
          <w:ilvl w:val="0"/>
          <w:numId w:val="11"/>
        </w:numPr>
        <w:tabs>
          <w:tab w:val="clear" w:pos="2835"/>
          <w:tab w:val="clear" w:pos="3969"/>
          <w:tab w:val="clear" w:pos="5103"/>
          <w:tab w:val="clear" w:pos="6237"/>
          <w:tab w:val="clear" w:pos="7371"/>
          <w:tab w:val="left" w:pos="480"/>
          <w:tab w:val="num" w:pos="600"/>
          <w:tab w:val="num" w:pos="720"/>
        </w:tabs>
        <w:spacing w:after="100"/>
        <w:ind w:left="0" w:firstLine="290"/>
        <w:rPr>
          <w:rFonts w:cs="Arial"/>
          <w:i/>
        </w:rPr>
      </w:pPr>
      <w:r>
        <w:rPr>
          <w:i/>
        </w:rPr>
        <w:t>Completar el informe sobre la prórroga</w:t>
      </w:r>
      <w:r w:rsidR="0035527F">
        <w:rPr>
          <w:i/>
        </w:rPr>
        <w:t>,</w:t>
      </w:r>
      <w:r>
        <w:rPr>
          <w:i/>
        </w:rPr>
        <w:t xml:space="preserve"> incluyendo un análisis de los ajustes necesarios al presupuesto prorrogado para cumplir los objetivos de e</w:t>
      </w:r>
      <w:r>
        <w:rPr>
          <w:i/>
        </w:rPr>
        <w:t>s</w:t>
      </w:r>
      <w:r>
        <w:rPr>
          <w:i/>
        </w:rPr>
        <w:t>tabilidad presupuestaria.</w:t>
      </w:r>
    </w:p>
    <w:p w:rsidR="00411717" w:rsidRPr="00411717" w:rsidRDefault="00BC5493" w:rsidP="0031111E">
      <w:pPr>
        <w:pStyle w:val="texto"/>
        <w:numPr>
          <w:ilvl w:val="0"/>
          <w:numId w:val="11"/>
        </w:numPr>
        <w:tabs>
          <w:tab w:val="clear" w:pos="2835"/>
          <w:tab w:val="clear" w:pos="3969"/>
          <w:tab w:val="clear" w:pos="5103"/>
          <w:tab w:val="clear" w:pos="6237"/>
          <w:tab w:val="clear" w:pos="7371"/>
          <w:tab w:val="left" w:pos="480"/>
          <w:tab w:val="num" w:pos="600"/>
          <w:tab w:val="num" w:pos="720"/>
        </w:tabs>
        <w:spacing w:after="200"/>
        <w:ind w:left="0" w:firstLine="289"/>
        <w:rPr>
          <w:i/>
        </w:rPr>
      </w:pPr>
      <w:r w:rsidRPr="00411717">
        <w:rPr>
          <w:i/>
        </w:rPr>
        <w:t xml:space="preserve">En la medida </w:t>
      </w:r>
      <w:r w:rsidR="00411717" w:rsidRPr="00411717">
        <w:rPr>
          <w:i/>
        </w:rPr>
        <w:t xml:space="preserve">en </w:t>
      </w:r>
      <w:r w:rsidRPr="00411717">
        <w:rPr>
          <w:i/>
        </w:rPr>
        <w:t>que la no disponibilidad de los créditos supone la inmov</w:t>
      </w:r>
      <w:r w:rsidRPr="00411717">
        <w:rPr>
          <w:i/>
        </w:rPr>
        <w:t>i</w:t>
      </w:r>
      <w:r w:rsidRPr="00411717">
        <w:rPr>
          <w:i/>
        </w:rPr>
        <w:t>lizaci</w:t>
      </w:r>
      <w:r w:rsidR="00411717" w:rsidRPr="00411717">
        <w:rPr>
          <w:i/>
        </w:rPr>
        <w:t>ó</w:t>
      </w:r>
      <w:r w:rsidRPr="00411717">
        <w:rPr>
          <w:i/>
        </w:rPr>
        <w:t>n del saldo de</w:t>
      </w:r>
      <w:r w:rsidR="00E664EF">
        <w:rPr>
          <w:i/>
        </w:rPr>
        <w:t>l</w:t>
      </w:r>
      <w:r w:rsidRPr="00411717">
        <w:rPr>
          <w:i/>
        </w:rPr>
        <w:t xml:space="preserve"> crédito </w:t>
      </w:r>
      <w:r w:rsidR="00411717" w:rsidRPr="00411717">
        <w:rPr>
          <w:i/>
        </w:rPr>
        <w:t>disponible de una partida presupuestaria decl</w:t>
      </w:r>
      <w:r w:rsidR="00411717" w:rsidRPr="00411717">
        <w:rPr>
          <w:i/>
        </w:rPr>
        <w:t>a</w:t>
      </w:r>
      <w:r w:rsidR="00411717" w:rsidRPr="00411717">
        <w:rPr>
          <w:i/>
        </w:rPr>
        <w:t>rándolo como no utilizable</w:t>
      </w:r>
      <w:r w:rsidR="00DE5A14">
        <w:rPr>
          <w:i/>
        </w:rPr>
        <w:t>,</w:t>
      </w:r>
      <w:r w:rsidR="0035527F">
        <w:rPr>
          <w:i/>
        </w:rPr>
        <w:t xml:space="preserve"> el órgano competente debe</w:t>
      </w:r>
      <w:r w:rsidR="00411717" w:rsidRPr="00411717">
        <w:rPr>
          <w:i/>
        </w:rPr>
        <w:t xml:space="preserve"> </w:t>
      </w:r>
      <w:r w:rsidRPr="00411717">
        <w:rPr>
          <w:i/>
        </w:rPr>
        <w:t xml:space="preserve">aprobar expresamente </w:t>
      </w:r>
      <w:r w:rsidR="00411717" w:rsidRPr="00411717">
        <w:rPr>
          <w:i/>
        </w:rPr>
        <w:t>la declaración de no disponibilidad de créditos.</w:t>
      </w:r>
    </w:p>
    <w:p w:rsidR="001B3767" w:rsidRPr="00105425" w:rsidRDefault="001B3767" w:rsidP="0031111E">
      <w:pPr>
        <w:pStyle w:val="atitulo2"/>
        <w:spacing w:before="180" w:after="140"/>
        <w:rPr>
          <w:color w:val="auto"/>
        </w:rPr>
      </w:pPr>
      <w:bookmarkStart w:id="63" w:name="_Toc434399403"/>
      <w:r w:rsidRPr="00105425">
        <w:rPr>
          <w:color w:val="auto"/>
        </w:rPr>
        <w:t>VII.2. Liquidación del presupuesto del ejercicio 2014</w:t>
      </w:r>
      <w:bookmarkEnd w:id="63"/>
      <w:r w:rsidRPr="00105425">
        <w:rPr>
          <w:color w:val="auto"/>
        </w:rPr>
        <w:t xml:space="preserve"> </w:t>
      </w:r>
    </w:p>
    <w:p w:rsidR="001B3767" w:rsidRPr="00846868" w:rsidRDefault="001B3767" w:rsidP="00DE4196">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 xml:space="preserve">Los derechos </w:t>
      </w:r>
      <w:r w:rsidR="00DE5A14">
        <w:rPr>
          <w:rFonts w:cs="Arial"/>
        </w:rPr>
        <w:t xml:space="preserve">netos </w:t>
      </w:r>
      <w:r w:rsidRPr="00846868">
        <w:rPr>
          <w:rFonts w:cs="Arial"/>
        </w:rPr>
        <w:t>reconocidos en 2014 ascendieron a 3.855,98 millones de euros, presentando un grado de ejecución del 97 por ciento de las previsi</w:t>
      </w:r>
      <w:r w:rsidRPr="00846868">
        <w:rPr>
          <w:rFonts w:cs="Arial"/>
        </w:rPr>
        <w:t>o</w:t>
      </w:r>
      <w:r w:rsidRPr="00846868">
        <w:rPr>
          <w:rFonts w:cs="Arial"/>
        </w:rPr>
        <w:lastRenderedPageBreak/>
        <w:t>nes definitivas. Difiere significativamente de este porcentaje la ejecución de los capítulos de enajenación de inversiones y transferencias corrientes con un gr</w:t>
      </w:r>
      <w:r w:rsidRPr="00846868">
        <w:rPr>
          <w:rFonts w:cs="Arial"/>
        </w:rPr>
        <w:t>a</w:t>
      </w:r>
      <w:r w:rsidRPr="00846868">
        <w:rPr>
          <w:rFonts w:cs="Arial"/>
        </w:rPr>
        <w:t>do de ejecución del 20 y 48 por ciento, respectivamente, y los ingresos patr</w:t>
      </w:r>
      <w:r w:rsidRPr="00846868">
        <w:rPr>
          <w:rFonts w:cs="Arial"/>
        </w:rPr>
        <w:t>i</w:t>
      </w:r>
      <w:r w:rsidRPr="00846868">
        <w:rPr>
          <w:rFonts w:cs="Arial"/>
        </w:rPr>
        <w:t>moniales y las transferencias de capital que se ejecutaron en un 141 y 238 por ciento, respectivamente, de las previsiones definitivas.</w:t>
      </w:r>
    </w:p>
    <w:p w:rsidR="001B3767" w:rsidRPr="000E2288" w:rsidRDefault="001B3767" w:rsidP="00DE4196">
      <w:pPr>
        <w:pStyle w:val="texto"/>
        <w:rPr>
          <w:lang w:val="es-ES"/>
        </w:rPr>
      </w:pPr>
      <w:r w:rsidRPr="000E2288">
        <w:rPr>
          <w:lang w:val="es-ES"/>
        </w:rPr>
        <w:t>El 41 por ciento de los derechos reconocidos corresponde a impuestos ind</w:t>
      </w:r>
      <w:r w:rsidRPr="000E2288">
        <w:rPr>
          <w:lang w:val="es-ES"/>
        </w:rPr>
        <w:t>i</w:t>
      </w:r>
      <w:r w:rsidRPr="000E2288">
        <w:rPr>
          <w:lang w:val="es-ES"/>
        </w:rPr>
        <w:t>rectos, un 37 por ciento a impuestos directos y un 13 por ciento a pasivos f</w:t>
      </w:r>
      <w:r w:rsidRPr="000E2288">
        <w:rPr>
          <w:lang w:val="es-ES"/>
        </w:rPr>
        <w:t>i</w:t>
      </w:r>
      <w:r w:rsidRPr="000E2288">
        <w:rPr>
          <w:lang w:val="es-ES"/>
        </w:rPr>
        <w:t>nancieros.</w:t>
      </w:r>
    </w:p>
    <w:p w:rsidR="001B3767" w:rsidRPr="000E2288" w:rsidRDefault="001B3767" w:rsidP="00DE4196">
      <w:pPr>
        <w:pStyle w:val="texto"/>
        <w:rPr>
          <w:lang w:val="es-ES"/>
        </w:rPr>
      </w:pPr>
      <w:r w:rsidRPr="000E2288">
        <w:rPr>
          <w:lang w:val="es-ES"/>
        </w:rPr>
        <w:t>Los derechos reconocidos de 2014 fueron un tres por ciento superiores a los del ejercicio 2013, esto es, 123,45 millones más. Esta variación se explica fu</w:t>
      </w:r>
      <w:r w:rsidRPr="000E2288">
        <w:rPr>
          <w:lang w:val="es-ES"/>
        </w:rPr>
        <w:t>n</w:t>
      </w:r>
      <w:r w:rsidRPr="000E2288">
        <w:rPr>
          <w:lang w:val="es-ES"/>
        </w:rPr>
        <w:t>damentalmente por el aumento de impuestos indirectos en un cuatro por ciento, las transferencias de capital en un 108 por ciento y los pasivos financieros en un seis por ciento.</w:t>
      </w:r>
    </w:p>
    <w:p w:rsidR="001B3767" w:rsidRPr="00846868" w:rsidRDefault="001B3767" w:rsidP="00DE4196">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Las obligaciones reconocidas en el año 2014 ascendieron a 3.803,56 mill</w:t>
      </w:r>
      <w:r w:rsidRPr="00846868">
        <w:rPr>
          <w:rFonts w:cs="Arial"/>
        </w:rPr>
        <w:t>o</w:t>
      </w:r>
      <w:r w:rsidRPr="00846868">
        <w:rPr>
          <w:rFonts w:cs="Arial"/>
        </w:rPr>
        <w:t>nes de euros, con un grado de ejecución del 96 por ciento de los créditos cons</w:t>
      </w:r>
      <w:r w:rsidRPr="00846868">
        <w:rPr>
          <w:rFonts w:cs="Arial"/>
        </w:rPr>
        <w:t>o</w:t>
      </w:r>
      <w:r w:rsidRPr="00846868">
        <w:rPr>
          <w:rFonts w:cs="Arial"/>
        </w:rPr>
        <w:t xml:space="preserve">lidados, alejándose de este porcentaje la ejecución, en un 52 por ciento, de las inversiones. </w:t>
      </w:r>
    </w:p>
    <w:p w:rsidR="001B3767" w:rsidRPr="000E2288" w:rsidRDefault="001B3767" w:rsidP="00DE4196">
      <w:pPr>
        <w:pStyle w:val="texto"/>
        <w:rPr>
          <w:lang w:val="es-ES"/>
        </w:rPr>
      </w:pPr>
      <w:r w:rsidRPr="000E2288">
        <w:rPr>
          <w:lang w:val="es-ES"/>
        </w:rPr>
        <w:t>Los principales gastos que componen las obligaciones reconocidas son las transferencias corrientes, que representan un 36 por ciento del total, los gastos de personal con un 29 por ciento y los gastos corrientes en bienes y servicios con un 14 por ciento. La carga financiera supuso el 11 por ciento del total de obligaciones reconocidas.</w:t>
      </w:r>
    </w:p>
    <w:p w:rsidR="001B3767" w:rsidRPr="000E2288" w:rsidRDefault="001B3767" w:rsidP="00DE4196">
      <w:pPr>
        <w:pStyle w:val="texto"/>
        <w:spacing w:after="200"/>
        <w:rPr>
          <w:lang w:val="es-ES"/>
        </w:rPr>
      </w:pPr>
      <w:r w:rsidRPr="000E2288">
        <w:rPr>
          <w:lang w:val="es-ES"/>
        </w:rPr>
        <w:t>La finalidad del gasto presupuestario fue la siguiente:</w:t>
      </w:r>
    </w:p>
    <w:p w:rsidR="008D2CC2" w:rsidRPr="00957681" w:rsidRDefault="008D2CC2" w:rsidP="0036347E">
      <w:pPr>
        <w:pStyle w:val="texto"/>
        <w:spacing w:after="60"/>
        <w:ind w:right="54"/>
        <w:jc w:val="right"/>
        <w:rPr>
          <w:rFonts w:ascii="Arial Narrow" w:hAnsi="Arial Narrow"/>
          <w:sz w:val="18"/>
          <w:szCs w:val="18"/>
        </w:rPr>
      </w:pPr>
      <w:r w:rsidRPr="00957681">
        <w:rPr>
          <w:rFonts w:ascii="Arial Narrow" w:hAnsi="Arial Narrow"/>
          <w:sz w:val="18"/>
          <w:szCs w:val="18"/>
        </w:rPr>
        <w:t>(</w:t>
      </w:r>
      <w:proofErr w:type="gramStart"/>
      <w:r w:rsidRPr="00957681">
        <w:rPr>
          <w:rFonts w:ascii="Arial Narrow" w:hAnsi="Arial Narrow"/>
          <w:sz w:val="18"/>
          <w:szCs w:val="18"/>
        </w:rPr>
        <w:t>en</w:t>
      </w:r>
      <w:proofErr w:type="gramEnd"/>
      <w:r w:rsidRPr="00957681">
        <w:rPr>
          <w:rFonts w:ascii="Arial Narrow" w:hAnsi="Arial Narrow"/>
          <w:sz w:val="18"/>
          <w:szCs w:val="18"/>
        </w:rPr>
        <w:t xml:space="preserve"> </w:t>
      </w:r>
      <w:r>
        <w:rPr>
          <w:rFonts w:ascii="Arial Narrow" w:hAnsi="Arial Narrow"/>
          <w:sz w:val="18"/>
          <w:szCs w:val="18"/>
        </w:rPr>
        <w:t xml:space="preserve">millones de </w:t>
      </w:r>
      <w:r w:rsidRPr="00957681">
        <w:rPr>
          <w:rFonts w:ascii="Arial Narrow" w:hAnsi="Arial Narrow"/>
          <w:sz w:val="18"/>
          <w:szCs w:val="18"/>
        </w:rPr>
        <w:t>euros)</w:t>
      </w:r>
    </w:p>
    <w:tbl>
      <w:tblPr>
        <w:tblW w:w="872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503"/>
        <w:gridCol w:w="2130"/>
        <w:gridCol w:w="2089"/>
      </w:tblGrid>
      <w:tr w:rsidR="001B3767" w:rsidRPr="006F1996" w:rsidTr="000D67A3">
        <w:trPr>
          <w:trHeight w:hRule="exact" w:val="312"/>
          <w:jc w:val="center"/>
        </w:trPr>
        <w:tc>
          <w:tcPr>
            <w:tcW w:w="4503" w:type="dxa"/>
            <w:tcBorders>
              <w:bottom w:val="single" w:sz="4" w:space="0" w:color="auto"/>
            </w:tcBorders>
            <w:shd w:val="clear" w:color="auto" w:fill="8DB3E2" w:themeFill="text2" w:themeFillTint="66"/>
            <w:vAlign w:val="center"/>
          </w:tcPr>
          <w:p w:rsidR="001B3767" w:rsidRPr="006F1996" w:rsidRDefault="001B3767" w:rsidP="000E2288">
            <w:pPr>
              <w:pStyle w:val="cuadroCabe"/>
              <w:jc w:val="left"/>
              <w:rPr>
                <w:rFonts w:cs="Arial"/>
              </w:rPr>
            </w:pPr>
            <w:r>
              <w:rPr>
                <w:rFonts w:cs="Arial"/>
              </w:rPr>
              <w:t xml:space="preserve">Función </w:t>
            </w:r>
          </w:p>
        </w:tc>
        <w:tc>
          <w:tcPr>
            <w:tcW w:w="2130" w:type="dxa"/>
            <w:tcBorders>
              <w:bottom w:val="single" w:sz="4" w:space="0" w:color="auto"/>
            </w:tcBorders>
            <w:shd w:val="clear" w:color="auto" w:fill="8DB3E2" w:themeFill="text2" w:themeFillTint="66"/>
            <w:vAlign w:val="center"/>
          </w:tcPr>
          <w:p w:rsidR="001B3767" w:rsidRPr="006F1996" w:rsidRDefault="001B3767" w:rsidP="000E2288">
            <w:pPr>
              <w:pStyle w:val="cuadroCabe"/>
              <w:jc w:val="right"/>
              <w:rPr>
                <w:rFonts w:cs="Arial"/>
              </w:rPr>
            </w:pPr>
            <w:r w:rsidRPr="006F1996">
              <w:rPr>
                <w:rFonts w:cs="Arial"/>
              </w:rPr>
              <w:t xml:space="preserve">Gasto </w:t>
            </w:r>
          </w:p>
        </w:tc>
        <w:tc>
          <w:tcPr>
            <w:tcW w:w="2089" w:type="dxa"/>
            <w:tcBorders>
              <w:bottom w:val="single" w:sz="4" w:space="0" w:color="auto"/>
            </w:tcBorders>
            <w:shd w:val="clear" w:color="auto" w:fill="8DB3E2" w:themeFill="text2" w:themeFillTint="66"/>
            <w:vAlign w:val="center"/>
          </w:tcPr>
          <w:p w:rsidR="001B3767" w:rsidRPr="006F1996" w:rsidRDefault="001B3767" w:rsidP="000E2288">
            <w:pPr>
              <w:pStyle w:val="cuadroCabe"/>
              <w:jc w:val="right"/>
              <w:rPr>
                <w:rFonts w:cs="Arial"/>
              </w:rPr>
            </w:pPr>
            <w:r w:rsidRPr="006F1996">
              <w:rPr>
                <w:rFonts w:cs="Arial"/>
              </w:rPr>
              <w:t>% sobre total</w:t>
            </w:r>
          </w:p>
        </w:tc>
      </w:tr>
      <w:tr w:rsidR="001B3767" w:rsidRPr="006F1996" w:rsidTr="000D67A3">
        <w:trPr>
          <w:trHeight w:hRule="exact" w:val="227"/>
          <w:jc w:val="center"/>
        </w:trPr>
        <w:tc>
          <w:tcPr>
            <w:tcW w:w="4503" w:type="dxa"/>
            <w:tcBorders>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Sanidad</w:t>
            </w:r>
          </w:p>
        </w:tc>
        <w:tc>
          <w:tcPr>
            <w:tcW w:w="2130" w:type="dxa"/>
            <w:tcBorders>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916,24</w:t>
            </w:r>
          </w:p>
        </w:tc>
        <w:tc>
          <w:tcPr>
            <w:tcW w:w="2089" w:type="dxa"/>
            <w:tcBorders>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24</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 xml:space="preserve">Educación </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567,95</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15</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Sostenimiento de las cargas generales del Estado</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555,83</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15</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Deuda Pública</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384,44</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10</w:t>
            </w:r>
          </w:p>
        </w:tc>
      </w:tr>
      <w:tr w:rsidR="007E2F99"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7E2F99" w:rsidRPr="006F1996" w:rsidRDefault="007E2F99" w:rsidP="007E2F99">
            <w:pPr>
              <w:spacing w:after="0"/>
              <w:ind w:firstLine="0"/>
              <w:jc w:val="left"/>
              <w:rPr>
                <w:rFonts w:ascii="Arial Narrow" w:hAnsi="Arial Narrow" w:cs="Arial"/>
                <w:lang w:val="es-ES" w:eastAsia="es-ES"/>
              </w:rPr>
            </w:pPr>
            <w:r w:rsidRPr="006F1996">
              <w:rPr>
                <w:rFonts w:ascii="Arial Narrow" w:hAnsi="Arial Narrow" w:cs="Arial"/>
                <w:lang w:val="es-ES" w:eastAsia="es-ES"/>
              </w:rPr>
              <w:t>Servicios social y promoción social</w:t>
            </w:r>
          </w:p>
        </w:tc>
        <w:tc>
          <w:tcPr>
            <w:tcW w:w="2130" w:type="dxa"/>
            <w:tcBorders>
              <w:top w:val="single" w:sz="2" w:space="0" w:color="auto"/>
              <w:bottom w:val="single" w:sz="2" w:space="0" w:color="auto"/>
            </w:tcBorders>
            <w:shd w:val="clear" w:color="auto" w:fill="auto"/>
            <w:vAlign w:val="center"/>
          </w:tcPr>
          <w:p w:rsidR="007E2F99" w:rsidRPr="006F1996" w:rsidRDefault="007E2F99" w:rsidP="007E2F99">
            <w:pPr>
              <w:spacing w:after="0"/>
              <w:ind w:firstLine="0"/>
              <w:jc w:val="right"/>
              <w:rPr>
                <w:rFonts w:ascii="Arial Narrow" w:hAnsi="Arial Narrow" w:cs="Arial"/>
                <w:lang w:val="es-ES" w:eastAsia="es-ES"/>
              </w:rPr>
            </w:pPr>
            <w:r>
              <w:rPr>
                <w:rFonts w:ascii="Arial Narrow" w:hAnsi="Arial Narrow" w:cs="Arial"/>
                <w:lang w:val="es-ES" w:eastAsia="es-ES"/>
              </w:rPr>
              <w:t>242,51</w:t>
            </w:r>
          </w:p>
        </w:tc>
        <w:tc>
          <w:tcPr>
            <w:tcW w:w="2089" w:type="dxa"/>
            <w:tcBorders>
              <w:top w:val="single" w:sz="2" w:space="0" w:color="auto"/>
              <w:bottom w:val="single" w:sz="2" w:space="0" w:color="auto"/>
            </w:tcBorders>
            <w:shd w:val="clear" w:color="auto" w:fill="auto"/>
            <w:vAlign w:val="center"/>
          </w:tcPr>
          <w:p w:rsidR="007E2F99" w:rsidRPr="006F1996" w:rsidRDefault="007E2F99" w:rsidP="007E2F99">
            <w:pPr>
              <w:spacing w:after="0"/>
              <w:ind w:firstLine="0"/>
              <w:jc w:val="right"/>
              <w:rPr>
                <w:rFonts w:ascii="Arial Narrow" w:hAnsi="Arial Narrow" w:cs="Arial"/>
                <w:lang w:val="es-ES" w:eastAsia="es-ES"/>
              </w:rPr>
            </w:pPr>
            <w:r w:rsidRPr="006F1996">
              <w:rPr>
                <w:rFonts w:ascii="Arial Narrow" w:hAnsi="Arial Narrow" w:cs="Arial"/>
                <w:lang w:val="es-ES" w:eastAsia="es-ES"/>
              </w:rPr>
              <w:t>6</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Cofinanciación de la actividad de las EELL</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237,05</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6</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8D2CC2">
            <w:pPr>
              <w:spacing w:after="0"/>
              <w:ind w:firstLine="0"/>
              <w:jc w:val="left"/>
              <w:rPr>
                <w:rFonts w:ascii="Arial Narrow" w:hAnsi="Arial Narrow" w:cs="Arial"/>
                <w:lang w:val="es-ES" w:eastAsia="es-ES"/>
              </w:rPr>
            </w:pPr>
            <w:r w:rsidRPr="006F1996">
              <w:rPr>
                <w:rFonts w:ascii="Arial Narrow" w:hAnsi="Arial Narrow" w:cs="Arial"/>
                <w:lang w:val="es-ES" w:eastAsia="es-ES"/>
              </w:rPr>
              <w:t>Servicios generales Administrac</w:t>
            </w:r>
            <w:r w:rsidR="008D2CC2">
              <w:rPr>
                <w:rFonts w:ascii="Arial Narrow" w:hAnsi="Arial Narrow" w:cs="Arial"/>
                <w:lang w:val="es-ES" w:eastAsia="es-ES"/>
              </w:rPr>
              <w:t>i</w:t>
            </w:r>
            <w:r w:rsidRPr="006F1996">
              <w:rPr>
                <w:rFonts w:ascii="Arial Narrow" w:hAnsi="Arial Narrow" w:cs="Arial"/>
                <w:lang w:val="es-ES" w:eastAsia="es-ES"/>
              </w:rPr>
              <w:t>ón financiera y tributaria</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215,64</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6</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Infraestructuras</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144,30</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4</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Justicia, seguridad y política exterior</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115,30</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3</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Pensiones</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92,74</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Agricultura, ganadería y alimentación</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73,13</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Acceso a la vivienda y fomento de la edificación</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58,37</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Fomento del empleo</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48,80</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7721C5">
            <w:pPr>
              <w:spacing w:after="0"/>
              <w:ind w:firstLine="0"/>
              <w:jc w:val="left"/>
              <w:rPr>
                <w:rFonts w:ascii="Arial Narrow" w:hAnsi="Arial Narrow" w:cs="Arial"/>
                <w:lang w:val="es-ES" w:eastAsia="es-ES"/>
              </w:rPr>
            </w:pPr>
            <w:proofErr w:type="spellStart"/>
            <w:r w:rsidRPr="006F1996">
              <w:rPr>
                <w:rFonts w:ascii="Arial Narrow" w:hAnsi="Arial Narrow" w:cs="Arial"/>
                <w:lang w:val="es-ES" w:eastAsia="es-ES"/>
              </w:rPr>
              <w:t>I+D+</w:t>
            </w:r>
            <w:r w:rsidR="007721C5">
              <w:rPr>
                <w:rFonts w:ascii="Arial Narrow" w:hAnsi="Arial Narrow" w:cs="Arial"/>
                <w:lang w:val="es-ES" w:eastAsia="es-ES"/>
              </w:rPr>
              <w:t>i</w:t>
            </w:r>
            <w:proofErr w:type="spellEnd"/>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46,64</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Cultura</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40,89</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Comercio, turismo y Pymes, subvenciones al transporte</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28,11</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w:t>
            </w:r>
          </w:p>
        </w:tc>
      </w:tr>
      <w:tr w:rsidR="001B3767" w:rsidRPr="006F1996" w:rsidTr="000D67A3">
        <w:trPr>
          <w:trHeight w:hRule="exact" w:val="227"/>
          <w:jc w:val="center"/>
        </w:trPr>
        <w:tc>
          <w:tcPr>
            <w:tcW w:w="4503"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left"/>
              <w:rPr>
                <w:rFonts w:ascii="Arial Narrow" w:hAnsi="Arial Narrow" w:cs="Arial"/>
                <w:lang w:val="es-ES" w:eastAsia="es-ES"/>
              </w:rPr>
            </w:pPr>
            <w:r w:rsidRPr="006F1996">
              <w:rPr>
                <w:rFonts w:ascii="Arial Narrow" w:hAnsi="Arial Narrow" w:cs="Arial"/>
                <w:lang w:val="es-ES" w:eastAsia="es-ES"/>
              </w:rPr>
              <w:t xml:space="preserve">Industria y </w:t>
            </w:r>
            <w:r w:rsidR="00A10DB4" w:rsidRPr="006F1996">
              <w:rPr>
                <w:rFonts w:ascii="Arial Narrow" w:hAnsi="Arial Narrow" w:cs="Arial"/>
                <w:lang w:val="es-ES" w:eastAsia="es-ES"/>
              </w:rPr>
              <w:t>energía</w:t>
            </w:r>
          </w:p>
        </w:tc>
        <w:tc>
          <w:tcPr>
            <w:tcW w:w="2130"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22,95</w:t>
            </w:r>
          </w:p>
        </w:tc>
        <w:tc>
          <w:tcPr>
            <w:tcW w:w="2089" w:type="dxa"/>
            <w:tcBorders>
              <w:top w:val="single" w:sz="2" w:space="0" w:color="auto"/>
              <w:bottom w:val="single" w:sz="2" w:space="0" w:color="auto"/>
            </w:tcBorders>
            <w:shd w:val="clear" w:color="auto" w:fill="auto"/>
            <w:vAlign w:val="center"/>
          </w:tcPr>
          <w:p w:rsidR="001B3767" w:rsidRPr="006F1996" w:rsidRDefault="001B3767" w:rsidP="000E2288">
            <w:pPr>
              <w:spacing w:after="0"/>
              <w:ind w:firstLine="0"/>
              <w:jc w:val="right"/>
              <w:rPr>
                <w:rFonts w:ascii="Arial Narrow" w:hAnsi="Arial Narrow" w:cs="Arial"/>
                <w:lang w:val="es-ES" w:eastAsia="es-ES"/>
              </w:rPr>
            </w:pPr>
            <w:r w:rsidRPr="006F1996">
              <w:rPr>
                <w:rFonts w:ascii="Arial Narrow" w:hAnsi="Arial Narrow" w:cs="Arial"/>
                <w:lang w:val="es-ES" w:eastAsia="es-ES"/>
              </w:rPr>
              <w:t>1</w:t>
            </w:r>
          </w:p>
        </w:tc>
      </w:tr>
      <w:tr w:rsidR="007E2F99" w:rsidRPr="006F1996" w:rsidTr="000D67A3">
        <w:trPr>
          <w:trHeight w:hRule="exact" w:val="227"/>
          <w:jc w:val="center"/>
        </w:trPr>
        <w:tc>
          <w:tcPr>
            <w:tcW w:w="4503" w:type="dxa"/>
            <w:tcBorders>
              <w:top w:val="single" w:sz="2" w:space="0" w:color="auto"/>
              <w:bottom w:val="single" w:sz="4" w:space="0" w:color="auto"/>
            </w:tcBorders>
            <w:shd w:val="clear" w:color="auto" w:fill="auto"/>
            <w:vAlign w:val="center"/>
          </w:tcPr>
          <w:p w:rsidR="007E2F99" w:rsidRPr="006F1996" w:rsidRDefault="007E2F99" w:rsidP="000E2288">
            <w:pPr>
              <w:spacing w:after="0"/>
              <w:ind w:firstLine="0"/>
              <w:jc w:val="left"/>
              <w:rPr>
                <w:rFonts w:ascii="Arial Narrow" w:hAnsi="Arial Narrow" w:cs="Arial"/>
                <w:lang w:val="es-ES" w:eastAsia="es-ES"/>
              </w:rPr>
            </w:pPr>
            <w:r>
              <w:rPr>
                <w:rFonts w:ascii="Arial Narrow" w:hAnsi="Arial Narrow" w:cs="Arial"/>
                <w:lang w:val="es-ES" w:eastAsia="es-ES"/>
              </w:rPr>
              <w:t>Otros</w:t>
            </w:r>
          </w:p>
        </w:tc>
        <w:tc>
          <w:tcPr>
            <w:tcW w:w="2130" w:type="dxa"/>
            <w:tcBorders>
              <w:top w:val="single" w:sz="2" w:space="0" w:color="auto"/>
              <w:bottom w:val="single" w:sz="4" w:space="0" w:color="auto"/>
            </w:tcBorders>
            <w:shd w:val="clear" w:color="auto" w:fill="auto"/>
            <w:vAlign w:val="center"/>
          </w:tcPr>
          <w:p w:rsidR="007E2F99" w:rsidRPr="006F1996" w:rsidRDefault="007E2F99" w:rsidP="000E2288">
            <w:pPr>
              <w:spacing w:after="0"/>
              <w:ind w:firstLine="0"/>
              <w:jc w:val="right"/>
              <w:rPr>
                <w:rFonts w:ascii="Arial Narrow" w:hAnsi="Arial Narrow" w:cs="Arial"/>
                <w:lang w:val="es-ES" w:eastAsia="es-ES"/>
              </w:rPr>
            </w:pPr>
            <w:r>
              <w:rPr>
                <w:rFonts w:ascii="Arial Narrow" w:hAnsi="Arial Narrow" w:cs="Arial"/>
                <w:lang w:val="es-ES" w:eastAsia="es-ES"/>
              </w:rPr>
              <w:t>12,67</w:t>
            </w:r>
          </w:p>
        </w:tc>
        <w:tc>
          <w:tcPr>
            <w:tcW w:w="2089" w:type="dxa"/>
            <w:tcBorders>
              <w:top w:val="single" w:sz="2" w:space="0" w:color="auto"/>
              <w:bottom w:val="single" w:sz="4" w:space="0" w:color="auto"/>
            </w:tcBorders>
            <w:shd w:val="clear" w:color="auto" w:fill="auto"/>
            <w:vAlign w:val="center"/>
          </w:tcPr>
          <w:p w:rsidR="007E2F99" w:rsidRDefault="007E2F99" w:rsidP="000E2288">
            <w:pPr>
              <w:spacing w:after="0"/>
              <w:ind w:firstLine="0"/>
              <w:jc w:val="right"/>
              <w:rPr>
                <w:rFonts w:ascii="Arial Narrow" w:hAnsi="Arial Narrow" w:cs="Arial"/>
                <w:lang w:val="es-ES" w:eastAsia="es-ES"/>
              </w:rPr>
            </w:pPr>
          </w:p>
          <w:p w:rsidR="005B7666" w:rsidRDefault="005B7666" w:rsidP="000E2288">
            <w:pPr>
              <w:spacing w:after="0"/>
              <w:ind w:firstLine="0"/>
              <w:jc w:val="right"/>
              <w:rPr>
                <w:rFonts w:ascii="Arial Narrow" w:hAnsi="Arial Narrow" w:cs="Arial"/>
                <w:lang w:val="es-ES" w:eastAsia="es-ES"/>
              </w:rPr>
            </w:pPr>
          </w:p>
          <w:p w:rsidR="005B7666" w:rsidRPr="006F1996" w:rsidRDefault="005B7666" w:rsidP="000E2288">
            <w:pPr>
              <w:spacing w:after="0"/>
              <w:ind w:firstLine="0"/>
              <w:jc w:val="right"/>
              <w:rPr>
                <w:rFonts w:ascii="Arial Narrow" w:hAnsi="Arial Narrow" w:cs="Arial"/>
                <w:lang w:val="es-ES" w:eastAsia="es-ES"/>
              </w:rPr>
            </w:pPr>
          </w:p>
        </w:tc>
      </w:tr>
      <w:tr w:rsidR="0097595D" w:rsidRPr="00DE4196" w:rsidTr="000D67A3">
        <w:trPr>
          <w:trHeight w:hRule="exact" w:val="284"/>
          <w:jc w:val="center"/>
        </w:trPr>
        <w:tc>
          <w:tcPr>
            <w:tcW w:w="4503" w:type="dxa"/>
            <w:tcBorders>
              <w:top w:val="single" w:sz="4" w:space="0" w:color="auto"/>
              <w:bottom w:val="single" w:sz="4" w:space="0" w:color="auto"/>
            </w:tcBorders>
            <w:shd w:val="clear" w:color="auto" w:fill="8DB3E2" w:themeFill="text2" w:themeFillTint="66"/>
            <w:vAlign w:val="center"/>
          </w:tcPr>
          <w:p w:rsidR="0097595D" w:rsidRPr="00DE4196" w:rsidRDefault="0097595D" w:rsidP="000E2288">
            <w:pPr>
              <w:spacing w:after="0"/>
              <w:ind w:firstLine="0"/>
              <w:jc w:val="left"/>
              <w:rPr>
                <w:rFonts w:ascii="Arial" w:hAnsi="Arial" w:cs="Arial"/>
                <w:sz w:val="18"/>
                <w:szCs w:val="18"/>
                <w:lang w:val="es-ES" w:eastAsia="es-ES"/>
              </w:rPr>
            </w:pPr>
            <w:r w:rsidRPr="00DE4196">
              <w:rPr>
                <w:rFonts w:ascii="Arial" w:hAnsi="Arial" w:cs="Arial"/>
                <w:sz w:val="18"/>
                <w:szCs w:val="18"/>
                <w:lang w:val="es-ES" w:eastAsia="es-ES"/>
              </w:rPr>
              <w:t>Total</w:t>
            </w:r>
          </w:p>
        </w:tc>
        <w:tc>
          <w:tcPr>
            <w:tcW w:w="2130" w:type="dxa"/>
            <w:tcBorders>
              <w:top w:val="single" w:sz="4" w:space="0" w:color="auto"/>
              <w:bottom w:val="single" w:sz="4" w:space="0" w:color="auto"/>
            </w:tcBorders>
            <w:shd w:val="clear" w:color="auto" w:fill="8DB3E2" w:themeFill="text2" w:themeFillTint="66"/>
            <w:vAlign w:val="center"/>
          </w:tcPr>
          <w:p w:rsidR="0097595D" w:rsidRPr="00DE4196" w:rsidRDefault="007E2F99" w:rsidP="000E2288">
            <w:pPr>
              <w:spacing w:after="0"/>
              <w:ind w:firstLine="0"/>
              <w:jc w:val="right"/>
              <w:rPr>
                <w:rFonts w:ascii="Arial" w:hAnsi="Arial" w:cs="Arial"/>
                <w:sz w:val="18"/>
                <w:szCs w:val="18"/>
                <w:lang w:val="es-ES" w:eastAsia="es-ES"/>
              </w:rPr>
            </w:pPr>
            <w:r w:rsidRPr="00DE4196">
              <w:rPr>
                <w:rFonts w:ascii="Arial" w:hAnsi="Arial" w:cs="Arial"/>
                <w:sz w:val="18"/>
                <w:szCs w:val="18"/>
                <w:lang w:val="es-ES" w:eastAsia="es-ES"/>
              </w:rPr>
              <w:fldChar w:fldCharType="begin"/>
            </w:r>
            <w:r w:rsidRPr="00DE4196">
              <w:rPr>
                <w:rFonts w:ascii="Arial" w:hAnsi="Arial" w:cs="Arial"/>
                <w:sz w:val="18"/>
                <w:szCs w:val="18"/>
                <w:lang w:val="es-ES" w:eastAsia="es-ES"/>
              </w:rPr>
              <w:instrText xml:space="preserve"> =SUM(ABOVE) </w:instrText>
            </w:r>
            <w:r w:rsidRPr="00DE4196">
              <w:rPr>
                <w:rFonts w:ascii="Arial" w:hAnsi="Arial" w:cs="Arial"/>
                <w:sz w:val="18"/>
                <w:szCs w:val="18"/>
                <w:lang w:val="es-ES" w:eastAsia="es-ES"/>
              </w:rPr>
              <w:fldChar w:fldCharType="separate"/>
            </w:r>
            <w:r w:rsidRPr="00DE4196">
              <w:rPr>
                <w:rFonts w:ascii="Arial" w:hAnsi="Arial" w:cs="Arial"/>
                <w:noProof/>
                <w:sz w:val="18"/>
                <w:szCs w:val="18"/>
                <w:lang w:val="es-ES" w:eastAsia="es-ES"/>
              </w:rPr>
              <w:t>3</w:t>
            </w:r>
            <w:r w:rsidR="00587F43">
              <w:rPr>
                <w:rFonts w:ascii="Arial" w:hAnsi="Arial" w:cs="Arial"/>
                <w:noProof/>
                <w:sz w:val="18"/>
                <w:szCs w:val="18"/>
                <w:lang w:val="es-ES" w:eastAsia="es-ES"/>
              </w:rPr>
              <w:t>.</w:t>
            </w:r>
            <w:r w:rsidRPr="00DE4196">
              <w:rPr>
                <w:rFonts w:ascii="Arial" w:hAnsi="Arial" w:cs="Arial"/>
                <w:noProof/>
                <w:sz w:val="18"/>
                <w:szCs w:val="18"/>
                <w:lang w:val="es-ES" w:eastAsia="es-ES"/>
              </w:rPr>
              <w:t>803,56</w:t>
            </w:r>
            <w:r w:rsidRPr="00DE4196">
              <w:rPr>
                <w:rFonts w:ascii="Arial" w:hAnsi="Arial" w:cs="Arial"/>
                <w:sz w:val="18"/>
                <w:szCs w:val="18"/>
                <w:lang w:val="es-ES" w:eastAsia="es-ES"/>
              </w:rPr>
              <w:fldChar w:fldCharType="end"/>
            </w:r>
          </w:p>
        </w:tc>
        <w:tc>
          <w:tcPr>
            <w:tcW w:w="2089" w:type="dxa"/>
            <w:tcBorders>
              <w:top w:val="single" w:sz="4" w:space="0" w:color="auto"/>
              <w:bottom w:val="single" w:sz="4" w:space="0" w:color="auto"/>
            </w:tcBorders>
            <w:shd w:val="clear" w:color="auto" w:fill="8DB3E2" w:themeFill="text2" w:themeFillTint="66"/>
            <w:vAlign w:val="center"/>
          </w:tcPr>
          <w:p w:rsidR="0097595D" w:rsidRPr="00DE4196" w:rsidRDefault="007E2F99" w:rsidP="000E2288">
            <w:pPr>
              <w:spacing w:after="0"/>
              <w:ind w:firstLine="0"/>
              <w:jc w:val="right"/>
              <w:rPr>
                <w:rFonts w:ascii="Arial" w:hAnsi="Arial" w:cs="Arial"/>
                <w:sz w:val="18"/>
                <w:szCs w:val="18"/>
                <w:lang w:val="es-ES" w:eastAsia="es-ES"/>
              </w:rPr>
            </w:pPr>
            <w:r w:rsidRPr="00DE4196">
              <w:rPr>
                <w:rFonts w:ascii="Arial" w:hAnsi="Arial" w:cs="Arial"/>
                <w:sz w:val="18"/>
                <w:szCs w:val="18"/>
                <w:lang w:val="es-ES" w:eastAsia="es-ES"/>
              </w:rPr>
              <w:fldChar w:fldCharType="begin"/>
            </w:r>
            <w:r w:rsidRPr="00DE4196">
              <w:rPr>
                <w:rFonts w:ascii="Arial" w:hAnsi="Arial" w:cs="Arial"/>
                <w:sz w:val="18"/>
                <w:szCs w:val="18"/>
                <w:lang w:val="es-ES" w:eastAsia="es-ES"/>
              </w:rPr>
              <w:instrText xml:space="preserve"> =SUM(ABOVE) </w:instrText>
            </w:r>
            <w:r w:rsidRPr="00DE4196">
              <w:rPr>
                <w:rFonts w:ascii="Arial" w:hAnsi="Arial" w:cs="Arial"/>
                <w:sz w:val="18"/>
                <w:szCs w:val="18"/>
                <w:lang w:val="es-ES" w:eastAsia="es-ES"/>
              </w:rPr>
              <w:fldChar w:fldCharType="separate"/>
            </w:r>
            <w:r w:rsidRPr="00DE4196">
              <w:rPr>
                <w:rFonts w:ascii="Arial" w:hAnsi="Arial" w:cs="Arial"/>
                <w:noProof/>
                <w:sz w:val="18"/>
                <w:szCs w:val="18"/>
                <w:lang w:val="es-ES" w:eastAsia="es-ES"/>
              </w:rPr>
              <w:t>100</w:t>
            </w:r>
            <w:r w:rsidRPr="00DE4196">
              <w:rPr>
                <w:rFonts w:ascii="Arial" w:hAnsi="Arial" w:cs="Arial"/>
                <w:sz w:val="18"/>
                <w:szCs w:val="18"/>
                <w:lang w:val="es-ES" w:eastAsia="es-ES"/>
              </w:rPr>
              <w:fldChar w:fldCharType="end"/>
            </w:r>
          </w:p>
        </w:tc>
      </w:tr>
    </w:tbl>
    <w:p w:rsidR="001B3767" w:rsidRPr="006D43A7" w:rsidRDefault="001B3767" w:rsidP="00867193">
      <w:pPr>
        <w:pStyle w:val="texto"/>
        <w:spacing w:before="360" w:after="300"/>
        <w:rPr>
          <w:lang w:val="es-ES"/>
        </w:rPr>
      </w:pPr>
      <w:r w:rsidRPr="006D43A7">
        <w:rPr>
          <w:lang w:val="es-ES"/>
        </w:rPr>
        <w:lastRenderedPageBreak/>
        <w:t>La distribución porcentual del gasto entre los distintos departamentos fue:</w:t>
      </w:r>
    </w:p>
    <w:tbl>
      <w:tblPr>
        <w:tblW w:w="8773" w:type="dxa"/>
        <w:jc w:val="center"/>
        <w:tblCellMar>
          <w:left w:w="70" w:type="dxa"/>
          <w:right w:w="70" w:type="dxa"/>
        </w:tblCellMar>
        <w:tblLook w:val="04A0" w:firstRow="1" w:lastRow="0" w:firstColumn="1" w:lastColumn="0" w:noHBand="0" w:noVBand="1"/>
      </w:tblPr>
      <w:tblGrid>
        <w:gridCol w:w="5712"/>
        <w:gridCol w:w="3061"/>
      </w:tblGrid>
      <w:tr w:rsidR="001B3767" w:rsidRPr="008D2CC2" w:rsidTr="008D2CC2">
        <w:trPr>
          <w:trHeight w:val="312"/>
          <w:jc w:val="center"/>
        </w:trPr>
        <w:tc>
          <w:tcPr>
            <w:tcW w:w="571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Default="001B3767" w:rsidP="000E2288">
            <w:pPr>
              <w:pStyle w:val="cuadroCabe"/>
              <w:jc w:val="left"/>
              <w:rPr>
                <w:rFonts w:cs="Arial"/>
              </w:rPr>
            </w:pPr>
            <w:r>
              <w:rPr>
                <w:rFonts w:cs="Arial"/>
              </w:rPr>
              <w:t>Departamento</w:t>
            </w:r>
          </w:p>
        </w:tc>
        <w:tc>
          <w:tcPr>
            <w:tcW w:w="3061" w:type="dxa"/>
            <w:tcBorders>
              <w:top w:val="single" w:sz="4" w:space="0" w:color="auto"/>
              <w:left w:val="nil"/>
              <w:bottom w:val="single" w:sz="4" w:space="0" w:color="auto"/>
              <w:right w:val="nil"/>
            </w:tcBorders>
            <w:shd w:val="clear" w:color="auto" w:fill="8DB3E2" w:themeFill="text2" w:themeFillTint="66"/>
            <w:vAlign w:val="center"/>
            <w:hideMark/>
          </w:tcPr>
          <w:p w:rsidR="001B3767" w:rsidRDefault="001B3767" w:rsidP="008D2CC2">
            <w:pPr>
              <w:pStyle w:val="cuadroCabe"/>
              <w:jc w:val="right"/>
              <w:rPr>
                <w:rFonts w:cs="Arial"/>
              </w:rPr>
            </w:pPr>
            <w:r>
              <w:rPr>
                <w:rFonts w:cs="Arial"/>
              </w:rPr>
              <w:t>2014</w:t>
            </w:r>
          </w:p>
        </w:tc>
      </w:tr>
      <w:tr w:rsidR="001B3767" w:rsidRPr="008D2CC2" w:rsidTr="008D2CC2">
        <w:trPr>
          <w:trHeight w:hRule="exact" w:val="255"/>
          <w:jc w:val="center"/>
        </w:trPr>
        <w:tc>
          <w:tcPr>
            <w:tcW w:w="5712" w:type="dxa"/>
            <w:tcBorders>
              <w:top w:val="single" w:sz="4"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Economía, Hacienda, Industria y Empleo</w:t>
            </w:r>
          </w:p>
        </w:tc>
        <w:tc>
          <w:tcPr>
            <w:tcW w:w="3061" w:type="dxa"/>
            <w:tcBorders>
              <w:top w:val="single" w:sz="4" w:space="0" w:color="auto"/>
              <w:left w:val="nil"/>
              <w:bottom w:val="single" w:sz="2"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31%</w:t>
            </w: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Salud</w:t>
            </w:r>
          </w:p>
        </w:tc>
        <w:tc>
          <w:tcPr>
            <w:tcW w:w="3061" w:type="dxa"/>
            <w:tcBorders>
              <w:top w:val="single" w:sz="2" w:space="0" w:color="auto"/>
              <w:left w:val="nil"/>
              <w:bottom w:val="single" w:sz="2"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24%</w:t>
            </w: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Educación</w:t>
            </w:r>
          </w:p>
        </w:tc>
        <w:tc>
          <w:tcPr>
            <w:tcW w:w="3061" w:type="dxa"/>
            <w:tcBorders>
              <w:top w:val="single" w:sz="2" w:space="0" w:color="auto"/>
              <w:left w:val="nil"/>
              <w:bottom w:val="single" w:sz="2"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15%</w:t>
            </w: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Presidencia, Justicia e Interior</w:t>
            </w:r>
          </w:p>
        </w:tc>
        <w:tc>
          <w:tcPr>
            <w:tcW w:w="3061" w:type="dxa"/>
            <w:tcBorders>
              <w:top w:val="single" w:sz="2" w:space="0" w:color="auto"/>
              <w:left w:val="nil"/>
              <w:bottom w:val="single" w:sz="2"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9%</w:t>
            </w: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A10DB4">
            <w:pPr>
              <w:spacing w:after="0"/>
              <w:ind w:firstLine="0"/>
              <w:jc w:val="left"/>
              <w:rPr>
                <w:rFonts w:ascii="Arial Narrow" w:hAnsi="Arial Narrow" w:cs="Arial"/>
                <w:lang w:val="es-ES" w:eastAsia="es-ES"/>
              </w:rPr>
            </w:pPr>
            <w:r w:rsidRPr="008D2CC2">
              <w:rPr>
                <w:rFonts w:ascii="Arial Narrow" w:hAnsi="Arial Narrow" w:cs="Arial"/>
                <w:lang w:val="es-ES" w:eastAsia="es-ES"/>
              </w:rPr>
              <w:t>Desarrollo Rural, Medio Ambiente, Adm</w:t>
            </w:r>
            <w:r w:rsidR="00A10DB4">
              <w:rPr>
                <w:rFonts w:ascii="Arial Narrow" w:hAnsi="Arial Narrow" w:cs="Arial"/>
                <w:lang w:val="es-ES" w:eastAsia="es-ES"/>
              </w:rPr>
              <w:t>ó</w:t>
            </w:r>
            <w:r w:rsidRPr="008D2CC2">
              <w:rPr>
                <w:rFonts w:ascii="Arial Narrow" w:hAnsi="Arial Narrow" w:cs="Arial"/>
                <w:lang w:val="es-ES" w:eastAsia="es-ES"/>
              </w:rPr>
              <w:t>n</w:t>
            </w:r>
            <w:r w:rsidR="00A10DB4">
              <w:rPr>
                <w:rFonts w:ascii="Arial Narrow" w:hAnsi="Arial Narrow" w:cs="Arial"/>
                <w:lang w:val="es-ES" w:eastAsia="es-ES"/>
              </w:rPr>
              <w:t>.</w:t>
            </w:r>
            <w:r w:rsidRPr="008D2CC2">
              <w:rPr>
                <w:rFonts w:ascii="Arial Narrow" w:hAnsi="Arial Narrow" w:cs="Arial"/>
                <w:lang w:val="es-ES" w:eastAsia="es-ES"/>
              </w:rPr>
              <w:t xml:space="preserve"> Local </w:t>
            </w:r>
          </w:p>
        </w:tc>
        <w:tc>
          <w:tcPr>
            <w:tcW w:w="3061" w:type="dxa"/>
            <w:tcBorders>
              <w:top w:val="single" w:sz="2" w:space="0" w:color="auto"/>
              <w:left w:val="nil"/>
              <w:bottom w:val="single" w:sz="2" w:space="0" w:color="auto"/>
              <w:right w:val="nil"/>
            </w:tcBorders>
            <w:vAlign w:val="center"/>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8%</w:t>
            </w:r>
          </w:p>
          <w:p w:rsidR="001B3767" w:rsidRPr="008D2CC2" w:rsidRDefault="001B3767" w:rsidP="008D2CC2">
            <w:pPr>
              <w:spacing w:after="0"/>
              <w:ind w:firstLine="0"/>
              <w:jc w:val="right"/>
              <w:rPr>
                <w:rFonts w:ascii="Arial Narrow" w:hAnsi="Arial Narrow" w:cs="Arial"/>
                <w:lang w:val="es-ES" w:eastAsia="es-ES"/>
              </w:rPr>
            </w:pP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Políticas Sociales</w:t>
            </w:r>
          </w:p>
        </w:tc>
        <w:tc>
          <w:tcPr>
            <w:tcW w:w="3061" w:type="dxa"/>
            <w:tcBorders>
              <w:top w:val="single" w:sz="2" w:space="0" w:color="auto"/>
              <w:left w:val="nil"/>
              <w:bottom w:val="single" w:sz="2" w:space="0" w:color="auto"/>
              <w:right w:val="nil"/>
            </w:tcBorders>
            <w:vAlign w:val="center"/>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7%</w:t>
            </w:r>
          </w:p>
          <w:p w:rsidR="001B3767" w:rsidRPr="008D2CC2" w:rsidRDefault="001B3767" w:rsidP="008D2CC2">
            <w:pPr>
              <w:spacing w:after="0"/>
              <w:ind w:firstLine="0"/>
              <w:jc w:val="right"/>
              <w:rPr>
                <w:rFonts w:ascii="Arial Narrow" w:hAnsi="Arial Narrow" w:cs="Arial"/>
                <w:lang w:val="es-ES" w:eastAsia="es-ES"/>
              </w:rPr>
            </w:pPr>
          </w:p>
          <w:p w:rsidR="001B3767" w:rsidRPr="008D2CC2" w:rsidRDefault="001B3767" w:rsidP="008D2CC2">
            <w:pPr>
              <w:spacing w:after="0"/>
              <w:ind w:firstLine="0"/>
              <w:jc w:val="right"/>
              <w:rPr>
                <w:rFonts w:ascii="Arial Narrow" w:hAnsi="Arial Narrow" w:cs="Arial"/>
                <w:lang w:val="es-ES" w:eastAsia="es-ES"/>
              </w:rPr>
            </w:pPr>
          </w:p>
          <w:p w:rsidR="001B3767" w:rsidRPr="008D2CC2" w:rsidRDefault="001B3767" w:rsidP="008D2CC2">
            <w:pPr>
              <w:spacing w:after="0"/>
              <w:ind w:firstLine="0"/>
              <w:jc w:val="right"/>
              <w:rPr>
                <w:rFonts w:ascii="Arial Narrow" w:hAnsi="Arial Narrow" w:cs="Arial"/>
                <w:lang w:val="es-ES" w:eastAsia="es-ES"/>
              </w:rPr>
            </w:pPr>
          </w:p>
        </w:tc>
      </w:tr>
      <w:tr w:rsidR="001B3767" w:rsidRPr="008D2CC2" w:rsidTr="008D2CC2">
        <w:trPr>
          <w:trHeight w:hRule="exact" w:val="255"/>
          <w:jc w:val="center"/>
        </w:trPr>
        <w:tc>
          <w:tcPr>
            <w:tcW w:w="5712" w:type="dxa"/>
            <w:tcBorders>
              <w:top w:val="single" w:sz="2" w:space="0" w:color="auto"/>
              <w:left w:val="nil"/>
              <w:bottom w:val="single" w:sz="2"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Fomento</w:t>
            </w:r>
          </w:p>
        </w:tc>
        <w:tc>
          <w:tcPr>
            <w:tcW w:w="3061" w:type="dxa"/>
            <w:tcBorders>
              <w:top w:val="single" w:sz="2" w:space="0" w:color="auto"/>
              <w:left w:val="nil"/>
              <w:bottom w:val="single" w:sz="2"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5%</w:t>
            </w:r>
          </w:p>
        </w:tc>
      </w:tr>
      <w:tr w:rsidR="001B3767" w:rsidRPr="008D2CC2" w:rsidTr="008D2CC2">
        <w:trPr>
          <w:trHeight w:hRule="exact" w:val="255"/>
          <w:jc w:val="center"/>
        </w:trPr>
        <w:tc>
          <w:tcPr>
            <w:tcW w:w="5712" w:type="dxa"/>
            <w:tcBorders>
              <w:top w:val="single" w:sz="2" w:space="0" w:color="auto"/>
              <w:left w:val="nil"/>
              <w:bottom w:val="single" w:sz="4" w:space="0" w:color="auto"/>
              <w:right w:val="nil"/>
            </w:tcBorders>
            <w:noWrap/>
            <w:vAlign w:val="center"/>
            <w:hideMark/>
          </w:tcPr>
          <w:p w:rsidR="001B3767" w:rsidRPr="008D2CC2" w:rsidRDefault="001B3767" w:rsidP="008D2CC2">
            <w:pPr>
              <w:spacing w:after="0"/>
              <w:ind w:firstLine="0"/>
              <w:jc w:val="left"/>
              <w:rPr>
                <w:rFonts w:ascii="Arial Narrow" w:hAnsi="Arial Narrow" w:cs="Arial"/>
                <w:lang w:val="es-ES" w:eastAsia="es-ES"/>
              </w:rPr>
            </w:pPr>
            <w:r w:rsidRPr="008D2CC2">
              <w:rPr>
                <w:rFonts w:ascii="Arial Narrow" w:hAnsi="Arial Narrow" w:cs="Arial"/>
                <w:lang w:val="es-ES" w:eastAsia="es-ES"/>
              </w:rPr>
              <w:t>Cultura, Turismo y RRII</w:t>
            </w:r>
          </w:p>
        </w:tc>
        <w:tc>
          <w:tcPr>
            <w:tcW w:w="3061" w:type="dxa"/>
            <w:tcBorders>
              <w:top w:val="single" w:sz="2" w:space="0" w:color="auto"/>
              <w:left w:val="nil"/>
              <w:bottom w:val="single" w:sz="4" w:space="0" w:color="auto"/>
              <w:right w:val="nil"/>
            </w:tcBorders>
            <w:vAlign w:val="center"/>
            <w:hideMark/>
          </w:tcPr>
          <w:p w:rsidR="001B3767" w:rsidRPr="008D2CC2" w:rsidRDefault="001B3767" w:rsidP="008D2CC2">
            <w:pPr>
              <w:spacing w:after="0"/>
              <w:ind w:firstLine="0"/>
              <w:jc w:val="right"/>
              <w:rPr>
                <w:rFonts w:ascii="Arial Narrow" w:hAnsi="Arial Narrow" w:cs="Arial"/>
                <w:lang w:val="es-ES" w:eastAsia="es-ES"/>
              </w:rPr>
            </w:pPr>
            <w:r w:rsidRPr="008D2CC2">
              <w:rPr>
                <w:rFonts w:ascii="Arial Narrow" w:hAnsi="Arial Narrow" w:cs="Arial"/>
                <w:lang w:val="es-ES" w:eastAsia="es-ES"/>
              </w:rPr>
              <w:t>1%</w:t>
            </w:r>
          </w:p>
        </w:tc>
      </w:tr>
      <w:tr w:rsidR="001B3767" w:rsidRPr="008D2CC2" w:rsidTr="008D2CC2">
        <w:trPr>
          <w:trHeight w:hRule="exact" w:val="312"/>
          <w:jc w:val="center"/>
        </w:trPr>
        <w:tc>
          <w:tcPr>
            <w:tcW w:w="571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D2CC2" w:rsidRDefault="001B3767" w:rsidP="008D2CC2">
            <w:pPr>
              <w:pStyle w:val="cuadroCabe"/>
              <w:jc w:val="left"/>
              <w:rPr>
                <w:rFonts w:cs="Arial"/>
              </w:rPr>
            </w:pPr>
            <w:r w:rsidRPr="008D2CC2">
              <w:rPr>
                <w:rFonts w:cs="Arial"/>
              </w:rPr>
              <w:t>Total</w:t>
            </w:r>
          </w:p>
        </w:tc>
        <w:tc>
          <w:tcPr>
            <w:tcW w:w="3061" w:type="dxa"/>
            <w:tcBorders>
              <w:top w:val="single" w:sz="4" w:space="0" w:color="auto"/>
              <w:left w:val="nil"/>
              <w:bottom w:val="single" w:sz="4" w:space="0" w:color="auto"/>
              <w:right w:val="nil"/>
            </w:tcBorders>
            <w:shd w:val="clear" w:color="auto" w:fill="8DB3E2" w:themeFill="text2" w:themeFillTint="66"/>
            <w:vAlign w:val="center"/>
            <w:hideMark/>
          </w:tcPr>
          <w:p w:rsidR="001B3767" w:rsidRPr="008D2CC2" w:rsidRDefault="001B3767" w:rsidP="008D2CC2">
            <w:pPr>
              <w:pStyle w:val="cuadroCabe"/>
              <w:jc w:val="right"/>
              <w:rPr>
                <w:rFonts w:cs="Arial"/>
              </w:rPr>
            </w:pPr>
            <w:r w:rsidRPr="008D2CC2">
              <w:rPr>
                <w:rFonts w:cs="Arial"/>
              </w:rPr>
              <w:t>100%</w:t>
            </w:r>
          </w:p>
        </w:tc>
      </w:tr>
    </w:tbl>
    <w:p w:rsidR="001B3767" w:rsidRDefault="001B3767" w:rsidP="008D2CC2">
      <w:pPr>
        <w:pStyle w:val="texto"/>
        <w:spacing w:before="280"/>
        <w:rPr>
          <w:lang w:val="es-ES"/>
        </w:rPr>
      </w:pPr>
      <w:r w:rsidRPr="006D43A7">
        <w:rPr>
          <w:lang w:val="es-ES"/>
        </w:rPr>
        <w:t>Las obligaciones reconocidas en 2014 fueron un tres por ciento más que las del ejercicio 2013, esto es, 123,95 millones más. Esta variación se explica pri</w:t>
      </w:r>
      <w:r w:rsidRPr="006D43A7">
        <w:rPr>
          <w:lang w:val="es-ES"/>
        </w:rPr>
        <w:t>n</w:t>
      </w:r>
      <w:r w:rsidRPr="006D43A7">
        <w:rPr>
          <w:lang w:val="es-ES"/>
        </w:rPr>
        <w:t>cipalmente por el aumento en un 53 por ciento de los gastos por pasivos fina</w:t>
      </w:r>
      <w:r w:rsidRPr="006D43A7">
        <w:rPr>
          <w:lang w:val="es-ES"/>
        </w:rPr>
        <w:t>n</w:t>
      </w:r>
      <w:r w:rsidRPr="006D43A7">
        <w:rPr>
          <w:lang w:val="es-ES"/>
        </w:rPr>
        <w:t>cieros.</w:t>
      </w:r>
    </w:p>
    <w:p w:rsidR="001B3767" w:rsidRPr="00846868" w:rsidRDefault="001B3767" w:rsidP="003B22FD">
      <w:pPr>
        <w:pStyle w:val="texto"/>
        <w:numPr>
          <w:ilvl w:val="0"/>
          <w:numId w:val="11"/>
        </w:numPr>
        <w:tabs>
          <w:tab w:val="clear" w:pos="2835"/>
          <w:tab w:val="clear" w:pos="3969"/>
          <w:tab w:val="clear" w:pos="5103"/>
          <w:tab w:val="clear" w:pos="6237"/>
          <w:tab w:val="clear" w:pos="7371"/>
          <w:tab w:val="left" w:pos="480"/>
          <w:tab w:val="num" w:pos="600"/>
          <w:tab w:val="num" w:pos="720"/>
        </w:tabs>
        <w:spacing w:after="280"/>
        <w:ind w:left="0" w:firstLine="289"/>
        <w:rPr>
          <w:rFonts w:cs="Arial"/>
        </w:rPr>
      </w:pPr>
      <w:r w:rsidRPr="00846868">
        <w:rPr>
          <w:rFonts w:cs="Arial"/>
        </w:rPr>
        <w:t xml:space="preserve">La composición porcentual de los gastos de la Administración Foral y sus </w:t>
      </w:r>
      <w:r w:rsidR="002902C6" w:rsidRPr="00846868">
        <w:rPr>
          <w:rFonts w:cs="Arial"/>
        </w:rPr>
        <w:t xml:space="preserve">organismos autónomos </w:t>
      </w:r>
      <w:r w:rsidRPr="00846868">
        <w:rPr>
          <w:rFonts w:cs="Arial"/>
        </w:rPr>
        <w:t>y de sus fuentes de financiación es la siguiente:</w:t>
      </w:r>
    </w:p>
    <w:tbl>
      <w:tblPr>
        <w:tblW w:w="879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99"/>
        <w:gridCol w:w="709"/>
        <w:gridCol w:w="855"/>
        <w:gridCol w:w="2570"/>
        <w:gridCol w:w="734"/>
        <w:gridCol w:w="826"/>
      </w:tblGrid>
      <w:tr w:rsidR="001B3767" w:rsidRPr="003B22FD" w:rsidTr="003B22FD">
        <w:trPr>
          <w:trHeight w:hRule="exact" w:val="406"/>
          <w:jc w:val="center"/>
        </w:trPr>
        <w:tc>
          <w:tcPr>
            <w:tcW w:w="3099"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left"/>
              <w:rPr>
                <w:sz w:val="17"/>
                <w:szCs w:val="17"/>
              </w:rPr>
            </w:pPr>
            <w:r w:rsidRPr="003B22FD">
              <w:rPr>
                <w:sz w:val="17"/>
                <w:szCs w:val="17"/>
              </w:rPr>
              <w:t>Naturaleza económica del gasto</w:t>
            </w:r>
          </w:p>
        </w:tc>
        <w:tc>
          <w:tcPr>
            <w:tcW w:w="709"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t>%</w:t>
            </w:r>
          </w:p>
          <w:p w:rsidR="001B3767" w:rsidRPr="003B22FD" w:rsidRDefault="001B3767" w:rsidP="003B22FD">
            <w:pPr>
              <w:pStyle w:val="cuadroCabe"/>
              <w:jc w:val="right"/>
              <w:rPr>
                <w:sz w:val="17"/>
                <w:szCs w:val="17"/>
              </w:rPr>
            </w:pPr>
            <w:r w:rsidRPr="003B22FD">
              <w:rPr>
                <w:sz w:val="17"/>
                <w:szCs w:val="17"/>
              </w:rPr>
              <w:t xml:space="preserve"> 2013</w:t>
            </w:r>
          </w:p>
        </w:tc>
        <w:tc>
          <w:tcPr>
            <w:tcW w:w="855"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t>%</w:t>
            </w:r>
          </w:p>
          <w:p w:rsidR="001B3767" w:rsidRPr="003B22FD" w:rsidRDefault="001B3767" w:rsidP="003B22FD">
            <w:pPr>
              <w:pStyle w:val="cuadroCabe"/>
              <w:jc w:val="right"/>
              <w:rPr>
                <w:sz w:val="17"/>
                <w:szCs w:val="17"/>
              </w:rPr>
            </w:pPr>
            <w:r w:rsidRPr="003B22FD">
              <w:rPr>
                <w:sz w:val="17"/>
                <w:szCs w:val="17"/>
              </w:rPr>
              <w:t>2014</w:t>
            </w:r>
          </w:p>
        </w:tc>
        <w:tc>
          <w:tcPr>
            <w:tcW w:w="2570"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ind w:left="150"/>
              <w:jc w:val="left"/>
              <w:rPr>
                <w:sz w:val="17"/>
                <w:szCs w:val="17"/>
              </w:rPr>
            </w:pPr>
            <w:r w:rsidRPr="003B22FD">
              <w:rPr>
                <w:sz w:val="17"/>
                <w:szCs w:val="17"/>
              </w:rPr>
              <w:t>Fuente de financiación</w:t>
            </w:r>
          </w:p>
        </w:tc>
        <w:tc>
          <w:tcPr>
            <w:tcW w:w="734"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t>%</w:t>
            </w:r>
          </w:p>
          <w:p w:rsidR="001B3767" w:rsidRPr="003B22FD" w:rsidRDefault="001B3767" w:rsidP="003B22FD">
            <w:pPr>
              <w:pStyle w:val="cuadroCabe"/>
              <w:jc w:val="right"/>
              <w:rPr>
                <w:sz w:val="17"/>
                <w:szCs w:val="17"/>
              </w:rPr>
            </w:pPr>
            <w:r w:rsidRPr="003B22FD">
              <w:rPr>
                <w:sz w:val="17"/>
                <w:szCs w:val="17"/>
              </w:rPr>
              <w:t>2013</w:t>
            </w:r>
          </w:p>
        </w:tc>
        <w:tc>
          <w:tcPr>
            <w:tcW w:w="826"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t>%</w:t>
            </w:r>
          </w:p>
          <w:p w:rsidR="001B3767" w:rsidRPr="003B22FD" w:rsidRDefault="001B3767" w:rsidP="003B22FD">
            <w:pPr>
              <w:pStyle w:val="cuadroCabe"/>
              <w:jc w:val="right"/>
              <w:rPr>
                <w:sz w:val="17"/>
                <w:szCs w:val="17"/>
              </w:rPr>
            </w:pPr>
            <w:r w:rsidRPr="003B22FD">
              <w:rPr>
                <w:sz w:val="17"/>
                <w:szCs w:val="17"/>
              </w:rPr>
              <w:t xml:space="preserve">2014 </w:t>
            </w:r>
          </w:p>
        </w:tc>
      </w:tr>
      <w:tr w:rsidR="001B3767" w:rsidRPr="003B22FD" w:rsidTr="00867193">
        <w:trPr>
          <w:trHeight w:hRule="exact" w:val="255"/>
          <w:jc w:val="center"/>
        </w:trPr>
        <w:tc>
          <w:tcPr>
            <w:tcW w:w="3099" w:type="dxa"/>
            <w:tcBorders>
              <w:top w:val="single" w:sz="4" w:space="0" w:color="auto"/>
              <w:left w:val="nil"/>
              <w:bottom w:val="single" w:sz="2" w:space="0" w:color="auto"/>
              <w:right w:val="nil"/>
            </w:tcBorders>
            <w:vAlign w:val="center"/>
            <w:hideMark/>
          </w:tcPr>
          <w:p w:rsidR="001B3767" w:rsidRPr="003B22FD" w:rsidRDefault="001B3767" w:rsidP="003B22FD">
            <w:pPr>
              <w:pStyle w:val="cuatexto"/>
              <w:jc w:val="left"/>
              <w:rPr>
                <w:sz w:val="19"/>
                <w:szCs w:val="19"/>
              </w:rPr>
            </w:pPr>
            <w:r w:rsidRPr="003B22FD">
              <w:rPr>
                <w:sz w:val="19"/>
                <w:szCs w:val="19"/>
              </w:rPr>
              <w:t>Personal</w:t>
            </w:r>
          </w:p>
        </w:tc>
        <w:tc>
          <w:tcPr>
            <w:tcW w:w="709" w:type="dxa"/>
            <w:tcBorders>
              <w:top w:val="single" w:sz="4"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30</w:t>
            </w:r>
          </w:p>
        </w:tc>
        <w:tc>
          <w:tcPr>
            <w:tcW w:w="855" w:type="dxa"/>
            <w:tcBorders>
              <w:top w:val="single" w:sz="4"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29</w:t>
            </w:r>
          </w:p>
        </w:tc>
        <w:tc>
          <w:tcPr>
            <w:tcW w:w="2570" w:type="dxa"/>
            <w:tcBorders>
              <w:top w:val="single" w:sz="4" w:space="0" w:color="auto"/>
              <w:left w:val="nil"/>
              <w:bottom w:val="single" w:sz="2"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Ingresos tributarios</w:t>
            </w:r>
          </w:p>
        </w:tc>
        <w:tc>
          <w:tcPr>
            <w:tcW w:w="734" w:type="dxa"/>
            <w:tcBorders>
              <w:top w:val="single" w:sz="4"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79</w:t>
            </w:r>
          </w:p>
        </w:tc>
        <w:tc>
          <w:tcPr>
            <w:tcW w:w="826" w:type="dxa"/>
            <w:tcBorders>
              <w:top w:val="single" w:sz="4"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79</w:t>
            </w:r>
          </w:p>
        </w:tc>
      </w:tr>
      <w:tr w:rsidR="001B3767" w:rsidRPr="003B22FD" w:rsidTr="00867193">
        <w:trPr>
          <w:trHeight w:hRule="exact" w:val="255"/>
          <w:jc w:val="center"/>
        </w:trPr>
        <w:tc>
          <w:tcPr>
            <w:tcW w:w="309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left"/>
              <w:rPr>
                <w:sz w:val="19"/>
                <w:szCs w:val="19"/>
              </w:rPr>
            </w:pPr>
            <w:r w:rsidRPr="003B22FD">
              <w:rPr>
                <w:sz w:val="19"/>
                <w:szCs w:val="19"/>
              </w:rPr>
              <w:t>Bienes corrientes y servicios</w:t>
            </w:r>
          </w:p>
        </w:tc>
        <w:tc>
          <w:tcPr>
            <w:tcW w:w="70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14</w:t>
            </w:r>
          </w:p>
        </w:tc>
        <w:tc>
          <w:tcPr>
            <w:tcW w:w="855"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14</w:t>
            </w:r>
          </w:p>
        </w:tc>
        <w:tc>
          <w:tcPr>
            <w:tcW w:w="2570" w:type="dxa"/>
            <w:tcBorders>
              <w:top w:val="single" w:sz="2" w:space="0" w:color="auto"/>
              <w:left w:val="nil"/>
              <w:bottom w:val="single" w:sz="2"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Precios públicos y otros i</w:t>
            </w:r>
            <w:r w:rsidRPr="003B22FD">
              <w:rPr>
                <w:sz w:val="19"/>
                <w:szCs w:val="19"/>
              </w:rPr>
              <w:t>n</w:t>
            </w:r>
            <w:r w:rsidRPr="003B22FD">
              <w:rPr>
                <w:sz w:val="19"/>
                <w:szCs w:val="19"/>
              </w:rPr>
              <w:t>gresos</w:t>
            </w:r>
          </w:p>
        </w:tc>
        <w:tc>
          <w:tcPr>
            <w:tcW w:w="734"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c>
          <w:tcPr>
            <w:tcW w:w="826"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r>
      <w:tr w:rsidR="001B3767" w:rsidRPr="003B22FD" w:rsidTr="00867193">
        <w:trPr>
          <w:trHeight w:hRule="exact" w:val="255"/>
          <w:jc w:val="center"/>
        </w:trPr>
        <w:tc>
          <w:tcPr>
            <w:tcW w:w="309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left"/>
              <w:rPr>
                <w:sz w:val="19"/>
                <w:szCs w:val="19"/>
              </w:rPr>
            </w:pPr>
            <w:r w:rsidRPr="003B22FD">
              <w:rPr>
                <w:sz w:val="19"/>
                <w:szCs w:val="19"/>
              </w:rPr>
              <w:t>Gastos transferencias</w:t>
            </w:r>
          </w:p>
        </w:tc>
        <w:tc>
          <w:tcPr>
            <w:tcW w:w="70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42</w:t>
            </w:r>
          </w:p>
        </w:tc>
        <w:tc>
          <w:tcPr>
            <w:tcW w:w="855"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40</w:t>
            </w:r>
          </w:p>
        </w:tc>
        <w:tc>
          <w:tcPr>
            <w:tcW w:w="2570" w:type="dxa"/>
            <w:tcBorders>
              <w:top w:val="single" w:sz="2" w:space="0" w:color="auto"/>
              <w:left w:val="nil"/>
              <w:bottom w:val="single" w:sz="2"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Ingresos por transferencias</w:t>
            </w:r>
          </w:p>
        </w:tc>
        <w:tc>
          <w:tcPr>
            <w:tcW w:w="734"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2</w:t>
            </w:r>
          </w:p>
        </w:tc>
        <w:tc>
          <w:tcPr>
            <w:tcW w:w="826"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2</w:t>
            </w:r>
          </w:p>
        </w:tc>
      </w:tr>
      <w:tr w:rsidR="001B3767" w:rsidRPr="003B22FD" w:rsidTr="00867193">
        <w:trPr>
          <w:trHeight w:hRule="exact" w:val="255"/>
          <w:jc w:val="center"/>
        </w:trPr>
        <w:tc>
          <w:tcPr>
            <w:tcW w:w="3099" w:type="dxa"/>
            <w:tcBorders>
              <w:top w:val="single" w:sz="2" w:space="0" w:color="auto"/>
              <w:left w:val="nil"/>
              <w:bottom w:val="single" w:sz="2" w:space="0" w:color="auto"/>
              <w:right w:val="nil"/>
            </w:tcBorders>
            <w:vAlign w:val="center"/>
            <w:hideMark/>
          </w:tcPr>
          <w:p w:rsidR="001B3767" w:rsidRPr="003B22FD" w:rsidRDefault="001B3767" w:rsidP="003B22FD">
            <w:pPr>
              <w:pStyle w:val="cuatexto"/>
              <w:ind w:right="-49"/>
              <w:jc w:val="left"/>
              <w:rPr>
                <w:sz w:val="19"/>
                <w:szCs w:val="19"/>
              </w:rPr>
            </w:pPr>
            <w:r w:rsidRPr="003B22FD">
              <w:rPr>
                <w:sz w:val="19"/>
                <w:szCs w:val="19"/>
              </w:rPr>
              <w:t>Inversiones reales</w:t>
            </w:r>
          </w:p>
        </w:tc>
        <w:tc>
          <w:tcPr>
            <w:tcW w:w="70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c>
          <w:tcPr>
            <w:tcW w:w="855"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2</w:t>
            </w:r>
          </w:p>
        </w:tc>
        <w:tc>
          <w:tcPr>
            <w:tcW w:w="2570" w:type="dxa"/>
            <w:tcBorders>
              <w:top w:val="single" w:sz="2" w:space="0" w:color="auto"/>
              <w:left w:val="nil"/>
              <w:bottom w:val="single" w:sz="2"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 xml:space="preserve">Ing. patrimoniales </w:t>
            </w:r>
          </w:p>
        </w:tc>
        <w:tc>
          <w:tcPr>
            <w:tcW w:w="734"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0,5</w:t>
            </w:r>
          </w:p>
        </w:tc>
        <w:tc>
          <w:tcPr>
            <w:tcW w:w="826"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0,5</w:t>
            </w:r>
          </w:p>
        </w:tc>
      </w:tr>
      <w:tr w:rsidR="001B3767" w:rsidRPr="003B22FD" w:rsidTr="00867193">
        <w:trPr>
          <w:trHeight w:hRule="exact" w:val="255"/>
          <w:jc w:val="center"/>
        </w:trPr>
        <w:tc>
          <w:tcPr>
            <w:tcW w:w="309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left"/>
              <w:rPr>
                <w:sz w:val="19"/>
                <w:szCs w:val="19"/>
              </w:rPr>
            </w:pPr>
            <w:r w:rsidRPr="003B22FD">
              <w:rPr>
                <w:sz w:val="19"/>
                <w:szCs w:val="19"/>
              </w:rPr>
              <w:t>Carga financiera</w:t>
            </w:r>
          </w:p>
        </w:tc>
        <w:tc>
          <w:tcPr>
            <w:tcW w:w="709"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8</w:t>
            </w:r>
          </w:p>
        </w:tc>
        <w:tc>
          <w:tcPr>
            <w:tcW w:w="855"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11</w:t>
            </w:r>
          </w:p>
        </w:tc>
        <w:tc>
          <w:tcPr>
            <w:tcW w:w="2570" w:type="dxa"/>
            <w:tcBorders>
              <w:top w:val="single" w:sz="2" w:space="0" w:color="auto"/>
              <w:left w:val="nil"/>
              <w:bottom w:val="single" w:sz="2"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Endeudamiento</w:t>
            </w:r>
          </w:p>
        </w:tc>
        <w:tc>
          <w:tcPr>
            <w:tcW w:w="734"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12,5</w:t>
            </w:r>
          </w:p>
        </w:tc>
        <w:tc>
          <w:tcPr>
            <w:tcW w:w="826"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12,5</w:t>
            </w:r>
          </w:p>
        </w:tc>
      </w:tr>
      <w:tr w:rsidR="001B3767" w:rsidRPr="003B22FD" w:rsidTr="00867193">
        <w:trPr>
          <w:trHeight w:hRule="exact" w:val="255"/>
          <w:jc w:val="center"/>
        </w:trPr>
        <w:tc>
          <w:tcPr>
            <w:tcW w:w="3099" w:type="dxa"/>
            <w:tcBorders>
              <w:top w:val="single" w:sz="2" w:space="0" w:color="auto"/>
              <w:left w:val="nil"/>
              <w:bottom w:val="single" w:sz="4" w:space="0" w:color="auto"/>
              <w:right w:val="nil"/>
            </w:tcBorders>
            <w:vAlign w:val="center"/>
            <w:hideMark/>
          </w:tcPr>
          <w:p w:rsidR="001B3767" w:rsidRPr="003B22FD" w:rsidRDefault="001B3767" w:rsidP="003B22FD">
            <w:pPr>
              <w:pStyle w:val="cuatexto"/>
              <w:jc w:val="left"/>
              <w:rPr>
                <w:sz w:val="19"/>
                <w:szCs w:val="19"/>
              </w:rPr>
            </w:pPr>
            <w:r w:rsidRPr="003B22FD">
              <w:rPr>
                <w:sz w:val="19"/>
                <w:szCs w:val="19"/>
              </w:rPr>
              <w:t>Activos financieros</w:t>
            </w:r>
          </w:p>
        </w:tc>
        <w:tc>
          <w:tcPr>
            <w:tcW w:w="709" w:type="dxa"/>
            <w:tcBorders>
              <w:top w:val="single" w:sz="2" w:space="0" w:color="auto"/>
              <w:left w:val="nil"/>
              <w:bottom w:val="single" w:sz="4"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c>
          <w:tcPr>
            <w:tcW w:w="855" w:type="dxa"/>
            <w:tcBorders>
              <w:top w:val="single" w:sz="2" w:space="0" w:color="auto"/>
              <w:left w:val="nil"/>
              <w:bottom w:val="single" w:sz="4"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4</w:t>
            </w:r>
          </w:p>
        </w:tc>
        <w:tc>
          <w:tcPr>
            <w:tcW w:w="2570" w:type="dxa"/>
            <w:tcBorders>
              <w:top w:val="single" w:sz="2" w:space="0" w:color="auto"/>
              <w:left w:val="nil"/>
              <w:bottom w:val="single" w:sz="4" w:space="0" w:color="auto"/>
              <w:right w:val="nil"/>
            </w:tcBorders>
            <w:vAlign w:val="center"/>
            <w:hideMark/>
          </w:tcPr>
          <w:p w:rsidR="001B3767" w:rsidRPr="003B22FD" w:rsidRDefault="001B3767" w:rsidP="003B22FD">
            <w:pPr>
              <w:pStyle w:val="cuatexto"/>
              <w:ind w:left="150"/>
              <w:jc w:val="left"/>
              <w:rPr>
                <w:sz w:val="19"/>
                <w:szCs w:val="19"/>
              </w:rPr>
            </w:pPr>
            <w:r w:rsidRPr="003B22FD">
              <w:rPr>
                <w:sz w:val="19"/>
                <w:szCs w:val="19"/>
              </w:rPr>
              <w:t>Activos financieros</w:t>
            </w:r>
          </w:p>
        </w:tc>
        <w:tc>
          <w:tcPr>
            <w:tcW w:w="734" w:type="dxa"/>
            <w:tcBorders>
              <w:top w:val="single" w:sz="2" w:space="0" w:color="auto"/>
              <w:left w:val="nil"/>
              <w:bottom w:val="single" w:sz="4"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c>
          <w:tcPr>
            <w:tcW w:w="826" w:type="dxa"/>
            <w:tcBorders>
              <w:top w:val="single" w:sz="2" w:space="0" w:color="auto"/>
              <w:left w:val="nil"/>
              <w:bottom w:val="single" w:sz="4" w:space="0" w:color="auto"/>
              <w:right w:val="nil"/>
            </w:tcBorders>
            <w:vAlign w:val="center"/>
            <w:hideMark/>
          </w:tcPr>
          <w:p w:rsidR="001B3767" w:rsidRPr="003B22FD" w:rsidRDefault="001B3767" w:rsidP="003B22FD">
            <w:pPr>
              <w:pStyle w:val="cuatexto"/>
              <w:jc w:val="right"/>
              <w:rPr>
                <w:sz w:val="19"/>
                <w:szCs w:val="19"/>
              </w:rPr>
            </w:pPr>
            <w:r w:rsidRPr="003B22FD">
              <w:rPr>
                <w:sz w:val="19"/>
                <w:szCs w:val="19"/>
              </w:rPr>
              <w:t>3</w:t>
            </w:r>
          </w:p>
        </w:tc>
      </w:tr>
      <w:tr w:rsidR="001B3767" w:rsidRPr="003B22FD" w:rsidTr="003B22FD">
        <w:trPr>
          <w:trHeight w:hRule="exact" w:val="284"/>
          <w:jc w:val="center"/>
        </w:trPr>
        <w:tc>
          <w:tcPr>
            <w:tcW w:w="3099" w:type="dxa"/>
            <w:tcBorders>
              <w:top w:val="single" w:sz="4" w:space="0" w:color="auto"/>
              <w:left w:val="nil"/>
              <w:bottom w:val="single" w:sz="4" w:space="0" w:color="auto"/>
              <w:right w:val="nil"/>
            </w:tcBorders>
            <w:shd w:val="clear" w:color="auto" w:fill="8DB3E2" w:themeFill="text2" w:themeFillTint="66"/>
            <w:vAlign w:val="center"/>
          </w:tcPr>
          <w:p w:rsidR="001B3767" w:rsidRPr="00304B37" w:rsidRDefault="00304B37" w:rsidP="003B22FD">
            <w:pPr>
              <w:pStyle w:val="cuadroCabe"/>
              <w:jc w:val="left"/>
              <w:rPr>
                <w:sz w:val="17"/>
                <w:szCs w:val="17"/>
              </w:rPr>
            </w:pPr>
            <w:r w:rsidRPr="00304B37">
              <w:rPr>
                <w:rFonts w:cs="Arial"/>
                <w:sz w:val="17"/>
                <w:szCs w:val="17"/>
              </w:rPr>
              <w:t>Total</w:t>
            </w:r>
          </w:p>
        </w:tc>
        <w:tc>
          <w:tcPr>
            <w:tcW w:w="709"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t>100</w:t>
            </w:r>
          </w:p>
        </w:tc>
        <w:tc>
          <w:tcPr>
            <w:tcW w:w="855"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fldChar w:fldCharType="begin"/>
            </w:r>
            <w:r w:rsidRPr="003B22FD">
              <w:rPr>
                <w:sz w:val="17"/>
                <w:szCs w:val="17"/>
              </w:rPr>
              <w:instrText xml:space="preserve"> =SUM(ABOVE) </w:instrText>
            </w:r>
            <w:r w:rsidRPr="003B22FD">
              <w:rPr>
                <w:sz w:val="17"/>
                <w:szCs w:val="17"/>
              </w:rPr>
              <w:fldChar w:fldCharType="separate"/>
            </w:r>
            <w:r w:rsidRPr="003B22FD">
              <w:rPr>
                <w:sz w:val="17"/>
                <w:szCs w:val="17"/>
              </w:rPr>
              <w:t>100</w:t>
            </w:r>
            <w:r w:rsidRPr="003B22FD">
              <w:rPr>
                <w:sz w:val="17"/>
                <w:szCs w:val="17"/>
              </w:rPr>
              <w:fldChar w:fldCharType="end"/>
            </w:r>
          </w:p>
        </w:tc>
        <w:tc>
          <w:tcPr>
            <w:tcW w:w="2570" w:type="dxa"/>
            <w:tcBorders>
              <w:top w:val="single" w:sz="4" w:space="0" w:color="auto"/>
              <w:left w:val="nil"/>
              <w:bottom w:val="single" w:sz="4" w:space="0" w:color="auto"/>
              <w:right w:val="nil"/>
            </w:tcBorders>
            <w:shd w:val="clear" w:color="auto" w:fill="8DB3E2" w:themeFill="text2" w:themeFillTint="66"/>
            <w:vAlign w:val="center"/>
          </w:tcPr>
          <w:p w:rsidR="001B3767" w:rsidRPr="003B22FD" w:rsidRDefault="001B3767" w:rsidP="003B22FD">
            <w:pPr>
              <w:pStyle w:val="cuadroCabe"/>
              <w:jc w:val="left"/>
              <w:rPr>
                <w:sz w:val="17"/>
                <w:szCs w:val="17"/>
              </w:rPr>
            </w:pPr>
          </w:p>
        </w:tc>
        <w:tc>
          <w:tcPr>
            <w:tcW w:w="734"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fldChar w:fldCharType="begin"/>
            </w:r>
            <w:r w:rsidRPr="003B22FD">
              <w:rPr>
                <w:sz w:val="17"/>
                <w:szCs w:val="17"/>
              </w:rPr>
              <w:instrText xml:space="preserve"> =SUM(ABOVE) </w:instrText>
            </w:r>
            <w:r w:rsidRPr="003B22FD">
              <w:rPr>
                <w:sz w:val="17"/>
                <w:szCs w:val="17"/>
              </w:rPr>
              <w:fldChar w:fldCharType="separate"/>
            </w:r>
            <w:r w:rsidRPr="003B22FD">
              <w:rPr>
                <w:sz w:val="17"/>
                <w:szCs w:val="17"/>
              </w:rPr>
              <w:t>100</w:t>
            </w:r>
            <w:r w:rsidRPr="003B22FD">
              <w:rPr>
                <w:sz w:val="17"/>
                <w:szCs w:val="17"/>
              </w:rPr>
              <w:fldChar w:fldCharType="end"/>
            </w:r>
          </w:p>
        </w:tc>
        <w:tc>
          <w:tcPr>
            <w:tcW w:w="826"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rPr>
                <w:sz w:val="17"/>
                <w:szCs w:val="17"/>
              </w:rPr>
            </w:pPr>
            <w:r w:rsidRPr="003B22FD">
              <w:rPr>
                <w:sz w:val="17"/>
                <w:szCs w:val="17"/>
              </w:rPr>
              <w:fldChar w:fldCharType="begin"/>
            </w:r>
            <w:r w:rsidRPr="003B22FD">
              <w:rPr>
                <w:sz w:val="17"/>
                <w:szCs w:val="17"/>
              </w:rPr>
              <w:instrText xml:space="preserve"> =SUM(ABOVE) </w:instrText>
            </w:r>
            <w:r w:rsidRPr="003B22FD">
              <w:rPr>
                <w:sz w:val="17"/>
                <w:szCs w:val="17"/>
              </w:rPr>
              <w:fldChar w:fldCharType="separate"/>
            </w:r>
            <w:r w:rsidRPr="003B22FD">
              <w:rPr>
                <w:sz w:val="17"/>
                <w:szCs w:val="17"/>
              </w:rPr>
              <w:t>100</w:t>
            </w:r>
            <w:r w:rsidRPr="003B22FD">
              <w:rPr>
                <w:sz w:val="17"/>
                <w:szCs w:val="17"/>
              </w:rPr>
              <w:fldChar w:fldCharType="end"/>
            </w:r>
          </w:p>
        </w:tc>
      </w:tr>
    </w:tbl>
    <w:p w:rsidR="001B3767" w:rsidRPr="002C4039" w:rsidRDefault="002C4039" w:rsidP="00867193">
      <w:pPr>
        <w:pStyle w:val="texto"/>
        <w:numPr>
          <w:ilvl w:val="0"/>
          <w:numId w:val="11"/>
        </w:numPr>
        <w:tabs>
          <w:tab w:val="clear" w:pos="2835"/>
          <w:tab w:val="clear" w:pos="3969"/>
          <w:tab w:val="clear" w:pos="5103"/>
          <w:tab w:val="clear" w:pos="6237"/>
          <w:tab w:val="clear" w:pos="7371"/>
          <w:tab w:val="left" w:pos="480"/>
          <w:tab w:val="num" w:pos="600"/>
          <w:tab w:val="num" w:pos="720"/>
        </w:tabs>
        <w:spacing w:before="240" w:after="320"/>
        <w:ind w:left="0" w:firstLine="289"/>
        <w:rPr>
          <w:rFonts w:cs="Arial"/>
        </w:rPr>
      </w:pPr>
      <w:r w:rsidRPr="002C4039">
        <w:rPr>
          <w:rFonts w:cs="Arial"/>
        </w:rPr>
        <w:t>El saldo de l</w:t>
      </w:r>
      <w:r w:rsidR="001B3767" w:rsidRPr="002C4039">
        <w:rPr>
          <w:rFonts w:cs="Arial"/>
        </w:rPr>
        <w:t>a cuenta 413 "acreedores por operaciones pendientes de apl</w:t>
      </w:r>
      <w:r w:rsidR="001B3767" w:rsidRPr="002C4039">
        <w:rPr>
          <w:rFonts w:cs="Arial"/>
        </w:rPr>
        <w:t>i</w:t>
      </w:r>
      <w:r w:rsidR="001B3767" w:rsidRPr="002C4039">
        <w:rPr>
          <w:rFonts w:cs="Arial"/>
        </w:rPr>
        <w:t>car a presupuestos"</w:t>
      </w:r>
      <w:r w:rsidRPr="002C4039">
        <w:rPr>
          <w:rFonts w:cs="Arial"/>
        </w:rPr>
        <w:t xml:space="preserve"> a 31 de diciembre de 2014 era de </w:t>
      </w:r>
      <w:r w:rsidR="001B3767" w:rsidRPr="002C4039">
        <w:rPr>
          <w:rFonts w:cs="Arial"/>
        </w:rPr>
        <w:t>3,66 millones</w:t>
      </w:r>
      <w:r w:rsidRPr="002C4039">
        <w:rPr>
          <w:rFonts w:cs="Arial"/>
        </w:rPr>
        <w:t>. De este importe, 2,78 millones corresponden a gastos registrados que en ejercicios a</w:t>
      </w:r>
      <w:r w:rsidRPr="002C4039">
        <w:rPr>
          <w:rFonts w:cs="Arial"/>
        </w:rPr>
        <w:t>n</w:t>
      </w:r>
      <w:r w:rsidRPr="002C4039">
        <w:rPr>
          <w:rFonts w:cs="Arial"/>
        </w:rPr>
        <w:t>teriores no se contabilizaban y que en 2013 alcanzaron la cifra de 2,83 mill</w:t>
      </w:r>
      <w:r w:rsidRPr="002C4039">
        <w:rPr>
          <w:rFonts w:cs="Arial"/>
        </w:rPr>
        <w:t>o</w:t>
      </w:r>
      <w:r w:rsidRPr="002C4039">
        <w:rPr>
          <w:rFonts w:cs="Arial"/>
        </w:rPr>
        <w:t xml:space="preserve">nes. A partir de 2014, todos </w:t>
      </w:r>
      <w:r w:rsidR="00586826" w:rsidRPr="002C4039">
        <w:rPr>
          <w:rFonts w:cs="Arial"/>
        </w:rPr>
        <w:t xml:space="preserve">los gastos </w:t>
      </w:r>
      <w:r w:rsidRPr="002C4039">
        <w:rPr>
          <w:rFonts w:cs="Arial"/>
        </w:rPr>
        <w:t>registrados</w:t>
      </w:r>
      <w:r w:rsidR="001B3767" w:rsidRPr="002C4039">
        <w:rPr>
          <w:rFonts w:cs="Arial"/>
        </w:rPr>
        <w:t xml:space="preserve"> no aplicados al presupuesto</w:t>
      </w:r>
      <w:r w:rsidR="00586826" w:rsidRPr="002C4039">
        <w:rPr>
          <w:rFonts w:cs="Arial"/>
        </w:rPr>
        <w:t xml:space="preserve"> </w:t>
      </w:r>
      <w:r>
        <w:rPr>
          <w:rFonts w:cs="Arial"/>
        </w:rPr>
        <w:t>se contabilizan en la citada cuenta.</w:t>
      </w:r>
      <w:r w:rsidR="0097595D" w:rsidRPr="002C4039">
        <w:rPr>
          <w:rFonts w:cs="Arial"/>
        </w:rPr>
        <w:t xml:space="preserve">   </w:t>
      </w:r>
    </w:p>
    <w:p w:rsidR="001B3767" w:rsidRPr="00254E6D" w:rsidRDefault="001B3767" w:rsidP="003B22FD">
      <w:pPr>
        <w:pStyle w:val="atitulo2"/>
        <w:spacing w:before="320"/>
      </w:pPr>
      <w:bookmarkStart w:id="64" w:name="_Toc434399404"/>
      <w:r w:rsidRPr="00254E6D">
        <w:t>VII.</w:t>
      </w:r>
      <w:r>
        <w:t>3</w:t>
      </w:r>
      <w:r w:rsidRPr="00254E6D">
        <w:t>. Gastos de personal</w:t>
      </w:r>
      <w:bookmarkEnd w:id="64"/>
    </w:p>
    <w:p w:rsidR="001B3767" w:rsidRPr="006D43A7" w:rsidRDefault="001B3767" w:rsidP="006D43A7">
      <w:pPr>
        <w:pStyle w:val="texto"/>
        <w:rPr>
          <w:lang w:val="es-ES"/>
        </w:rPr>
      </w:pPr>
      <w:r w:rsidRPr="006D43A7">
        <w:rPr>
          <w:lang w:val="es-ES"/>
        </w:rPr>
        <w:t>Los gastos de personal en 2014 ascendieron a 1.111,72 millones de euros y representan el 29 por ciento del total del gasto. El 43 por ciento corresponde al Departamento de Salud, el 30 por ciento a Educación y el 18 por ciento al D</w:t>
      </w:r>
      <w:r w:rsidRPr="006D43A7">
        <w:rPr>
          <w:lang w:val="es-ES"/>
        </w:rPr>
        <w:t>e</w:t>
      </w:r>
      <w:r w:rsidRPr="006D43A7">
        <w:rPr>
          <w:lang w:val="es-ES"/>
        </w:rPr>
        <w:t xml:space="preserve">partamento de Presidencia, Justicia e </w:t>
      </w:r>
      <w:r w:rsidR="002902C6" w:rsidRPr="006D43A7">
        <w:rPr>
          <w:lang w:val="es-ES"/>
        </w:rPr>
        <w:t>Interior</w:t>
      </w:r>
      <w:r w:rsidRPr="006D43A7">
        <w:rPr>
          <w:lang w:val="es-ES"/>
        </w:rPr>
        <w:t>.</w:t>
      </w:r>
    </w:p>
    <w:p w:rsidR="00867193" w:rsidRDefault="00867193" w:rsidP="003B22FD">
      <w:pPr>
        <w:pStyle w:val="texto"/>
        <w:spacing w:after="200"/>
        <w:rPr>
          <w:lang w:val="es-ES"/>
        </w:rPr>
      </w:pPr>
    </w:p>
    <w:p w:rsidR="00867193" w:rsidRDefault="00867193" w:rsidP="003B22FD">
      <w:pPr>
        <w:pStyle w:val="texto"/>
        <w:spacing w:after="200"/>
        <w:rPr>
          <w:lang w:val="es-ES"/>
        </w:rPr>
      </w:pPr>
    </w:p>
    <w:p w:rsidR="001B3767" w:rsidRPr="006D43A7" w:rsidRDefault="001B3767" w:rsidP="003B22FD">
      <w:pPr>
        <w:pStyle w:val="texto"/>
        <w:spacing w:after="200"/>
        <w:rPr>
          <w:lang w:val="es-ES"/>
        </w:rPr>
      </w:pPr>
      <w:r w:rsidRPr="006D43A7">
        <w:rPr>
          <w:lang w:val="es-ES"/>
        </w:rPr>
        <w:lastRenderedPageBreak/>
        <w:t xml:space="preserve">Su distribución por conceptos económicos es la siguiente: </w:t>
      </w:r>
    </w:p>
    <w:p w:rsidR="003B22FD" w:rsidRPr="00957681" w:rsidRDefault="001B3767" w:rsidP="003B22FD">
      <w:pPr>
        <w:pStyle w:val="texto"/>
        <w:spacing w:after="60"/>
        <w:ind w:right="11"/>
        <w:jc w:val="right"/>
        <w:rPr>
          <w:rFonts w:ascii="Arial Narrow" w:hAnsi="Arial Narrow"/>
          <w:sz w:val="18"/>
          <w:szCs w:val="18"/>
        </w:rPr>
      </w:pPr>
      <w:r>
        <w:rPr>
          <w:spacing w:val="-3"/>
          <w:sz w:val="20"/>
        </w:rPr>
        <w:t xml:space="preserve">                                  </w:t>
      </w:r>
      <w:r>
        <w:rPr>
          <w:spacing w:val="-3"/>
          <w:sz w:val="20"/>
        </w:rPr>
        <w:tab/>
      </w:r>
      <w:r>
        <w:rPr>
          <w:spacing w:val="-3"/>
          <w:sz w:val="20"/>
        </w:rPr>
        <w:tab/>
        <w:t xml:space="preserve">                              </w:t>
      </w:r>
      <w:r>
        <w:rPr>
          <w:spacing w:val="-3"/>
          <w:sz w:val="20"/>
        </w:rPr>
        <w:tab/>
      </w:r>
      <w:r w:rsidR="003B22FD" w:rsidRPr="00957681">
        <w:rPr>
          <w:rFonts w:ascii="Arial Narrow" w:hAnsi="Arial Narrow"/>
          <w:sz w:val="18"/>
          <w:szCs w:val="18"/>
        </w:rPr>
        <w:t>(</w:t>
      </w:r>
      <w:proofErr w:type="gramStart"/>
      <w:r w:rsidR="003B22FD" w:rsidRPr="00957681">
        <w:rPr>
          <w:rFonts w:ascii="Arial Narrow" w:hAnsi="Arial Narrow"/>
          <w:sz w:val="18"/>
          <w:szCs w:val="18"/>
        </w:rPr>
        <w:t>en</w:t>
      </w:r>
      <w:proofErr w:type="gramEnd"/>
      <w:r w:rsidR="003B22FD" w:rsidRPr="00957681">
        <w:rPr>
          <w:rFonts w:ascii="Arial Narrow" w:hAnsi="Arial Narrow"/>
          <w:sz w:val="18"/>
          <w:szCs w:val="18"/>
        </w:rPr>
        <w:t xml:space="preserve"> </w:t>
      </w:r>
      <w:r w:rsidR="003B22FD">
        <w:rPr>
          <w:rFonts w:ascii="Arial Narrow" w:hAnsi="Arial Narrow"/>
          <w:sz w:val="18"/>
          <w:szCs w:val="18"/>
        </w:rPr>
        <w:t xml:space="preserve">millones de </w:t>
      </w:r>
      <w:r w:rsidR="003B22FD" w:rsidRPr="00957681">
        <w:rPr>
          <w:rFonts w:ascii="Arial Narrow" w:hAnsi="Arial Narrow"/>
          <w:sz w:val="18"/>
          <w:szCs w:val="18"/>
        </w:rPr>
        <w:t>euros)</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1B3767" w:rsidTr="003B22F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3B22FD" w:rsidRDefault="001B3767" w:rsidP="000E2288">
            <w:pPr>
              <w:pStyle w:val="cuadroCabe"/>
              <w:jc w:val="left"/>
            </w:pPr>
            <w:r w:rsidRPr="003B22FD">
              <w:t>Gastos de personal</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pPr>
            <w:r w:rsidRPr="003B22FD">
              <w:t>2013</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pP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3B22FD" w:rsidRDefault="001B3767" w:rsidP="003B22FD">
            <w:pPr>
              <w:pStyle w:val="cuadroCabe"/>
              <w:jc w:val="right"/>
            </w:pPr>
            <w:proofErr w:type="spellStart"/>
            <w:r w:rsidRPr="003B22FD">
              <w:t>Porcent</w:t>
            </w:r>
            <w:proofErr w:type="spellEnd"/>
            <w:r w:rsidRPr="003B22FD">
              <w:t xml:space="preserve">. </w:t>
            </w:r>
          </w:p>
          <w:p w:rsidR="001B3767" w:rsidRPr="003B22FD" w:rsidRDefault="00A26C7F" w:rsidP="003B22FD">
            <w:pPr>
              <w:pStyle w:val="cuadroCabe"/>
              <w:jc w:val="right"/>
            </w:pPr>
            <w:proofErr w:type="spellStart"/>
            <w:proofErr w:type="gramStart"/>
            <w:r w:rsidRPr="003B22FD">
              <w:t>variac</w:t>
            </w:r>
            <w:proofErr w:type="spellEnd"/>
            <w:proofErr w:type="gramEnd"/>
            <w:r w:rsidR="001B3767" w:rsidRPr="003B22FD">
              <w:t>.</w:t>
            </w:r>
          </w:p>
        </w:tc>
      </w:tr>
      <w:tr w:rsidR="001B3767" w:rsidRPr="003B22FD" w:rsidTr="003B22FD">
        <w:trPr>
          <w:trHeight w:hRule="exact" w:val="238"/>
          <w:jc w:val="center"/>
        </w:trPr>
        <w:tc>
          <w:tcPr>
            <w:tcW w:w="3880" w:type="dxa"/>
            <w:tcBorders>
              <w:top w:val="single" w:sz="4"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Altos cargos</w:t>
            </w:r>
          </w:p>
        </w:tc>
        <w:tc>
          <w:tcPr>
            <w:tcW w:w="1998" w:type="dxa"/>
            <w:tcBorders>
              <w:top w:val="single" w:sz="4" w:space="0" w:color="auto"/>
              <w:left w:val="nil"/>
              <w:bottom w:val="single" w:sz="2" w:space="0" w:color="auto"/>
              <w:right w:val="nil"/>
            </w:tcBorders>
            <w:vAlign w:val="center"/>
            <w:hideMark/>
          </w:tcPr>
          <w:p w:rsidR="001B3767" w:rsidRPr="003B22FD" w:rsidRDefault="001B3767" w:rsidP="00587F43">
            <w:pPr>
              <w:pStyle w:val="cuatexto"/>
              <w:jc w:val="right"/>
              <w:rPr>
                <w:szCs w:val="20"/>
              </w:rPr>
            </w:pPr>
            <w:r w:rsidRPr="003B22FD">
              <w:rPr>
                <w:szCs w:val="20"/>
              </w:rPr>
              <w:t>5</w:t>
            </w:r>
            <w:r w:rsidR="00587F43">
              <w:rPr>
                <w:szCs w:val="20"/>
              </w:rPr>
              <w:t>,</w:t>
            </w:r>
            <w:r w:rsidRPr="003B22FD">
              <w:rPr>
                <w:szCs w:val="20"/>
              </w:rPr>
              <w:t>15</w:t>
            </w:r>
          </w:p>
        </w:tc>
        <w:tc>
          <w:tcPr>
            <w:tcW w:w="1493" w:type="dxa"/>
            <w:tcBorders>
              <w:top w:val="single" w:sz="4" w:space="0" w:color="auto"/>
              <w:left w:val="nil"/>
              <w:bottom w:val="single" w:sz="2" w:space="0" w:color="auto"/>
              <w:right w:val="nil"/>
            </w:tcBorders>
            <w:vAlign w:val="center"/>
            <w:hideMark/>
          </w:tcPr>
          <w:p w:rsidR="001B3767" w:rsidRPr="003B22FD" w:rsidRDefault="00587F43" w:rsidP="00587F43">
            <w:pPr>
              <w:pStyle w:val="cuatexto"/>
              <w:jc w:val="right"/>
              <w:rPr>
                <w:szCs w:val="20"/>
              </w:rPr>
            </w:pPr>
            <w:r>
              <w:rPr>
                <w:szCs w:val="20"/>
              </w:rPr>
              <w:t>4,</w:t>
            </w:r>
            <w:r w:rsidR="001B3767" w:rsidRPr="003B22FD">
              <w:rPr>
                <w:szCs w:val="20"/>
              </w:rPr>
              <w:t>74</w:t>
            </w:r>
          </w:p>
        </w:tc>
        <w:tc>
          <w:tcPr>
            <w:tcW w:w="1437" w:type="dxa"/>
            <w:tcBorders>
              <w:top w:val="single" w:sz="4"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-8</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tabs>
                <w:tab w:val="clear" w:pos="2835"/>
                <w:tab w:val="right" w:pos="3195"/>
              </w:tabs>
              <w:jc w:val="left"/>
              <w:rPr>
                <w:szCs w:val="20"/>
              </w:rPr>
            </w:pPr>
            <w:r w:rsidRPr="003B22FD">
              <w:rPr>
                <w:szCs w:val="20"/>
              </w:rPr>
              <w:t>Personal eventual</w:t>
            </w:r>
          </w:p>
        </w:tc>
        <w:tc>
          <w:tcPr>
            <w:tcW w:w="1998"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Cs w:val="20"/>
              </w:rPr>
            </w:pPr>
            <w:r w:rsidRPr="003B22FD">
              <w:rPr>
                <w:szCs w:val="20"/>
              </w:rPr>
              <w:t>1</w:t>
            </w:r>
            <w:r w:rsidR="00587F43">
              <w:rPr>
                <w:szCs w:val="20"/>
              </w:rPr>
              <w:t>,15</w:t>
            </w:r>
          </w:p>
        </w:tc>
        <w:tc>
          <w:tcPr>
            <w:tcW w:w="1493"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1,15</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0,1</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Retribuciones del puesto</w:t>
            </w:r>
          </w:p>
        </w:tc>
        <w:tc>
          <w:tcPr>
            <w:tcW w:w="1998" w:type="dxa"/>
            <w:tcBorders>
              <w:top w:val="single" w:sz="2" w:space="0" w:color="auto"/>
              <w:left w:val="nil"/>
              <w:bottom w:val="single" w:sz="2" w:space="0" w:color="auto"/>
              <w:right w:val="nil"/>
            </w:tcBorders>
            <w:vAlign w:val="center"/>
            <w:hideMark/>
          </w:tcPr>
          <w:p w:rsidR="001B3767" w:rsidRPr="003B22FD" w:rsidRDefault="001B3767" w:rsidP="00587F43">
            <w:pPr>
              <w:pStyle w:val="cuatexto"/>
              <w:jc w:val="right"/>
              <w:rPr>
                <w:szCs w:val="20"/>
              </w:rPr>
            </w:pPr>
            <w:r w:rsidRPr="003B22FD">
              <w:rPr>
                <w:szCs w:val="20"/>
              </w:rPr>
              <w:t>690</w:t>
            </w:r>
            <w:r w:rsidR="00587F43">
              <w:rPr>
                <w:szCs w:val="20"/>
              </w:rPr>
              <w:t>,55</w:t>
            </w:r>
          </w:p>
        </w:tc>
        <w:tc>
          <w:tcPr>
            <w:tcW w:w="1493" w:type="dxa"/>
            <w:tcBorders>
              <w:top w:val="single" w:sz="2" w:space="0" w:color="auto"/>
              <w:left w:val="nil"/>
              <w:bottom w:val="single" w:sz="2" w:space="0" w:color="auto"/>
              <w:right w:val="nil"/>
            </w:tcBorders>
            <w:vAlign w:val="center"/>
            <w:hideMark/>
          </w:tcPr>
          <w:p w:rsidR="001B3767" w:rsidRPr="003B22FD" w:rsidRDefault="00587F43" w:rsidP="00587F43">
            <w:pPr>
              <w:pStyle w:val="cuatexto"/>
              <w:jc w:val="right"/>
              <w:rPr>
                <w:szCs w:val="20"/>
              </w:rPr>
            </w:pPr>
            <w:r>
              <w:rPr>
                <w:szCs w:val="20"/>
              </w:rPr>
              <w:t>695,499</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1</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Retribuciones personales</w:t>
            </w:r>
          </w:p>
        </w:tc>
        <w:tc>
          <w:tcPr>
            <w:tcW w:w="1998" w:type="dxa"/>
            <w:tcBorders>
              <w:top w:val="single" w:sz="2" w:space="0" w:color="auto"/>
              <w:left w:val="nil"/>
              <w:bottom w:val="single" w:sz="2" w:space="0" w:color="auto"/>
              <w:right w:val="nil"/>
            </w:tcBorders>
            <w:vAlign w:val="center"/>
            <w:hideMark/>
          </w:tcPr>
          <w:p w:rsidR="001B3767" w:rsidRPr="003B22FD" w:rsidRDefault="001B3767" w:rsidP="00587F43">
            <w:pPr>
              <w:pStyle w:val="cuatexto"/>
              <w:jc w:val="right"/>
              <w:rPr>
                <w:szCs w:val="20"/>
              </w:rPr>
            </w:pPr>
            <w:r w:rsidRPr="003B22FD">
              <w:rPr>
                <w:szCs w:val="20"/>
              </w:rPr>
              <w:t>119</w:t>
            </w:r>
            <w:r w:rsidR="00587F43">
              <w:rPr>
                <w:szCs w:val="20"/>
              </w:rPr>
              <w:t>,93</w:t>
            </w:r>
          </w:p>
        </w:tc>
        <w:tc>
          <w:tcPr>
            <w:tcW w:w="1493"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119,45</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-0,4</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Cuotas, prestaciones y gastos sociales</w:t>
            </w:r>
          </w:p>
        </w:tc>
        <w:tc>
          <w:tcPr>
            <w:tcW w:w="1998" w:type="dxa"/>
            <w:tcBorders>
              <w:top w:val="single" w:sz="2" w:space="0" w:color="auto"/>
              <w:left w:val="nil"/>
              <w:bottom w:val="single" w:sz="2" w:space="0" w:color="auto"/>
              <w:right w:val="nil"/>
            </w:tcBorders>
            <w:vAlign w:val="center"/>
            <w:hideMark/>
          </w:tcPr>
          <w:p w:rsidR="001B3767" w:rsidRPr="003B22FD" w:rsidRDefault="001B3767" w:rsidP="003B22FD">
            <w:pPr>
              <w:pStyle w:val="cuatexto"/>
              <w:jc w:val="right"/>
              <w:rPr>
                <w:szCs w:val="20"/>
              </w:rPr>
            </w:pPr>
            <w:r w:rsidRPr="003B22FD">
              <w:rPr>
                <w:szCs w:val="20"/>
              </w:rPr>
              <w:t>22</w:t>
            </w:r>
            <w:r w:rsidR="00587F43">
              <w:rPr>
                <w:szCs w:val="20"/>
              </w:rPr>
              <w:t>4,94</w:t>
            </w:r>
          </w:p>
        </w:tc>
        <w:tc>
          <w:tcPr>
            <w:tcW w:w="1493"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237,72</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6</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Retribuciones variables</w:t>
            </w:r>
          </w:p>
        </w:tc>
        <w:tc>
          <w:tcPr>
            <w:tcW w:w="1998"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50,</w:t>
            </w:r>
            <w:r w:rsidR="001B3767" w:rsidRPr="003B22FD">
              <w:rPr>
                <w:szCs w:val="20"/>
              </w:rPr>
              <w:t>47</w:t>
            </w:r>
          </w:p>
        </w:tc>
        <w:tc>
          <w:tcPr>
            <w:tcW w:w="1493"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49,</w:t>
            </w:r>
            <w:r w:rsidR="001B3767" w:rsidRPr="003B22FD">
              <w:rPr>
                <w:szCs w:val="20"/>
              </w:rPr>
              <w:t>0</w:t>
            </w:r>
            <w:r>
              <w:rPr>
                <w:szCs w:val="20"/>
              </w:rPr>
              <w:t>2</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-3</w:t>
            </w:r>
          </w:p>
        </w:tc>
      </w:tr>
      <w:tr w:rsidR="001B3767" w:rsidRPr="003B22FD" w:rsidTr="003B22FD">
        <w:trPr>
          <w:trHeight w:hRule="exact" w:val="238"/>
          <w:jc w:val="center"/>
        </w:trPr>
        <w:tc>
          <w:tcPr>
            <w:tcW w:w="3880"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left"/>
              <w:rPr>
                <w:szCs w:val="20"/>
              </w:rPr>
            </w:pPr>
            <w:r w:rsidRPr="003B22FD">
              <w:rPr>
                <w:szCs w:val="20"/>
              </w:rPr>
              <w:t>Otras retribuciones</w:t>
            </w:r>
          </w:p>
        </w:tc>
        <w:tc>
          <w:tcPr>
            <w:tcW w:w="1998"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4,</w:t>
            </w:r>
            <w:r w:rsidR="001B3767" w:rsidRPr="003B22FD">
              <w:rPr>
                <w:szCs w:val="20"/>
              </w:rPr>
              <w:t>2</w:t>
            </w:r>
            <w:r>
              <w:rPr>
                <w:szCs w:val="20"/>
              </w:rPr>
              <w:t>2</w:t>
            </w:r>
          </w:p>
        </w:tc>
        <w:tc>
          <w:tcPr>
            <w:tcW w:w="1493" w:type="dxa"/>
            <w:tcBorders>
              <w:top w:val="single" w:sz="2" w:space="0" w:color="auto"/>
              <w:left w:val="nil"/>
              <w:bottom w:val="single" w:sz="2" w:space="0" w:color="auto"/>
              <w:right w:val="nil"/>
            </w:tcBorders>
            <w:vAlign w:val="center"/>
            <w:hideMark/>
          </w:tcPr>
          <w:p w:rsidR="001B3767" w:rsidRPr="003B22FD" w:rsidRDefault="00587F43" w:rsidP="003B22FD">
            <w:pPr>
              <w:pStyle w:val="cuatexto"/>
              <w:jc w:val="right"/>
              <w:rPr>
                <w:szCs w:val="20"/>
              </w:rPr>
            </w:pPr>
            <w:r>
              <w:rPr>
                <w:szCs w:val="20"/>
              </w:rPr>
              <w:t>4,15</w:t>
            </w:r>
          </w:p>
        </w:tc>
        <w:tc>
          <w:tcPr>
            <w:tcW w:w="1437" w:type="dxa"/>
            <w:tcBorders>
              <w:top w:val="single" w:sz="2" w:space="0" w:color="auto"/>
              <w:left w:val="nil"/>
              <w:bottom w:val="single" w:sz="2" w:space="0" w:color="auto"/>
              <w:right w:val="nil"/>
            </w:tcBorders>
            <w:noWrap/>
            <w:vAlign w:val="center"/>
            <w:hideMark/>
          </w:tcPr>
          <w:p w:rsidR="001B3767" w:rsidRPr="003B22FD" w:rsidRDefault="001B3767" w:rsidP="003B22FD">
            <w:pPr>
              <w:pStyle w:val="cuatexto"/>
              <w:jc w:val="right"/>
              <w:rPr>
                <w:szCs w:val="20"/>
              </w:rPr>
            </w:pPr>
            <w:r w:rsidRPr="003B22FD">
              <w:rPr>
                <w:szCs w:val="20"/>
              </w:rPr>
              <w:t>-1</w:t>
            </w:r>
          </w:p>
        </w:tc>
      </w:tr>
      <w:tr w:rsidR="001B3767" w:rsidTr="003B22FD">
        <w:trPr>
          <w:trHeight w:val="312"/>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1B3767" w:rsidRPr="003B22FD" w:rsidRDefault="001B3767" w:rsidP="003B22FD">
            <w:pPr>
              <w:pStyle w:val="cuadroCabe"/>
              <w:jc w:val="left"/>
            </w:pPr>
            <w:r w:rsidRPr="003B22FD">
              <w:t>Total capítulo 1</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1B3767" w:rsidRPr="003B22FD" w:rsidRDefault="001B3767" w:rsidP="003B22FD">
            <w:pPr>
              <w:pStyle w:val="cuadroCabe"/>
              <w:jc w:val="right"/>
            </w:pPr>
            <w:r w:rsidRPr="003B22FD">
              <w:t>1.096</w:t>
            </w:r>
            <w:r w:rsidR="00587F43">
              <w:t>,41</w:t>
            </w:r>
          </w:p>
        </w:tc>
        <w:tc>
          <w:tcPr>
            <w:tcW w:w="1493" w:type="dxa"/>
            <w:tcBorders>
              <w:top w:val="single" w:sz="2" w:space="0" w:color="auto"/>
              <w:left w:val="nil"/>
              <w:bottom w:val="single" w:sz="4" w:space="0" w:color="auto"/>
              <w:right w:val="nil"/>
            </w:tcBorders>
            <w:shd w:val="clear" w:color="auto" w:fill="8DB3E2" w:themeFill="text2" w:themeFillTint="66"/>
            <w:vAlign w:val="center"/>
            <w:hideMark/>
          </w:tcPr>
          <w:p w:rsidR="001B3767" w:rsidRPr="003B22FD" w:rsidRDefault="00587F43" w:rsidP="00587F43">
            <w:pPr>
              <w:pStyle w:val="cuadroCabe"/>
              <w:jc w:val="right"/>
            </w:pPr>
            <w:r>
              <w:fldChar w:fldCharType="begin"/>
            </w:r>
            <w:r>
              <w:instrText xml:space="preserve"> =SUM(ABOVE) </w:instrText>
            </w:r>
            <w:r>
              <w:fldChar w:fldCharType="separate"/>
            </w:r>
            <w:r>
              <w:rPr>
                <w:noProof/>
              </w:rPr>
              <w:t>1.111,72</w:t>
            </w:r>
            <w:r>
              <w:fldChar w:fldCharType="end"/>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1B3767" w:rsidRPr="003B22FD" w:rsidRDefault="001B3767" w:rsidP="003B22FD">
            <w:pPr>
              <w:pStyle w:val="cuadroCabe"/>
              <w:jc w:val="right"/>
            </w:pPr>
            <w:r w:rsidRPr="003B22FD">
              <w:t>1</w:t>
            </w:r>
          </w:p>
        </w:tc>
      </w:tr>
    </w:tbl>
    <w:p w:rsidR="001B3767" w:rsidRDefault="001B3767" w:rsidP="003B22FD">
      <w:pPr>
        <w:pStyle w:val="texto"/>
        <w:spacing w:before="280"/>
        <w:rPr>
          <w:lang w:val="es-ES"/>
        </w:rPr>
      </w:pPr>
      <w:r w:rsidRPr="006D43A7">
        <w:rPr>
          <w:lang w:val="es-ES"/>
        </w:rPr>
        <w:t>Respecto a 2013, aumentaron en un uno por ciento, lo que supuso 15,31 m</w:t>
      </w:r>
      <w:r w:rsidRPr="006D43A7">
        <w:rPr>
          <w:lang w:val="es-ES"/>
        </w:rPr>
        <w:t>i</w:t>
      </w:r>
      <w:r w:rsidRPr="006D43A7">
        <w:rPr>
          <w:lang w:val="es-ES"/>
        </w:rPr>
        <w:t>llones más de gasto. En esta variación destaca el incremento de las retribuci</w:t>
      </w:r>
      <w:r w:rsidRPr="006D43A7">
        <w:rPr>
          <w:lang w:val="es-ES"/>
        </w:rPr>
        <w:t>o</w:t>
      </w:r>
      <w:r w:rsidRPr="006D43A7">
        <w:rPr>
          <w:lang w:val="es-ES"/>
        </w:rPr>
        <w:t>nes del personal contratado para plazas de plantilla en un 15 por ciento, del personal contratado temporal en un 13 por ciento y la disminución en un tres por ciento de las retribuciones del personal fijo.</w:t>
      </w:r>
    </w:p>
    <w:p w:rsidR="001B3767" w:rsidRPr="00027B09" w:rsidRDefault="001B3767" w:rsidP="00FD4295">
      <w:pPr>
        <w:pStyle w:val="texto"/>
        <w:spacing w:before="240" w:after="240"/>
        <w:rPr>
          <w:rFonts w:ascii="Arial" w:hAnsi="Arial" w:cs="Arial"/>
          <w:i/>
          <w:sz w:val="24"/>
        </w:rPr>
      </w:pPr>
      <w:r w:rsidRPr="00027B09">
        <w:rPr>
          <w:rFonts w:ascii="Arial" w:hAnsi="Arial" w:cs="Arial"/>
          <w:i/>
          <w:sz w:val="24"/>
        </w:rPr>
        <w:t>Plantilla orgánica y oferta pública de empleo</w:t>
      </w:r>
    </w:p>
    <w:p w:rsidR="001B3767" w:rsidRPr="006D43A7" w:rsidRDefault="001B3767" w:rsidP="00FD4295">
      <w:pPr>
        <w:pStyle w:val="texto"/>
        <w:spacing w:after="180"/>
        <w:rPr>
          <w:lang w:val="es-ES"/>
        </w:rPr>
      </w:pPr>
      <w:r w:rsidRPr="006D43A7">
        <w:rPr>
          <w:lang w:val="es-ES"/>
        </w:rPr>
        <w:t xml:space="preserve">La plantilla orgánica de la Administración de la Comunidad Foral y sus OOAA se aprobó, </w:t>
      </w:r>
      <w:r w:rsidR="00587F43">
        <w:rPr>
          <w:lang w:val="es-ES"/>
        </w:rPr>
        <w:t>a fecha</w:t>
      </w:r>
      <w:r w:rsidRPr="006D43A7">
        <w:rPr>
          <w:lang w:val="es-ES"/>
        </w:rPr>
        <w:t xml:space="preserve"> 2 de abril de 2005, mediante Decreto Foral 100/2005 de 27 de julio.</w:t>
      </w:r>
    </w:p>
    <w:p w:rsidR="001B3767" w:rsidRPr="006D43A7" w:rsidRDefault="001B3767" w:rsidP="00FD4295">
      <w:pPr>
        <w:pStyle w:val="texto"/>
        <w:spacing w:after="180"/>
        <w:rPr>
          <w:lang w:val="es-ES"/>
        </w:rPr>
      </w:pPr>
      <w:r w:rsidRPr="006D43A7">
        <w:rPr>
          <w:lang w:val="es-ES"/>
        </w:rPr>
        <w:t>La plantilla orgánica y la relación del personal fijo y eventual que desemp</w:t>
      </w:r>
      <w:r w:rsidRPr="006D43A7">
        <w:rPr>
          <w:lang w:val="es-ES"/>
        </w:rPr>
        <w:t>e</w:t>
      </w:r>
      <w:r w:rsidRPr="006D43A7">
        <w:rPr>
          <w:lang w:val="es-ES"/>
        </w:rPr>
        <w:t>ña cargos directivos de libre designación en la Administración de la Comun</w:t>
      </w:r>
      <w:r w:rsidRPr="006D43A7">
        <w:rPr>
          <w:lang w:val="es-ES"/>
        </w:rPr>
        <w:t>i</w:t>
      </w:r>
      <w:r w:rsidRPr="006D43A7">
        <w:rPr>
          <w:lang w:val="es-ES"/>
        </w:rPr>
        <w:t>dad Foral de Navarra y en sus organismos autónomos a 31 de diciembre de 2014 se publicó en el BON el 26 de marzo de 2015.</w:t>
      </w:r>
    </w:p>
    <w:p w:rsidR="001B3767" w:rsidRPr="006D43A7" w:rsidRDefault="001B3767" w:rsidP="00A458D9">
      <w:pPr>
        <w:pStyle w:val="texto"/>
        <w:spacing w:after="240"/>
        <w:rPr>
          <w:lang w:val="es-ES"/>
        </w:rPr>
      </w:pPr>
      <w:r w:rsidRPr="006D43A7">
        <w:rPr>
          <w:lang w:val="es-ES"/>
        </w:rPr>
        <w:t>Los puestos de trabajo en la plantilla orgánica a 31 de diciembre del año 2014 ascendían a 22.428, 112 más que en 2013. Su clasificación era la siguie</w:t>
      </w:r>
      <w:r w:rsidRPr="006D43A7">
        <w:rPr>
          <w:lang w:val="es-ES"/>
        </w:rPr>
        <w:t>n</w:t>
      </w:r>
      <w:r w:rsidRPr="006D43A7">
        <w:rPr>
          <w:lang w:val="es-ES"/>
        </w:rPr>
        <w:t>te:</w:t>
      </w:r>
    </w:p>
    <w:tbl>
      <w:tblPr>
        <w:tblW w:w="8750"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780"/>
        <w:gridCol w:w="945"/>
        <w:gridCol w:w="782"/>
        <w:gridCol w:w="997"/>
        <w:gridCol w:w="876"/>
        <w:gridCol w:w="758"/>
        <w:gridCol w:w="876"/>
        <w:gridCol w:w="895"/>
      </w:tblGrid>
      <w:tr w:rsidR="001B3767" w:rsidRPr="00A458D9" w:rsidTr="00A10880">
        <w:trPr>
          <w:trHeight w:hRule="exact" w:val="255"/>
          <w:jc w:val="center"/>
        </w:trPr>
        <w:tc>
          <w:tcPr>
            <w:tcW w:w="1841" w:type="dxa"/>
            <w:vMerge w:val="restart"/>
            <w:tcBorders>
              <w:top w:val="single" w:sz="4" w:space="0" w:color="auto"/>
              <w:left w:val="nil"/>
              <w:bottom w:val="single" w:sz="2" w:space="0" w:color="auto"/>
              <w:right w:val="nil"/>
            </w:tcBorders>
            <w:shd w:val="clear" w:color="auto" w:fill="8DB3E2" w:themeFill="text2" w:themeFillTint="66"/>
            <w:vAlign w:val="center"/>
          </w:tcPr>
          <w:p w:rsidR="001B3767" w:rsidRPr="00A458D9" w:rsidRDefault="00C26F4D" w:rsidP="00A458D9">
            <w:pPr>
              <w:pStyle w:val="cuadroCabe"/>
              <w:jc w:val="left"/>
              <w:rPr>
                <w:szCs w:val="18"/>
              </w:rPr>
            </w:pPr>
            <w:r>
              <w:rPr>
                <w:szCs w:val="18"/>
              </w:rPr>
              <w:t>Puestos</w:t>
            </w:r>
          </w:p>
        </w:tc>
        <w:tc>
          <w:tcPr>
            <w:tcW w:w="1725"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ind w:left="515"/>
              <w:jc w:val="left"/>
              <w:rPr>
                <w:szCs w:val="18"/>
              </w:rPr>
            </w:pPr>
            <w:r w:rsidRPr="00A458D9">
              <w:rPr>
                <w:szCs w:val="18"/>
              </w:rPr>
              <w:t>Adm</w:t>
            </w:r>
            <w:r w:rsidR="00A458D9">
              <w:rPr>
                <w:szCs w:val="18"/>
              </w:rPr>
              <w:t>ó</w:t>
            </w:r>
            <w:r w:rsidRPr="00A458D9">
              <w:rPr>
                <w:szCs w:val="18"/>
              </w:rPr>
              <w:t>n</w:t>
            </w:r>
            <w:r w:rsidR="00A458D9">
              <w:rPr>
                <w:szCs w:val="18"/>
              </w:rPr>
              <w:t>.</w:t>
            </w:r>
            <w:r w:rsidRPr="00A458D9">
              <w:rPr>
                <w:szCs w:val="18"/>
              </w:rPr>
              <w:t xml:space="preserve"> </w:t>
            </w:r>
          </w:p>
          <w:p w:rsidR="001B3767" w:rsidRPr="00A458D9" w:rsidRDefault="001B3767" w:rsidP="00A458D9">
            <w:pPr>
              <w:pStyle w:val="cuadroCabe"/>
              <w:ind w:left="515"/>
              <w:jc w:val="left"/>
              <w:rPr>
                <w:szCs w:val="18"/>
              </w:rPr>
            </w:pPr>
            <w:r w:rsidRPr="00A458D9">
              <w:rPr>
                <w:szCs w:val="18"/>
              </w:rPr>
              <w:t>Núcleo</w:t>
            </w:r>
          </w:p>
        </w:tc>
        <w:tc>
          <w:tcPr>
            <w:tcW w:w="1779"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ind w:left="428"/>
              <w:jc w:val="left"/>
              <w:rPr>
                <w:szCs w:val="18"/>
              </w:rPr>
            </w:pPr>
            <w:r w:rsidRPr="00A458D9">
              <w:rPr>
                <w:szCs w:val="18"/>
              </w:rPr>
              <w:t>Educación</w:t>
            </w:r>
          </w:p>
        </w:tc>
        <w:tc>
          <w:tcPr>
            <w:tcW w:w="1634"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ind w:left="524"/>
              <w:jc w:val="left"/>
              <w:rPr>
                <w:szCs w:val="18"/>
              </w:rPr>
            </w:pPr>
            <w:r w:rsidRPr="00A458D9">
              <w:rPr>
                <w:szCs w:val="18"/>
              </w:rPr>
              <w:t>SNS-O</w:t>
            </w:r>
          </w:p>
        </w:tc>
        <w:tc>
          <w:tcPr>
            <w:tcW w:w="1771" w:type="dxa"/>
            <w:gridSpan w:val="2"/>
            <w:tcBorders>
              <w:top w:val="single" w:sz="4"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ind w:left="612"/>
              <w:jc w:val="left"/>
              <w:rPr>
                <w:szCs w:val="18"/>
              </w:rPr>
            </w:pPr>
            <w:r w:rsidRPr="00A458D9">
              <w:rPr>
                <w:szCs w:val="18"/>
              </w:rPr>
              <w:t>Total</w:t>
            </w:r>
          </w:p>
        </w:tc>
      </w:tr>
      <w:tr w:rsidR="001B3767" w:rsidRPr="00A458D9" w:rsidTr="00A10880">
        <w:trPr>
          <w:trHeight w:hRule="exact" w:val="255"/>
          <w:jc w:val="center"/>
        </w:trPr>
        <w:tc>
          <w:tcPr>
            <w:tcW w:w="1841" w:type="dxa"/>
            <w:vMerge/>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left"/>
              <w:rPr>
                <w:szCs w:val="18"/>
              </w:rPr>
            </w:pPr>
          </w:p>
        </w:tc>
        <w:tc>
          <w:tcPr>
            <w:tcW w:w="780"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C33A46" w:rsidP="00A458D9">
            <w:pPr>
              <w:pStyle w:val="cuadroCabe"/>
              <w:ind w:left="-136" w:firstLine="136"/>
              <w:jc w:val="right"/>
              <w:rPr>
                <w:szCs w:val="18"/>
              </w:rPr>
            </w:pPr>
            <w:r>
              <w:rPr>
                <w:szCs w:val="18"/>
              </w:rPr>
              <w:t>2013</w:t>
            </w:r>
          </w:p>
        </w:tc>
        <w:tc>
          <w:tcPr>
            <w:tcW w:w="945"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2014</w:t>
            </w:r>
          </w:p>
        </w:tc>
        <w:tc>
          <w:tcPr>
            <w:tcW w:w="782"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2013</w:t>
            </w:r>
          </w:p>
        </w:tc>
        <w:tc>
          <w:tcPr>
            <w:tcW w:w="997"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2014</w:t>
            </w:r>
          </w:p>
        </w:tc>
        <w:tc>
          <w:tcPr>
            <w:tcW w:w="876"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2013</w:t>
            </w:r>
          </w:p>
        </w:tc>
        <w:tc>
          <w:tcPr>
            <w:tcW w:w="758"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2014</w:t>
            </w:r>
          </w:p>
        </w:tc>
        <w:tc>
          <w:tcPr>
            <w:tcW w:w="876"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2013</w:t>
            </w:r>
          </w:p>
        </w:tc>
        <w:tc>
          <w:tcPr>
            <w:tcW w:w="895" w:type="dxa"/>
            <w:tcBorders>
              <w:top w:val="single" w:sz="2" w:space="0" w:color="auto"/>
              <w:left w:val="nil"/>
              <w:bottom w:val="single" w:sz="2"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2014</w:t>
            </w:r>
          </w:p>
        </w:tc>
      </w:tr>
      <w:tr w:rsidR="001B3767" w:rsidRPr="00A458D9" w:rsidTr="00A10880">
        <w:trPr>
          <w:trHeight w:hRule="exact" w:val="284"/>
          <w:jc w:val="center"/>
        </w:trPr>
        <w:tc>
          <w:tcPr>
            <w:tcW w:w="1841" w:type="dxa"/>
            <w:tcBorders>
              <w:top w:val="single" w:sz="2" w:space="0" w:color="auto"/>
              <w:left w:val="nil"/>
              <w:bottom w:val="single" w:sz="2" w:space="0" w:color="auto"/>
              <w:right w:val="nil"/>
            </w:tcBorders>
            <w:vAlign w:val="center"/>
          </w:tcPr>
          <w:p w:rsidR="001B3767" w:rsidRPr="00A458D9" w:rsidRDefault="001B3767" w:rsidP="00C26F4D">
            <w:pPr>
              <w:pStyle w:val="cuatexto"/>
              <w:jc w:val="left"/>
              <w:rPr>
                <w:szCs w:val="20"/>
              </w:rPr>
            </w:pPr>
            <w:r w:rsidRPr="00A458D9">
              <w:rPr>
                <w:szCs w:val="20"/>
              </w:rPr>
              <w:t>Ocupad</w:t>
            </w:r>
            <w:r w:rsidR="00C26F4D">
              <w:rPr>
                <w:szCs w:val="20"/>
              </w:rPr>
              <w:t>o</w:t>
            </w:r>
            <w:r w:rsidRPr="00A458D9">
              <w:rPr>
                <w:szCs w:val="20"/>
              </w:rPr>
              <w:t>s</w:t>
            </w:r>
          </w:p>
        </w:tc>
        <w:tc>
          <w:tcPr>
            <w:tcW w:w="780" w:type="dxa"/>
            <w:tcBorders>
              <w:top w:val="single" w:sz="2" w:space="0" w:color="auto"/>
              <w:left w:val="nil"/>
              <w:bottom w:val="single" w:sz="2" w:space="0" w:color="auto"/>
              <w:right w:val="nil"/>
            </w:tcBorders>
            <w:vAlign w:val="center"/>
          </w:tcPr>
          <w:p w:rsidR="001B3767" w:rsidRPr="00A458D9" w:rsidRDefault="00C33A46" w:rsidP="00A458D9">
            <w:pPr>
              <w:pStyle w:val="cuatexto"/>
              <w:jc w:val="right"/>
              <w:rPr>
                <w:szCs w:val="20"/>
              </w:rPr>
            </w:pPr>
            <w:r>
              <w:rPr>
                <w:szCs w:val="20"/>
              </w:rPr>
              <w:t>4.980</w:t>
            </w:r>
          </w:p>
        </w:tc>
        <w:tc>
          <w:tcPr>
            <w:tcW w:w="945"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5.100</w:t>
            </w:r>
          </w:p>
        </w:tc>
        <w:tc>
          <w:tcPr>
            <w:tcW w:w="782"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6.530</w:t>
            </w:r>
          </w:p>
        </w:tc>
        <w:tc>
          <w:tcPr>
            <w:tcW w:w="997"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6.338</w:t>
            </w:r>
          </w:p>
        </w:tc>
        <w:tc>
          <w:tcPr>
            <w:tcW w:w="876"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6.946</w:t>
            </w:r>
          </w:p>
        </w:tc>
        <w:tc>
          <w:tcPr>
            <w:tcW w:w="758"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6.651</w:t>
            </w:r>
          </w:p>
        </w:tc>
        <w:tc>
          <w:tcPr>
            <w:tcW w:w="876"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18.456</w:t>
            </w:r>
          </w:p>
        </w:tc>
        <w:tc>
          <w:tcPr>
            <w:tcW w:w="895" w:type="dxa"/>
            <w:tcBorders>
              <w:top w:val="single" w:sz="2" w:space="0" w:color="auto"/>
              <w:left w:val="nil"/>
              <w:bottom w:val="single" w:sz="2" w:space="0" w:color="auto"/>
              <w:right w:val="nil"/>
            </w:tcBorders>
            <w:vAlign w:val="center"/>
          </w:tcPr>
          <w:p w:rsidR="001B3767" w:rsidRPr="00A458D9" w:rsidRDefault="001B3767" w:rsidP="00A458D9">
            <w:pPr>
              <w:pStyle w:val="cuatexto"/>
              <w:jc w:val="right"/>
              <w:rPr>
                <w:szCs w:val="20"/>
              </w:rPr>
            </w:pPr>
            <w:r w:rsidRPr="00A458D9">
              <w:rPr>
                <w:szCs w:val="20"/>
              </w:rPr>
              <w:t>18.089</w:t>
            </w:r>
          </w:p>
        </w:tc>
      </w:tr>
      <w:tr w:rsidR="001B3767" w:rsidRPr="00A458D9" w:rsidTr="00A10880">
        <w:trPr>
          <w:trHeight w:hRule="exact" w:val="284"/>
          <w:jc w:val="center"/>
        </w:trPr>
        <w:tc>
          <w:tcPr>
            <w:tcW w:w="1841" w:type="dxa"/>
            <w:tcBorders>
              <w:top w:val="single" w:sz="2" w:space="0" w:color="auto"/>
              <w:left w:val="nil"/>
              <w:bottom w:val="single" w:sz="4" w:space="0" w:color="auto"/>
              <w:right w:val="nil"/>
            </w:tcBorders>
            <w:vAlign w:val="center"/>
          </w:tcPr>
          <w:p w:rsidR="001B3767" w:rsidRPr="00A458D9" w:rsidRDefault="001B3767" w:rsidP="00A458D9">
            <w:pPr>
              <w:pStyle w:val="cuatexto"/>
              <w:jc w:val="left"/>
              <w:rPr>
                <w:szCs w:val="20"/>
              </w:rPr>
            </w:pPr>
            <w:r w:rsidRPr="00A458D9">
              <w:rPr>
                <w:szCs w:val="20"/>
              </w:rPr>
              <w:t xml:space="preserve">Vacantes </w:t>
            </w:r>
          </w:p>
        </w:tc>
        <w:tc>
          <w:tcPr>
            <w:tcW w:w="780" w:type="dxa"/>
            <w:tcBorders>
              <w:top w:val="single" w:sz="2" w:space="0" w:color="auto"/>
              <w:left w:val="nil"/>
              <w:bottom w:val="single" w:sz="4" w:space="0" w:color="auto"/>
              <w:right w:val="nil"/>
            </w:tcBorders>
            <w:vAlign w:val="center"/>
          </w:tcPr>
          <w:p w:rsidR="001B3767" w:rsidRPr="00A458D9" w:rsidRDefault="00C33A46" w:rsidP="00A458D9">
            <w:pPr>
              <w:pStyle w:val="cuatexto"/>
              <w:jc w:val="right"/>
              <w:rPr>
                <w:szCs w:val="20"/>
              </w:rPr>
            </w:pPr>
            <w:r>
              <w:rPr>
                <w:szCs w:val="20"/>
              </w:rPr>
              <w:t>1.015</w:t>
            </w:r>
          </w:p>
        </w:tc>
        <w:tc>
          <w:tcPr>
            <w:tcW w:w="945"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1.118</w:t>
            </w:r>
          </w:p>
        </w:tc>
        <w:tc>
          <w:tcPr>
            <w:tcW w:w="782"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1.302</w:t>
            </w:r>
          </w:p>
        </w:tc>
        <w:tc>
          <w:tcPr>
            <w:tcW w:w="997"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1.488</w:t>
            </w:r>
          </w:p>
        </w:tc>
        <w:tc>
          <w:tcPr>
            <w:tcW w:w="876"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1.543</w:t>
            </w:r>
          </w:p>
        </w:tc>
        <w:tc>
          <w:tcPr>
            <w:tcW w:w="758"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1.733</w:t>
            </w:r>
          </w:p>
        </w:tc>
        <w:tc>
          <w:tcPr>
            <w:tcW w:w="876"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3.860</w:t>
            </w:r>
          </w:p>
        </w:tc>
        <w:tc>
          <w:tcPr>
            <w:tcW w:w="895" w:type="dxa"/>
            <w:tcBorders>
              <w:top w:val="single" w:sz="2" w:space="0" w:color="auto"/>
              <w:left w:val="nil"/>
              <w:bottom w:val="single" w:sz="4" w:space="0" w:color="auto"/>
              <w:right w:val="nil"/>
            </w:tcBorders>
            <w:vAlign w:val="center"/>
          </w:tcPr>
          <w:p w:rsidR="001B3767" w:rsidRPr="00A458D9" w:rsidRDefault="001B3767" w:rsidP="00A458D9">
            <w:pPr>
              <w:pStyle w:val="cuatexto"/>
              <w:jc w:val="right"/>
              <w:rPr>
                <w:szCs w:val="20"/>
              </w:rPr>
            </w:pPr>
            <w:r w:rsidRPr="00A458D9">
              <w:rPr>
                <w:szCs w:val="20"/>
              </w:rPr>
              <w:t>4.339</w:t>
            </w:r>
          </w:p>
        </w:tc>
      </w:tr>
      <w:tr w:rsidR="001B3767" w:rsidRPr="00A458D9" w:rsidTr="00A10880">
        <w:trPr>
          <w:trHeight w:hRule="exact" w:val="312"/>
          <w:jc w:val="center"/>
        </w:trPr>
        <w:tc>
          <w:tcPr>
            <w:tcW w:w="1841"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left"/>
              <w:rPr>
                <w:szCs w:val="18"/>
              </w:rPr>
            </w:pPr>
            <w:r w:rsidRPr="00A458D9">
              <w:rPr>
                <w:szCs w:val="18"/>
              </w:rPr>
              <w:t>Total puestos</w:t>
            </w:r>
          </w:p>
        </w:tc>
        <w:tc>
          <w:tcPr>
            <w:tcW w:w="780"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C33A46" w:rsidP="00A458D9">
            <w:pPr>
              <w:pStyle w:val="cuadroCabe"/>
              <w:jc w:val="right"/>
              <w:rPr>
                <w:szCs w:val="18"/>
              </w:rPr>
            </w:pPr>
            <w:r>
              <w:rPr>
                <w:szCs w:val="18"/>
              </w:rPr>
              <w:fldChar w:fldCharType="begin"/>
            </w:r>
            <w:r>
              <w:rPr>
                <w:szCs w:val="18"/>
              </w:rPr>
              <w:instrText xml:space="preserve"> =SUM(ABOVE) </w:instrText>
            </w:r>
            <w:r>
              <w:rPr>
                <w:szCs w:val="18"/>
              </w:rPr>
              <w:fldChar w:fldCharType="separate"/>
            </w:r>
            <w:r>
              <w:rPr>
                <w:noProof/>
                <w:szCs w:val="18"/>
              </w:rPr>
              <w:t>5.995</w:t>
            </w:r>
            <w:r>
              <w:rPr>
                <w:szCs w:val="18"/>
              </w:rPr>
              <w:fldChar w:fldCharType="end"/>
            </w:r>
          </w:p>
        </w:tc>
        <w:tc>
          <w:tcPr>
            <w:tcW w:w="945"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fldChar w:fldCharType="begin"/>
            </w:r>
            <w:r w:rsidRPr="00A458D9">
              <w:rPr>
                <w:szCs w:val="18"/>
              </w:rPr>
              <w:instrText xml:space="preserve"> =SUM(ABOVE) </w:instrText>
            </w:r>
            <w:r w:rsidRPr="00A458D9">
              <w:rPr>
                <w:szCs w:val="18"/>
              </w:rPr>
              <w:fldChar w:fldCharType="separate"/>
            </w:r>
            <w:r w:rsidRPr="00A458D9">
              <w:rPr>
                <w:szCs w:val="18"/>
              </w:rPr>
              <w:t>6.218</w:t>
            </w:r>
            <w:r w:rsidRPr="00A458D9">
              <w:rPr>
                <w:szCs w:val="18"/>
              </w:rPr>
              <w:fldChar w:fldCharType="end"/>
            </w:r>
          </w:p>
        </w:tc>
        <w:tc>
          <w:tcPr>
            <w:tcW w:w="782"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7.832</w:t>
            </w:r>
          </w:p>
        </w:tc>
        <w:tc>
          <w:tcPr>
            <w:tcW w:w="997"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fldChar w:fldCharType="begin"/>
            </w:r>
            <w:r w:rsidRPr="00A458D9">
              <w:rPr>
                <w:szCs w:val="18"/>
              </w:rPr>
              <w:instrText xml:space="preserve"> =SUM(ABOVE) </w:instrText>
            </w:r>
            <w:r w:rsidRPr="00A458D9">
              <w:rPr>
                <w:szCs w:val="18"/>
              </w:rPr>
              <w:fldChar w:fldCharType="separate"/>
            </w:r>
            <w:r w:rsidRPr="00A458D9">
              <w:rPr>
                <w:szCs w:val="18"/>
              </w:rPr>
              <w:t>7.826</w:t>
            </w:r>
            <w:r w:rsidRPr="00A458D9">
              <w:rPr>
                <w:szCs w:val="18"/>
              </w:rPr>
              <w:fldChar w:fldCharType="end"/>
            </w:r>
          </w:p>
        </w:tc>
        <w:tc>
          <w:tcPr>
            <w:tcW w:w="876"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8.489</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fldChar w:fldCharType="begin"/>
            </w:r>
            <w:r w:rsidRPr="00A458D9">
              <w:rPr>
                <w:szCs w:val="18"/>
              </w:rPr>
              <w:instrText xml:space="preserve"> =SUM(ABOVE) </w:instrText>
            </w:r>
            <w:r w:rsidRPr="00A458D9">
              <w:rPr>
                <w:szCs w:val="18"/>
              </w:rPr>
              <w:fldChar w:fldCharType="separate"/>
            </w:r>
            <w:r w:rsidRPr="00A458D9">
              <w:rPr>
                <w:szCs w:val="18"/>
              </w:rPr>
              <w:t>8.384</w:t>
            </w:r>
            <w:r w:rsidRPr="00A458D9">
              <w:rPr>
                <w:szCs w:val="18"/>
              </w:rPr>
              <w:fldChar w:fldCharType="end"/>
            </w:r>
          </w:p>
        </w:tc>
        <w:tc>
          <w:tcPr>
            <w:tcW w:w="876"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t>22.316</w:t>
            </w:r>
          </w:p>
        </w:tc>
        <w:tc>
          <w:tcPr>
            <w:tcW w:w="895" w:type="dxa"/>
            <w:tcBorders>
              <w:top w:val="single" w:sz="4" w:space="0" w:color="auto"/>
              <w:left w:val="nil"/>
              <w:bottom w:val="single" w:sz="4" w:space="0" w:color="auto"/>
              <w:right w:val="nil"/>
            </w:tcBorders>
            <w:shd w:val="clear" w:color="auto" w:fill="8DB3E2" w:themeFill="text2" w:themeFillTint="66"/>
            <w:vAlign w:val="center"/>
          </w:tcPr>
          <w:p w:rsidR="001B3767" w:rsidRPr="00A458D9" w:rsidRDefault="001B3767" w:rsidP="00A458D9">
            <w:pPr>
              <w:pStyle w:val="cuadroCabe"/>
              <w:jc w:val="right"/>
              <w:rPr>
                <w:szCs w:val="18"/>
              </w:rPr>
            </w:pPr>
            <w:r w:rsidRPr="00A458D9">
              <w:rPr>
                <w:szCs w:val="18"/>
              </w:rPr>
              <w:fldChar w:fldCharType="begin"/>
            </w:r>
            <w:r w:rsidRPr="00A458D9">
              <w:rPr>
                <w:szCs w:val="18"/>
              </w:rPr>
              <w:instrText xml:space="preserve"> =SUM(ABOVE) </w:instrText>
            </w:r>
            <w:r w:rsidRPr="00A458D9">
              <w:rPr>
                <w:szCs w:val="18"/>
              </w:rPr>
              <w:fldChar w:fldCharType="separate"/>
            </w:r>
            <w:r w:rsidRPr="00A458D9">
              <w:rPr>
                <w:szCs w:val="18"/>
              </w:rPr>
              <w:t>22.428</w:t>
            </w:r>
            <w:r w:rsidRPr="00A458D9">
              <w:rPr>
                <w:szCs w:val="18"/>
              </w:rPr>
              <w:fldChar w:fldCharType="end"/>
            </w:r>
          </w:p>
        </w:tc>
      </w:tr>
    </w:tbl>
    <w:p w:rsidR="001B3767" w:rsidRPr="006D43A7" w:rsidRDefault="001B3767" w:rsidP="007149B3">
      <w:pPr>
        <w:pStyle w:val="texto"/>
        <w:spacing w:before="280" w:after="180"/>
        <w:rPr>
          <w:lang w:val="es-ES"/>
        </w:rPr>
      </w:pPr>
      <w:r w:rsidRPr="006D43A7">
        <w:rPr>
          <w:lang w:val="es-ES"/>
        </w:rPr>
        <w:t>El 37 por ciento de los puestos corresponde al SNS-O, un 35 por ciento a Educación y el 28 por ciento a la Administración Núcleo, en la cual, el 20 por ciento de los puestos son de Policía Foral.</w:t>
      </w:r>
    </w:p>
    <w:p w:rsidR="001B3767" w:rsidRPr="006D43A7" w:rsidRDefault="001B3767" w:rsidP="00FD4295">
      <w:pPr>
        <w:pStyle w:val="texto"/>
        <w:spacing w:after="180"/>
        <w:rPr>
          <w:lang w:val="es-ES"/>
        </w:rPr>
      </w:pPr>
      <w:r w:rsidRPr="006D43A7">
        <w:rPr>
          <w:lang w:val="es-ES"/>
        </w:rPr>
        <w:t xml:space="preserve">El </w:t>
      </w:r>
      <w:r w:rsidR="00C33A46">
        <w:rPr>
          <w:lang w:val="es-ES"/>
        </w:rPr>
        <w:t>19</w:t>
      </w:r>
      <w:r w:rsidRPr="006D43A7">
        <w:rPr>
          <w:lang w:val="es-ES"/>
        </w:rPr>
        <w:t xml:space="preserve"> por ciento del total de puestos estaba</w:t>
      </w:r>
      <w:r w:rsidR="005118D7">
        <w:rPr>
          <w:lang w:val="es-ES"/>
        </w:rPr>
        <w:t>n</w:t>
      </w:r>
      <w:r w:rsidRPr="006D43A7">
        <w:rPr>
          <w:lang w:val="es-ES"/>
        </w:rPr>
        <w:t xml:space="preserve"> vacante</w:t>
      </w:r>
      <w:r w:rsidR="005118D7">
        <w:rPr>
          <w:lang w:val="es-ES"/>
        </w:rPr>
        <w:t>s</w:t>
      </w:r>
      <w:r w:rsidRPr="006D43A7">
        <w:rPr>
          <w:lang w:val="es-ES"/>
        </w:rPr>
        <w:t xml:space="preserve"> y dentro de éstos, el 60 por ciento estaba ocupado</w:t>
      </w:r>
      <w:r w:rsidR="00C33A46">
        <w:rPr>
          <w:lang w:val="es-ES"/>
        </w:rPr>
        <w:t xml:space="preserve"> temporalmente</w:t>
      </w:r>
      <w:r w:rsidRPr="006D43A7">
        <w:rPr>
          <w:lang w:val="es-ES"/>
        </w:rPr>
        <w:t>.</w:t>
      </w:r>
    </w:p>
    <w:p w:rsidR="001B3767" w:rsidRPr="006D43A7" w:rsidRDefault="001B3767" w:rsidP="00FD4295">
      <w:pPr>
        <w:pStyle w:val="texto"/>
        <w:spacing w:after="180"/>
        <w:rPr>
          <w:lang w:val="es-ES"/>
        </w:rPr>
      </w:pPr>
      <w:r w:rsidRPr="006D43A7">
        <w:rPr>
          <w:lang w:val="es-ES"/>
        </w:rPr>
        <w:lastRenderedPageBreak/>
        <w:t>El Gobierno aprobó mediante Decreto Foral modificaciones de plantilla para amortizar 111 puestos</w:t>
      </w:r>
      <w:r w:rsidR="00C26F4D">
        <w:rPr>
          <w:lang w:val="es-ES"/>
        </w:rPr>
        <w:t xml:space="preserve"> y crear 234; </w:t>
      </w:r>
      <w:r w:rsidRPr="006D43A7">
        <w:rPr>
          <w:lang w:val="es-ES"/>
        </w:rPr>
        <w:t xml:space="preserve">el 59 por ciento </w:t>
      </w:r>
      <w:r w:rsidR="00C26F4D">
        <w:rPr>
          <w:lang w:val="es-ES"/>
        </w:rPr>
        <w:t xml:space="preserve">de los amortizados y el 92 por ciento de los creados corresponden a </w:t>
      </w:r>
      <w:r w:rsidR="00C33A46">
        <w:rPr>
          <w:lang w:val="es-ES"/>
        </w:rPr>
        <w:t>Salud</w:t>
      </w:r>
      <w:r w:rsidR="00C26F4D">
        <w:rPr>
          <w:lang w:val="es-ES"/>
        </w:rPr>
        <w:t xml:space="preserve">. Por niveles, el </w:t>
      </w:r>
      <w:r w:rsidR="00C33A46">
        <w:rPr>
          <w:lang w:val="es-ES"/>
        </w:rPr>
        <w:t xml:space="preserve">39 por ciento </w:t>
      </w:r>
      <w:r w:rsidR="00C26F4D">
        <w:rPr>
          <w:lang w:val="es-ES"/>
        </w:rPr>
        <w:t xml:space="preserve">de los amortizados eran puestos </w:t>
      </w:r>
      <w:r w:rsidR="00C33A46">
        <w:rPr>
          <w:lang w:val="es-ES"/>
        </w:rPr>
        <w:t>del nivel E</w:t>
      </w:r>
      <w:r w:rsidRPr="006D43A7">
        <w:rPr>
          <w:lang w:val="es-ES"/>
        </w:rPr>
        <w:t xml:space="preserve"> y </w:t>
      </w:r>
      <w:r w:rsidR="00C33A46">
        <w:rPr>
          <w:lang w:val="es-ES"/>
        </w:rPr>
        <w:t xml:space="preserve">el 40 por ciento </w:t>
      </w:r>
      <w:r w:rsidR="00C26F4D">
        <w:rPr>
          <w:lang w:val="es-ES"/>
        </w:rPr>
        <w:t>de los creados c</w:t>
      </w:r>
      <w:r w:rsidR="00C26F4D">
        <w:rPr>
          <w:lang w:val="es-ES"/>
        </w:rPr>
        <w:t>o</w:t>
      </w:r>
      <w:r w:rsidR="00C26F4D">
        <w:rPr>
          <w:lang w:val="es-ES"/>
        </w:rPr>
        <w:t>rrespondían al</w:t>
      </w:r>
      <w:r w:rsidR="00C33A46">
        <w:rPr>
          <w:lang w:val="es-ES"/>
        </w:rPr>
        <w:t xml:space="preserve"> nivel B.</w:t>
      </w:r>
    </w:p>
    <w:p w:rsidR="00586826" w:rsidRDefault="001B3767" w:rsidP="00FD4295">
      <w:pPr>
        <w:pStyle w:val="texto"/>
        <w:spacing w:after="180"/>
        <w:rPr>
          <w:lang w:val="es-ES"/>
        </w:rPr>
      </w:pPr>
      <w:r w:rsidRPr="006D43A7">
        <w:rPr>
          <w:lang w:val="es-ES"/>
        </w:rPr>
        <w:t xml:space="preserve">Además, se modificó la plantilla debido a </w:t>
      </w:r>
      <w:r w:rsidR="00C26F4D">
        <w:rPr>
          <w:lang w:val="es-ES"/>
        </w:rPr>
        <w:t xml:space="preserve">la </w:t>
      </w:r>
      <w:r w:rsidRPr="006D43A7">
        <w:rPr>
          <w:lang w:val="es-ES"/>
        </w:rPr>
        <w:t>creación de unidades orgánicas, nombramientos o ceses de personal para jefaturas o dirección de unidad orgán</w:t>
      </w:r>
      <w:r w:rsidRPr="006D43A7">
        <w:rPr>
          <w:lang w:val="es-ES"/>
        </w:rPr>
        <w:t>i</w:t>
      </w:r>
      <w:r w:rsidRPr="006D43A7">
        <w:rPr>
          <w:lang w:val="es-ES"/>
        </w:rPr>
        <w:t>ca, reconversiones de puestos, entre otras causas, que supusieron la amortiz</w:t>
      </w:r>
      <w:r w:rsidRPr="006D43A7">
        <w:rPr>
          <w:lang w:val="es-ES"/>
        </w:rPr>
        <w:t>a</w:t>
      </w:r>
      <w:r w:rsidRPr="006D43A7">
        <w:rPr>
          <w:lang w:val="es-ES"/>
        </w:rPr>
        <w:t xml:space="preserve">ción de 132 plazas y la creación de 123, </w:t>
      </w:r>
      <w:r w:rsidR="008A453D">
        <w:rPr>
          <w:lang w:val="es-ES"/>
        </w:rPr>
        <w:t xml:space="preserve">correspondiendo el 68 por ciento de las amortizadas y el 79 por ciento de las creadas, a </w:t>
      </w:r>
      <w:r w:rsidRPr="006D43A7">
        <w:rPr>
          <w:lang w:val="es-ES"/>
        </w:rPr>
        <w:t xml:space="preserve">jefaturas. </w:t>
      </w:r>
      <w:bookmarkStart w:id="65" w:name="Ar.3"/>
      <w:bookmarkEnd w:id="65"/>
    </w:p>
    <w:p w:rsidR="001B3767" w:rsidRPr="006D43A7" w:rsidRDefault="001B3767" w:rsidP="00FD4295">
      <w:pPr>
        <w:pStyle w:val="texto"/>
        <w:spacing w:after="180"/>
        <w:rPr>
          <w:lang w:val="es-ES"/>
        </w:rPr>
      </w:pPr>
      <w:r w:rsidRPr="006D43A7">
        <w:rPr>
          <w:lang w:val="es-ES"/>
        </w:rPr>
        <w:t>En el año 2014 se aprobó una oferta</w:t>
      </w:r>
      <w:r w:rsidR="008A453D">
        <w:rPr>
          <w:lang w:val="es-ES"/>
        </w:rPr>
        <w:t xml:space="preserve"> parcial de </w:t>
      </w:r>
      <w:r w:rsidRPr="006D43A7">
        <w:rPr>
          <w:lang w:val="es-ES"/>
        </w:rPr>
        <w:t>empleo</w:t>
      </w:r>
      <w:r w:rsidR="008A453D">
        <w:rPr>
          <w:lang w:val="es-ES"/>
        </w:rPr>
        <w:t xml:space="preserve"> público</w:t>
      </w:r>
      <w:r w:rsidRPr="006D43A7">
        <w:rPr>
          <w:lang w:val="es-ES"/>
        </w:rPr>
        <w:t xml:space="preserve"> de 10 plazas de comisario de la Policía Foral que una ve</w:t>
      </w:r>
      <w:r w:rsidR="00C26F4D">
        <w:rPr>
          <w:lang w:val="es-ES"/>
        </w:rPr>
        <w:t xml:space="preserve">z cubiertas, mediante promoción, </w:t>
      </w:r>
      <w:r w:rsidRPr="006D43A7">
        <w:rPr>
          <w:lang w:val="es-ES"/>
        </w:rPr>
        <w:t xml:space="preserve">conllevarán la amortización de </w:t>
      </w:r>
      <w:r w:rsidR="008A453D">
        <w:rPr>
          <w:lang w:val="es-ES"/>
        </w:rPr>
        <w:t>los puestos vacantes de inspecto</w:t>
      </w:r>
      <w:r w:rsidRPr="006D43A7">
        <w:rPr>
          <w:lang w:val="es-ES"/>
        </w:rPr>
        <w:t>r</w:t>
      </w:r>
      <w:r w:rsidR="008A453D">
        <w:rPr>
          <w:lang w:val="es-ES"/>
        </w:rPr>
        <w:t xml:space="preserve"> de quienes o</w:t>
      </w:r>
      <w:r w:rsidR="008A453D">
        <w:rPr>
          <w:lang w:val="es-ES"/>
        </w:rPr>
        <w:t>b</w:t>
      </w:r>
      <w:r w:rsidR="008A453D">
        <w:rPr>
          <w:lang w:val="es-ES"/>
        </w:rPr>
        <w:t>tengan la condición de comisario</w:t>
      </w:r>
      <w:r w:rsidRPr="006D43A7">
        <w:rPr>
          <w:lang w:val="es-ES"/>
        </w:rPr>
        <w:t>. Estas plazas fueron convocadas en el mismo ejercicio 2014.</w:t>
      </w:r>
    </w:p>
    <w:p w:rsidR="001B3767" w:rsidRPr="006D43A7" w:rsidRDefault="001B3767" w:rsidP="003A5228">
      <w:pPr>
        <w:pStyle w:val="texto"/>
        <w:spacing w:after="260"/>
        <w:rPr>
          <w:lang w:val="es-ES"/>
        </w:rPr>
      </w:pPr>
      <w:r w:rsidRPr="006D43A7">
        <w:rPr>
          <w:lang w:val="es-ES"/>
        </w:rPr>
        <w:t>A 31 de diciembre de 2014, quedaban pendientes de convocar 115 plazas, todas ellas de la oferta pública de empleo aprobada en 2009. Corresponden a:</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061"/>
        <w:gridCol w:w="992"/>
        <w:gridCol w:w="893"/>
        <w:gridCol w:w="1670"/>
        <w:gridCol w:w="1164"/>
      </w:tblGrid>
      <w:tr w:rsidR="001B3767" w:rsidRPr="00CC6A2B" w:rsidTr="00543671">
        <w:trPr>
          <w:trHeight w:val="284"/>
          <w:jc w:val="center"/>
        </w:trPr>
        <w:tc>
          <w:tcPr>
            <w:tcW w:w="4061" w:type="dxa"/>
            <w:tcBorders>
              <w:top w:val="single" w:sz="4" w:space="0" w:color="auto"/>
              <w:left w:val="nil"/>
              <w:bottom w:val="single" w:sz="4" w:space="0" w:color="auto"/>
              <w:right w:val="nil"/>
            </w:tcBorders>
            <w:shd w:val="clear" w:color="auto" w:fill="8DB3E2" w:themeFill="text2" w:themeFillTint="66"/>
            <w:vAlign w:val="center"/>
            <w:hideMark/>
          </w:tcPr>
          <w:p w:rsidR="001B3767" w:rsidRPr="00CC6A2B" w:rsidRDefault="001B3767" w:rsidP="003A5228">
            <w:pPr>
              <w:pStyle w:val="cuadroCabe"/>
              <w:jc w:val="left"/>
              <w:rPr>
                <w:sz w:val="17"/>
                <w:szCs w:val="17"/>
              </w:rPr>
            </w:pPr>
            <w:r w:rsidRPr="00CC6A2B">
              <w:rPr>
                <w:sz w:val="17"/>
                <w:szCs w:val="17"/>
              </w:rPr>
              <w:t>Puesto</w:t>
            </w:r>
          </w:p>
        </w:tc>
        <w:tc>
          <w:tcPr>
            <w:tcW w:w="992" w:type="dxa"/>
            <w:tcBorders>
              <w:top w:val="single" w:sz="4" w:space="0" w:color="auto"/>
              <w:left w:val="nil"/>
              <w:bottom w:val="single" w:sz="4" w:space="0" w:color="auto"/>
              <w:right w:val="nil"/>
            </w:tcBorders>
            <w:shd w:val="clear" w:color="auto" w:fill="8DB3E2" w:themeFill="text2" w:themeFillTint="66"/>
            <w:vAlign w:val="center"/>
            <w:hideMark/>
          </w:tcPr>
          <w:p w:rsidR="001B3767" w:rsidRPr="00CC6A2B" w:rsidRDefault="001B3767" w:rsidP="00675100">
            <w:pPr>
              <w:pStyle w:val="cuadroCabe"/>
              <w:jc w:val="center"/>
              <w:rPr>
                <w:sz w:val="17"/>
                <w:szCs w:val="17"/>
              </w:rPr>
            </w:pPr>
            <w:r w:rsidRPr="00CC6A2B">
              <w:rPr>
                <w:sz w:val="17"/>
                <w:szCs w:val="17"/>
              </w:rPr>
              <w:t>Nivel</w:t>
            </w:r>
          </w:p>
        </w:tc>
        <w:tc>
          <w:tcPr>
            <w:tcW w:w="893" w:type="dxa"/>
            <w:tcBorders>
              <w:top w:val="single" w:sz="4" w:space="0" w:color="auto"/>
              <w:left w:val="nil"/>
              <w:bottom w:val="single" w:sz="4" w:space="0" w:color="auto"/>
              <w:right w:val="nil"/>
            </w:tcBorders>
            <w:shd w:val="clear" w:color="auto" w:fill="8DB3E2" w:themeFill="text2" w:themeFillTint="66"/>
            <w:vAlign w:val="center"/>
            <w:hideMark/>
          </w:tcPr>
          <w:p w:rsidR="001B3767" w:rsidRPr="00CC6A2B" w:rsidRDefault="001B3767" w:rsidP="00675100">
            <w:pPr>
              <w:pStyle w:val="cuadroCabe"/>
              <w:jc w:val="center"/>
              <w:rPr>
                <w:sz w:val="17"/>
                <w:szCs w:val="17"/>
              </w:rPr>
            </w:pPr>
            <w:r w:rsidRPr="00CC6A2B">
              <w:rPr>
                <w:sz w:val="17"/>
                <w:szCs w:val="17"/>
              </w:rPr>
              <w:t>Número</w:t>
            </w:r>
          </w:p>
        </w:tc>
        <w:tc>
          <w:tcPr>
            <w:tcW w:w="1670"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543671">
            <w:pPr>
              <w:pStyle w:val="cuadroCabe"/>
              <w:jc w:val="center"/>
              <w:rPr>
                <w:sz w:val="17"/>
                <w:szCs w:val="17"/>
              </w:rPr>
            </w:pPr>
            <w:r w:rsidRPr="00CC6A2B">
              <w:rPr>
                <w:sz w:val="17"/>
                <w:szCs w:val="17"/>
              </w:rPr>
              <w:t>Ámbito</w:t>
            </w: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3A5228">
            <w:pPr>
              <w:pStyle w:val="cuadroCabe"/>
              <w:jc w:val="right"/>
              <w:rPr>
                <w:sz w:val="17"/>
                <w:szCs w:val="17"/>
              </w:rPr>
            </w:pPr>
          </w:p>
        </w:tc>
      </w:tr>
      <w:tr w:rsidR="001B3767" w:rsidRPr="00CC6A2B" w:rsidTr="00543671">
        <w:trPr>
          <w:trHeight w:val="227"/>
          <w:jc w:val="center"/>
        </w:trPr>
        <w:tc>
          <w:tcPr>
            <w:tcW w:w="4061" w:type="dxa"/>
            <w:tcBorders>
              <w:top w:val="single" w:sz="4" w:space="0" w:color="auto"/>
              <w:left w:val="nil"/>
              <w:bottom w:val="single" w:sz="2" w:space="0" w:color="auto"/>
              <w:right w:val="nil"/>
            </w:tcBorders>
            <w:vAlign w:val="center"/>
            <w:hideMark/>
          </w:tcPr>
          <w:p w:rsidR="001B3767" w:rsidRPr="00CC6A2B" w:rsidRDefault="001B3767" w:rsidP="003A5228">
            <w:pPr>
              <w:pStyle w:val="cuatexto"/>
              <w:jc w:val="left"/>
              <w:rPr>
                <w:sz w:val="19"/>
                <w:szCs w:val="19"/>
              </w:rPr>
            </w:pPr>
            <w:r w:rsidRPr="00CC6A2B">
              <w:rPr>
                <w:sz w:val="19"/>
                <w:szCs w:val="19"/>
              </w:rPr>
              <w:t>Jefe Secc. Cirugía Ortopédica y Traumatología</w:t>
            </w:r>
          </w:p>
        </w:tc>
        <w:tc>
          <w:tcPr>
            <w:tcW w:w="992" w:type="dxa"/>
            <w:tcBorders>
              <w:top w:val="single" w:sz="4"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A</w:t>
            </w:r>
          </w:p>
        </w:tc>
        <w:tc>
          <w:tcPr>
            <w:tcW w:w="893" w:type="dxa"/>
            <w:tcBorders>
              <w:top w:val="single" w:sz="4"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1</w:t>
            </w:r>
          </w:p>
        </w:tc>
        <w:tc>
          <w:tcPr>
            <w:tcW w:w="1670" w:type="dxa"/>
            <w:tcBorders>
              <w:top w:val="single" w:sz="4"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4"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CC6A2B" w:rsidRDefault="001B3767" w:rsidP="003A5228">
            <w:pPr>
              <w:pStyle w:val="cuatexto"/>
              <w:jc w:val="left"/>
              <w:rPr>
                <w:sz w:val="19"/>
                <w:szCs w:val="19"/>
              </w:rPr>
            </w:pPr>
            <w:r w:rsidRPr="00CC6A2B">
              <w:rPr>
                <w:sz w:val="19"/>
                <w:szCs w:val="19"/>
              </w:rPr>
              <w:t>Jefe Sección Farmacia</w:t>
            </w:r>
          </w:p>
        </w:tc>
        <w:tc>
          <w:tcPr>
            <w:tcW w:w="992"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A</w:t>
            </w:r>
          </w:p>
        </w:tc>
        <w:tc>
          <w:tcPr>
            <w:tcW w:w="893"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1</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CC6A2B" w:rsidRDefault="001B3767" w:rsidP="003A5228">
            <w:pPr>
              <w:pStyle w:val="cuatexto"/>
              <w:jc w:val="left"/>
              <w:rPr>
                <w:sz w:val="19"/>
                <w:szCs w:val="19"/>
              </w:rPr>
            </w:pPr>
            <w:r w:rsidRPr="00CC6A2B">
              <w:rPr>
                <w:sz w:val="19"/>
                <w:szCs w:val="19"/>
              </w:rPr>
              <w:t>Jefe Sección Pediatría</w:t>
            </w:r>
          </w:p>
        </w:tc>
        <w:tc>
          <w:tcPr>
            <w:tcW w:w="992"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A</w:t>
            </w:r>
          </w:p>
        </w:tc>
        <w:tc>
          <w:tcPr>
            <w:tcW w:w="893"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1</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left"/>
              <w:rPr>
                <w:sz w:val="19"/>
                <w:szCs w:val="19"/>
              </w:rPr>
            </w:pPr>
            <w:r w:rsidRPr="00CC6A2B">
              <w:rPr>
                <w:sz w:val="19"/>
                <w:szCs w:val="19"/>
              </w:rPr>
              <w:t>Matrona</w:t>
            </w:r>
          </w:p>
        </w:tc>
        <w:tc>
          <w:tcPr>
            <w:tcW w:w="992"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B</w:t>
            </w:r>
          </w:p>
        </w:tc>
        <w:tc>
          <w:tcPr>
            <w:tcW w:w="893"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6</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CC6A2B" w:rsidRDefault="001B3767" w:rsidP="003A5228">
            <w:pPr>
              <w:pStyle w:val="cuatexto"/>
              <w:jc w:val="left"/>
              <w:rPr>
                <w:sz w:val="19"/>
                <w:szCs w:val="19"/>
              </w:rPr>
            </w:pPr>
            <w:r w:rsidRPr="00CC6A2B">
              <w:rPr>
                <w:sz w:val="19"/>
                <w:szCs w:val="19"/>
              </w:rPr>
              <w:t>T.E.R.</w:t>
            </w:r>
          </w:p>
        </w:tc>
        <w:tc>
          <w:tcPr>
            <w:tcW w:w="992"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C</w:t>
            </w:r>
          </w:p>
        </w:tc>
        <w:tc>
          <w:tcPr>
            <w:tcW w:w="893"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14</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hideMark/>
          </w:tcPr>
          <w:p w:rsidR="001B3767" w:rsidRPr="00CC6A2B" w:rsidRDefault="001B3767" w:rsidP="003A5228">
            <w:pPr>
              <w:pStyle w:val="cuatexto"/>
              <w:jc w:val="left"/>
              <w:rPr>
                <w:sz w:val="19"/>
                <w:szCs w:val="19"/>
              </w:rPr>
            </w:pPr>
            <w:r w:rsidRPr="00CC6A2B">
              <w:rPr>
                <w:sz w:val="19"/>
                <w:szCs w:val="19"/>
              </w:rPr>
              <w:t>Auxiliar de Enfermería</w:t>
            </w:r>
          </w:p>
        </w:tc>
        <w:tc>
          <w:tcPr>
            <w:tcW w:w="992"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D</w:t>
            </w:r>
          </w:p>
        </w:tc>
        <w:tc>
          <w:tcPr>
            <w:tcW w:w="893" w:type="dxa"/>
            <w:tcBorders>
              <w:top w:val="single" w:sz="2" w:space="0" w:color="auto"/>
              <w:left w:val="nil"/>
              <w:bottom w:val="single" w:sz="2" w:space="0" w:color="auto"/>
              <w:right w:val="nil"/>
            </w:tcBorders>
            <w:vAlign w:val="center"/>
            <w:hideMark/>
          </w:tcPr>
          <w:p w:rsidR="001B3767" w:rsidRPr="00CC6A2B" w:rsidRDefault="001B3767" w:rsidP="00675100">
            <w:pPr>
              <w:pStyle w:val="cuatexto"/>
              <w:jc w:val="center"/>
              <w:rPr>
                <w:sz w:val="19"/>
                <w:szCs w:val="19"/>
              </w:rPr>
            </w:pPr>
            <w:r w:rsidRPr="00CC6A2B">
              <w:rPr>
                <w:sz w:val="19"/>
                <w:szCs w:val="19"/>
              </w:rPr>
              <w:t>87</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SNS-O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p>
        </w:tc>
      </w:tr>
      <w:tr w:rsidR="001B3767" w:rsidRPr="00CC6A2B" w:rsidTr="00543671">
        <w:trPr>
          <w:trHeight w:val="227"/>
          <w:jc w:val="center"/>
        </w:trPr>
        <w:tc>
          <w:tcPr>
            <w:tcW w:w="4061" w:type="dxa"/>
            <w:tcBorders>
              <w:top w:val="single" w:sz="2" w:space="0" w:color="auto"/>
              <w:left w:val="nil"/>
              <w:bottom w:val="single" w:sz="2" w:space="0" w:color="auto"/>
              <w:right w:val="nil"/>
            </w:tcBorders>
            <w:vAlign w:val="center"/>
          </w:tcPr>
          <w:p w:rsidR="001B3767" w:rsidRPr="00CC6A2B" w:rsidRDefault="001B3767" w:rsidP="003A5228">
            <w:pPr>
              <w:pStyle w:val="cuatexto"/>
              <w:jc w:val="left"/>
              <w:rPr>
                <w:sz w:val="19"/>
                <w:szCs w:val="19"/>
              </w:rPr>
            </w:pPr>
            <w:r w:rsidRPr="00CC6A2B">
              <w:rPr>
                <w:sz w:val="19"/>
                <w:szCs w:val="19"/>
              </w:rPr>
              <w:t>Psicólogo</w:t>
            </w:r>
          </w:p>
        </w:tc>
        <w:tc>
          <w:tcPr>
            <w:tcW w:w="992" w:type="dxa"/>
            <w:tcBorders>
              <w:top w:val="single" w:sz="2" w:space="0" w:color="auto"/>
              <w:left w:val="nil"/>
              <w:bottom w:val="single" w:sz="2" w:space="0" w:color="auto"/>
              <w:right w:val="nil"/>
            </w:tcBorders>
            <w:vAlign w:val="center"/>
          </w:tcPr>
          <w:p w:rsidR="001B3767" w:rsidRPr="00CC6A2B" w:rsidRDefault="001B3767" w:rsidP="00675100">
            <w:pPr>
              <w:pStyle w:val="cuatexto"/>
              <w:jc w:val="center"/>
              <w:rPr>
                <w:sz w:val="19"/>
                <w:szCs w:val="19"/>
              </w:rPr>
            </w:pPr>
            <w:r w:rsidRPr="00CC6A2B">
              <w:rPr>
                <w:sz w:val="19"/>
                <w:szCs w:val="19"/>
              </w:rPr>
              <w:t>A</w:t>
            </w:r>
          </w:p>
        </w:tc>
        <w:tc>
          <w:tcPr>
            <w:tcW w:w="893" w:type="dxa"/>
            <w:tcBorders>
              <w:top w:val="single" w:sz="2" w:space="0" w:color="auto"/>
              <w:left w:val="nil"/>
              <w:bottom w:val="single" w:sz="2" w:space="0" w:color="auto"/>
              <w:right w:val="nil"/>
            </w:tcBorders>
            <w:vAlign w:val="center"/>
          </w:tcPr>
          <w:p w:rsidR="001B3767" w:rsidRPr="00CC6A2B" w:rsidRDefault="001B3767" w:rsidP="00675100">
            <w:pPr>
              <w:pStyle w:val="cuatexto"/>
              <w:jc w:val="center"/>
              <w:rPr>
                <w:sz w:val="19"/>
                <w:szCs w:val="19"/>
              </w:rPr>
            </w:pPr>
            <w:r w:rsidRPr="00CC6A2B">
              <w:rPr>
                <w:sz w:val="19"/>
                <w:szCs w:val="19"/>
              </w:rPr>
              <w:t>4</w:t>
            </w:r>
          </w:p>
        </w:tc>
        <w:tc>
          <w:tcPr>
            <w:tcW w:w="1670" w:type="dxa"/>
            <w:tcBorders>
              <w:top w:val="single" w:sz="2" w:space="0" w:color="auto"/>
              <w:left w:val="nil"/>
              <w:bottom w:val="single" w:sz="2" w:space="0" w:color="auto"/>
              <w:right w:val="nil"/>
            </w:tcBorders>
            <w:vAlign w:val="center"/>
          </w:tcPr>
          <w:p w:rsidR="001B3767" w:rsidRPr="00CC6A2B" w:rsidRDefault="001B3767" w:rsidP="00543671">
            <w:pPr>
              <w:pStyle w:val="cuatexto"/>
              <w:jc w:val="center"/>
              <w:rPr>
                <w:sz w:val="19"/>
                <w:szCs w:val="19"/>
              </w:rPr>
            </w:pPr>
            <w:r w:rsidRPr="00CC6A2B">
              <w:rPr>
                <w:sz w:val="19"/>
                <w:szCs w:val="19"/>
              </w:rPr>
              <w:t>Admón</w:t>
            </w:r>
            <w:r w:rsidR="00A10DB4">
              <w:rPr>
                <w:sz w:val="19"/>
                <w:szCs w:val="19"/>
              </w:rPr>
              <w:t>.</w:t>
            </w:r>
            <w:r w:rsidRPr="00CC6A2B">
              <w:rPr>
                <w:sz w:val="19"/>
                <w:szCs w:val="19"/>
              </w:rPr>
              <w:t xml:space="preserve"> núcleo</w:t>
            </w:r>
          </w:p>
        </w:tc>
        <w:tc>
          <w:tcPr>
            <w:tcW w:w="1164" w:type="dxa"/>
            <w:tcBorders>
              <w:top w:val="single" w:sz="2" w:space="0" w:color="auto"/>
              <w:left w:val="nil"/>
              <w:bottom w:val="single" w:sz="2" w:space="0" w:color="auto"/>
              <w:right w:val="nil"/>
            </w:tcBorders>
            <w:vAlign w:val="center"/>
          </w:tcPr>
          <w:p w:rsidR="001B3767" w:rsidRPr="00CC6A2B" w:rsidRDefault="001B3767" w:rsidP="003A5228">
            <w:pPr>
              <w:pStyle w:val="cuatexto"/>
              <w:jc w:val="right"/>
              <w:rPr>
                <w:sz w:val="19"/>
                <w:szCs w:val="19"/>
              </w:rPr>
            </w:pPr>
            <w:r w:rsidRPr="00CC6A2B">
              <w:rPr>
                <w:sz w:val="19"/>
                <w:szCs w:val="19"/>
              </w:rPr>
              <w:t>Aplazada</w:t>
            </w:r>
          </w:p>
        </w:tc>
      </w:tr>
      <w:tr w:rsidR="001B3767" w:rsidRPr="00CC6A2B" w:rsidTr="00543671">
        <w:trPr>
          <w:trHeight w:val="227"/>
          <w:jc w:val="center"/>
        </w:trPr>
        <w:tc>
          <w:tcPr>
            <w:tcW w:w="4061" w:type="dxa"/>
            <w:tcBorders>
              <w:top w:val="single" w:sz="2" w:space="0" w:color="auto"/>
              <w:left w:val="nil"/>
              <w:bottom w:val="single" w:sz="4" w:space="0" w:color="auto"/>
              <w:right w:val="nil"/>
            </w:tcBorders>
            <w:vAlign w:val="center"/>
          </w:tcPr>
          <w:p w:rsidR="001B3767" w:rsidRPr="00CC6A2B" w:rsidRDefault="001B3767" w:rsidP="003A5228">
            <w:pPr>
              <w:pStyle w:val="cuatexto"/>
              <w:jc w:val="left"/>
              <w:rPr>
                <w:sz w:val="19"/>
                <w:szCs w:val="19"/>
              </w:rPr>
            </w:pPr>
            <w:r w:rsidRPr="00CC6A2B">
              <w:rPr>
                <w:sz w:val="19"/>
                <w:szCs w:val="19"/>
              </w:rPr>
              <w:t>Técnico Superior</w:t>
            </w:r>
          </w:p>
        </w:tc>
        <w:tc>
          <w:tcPr>
            <w:tcW w:w="992" w:type="dxa"/>
            <w:tcBorders>
              <w:top w:val="single" w:sz="2" w:space="0" w:color="auto"/>
              <w:left w:val="nil"/>
              <w:bottom w:val="single" w:sz="4" w:space="0" w:color="auto"/>
              <w:right w:val="nil"/>
            </w:tcBorders>
            <w:vAlign w:val="center"/>
          </w:tcPr>
          <w:p w:rsidR="001B3767" w:rsidRPr="00CC6A2B" w:rsidRDefault="001B3767" w:rsidP="00675100">
            <w:pPr>
              <w:pStyle w:val="cuatexto"/>
              <w:jc w:val="center"/>
              <w:rPr>
                <w:sz w:val="19"/>
                <w:szCs w:val="19"/>
              </w:rPr>
            </w:pPr>
            <w:r w:rsidRPr="00CC6A2B">
              <w:rPr>
                <w:sz w:val="19"/>
                <w:szCs w:val="19"/>
              </w:rPr>
              <w:t>A</w:t>
            </w:r>
          </w:p>
        </w:tc>
        <w:tc>
          <w:tcPr>
            <w:tcW w:w="893" w:type="dxa"/>
            <w:tcBorders>
              <w:top w:val="single" w:sz="2" w:space="0" w:color="auto"/>
              <w:left w:val="nil"/>
              <w:bottom w:val="single" w:sz="4" w:space="0" w:color="auto"/>
              <w:right w:val="nil"/>
            </w:tcBorders>
            <w:vAlign w:val="center"/>
          </w:tcPr>
          <w:p w:rsidR="001B3767" w:rsidRPr="00CC6A2B" w:rsidRDefault="001B3767" w:rsidP="00675100">
            <w:pPr>
              <w:pStyle w:val="cuatexto"/>
              <w:jc w:val="center"/>
              <w:rPr>
                <w:sz w:val="19"/>
                <w:szCs w:val="19"/>
              </w:rPr>
            </w:pPr>
            <w:r w:rsidRPr="00CC6A2B">
              <w:rPr>
                <w:sz w:val="19"/>
                <w:szCs w:val="19"/>
              </w:rPr>
              <w:t>1</w:t>
            </w:r>
          </w:p>
        </w:tc>
        <w:tc>
          <w:tcPr>
            <w:tcW w:w="1670" w:type="dxa"/>
            <w:tcBorders>
              <w:top w:val="single" w:sz="2" w:space="0" w:color="auto"/>
              <w:left w:val="nil"/>
              <w:bottom w:val="single" w:sz="4" w:space="0" w:color="auto"/>
              <w:right w:val="nil"/>
            </w:tcBorders>
            <w:vAlign w:val="center"/>
          </w:tcPr>
          <w:p w:rsidR="001B3767" w:rsidRPr="00CC6A2B" w:rsidRDefault="001B3767" w:rsidP="00543671">
            <w:pPr>
              <w:pStyle w:val="cuatexto"/>
              <w:jc w:val="center"/>
              <w:rPr>
                <w:sz w:val="19"/>
                <w:szCs w:val="19"/>
              </w:rPr>
            </w:pPr>
            <w:r w:rsidRPr="00CC6A2B">
              <w:rPr>
                <w:sz w:val="19"/>
                <w:szCs w:val="19"/>
              </w:rPr>
              <w:t>Admón</w:t>
            </w:r>
            <w:r w:rsidR="00A10DB4">
              <w:rPr>
                <w:sz w:val="19"/>
                <w:szCs w:val="19"/>
              </w:rPr>
              <w:t>.</w:t>
            </w:r>
            <w:r w:rsidRPr="00CC6A2B">
              <w:rPr>
                <w:sz w:val="19"/>
                <w:szCs w:val="19"/>
              </w:rPr>
              <w:t xml:space="preserve"> núcleo</w:t>
            </w:r>
          </w:p>
        </w:tc>
        <w:tc>
          <w:tcPr>
            <w:tcW w:w="1164" w:type="dxa"/>
            <w:tcBorders>
              <w:top w:val="single" w:sz="2" w:space="0" w:color="auto"/>
              <w:left w:val="nil"/>
              <w:bottom w:val="single" w:sz="4" w:space="0" w:color="auto"/>
              <w:right w:val="nil"/>
            </w:tcBorders>
            <w:vAlign w:val="center"/>
          </w:tcPr>
          <w:p w:rsidR="001B3767" w:rsidRPr="00CC6A2B" w:rsidRDefault="001B3767" w:rsidP="003A5228">
            <w:pPr>
              <w:pStyle w:val="cuatexto"/>
              <w:jc w:val="right"/>
              <w:rPr>
                <w:sz w:val="19"/>
                <w:szCs w:val="19"/>
              </w:rPr>
            </w:pPr>
            <w:r w:rsidRPr="00CC6A2B">
              <w:rPr>
                <w:sz w:val="19"/>
                <w:szCs w:val="19"/>
              </w:rPr>
              <w:t>Aplazada</w:t>
            </w:r>
          </w:p>
        </w:tc>
      </w:tr>
      <w:tr w:rsidR="001B3767" w:rsidRPr="00CC6A2B" w:rsidTr="00AE13DD">
        <w:trPr>
          <w:trHeight w:val="284"/>
          <w:jc w:val="center"/>
        </w:trPr>
        <w:tc>
          <w:tcPr>
            <w:tcW w:w="4061"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3A5228">
            <w:pPr>
              <w:pStyle w:val="cuadroCabe"/>
              <w:jc w:val="left"/>
              <w:rPr>
                <w:sz w:val="17"/>
                <w:szCs w:val="17"/>
              </w:rPr>
            </w:pPr>
            <w:r w:rsidRPr="00CC6A2B">
              <w:rPr>
                <w:sz w:val="17"/>
                <w:szCs w:val="17"/>
              </w:rPr>
              <w:t>Total puestos sin convocar a 31/12/2014</w:t>
            </w:r>
          </w:p>
        </w:tc>
        <w:tc>
          <w:tcPr>
            <w:tcW w:w="992"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675100">
            <w:pPr>
              <w:pStyle w:val="cuadroCabe"/>
              <w:jc w:val="center"/>
              <w:rPr>
                <w:sz w:val="17"/>
                <w:szCs w:val="17"/>
              </w:rPr>
            </w:pPr>
          </w:p>
        </w:tc>
        <w:tc>
          <w:tcPr>
            <w:tcW w:w="893"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675100">
            <w:pPr>
              <w:pStyle w:val="cuadroCabe"/>
              <w:jc w:val="center"/>
              <w:rPr>
                <w:sz w:val="17"/>
                <w:szCs w:val="17"/>
              </w:rPr>
            </w:pPr>
            <w:r w:rsidRPr="00CC6A2B">
              <w:rPr>
                <w:sz w:val="17"/>
                <w:szCs w:val="17"/>
              </w:rPr>
              <w:fldChar w:fldCharType="begin"/>
            </w:r>
            <w:r w:rsidRPr="00CC6A2B">
              <w:rPr>
                <w:sz w:val="17"/>
                <w:szCs w:val="17"/>
              </w:rPr>
              <w:instrText xml:space="preserve"> =SUM(ABOVE) </w:instrText>
            </w:r>
            <w:r w:rsidRPr="00CC6A2B">
              <w:rPr>
                <w:sz w:val="17"/>
                <w:szCs w:val="17"/>
              </w:rPr>
              <w:fldChar w:fldCharType="separate"/>
            </w:r>
            <w:r w:rsidRPr="00CC6A2B">
              <w:rPr>
                <w:sz w:val="17"/>
                <w:szCs w:val="17"/>
              </w:rPr>
              <w:t>115</w:t>
            </w:r>
            <w:r w:rsidRPr="00CC6A2B">
              <w:rPr>
                <w:sz w:val="17"/>
                <w:szCs w:val="17"/>
              </w:rPr>
              <w:fldChar w:fldCharType="end"/>
            </w:r>
          </w:p>
        </w:tc>
        <w:tc>
          <w:tcPr>
            <w:tcW w:w="1670"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3A5228">
            <w:pPr>
              <w:pStyle w:val="cuadroCabe"/>
              <w:jc w:val="right"/>
              <w:rPr>
                <w:sz w:val="17"/>
                <w:szCs w:val="17"/>
              </w:rPr>
            </w:pP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1B3767" w:rsidRPr="00CC6A2B" w:rsidRDefault="001B3767" w:rsidP="003A5228">
            <w:pPr>
              <w:pStyle w:val="cuadroCabe"/>
              <w:jc w:val="right"/>
              <w:rPr>
                <w:sz w:val="17"/>
                <w:szCs w:val="17"/>
              </w:rPr>
            </w:pPr>
          </w:p>
        </w:tc>
      </w:tr>
    </w:tbl>
    <w:p w:rsidR="001B3767" w:rsidRPr="00027B09" w:rsidRDefault="00F8087A" w:rsidP="00F8087A">
      <w:pPr>
        <w:spacing w:before="280" w:after="180"/>
        <w:ind w:firstLine="0"/>
        <w:rPr>
          <w:rFonts w:ascii="Arial" w:hAnsi="Arial" w:cs="Arial"/>
          <w:i/>
          <w:sz w:val="24"/>
          <w:szCs w:val="24"/>
        </w:rPr>
      </w:pPr>
      <w:r w:rsidRPr="00027B09">
        <w:rPr>
          <w:rFonts w:ascii="Arial" w:hAnsi="Arial" w:cs="Arial"/>
          <w:i/>
          <w:sz w:val="24"/>
          <w:szCs w:val="24"/>
        </w:rPr>
        <w:t xml:space="preserve">     </w:t>
      </w:r>
      <w:r w:rsidR="001B3767" w:rsidRPr="00027B09">
        <w:rPr>
          <w:rFonts w:ascii="Arial" w:hAnsi="Arial" w:cs="Arial"/>
          <w:i/>
          <w:sz w:val="24"/>
          <w:szCs w:val="24"/>
        </w:rPr>
        <w:t>Personal contratado</w:t>
      </w:r>
    </w:p>
    <w:p w:rsidR="001B3767" w:rsidRPr="006D43A7" w:rsidRDefault="001B3767" w:rsidP="006D43A7">
      <w:pPr>
        <w:pStyle w:val="texto"/>
        <w:rPr>
          <w:lang w:val="es-ES"/>
        </w:rPr>
      </w:pPr>
      <w:r w:rsidRPr="006D43A7">
        <w:rPr>
          <w:lang w:val="es-ES"/>
        </w:rPr>
        <w:t xml:space="preserve">Las retribuciones del personal contratado ascendieron a 196,84 millones de euros, </w:t>
      </w:r>
      <w:r w:rsidR="00E664EF">
        <w:rPr>
          <w:lang w:val="es-ES"/>
        </w:rPr>
        <w:t xml:space="preserve">un 11 por ciento más que en 2013. Representan </w:t>
      </w:r>
      <w:r w:rsidRPr="006D43A7">
        <w:rPr>
          <w:lang w:val="es-ES"/>
        </w:rPr>
        <w:t xml:space="preserve">el 18 por ciento del total de gastos de personal </w:t>
      </w:r>
      <w:r w:rsidR="00E664EF">
        <w:rPr>
          <w:lang w:val="es-ES"/>
        </w:rPr>
        <w:t xml:space="preserve">del ejercicio </w:t>
      </w:r>
      <w:r w:rsidRPr="006D43A7">
        <w:rPr>
          <w:lang w:val="es-ES"/>
        </w:rPr>
        <w:t>2014.</w:t>
      </w:r>
      <w:r w:rsidR="00E664EF">
        <w:rPr>
          <w:lang w:val="es-ES"/>
        </w:rPr>
        <w:t xml:space="preserve"> </w:t>
      </w:r>
    </w:p>
    <w:p w:rsidR="001B3767" w:rsidRPr="00675100" w:rsidRDefault="001B3767" w:rsidP="00675100">
      <w:pPr>
        <w:pStyle w:val="texto"/>
        <w:spacing w:after="260"/>
        <w:rPr>
          <w:spacing w:val="-3"/>
          <w:vertAlign w:val="superscript"/>
        </w:rPr>
      </w:pPr>
      <w:r>
        <w:rPr>
          <w:spacing w:val="-3"/>
        </w:rPr>
        <w:t xml:space="preserve">A </w:t>
      </w:r>
      <w:r w:rsidRPr="006D43A7">
        <w:rPr>
          <w:lang w:val="es-ES"/>
        </w:rPr>
        <w:t>continuación</w:t>
      </w:r>
      <w:r>
        <w:rPr>
          <w:spacing w:val="-3"/>
        </w:rPr>
        <w:t xml:space="preserve"> mostramos datos sobre la contratación temporal </w:t>
      </w:r>
      <w:r w:rsidR="008A453D">
        <w:rPr>
          <w:spacing w:val="-3"/>
        </w:rPr>
        <w:t>durante</w:t>
      </w:r>
      <w:r>
        <w:rPr>
          <w:spacing w:val="-3"/>
        </w:rPr>
        <w:t xml:space="preserve"> 2014</w:t>
      </w:r>
      <w:r w:rsidRPr="00A05EA1">
        <w:rPr>
          <w:spacing w:val="-3"/>
        </w:rPr>
        <w:t>.</w:t>
      </w:r>
      <w:r w:rsidRPr="00A05EA1">
        <w:rPr>
          <w:rStyle w:val="Refdenotaalpie"/>
          <w:spacing w:val="-3"/>
        </w:rPr>
        <w:footnoteReference w:id="3"/>
      </w:r>
      <w:r w:rsidRPr="00A05EA1">
        <w:rPr>
          <w:spacing w:val="-3"/>
        </w:rPr>
        <w:t xml:space="preserve"> </w:t>
      </w:r>
    </w:p>
    <w:tbl>
      <w:tblPr>
        <w:tblW w:w="87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086"/>
        <w:gridCol w:w="1889"/>
        <w:gridCol w:w="1317"/>
        <w:gridCol w:w="1502"/>
      </w:tblGrid>
      <w:tr w:rsidR="000F687F" w:rsidRPr="000F687F" w:rsidTr="000F687F">
        <w:trPr>
          <w:trHeight w:val="284"/>
          <w:jc w:val="center"/>
        </w:trPr>
        <w:tc>
          <w:tcPr>
            <w:tcW w:w="4086" w:type="dxa"/>
            <w:tcBorders>
              <w:top w:val="single" w:sz="4" w:space="0" w:color="auto"/>
              <w:left w:val="nil"/>
              <w:bottom w:val="single" w:sz="4" w:space="0" w:color="auto"/>
              <w:right w:val="nil"/>
            </w:tcBorders>
            <w:shd w:val="clear" w:color="auto" w:fill="8DB3E2" w:themeFill="text2" w:themeFillTint="66"/>
            <w:vAlign w:val="center"/>
          </w:tcPr>
          <w:p w:rsidR="000F687F" w:rsidRPr="00CC6A2B" w:rsidRDefault="000F687F" w:rsidP="003A5228">
            <w:pPr>
              <w:pStyle w:val="cuatexto"/>
              <w:jc w:val="left"/>
              <w:rPr>
                <w:sz w:val="19"/>
                <w:szCs w:val="19"/>
              </w:rPr>
            </w:pPr>
          </w:p>
        </w:tc>
        <w:tc>
          <w:tcPr>
            <w:tcW w:w="1889" w:type="dxa"/>
            <w:tcBorders>
              <w:top w:val="single" w:sz="4" w:space="0" w:color="auto"/>
              <w:left w:val="nil"/>
              <w:bottom w:val="single" w:sz="4" w:space="0" w:color="auto"/>
              <w:right w:val="nil"/>
            </w:tcBorders>
            <w:shd w:val="clear" w:color="auto" w:fill="8DB3E2" w:themeFill="text2" w:themeFillTint="66"/>
            <w:vAlign w:val="center"/>
          </w:tcPr>
          <w:p w:rsidR="000F687F" w:rsidRPr="000F687F" w:rsidRDefault="000F687F" w:rsidP="000F687F">
            <w:pPr>
              <w:pStyle w:val="cuatexto"/>
              <w:ind w:left="-5"/>
              <w:jc w:val="right"/>
              <w:rPr>
                <w:sz w:val="19"/>
                <w:szCs w:val="19"/>
              </w:rPr>
            </w:pPr>
            <w:r>
              <w:rPr>
                <w:sz w:val="19"/>
                <w:szCs w:val="19"/>
              </w:rPr>
              <w:t>Admón. Núcleo</w:t>
            </w:r>
          </w:p>
        </w:tc>
        <w:tc>
          <w:tcPr>
            <w:tcW w:w="1317" w:type="dxa"/>
            <w:tcBorders>
              <w:top w:val="single" w:sz="4" w:space="0" w:color="auto"/>
              <w:left w:val="nil"/>
              <w:bottom w:val="single" w:sz="4" w:space="0" w:color="auto"/>
              <w:right w:val="nil"/>
            </w:tcBorders>
            <w:shd w:val="clear" w:color="auto" w:fill="8DB3E2" w:themeFill="text2" w:themeFillTint="66"/>
            <w:vAlign w:val="center"/>
          </w:tcPr>
          <w:p w:rsidR="000F687F" w:rsidRPr="000F687F" w:rsidRDefault="000F687F" w:rsidP="000F687F">
            <w:pPr>
              <w:pStyle w:val="cuatexto"/>
              <w:jc w:val="right"/>
              <w:rPr>
                <w:sz w:val="19"/>
                <w:szCs w:val="19"/>
              </w:rPr>
            </w:pPr>
            <w:r>
              <w:rPr>
                <w:sz w:val="19"/>
                <w:szCs w:val="19"/>
              </w:rPr>
              <w:t>SNS-O</w:t>
            </w:r>
          </w:p>
        </w:tc>
        <w:tc>
          <w:tcPr>
            <w:tcW w:w="1502" w:type="dxa"/>
            <w:tcBorders>
              <w:top w:val="single" w:sz="4" w:space="0" w:color="auto"/>
              <w:left w:val="nil"/>
              <w:bottom w:val="single" w:sz="4" w:space="0" w:color="auto"/>
              <w:right w:val="nil"/>
            </w:tcBorders>
            <w:shd w:val="clear" w:color="auto" w:fill="8DB3E2" w:themeFill="text2" w:themeFillTint="66"/>
            <w:vAlign w:val="center"/>
          </w:tcPr>
          <w:p w:rsidR="000F687F" w:rsidRPr="000F687F" w:rsidRDefault="000F687F" w:rsidP="000F687F">
            <w:pPr>
              <w:pStyle w:val="cuatexto"/>
              <w:jc w:val="right"/>
              <w:rPr>
                <w:sz w:val="19"/>
                <w:szCs w:val="19"/>
              </w:rPr>
            </w:pPr>
            <w:r>
              <w:rPr>
                <w:sz w:val="19"/>
                <w:szCs w:val="19"/>
              </w:rPr>
              <w:t>Educación</w:t>
            </w:r>
          </w:p>
        </w:tc>
      </w:tr>
      <w:tr w:rsidR="00C26F4D" w:rsidRPr="000F687F" w:rsidTr="000F687F">
        <w:trPr>
          <w:trHeight w:val="227"/>
          <w:jc w:val="center"/>
        </w:trPr>
        <w:tc>
          <w:tcPr>
            <w:tcW w:w="4086" w:type="dxa"/>
            <w:tcBorders>
              <w:top w:val="single" w:sz="4" w:space="0" w:color="auto"/>
              <w:left w:val="nil"/>
              <w:bottom w:val="single" w:sz="2" w:space="0" w:color="auto"/>
              <w:right w:val="nil"/>
            </w:tcBorders>
            <w:vAlign w:val="center"/>
          </w:tcPr>
          <w:p w:rsidR="00C26F4D" w:rsidRPr="00CC6A2B" w:rsidRDefault="00C26F4D" w:rsidP="003A5228">
            <w:pPr>
              <w:pStyle w:val="cuatexto"/>
              <w:jc w:val="left"/>
              <w:rPr>
                <w:sz w:val="19"/>
                <w:szCs w:val="19"/>
              </w:rPr>
            </w:pPr>
            <w:r w:rsidRPr="00CC6A2B">
              <w:rPr>
                <w:sz w:val="19"/>
                <w:szCs w:val="19"/>
              </w:rPr>
              <w:t xml:space="preserve">Contratos temporales </w:t>
            </w:r>
            <w:r>
              <w:rPr>
                <w:sz w:val="19"/>
                <w:szCs w:val="19"/>
              </w:rPr>
              <w:t>durante 2014</w:t>
            </w:r>
          </w:p>
        </w:tc>
        <w:tc>
          <w:tcPr>
            <w:tcW w:w="1889" w:type="dxa"/>
            <w:tcBorders>
              <w:top w:val="single" w:sz="4"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3.371</w:t>
            </w:r>
          </w:p>
        </w:tc>
        <w:tc>
          <w:tcPr>
            <w:tcW w:w="1317" w:type="dxa"/>
            <w:tcBorders>
              <w:top w:val="single" w:sz="4"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47.488</w:t>
            </w:r>
          </w:p>
        </w:tc>
        <w:tc>
          <w:tcPr>
            <w:tcW w:w="1502" w:type="dxa"/>
            <w:tcBorders>
              <w:top w:val="single" w:sz="4"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7.601</w:t>
            </w:r>
          </w:p>
        </w:tc>
      </w:tr>
      <w:tr w:rsidR="00C26F4D" w:rsidRPr="000F687F" w:rsidTr="000F687F">
        <w:trPr>
          <w:trHeight w:val="227"/>
          <w:jc w:val="center"/>
        </w:trPr>
        <w:tc>
          <w:tcPr>
            <w:tcW w:w="4086" w:type="dxa"/>
            <w:tcBorders>
              <w:top w:val="single" w:sz="2" w:space="0" w:color="auto"/>
              <w:left w:val="nil"/>
              <w:bottom w:val="single" w:sz="2" w:space="0" w:color="auto"/>
              <w:right w:val="nil"/>
            </w:tcBorders>
            <w:vAlign w:val="center"/>
          </w:tcPr>
          <w:p w:rsidR="00C26F4D" w:rsidRPr="00CC6A2B" w:rsidRDefault="00C26F4D" w:rsidP="008A453D">
            <w:pPr>
              <w:pStyle w:val="cuatexto"/>
              <w:jc w:val="left"/>
              <w:rPr>
                <w:sz w:val="19"/>
                <w:szCs w:val="19"/>
              </w:rPr>
            </w:pPr>
            <w:r w:rsidRPr="00CC6A2B">
              <w:rPr>
                <w:sz w:val="19"/>
                <w:szCs w:val="19"/>
              </w:rPr>
              <w:t xml:space="preserve">Personas con contrato temporal </w:t>
            </w:r>
            <w:r>
              <w:rPr>
                <w:sz w:val="19"/>
                <w:szCs w:val="19"/>
              </w:rPr>
              <w:t>durante 2014</w:t>
            </w:r>
          </w:p>
        </w:tc>
        <w:tc>
          <w:tcPr>
            <w:tcW w:w="1889" w:type="dxa"/>
            <w:tcBorders>
              <w:top w:val="single" w:sz="2"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1.482</w:t>
            </w:r>
          </w:p>
        </w:tc>
        <w:tc>
          <w:tcPr>
            <w:tcW w:w="1317" w:type="dxa"/>
            <w:tcBorders>
              <w:top w:val="single" w:sz="2"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6.316</w:t>
            </w:r>
          </w:p>
        </w:tc>
        <w:tc>
          <w:tcPr>
            <w:tcW w:w="1502" w:type="dxa"/>
            <w:tcBorders>
              <w:top w:val="single" w:sz="2" w:space="0" w:color="auto"/>
              <w:left w:val="nil"/>
              <w:bottom w:val="single" w:sz="2" w:space="0" w:color="auto"/>
              <w:right w:val="nil"/>
            </w:tcBorders>
            <w:vAlign w:val="center"/>
          </w:tcPr>
          <w:p w:rsidR="00C26F4D" w:rsidRPr="000F687F" w:rsidRDefault="00C26F4D" w:rsidP="000F687F">
            <w:pPr>
              <w:pStyle w:val="cuatexto"/>
              <w:jc w:val="right"/>
              <w:rPr>
                <w:sz w:val="19"/>
                <w:szCs w:val="19"/>
              </w:rPr>
            </w:pPr>
            <w:r w:rsidRPr="000F687F">
              <w:rPr>
                <w:sz w:val="19"/>
                <w:szCs w:val="19"/>
              </w:rPr>
              <w:t>3.624</w:t>
            </w:r>
          </w:p>
        </w:tc>
      </w:tr>
      <w:tr w:rsidR="00C26F4D" w:rsidRPr="000F687F" w:rsidTr="000F687F">
        <w:trPr>
          <w:trHeight w:val="227"/>
          <w:jc w:val="center"/>
        </w:trPr>
        <w:tc>
          <w:tcPr>
            <w:tcW w:w="4086" w:type="dxa"/>
            <w:tcBorders>
              <w:top w:val="single" w:sz="2" w:space="0" w:color="auto"/>
              <w:left w:val="nil"/>
              <w:bottom w:val="single" w:sz="4" w:space="0" w:color="auto"/>
              <w:right w:val="nil"/>
            </w:tcBorders>
            <w:vAlign w:val="center"/>
          </w:tcPr>
          <w:p w:rsidR="00C26F4D" w:rsidRPr="00CC6A2B" w:rsidRDefault="00C26F4D" w:rsidP="008A453D">
            <w:pPr>
              <w:pStyle w:val="cuatexto"/>
              <w:jc w:val="left"/>
              <w:rPr>
                <w:sz w:val="19"/>
                <w:szCs w:val="19"/>
              </w:rPr>
            </w:pPr>
            <w:r>
              <w:rPr>
                <w:sz w:val="19"/>
                <w:szCs w:val="19"/>
              </w:rPr>
              <w:t>Contratos temporales a 31/12/2014</w:t>
            </w:r>
          </w:p>
        </w:tc>
        <w:tc>
          <w:tcPr>
            <w:tcW w:w="1889" w:type="dxa"/>
            <w:tcBorders>
              <w:top w:val="single" w:sz="2" w:space="0" w:color="auto"/>
              <w:left w:val="nil"/>
              <w:bottom w:val="single" w:sz="4" w:space="0" w:color="auto"/>
              <w:right w:val="nil"/>
            </w:tcBorders>
            <w:vAlign w:val="center"/>
          </w:tcPr>
          <w:p w:rsidR="00C26F4D" w:rsidRPr="000F687F" w:rsidRDefault="00C26F4D" w:rsidP="000F687F">
            <w:pPr>
              <w:pStyle w:val="cuatexto"/>
              <w:jc w:val="right"/>
              <w:rPr>
                <w:sz w:val="19"/>
                <w:szCs w:val="19"/>
              </w:rPr>
            </w:pPr>
            <w:r w:rsidRPr="000F687F">
              <w:rPr>
                <w:sz w:val="19"/>
                <w:szCs w:val="19"/>
              </w:rPr>
              <w:t>1.028</w:t>
            </w:r>
          </w:p>
        </w:tc>
        <w:tc>
          <w:tcPr>
            <w:tcW w:w="1317" w:type="dxa"/>
            <w:tcBorders>
              <w:top w:val="single" w:sz="2" w:space="0" w:color="auto"/>
              <w:left w:val="nil"/>
              <w:bottom w:val="single" w:sz="4" w:space="0" w:color="auto"/>
              <w:right w:val="nil"/>
            </w:tcBorders>
            <w:vAlign w:val="center"/>
          </w:tcPr>
          <w:p w:rsidR="00C26F4D" w:rsidRPr="000F687F" w:rsidRDefault="00C26F4D" w:rsidP="000F687F">
            <w:pPr>
              <w:pStyle w:val="cuatexto"/>
              <w:jc w:val="right"/>
              <w:rPr>
                <w:sz w:val="19"/>
                <w:szCs w:val="19"/>
              </w:rPr>
            </w:pPr>
            <w:r w:rsidRPr="000F687F">
              <w:rPr>
                <w:sz w:val="19"/>
                <w:szCs w:val="19"/>
              </w:rPr>
              <w:t>5.038</w:t>
            </w:r>
          </w:p>
        </w:tc>
        <w:tc>
          <w:tcPr>
            <w:tcW w:w="1502" w:type="dxa"/>
            <w:tcBorders>
              <w:top w:val="single" w:sz="2" w:space="0" w:color="auto"/>
              <w:left w:val="nil"/>
              <w:bottom w:val="single" w:sz="4" w:space="0" w:color="auto"/>
              <w:right w:val="nil"/>
            </w:tcBorders>
            <w:vAlign w:val="center"/>
          </w:tcPr>
          <w:p w:rsidR="00C26F4D" w:rsidRPr="000F687F" w:rsidRDefault="00C26F4D" w:rsidP="000F687F">
            <w:pPr>
              <w:pStyle w:val="cuatexto"/>
              <w:jc w:val="right"/>
              <w:rPr>
                <w:sz w:val="19"/>
                <w:szCs w:val="19"/>
              </w:rPr>
            </w:pPr>
            <w:r w:rsidRPr="000F687F">
              <w:rPr>
                <w:sz w:val="19"/>
                <w:szCs w:val="19"/>
              </w:rPr>
              <w:t>2.870</w:t>
            </w:r>
          </w:p>
        </w:tc>
      </w:tr>
    </w:tbl>
    <w:p w:rsidR="001B3767" w:rsidRPr="006D43A7" w:rsidRDefault="001B3767" w:rsidP="00474B71">
      <w:pPr>
        <w:pStyle w:val="texto"/>
        <w:spacing w:before="260" w:after="180"/>
        <w:rPr>
          <w:lang w:val="es-ES"/>
        </w:rPr>
      </w:pPr>
      <w:r w:rsidRPr="006D43A7">
        <w:rPr>
          <w:lang w:val="es-ES"/>
        </w:rPr>
        <w:lastRenderedPageBreak/>
        <w:t>Hemos revisado una muestra de contrataciones temporales en la Administr</w:t>
      </w:r>
      <w:r w:rsidRPr="006D43A7">
        <w:rPr>
          <w:lang w:val="es-ES"/>
        </w:rPr>
        <w:t>a</w:t>
      </w:r>
      <w:r w:rsidRPr="006D43A7">
        <w:rPr>
          <w:lang w:val="es-ES"/>
        </w:rPr>
        <w:t>ción Núcleo</w:t>
      </w:r>
      <w:r w:rsidR="00AD166B">
        <w:rPr>
          <w:rStyle w:val="Refdenotaalpie"/>
          <w:lang w:val="es-ES"/>
        </w:rPr>
        <w:footnoteReference w:id="4"/>
      </w:r>
      <w:r w:rsidRPr="006D43A7">
        <w:rPr>
          <w:lang w:val="es-ES"/>
        </w:rPr>
        <w:t xml:space="preserve">, </w:t>
      </w:r>
      <w:r w:rsidR="00B231A3">
        <w:rPr>
          <w:lang w:val="es-ES"/>
        </w:rPr>
        <w:t xml:space="preserve">gestionadas desde la Dirección de Función Pública, </w:t>
      </w:r>
      <w:r w:rsidRPr="006D43A7">
        <w:rPr>
          <w:lang w:val="es-ES"/>
        </w:rPr>
        <w:t>en la que d</w:t>
      </w:r>
      <w:r w:rsidRPr="006D43A7">
        <w:rPr>
          <w:lang w:val="es-ES"/>
        </w:rPr>
        <w:t>u</w:t>
      </w:r>
      <w:r w:rsidRPr="006D43A7">
        <w:rPr>
          <w:lang w:val="es-ES"/>
        </w:rPr>
        <w:t xml:space="preserve">rante el ejercicio 2014 se firmaron 3.371 contratos con 1.482 personas, el seis por ciento del total de contratos formalizados en el ejercicio. </w:t>
      </w:r>
    </w:p>
    <w:p w:rsidR="008950F2" w:rsidRDefault="001B3767" w:rsidP="00474B71">
      <w:pPr>
        <w:pStyle w:val="texto"/>
        <w:spacing w:after="180"/>
        <w:rPr>
          <w:lang w:val="es-ES"/>
        </w:rPr>
      </w:pPr>
      <w:r w:rsidRPr="006D43A7">
        <w:rPr>
          <w:lang w:val="es-ES"/>
        </w:rPr>
        <w:t xml:space="preserve">A 31 de diciembre de 2014, estaban vigentes </w:t>
      </w:r>
      <w:r w:rsidR="008950F2">
        <w:rPr>
          <w:lang w:val="es-ES"/>
        </w:rPr>
        <w:t>1.028</w:t>
      </w:r>
      <w:r w:rsidRPr="006D43A7">
        <w:rPr>
          <w:lang w:val="es-ES"/>
        </w:rPr>
        <w:t xml:space="preserve"> contratos temporales en la Administración Núcleo</w:t>
      </w:r>
      <w:r w:rsidR="008950F2">
        <w:rPr>
          <w:lang w:val="es-ES"/>
        </w:rPr>
        <w:t>, de los cuales:</w:t>
      </w:r>
    </w:p>
    <w:p w:rsidR="001B3767" w:rsidRPr="00C07568" w:rsidRDefault="001B3767"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C07568">
        <w:rPr>
          <w:rFonts w:cs="Arial"/>
        </w:rPr>
        <w:t>El 83 por ciento correspond</w:t>
      </w:r>
      <w:r w:rsidR="005118D7" w:rsidRPr="00C07568">
        <w:rPr>
          <w:rFonts w:cs="Arial"/>
        </w:rPr>
        <w:t>ía</w:t>
      </w:r>
      <w:r w:rsidRPr="00C07568">
        <w:rPr>
          <w:rFonts w:cs="Arial"/>
        </w:rPr>
        <w:t>n a los siguientes cuatro Departamentos: un 36 por ciento a</w:t>
      </w:r>
      <w:r w:rsidR="00793DFB" w:rsidRPr="00C07568">
        <w:rPr>
          <w:rFonts w:cs="Arial"/>
        </w:rPr>
        <w:t xml:space="preserve"> </w:t>
      </w:r>
      <w:r w:rsidRPr="00C07568">
        <w:rPr>
          <w:rFonts w:cs="Arial"/>
        </w:rPr>
        <w:t>“Políticas Sociales”, un 26 por ciento a “Presidencia, Justicia e Interior”, un 11 por ciento a Salud y un 10 por ciento a “Desarrollo Rural, M</w:t>
      </w:r>
      <w:r w:rsidRPr="00C07568">
        <w:rPr>
          <w:rFonts w:cs="Arial"/>
        </w:rPr>
        <w:t>e</w:t>
      </w:r>
      <w:r w:rsidRPr="00C07568">
        <w:rPr>
          <w:rFonts w:cs="Arial"/>
        </w:rPr>
        <w:t>dio Ambiente y Administra</w:t>
      </w:r>
      <w:r w:rsidR="008950F2" w:rsidRPr="00C07568">
        <w:rPr>
          <w:rFonts w:cs="Arial"/>
        </w:rPr>
        <w:t>ción Local”</w:t>
      </w:r>
      <w:r w:rsidRPr="00C07568">
        <w:rPr>
          <w:rFonts w:cs="Arial"/>
        </w:rPr>
        <w:t>.</w:t>
      </w:r>
    </w:p>
    <w:p w:rsidR="008950F2" w:rsidRPr="00C07568" w:rsidRDefault="001B3767"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C07568">
        <w:rPr>
          <w:rFonts w:cs="Arial"/>
        </w:rPr>
        <w:t>El 59 por ciento cubr</w:t>
      </w:r>
      <w:r w:rsidR="005118D7" w:rsidRPr="00C07568">
        <w:rPr>
          <w:rFonts w:cs="Arial"/>
        </w:rPr>
        <w:t>ía</w:t>
      </w:r>
      <w:r w:rsidRPr="00C07568">
        <w:rPr>
          <w:rFonts w:cs="Arial"/>
        </w:rPr>
        <w:t>n puestos de trabajo de los Niveles C y D.</w:t>
      </w:r>
    </w:p>
    <w:p w:rsidR="001B3767" w:rsidRPr="00C07568" w:rsidRDefault="008950F2"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C07568">
        <w:rPr>
          <w:rFonts w:cs="Arial"/>
        </w:rPr>
        <w:t xml:space="preserve">Un 51 </w:t>
      </w:r>
      <w:r w:rsidR="001B3767" w:rsidRPr="00C07568">
        <w:rPr>
          <w:rFonts w:cs="Arial"/>
        </w:rPr>
        <w:t>por ciento</w:t>
      </w:r>
      <w:r w:rsidRPr="00C07568">
        <w:rPr>
          <w:rFonts w:cs="Arial"/>
        </w:rPr>
        <w:t xml:space="preserve"> </w:t>
      </w:r>
      <w:r w:rsidR="005118D7" w:rsidRPr="00C07568">
        <w:rPr>
          <w:rFonts w:cs="Arial"/>
        </w:rPr>
        <w:t>eran</w:t>
      </w:r>
      <w:r w:rsidRPr="00C07568">
        <w:rPr>
          <w:rFonts w:cs="Arial"/>
        </w:rPr>
        <w:t xml:space="preserve"> contratos para cubrir</w:t>
      </w:r>
      <w:r w:rsidR="001B3767" w:rsidRPr="00C07568">
        <w:rPr>
          <w:rFonts w:cs="Arial"/>
        </w:rPr>
        <w:t xml:space="preserve"> vacantes de plantilla, un 13 por ciento </w:t>
      </w:r>
      <w:r w:rsidRPr="00C07568">
        <w:rPr>
          <w:rFonts w:cs="Arial"/>
        </w:rPr>
        <w:t>para sustituciones po</w:t>
      </w:r>
      <w:r w:rsidR="001B3767" w:rsidRPr="00C07568">
        <w:rPr>
          <w:rFonts w:cs="Arial"/>
        </w:rPr>
        <w:t>r vacaciones, un 13 por ciento por servicios esp</w:t>
      </w:r>
      <w:r w:rsidR="001B3767" w:rsidRPr="00C07568">
        <w:rPr>
          <w:rFonts w:cs="Arial"/>
        </w:rPr>
        <w:t>e</w:t>
      </w:r>
      <w:r w:rsidR="001B3767" w:rsidRPr="00C07568">
        <w:rPr>
          <w:rFonts w:cs="Arial"/>
        </w:rPr>
        <w:t>ciales y un cinco por ciento para situaciones de incapacidad temporal.</w:t>
      </w:r>
    </w:p>
    <w:p w:rsidR="001B3767" w:rsidRPr="00C07568" w:rsidRDefault="00C07568" w:rsidP="00C07568">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C07568">
        <w:rPr>
          <w:rFonts w:cs="Arial"/>
        </w:rPr>
        <w:t xml:space="preserve">El </w:t>
      </w:r>
      <w:r w:rsidR="008950F2" w:rsidRPr="00C07568">
        <w:rPr>
          <w:rFonts w:cs="Arial"/>
        </w:rPr>
        <w:t xml:space="preserve">37 por ciento </w:t>
      </w:r>
      <w:r w:rsidR="001B3767" w:rsidRPr="00C07568">
        <w:rPr>
          <w:rFonts w:cs="Arial"/>
        </w:rPr>
        <w:t xml:space="preserve">tenían </w:t>
      </w:r>
      <w:r w:rsidR="008950F2" w:rsidRPr="00C07568">
        <w:rPr>
          <w:rFonts w:cs="Arial"/>
        </w:rPr>
        <w:t>una</w:t>
      </w:r>
      <w:r w:rsidR="005C752D" w:rsidRPr="00C07568">
        <w:rPr>
          <w:rFonts w:cs="Arial"/>
        </w:rPr>
        <w:t xml:space="preserve"> duración</w:t>
      </w:r>
      <w:r w:rsidR="008950F2" w:rsidRPr="00C07568">
        <w:rPr>
          <w:rFonts w:cs="Arial"/>
        </w:rPr>
        <w:t xml:space="preserve"> </w:t>
      </w:r>
      <w:r w:rsidR="001B3767" w:rsidRPr="00C07568">
        <w:rPr>
          <w:rFonts w:cs="Arial"/>
        </w:rPr>
        <w:t xml:space="preserve">superior a los tres años y de éstos, el 74 por ciento </w:t>
      </w:r>
      <w:r w:rsidR="005118D7" w:rsidRPr="00C07568">
        <w:rPr>
          <w:rFonts w:cs="Arial"/>
        </w:rPr>
        <w:t>eran</w:t>
      </w:r>
      <w:r w:rsidR="001B3767" w:rsidRPr="00C07568">
        <w:rPr>
          <w:rFonts w:cs="Arial"/>
        </w:rPr>
        <w:t xml:space="preserve"> contrataciones para cubrir plazas vacantes.</w:t>
      </w:r>
    </w:p>
    <w:p w:rsidR="001B3767" w:rsidRPr="006D43A7" w:rsidRDefault="001B3767" w:rsidP="00474B71">
      <w:pPr>
        <w:pStyle w:val="texto"/>
        <w:spacing w:after="180"/>
        <w:rPr>
          <w:lang w:val="es-ES"/>
        </w:rPr>
      </w:pPr>
      <w:r w:rsidRPr="006D43A7">
        <w:rPr>
          <w:lang w:val="es-ES"/>
        </w:rPr>
        <w:t>Se ha constatado que se han seguido procedimientos que garantizan el cu</w:t>
      </w:r>
      <w:r w:rsidRPr="006D43A7">
        <w:rPr>
          <w:lang w:val="es-ES"/>
        </w:rPr>
        <w:t>m</w:t>
      </w:r>
      <w:r w:rsidRPr="006D43A7">
        <w:rPr>
          <w:lang w:val="es-ES"/>
        </w:rPr>
        <w:t xml:space="preserve">plimiento de los principios de publicidad, mérito y capacidad en la contratación temporal de personal en la Administración Núcleo, así como el cumplimiento de los requisitos </w:t>
      </w:r>
      <w:r w:rsidR="00B231A3">
        <w:rPr>
          <w:lang w:val="es-ES"/>
        </w:rPr>
        <w:t xml:space="preserve">formales </w:t>
      </w:r>
      <w:r w:rsidRPr="006D43A7">
        <w:rPr>
          <w:lang w:val="es-ES"/>
        </w:rPr>
        <w:t>establecidos en el Decreto Foral 68/2009, de 28 de septiembre que regula la contratación de personal en régimen administrativo en las Administraciones Públicas.</w:t>
      </w:r>
    </w:p>
    <w:p w:rsidR="001B3767" w:rsidRPr="006D43A7" w:rsidRDefault="001B3767" w:rsidP="00474B71">
      <w:pPr>
        <w:pStyle w:val="texto"/>
        <w:spacing w:after="180"/>
        <w:rPr>
          <w:lang w:val="es-ES"/>
        </w:rPr>
      </w:pPr>
      <w:r w:rsidRPr="006D43A7">
        <w:rPr>
          <w:lang w:val="es-ES"/>
        </w:rPr>
        <w:t xml:space="preserve">Se ha comprobado que todas las personas contratadas incluidas en la muestra figuraban en las correspondientes listas de contratación vigentes, publicadas en </w:t>
      </w:r>
      <w:r w:rsidR="00B231A3">
        <w:rPr>
          <w:lang w:val="es-ES"/>
        </w:rPr>
        <w:t>la web</w:t>
      </w:r>
      <w:r w:rsidRPr="006D43A7">
        <w:rPr>
          <w:lang w:val="es-ES"/>
        </w:rPr>
        <w:t xml:space="preserve"> del Gobierno de Navarra.</w:t>
      </w:r>
    </w:p>
    <w:p w:rsidR="001B3767" w:rsidRPr="006D43A7" w:rsidRDefault="001B3767" w:rsidP="00474B71">
      <w:pPr>
        <w:pStyle w:val="texto"/>
        <w:spacing w:after="180"/>
        <w:rPr>
          <w:lang w:val="es-ES"/>
        </w:rPr>
      </w:pPr>
      <w:r w:rsidRPr="006D43A7">
        <w:rPr>
          <w:lang w:val="es-ES"/>
        </w:rPr>
        <w:t xml:space="preserve">La retribución </w:t>
      </w:r>
      <w:r w:rsidR="00A719C8">
        <w:rPr>
          <w:lang w:val="es-ES"/>
        </w:rPr>
        <w:t>fijada</w:t>
      </w:r>
      <w:r w:rsidRPr="006D43A7">
        <w:rPr>
          <w:lang w:val="es-ES"/>
        </w:rPr>
        <w:t xml:space="preserve"> en el contrato </w:t>
      </w:r>
      <w:r w:rsidR="00A719C8">
        <w:rPr>
          <w:lang w:val="es-ES"/>
        </w:rPr>
        <w:t xml:space="preserve">y pagada </w:t>
      </w:r>
      <w:r w:rsidRPr="006D43A7">
        <w:rPr>
          <w:lang w:val="es-ES"/>
        </w:rPr>
        <w:t xml:space="preserve">es la correspondiente al nivel y puesto para el que se contrata, </w:t>
      </w:r>
      <w:r w:rsidR="00B231A3">
        <w:rPr>
          <w:lang w:val="es-ES"/>
        </w:rPr>
        <w:t xml:space="preserve">los complementos son </w:t>
      </w:r>
      <w:r w:rsidR="00A719C8">
        <w:rPr>
          <w:lang w:val="es-ES"/>
        </w:rPr>
        <w:t>conforme</w:t>
      </w:r>
      <w:r w:rsidR="00B231A3">
        <w:rPr>
          <w:lang w:val="es-ES"/>
        </w:rPr>
        <w:t>s</w:t>
      </w:r>
      <w:r w:rsidR="00A719C8">
        <w:rPr>
          <w:lang w:val="es-ES"/>
        </w:rPr>
        <w:t xml:space="preserve"> a la </w:t>
      </w:r>
      <w:r w:rsidRPr="006D43A7">
        <w:rPr>
          <w:lang w:val="es-ES"/>
        </w:rPr>
        <w:t xml:space="preserve">Plantilla Orgánica de 2014, y </w:t>
      </w:r>
      <w:r w:rsidR="00AD166B">
        <w:rPr>
          <w:lang w:val="es-ES"/>
        </w:rPr>
        <w:t xml:space="preserve">se paga </w:t>
      </w:r>
      <w:r w:rsidRPr="006D43A7">
        <w:rPr>
          <w:lang w:val="es-ES"/>
        </w:rPr>
        <w:t>el premio de antigüedad, en su caso, en los mi</w:t>
      </w:r>
      <w:r w:rsidRPr="006D43A7">
        <w:rPr>
          <w:lang w:val="es-ES"/>
        </w:rPr>
        <w:t>s</w:t>
      </w:r>
      <w:r w:rsidRPr="006D43A7">
        <w:rPr>
          <w:lang w:val="es-ES"/>
        </w:rPr>
        <w:t>mos términos que el personal funcionario, excluidas las retribuciones inhere</w:t>
      </w:r>
      <w:r w:rsidRPr="006D43A7">
        <w:rPr>
          <w:lang w:val="es-ES"/>
        </w:rPr>
        <w:t>n</w:t>
      </w:r>
      <w:r w:rsidRPr="006D43A7">
        <w:rPr>
          <w:lang w:val="es-ES"/>
        </w:rPr>
        <w:t>tes a la condición personal del funcionario como son el grado y la ayuda fam</w:t>
      </w:r>
      <w:r w:rsidRPr="006D43A7">
        <w:rPr>
          <w:lang w:val="es-ES"/>
        </w:rPr>
        <w:t>i</w:t>
      </w:r>
      <w:r w:rsidRPr="006D43A7">
        <w:rPr>
          <w:lang w:val="es-ES"/>
        </w:rPr>
        <w:t>liar.</w:t>
      </w:r>
    </w:p>
    <w:p w:rsidR="001B3767" w:rsidRPr="006D43A7" w:rsidRDefault="001B3767" w:rsidP="00474B71">
      <w:pPr>
        <w:pStyle w:val="texto"/>
        <w:spacing w:after="180"/>
        <w:rPr>
          <w:lang w:val="es-ES"/>
        </w:rPr>
      </w:pPr>
      <w:r w:rsidRPr="006D43A7">
        <w:rPr>
          <w:lang w:val="es-ES"/>
        </w:rPr>
        <w:t>En las contrataciones revisadas, se justifica la necesidad de la contratación y están autorizadas. Así mismo, se han sometido, excepto las contrataciones para sustituciones, a intervención previa.</w:t>
      </w:r>
    </w:p>
    <w:p w:rsidR="001B3767" w:rsidRPr="000009FC" w:rsidRDefault="001B3767" w:rsidP="00F8087A">
      <w:pPr>
        <w:pStyle w:val="texto"/>
        <w:spacing w:before="200"/>
        <w:rPr>
          <w:rFonts w:ascii="Arial" w:hAnsi="Arial" w:cs="Arial"/>
          <w:i/>
          <w:sz w:val="24"/>
        </w:rPr>
      </w:pPr>
      <w:r w:rsidRPr="000009FC">
        <w:rPr>
          <w:rFonts w:ascii="Arial" w:hAnsi="Arial" w:cs="Arial"/>
          <w:i/>
          <w:sz w:val="24"/>
        </w:rPr>
        <w:lastRenderedPageBreak/>
        <w:t>Asistencia sanitaria uso especial</w:t>
      </w:r>
    </w:p>
    <w:p w:rsidR="001B3767" w:rsidRDefault="001B3767" w:rsidP="00F8087A">
      <w:pPr>
        <w:pStyle w:val="texto"/>
        <w:spacing w:after="100"/>
        <w:rPr>
          <w:lang w:val="es-ES"/>
        </w:rPr>
      </w:pPr>
      <w:r w:rsidRPr="006D43A7">
        <w:rPr>
          <w:lang w:val="es-ES"/>
        </w:rPr>
        <w:t>La prestación de asistencia sanitaria de uso especial se remonta al año 1973 en el cual se aprobó el reglamento regulador de dicho servicio. Se extinguió el 31 de mayo de 2015.</w:t>
      </w:r>
    </w:p>
    <w:p w:rsidR="001B3767" w:rsidRPr="006D43A7" w:rsidRDefault="00B231A3" w:rsidP="00F8087A">
      <w:pPr>
        <w:pStyle w:val="texto"/>
        <w:spacing w:after="100"/>
        <w:rPr>
          <w:lang w:val="es-ES"/>
        </w:rPr>
      </w:pPr>
      <w:r>
        <w:rPr>
          <w:lang w:val="es-ES"/>
        </w:rPr>
        <w:t>Eran beneficiarios de este sistema los funcionarios de la Administración F</w:t>
      </w:r>
      <w:r>
        <w:rPr>
          <w:lang w:val="es-ES"/>
        </w:rPr>
        <w:t>o</w:t>
      </w:r>
      <w:r>
        <w:rPr>
          <w:lang w:val="es-ES"/>
        </w:rPr>
        <w:t xml:space="preserve">ral, de las Entidades Locales, Parlamento y Cámara de Comptos, acogidos a los Montepíos de las Administraciones Públicas y que optaron por dicho régimen, en servicio activo y jubilados, así como el cónyuge e hijos menores de 26 años no acogidos a otro régimen de previsión social. </w:t>
      </w:r>
      <w:r w:rsidR="001B3767" w:rsidRPr="006D43A7">
        <w:rPr>
          <w:lang w:val="es-ES"/>
        </w:rPr>
        <w:t xml:space="preserve">A 31 de diciembre de 2014, el número de personas acogidas al servicio de asistencia sanitaria uso especial era de 9.914, de los cuales 6.958 eran </w:t>
      </w:r>
      <w:r w:rsidR="004D09DA">
        <w:rPr>
          <w:lang w:val="es-ES"/>
        </w:rPr>
        <w:t>titulados</w:t>
      </w:r>
      <w:r w:rsidR="00AD166B">
        <w:rPr>
          <w:lang w:val="es-ES"/>
        </w:rPr>
        <w:t xml:space="preserve"> y</w:t>
      </w:r>
      <w:r w:rsidR="001B3767" w:rsidRPr="006D43A7">
        <w:rPr>
          <w:lang w:val="es-ES"/>
        </w:rPr>
        <w:t xml:space="preserve"> el resto beneficiarios de ellos d</w:t>
      </w:r>
      <w:r w:rsidR="001B3767" w:rsidRPr="006D43A7">
        <w:rPr>
          <w:lang w:val="es-ES"/>
        </w:rPr>
        <w:t>e</w:t>
      </w:r>
      <w:r w:rsidR="001B3767" w:rsidRPr="006D43A7">
        <w:rPr>
          <w:lang w:val="es-ES"/>
        </w:rPr>
        <w:t>pendientes</w:t>
      </w:r>
    </w:p>
    <w:p w:rsidR="001B3767" w:rsidRDefault="001B3767" w:rsidP="001B3767">
      <w:pPr>
        <w:pStyle w:val="texto"/>
        <w:rPr>
          <w:lang w:val="es-ES"/>
        </w:rPr>
      </w:pPr>
      <w:r w:rsidRPr="006D43A7">
        <w:rPr>
          <w:lang w:val="es-ES"/>
        </w:rPr>
        <w:t>El servicio de uso especial comprend</w:t>
      </w:r>
      <w:r w:rsidR="004D09DA">
        <w:rPr>
          <w:lang w:val="es-ES"/>
        </w:rPr>
        <w:t>ía</w:t>
      </w:r>
      <w:r w:rsidRPr="006D43A7">
        <w:rPr>
          <w:lang w:val="es-ES"/>
        </w:rPr>
        <w:t xml:space="preserve"> prestaciones sanitarias complement</w:t>
      </w:r>
      <w:r w:rsidRPr="006D43A7">
        <w:rPr>
          <w:lang w:val="es-ES"/>
        </w:rPr>
        <w:t>a</w:t>
      </w:r>
      <w:r w:rsidRPr="006D43A7">
        <w:rPr>
          <w:lang w:val="es-ES"/>
        </w:rPr>
        <w:t>rias no cubiertas por el régimen general</w:t>
      </w:r>
      <w:r w:rsidR="002A65AD">
        <w:rPr>
          <w:lang w:val="es-ES"/>
        </w:rPr>
        <w:t xml:space="preserve">, </w:t>
      </w:r>
      <w:r w:rsidR="004D09DA">
        <w:rPr>
          <w:lang w:val="es-ES"/>
        </w:rPr>
        <w:t xml:space="preserve">además de </w:t>
      </w:r>
      <w:r w:rsidRPr="006D43A7">
        <w:rPr>
          <w:lang w:val="es-ES"/>
        </w:rPr>
        <w:t xml:space="preserve">prestaciones </w:t>
      </w:r>
      <w:r w:rsidR="004D09DA" w:rsidRPr="006D43A7">
        <w:rPr>
          <w:lang w:val="es-ES"/>
        </w:rPr>
        <w:t>en las mismas condiciones que al resto de beneficiarios del sistema sanitario</w:t>
      </w:r>
      <w:r w:rsidR="004D09DA">
        <w:rPr>
          <w:lang w:val="es-ES"/>
        </w:rPr>
        <w:t>, tales como fa</w:t>
      </w:r>
      <w:r w:rsidR="004D09DA">
        <w:rPr>
          <w:lang w:val="es-ES"/>
        </w:rPr>
        <w:t>r</w:t>
      </w:r>
      <w:r w:rsidR="004D09DA">
        <w:rPr>
          <w:lang w:val="es-ES"/>
        </w:rPr>
        <w:t>macia</w:t>
      </w:r>
      <w:r w:rsidRPr="006D43A7">
        <w:rPr>
          <w:lang w:val="es-ES"/>
        </w:rPr>
        <w:t>, asistencia especializada y traslados sanita</w:t>
      </w:r>
      <w:r w:rsidR="004D09DA">
        <w:rPr>
          <w:lang w:val="es-ES"/>
        </w:rPr>
        <w:t>rios, entre otras</w:t>
      </w:r>
      <w:r w:rsidRPr="006D43A7">
        <w:rPr>
          <w:lang w:val="es-ES"/>
        </w:rPr>
        <w:t>.</w:t>
      </w:r>
    </w:p>
    <w:p w:rsidR="002A65AD" w:rsidRDefault="00A719C8" w:rsidP="002A65AD">
      <w:pPr>
        <w:pStyle w:val="texto"/>
        <w:rPr>
          <w:lang w:val="es-ES"/>
        </w:rPr>
      </w:pPr>
      <w:r>
        <w:rPr>
          <w:lang w:val="es-ES"/>
        </w:rPr>
        <w:t>El total de gasto reintegrado por asistencia sanitaria uso especial correspo</w:t>
      </w:r>
      <w:r>
        <w:rPr>
          <w:lang w:val="es-ES"/>
        </w:rPr>
        <w:t>n</w:t>
      </w:r>
      <w:r>
        <w:rPr>
          <w:lang w:val="es-ES"/>
        </w:rPr>
        <w:t xml:space="preserve">diente al año 2014 fue de </w:t>
      </w:r>
      <w:r w:rsidR="004D09DA">
        <w:rPr>
          <w:lang w:val="es-ES"/>
        </w:rPr>
        <w:t>4,94</w:t>
      </w:r>
      <w:r>
        <w:rPr>
          <w:lang w:val="es-ES"/>
        </w:rPr>
        <w:t xml:space="preserve"> millones de euros</w:t>
      </w:r>
      <w:r w:rsidR="002A65AD">
        <w:rPr>
          <w:lang w:val="es-ES"/>
        </w:rPr>
        <w:t>. De este importe, 1</w:t>
      </w:r>
      <w:r w:rsidR="004D09DA">
        <w:rPr>
          <w:lang w:val="es-ES"/>
        </w:rPr>
        <w:t>,51</w:t>
      </w:r>
      <w:r w:rsidR="002A65AD">
        <w:rPr>
          <w:lang w:val="es-ES"/>
        </w:rPr>
        <w:t xml:space="preserve"> mill</w:t>
      </w:r>
      <w:r w:rsidR="002A65AD">
        <w:rPr>
          <w:lang w:val="es-ES"/>
        </w:rPr>
        <w:t>o</w:t>
      </w:r>
      <w:r w:rsidR="002A65AD">
        <w:rPr>
          <w:lang w:val="es-ES"/>
        </w:rPr>
        <w:t xml:space="preserve">nes corresponden a </w:t>
      </w:r>
      <w:r w:rsidR="000824D0">
        <w:rPr>
          <w:lang w:val="es-ES"/>
        </w:rPr>
        <w:t>prestaciones sanitar</w:t>
      </w:r>
      <w:r w:rsidR="002A65AD">
        <w:rPr>
          <w:lang w:val="es-ES"/>
        </w:rPr>
        <w:t>ias exclusivas del uso especial.</w:t>
      </w:r>
    </w:p>
    <w:p w:rsidR="001B3767" w:rsidRDefault="001B3767" w:rsidP="007963FF">
      <w:pPr>
        <w:pStyle w:val="texto"/>
        <w:spacing w:after="260"/>
        <w:rPr>
          <w:lang w:val="es-ES"/>
        </w:rPr>
      </w:pPr>
      <w:r w:rsidRPr="006D43A7">
        <w:rPr>
          <w:lang w:val="es-ES"/>
        </w:rPr>
        <w:t xml:space="preserve">El </w:t>
      </w:r>
      <w:r w:rsidR="004D09DA">
        <w:rPr>
          <w:lang w:val="es-ES"/>
        </w:rPr>
        <w:t xml:space="preserve">gasto en 2014 para la Administración Foral, diferencia entre el gasto </w:t>
      </w:r>
      <w:r w:rsidR="005C3CDD">
        <w:rPr>
          <w:lang w:val="es-ES"/>
        </w:rPr>
        <w:t>rei</w:t>
      </w:r>
      <w:r w:rsidR="005C3CDD">
        <w:rPr>
          <w:lang w:val="es-ES"/>
        </w:rPr>
        <w:t>n</w:t>
      </w:r>
      <w:r w:rsidR="005C3CDD">
        <w:rPr>
          <w:lang w:val="es-ES"/>
        </w:rPr>
        <w:t xml:space="preserve">tegrado al </w:t>
      </w:r>
      <w:r w:rsidR="004D09DA">
        <w:rPr>
          <w:lang w:val="es-ES"/>
        </w:rPr>
        <w:t>beneficiario</w:t>
      </w:r>
      <w:r w:rsidR="005C3CDD">
        <w:rPr>
          <w:lang w:val="es-ES"/>
        </w:rPr>
        <w:t xml:space="preserve"> por prestaciones exclusivas del uso especial</w:t>
      </w:r>
      <w:r w:rsidR="006D5C62">
        <w:rPr>
          <w:lang w:val="es-ES"/>
        </w:rPr>
        <w:t>, 1,51 mill</w:t>
      </w:r>
      <w:r w:rsidR="006D5C62">
        <w:rPr>
          <w:lang w:val="es-ES"/>
        </w:rPr>
        <w:t>o</w:t>
      </w:r>
      <w:r w:rsidR="006D5C62">
        <w:rPr>
          <w:lang w:val="es-ES"/>
        </w:rPr>
        <w:t xml:space="preserve">nes, </w:t>
      </w:r>
      <w:r w:rsidR="005C3CDD">
        <w:rPr>
          <w:lang w:val="es-ES"/>
        </w:rPr>
        <w:t xml:space="preserve">y los ingresos por </w:t>
      </w:r>
      <w:r w:rsidRPr="006D43A7">
        <w:rPr>
          <w:lang w:val="es-ES"/>
        </w:rPr>
        <w:t>cuotas aportadas por los funcionarios en activo</w:t>
      </w:r>
      <w:r w:rsidR="005C3CDD">
        <w:rPr>
          <w:lang w:val="es-ES"/>
        </w:rPr>
        <w:t xml:space="preserve"> y derr</w:t>
      </w:r>
      <w:r w:rsidR="005C3CDD">
        <w:rPr>
          <w:lang w:val="es-ES"/>
        </w:rPr>
        <w:t>a</w:t>
      </w:r>
      <w:r w:rsidR="005C3CDD">
        <w:rPr>
          <w:lang w:val="es-ES"/>
        </w:rPr>
        <w:t>mas de los ayuntamientos</w:t>
      </w:r>
      <w:r w:rsidR="004D09DA">
        <w:rPr>
          <w:lang w:val="es-ES"/>
        </w:rPr>
        <w:t>, ascendió a 340.384</w:t>
      </w:r>
      <w:r w:rsidR="005C3CDD">
        <w:rPr>
          <w:lang w:val="es-ES"/>
        </w:rPr>
        <w:t xml:space="preserve"> euros</w:t>
      </w:r>
      <w:r w:rsidR="004D09DA">
        <w:rPr>
          <w:lang w:val="es-ES"/>
        </w:rPr>
        <w:t xml:space="preserve">, lo que supone un gasto de 34,33 euros por </w:t>
      </w:r>
      <w:r w:rsidR="000466A8">
        <w:rPr>
          <w:lang w:val="es-ES"/>
        </w:rPr>
        <w:t>beneficiario, tal como se refleja en el siguiente cuadro:</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009"/>
        <w:gridCol w:w="3777"/>
      </w:tblGrid>
      <w:tr w:rsidR="005C3CDD" w:rsidRPr="003A5228" w:rsidTr="007963FF">
        <w:trPr>
          <w:trHeight w:val="284"/>
          <w:jc w:val="center"/>
        </w:trPr>
        <w:tc>
          <w:tcPr>
            <w:tcW w:w="5009" w:type="dxa"/>
            <w:tcBorders>
              <w:top w:val="single" w:sz="4" w:space="0" w:color="auto"/>
              <w:left w:val="nil"/>
              <w:bottom w:val="single" w:sz="4" w:space="0" w:color="auto"/>
              <w:right w:val="nil"/>
            </w:tcBorders>
            <w:shd w:val="clear" w:color="auto" w:fill="8DB3E2" w:themeFill="text2" w:themeFillTint="66"/>
            <w:vAlign w:val="center"/>
          </w:tcPr>
          <w:p w:rsidR="005C3CDD" w:rsidRPr="003A5228" w:rsidRDefault="00D31BF4" w:rsidP="005C3CDD">
            <w:pPr>
              <w:pStyle w:val="cuadroCabe"/>
              <w:jc w:val="left"/>
            </w:pPr>
            <w:r>
              <w:t>Concepto</w:t>
            </w:r>
          </w:p>
        </w:tc>
        <w:tc>
          <w:tcPr>
            <w:tcW w:w="3777" w:type="dxa"/>
            <w:tcBorders>
              <w:top w:val="single" w:sz="4" w:space="0" w:color="auto"/>
              <w:left w:val="nil"/>
              <w:bottom w:val="single" w:sz="4" w:space="0" w:color="auto"/>
              <w:right w:val="nil"/>
            </w:tcBorders>
            <w:shd w:val="clear" w:color="auto" w:fill="8DB3E2" w:themeFill="text2" w:themeFillTint="66"/>
            <w:vAlign w:val="center"/>
          </w:tcPr>
          <w:p w:rsidR="005C3CDD" w:rsidRPr="003A5228" w:rsidRDefault="00D31BF4" w:rsidP="007963FF">
            <w:pPr>
              <w:pStyle w:val="cuadroCabe"/>
              <w:jc w:val="right"/>
            </w:pPr>
            <w:r>
              <w:t>Euros</w:t>
            </w:r>
          </w:p>
        </w:tc>
      </w:tr>
      <w:tr w:rsidR="005C3CDD" w:rsidRPr="007963FF" w:rsidTr="007963FF">
        <w:trPr>
          <w:trHeight w:val="227"/>
          <w:jc w:val="center"/>
        </w:trPr>
        <w:tc>
          <w:tcPr>
            <w:tcW w:w="5009" w:type="dxa"/>
            <w:tcBorders>
              <w:top w:val="single" w:sz="4" w:space="0" w:color="auto"/>
              <w:left w:val="nil"/>
              <w:bottom w:val="single" w:sz="2" w:space="0" w:color="auto"/>
              <w:right w:val="nil"/>
            </w:tcBorders>
            <w:vAlign w:val="center"/>
          </w:tcPr>
          <w:p w:rsidR="005C3CDD" w:rsidRPr="003A5228" w:rsidRDefault="005C3CDD" w:rsidP="005C3CDD">
            <w:pPr>
              <w:pStyle w:val="cuatexto"/>
              <w:jc w:val="left"/>
              <w:rPr>
                <w:szCs w:val="20"/>
              </w:rPr>
            </w:pPr>
            <w:r>
              <w:rPr>
                <w:szCs w:val="20"/>
              </w:rPr>
              <w:t>Gasto exclusivo uso especial</w:t>
            </w:r>
          </w:p>
        </w:tc>
        <w:tc>
          <w:tcPr>
            <w:tcW w:w="3777" w:type="dxa"/>
            <w:tcBorders>
              <w:top w:val="single" w:sz="4" w:space="0" w:color="auto"/>
              <w:left w:val="nil"/>
              <w:bottom w:val="single" w:sz="2" w:space="0" w:color="auto"/>
              <w:right w:val="nil"/>
            </w:tcBorders>
            <w:vAlign w:val="center"/>
          </w:tcPr>
          <w:p w:rsidR="005C3CDD" w:rsidRPr="003A5228" w:rsidRDefault="004D09DA" w:rsidP="007963FF">
            <w:pPr>
              <w:pStyle w:val="cuatexto"/>
              <w:jc w:val="right"/>
              <w:rPr>
                <w:szCs w:val="20"/>
              </w:rPr>
            </w:pPr>
            <w:r>
              <w:rPr>
                <w:szCs w:val="20"/>
              </w:rPr>
              <w:t>1.505.658</w:t>
            </w:r>
          </w:p>
        </w:tc>
      </w:tr>
      <w:tr w:rsidR="005C3CDD" w:rsidRPr="007963FF"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3A5228" w:rsidRDefault="005C3CDD" w:rsidP="002A65AD">
            <w:pPr>
              <w:pStyle w:val="cuatexto"/>
              <w:jc w:val="left"/>
              <w:rPr>
                <w:szCs w:val="20"/>
              </w:rPr>
            </w:pPr>
            <w:r>
              <w:rPr>
                <w:szCs w:val="20"/>
              </w:rPr>
              <w:t>Cuotas asistencia</w:t>
            </w:r>
            <w:r w:rsidR="002A65AD">
              <w:rPr>
                <w:szCs w:val="20"/>
              </w:rPr>
              <w:t xml:space="preserve"> </w:t>
            </w:r>
            <w:r>
              <w:rPr>
                <w:szCs w:val="20"/>
              </w:rPr>
              <w:t>sanitaria</w:t>
            </w:r>
          </w:p>
        </w:tc>
        <w:tc>
          <w:tcPr>
            <w:tcW w:w="3777" w:type="dxa"/>
            <w:tcBorders>
              <w:top w:val="single" w:sz="2" w:space="0" w:color="auto"/>
              <w:left w:val="nil"/>
              <w:bottom w:val="single" w:sz="2" w:space="0" w:color="auto"/>
              <w:right w:val="nil"/>
            </w:tcBorders>
            <w:vAlign w:val="center"/>
          </w:tcPr>
          <w:p w:rsidR="005C3CDD" w:rsidRPr="003A5228" w:rsidRDefault="005C3CDD" w:rsidP="007963FF">
            <w:pPr>
              <w:pStyle w:val="cuatexto"/>
              <w:jc w:val="right"/>
              <w:rPr>
                <w:szCs w:val="20"/>
              </w:rPr>
            </w:pPr>
            <w:r>
              <w:rPr>
                <w:szCs w:val="20"/>
              </w:rPr>
              <w:t>-200.157</w:t>
            </w:r>
          </w:p>
        </w:tc>
      </w:tr>
      <w:tr w:rsidR="005C3CDD" w:rsidRPr="007963FF"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3A5228" w:rsidRDefault="005C3CDD" w:rsidP="005C3CDD">
            <w:pPr>
              <w:pStyle w:val="cuatexto"/>
              <w:jc w:val="left"/>
              <w:rPr>
                <w:szCs w:val="20"/>
              </w:rPr>
            </w:pPr>
            <w:r>
              <w:rPr>
                <w:szCs w:val="20"/>
              </w:rPr>
              <w:t>Derramas ayuntamientos</w:t>
            </w:r>
          </w:p>
        </w:tc>
        <w:tc>
          <w:tcPr>
            <w:tcW w:w="3777" w:type="dxa"/>
            <w:tcBorders>
              <w:top w:val="single" w:sz="2" w:space="0" w:color="auto"/>
              <w:left w:val="nil"/>
              <w:bottom w:val="single" w:sz="2" w:space="0" w:color="auto"/>
              <w:right w:val="nil"/>
            </w:tcBorders>
            <w:vAlign w:val="center"/>
          </w:tcPr>
          <w:p w:rsidR="005C3CDD" w:rsidRPr="003A5228" w:rsidRDefault="005C3CDD" w:rsidP="007963FF">
            <w:pPr>
              <w:pStyle w:val="cuatexto"/>
              <w:jc w:val="right"/>
              <w:rPr>
                <w:szCs w:val="20"/>
              </w:rPr>
            </w:pPr>
            <w:r>
              <w:rPr>
                <w:szCs w:val="20"/>
              </w:rPr>
              <w:t>-965.117</w:t>
            </w:r>
          </w:p>
        </w:tc>
      </w:tr>
      <w:tr w:rsidR="005C3CDD" w:rsidRPr="007963FF" w:rsidTr="007963FF">
        <w:trPr>
          <w:trHeight w:val="227"/>
          <w:jc w:val="center"/>
        </w:trPr>
        <w:tc>
          <w:tcPr>
            <w:tcW w:w="5009" w:type="dxa"/>
            <w:tcBorders>
              <w:top w:val="single" w:sz="2" w:space="0" w:color="auto"/>
              <w:left w:val="nil"/>
              <w:bottom w:val="single" w:sz="2" w:space="0" w:color="auto"/>
              <w:right w:val="nil"/>
            </w:tcBorders>
            <w:vAlign w:val="center"/>
          </w:tcPr>
          <w:p w:rsidR="005C3CDD" w:rsidRPr="003A5228" w:rsidRDefault="006D5C62" w:rsidP="005C3CDD">
            <w:pPr>
              <w:pStyle w:val="cuatexto"/>
              <w:jc w:val="left"/>
              <w:rPr>
                <w:szCs w:val="20"/>
              </w:rPr>
            </w:pPr>
            <w:r>
              <w:rPr>
                <w:szCs w:val="20"/>
              </w:rPr>
              <w:t>Gasto para la Administración Foral</w:t>
            </w:r>
          </w:p>
        </w:tc>
        <w:tc>
          <w:tcPr>
            <w:tcW w:w="3777" w:type="dxa"/>
            <w:tcBorders>
              <w:top w:val="single" w:sz="2" w:space="0" w:color="auto"/>
              <w:left w:val="nil"/>
              <w:bottom w:val="single" w:sz="2" w:space="0" w:color="auto"/>
              <w:right w:val="nil"/>
            </w:tcBorders>
            <w:vAlign w:val="center"/>
          </w:tcPr>
          <w:p w:rsidR="005C3CDD" w:rsidRPr="003A5228" w:rsidRDefault="004D09DA" w:rsidP="007963FF">
            <w:pPr>
              <w:pStyle w:val="cuatexto"/>
              <w:jc w:val="right"/>
              <w:rPr>
                <w:szCs w:val="20"/>
              </w:rPr>
            </w:pPr>
            <w:r>
              <w:rPr>
                <w:szCs w:val="20"/>
              </w:rPr>
              <w:t>340.384</w:t>
            </w:r>
          </w:p>
        </w:tc>
      </w:tr>
      <w:tr w:rsidR="005C3CDD" w:rsidRPr="007963FF" w:rsidTr="007963FF">
        <w:trPr>
          <w:trHeight w:val="227"/>
          <w:jc w:val="center"/>
        </w:trPr>
        <w:tc>
          <w:tcPr>
            <w:tcW w:w="5009" w:type="dxa"/>
            <w:tcBorders>
              <w:top w:val="single" w:sz="2" w:space="0" w:color="auto"/>
              <w:left w:val="nil"/>
              <w:bottom w:val="single" w:sz="2" w:space="0" w:color="auto"/>
              <w:right w:val="nil"/>
            </w:tcBorders>
            <w:vAlign w:val="center"/>
            <w:hideMark/>
          </w:tcPr>
          <w:p w:rsidR="005C3CDD" w:rsidRPr="003A5228" w:rsidRDefault="006D5C62" w:rsidP="005C3CDD">
            <w:pPr>
              <w:pStyle w:val="cuatexto"/>
              <w:jc w:val="left"/>
              <w:rPr>
                <w:szCs w:val="20"/>
              </w:rPr>
            </w:pPr>
            <w:r>
              <w:rPr>
                <w:szCs w:val="20"/>
              </w:rPr>
              <w:t>Beneficiarios</w:t>
            </w:r>
            <w:r w:rsidR="005C3CDD">
              <w:rPr>
                <w:szCs w:val="20"/>
              </w:rPr>
              <w:t xml:space="preserve"> a 31 diciembre 2014</w:t>
            </w:r>
          </w:p>
        </w:tc>
        <w:tc>
          <w:tcPr>
            <w:tcW w:w="3777" w:type="dxa"/>
            <w:tcBorders>
              <w:top w:val="single" w:sz="2" w:space="0" w:color="auto"/>
              <w:left w:val="nil"/>
              <w:bottom w:val="single" w:sz="2" w:space="0" w:color="auto"/>
              <w:right w:val="nil"/>
            </w:tcBorders>
            <w:vAlign w:val="center"/>
            <w:hideMark/>
          </w:tcPr>
          <w:p w:rsidR="005C3CDD" w:rsidRPr="003A5228" w:rsidRDefault="005C3CDD" w:rsidP="007963FF">
            <w:pPr>
              <w:pStyle w:val="cuatexto"/>
              <w:jc w:val="right"/>
              <w:rPr>
                <w:szCs w:val="20"/>
              </w:rPr>
            </w:pPr>
            <w:r>
              <w:rPr>
                <w:szCs w:val="20"/>
              </w:rPr>
              <w:t>9.914</w:t>
            </w:r>
          </w:p>
        </w:tc>
      </w:tr>
      <w:tr w:rsidR="005C3CDD" w:rsidRPr="007963FF" w:rsidTr="007963FF">
        <w:trPr>
          <w:trHeight w:val="227"/>
          <w:jc w:val="center"/>
        </w:trPr>
        <w:tc>
          <w:tcPr>
            <w:tcW w:w="5009" w:type="dxa"/>
            <w:tcBorders>
              <w:top w:val="single" w:sz="2" w:space="0" w:color="auto"/>
              <w:left w:val="nil"/>
              <w:bottom w:val="single" w:sz="4" w:space="0" w:color="auto"/>
              <w:right w:val="nil"/>
            </w:tcBorders>
            <w:vAlign w:val="center"/>
          </w:tcPr>
          <w:p w:rsidR="005C3CDD" w:rsidRDefault="005C3CDD" w:rsidP="005C3CDD">
            <w:pPr>
              <w:pStyle w:val="cuatexto"/>
              <w:jc w:val="left"/>
              <w:rPr>
                <w:szCs w:val="20"/>
              </w:rPr>
            </w:pPr>
            <w:r>
              <w:rPr>
                <w:szCs w:val="20"/>
              </w:rPr>
              <w:t>Coste por beneficiario</w:t>
            </w:r>
          </w:p>
        </w:tc>
        <w:tc>
          <w:tcPr>
            <w:tcW w:w="3777" w:type="dxa"/>
            <w:tcBorders>
              <w:top w:val="single" w:sz="2" w:space="0" w:color="auto"/>
              <w:left w:val="nil"/>
              <w:bottom w:val="single" w:sz="4" w:space="0" w:color="auto"/>
              <w:right w:val="nil"/>
            </w:tcBorders>
            <w:vAlign w:val="center"/>
          </w:tcPr>
          <w:p w:rsidR="005C3CDD" w:rsidRDefault="004D09DA" w:rsidP="007963FF">
            <w:pPr>
              <w:pStyle w:val="cuatexto"/>
              <w:jc w:val="right"/>
              <w:rPr>
                <w:szCs w:val="20"/>
              </w:rPr>
            </w:pPr>
            <w:r>
              <w:rPr>
                <w:szCs w:val="20"/>
              </w:rPr>
              <w:t>34,33</w:t>
            </w:r>
          </w:p>
        </w:tc>
      </w:tr>
    </w:tbl>
    <w:p w:rsidR="00967D2C" w:rsidRDefault="001B3767" w:rsidP="004D09DA">
      <w:pPr>
        <w:pStyle w:val="texto"/>
        <w:spacing w:before="240"/>
        <w:rPr>
          <w:lang w:val="es-ES"/>
        </w:rPr>
      </w:pPr>
      <w:r w:rsidRPr="006D43A7">
        <w:rPr>
          <w:lang w:val="es-ES"/>
        </w:rPr>
        <w:t>De la revisión de una muestra de gastos sanitarios reintegrados a los benef</w:t>
      </w:r>
      <w:r w:rsidRPr="006D43A7">
        <w:rPr>
          <w:lang w:val="es-ES"/>
        </w:rPr>
        <w:t>i</w:t>
      </w:r>
      <w:r w:rsidRPr="006D43A7">
        <w:rPr>
          <w:lang w:val="es-ES"/>
        </w:rPr>
        <w:t xml:space="preserve">ciarios, hemos comprobado </w:t>
      </w:r>
      <w:r w:rsidR="00047C4C">
        <w:rPr>
          <w:lang w:val="es-ES"/>
        </w:rPr>
        <w:t xml:space="preserve">que </w:t>
      </w:r>
      <w:r w:rsidRPr="006D43A7">
        <w:rPr>
          <w:lang w:val="es-ES"/>
        </w:rPr>
        <w:t>están acreditados conforme a las instrucciones aprobadas, están justificados con factura</w:t>
      </w:r>
      <w:r w:rsidR="00967D2C">
        <w:rPr>
          <w:lang w:val="es-ES"/>
        </w:rPr>
        <w:t>s en las que se acredita el</w:t>
      </w:r>
      <w:r w:rsidRPr="006D43A7">
        <w:rPr>
          <w:lang w:val="es-ES"/>
        </w:rPr>
        <w:t xml:space="preserve"> pago por el beneficiario y se han aplicado las tarifas aprobadas para 2014. </w:t>
      </w:r>
    </w:p>
    <w:p w:rsidR="004D09DA" w:rsidRPr="006D43A7" w:rsidRDefault="004D09DA" w:rsidP="004D09DA">
      <w:pPr>
        <w:pStyle w:val="texto"/>
        <w:rPr>
          <w:lang w:val="es-ES"/>
        </w:rPr>
      </w:pPr>
      <w:r>
        <w:rPr>
          <w:lang w:val="es-ES"/>
        </w:rPr>
        <w:t>Se contabilizó como gasto de asistencia sanitaria de uso especial 1.016.691 euros</w:t>
      </w:r>
      <w:r w:rsidRPr="006D43A7">
        <w:rPr>
          <w:lang w:val="es-ES"/>
        </w:rPr>
        <w:t xml:space="preserve"> correspondiente</w:t>
      </w:r>
      <w:r>
        <w:rPr>
          <w:lang w:val="es-ES"/>
        </w:rPr>
        <w:t>s</w:t>
      </w:r>
      <w:r w:rsidRPr="006D43A7">
        <w:rPr>
          <w:lang w:val="es-ES"/>
        </w:rPr>
        <w:t xml:space="preserve"> a la facturación por derivaciones </w:t>
      </w:r>
      <w:r w:rsidR="00780690">
        <w:rPr>
          <w:lang w:val="es-ES"/>
        </w:rPr>
        <w:t>de pruebas diagnóst</w:t>
      </w:r>
      <w:r w:rsidR="00780690">
        <w:rPr>
          <w:lang w:val="es-ES"/>
        </w:rPr>
        <w:t>i</w:t>
      </w:r>
      <w:r w:rsidR="00780690">
        <w:rPr>
          <w:lang w:val="es-ES"/>
        </w:rPr>
        <w:t xml:space="preserve">cas </w:t>
      </w:r>
      <w:r w:rsidRPr="006D43A7">
        <w:rPr>
          <w:lang w:val="es-ES"/>
        </w:rPr>
        <w:t xml:space="preserve">a centros sanitarios privados de beneficiarios del uso </w:t>
      </w:r>
      <w:r>
        <w:rPr>
          <w:lang w:val="es-ES"/>
        </w:rPr>
        <w:t xml:space="preserve">especial, </w:t>
      </w:r>
      <w:r w:rsidR="00780690">
        <w:rPr>
          <w:lang w:val="es-ES"/>
        </w:rPr>
        <w:t>dentro d</w:t>
      </w:r>
      <w:r>
        <w:rPr>
          <w:lang w:val="es-ES"/>
        </w:rPr>
        <w:t>el marco del correspondiente concierto</w:t>
      </w:r>
      <w:r w:rsidR="00780690">
        <w:rPr>
          <w:lang w:val="es-ES"/>
        </w:rPr>
        <w:t>, gasto que c</w:t>
      </w:r>
      <w:r w:rsidRPr="006D43A7">
        <w:rPr>
          <w:lang w:val="es-ES"/>
        </w:rPr>
        <w:t>onsideramos debiera contab</w:t>
      </w:r>
      <w:r w:rsidRPr="006D43A7">
        <w:rPr>
          <w:lang w:val="es-ES"/>
        </w:rPr>
        <w:t>i</w:t>
      </w:r>
      <w:r w:rsidRPr="006D43A7">
        <w:rPr>
          <w:lang w:val="es-ES"/>
        </w:rPr>
        <w:lastRenderedPageBreak/>
        <w:t>lizarse en el capítulo 2 del presupuesto en el concepto económico correspo</w:t>
      </w:r>
      <w:r w:rsidRPr="006D43A7">
        <w:rPr>
          <w:lang w:val="es-ES"/>
        </w:rPr>
        <w:t>n</w:t>
      </w:r>
      <w:r w:rsidRPr="006D43A7">
        <w:rPr>
          <w:lang w:val="es-ES"/>
        </w:rPr>
        <w:t>diente a los conciertos sanitarios.</w:t>
      </w:r>
    </w:p>
    <w:p w:rsidR="001B3767" w:rsidRPr="0006711F" w:rsidRDefault="001B3767" w:rsidP="007963FF">
      <w:pPr>
        <w:pStyle w:val="atitulo2"/>
        <w:suppressAutoHyphens/>
        <w:spacing w:before="220" w:after="220"/>
        <w:ind w:right="28"/>
      </w:pPr>
      <w:bookmarkStart w:id="66" w:name="_Toc434399405"/>
      <w:r w:rsidRPr="0006711F">
        <w:t>VII.</w:t>
      </w:r>
      <w:r>
        <w:t>4</w:t>
      </w:r>
      <w:r w:rsidRPr="0006711F">
        <w:t>. Gastos corrientes en bienes y servicios</w:t>
      </w:r>
      <w:bookmarkEnd w:id="66"/>
    </w:p>
    <w:p w:rsidR="001B3767" w:rsidRPr="006D43A7" w:rsidRDefault="001B3767" w:rsidP="006D43A7">
      <w:pPr>
        <w:pStyle w:val="texto"/>
        <w:rPr>
          <w:lang w:val="es-ES"/>
        </w:rPr>
      </w:pPr>
      <w:r w:rsidRPr="006D43A7">
        <w:rPr>
          <w:lang w:val="es-ES"/>
        </w:rPr>
        <w:t>Los gastos corrientes en bienes y servicios del ejercicio 2014 ascendieron a 532,49 millones de euros. Suponen el 14 por ciento del total de gastos de 2014. Destacan el Departamento de Salud con un 52 por ciento y el de Políticas S</w:t>
      </w:r>
      <w:r w:rsidRPr="006D43A7">
        <w:rPr>
          <w:lang w:val="es-ES"/>
        </w:rPr>
        <w:t>o</w:t>
      </w:r>
      <w:r w:rsidRPr="006D43A7">
        <w:rPr>
          <w:lang w:val="es-ES"/>
        </w:rPr>
        <w:t>ciales con un 18 por ciento del gasto total.</w:t>
      </w:r>
    </w:p>
    <w:p w:rsidR="001B3767" w:rsidRPr="006D43A7" w:rsidRDefault="001B3767" w:rsidP="006D43A7">
      <w:pPr>
        <w:pStyle w:val="texto"/>
        <w:rPr>
          <w:lang w:val="es-ES"/>
        </w:rPr>
      </w:pPr>
      <w:r w:rsidRPr="006D43A7">
        <w:rPr>
          <w:lang w:val="es-ES"/>
        </w:rPr>
        <w:t>Al cierre del ejercicio se habían pagado el 87 por ciento de los gastos.</w:t>
      </w:r>
    </w:p>
    <w:p w:rsidR="001B3767" w:rsidRPr="006D43A7" w:rsidRDefault="001B3767" w:rsidP="006D43A7">
      <w:pPr>
        <w:pStyle w:val="texto"/>
        <w:rPr>
          <w:lang w:val="es-ES"/>
        </w:rPr>
      </w:pPr>
      <w:r w:rsidRPr="006D43A7">
        <w:rPr>
          <w:lang w:val="es-ES"/>
        </w:rPr>
        <w:t>Respecto al ejercicio 2013, se incrementaron en un dos por ciento, destaca</w:t>
      </w:r>
      <w:r w:rsidRPr="006D43A7">
        <w:rPr>
          <w:lang w:val="es-ES"/>
        </w:rPr>
        <w:t>n</w:t>
      </w:r>
      <w:r w:rsidRPr="006D43A7">
        <w:rPr>
          <w:lang w:val="es-ES"/>
        </w:rPr>
        <w:t>do el aumento de los siguientes conceptos: prótesis en un 24 por ciento, co</w:t>
      </w:r>
      <w:r w:rsidRPr="006D43A7">
        <w:rPr>
          <w:lang w:val="es-ES"/>
        </w:rPr>
        <w:t>n</w:t>
      </w:r>
      <w:r w:rsidRPr="006D43A7">
        <w:rPr>
          <w:lang w:val="es-ES"/>
        </w:rPr>
        <w:t>ciertos sanitarios en un cinco por ciento y fármacos en un cuatro por ciento.</w:t>
      </w:r>
    </w:p>
    <w:p w:rsidR="002964EA" w:rsidRPr="00E26A4B" w:rsidRDefault="002964EA" w:rsidP="002964EA">
      <w:pPr>
        <w:pStyle w:val="atitulo3"/>
        <w:spacing w:before="320"/>
        <w:rPr>
          <w:rFonts w:cs="Arial"/>
        </w:rPr>
      </w:pPr>
      <w:r w:rsidRPr="00E26A4B">
        <w:rPr>
          <w:rFonts w:cs="Arial"/>
        </w:rPr>
        <w:t>VII.</w:t>
      </w:r>
      <w:r>
        <w:rPr>
          <w:rFonts w:cs="Arial"/>
        </w:rPr>
        <w:t>4</w:t>
      </w:r>
      <w:r w:rsidRPr="00E26A4B">
        <w:rPr>
          <w:rFonts w:cs="Arial"/>
        </w:rPr>
        <w:t>.1</w:t>
      </w:r>
      <w:r>
        <w:rPr>
          <w:rFonts w:cs="Arial"/>
        </w:rPr>
        <w:t>.</w:t>
      </w:r>
      <w:r w:rsidRPr="00E26A4B">
        <w:rPr>
          <w:rFonts w:cs="Arial"/>
        </w:rPr>
        <w:t xml:space="preserve"> </w:t>
      </w:r>
      <w:r>
        <w:rPr>
          <w:rFonts w:cs="Arial"/>
        </w:rPr>
        <w:t>Muestra revisada</w:t>
      </w:r>
    </w:p>
    <w:p w:rsidR="001B3767" w:rsidRPr="006D43A7" w:rsidRDefault="001B3767" w:rsidP="006D43A7">
      <w:pPr>
        <w:pStyle w:val="texto"/>
        <w:rPr>
          <w:lang w:val="es-ES"/>
        </w:rPr>
      </w:pPr>
      <w:r w:rsidRPr="006D43A7">
        <w:rPr>
          <w:lang w:val="es-ES"/>
        </w:rPr>
        <w:t>El plan de control interno de la Intervención General de la Administración de la Comunidad Foral para el año 2015 incluye el control financiero permanente de los gastos en suministros sanitarios, medicamentos, conciertos sanitarios, prótesis y prestaciones farmacéuticas, declarados exentos de fiscalización pr</w:t>
      </w:r>
      <w:r w:rsidRPr="006D43A7">
        <w:rPr>
          <w:lang w:val="es-ES"/>
        </w:rPr>
        <w:t>e</w:t>
      </w:r>
      <w:r w:rsidRPr="006D43A7">
        <w:rPr>
          <w:lang w:val="es-ES"/>
        </w:rPr>
        <w:t>via. Estos gastos ascendieron  a 206.708.582 euros en 2014.</w:t>
      </w:r>
    </w:p>
    <w:p w:rsidR="001B3767" w:rsidRPr="006D43A7" w:rsidRDefault="001B3767" w:rsidP="006D43A7">
      <w:pPr>
        <w:pStyle w:val="texto"/>
        <w:rPr>
          <w:lang w:val="es-ES"/>
        </w:rPr>
      </w:pPr>
      <w:r w:rsidRPr="006D43A7">
        <w:rPr>
          <w:lang w:val="es-ES"/>
        </w:rPr>
        <w:t>Así mismo, dentro del Plan de trabajo de esta Cámara se ha incluido la fisc</w:t>
      </w:r>
      <w:r w:rsidRPr="006D43A7">
        <w:rPr>
          <w:lang w:val="es-ES"/>
        </w:rPr>
        <w:t>a</w:t>
      </w:r>
      <w:r w:rsidRPr="006D43A7">
        <w:rPr>
          <w:lang w:val="es-ES"/>
        </w:rPr>
        <w:t>lización de los servicios de limpieza, 22.820.574 euros en 2014.</w:t>
      </w:r>
    </w:p>
    <w:p w:rsidR="001B3767" w:rsidRPr="006D43A7" w:rsidRDefault="001B3767" w:rsidP="00DD5C6F">
      <w:pPr>
        <w:pStyle w:val="texto"/>
        <w:spacing w:after="260"/>
        <w:rPr>
          <w:lang w:val="es-ES"/>
        </w:rPr>
      </w:pPr>
      <w:r w:rsidRPr="006D43A7">
        <w:rPr>
          <w:lang w:val="es-ES"/>
        </w:rPr>
        <w:t xml:space="preserve">Teniendo en cuenta, entre otros criterios, las anteriores fiscalizaciones se ha </w:t>
      </w:r>
      <w:r w:rsidR="00967D2C">
        <w:rPr>
          <w:lang w:val="es-ES"/>
        </w:rPr>
        <w:t>seleccionado</w:t>
      </w:r>
      <w:r w:rsidRPr="006D43A7">
        <w:rPr>
          <w:lang w:val="es-ES"/>
        </w:rPr>
        <w:t xml:space="preserve"> la siguiente muestra:</w:t>
      </w:r>
    </w:p>
    <w:tbl>
      <w:tblPr>
        <w:tblW w:w="8936" w:type="dxa"/>
        <w:tblInd w:w="70" w:type="dxa"/>
        <w:tblCellMar>
          <w:left w:w="70" w:type="dxa"/>
          <w:right w:w="70" w:type="dxa"/>
        </w:tblCellMar>
        <w:tblLook w:val="04A0" w:firstRow="1" w:lastRow="0" w:firstColumn="1" w:lastColumn="0" w:noHBand="0" w:noVBand="1"/>
      </w:tblPr>
      <w:tblGrid>
        <w:gridCol w:w="3842"/>
        <w:gridCol w:w="3834"/>
        <w:gridCol w:w="1101"/>
        <w:gridCol w:w="159"/>
      </w:tblGrid>
      <w:tr w:rsidR="001B3767" w:rsidTr="009302E6">
        <w:trPr>
          <w:gridAfter w:val="1"/>
          <w:wAfter w:w="159" w:type="dxa"/>
          <w:trHeight w:val="312"/>
        </w:trPr>
        <w:tc>
          <w:tcPr>
            <w:tcW w:w="3842"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DD5C6F" w:rsidRDefault="001B3767" w:rsidP="000E2288">
            <w:pPr>
              <w:pStyle w:val="cuadroCabe"/>
              <w:jc w:val="left"/>
            </w:pPr>
            <w:r w:rsidRPr="00DD5C6F">
              <w:t>Departamento</w:t>
            </w:r>
          </w:p>
        </w:tc>
        <w:tc>
          <w:tcPr>
            <w:tcW w:w="3834" w:type="dxa"/>
            <w:tcBorders>
              <w:top w:val="single" w:sz="4" w:space="0" w:color="auto"/>
              <w:left w:val="nil"/>
              <w:bottom w:val="single" w:sz="4" w:space="0" w:color="auto"/>
              <w:right w:val="nil"/>
            </w:tcBorders>
            <w:shd w:val="clear" w:color="auto" w:fill="8DB3E2" w:themeFill="text2" w:themeFillTint="66"/>
            <w:vAlign w:val="center"/>
          </w:tcPr>
          <w:p w:rsidR="001B3767" w:rsidRPr="00DD5C6F" w:rsidRDefault="001B3767" w:rsidP="00DD5C6F">
            <w:pPr>
              <w:pStyle w:val="cuadroCabe"/>
              <w:jc w:val="left"/>
            </w:pPr>
          </w:p>
        </w:tc>
        <w:tc>
          <w:tcPr>
            <w:tcW w:w="1101"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DD5C6F" w:rsidRDefault="001B3767" w:rsidP="00DD5C6F">
            <w:pPr>
              <w:pStyle w:val="cuadroCabe"/>
              <w:jc w:val="right"/>
            </w:pPr>
            <w:r w:rsidRPr="00DD5C6F">
              <w:t>Gasto</w:t>
            </w:r>
          </w:p>
        </w:tc>
      </w:tr>
      <w:tr w:rsidR="001B3767" w:rsidRPr="00DD5C6F" w:rsidTr="00967D2C">
        <w:trPr>
          <w:gridAfter w:val="1"/>
          <w:wAfter w:w="159" w:type="dxa"/>
          <w:trHeight w:hRule="exact" w:val="227"/>
        </w:trPr>
        <w:tc>
          <w:tcPr>
            <w:tcW w:w="3842" w:type="dxa"/>
            <w:tcBorders>
              <w:top w:val="single" w:sz="4" w:space="0" w:color="auto"/>
              <w:left w:val="nil"/>
              <w:bottom w:val="single" w:sz="2" w:space="0" w:color="auto"/>
              <w:right w:val="nil"/>
            </w:tcBorders>
            <w:noWrap/>
            <w:vAlign w:val="center"/>
            <w:hideMark/>
          </w:tcPr>
          <w:p w:rsidR="001B3767" w:rsidRPr="00DD5C6F" w:rsidRDefault="001B3767" w:rsidP="00DD5C6F">
            <w:pPr>
              <w:pStyle w:val="cuatexto"/>
              <w:jc w:val="left"/>
              <w:rPr>
                <w:sz w:val="18"/>
                <w:szCs w:val="18"/>
              </w:rPr>
            </w:pPr>
            <w:r w:rsidRPr="00DD5C6F">
              <w:rPr>
                <w:sz w:val="18"/>
                <w:szCs w:val="18"/>
              </w:rPr>
              <w:t>0.Presidencia, Justicia e Interior</w:t>
            </w:r>
          </w:p>
        </w:tc>
        <w:tc>
          <w:tcPr>
            <w:tcW w:w="3834" w:type="dxa"/>
            <w:tcBorders>
              <w:top w:val="single" w:sz="4"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Gastos de renovación de carnets de conducir</w:t>
            </w:r>
          </w:p>
        </w:tc>
        <w:tc>
          <w:tcPr>
            <w:tcW w:w="1101" w:type="dxa"/>
            <w:tcBorders>
              <w:top w:val="single" w:sz="4"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15.691</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Encargo a NASERTIC gestión centro informática</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4.917.386</w:t>
            </w:r>
          </w:p>
        </w:tc>
      </w:tr>
      <w:tr w:rsidR="001B3767" w:rsidRPr="00DD5C6F" w:rsidTr="00967D2C">
        <w:trPr>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bottom"/>
            <w:hideMark/>
          </w:tcPr>
          <w:p w:rsidR="001B3767" w:rsidRPr="00DD5C6F" w:rsidRDefault="001B3767" w:rsidP="00DD5C6F">
            <w:pPr>
              <w:pStyle w:val="cuatexto"/>
              <w:jc w:val="left"/>
              <w:rPr>
                <w:sz w:val="18"/>
                <w:szCs w:val="18"/>
              </w:rPr>
            </w:pPr>
            <w:r w:rsidRPr="00DD5C6F">
              <w:rPr>
                <w:sz w:val="18"/>
                <w:szCs w:val="18"/>
              </w:rPr>
              <w:t xml:space="preserve">Red de radiotelefonía </w:t>
            </w:r>
            <w:proofErr w:type="spellStart"/>
            <w:r w:rsidRPr="00DD5C6F">
              <w:rPr>
                <w:sz w:val="18"/>
                <w:szCs w:val="18"/>
              </w:rPr>
              <w:t>tru</w:t>
            </w:r>
            <w:r w:rsidR="00780690">
              <w:rPr>
                <w:sz w:val="18"/>
                <w:szCs w:val="18"/>
              </w:rPr>
              <w:t>n</w:t>
            </w:r>
            <w:r w:rsidRPr="00DD5C6F">
              <w:rPr>
                <w:sz w:val="18"/>
                <w:szCs w:val="18"/>
              </w:rPr>
              <w:t>king</w:t>
            </w:r>
            <w:proofErr w:type="spellEnd"/>
            <w:r w:rsidRPr="00DD5C6F">
              <w:rPr>
                <w:sz w:val="18"/>
                <w:szCs w:val="18"/>
              </w:rPr>
              <w:t xml:space="preserve"> digital</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920.042</w:t>
            </w:r>
          </w:p>
        </w:tc>
        <w:tc>
          <w:tcPr>
            <w:tcW w:w="159" w:type="dxa"/>
            <w:tcBorders>
              <w:top w:val="single" w:sz="2" w:space="0" w:color="auto"/>
              <w:bottom w:val="single" w:sz="2" w:space="0" w:color="auto"/>
            </w:tcBorders>
            <w:vAlign w:val="bottom"/>
          </w:tcPr>
          <w:p w:rsidR="001B3767" w:rsidRPr="00DD5C6F" w:rsidRDefault="001B3767" w:rsidP="00DD5C6F">
            <w:pPr>
              <w:pStyle w:val="cuatexto"/>
              <w:jc w:val="left"/>
              <w:rPr>
                <w:sz w:val="18"/>
                <w:szCs w:val="18"/>
              </w:rPr>
            </w:pP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left"/>
              <w:rPr>
                <w:sz w:val="18"/>
                <w:szCs w:val="18"/>
              </w:rPr>
            </w:pPr>
            <w:r w:rsidRPr="00DD5C6F">
              <w:rPr>
                <w:sz w:val="18"/>
                <w:szCs w:val="18"/>
              </w:rPr>
              <w:t>4.Educación</w:t>
            </w: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Transporte escolar</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12.978.389</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bottom"/>
            <w:hideMark/>
          </w:tcPr>
          <w:p w:rsidR="001B3767" w:rsidRPr="00DD5C6F" w:rsidRDefault="001B3767" w:rsidP="00DD5C6F">
            <w:pPr>
              <w:pStyle w:val="cuatexto"/>
              <w:jc w:val="left"/>
              <w:rPr>
                <w:sz w:val="18"/>
                <w:szCs w:val="18"/>
              </w:rPr>
            </w:pPr>
            <w:r w:rsidRPr="00DD5C6F">
              <w:rPr>
                <w:sz w:val="18"/>
                <w:szCs w:val="18"/>
              </w:rPr>
              <w:t>Desarrollo e innovación de la F.P.</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 xml:space="preserve">263.393 </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left"/>
              <w:rPr>
                <w:sz w:val="18"/>
                <w:szCs w:val="18"/>
              </w:rPr>
            </w:pPr>
            <w:r w:rsidRPr="00DD5C6F">
              <w:rPr>
                <w:sz w:val="18"/>
                <w:szCs w:val="18"/>
              </w:rPr>
              <w:t>5.Salud</w:t>
            </w: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Plan atención emergencias</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10.593.852</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Mantenimiento de equipos médicos</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4.151.464</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Convenio con la Universidad Navarra asistencia</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5.096.993</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left"/>
              <w:rPr>
                <w:sz w:val="18"/>
                <w:szCs w:val="18"/>
              </w:rPr>
            </w:pPr>
            <w:r w:rsidRPr="00DD5C6F">
              <w:rPr>
                <w:sz w:val="18"/>
                <w:szCs w:val="18"/>
              </w:rPr>
              <w:t>6.Fomento</w:t>
            </w: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Gastos del consejo social</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7.950</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 xml:space="preserve">Encargo a </w:t>
            </w:r>
            <w:proofErr w:type="spellStart"/>
            <w:r w:rsidRPr="00DD5C6F">
              <w:rPr>
                <w:sz w:val="18"/>
                <w:szCs w:val="18"/>
              </w:rPr>
              <w:t>Nasuvinsa</w:t>
            </w:r>
            <w:proofErr w:type="spellEnd"/>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191.336</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left"/>
              <w:rPr>
                <w:sz w:val="18"/>
                <w:szCs w:val="18"/>
              </w:rPr>
            </w:pPr>
            <w:r w:rsidRPr="00DD5C6F">
              <w:rPr>
                <w:sz w:val="18"/>
                <w:szCs w:val="18"/>
              </w:rPr>
              <w:t>7. Desarr</w:t>
            </w:r>
            <w:r w:rsidR="00A10DB4">
              <w:rPr>
                <w:sz w:val="18"/>
                <w:szCs w:val="18"/>
              </w:rPr>
              <w:t>ollo Rural, Medio Ambiente, Admó</w:t>
            </w:r>
            <w:r w:rsidRPr="00DD5C6F">
              <w:rPr>
                <w:sz w:val="18"/>
                <w:szCs w:val="18"/>
              </w:rPr>
              <w:t>n.</w:t>
            </w:r>
            <w:r w:rsidR="00A10DB4">
              <w:rPr>
                <w:sz w:val="18"/>
                <w:szCs w:val="18"/>
              </w:rPr>
              <w:t xml:space="preserve"> </w:t>
            </w:r>
            <w:r w:rsidRPr="00DD5C6F">
              <w:rPr>
                <w:sz w:val="18"/>
                <w:szCs w:val="18"/>
              </w:rPr>
              <w:t>Local</w:t>
            </w: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 xml:space="preserve">Encargo a </w:t>
            </w:r>
            <w:proofErr w:type="spellStart"/>
            <w:r w:rsidRPr="00DD5C6F">
              <w:rPr>
                <w:sz w:val="18"/>
                <w:szCs w:val="18"/>
              </w:rPr>
              <w:t>Tracasa</w:t>
            </w:r>
            <w:proofErr w:type="spellEnd"/>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1.515.929</w:t>
            </w:r>
          </w:p>
        </w:tc>
      </w:tr>
      <w:tr w:rsidR="001B3767" w:rsidRPr="00DD5C6F" w:rsidTr="00967D2C">
        <w:trPr>
          <w:gridAfter w:val="1"/>
          <w:wAfter w:w="159" w:type="dxa"/>
          <w:trHeight w:hRule="exact" w:val="227"/>
        </w:trPr>
        <w:tc>
          <w:tcPr>
            <w:tcW w:w="3842" w:type="dxa"/>
            <w:tcBorders>
              <w:top w:val="single" w:sz="2" w:space="0" w:color="auto"/>
              <w:left w:val="nil"/>
              <w:bottom w:val="single" w:sz="2"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2"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Gestión centros interpretación</w:t>
            </w:r>
          </w:p>
        </w:tc>
        <w:tc>
          <w:tcPr>
            <w:tcW w:w="1101" w:type="dxa"/>
            <w:tcBorders>
              <w:top w:val="single" w:sz="2" w:space="0" w:color="auto"/>
              <w:left w:val="nil"/>
              <w:bottom w:val="single" w:sz="2"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175.425</w:t>
            </w:r>
          </w:p>
        </w:tc>
      </w:tr>
      <w:tr w:rsidR="001B3767" w:rsidRPr="00DD5C6F" w:rsidTr="00967D2C">
        <w:trPr>
          <w:gridAfter w:val="1"/>
          <w:wAfter w:w="159" w:type="dxa"/>
          <w:trHeight w:hRule="exact" w:val="227"/>
        </w:trPr>
        <w:tc>
          <w:tcPr>
            <w:tcW w:w="3842" w:type="dxa"/>
            <w:tcBorders>
              <w:top w:val="single" w:sz="2" w:space="0" w:color="auto"/>
              <w:left w:val="nil"/>
              <w:bottom w:val="single" w:sz="4" w:space="0" w:color="auto"/>
              <w:right w:val="nil"/>
            </w:tcBorders>
            <w:noWrap/>
            <w:vAlign w:val="center"/>
          </w:tcPr>
          <w:p w:rsidR="001B3767" w:rsidRPr="00DD5C6F" w:rsidRDefault="001B3767" w:rsidP="00DD5C6F">
            <w:pPr>
              <w:pStyle w:val="cuatexto"/>
              <w:jc w:val="left"/>
              <w:rPr>
                <w:sz w:val="18"/>
                <w:szCs w:val="18"/>
              </w:rPr>
            </w:pPr>
          </w:p>
        </w:tc>
        <w:tc>
          <w:tcPr>
            <w:tcW w:w="3834" w:type="dxa"/>
            <w:tcBorders>
              <w:top w:val="single" w:sz="2" w:space="0" w:color="auto"/>
              <w:left w:val="nil"/>
              <w:bottom w:val="single" w:sz="4" w:space="0" w:color="auto"/>
              <w:right w:val="nil"/>
            </w:tcBorders>
            <w:vAlign w:val="center"/>
            <w:hideMark/>
          </w:tcPr>
          <w:p w:rsidR="001B3767" w:rsidRPr="00DD5C6F" w:rsidRDefault="001B3767" w:rsidP="00DD5C6F">
            <w:pPr>
              <w:pStyle w:val="cuatexto"/>
              <w:jc w:val="left"/>
              <w:rPr>
                <w:sz w:val="18"/>
                <w:szCs w:val="18"/>
              </w:rPr>
            </w:pPr>
            <w:r w:rsidRPr="00DD5C6F">
              <w:rPr>
                <w:sz w:val="18"/>
                <w:szCs w:val="18"/>
              </w:rPr>
              <w:t>Encargo a GAN gestión de centros</w:t>
            </w:r>
          </w:p>
        </w:tc>
        <w:tc>
          <w:tcPr>
            <w:tcW w:w="1101" w:type="dxa"/>
            <w:tcBorders>
              <w:top w:val="single" w:sz="2" w:space="0" w:color="auto"/>
              <w:left w:val="nil"/>
              <w:bottom w:val="single" w:sz="4" w:space="0" w:color="auto"/>
              <w:right w:val="nil"/>
            </w:tcBorders>
            <w:noWrap/>
            <w:vAlign w:val="center"/>
            <w:hideMark/>
          </w:tcPr>
          <w:p w:rsidR="001B3767" w:rsidRPr="00DD5C6F" w:rsidRDefault="001B3767" w:rsidP="00DD5C6F">
            <w:pPr>
              <w:pStyle w:val="cuatexto"/>
              <w:jc w:val="right"/>
              <w:rPr>
                <w:sz w:val="18"/>
                <w:szCs w:val="18"/>
              </w:rPr>
            </w:pPr>
            <w:r w:rsidRPr="00DD5C6F">
              <w:rPr>
                <w:sz w:val="18"/>
                <w:szCs w:val="18"/>
              </w:rPr>
              <w:t>194.870</w:t>
            </w:r>
          </w:p>
        </w:tc>
      </w:tr>
    </w:tbl>
    <w:p w:rsidR="001B3767" w:rsidRDefault="001B3767" w:rsidP="00DD5C6F">
      <w:pPr>
        <w:pStyle w:val="texto"/>
        <w:spacing w:before="260"/>
      </w:pPr>
      <w:r w:rsidRPr="00967D2C">
        <w:t>Además de esta muestra, se ha comprobado que, en general, se han aplicado al presupuesto de 2014 los gastos devengados en dicho ejercicio en los conce</w:t>
      </w:r>
      <w:r w:rsidRPr="00967D2C">
        <w:t>p</w:t>
      </w:r>
      <w:r w:rsidRPr="00967D2C">
        <w:t>tos de canon de la autovía del Camino y del Pirineo con 51,45 millones, fárm</w:t>
      </w:r>
      <w:r w:rsidRPr="00967D2C">
        <w:t>a</w:t>
      </w:r>
      <w:r w:rsidRPr="00967D2C">
        <w:lastRenderedPageBreak/>
        <w:t>cos por importe de 82,33 millones y conciertos sanitarios por 56,31 millones de euros.</w:t>
      </w:r>
    </w:p>
    <w:p w:rsidR="002A65AD" w:rsidRPr="006D43A7" w:rsidRDefault="002A65AD" w:rsidP="002A65AD">
      <w:pPr>
        <w:pStyle w:val="texto"/>
        <w:spacing w:after="200"/>
        <w:rPr>
          <w:lang w:val="es-ES"/>
        </w:rPr>
      </w:pPr>
      <w:r w:rsidRPr="006D43A7">
        <w:rPr>
          <w:lang w:val="es-ES"/>
        </w:rPr>
        <w:t>A continuación se indican las principales conclusiones que consideramos r</w:t>
      </w:r>
      <w:r w:rsidRPr="006D43A7">
        <w:rPr>
          <w:lang w:val="es-ES"/>
        </w:rPr>
        <w:t>e</w:t>
      </w:r>
      <w:r w:rsidRPr="006D43A7">
        <w:rPr>
          <w:lang w:val="es-ES"/>
        </w:rPr>
        <w:t>saltar de la muestra revisada.</w:t>
      </w:r>
    </w:p>
    <w:p w:rsidR="001B3767" w:rsidRPr="001A21B5"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6D43A7">
        <w:rPr>
          <w:lang w:val="es-ES"/>
        </w:rPr>
        <w:t xml:space="preserve"> </w:t>
      </w:r>
      <w:r w:rsidR="00967D2C" w:rsidRPr="001A21B5">
        <w:rPr>
          <w:rFonts w:cs="Arial"/>
        </w:rPr>
        <w:t>L</w:t>
      </w:r>
      <w:r w:rsidRPr="001A21B5">
        <w:rPr>
          <w:rFonts w:cs="Arial"/>
        </w:rPr>
        <w:t>os gastos revisados están aprobados, intervenidos, justificados, son co</w:t>
      </w:r>
      <w:r w:rsidRPr="001A21B5">
        <w:rPr>
          <w:rFonts w:cs="Arial"/>
        </w:rPr>
        <w:t>n</w:t>
      </w:r>
      <w:r w:rsidRPr="001A21B5">
        <w:rPr>
          <w:rFonts w:cs="Arial"/>
        </w:rPr>
        <w:t>formes, en  su caso, a su contrato regulador, están correctamente contabilizados y pagados en un plazo inferior a 30 días.</w:t>
      </w:r>
    </w:p>
    <w:p w:rsidR="001B3767" w:rsidRPr="001A21B5"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A21B5">
        <w:rPr>
          <w:rFonts w:cs="Arial"/>
        </w:rPr>
        <w:t>En general, los encargos a sociedades públicas se han formalizado, tram</w:t>
      </w:r>
      <w:r w:rsidRPr="001A21B5">
        <w:rPr>
          <w:rFonts w:cs="Arial"/>
        </w:rPr>
        <w:t>i</w:t>
      </w:r>
      <w:r w:rsidRPr="001A21B5">
        <w:rPr>
          <w:rFonts w:cs="Arial"/>
        </w:rPr>
        <w:t>tado y ejecutado conforme a su normativa reguladora; Sin embargo</w:t>
      </w:r>
      <w:r w:rsidR="002902C6">
        <w:rPr>
          <w:rFonts w:cs="Arial"/>
        </w:rPr>
        <w:t>,</w:t>
      </w:r>
      <w:r w:rsidRPr="001A21B5">
        <w:rPr>
          <w:rFonts w:cs="Arial"/>
        </w:rPr>
        <w:t xml:space="preserve"> el encargo no incluye los servicios correspondientes a los primeros meses del ejercicio (de enero hasta abril en algunos casos) en los que se continuaba ejecutando la pre</w:t>
      </w:r>
      <w:r w:rsidRPr="001A21B5">
        <w:rPr>
          <w:rFonts w:cs="Arial"/>
        </w:rPr>
        <w:t>s</w:t>
      </w:r>
      <w:r w:rsidRPr="001A21B5">
        <w:rPr>
          <w:rFonts w:cs="Arial"/>
        </w:rPr>
        <w:t>tación. Estos servicios no incluidos en la tramitación del expediente están aprobados, intervenidos, justificados en informes jurídicos y pagados.</w:t>
      </w:r>
    </w:p>
    <w:p w:rsidR="001B3767" w:rsidRPr="001A21B5"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A21B5">
        <w:rPr>
          <w:rFonts w:cs="Arial"/>
        </w:rPr>
        <w:t xml:space="preserve">Los encargos a la sociedad Pública </w:t>
      </w:r>
      <w:proofErr w:type="spellStart"/>
      <w:r w:rsidRPr="001A21B5">
        <w:rPr>
          <w:rFonts w:cs="Arial"/>
        </w:rPr>
        <w:t>Nasuvinsa</w:t>
      </w:r>
      <w:proofErr w:type="spellEnd"/>
      <w:r w:rsidRPr="001A21B5">
        <w:rPr>
          <w:rFonts w:cs="Arial"/>
        </w:rPr>
        <w:t xml:space="preserve"> para </w:t>
      </w:r>
      <w:r w:rsidR="00047C4C" w:rsidRPr="001A21B5">
        <w:rPr>
          <w:rFonts w:cs="Arial"/>
        </w:rPr>
        <w:t>redactar</w:t>
      </w:r>
      <w:r w:rsidRPr="001A21B5">
        <w:rPr>
          <w:rFonts w:cs="Arial"/>
        </w:rPr>
        <w:t xml:space="preserve"> informes té</w:t>
      </w:r>
      <w:r w:rsidRPr="001A21B5">
        <w:rPr>
          <w:rFonts w:cs="Arial"/>
        </w:rPr>
        <w:t>c</w:t>
      </w:r>
      <w:r w:rsidRPr="001A21B5">
        <w:rPr>
          <w:rFonts w:cs="Arial"/>
        </w:rPr>
        <w:t xml:space="preserve">nicos y a </w:t>
      </w:r>
      <w:proofErr w:type="spellStart"/>
      <w:r w:rsidRPr="001A21B5">
        <w:rPr>
          <w:rFonts w:cs="Arial"/>
        </w:rPr>
        <w:t>Tracasa</w:t>
      </w:r>
      <w:proofErr w:type="spellEnd"/>
      <w:r w:rsidRPr="001A21B5">
        <w:rPr>
          <w:rFonts w:cs="Arial"/>
        </w:rPr>
        <w:t xml:space="preserve"> en relación con ayudas FEAGA y FEADER son </w:t>
      </w:r>
      <w:r w:rsidR="00047C4C" w:rsidRPr="001A21B5">
        <w:rPr>
          <w:rFonts w:cs="Arial"/>
        </w:rPr>
        <w:t>ejecutados</w:t>
      </w:r>
      <w:r w:rsidRPr="001A21B5">
        <w:rPr>
          <w:rFonts w:cs="Arial"/>
        </w:rPr>
        <w:t xml:space="preserve"> por personal de dichas sociedades que presta sus servicios de forma permanente y continuada en los Departamentos de la Administración</w:t>
      </w:r>
      <w:r w:rsidR="002902C6">
        <w:rPr>
          <w:rFonts w:cs="Arial"/>
        </w:rPr>
        <w:t>,</w:t>
      </w:r>
      <w:r w:rsidRPr="001A21B5">
        <w:rPr>
          <w:rFonts w:cs="Arial"/>
        </w:rPr>
        <w:t xml:space="preserve"> bajo la dirección fu</w:t>
      </w:r>
      <w:r w:rsidRPr="001A21B5">
        <w:rPr>
          <w:rFonts w:cs="Arial"/>
        </w:rPr>
        <w:t>n</w:t>
      </w:r>
      <w:r w:rsidRPr="001A21B5">
        <w:rPr>
          <w:rFonts w:cs="Arial"/>
        </w:rPr>
        <w:t xml:space="preserve">cional de sus unidades orgánicas. </w:t>
      </w:r>
    </w:p>
    <w:p w:rsidR="001B3767" w:rsidRPr="001A21B5"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A21B5">
        <w:rPr>
          <w:rFonts w:cs="Arial"/>
        </w:rPr>
        <w:t xml:space="preserve">La gestión de los centros de interpretación de la naturaleza de </w:t>
      </w:r>
      <w:proofErr w:type="spellStart"/>
      <w:r w:rsidRPr="001A21B5">
        <w:rPr>
          <w:rFonts w:cs="Arial"/>
        </w:rPr>
        <w:t>Ochagavía</w:t>
      </w:r>
      <w:proofErr w:type="spellEnd"/>
      <w:r w:rsidRPr="001A21B5">
        <w:rPr>
          <w:rFonts w:cs="Arial"/>
        </w:rPr>
        <w:t xml:space="preserve">, </w:t>
      </w:r>
      <w:proofErr w:type="spellStart"/>
      <w:r w:rsidRPr="001A21B5">
        <w:rPr>
          <w:rFonts w:cs="Arial"/>
        </w:rPr>
        <w:t>Lumbier</w:t>
      </w:r>
      <w:proofErr w:type="spellEnd"/>
      <w:r w:rsidRPr="001A21B5">
        <w:rPr>
          <w:rFonts w:cs="Arial"/>
        </w:rPr>
        <w:t xml:space="preserve"> y Roncal se adjudicó por procedimiento negociado sin publicidad a las mismas empresas que contrataba la sociedad pública </w:t>
      </w:r>
      <w:proofErr w:type="spellStart"/>
      <w:r w:rsidR="00780690">
        <w:rPr>
          <w:rFonts w:cs="Arial"/>
        </w:rPr>
        <w:t>Ganasa</w:t>
      </w:r>
      <w:proofErr w:type="spellEnd"/>
      <w:r w:rsidR="00780690">
        <w:rPr>
          <w:rFonts w:cs="Arial"/>
        </w:rPr>
        <w:t xml:space="preserve"> </w:t>
      </w:r>
      <w:r w:rsidRPr="001A21B5">
        <w:rPr>
          <w:rFonts w:cs="Arial"/>
        </w:rPr>
        <w:t>cuando tenía e</w:t>
      </w:r>
      <w:r w:rsidRPr="001A21B5">
        <w:rPr>
          <w:rFonts w:cs="Arial"/>
        </w:rPr>
        <w:t>n</w:t>
      </w:r>
      <w:r w:rsidRPr="001A21B5">
        <w:rPr>
          <w:rFonts w:cs="Arial"/>
        </w:rPr>
        <w:t>comendado dicho servicio. La adjudicación no incluyó el periodo de enero a marzo de 2014</w:t>
      </w:r>
      <w:r w:rsidR="002902C6">
        <w:rPr>
          <w:rFonts w:cs="Arial"/>
        </w:rPr>
        <w:t>,</w:t>
      </w:r>
      <w:r w:rsidRPr="001A21B5">
        <w:rPr>
          <w:rFonts w:cs="Arial"/>
        </w:rPr>
        <w:t xml:space="preserve"> en el que el servicio fue prestado por dichas empresas en tanto finalizara el proceso de licitación. </w:t>
      </w:r>
    </w:p>
    <w:p w:rsidR="001B3767" w:rsidRPr="001A21B5" w:rsidRDefault="00967D2C"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A21B5">
        <w:rPr>
          <w:rFonts w:cs="Arial"/>
        </w:rPr>
        <w:t>Una parte del objeto del contrato</w:t>
      </w:r>
      <w:r w:rsidR="002A65AD" w:rsidRPr="001A21B5">
        <w:rPr>
          <w:rFonts w:cs="Arial"/>
        </w:rPr>
        <w:t xml:space="preserve"> </w:t>
      </w:r>
      <w:r w:rsidR="002A65AD" w:rsidRPr="00846868">
        <w:rPr>
          <w:rFonts w:cs="Arial"/>
        </w:rPr>
        <w:t xml:space="preserve">de asistencia técnica para la provisión de un servicio de red de radiotelefonía </w:t>
      </w:r>
      <w:proofErr w:type="spellStart"/>
      <w:r w:rsidR="002A65AD" w:rsidRPr="00846868">
        <w:rPr>
          <w:rFonts w:cs="Arial"/>
        </w:rPr>
        <w:t>trunking</w:t>
      </w:r>
      <w:proofErr w:type="spellEnd"/>
      <w:r w:rsidR="002A65AD" w:rsidRPr="00846868">
        <w:rPr>
          <w:rFonts w:cs="Arial"/>
        </w:rPr>
        <w:t xml:space="preserve"> digital </w:t>
      </w:r>
      <w:r w:rsidRPr="001A21B5">
        <w:rPr>
          <w:rFonts w:cs="Arial"/>
        </w:rPr>
        <w:t xml:space="preserve">corresponde a </w:t>
      </w:r>
      <w:r w:rsidR="008D66D4" w:rsidRPr="001A21B5">
        <w:rPr>
          <w:rFonts w:cs="Arial"/>
        </w:rPr>
        <w:t xml:space="preserve">una </w:t>
      </w:r>
      <w:r w:rsidR="001B3767" w:rsidRPr="001A21B5">
        <w:rPr>
          <w:rFonts w:cs="Arial"/>
        </w:rPr>
        <w:t xml:space="preserve">estación </w:t>
      </w:r>
      <w:r w:rsidR="008D66D4" w:rsidRPr="001A21B5">
        <w:rPr>
          <w:rFonts w:cs="Arial"/>
        </w:rPr>
        <w:t xml:space="preserve">en el edificio de Hacienda que </w:t>
      </w:r>
      <w:r w:rsidR="001B3767" w:rsidRPr="001A21B5">
        <w:rPr>
          <w:rFonts w:cs="Arial"/>
        </w:rPr>
        <w:t>comenzó a funcionar en marzo de 2014</w:t>
      </w:r>
      <w:r w:rsidR="008D66D4" w:rsidRPr="001A21B5">
        <w:rPr>
          <w:rFonts w:cs="Arial"/>
        </w:rPr>
        <w:t>. E</w:t>
      </w:r>
      <w:r w:rsidR="001B3767" w:rsidRPr="001A21B5">
        <w:rPr>
          <w:rFonts w:cs="Arial"/>
        </w:rPr>
        <w:t>l d</w:t>
      </w:r>
      <w:r w:rsidR="001B3767" w:rsidRPr="001A21B5">
        <w:rPr>
          <w:rFonts w:cs="Arial"/>
        </w:rPr>
        <w:t>o</w:t>
      </w:r>
      <w:r w:rsidR="001B3767" w:rsidRPr="001A21B5">
        <w:rPr>
          <w:rFonts w:cs="Arial"/>
        </w:rPr>
        <w:t>cumento que pudiera equipararse al acta de recepción está fechado el 11 de j</w:t>
      </w:r>
      <w:r w:rsidR="001B3767" w:rsidRPr="001A21B5">
        <w:rPr>
          <w:rFonts w:cs="Arial"/>
        </w:rPr>
        <w:t>u</w:t>
      </w:r>
      <w:r w:rsidR="001B3767" w:rsidRPr="001A21B5">
        <w:rPr>
          <w:rFonts w:cs="Arial"/>
        </w:rPr>
        <w:t>nio de 2015.</w:t>
      </w:r>
    </w:p>
    <w:p w:rsidR="001B3767" w:rsidRPr="001A21B5" w:rsidRDefault="001A21B5"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1A21B5">
        <w:rPr>
          <w:rFonts w:cs="Arial"/>
        </w:rPr>
        <w:t xml:space="preserve">La sociedad pública </w:t>
      </w:r>
      <w:proofErr w:type="spellStart"/>
      <w:r w:rsidRPr="001A21B5">
        <w:rPr>
          <w:rFonts w:cs="Arial"/>
        </w:rPr>
        <w:t>Nasertic</w:t>
      </w:r>
      <w:proofErr w:type="spellEnd"/>
      <w:r w:rsidRPr="001A21B5">
        <w:rPr>
          <w:rFonts w:cs="Arial"/>
        </w:rPr>
        <w:t xml:space="preserve"> contrató con terceros el 66 por ciento de los servicios de </w:t>
      </w:r>
      <w:r w:rsidR="001B3767" w:rsidRPr="001A21B5">
        <w:rPr>
          <w:rFonts w:cs="Arial"/>
        </w:rPr>
        <w:t>gestión y explotación del centro de informática. La Ley Foral de Contratos Públicos establece que excepcionalmente podrá superarse el porce</w:t>
      </w:r>
      <w:r w:rsidR="001B3767" w:rsidRPr="001A21B5">
        <w:rPr>
          <w:rFonts w:cs="Arial"/>
        </w:rPr>
        <w:t>n</w:t>
      </w:r>
      <w:r w:rsidR="001B3767" w:rsidRPr="001A21B5">
        <w:rPr>
          <w:rFonts w:cs="Arial"/>
        </w:rPr>
        <w:t>taje del 50 por ciento si se justifica exhaustivamente la existencia de una justa causa tendente a la economía, eficacia o eficiencia en la ejecución del encargo.</w:t>
      </w:r>
    </w:p>
    <w:p w:rsidR="001B3767" w:rsidRPr="006D43A7" w:rsidRDefault="001B3767" w:rsidP="006D43A7">
      <w:pPr>
        <w:pStyle w:val="texto"/>
        <w:rPr>
          <w:lang w:val="es-ES"/>
        </w:rPr>
      </w:pPr>
      <w:r w:rsidRPr="006D43A7">
        <w:rPr>
          <w:lang w:val="es-ES"/>
        </w:rPr>
        <w:t xml:space="preserve">En un informe </w:t>
      </w:r>
      <w:r w:rsidR="001A21B5">
        <w:rPr>
          <w:lang w:val="es-ES"/>
        </w:rPr>
        <w:t xml:space="preserve">de la sociedad pública se </w:t>
      </w:r>
      <w:r w:rsidRPr="006D43A7">
        <w:rPr>
          <w:lang w:val="es-ES"/>
        </w:rPr>
        <w:t>indica que ejecuta con medios pr</w:t>
      </w:r>
      <w:r w:rsidRPr="006D43A7">
        <w:rPr>
          <w:lang w:val="es-ES"/>
        </w:rPr>
        <w:t>o</w:t>
      </w:r>
      <w:r w:rsidRPr="006D43A7">
        <w:rPr>
          <w:lang w:val="es-ES"/>
        </w:rPr>
        <w:t>pios la parte significativa de la prestación encargada, como es la contratación de los servicios hardware y software para la puesta en marcha de la plataforma Mainframe. Sin embargo</w:t>
      </w:r>
      <w:r w:rsidR="00692266">
        <w:rPr>
          <w:lang w:val="es-ES"/>
        </w:rPr>
        <w:t>,</w:t>
      </w:r>
      <w:r w:rsidRPr="006D43A7">
        <w:rPr>
          <w:lang w:val="es-ES"/>
        </w:rPr>
        <w:t xml:space="preserve"> esta contratación supuso el 55 por ciento del precio de la encomienda. </w:t>
      </w:r>
    </w:p>
    <w:p w:rsidR="001B3767" w:rsidRPr="006D43A7" w:rsidRDefault="001B3767" w:rsidP="006D43A7">
      <w:pPr>
        <w:pStyle w:val="texto"/>
        <w:rPr>
          <w:lang w:val="es-ES"/>
        </w:rPr>
      </w:pPr>
      <w:proofErr w:type="spellStart"/>
      <w:r w:rsidRPr="006D43A7">
        <w:rPr>
          <w:lang w:val="es-ES"/>
        </w:rPr>
        <w:lastRenderedPageBreak/>
        <w:t>Nasertic</w:t>
      </w:r>
      <w:proofErr w:type="spellEnd"/>
      <w:r w:rsidRPr="006D43A7">
        <w:rPr>
          <w:lang w:val="es-ES"/>
        </w:rPr>
        <w:t xml:space="preserve"> ha facturado un tres por ciento de gastos generales sobre los serv</w:t>
      </w:r>
      <w:r w:rsidRPr="006D43A7">
        <w:rPr>
          <w:lang w:val="es-ES"/>
        </w:rPr>
        <w:t>i</w:t>
      </w:r>
      <w:r w:rsidRPr="006D43A7">
        <w:rPr>
          <w:lang w:val="es-ES"/>
        </w:rPr>
        <w:t>cios contratados</w:t>
      </w:r>
      <w:r w:rsidR="00096EB3">
        <w:rPr>
          <w:lang w:val="es-ES"/>
        </w:rPr>
        <w:t>,</w:t>
      </w:r>
      <w:r w:rsidRPr="006D43A7">
        <w:rPr>
          <w:lang w:val="es-ES"/>
        </w:rPr>
        <w:t xml:space="preserve"> 81.330 euros en 2014.</w:t>
      </w:r>
    </w:p>
    <w:p w:rsidR="001B3767" w:rsidRPr="006D43A7" w:rsidRDefault="001B3767" w:rsidP="006D43A7">
      <w:pPr>
        <w:pStyle w:val="texto"/>
        <w:rPr>
          <w:lang w:val="es-ES"/>
        </w:rPr>
      </w:pPr>
      <w:r w:rsidRPr="006D43A7">
        <w:rPr>
          <w:lang w:val="es-ES"/>
        </w:rPr>
        <w:t xml:space="preserve">No consta un informe en el que se indiquen con detalle las características de los servicios </w:t>
      </w:r>
      <w:r w:rsidR="00096EB3">
        <w:rPr>
          <w:lang w:val="es-ES"/>
        </w:rPr>
        <w:t xml:space="preserve">de mantenimiento </w:t>
      </w:r>
      <w:r w:rsidRPr="006D43A7">
        <w:rPr>
          <w:lang w:val="es-ES"/>
        </w:rPr>
        <w:t>contratados, informe que la sociedad pública indicó en su oferta que presentaría una vez al año.</w:t>
      </w:r>
    </w:p>
    <w:p w:rsidR="001B3767" w:rsidRPr="001A21B5" w:rsidRDefault="001B3767" w:rsidP="001A21B5">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6D43A7">
        <w:rPr>
          <w:lang w:val="es-ES"/>
        </w:rPr>
        <w:tab/>
      </w:r>
      <w:r w:rsidRPr="001A21B5">
        <w:rPr>
          <w:rFonts w:cs="Arial"/>
        </w:rPr>
        <w:t>No consta que se haya</w:t>
      </w:r>
      <w:r w:rsidR="008D66D4" w:rsidRPr="001A21B5">
        <w:rPr>
          <w:rFonts w:cs="Arial"/>
        </w:rPr>
        <w:t>n</w:t>
      </w:r>
      <w:r w:rsidRPr="001A21B5">
        <w:rPr>
          <w:rFonts w:cs="Arial"/>
        </w:rPr>
        <w:t xml:space="preserve"> firmado acuerdo</w:t>
      </w:r>
      <w:r w:rsidR="00047C4C" w:rsidRPr="001A21B5">
        <w:rPr>
          <w:rFonts w:cs="Arial"/>
        </w:rPr>
        <w:t>s</w:t>
      </w:r>
      <w:r w:rsidRPr="001A21B5">
        <w:rPr>
          <w:rFonts w:cs="Arial"/>
        </w:rPr>
        <w:t xml:space="preserve"> de colaboración entre el Depa</w:t>
      </w:r>
      <w:r w:rsidRPr="001A21B5">
        <w:rPr>
          <w:rFonts w:cs="Arial"/>
        </w:rPr>
        <w:t>r</w:t>
      </w:r>
      <w:r w:rsidRPr="001A21B5">
        <w:rPr>
          <w:rFonts w:cs="Arial"/>
        </w:rPr>
        <w:t>tamento de Educación y la</w:t>
      </w:r>
      <w:r w:rsidR="008D66D4" w:rsidRPr="001A21B5">
        <w:rPr>
          <w:rFonts w:cs="Arial"/>
        </w:rPr>
        <w:t>s</w:t>
      </w:r>
      <w:r w:rsidRPr="001A21B5">
        <w:rPr>
          <w:rFonts w:cs="Arial"/>
        </w:rPr>
        <w:t xml:space="preserve"> </w:t>
      </w:r>
      <w:proofErr w:type="spellStart"/>
      <w:r w:rsidRPr="001A21B5">
        <w:rPr>
          <w:rFonts w:cs="Arial"/>
        </w:rPr>
        <w:t>Apyma</w:t>
      </w:r>
      <w:r w:rsidR="008D66D4" w:rsidRPr="001A21B5">
        <w:rPr>
          <w:rFonts w:cs="Arial"/>
        </w:rPr>
        <w:t>s</w:t>
      </w:r>
      <w:proofErr w:type="spellEnd"/>
      <w:r w:rsidRPr="001A21B5">
        <w:rPr>
          <w:rFonts w:cs="Arial"/>
        </w:rPr>
        <w:t xml:space="preserve"> para el transporte escolar organizado por ésta</w:t>
      </w:r>
      <w:r w:rsidR="008D66D4" w:rsidRPr="001A21B5">
        <w:rPr>
          <w:rFonts w:cs="Arial"/>
        </w:rPr>
        <w:t>s</w:t>
      </w:r>
      <w:r w:rsidRPr="001A21B5">
        <w:rPr>
          <w:rFonts w:cs="Arial"/>
        </w:rPr>
        <w:t xml:space="preserve"> para alumnos de enseñanzas postobligatorias no universitarias</w:t>
      </w:r>
      <w:r w:rsidR="008D66D4" w:rsidRPr="001A21B5">
        <w:rPr>
          <w:rFonts w:cs="Arial"/>
        </w:rPr>
        <w:t>, contrari</w:t>
      </w:r>
      <w:r w:rsidR="008D66D4" w:rsidRPr="001A21B5">
        <w:rPr>
          <w:rFonts w:cs="Arial"/>
        </w:rPr>
        <w:t>a</w:t>
      </w:r>
      <w:r w:rsidR="008D66D4" w:rsidRPr="001A21B5">
        <w:rPr>
          <w:rFonts w:cs="Arial"/>
        </w:rPr>
        <w:t>mente a lo establecido en la resolución reguladora del transporte</w:t>
      </w:r>
      <w:r w:rsidRPr="001A21B5">
        <w:rPr>
          <w:rFonts w:cs="Arial"/>
        </w:rPr>
        <w:t>.</w:t>
      </w:r>
    </w:p>
    <w:p w:rsidR="00047C4C" w:rsidRDefault="001A21B5" w:rsidP="00047C4C">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pPr>
      <w:r w:rsidRPr="001A21B5">
        <w:rPr>
          <w:rFonts w:cs="Arial"/>
        </w:rPr>
        <w:t>Plan de atención de emergencias: n</w:t>
      </w:r>
      <w:r w:rsidR="00047C4C">
        <w:t>o todo el personal que presta el servicio es técnico de emergencias sanitarias, titulación exigida por la normativa, au</w:t>
      </w:r>
      <w:r w:rsidR="00047C4C">
        <w:t>n</w:t>
      </w:r>
      <w:r w:rsidR="00047C4C">
        <w:t>que sí cumple este requisito el personal de nueva incorporación. Este servicio también lo prestan bomberos y voluntarios.</w:t>
      </w:r>
    </w:p>
    <w:p w:rsidR="001B3767" w:rsidRPr="006D43A7" w:rsidRDefault="00692266" w:rsidP="001B3767">
      <w:pPr>
        <w:pStyle w:val="texto"/>
        <w:rPr>
          <w:lang w:val="es-ES"/>
        </w:rPr>
      </w:pPr>
      <w:r>
        <w:rPr>
          <w:lang w:val="es-ES"/>
        </w:rPr>
        <w:t>Se dispone</w:t>
      </w:r>
      <w:r w:rsidR="001B3767" w:rsidRPr="006D43A7">
        <w:rPr>
          <w:lang w:val="es-ES"/>
        </w:rPr>
        <w:t xml:space="preserve"> de herramientas informáticas para obtener indicadores sobre</w:t>
      </w:r>
      <w:r w:rsidR="008D66D4">
        <w:rPr>
          <w:lang w:val="es-ES"/>
        </w:rPr>
        <w:t xml:space="preserve"> el funcionamiento del servicio y controlar su prestación.</w:t>
      </w:r>
    </w:p>
    <w:p w:rsidR="001B3767" w:rsidRPr="001A21B5" w:rsidRDefault="001B3767" w:rsidP="001B376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1A21B5">
        <w:rPr>
          <w:rFonts w:cs="Arial"/>
        </w:rPr>
        <w:t>Mantenimiento de equipamiento médico</w:t>
      </w:r>
      <w:r w:rsidR="001A21B5">
        <w:rPr>
          <w:rFonts w:cs="Arial"/>
        </w:rPr>
        <w:t xml:space="preserve">: </w:t>
      </w:r>
      <w:r w:rsidR="00A26C7F">
        <w:rPr>
          <w:lang w:val="es-ES"/>
        </w:rPr>
        <w:t xml:space="preserve">se </w:t>
      </w:r>
      <w:r w:rsidRPr="001A21B5">
        <w:rPr>
          <w:lang w:val="es-ES"/>
        </w:rPr>
        <w:t>deja constancia de todas las revisiones del equipamiento realizadas y se exige a la empresa adjudicataria un seguro de responsabilidad civil.</w:t>
      </w:r>
    </w:p>
    <w:p w:rsidR="001B3767" w:rsidRPr="006D43A7" w:rsidRDefault="001B3767" w:rsidP="001B3767">
      <w:pPr>
        <w:pStyle w:val="texto"/>
        <w:rPr>
          <w:lang w:val="es-ES"/>
        </w:rPr>
      </w:pPr>
      <w:r w:rsidRPr="006D43A7">
        <w:rPr>
          <w:lang w:val="es-ES"/>
        </w:rPr>
        <w:t xml:space="preserve">Hemos constatado retraso en la firma de algunos contratos respecto al inicio de la prestación </w:t>
      </w:r>
    </w:p>
    <w:p w:rsidR="001B3767" w:rsidRPr="000466A8" w:rsidRDefault="000466A8"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0466A8">
        <w:rPr>
          <w:rFonts w:cs="Arial"/>
        </w:rPr>
        <w:t>El c</w:t>
      </w:r>
      <w:r w:rsidR="001B3767" w:rsidRPr="000466A8">
        <w:rPr>
          <w:rFonts w:cs="Arial"/>
        </w:rPr>
        <w:t>ontrato con la Clínica Universidad de Navarra (CUN)</w:t>
      </w:r>
      <w:r>
        <w:rPr>
          <w:rFonts w:cs="Arial"/>
        </w:rPr>
        <w:t xml:space="preserve"> </w:t>
      </w:r>
      <w:r>
        <w:rPr>
          <w:lang w:val="es-ES"/>
        </w:rPr>
        <w:t>para</w:t>
      </w:r>
      <w:r w:rsidR="001B3767" w:rsidRPr="000466A8">
        <w:rPr>
          <w:lang w:val="es-ES"/>
        </w:rPr>
        <w:t xml:space="preserve"> la prest</w:t>
      </w:r>
      <w:r w:rsidR="001B3767" w:rsidRPr="000466A8">
        <w:rPr>
          <w:lang w:val="es-ES"/>
        </w:rPr>
        <w:t>a</w:t>
      </w:r>
      <w:r w:rsidR="001B3767" w:rsidRPr="000466A8">
        <w:rPr>
          <w:lang w:val="es-ES"/>
        </w:rPr>
        <w:t>ción de asistencia sanitaria primaria y especializada a trabajadores y pensioni</w:t>
      </w:r>
      <w:r w:rsidR="001B3767" w:rsidRPr="000466A8">
        <w:rPr>
          <w:lang w:val="es-ES"/>
        </w:rPr>
        <w:t>s</w:t>
      </w:r>
      <w:r w:rsidR="001B3767" w:rsidRPr="000466A8">
        <w:rPr>
          <w:lang w:val="es-ES"/>
        </w:rPr>
        <w:t xml:space="preserve">tas </w:t>
      </w:r>
      <w:r w:rsidR="008D66D4" w:rsidRPr="000466A8">
        <w:rPr>
          <w:lang w:val="es-ES"/>
        </w:rPr>
        <w:t>y</w:t>
      </w:r>
      <w:r w:rsidR="001B3767" w:rsidRPr="000466A8">
        <w:rPr>
          <w:lang w:val="es-ES"/>
        </w:rPr>
        <w:t xml:space="preserve"> sus familiares, de la CUN, Universidad de Navarra, Instituto Científico y Tecnológico de Navarra SA y Fundación para la Investigación Médica Aplic</w:t>
      </w:r>
      <w:r w:rsidR="001B3767" w:rsidRPr="000466A8">
        <w:rPr>
          <w:lang w:val="es-ES"/>
        </w:rPr>
        <w:t>a</w:t>
      </w:r>
      <w:r w:rsidR="001B3767" w:rsidRPr="000466A8">
        <w:rPr>
          <w:lang w:val="es-ES"/>
        </w:rPr>
        <w:t>da</w:t>
      </w:r>
      <w:r w:rsidR="00780690">
        <w:rPr>
          <w:lang w:val="es-ES"/>
        </w:rPr>
        <w:t xml:space="preserve"> se firmó el 3 de febrero de 2012 para un periodo de cuatro años, hasta </w:t>
      </w:r>
      <w:r w:rsidR="001B3767" w:rsidRPr="000466A8">
        <w:rPr>
          <w:lang w:val="es-ES"/>
        </w:rPr>
        <w:t>el 31 de diciembre de 2015.</w:t>
      </w:r>
    </w:p>
    <w:p w:rsidR="00780690" w:rsidRDefault="000466A8" w:rsidP="006D43A7">
      <w:pPr>
        <w:pStyle w:val="texto"/>
        <w:rPr>
          <w:lang w:val="es-ES"/>
        </w:rPr>
      </w:pPr>
      <w:r>
        <w:rPr>
          <w:lang w:val="es-ES"/>
        </w:rPr>
        <w:t xml:space="preserve">El gasto por dicha prestación ascendió a </w:t>
      </w:r>
      <w:r w:rsidR="001B3767" w:rsidRPr="006D43A7">
        <w:rPr>
          <w:lang w:val="es-ES"/>
        </w:rPr>
        <w:t>5.106.112 en 2014, de los que se contabilizaron 9.</w:t>
      </w:r>
      <w:r w:rsidR="008D66D4">
        <w:rPr>
          <w:lang w:val="es-ES"/>
        </w:rPr>
        <w:t>353</w:t>
      </w:r>
      <w:r w:rsidR="001B3767" w:rsidRPr="006D43A7">
        <w:rPr>
          <w:lang w:val="es-ES"/>
        </w:rPr>
        <w:t xml:space="preserve"> euros menos. </w:t>
      </w:r>
      <w:r>
        <w:rPr>
          <w:lang w:val="es-ES"/>
        </w:rPr>
        <w:t>Se factura en relación con e</w:t>
      </w:r>
      <w:r w:rsidRPr="006D43A7">
        <w:rPr>
          <w:lang w:val="es-ES"/>
        </w:rPr>
        <w:t>l número de Ta</w:t>
      </w:r>
      <w:r w:rsidRPr="006D43A7">
        <w:rPr>
          <w:lang w:val="es-ES"/>
        </w:rPr>
        <w:t>r</w:t>
      </w:r>
      <w:r w:rsidRPr="006D43A7">
        <w:rPr>
          <w:lang w:val="es-ES"/>
        </w:rPr>
        <w:t xml:space="preserve">jetas de Identificación Sanitaria </w:t>
      </w:r>
      <w:r w:rsidR="00DA7329">
        <w:rPr>
          <w:lang w:val="es-ES"/>
        </w:rPr>
        <w:t xml:space="preserve">(TIS) </w:t>
      </w:r>
      <w:r>
        <w:rPr>
          <w:lang w:val="es-ES"/>
        </w:rPr>
        <w:t xml:space="preserve">de los beneficiarios </w:t>
      </w:r>
      <w:r w:rsidR="00780690">
        <w:rPr>
          <w:lang w:val="es-ES"/>
        </w:rPr>
        <w:t>al final de cada mes, con independencia de la prestación o no de la asistencia sanitaria.</w:t>
      </w:r>
      <w:r>
        <w:rPr>
          <w:lang w:val="es-ES"/>
        </w:rPr>
        <w:t xml:space="preserve"> </w:t>
      </w:r>
      <w:r w:rsidR="001B3767" w:rsidRPr="006D43A7">
        <w:rPr>
          <w:lang w:val="es-ES"/>
        </w:rPr>
        <w:t>Los benef</w:t>
      </w:r>
      <w:r w:rsidR="001B3767" w:rsidRPr="006D43A7">
        <w:rPr>
          <w:lang w:val="es-ES"/>
        </w:rPr>
        <w:t>i</w:t>
      </w:r>
      <w:r w:rsidR="001B3767" w:rsidRPr="006D43A7">
        <w:rPr>
          <w:lang w:val="es-ES"/>
        </w:rPr>
        <w:t>ciarios de este contrato son 7.025, de los cuales 6.435 son activos.</w:t>
      </w:r>
      <w:r w:rsidRPr="000466A8">
        <w:rPr>
          <w:lang w:val="es-ES"/>
        </w:rPr>
        <w:t xml:space="preserve"> </w:t>
      </w:r>
    </w:p>
    <w:p w:rsidR="001B3767" w:rsidRDefault="000466A8" w:rsidP="006D43A7">
      <w:pPr>
        <w:pStyle w:val="texto"/>
        <w:rPr>
          <w:lang w:val="es-ES"/>
        </w:rPr>
      </w:pPr>
      <w:r>
        <w:rPr>
          <w:lang w:val="es-ES"/>
        </w:rPr>
        <w:t xml:space="preserve">El precio de 772 euros anuales por beneficiario se negoció en 2012 tomando como </w:t>
      </w:r>
      <w:r w:rsidR="001B3767" w:rsidRPr="006D43A7">
        <w:rPr>
          <w:lang w:val="es-ES"/>
        </w:rPr>
        <w:t>referencia el gasto sanitario medio por habitante en 2012, 1.016 euros.</w:t>
      </w:r>
      <w:r w:rsidR="00FF6D0B">
        <w:rPr>
          <w:lang w:val="es-ES"/>
        </w:rPr>
        <w:t xml:space="preserve"> El precio en el año 2011, en el que estaba vigente el contrato anterior, fue de 725 euros por beneficiario.</w:t>
      </w:r>
    </w:p>
    <w:p w:rsidR="00D357C8" w:rsidRDefault="00780690" w:rsidP="00D357C8">
      <w:pPr>
        <w:pStyle w:val="texto"/>
        <w:spacing w:after="120"/>
      </w:pPr>
      <w:r>
        <w:rPr>
          <w:lang w:val="es-ES"/>
        </w:rPr>
        <w:t xml:space="preserve">El SNS-O calculó un </w:t>
      </w:r>
      <w:r w:rsidR="00D357C8">
        <w:rPr>
          <w:lang w:val="es-ES"/>
        </w:rPr>
        <w:t xml:space="preserve">gasto medio </w:t>
      </w:r>
      <w:r w:rsidR="005B7666">
        <w:rPr>
          <w:lang w:val="es-ES"/>
        </w:rPr>
        <w:t xml:space="preserve">de 1.016 </w:t>
      </w:r>
      <w:r>
        <w:rPr>
          <w:lang w:val="es-ES"/>
        </w:rPr>
        <w:t>euros</w:t>
      </w:r>
      <w:r w:rsidR="005B7666">
        <w:rPr>
          <w:lang w:val="es-ES"/>
        </w:rPr>
        <w:t xml:space="preserve"> </w:t>
      </w:r>
      <w:r w:rsidR="00D357C8">
        <w:t>dividiendo, entre los hab</w:t>
      </w:r>
      <w:r w:rsidR="00D357C8">
        <w:t>i</w:t>
      </w:r>
      <w:r w:rsidR="00D357C8">
        <w:t>tantes a 1 de enero de 2011, el gasto previsto para 2012</w:t>
      </w:r>
      <w:r w:rsidR="00DA7329">
        <w:t>, excepto las inversi</w:t>
      </w:r>
      <w:r w:rsidR="00DA7329">
        <w:t>o</w:t>
      </w:r>
      <w:r w:rsidR="00DA7329">
        <w:t>nes,</w:t>
      </w:r>
      <w:r w:rsidR="00D357C8">
        <w:t xml:space="preserve"> en</w:t>
      </w:r>
      <w:r w:rsidR="00A670BD">
        <w:t xml:space="preserve"> los programas presupuestarios de</w:t>
      </w:r>
      <w:r w:rsidR="00D357C8">
        <w:t xml:space="preserve"> asistencia especializada, prestaciones </w:t>
      </w:r>
      <w:r w:rsidR="00D357C8">
        <w:lastRenderedPageBreak/>
        <w:t>y conciertos, salud mental y una media anual de inversiones ejecutadas en el periodo 2001-2012 (20,64 millones). También se incluyó el gasto de atención primaria en el año 2010 correspondiente a cinco centros de Salud de la Coma</w:t>
      </w:r>
      <w:r w:rsidR="00D357C8">
        <w:t>r</w:t>
      </w:r>
      <w:r w:rsidR="00D357C8">
        <w:t>ca de Pamplona</w:t>
      </w:r>
      <w:r w:rsidR="00DA7329">
        <w:t xml:space="preserve"> con una media de 12.116 TIS</w:t>
      </w:r>
      <w:r w:rsidR="00D357C8">
        <w:t xml:space="preserve">. </w:t>
      </w:r>
      <w:r>
        <w:t xml:space="preserve">Consideramos que </w:t>
      </w:r>
      <w:r w:rsidR="00DF6500">
        <w:t xml:space="preserve">estos criterios no </w:t>
      </w:r>
      <w:r w:rsidR="00DA7329">
        <w:t xml:space="preserve">son representativos </w:t>
      </w:r>
      <w:r w:rsidR="00DF6500">
        <w:t xml:space="preserve">para </w:t>
      </w:r>
      <w:r w:rsidR="00837378">
        <w:t xml:space="preserve">establecer </w:t>
      </w:r>
      <w:r w:rsidR="00326C2A">
        <w:t>un coste</w:t>
      </w:r>
      <w:r w:rsidR="00837378">
        <w:t xml:space="preserve"> </w:t>
      </w:r>
      <w:r w:rsidR="00826DCD">
        <w:t>de referencia para</w:t>
      </w:r>
      <w:r w:rsidR="00DF6500">
        <w:t xml:space="preserve"> negociar un precio por prestación de asistencia sanitaria a los beneficiarios del contrato con la CUN.</w:t>
      </w:r>
      <w:r>
        <w:t xml:space="preserve"> </w:t>
      </w:r>
    </w:p>
    <w:p w:rsidR="001B3767" w:rsidRPr="000466A8"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0466A8">
        <w:rPr>
          <w:rFonts w:cs="Arial"/>
        </w:rPr>
        <w:t xml:space="preserve">Encargo a </w:t>
      </w:r>
      <w:proofErr w:type="spellStart"/>
      <w:r w:rsidRPr="000466A8">
        <w:rPr>
          <w:rFonts w:cs="Arial"/>
        </w:rPr>
        <w:t>Nasuvinsa</w:t>
      </w:r>
      <w:proofErr w:type="spellEnd"/>
      <w:r w:rsidRPr="000466A8">
        <w:rPr>
          <w:rFonts w:cs="Arial"/>
        </w:rPr>
        <w:t xml:space="preserve"> para estudios e informes técnicos</w:t>
      </w:r>
      <w:r w:rsidR="000466A8" w:rsidRPr="000466A8">
        <w:rPr>
          <w:rFonts w:cs="Arial"/>
        </w:rPr>
        <w:t xml:space="preserve">: en los meses de </w:t>
      </w:r>
      <w:r w:rsidRPr="000466A8">
        <w:rPr>
          <w:lang w:val="es-ES"/>
        </w:rPr>
        <w:t xml:space="preserve">enero y febrero </w:t>
      </w:r>
      <w:r w:rsidR="000466A8">
        <w:rPr>
          <w:lang w:val="es-ES"/>
        </w:rPr>
        <w:t xml:space="preserve">en los que se </w:t>
      </w:r>
      <w:r w:rsidRPr="000466A8">
        <w:rPr>
          <w:lang w:val="es-ES"/>
        </w:rPr>
        <w:t>continuó prestando el servicio a pesar de no estar aprobado el encargo se facturaron 31.467 euros</w:t>
      </w:r>
      <w:r w:rsidR="000466A8">
        <w:rPr>
          <w:lang w:val="es-ES"/>
        </w:rPr>
        <w:t xml:space="preserve">, </w:t>
      </w:r>
      <w:r w:rsidR="00096EB3">
        <w:rPr>
          <w:lang w:val="es-ES"/>
        </w:rPr>
        <w:t>manteniendo</w:t>
      </w:r>
      <w:r w:rsidRPr="000466A8">
        <w:rPr>
          <w:lang w:val="es-ES"/>
        </w:rPr>
        <w:t xml:space="preserve"> los precios de 2013, superiores a los aprobados para el ejercicio 2014, lo que supuso un gasto de 8.726 euros superior al correspondiente a la facturación con precios de 2014. </w:t>
      </w:r>
    </w:p>
    <w:p w:rsidR="001B3767" w:rsidRPr="005954CD" w:rsidRDefault="000466A8"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5954CD">
        <w:rPr>
          <w:rFonts w:cs="Arial"/>
          <w:lang w:val="es-ES"/>
        </w:rPr>
        <w:t xml:space="preserve">Las </w:t>
      </w:r>
      <w:r w:rsidR="00A26C7F">
        <w:rPr>
          <w:rFonts w:cs="Arial"/>
        </w:rPr>
        <w:t xml:space="preserve">dietas </w:t>
      </w:r>
      <w:r w:rsidR="001B3767" w:rsidRPr="005954CD">
        <w:rPr>
          <w:rFonts w:cs="Arial"/>
        </w:rPr>
        <w:t xml:space="preserve">del </w:t>
      </w:r>
      <w:r w:rsidR="00254F2E" w:rsidRPr="005954CD">
        <w:rPr>
          <w:rFonts w:cs="Arial"/>
        </w:rPr>
        <w:t xml:space="preserve">Consejo Social </w:t>
      </w:r>
      <w:r w:rsidR="001B3767" w:rsidRPr="005954CD">
        <w:rPr>
          <w:rFonts w:cs="Arial"/>
        </w:rPr>
        <w:t xml:space="preserve">de Política </w:t>
      </w:r>
      <w:r w:rsidR="00254F2E" w:rsidRPr="005954CD">
        <w:rPr>
          <w:rFonts w:cs="Arial"/>
        </w:rPr>
        <w:t xml:space="preserve">Territorial </w:t>
      </w:r>
      <w:r w:rsidR="001B3767" w:rsidRPr="005954CD">
        <w:rPr>
          <w:rFonts w:cs="Arial"/>
        </w:rPr>
        <w:t>y comisiones específ</w:t>
      </w:r>
      <w:r w:rsidR="001B3767" w:rsidRPr="005954CD">
        <w:rPr>
          <w:rFonts w:cs="Arial"/>
        </w:rPr>
        <w:t>i</w:t>
      </w:r>
      <w:r w:rsidR="001B3767" w:rsidRPr="005954CD">
        <w:rPr>
          <w:rFonts w:cs="Arial"/>
        </w:rPr>
        <w:t>cas</w:t>
      </w:r>
      <w:r w:rsidR="005954CD" w:rsidRPr="005954CD">
        <w:rPr>
          <w:rFonts w:cs="Arial"/>
        </w:rPr>
        <w:t xml:space="preserve"> se </w:t>
      </w:r>
      <w:r w:rsidR="002700EA" w:rsidRPr="005954CD">
        <w:rPr>
          <w:lang w:val="es-ES"/>
        </w:rPr>
        <w:t>han pagado</w:t>
      </w:r>
      <w:r w:rsidR="001B3767" w:rsidRPr="005954CD">
        <w:rPr>
          <w:lang w:val="es-ES"/>
        </w:rPr>
        <w:t xml:space="preserve"> a los precios aproba</w:t>
      </w:r>
      <w:r w:rsidR="002700EA" w:rsidRPr="005954CD">
        <w:rPr>
          <w:lang w:val="es-ES"/>
        </w:rPr>
        <w:t xml:space="preserve">dos y se justifica la </w:t>
      </w:r>
      <w:r w:rsidR="001B3767" w:rsidRPr="005954CD">
        <w:rPr>
          <w:lang w:val="es-ES"/>
        </w:rPr>
        <w:t xml:space="preserve">asistencia mediante el acta correspondiente. </w:t>
      </w:r>
      <w:r w:rsidR="002700EA" w:rsidRPr="005954CD">
        <w:rPr>
          <w:lang w:val="es-ES"/>
        </w:rPr>
        <w:t>N</w:t>
      </w:r>
      <w:r w:rsidR="001B3767" w:rsidRPr="005954CD">
        <w:rPr>
          <w:lang w:val="es-ES"/>
        </w:rPr>
        <w:t>o se practica reten</w:t>
      </w:r>
      <w:r w:rsidR="002700EA" w:rsidRPr="005954CD">
        <w:rPr>
          <w:lang w:val="es-ES"/>
        </w:rPr>
        <w:t>ción de IRPF</w:t>
      </w:r>
      <w:r w:rsidR="005954CD">
        <w:rPr>
          <w:lang w:val="es-ES"/>
        </w:rPr>
        <w:t xml:space="preserve"> </w:t>
      </w:r>
      <w:r w:rsidR="002700EA" w:rsidRPr="005954CD">
        <w:rPr>
          <w:lang w:val="es-ES"/>
        </w:rPr>
        <w:t>en el pago de las di</w:t>
      </w:r>
      <w:r w:rsidR="002700EA" w:rsidRPr="005954CD">
        <w:rPr>
          <w:lang w:val="es-ES"/>
        </w:rPr>
        <w:t>e</w:t>
      </w:r>
      <w:r w:rsidR="002700EA" w:rsidRPr="005954CD">
        <w:rPr>
          <w:lang w:val="es-ES"/>
        </w:rPr>
        <w:t>tas</w:t>
      </w:r>
    </w:p>
    <w:p w:rsidR="001B3767" w:rsidRPr="005954CD"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5954CD">
        <w:rPr>
          <w:rFonts w:cs="Arial"/>
        </w:rPr>
        <w:t>Gestión de centros de in</w:t>
      </w:r>
      <w:r w:rsidR="005954CD" w:rsidRPr="005954CD">
        <w:rPr>
          <w:rFonts w:cs="Arial"/>
        </w:rPr>
        <w:t xml:space="preserve">terpretación de la </w:t>
      </w:r>
      <w:r w:rsidR="00254F2E" w:rsidRPr="005954CD">
        <w:rPr>
          <w:rFonts w:cs="Arial"/>
        </w:rPr>
        <w:t>naturaleza</w:t>
      </w:r>
      <w:r w:rsidR="005954CD" w:rsidRPr="005954CD">
        <w:rPr>
          <w:rFonts w:cs="Arial"/>
        </w:rPr>
        <w:t xml:space="preserve">: en este concepto se incluyen los </w:t>
      </w:r>
      <w:r w:rsidR="00A26C7F">
        <w:rPr>
          <w:lang w:val="es-ES"/>
        </w:rPr>
        <w:t xml:space="preserve">servicios </w:t>
      </w:r>
      <w:r w:rsidRPr="005954CD">
        <w:rPr>
          <w:lang w:val="es-ES"/>
        </w:rPr>
        <w:t>contratados con un veterinario, encomendados en ejerc</w:t>
      </w:r>
      <w:r w:rsidRPr="005954CD">
        <w:rPr>
          <w:lang w:val="es-ES"/>
        </w:rPr>
        <w:t>i</w:t>
      </w:r>
      <w:r w:rsidRPr="005954CD">
        <w:rPr>
          <w:lang w:val="es-ES"/>
        </w:rPr>
        <w:t>cios ante</w:t>
      </w:r>
      <w:r w:rsidR="009D7D32" w:rsidRPr="005954CD">
        <w:rPr>
          <w:lang w:val="es-ES"/>
        </w:rPr>
        <w:t>riores a la sociedad pública GAN, por 18.149 euros</w:t>
      </w:r>
      <w:r w:rsidRPr="005954CD">
        <w:rPr>
          <w:lang w:val="es-ES"/>
        </w:rPr>
        <w:t xml:space="preserve">. </w:t>
      </w:r>
    </w:p>
    <w:p w:rsidR="001B3767" w:rsidRDefault="001B3767" w:rsidP="006D43A7">
      <w:pPr>
        <w:pStyle w:val="texto"/>
        <w:rPr>
          <w:lang w:val="es-ES"/>
        </w:rPr>
      </w:pPr>
      <w:r w:rsidRPr="006D43A7">
        <w:rPr>
          <w:lang w:val="es-ES"/>
        </w:rPr>
        <w:t>Se solicitaron tres ofertas, de las que solamente acept</w:t>
      </w:r>
      <w:r w:rsidR="009D7D32">
        <w:rPr>
          <w:lang w:val="es-ES"/>
        </w:rPr>
        <w:t>ó</w:t>
      </w:r>
      <w:r w:rsidRPr="006D43A7">
        <w:rPr>
          <w:lang w:val="es-ES"/>
        </w:rPr>
        <w:t xml:space="preserve"> uno. No se establec</w:t>
      </w:r>
      <w:r w:rsidR="005954CD">
        <w:rPr>
          <w:lang w:val="es-ES"/>
        </w:rPr>
        <w:t>ió el precio, se indicó</w:t>
      </w:r>
      <w:r w:rsidRPr="006D43A7">
        <w:rPr>
          <w:lang w:val="es-ES"/>
        </w:rPr>
        <w:t xml:space="preserve"> que las horas </w:t>
      </w:r>
      <w:r w:rsidR="005954CD">
        <w:rPr>
          <w:lang w:val="es-ES"/>
        </w:rPr>
        <w:t>fueran</w:t>
      </w:r>
      <w:r w:rsidRPr="006D43A7">
        <w:rPr>
          <w:lang w:val="es-ES"/>
        </w:rPr>
        <w:t xml:space="preserve"> las de convenio, se fij</w:t>
      </w:r>
      <w:r w:rsidR="005954CD">
        <w:rPr>
          <w:lang w:val="es-ES"/>
        </w:rPr>
        <w:t>ó</w:t>
      </w:r>
      <w:r w:rsidRPr="006D43A7">
        <w:rPr>
          <w:lang w:val="es-ES"/>
        </w:rPr>
        <w:t xml:space="preserve"> la fecha de inicio y se </w:t>
      </w:r>
      <w:r w:rsidR="005954CD">
        <w:rPr>
          <w:lang w:val="es-ES"/>
        </w:rPr>
        <w:t>indicó</w:t>
      </w:r>
      <w:r w:rsidRPr="006D43A7">
        <w:rPr>
          <w:lang w:val="es-ES"/>
        </w:rPr>
        <w:t xml:space="preserve"> al adjudicatario que </w:t>
      </w:r>
      <w:r w:rsidR="00326C2A">
        <w:rPr>
          <w:lang w:val="es-ES"/>
        </w:rPr>
        <w:t>“</w:t>
      </w:r>
      <w:r w:rsidRPr="006D43A7">
        <w:rPr>
          <w:lang w:val="es-ES"/>
        </w:rPr>
        <w:t>factur</w:t>
      </w:r>
      <w:r w:rsidR="005954CD">
        <w:rPr>
          <w:lang w:val="es-ES"/>
        </w:rPr>
        <w:t>ara</w:t>
      </w:r>
      <w:r w:rsidRPr="006D43A7">
        <w:rPr>
          <w:lang w:val="es-ES"/>
        </w:rPr>
        <w:t xml:space="preserve"> </w:t>
      </w:r>
      <w:r w:rsidR="00326C2A">
        <w:rPr>
          <w:lang w:val="es-ES"/>
        </w:rPr>
        <w:t xml:space="preserve">los servicios prestados </w:t>
      </w:r>
      <w:r w:rsidRPr="006D43A7">
        <w:rPr>
          <w:lang w:val="es-ES"/>
        </w:rPr>
        <w:t>como considere conveniente</w:t>
      </w:r>
      <w:r w:rsidR="00326C2A">
        <w:rPr>
          <w:lang w:val="es-ES"/>
        </w:rPr>
        <w:t>”</w:t>
      </w:r>
      <w:r w:rsidRPr="006D43A7">
        <w:rPr>
          <w:lang w:val="es-ES"/>
        </w:rPr>
        <w:t>. No se detallan las horas en las facturas presentadas.</w:t>
      </w:r>
    </w:p>
    <w:p w:rsidR="001B3767" w:rsidRPr="005954CD" w:rsidRDefault="00A5490E" w:rsidP="005954CD">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5954CD">
        <w:rPr>
          <w:rFonts w:cs="Arial"/>
        </w:rPr>
        <w:t>E</w:t>
      </w:r>
      <w:r w:rsidR="008720D8" w:rsidRPr="005954CD">
        <w:rPr>
          <w:rFonts w:cs="Arial"/>
        </w:rPr>
        <w:t xml:space="preserve">l mantenimiento de espacios naturales </w:t>
      </w:r>
      <w:r w:rsidRPr="005954CD">
        <w:rPr>
          <w:rFonts w:cs="Arial"/>
        </w:rPr>
        <w:t>es parte de un encargo cuyo pres</w:t>
      </w:r>
      <w:r w:rsidRPr="005954CD">
        <w:rPr>
          <w:rFonts w:cs="Arial"/>
        </w:rPr>
        <w:t>u</w:t>
      </w:r>
      <w:r w:rsidRPr="005954CD">
        <w:rPr>
          <w:rFonts w:cs="Arial"/>
        </w:rPr>
        <w:t xml:space="preserve">puesto total asciende a </w:t>
      </w:r>
      <w:r w:rsidR="00146DB8" w:rsidRPr="005954CD">
        <w:rPr>
          <w:rFonts w:cs="Arial"/>
        </w:rPr>
        <w:t>321.239</w:t>
      </w:r>
      <w:r w:rsidR="001B3767" w:rsidRPr="005954CD">
        <w:rPr>
          <w:rFonts w:cs="Arial"/>
        </w:rPr>
        <w:t xml:space="preserve"> euros, del cual el 62,52 por ciento </w:t>
      </w:r>
      <w:r w:rsidR="00146DB8" w:rsidRPr="005954CD">
        <w:rPr>
          <w:rFonts w:cs="Arial"/>
        </w:rPr>
        <w:t>GAN contr</w:t>
      </w:r>
      <w:r w:rsidR="00146DB8" w:rsidRPr="005954CD">
        <w:rPr>
          <w:rFonts w:cs="Arial"/>
        </w:rPr>
        <w:t>a</w:t>
      </w:r>
      <w:r w:rsidR="00146DB8" w:rsidRPr="005954CD">
        <w:rPr>
          <w:rFonts w:cs="Arial"/>
        </w:rPr>
        <w:t>tó</w:t>
      </w:r>
      <w:r w:rsidR="001B3767" w:rsidRPr="005954CD">
        <w:rPr>
          <w:rFonts w:cs="Arial"/>
        </w:rPr>
        <w:t xml:space="preserve"> con terceros.</w:t>
      </w:r>
      <w:r w:rsidRPr="005954CD">
        <w:rPr>
          <w:rFonts w:cs="Arial"/>
        </w:rPr>
        <w:t xml:space="preserve"> </w:t>
      </w:r>
    </w:p>
    <w:p w:rsidR="008720D8" w:rsidRDefault="008720D8" w:rsidP="008720D8">
      <w:pPr>
        <w:pStyle w:val="texto"/>
        <w:rPr>
          <w:lang w:val="es-ES"/>
        </w:rPr>
      </w:pPr>
      <w:r>
        <w:rPr>
          <w:lang w:val="es-ES"/>
        </w:rPr>
        <w:t>El Departamento de Desarrollo Rural, Medio Ambiente y Administración Local justificó que la sociedad pública contrate con terceros más del 50 por ciento del encargo en la mayor eficacia en la prestación del conjunto del serv</w:t>
      </w:r>
      <w:r>
        <w:rPr>
          <w:lang w:val="es-ES"/>
        </w:rPr>
        <w:t>i</w:t>
      </w:r>
      <w:r>
        <w:rPr>
          <w:lang w:val="es-ES"/>
        </w:rPr>
        <w:t>cio al englobar todas las tareas bajo el mismo encargo, en la coordinación eje</w:t>
      </w:r>
      <w:r>
        <w:rPr>
          <w:lang w:val="es-ES"/>
        </w:rPr>
        <w:t>r</w:t>
      </w:r>
      <w:r>
        <w:rPr>
          <w:lang w:val="es-ES"/>
        </w:rPr>
        <w:t>cida por la sociedad pública y en la mayor eficiencia conseguida al contratar con empresas de la zona.</w:t>
      </w:r>
    </w:p>
    <w:p w:rsidR="00A670BD" w:rsidRPr="006D43A7" w:rsidRDefault="00A670BD" w:rsidP="00A670BD">
      <w:pPr>
        <w:pStyle w:val="texto"/>
        <w:rPr>
          <w:lang w:val="es-ES"/>
        </w:rPr>
      </w:pPr>
      <w:r>
        <w:rPr>
          <w:lang w:val="es-ES"/>
        </w:rPr>
        <w:t>Recomendamos:</w:t>
      </w:r>
    </w:p>
    <w:p w:rsidR="00A670BD" w:rsidRPr="00846868"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Tramitar los contratos y los encargos a sociedades públicas con la antel</w:t>
      </w:r>
      <w:r w:rsidRPr="00846868">
        <w:rPr>
          <w:rFonts w:cs="Arial"/>
          <w:i/>
        </w:rPr>
        <w:t>a</w:t>
      </w:r>
      <w:r w:rsidRPr="00846868">
        <w:rPr>
          <w:rFonts w:cs="Arial"/>
          <w:i/>
        </w:rPr>
        <w:t>ción suficiente para que el nuevo adjudicatario comience la prestación una vez finalizada la duración total del contrato o encargo.</w:t>
      </w:r>
    </w:p>
    <w:p w:rsidR="00A670BD" w:rsidRPr="00846868"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i/>
        </w:rPr>
      </w:pPr>
      <w:r w:rsidRPr="00846868">
        <w:rPr>
          <w:rFonts w:cs="Arial"/>
          <w:i/>
        </w:rPr>
        <w:t>Justificar de forma detallada y exhaustiva la mayor economicidad, eficie</w:t>
      </w:r>
      <w:r w:rsidRPr="00846868">
        <w:rPr>
          <w:rFonts w:cs="Arial"/>
          <w:i/>
        </w:rPr>
        <w:t>n</w:t>
      </w:r>
      <w:r w:rsidRPr="00846868">
        <w:rPr>
          <w:rFonts w:cs="Arial"/>
          <w:i/>
        </w:rPr>
        <w:t>cia y eficacia del encargo a sociedades públicas frente a la alternativa de la contratación de los servicios en el mercado.</w:t>
      </w:r>
    </w:p>
    <w:p w:rsidR="00A670BD"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846868">
        <w:rPr>
          <w:rFonts w:cs="Arial"/>
          <w:i/>
        </w:rPr>
        <w:lastRenderedPageBreak/>
        <w:t>Analizar la situación en que los empleados de las sociedades públicas prestan sus servicios de forma permanente en dependencias de la Administr</w:t>
      </w:r>
      <w:r w:rsidRPr="00846868">
        <w:rPr>
          <w:rFonts w:cs="Arial"/>
          <w:i/>
        </w:rPr>
        <w:t>a</w:t>
      </w:r>
      <w:r w:rsidRPr="00846868">
        <w:rPr>
          <w:rFonts w:cs="Arial"/>
          <w:i/>
        </w:rPr>
        <w:t xml:space="preserve">ción y bajo </w:t>
      </w:r>
      <w:r>
        <w:rPr>
          <w:rFonts w:cs="Arial"/>
          <w:i/>
        </w:rPr>
        <w:t>su dirección</w:t>
      </w:r>
      <w:r w:rsidRPr="00846868">
        <w:rPr>
          <w:rFonts w:cs="Arial"/>
          <w:i/>
        </w:rPr>
        <w:t xml:space="preserve"> funcional, evaluando si se trata de necesidades estru</w:t>
      </w:r>
      <w:r w:rsidRPr="00846868">
        <w:rPr>
          <w:rFonts w:cs="Arial"/>
          <w:i/>
        </w:rPr>
        <w:t>c</w:t>
      </w:r>
      <w:r w:rsidRPr="00846868">
        <w:rPr>
          <w:rFonts w:cs="Arial"/>
          <w:i/>
        </w:rPr>
        <w:t>turales que deberán ser atendidas por personal de la administración.</w:t>
      </w:r>
    </w:p>
    <w:p w:rsidR="00A670BD" w:rsidRPr="00846868"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Pr>
          <w:rFonts w:cs="Arial"/>
          <w:i/>
        </w:rPr>
        <w:t xml:space="preserve">Firmar </w:t>
      </w:r>
      <w:r w:rsidRPr="00D6376F">
        <w:rPr>
          <w:rFonts w:cs="Arial"/>
          <w:i/>
        </w:rPr>
        <w:t xml:space="preserve">acuerdos de colaboración entre el Departamento de Educación y las </w:t>
      </w:r>
      <w:proofErr w:type="spellStart"/>
      <w:r w:rsidRPr="00D6376F">
        <w:rPr>
          <w:rFonts w:cs="Arial"/>
          <w:i/>
        </w:rPr>
        <w:t>Apymas</w:t>
      </w:r>
      <w:proofErr w:type="spellEnd"/>
      <w:r w:rsidRPr="00D6376F">
        <w:rPr>
          <w:rFonts w:cs="Arial"/>
          <w:i/>
        </w:rPr>
        <w:t xml:space="preserve"> para el transporte escolar organizado por éstas para alumnos de enseñanzas postobligatorias no universitarias.</w:t>
      </w:r>
    </w:p>
    <w:p w:rsidR="00A670BD" w:rsidRPr="005954CD"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5954CD">
        <w:rPr>
          <w:rFonts w:cs="Arial"/>
          <w:i/>
        </w:rPr>
        <w:t>Implantar un sistema para el cálculo del coste de l</w:t>
      </w:r>
      <w:r>
        <w:rPr>
          <w:rFonts w:cs="Arial"/>
          <w:i/>
        </w:rPr>
        <w:t xml:space="preserve">os servicios, entre ellos las prestaciones </w:t>
      </w:r>
      <w:r w:rsidRPr="005954CD">
        <w:rPr>
          <w:rFonts w:cs="Arial"/>
          <w:i/>
        </w:rPr>
        <w:t>sanitarias.</w:t>
      </w:r>
    </w:p>
    <w:p w:rsidR="00A670BD" w:rsidRPr="005954CD"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5954CD">
        <w:rPr>
          <w:rFonts w:cs="Arial"/>
          <w:i/>
        </w:rPr>
        <w:t>Dado que el contrato con la CUN vence el 31 de diciembre de 2015, anal</w:t>
      </w:r>
      <w:r w:rsidRPr="005954CD">
        <w:rPr>
          <w:rFonts w:cs="Arial"/>
          <w:i/>
        </w:rPr>
        <w:t>i</w:t>
      </w:r>
      <w:r w:rsidRPr="005954CD">
        <w:rPr>
          <w:rFonts w:cs="Arial"/>
          <w:i/>
        </w:rPr>
        <w:t>zar si el servicio debe prestarse con medios ajenos</w:t>
      </w:r>
      <w:r>
        <w:rPr>
          <w:rFonts w:cs="Arial"/>
          <w:i/>
        </w:rPr>
        <w:t>, en cuyo caso debe prom</w:t>
      </w:r>
      <w:r>
        <w:rPr>
          <w:rFonts w:cs="Arial"/>
          <w:i/>
        </w:rPr>
        <w:t>o</w:t>
      </w:r>
      <w:r>
        <w:rPr>
          <w:rFonts w:cs="Arial"/>
          <w:i/>
        </w:rPr>
        <w:t>verse concurrencia,</w:t>
      </w:r>
      <w:r w:rsidRPr="005954CD">
        <w:rPr>
          <w:rFonts w:cs="Arial"/>
          <w:i/>
        </w:rPr>
        <w:t xml:space="preserve"> o puede asumirlo la red pública.</w:t>
      </w:r>
    </w:p>
    <w:p w:rsidR="00A670BD" w:rsidRPr="00B45926" w:rsidRDefault="00A670BD" w:rsidP="00A670BD">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cs="Arial"/>
          <w:i/>
        </w:rPr>
      </w:pPr>
      <w:r w:rsidRPr="00B45926">
        <w:rPr>
          <w:rFonts w:cs="Arial"/>
          <w:i/>
        </w:rPr>
        <w:t>Practicar retención de IRPF en el pago de dietas del Consejo Social de Política Territorial y de las Comisiones específicas.</w:t>
      </w:r>
    </w:p>
    <w:p w:rsidR="002964EA" w:rsidRPr="00E26A4B" w:rsidRDefault="002964EA" w:rsidP="002964EA">
      <w:pPr>
        <w:pStyle w:val="atitulo3"/>
        <w:spacing w:before="320" w:after="200"/>
        <w:rPr>
          <w:rFonts w:cs="Arial"/>
        </w:rPr>
      </w:pPr>
      <w:r w:rsidRPr="00E26A4B">
        <w:rPr>
          <w:rFonts w:cs="Arial"/>
        </w:rPr>
        <w:t>VII.</w:t>
      </w:r>
      <w:r>
        <w:rPr>
          <w:rFonts w:cs="Arial"/>
        </w:rPr>
        <w:t>4</w:t>
      </w:r>
      <w:r w:rsidRPr="00E26A4B">
        <w:rPr>
          <w:rFonts w:cs="Arial"/>
        </w:rPr>
        <w:t>.</w:t>
      </w:r>
      <w:r>
        <w:rPr>
          <w:rFonts w:cs="Arial"/>
        </w:rPr>
        <w:t>2</w:t>
      </w:r>
      <w:r w:rsidRPr="00E26A4B">
        <w:rPr>
          <w:rFonts w:cs="Arial"/>
        </w:rPr>
        <w:t xml:space="preserve"> </w:t>
      </w:r>
      <w:r>
        <w:rPr>
          <w:rFonts w:cs="Arial"/>
        </w:rPr>
        <w:t>Contratación administrativa</w:t>
      </w:r>
    </w:p>
    <w:p w:rsidR="002964EA" w:rsidRPr="006D43A7" w:rsidRDefault="002964EA" w:rsidP="002964EA">
      <w:pPr>
        <w:pStyle w:val="texto"/>
        <w:spacing w:after="200"/>
        <w:rPr>
          <w:lang w:val="es-ES"/>
        </w:rPr>
      </w:pPr>
      <w:r w:rsidRPr="006D43A7">
        <w:rPr>
          <w:lang w:val="es-ES"/>
        </w:rPr>
        <w:t>Se h</w:t>
      </w:r>
      <w:r>
        <w:rPr>
          <w:lang w:val="es-ES"/>
        </w:rPr>
        <w:t>a</w:t>
      </w:r>
      <w:r w:rsidRPr="006D43A7">
        <w:rPr>
          <w:lang w:val="es-ES"/>
        </w:rPr>
        <w:t xml:space="preserve"> fiscalizado </w:t>
      </w:r>
      <w:r>
        <w:rPr>
          <w:lang w:val="es-ES"/>
        </w:rPr>
        <w:t xml:space="preserve">el siguiente acuerdo marco adjudicado </w:t>
      </w:r>
      <w:r w:rsidRPr="006D43A7">
        <w:rPr>
          <w:lang w:val="es-ES"/>
        </w:rPr>
        <w:t>en 2014:</w:t>
      </w:r>
    </w:p>
    <w:tbl>
      <w:tblPr>
        <w:tblW w:w="8725" w:type="dxa"/>
        <w:jc w:val="center"/>
        <w:tblBorders>
          <w:top w:val="single" w:sz="4" w:space="0" w:color="auto"/>
          <w:bottom w:val="single" w:sz="4" w:space="0" w:color="auto"/>
        </w:tblBorders>
        <w:tblLayout w:type="fixed"/>
        <w:tblLook w:val="01E0" w:firstRow="1" w:lastRow="1" w:firstColumn="1" w:lastColumn="1" w:noHBand="0" w:noVBand="0"/>
      </w:tblPr>
      <w:tblGrid>
        <w:gridCol w:w="1327"/>
        <w:gridCol w:w="2248"/>
        <w:gridCol w:w="1219"/>
        <w:gridCol w:w="1651"/>
        <w:gridCol w:w="1111"/>
        <w:gridCol w:w="1169"/>
      </w:tblGrid>
      <w:tr w:rsidR="002964EA" w:rsidRPr="007A01AC" w:rsidTr="002964EA">
        <w:trPr>
          <w:trHeight w:val="340"/>
          <w:jc w:val="center"/>
        </w:trPr>
        <w:tc>
          <w:tcPr>
            <w:tcW w:w="1327"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left"/>
              <w:rPr>
                <w:sz w:val="16"/>
                <w:szCs w:val="16"/>
              </w:rPr>
            </w:pPr>
            <w:r w:rsidRPr="007A01AC">
              <w:rPr>
                <w:sz w:val="16"/>
                <w:szCs w:val="16"/>
              </w:rPr>
              <w:t xml:space="preserve">Organismo </w:t>
            </w:r>
          </w:p>
          <w:p w:rsidR="002964EA" w:rsidRPr="007A01AC" w:rsidRDefault="002964EA" w:rsidP="002964EA">
            <w:pPr>
              <w:pStyle w:val="cuadroCabe"/>
              <w:jc w:val="left"/>
              <w:rPr>
                <w:sz w:val="16"/>
                <w:szCs w:val="16"/>
              </w:rPr>
            </w:pPr>
            <w:r w:rsidRPr="007A01AC">
              <w:rPr>
                <w:sz w:val="16"/>
                <w:szCs w:val="16"/>
              </w:rPr>
              <w:t>contratante</w:t>
            </w:r>
          </w:p>
        </w:tc>
        <w:tc>
          <w:tcPr>
            <w:tcW w:w="2248"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left"/>
              <w:rPr>
                <w:sz w:val="16"/>
                <w:szCs w:val="16"/>
              </w:rPr>
            </w:pPr>
            <w:r w:rsidRPr="007A01AC">
              <w:rPr>
                <w:sz w:val="16"/>
                <w:szCs w:val="16"/>
              </w:rPr>
              <w:t>Objeto</w:t>
            </w:r>
          </w:p>
        </w:tc>
        <w:tc>
          <w:tcPr>
            <w:tcW w:w="1219"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left"/>
              <w:rPr>
                <w:sz w:val="16"/>
                <w:szCs w:val="16"/>
              </w:rPr>
            </w:pPr>
            <w:r w:rsidRPr="007A01AC">
              <w:rPr>
                <w:sz w:val="16"/>
                <w:szCs w:val="16"/>
              </w:rPr>
              <w:t>Tipo</w:t>
            </w:r>
          </w:p>
        </w:tc>
        <w:tc>
          <w:tcPr>
            <w:tcW w:w="1651"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left"/>
              <w:rPr>
                <w:sz w:val="16"/>
                <w:szCs w:val="16"/>
              </w:rPr>
            </w:pPr>
            <w:r w:rsidRPr="007A01AC">
              <w:rPr>
                <w:sz w:val="16"/>
                <w:szCs w:val="16"/>
              </w:rPr>
              <w:t>Procedimiento</w:t>
            </w:r>
          </w:p>
        </w:tc>
        <w:tc>
          <w:tcPr>
            <w:tcW w:w="1111"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right"/>
              <w:rPr>
                <w:sz w:val="16"/>
                <w:szCs w:val="16"/>
              </w:rPr>
            </w:pPr>
            <w:r w:rsidRPr="007A01AC">
              <w:rPr>
                <w:sz w:val="16"/>
                <w:szCs w:val="16"/>
              </w:rPr>
              <w:t xml:space="preserve">Precio licitación </w:t>
            </w:r>
          </w:p>
        </w:tc>
        <w:tc>
          <w:tcPr>
            <w:tcW w:w="1169" w:type="dxa"/>
            <w:tcBorders>
              <w:top w:val="single" w:sz="4" w:space="0" w:color="auto"/>
              <w:bottom w:val="single" w:sz="4" w:space="0" w:color="auto"/>
            </w:tcBorders>
            <w:shd w:val="clear" w:color="auto" w:fill="8DB3E2" w:themeFill="text2" w:themeFillTint="66"/>
            <w:vAlign w:val="center"/>
            <w:hideMark/>
          </w:tcPr>
          <w:p w:rsidR="002964EA" w:rsidRPr="007A01AC" w:rsidRDefault="002964EA" w:rsidP="002964EA">
            <w:pPr>
              <w:pStyle w:val="cuadroCabe"/>
              <w:jc w:val="right"/>
              <w:rPr>
                <w:sz w:val="16"/>
                <w:szCs w:val="16"/>
              </w:rPr>
            </w:pPr>
            <w:r w:rsidRPr="007A01AC">
              <w:rPr>
                <w:sz w:val="16"/>
                <w:szCs w:val="16"/>
              </w:rPr>
              <w:t xml:space="preserve">Importe </w:t>
            </w:r>
          </w:p>
          <w:p w:rsidR="002964EA" w:rsidRPr="007A01AC" w:rsidRDefault="002964EA" w:rsidP="002964EA">
            <w:pPr>
              <w:pStyle w:val="cuadroCabe"/>
              <w:jc w:val="right"/>
              <w:rPr>
                <w:sz w:val="16"/>
                <w:szCs w:val="16"/>
              </w:rPr>
            </w:pPr>
            <w:proofErr w:type="spellStart"/>
            <w:proofErr w:type="gramStart"/>
            <w:r w:rsidRPr="007A01AC">
              <w:rPr>
                <w:sz w:val="16"/>
                <w:szCs w:val="16"/>
              </w:rPr>
              <w:t>adjudic</w:t>
            </w:r>
            <w:proofErr w:type="spellEnd"/>
            <w:proofErr w:type="gramEnd"/>
            <w:r w:rsidRPr="007A01AC">
              <w:rPr>
                <w:sz w:val="16"/>
                <w:szCs w:val="16"/>
              </w:rPr>
              <w:t xml:space="preserve">. </w:t>
            </w:r>
          </w:p>
        </w:tc>
      </w:tr>
      <w:tr w:rsidR="002964EA" w:rsidRPr="007A01AC" w:rsidTr="002964EA">
        <w:trPr>
          <w:trHeight w:val="227"/>
          <w:jc w:val="center"/>
        </w:trPr>
        <w:tc>
          <w:tcPr>
            <w:tcW w:w="1327" w:type="dxa"/>
          </w:tcPr>
          <w:p w:rsidR="002964EA" w:rsidRPr="007A01AC" w:rsidRDefault="002964EA" w:rsidP="002964EA">
            <w:pPr>
              <w:pStyle w:val="cuatexto"/>
              <w:jc w:val="left"/>
              <w:rPr>
                <w:sz w:val="18"/>
                <w:szCs w:val="18"/>
              </w:rPr>
            </w:pPr>
            <w:r>
              <w:rPr>
                <w:sz w:val="18"/>
                <w:szCs w:val="18"/>
              </w:rPr>
              <w:t>SNS-O</w:t>
            </w:r>
          </w:p>
        </w:tc>
        <w:tc>
          <w:tcPr>
            <w:tcW w:w="2248" w:type="dxa"/>
            <w:tcBorders>
              <w:top w:val="single" w:sz="2" w:space="0" w:color="auto"/>
              <w:bottom w:val="single" w:sz="2" w:space="0" w:color="auto"/>
            </w:tcBorders>
            <w:vAlign w:val="center"/>
          </w:tcPr>
          <w:p w:rsidR="002964EA" w:rsidRPr="007A01AC" w:rsidRDefault="002964EA" w:rsidP="002964EA">
            <w:pPr>
              <w:pStyle w:val="cuatexto"/>
              <w:jc w:val="left"/>
              <w:rPr>
                <w:sz w:val="18"/>
                <w:szCs w:val="18"/>
              </w:rPr>
            </w:pPr>
            <w:r w:rsidRPr="007A01AC">
              <w:rPr>
                <w:sz w:val="18"/>
                <w:szCs w:val="18"/>
              </w:rPr>
              <w:t>Acuerdo marco consu</w:t>
            </w:r>
            <w:r>
              <w:rPr>
                <w:sz w:val="18"/>
                <w:szCs w:val="18"/>
              </w:rPr>
              <w:t>l</w:t>
            </w:r>
            <w:r w:rsidRPr="007A01AC">
              <w:rPr>
                <w:sz w:val="18"/>
                <w:szCs w:val="18"/>
              </w:rPr>
              <w:t>tas, intervenciones listas espera</w:t>
            </w:r>
          </w:p>
        </w:tc>
        <w:tc>
          <w:tcPr>
            <w:tcW w:w="1219" w:type="dxa"/>
            <w:tcBorders>
              <w:top w:val="single" w:sz="2" w:space="0" w:color="auto"/>
              <w:bottom w:val="single" w:sz="2" w:space="0" w:color="auto"/>
            </w:tcBorders>
            <w:vAlign w:val="center"/>
          </w:tcPr>
          <w:p w:rsidR="002964EA" w:rsidRPr="007A01AC" w:rsidRDefault="002964EA" w:rsidP="002964EA">
            <w:pPr>
              <w:pStyle w:val="cuatexto"/>
              <w:ind w:right="-80"/>
              <w:jc w:val="left"/>
              <w:rPr>
                <w:sz w:val="18"/>
                <w:szCs w:val="18"/>
              </w:rPr>
            </w:pPr>
            <w:r w:rsidRPr="007A01AC">
              <w:rPr>
                <w:sz w:val="18"/>
                <w:szCs w:val="18"/>
              </w:rPr>
              <w:t>Asistencia</w:t>
            </w:r>
          </w:p>
        </w:tc>
        <w:tc>
          <w:tcPr>
            <w:tcW w:w="1651" w:type="dxa"/>
            <w:tcBorders>
              <w:top w:val="single" w:sz="2" w:space="0" w:color="auto"/>
              <w:bottom w:val="single" w:sz="2" w:space="0" w:color="auto"/>
            </w:tcBorders>
            <w:vAlign w:val="center"/>
          </w:tcPr>
          <w:p w:rsidR="002964EA" w:rsidRPr="007A01AC" w:rsidRDefault="002964EA" w:rsidP="002964EA">
            <w:pPr>
              <w:pStyle w:val="cuatexto"/>
              <w:jc w:val="left"/>
              <w:rPr>
                <w:sz w:val="18"/>
                <w:szCs w:val="18"/>
              </w:rPr>
            </w:pPr>
            <w:r w:rsidRPr="007A01AC">
              <w:rPr>
                <w:sz w:val="18"/>
                <w:szCs w:val="18"/>
              </w:rPr>
              <w:t>Abierto</w:t>
            </w:r>
          </w:p>
        </w:tc>
        <w:tc>
          <w:tcPr>
            <w:tcW w:w="1111" w:type="dxa"/>
            <w:tcBorders>
              <w:top w:val="single" w:sz="2" w:space="0" w:color="auto"/>
              <w:bottom w:val="single" w:sz="2" w:space="0" w:color="auto"/>
            </w:tcBorders>
            <w:vAlign w:val="center"/>
          </w:tcPr>
          <w:p w:rsidR="002964EA" w:rsidRPr="007A01AC" w:rsidRDefault="002964EA" w:rsidP="002964EA">
            <w:pPr>
              <w:pStyle w:val="cuatexto"/>
              <w:jc w:val="right"/>
              <w:rPr>
                <w:sz w:val="18"/>
                <w:szCs w:val="18"/>
              </w:rPr>
            </w:pPr>
            <w:r w:rsidRPr="007A01AC">
              <w:rPr>
                <w:sz w:val="18"/>
                <w:szCs w:val="18"/>
              </w:rPr>
              <w:t>2.970.000</w:t>
            </w:r>
          </w:p>
        </w:tc>
        <w:tc>
          <w:tcPr>
            <w:tcW w:w="1169" w:type="dxa"/>
            <w:tcBorders>
              <w:top w:val="single" w:sz="2" w:space="0" w:color="auto"/>
              <w:bottom w:val="single" w:sz="2" w:space="0" w:color="auto"/>
            </w:tcBorders>
            <w:vAlign w:val="center"/>
          </w:tcPr>
          <w:p w:rsidR="002964EA" w:rsidRPr="007A01AC" w:rsidRDefault="002964EA" w:rsidP="002964EA">
            <w:pPr>
              <w:pStyle w:val="cuatexto"/>
              <w:jc w:val="right"/>
              <w:rPr>
                <w:sz w:val="18"/>
                <w:szCs w:val="18"/>
              </w:rPr>
            </w:pPr>
            <w:r w:rsidRPr="007A01AC">
              <w:rPr>
                <w:sz w:val="18"/>
                <w:szCs w:val="18"/>
              </w:rPr>
              <w:t>2.970.000</w:t>
            </w:r>
          </w:p>
        </w:tc>
      </w:tr>
    </w:tbl>
    <w:p w:rsidR="002964EA" w:rsidRPr="006D43A7" w:rsidRDefault="002964EA" w:rsidP="002964EA">
      <w:pPr>
        <w:pStyle w:val="texto"/>
        <w:spacing w:before="240" w:after="120"/>
        <w:rPr>
          <w:lang w:val="es-ES"/>
        </w:rPr>
      </w:pPr>
      <w:r w:rsidRPr="006D43A7">
        <w:rPr>
          <w:lang w:val="es-ES"/>
        </w:rPr>
        <w:t xml:space="preserve">En general, </w:t>
      </w:r>
      <w:r w:rsidR="00A670BD">
        <w:rPr>
          <w:lang w:val="es-ES"/>
        </w:rPr>
        <w:t>el acuerdo marco para la contratación de prestación sanitaria de consultas, procedimientos diagnósticos y terapéuticos e intervenciones quirú</w:t>
      </w:r>
      <w:r w:rsidR="00A670BD">
        <w:rPr>
          <w:lang w:val="es-ES"/>
        </w:rPr>
        <w:t>r</w:t>
      </w:r>
      <w:r w:rsidR="00A670BD">
        <w:rPr>
          <w:lang w:val="es-ES"/>
        </w:rPr>
        <w:t>gicas resultantes de listas de espera, se tramitó conforme a la Ley Foral de Co</w:t>
      </w:r>
      <w:r w:rsidR="00A670BD">
        <w:rPr>
          <w:lang w:val="es-ES"/>
        </w:rPr>
        <w:t>n</w:t>
      </w:r>
      <w:r w:rsidR="00A670BD">
        <w:rPr>
          <w:lang w:val="es-ES"/>
        </w:rPr>
        <w:t xml:space="preserve">tratos Públicos y </w:t>
      </w:r>
      <w:r w:rsidRPr="006D43A7">
        <w:rPr>
          <w:lang w:val="es-ES"/>
        </w:rPr>
        <w:t xml:space="preserve">los gastos derivados de los </w:t>
      </w:r>
      <w:r w:rsidR="00A670BD">
        <w:rPr>
          <w:lang w:val="es-ES"/>
        </w:rPr>
        <w:t xml:space="preserve">contratos adjudicados al amparo de dicho acuerdo </w:t>
      </w:r>
      <w:r w:rsidRPr="006D43A7">
        <w:rPr>
          <w:lang w:val="es-ES"/>
        </w:rPr>
        <w:t>están aprobados, fiscalizados, justificados y correctamente co</w:t>
      </w:r>
      <w:r w:rsidRPr="006D43A7">
        <w:rPr>
          <w:lang w:val="es-ES"/>
        </w:rPr>
        <w:t>n</w:t>
      </w:r>
      <w:r w:rsidRPr="006D43A7">
        <w:rPr>
          <w:lang w:val="es-ES"/>
        </w:rPr>
        <w:t xml:space="preserve">tabilizados. </w:t>
      </w:r>
    </w:p>
    <w:p w:rsidR="00A670BD" w:rsidRDefault="00A670BD" w:rsidP="00A670BD">
      <w:pPr>
        <w:pStyle w:val="texto"/>
        <w:spacing w:after="120"/>
        <w:rPr>
          <w:lang w:val="es-ES"/>
        </w:rPr>
      </w:pPr>
      <w:bookmarkStart w:id="67" w:name="_Toc427311456"/>
      <w:r w:rsidRPr="006D43A7">
        <w:rPr>
          <w:lang w:val="es-ES"/>
        </w:rPr>
        <w:t>El 26 de junio de 2013, el Gobierno de Navarra autorizó al Servicio Navarro de Salud-</w:t>
      </w:r>
      <w:proofErr w:type="spellStart"/>
      <w:r w:rsidRPr="006D43A7">
        <w:rPr>
          <w:lang w:val="es-ES"/>
        </w:rPr>
        <w:t>Osasunbidea</w:t>
      </w:r>
      <w:proofErr w:type="spellEnd"/>
      <w:r w:rsidRPr="006D43A7">
        <w:rPr>
          <w:lang w:val="es-ES"/>
        </w:rPr>
        <w:t xml:space="preserve"> la celebración de un Acuerdo Marco para la contratación de la</w:t>
      </w:r>
      <w:r>
        <w:rPr>
          <w:lang w:val="es-ES"/>
        </w:rPr>
        <w:t>s prestaciones sanitarias indicadas en el párrafo anterior.</w:t>
      </w:r>
    </w:p>
    <w:p w:rsidR="00A670BD" w:rsidRPr="006D43A7" w:rsidRDefault="00A670BD" w:rsidP="00A670BD">
      <w:pPr>
        <w:pStyle w:val="texto"/>
        <w:spacing w:after="240"/>
        <w:rPr>
          <w:lang w:val="es-ES"/>
        </w:rPr>
      </w:pPr>
      <w:r w:rsidRPr="006D43A7">
        <w:rPr>
          <w:lang w:val="es-ES"/>
        </w:rPr>
        <w:t xml:space="preserve">En septiembre de 2013 se aprobó el expediente y se dispuso la apertura del procedimiento de selección. </w:t>
      </w:r>
      <w:r>
        <w:rPr>
          <w:lang w:val="es-ES"/>
        </w:rPr>
        <w:t xml:space="preserve">Se acordó que el periodo de vigencia del acuerdo marco se iniciara en </w:t>
      </w:r>
      <w:r w:rsidRPr="006D43A7">
        <w:rPr>
          <w:lang w:val="es-ES"/>
        </w:rPr>
        <w:t xml:space="preserve">2014 y </w:t>
      </w:r>
      <w:r>
        <w:rPr>
          <w:lang w:val="es-ES"/>
        </w:rPr>
        <w:t>finalizara</w:t>
      </w:r>
      <w:r w:rsidRPr="006D43A7">
        <w:rPr>
          <w:lang w:val="es-ES"/>
        </w:rPr>
        <w:t xml:space="preserve"> el 31 de diciembre de 2016.</w:t>
      </w:r>
      <w:r>
        <w:rPr>
          <w:lang w:val="es-ES"/>
        </w:rPr>
        <w:t xml:space="preserve"> El valor e</w:t>
      </w:r>
      <w:r>
        <w:rPr>
          <w:lang w:val="es-ES"/>
        </w:rPr>
        <w:t>s</w:t>
      </w:r>
      <w:r>
        <w:rPr>
          <w:lang w:val="es-ES"/>
        </w:rPr>
        <w:t>timado, el precio de adjudicación y el gasto en 2014 fueron:</w:t>
      </w:r>
    </w:p>
    <w:tbl>
      <w:tblPr>
        <w:tblW w:w="874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86"/>
        <w:gridCol w:w="2334"/>
        <w:gridCol w:w="1892"/>
        <w:gridCol w:w="1631"/>
      </w:tblGrid>
      <w:tr w:rsidR="00A670BD" w:rsidRPr="008415C6" w:rsidTr="00A670BD">
        <w:trPr>
          <w:trHeight w:val="312"/>
          <w:jc w:val="center"/>
        </w:trPr>
        <w:tc>
          <w:tcPr>
            <w:tcW w:w="2886" w:type="dxa"/>
            <w:tcBorders>
              <w:bottom w:val="single" w:sz="4" w:space="0" w:color="auto"/>
            </w:tcBorders>
            <w:shd w:val="clear" w:color="auto" w:fill="8DB3E2" w:themeFill="text2" w:themeFillTint="66"/>
            <w:vAlign w:val="center"/>
          </w:tcPr>
          <w:p w:rsidR="00A670BD" w:rsidRPr="002A4DE2" w:rsidRDefault="00A670BD" w:rsidP="00A670BD">
            <w:pPr>
              <w:pStyle w:val="cuadroCabe"/>
              <w:jc w:val="left"/>
            </w:pPr>
          </w:p>
        </w:tc>
        <w:tc>
          <w:tcPr>
            <w:tcW w:w="2334" w:type="dxa"/>
            <w:tcBorders>
              <w:bottom w:val="single" w:sz="4" w:space="0" w:color="auto"/>
            </w:tcBorders>
            <w:shd w:val="clear" w:color="auto" w:fill="8DB3E2" w:themeFill="text2" w:themeFillTint="66"/>
            <w:vAlign w:val="center"/>
          </w:tcPr>
          <w:p w:rsidR="00A670BD" w:rsidRDefault="00A670BD" w:rsidP="00A670BD">
            <w:pPr>
              <w:pStyle w:val="cuadroCabe"/>
              <w:jc w:val="right"/>
            </w:pPr>
            <w:r w:rsidRPr="002A4DE2">
              <w:t>Valor estimado</w:t>
            </w:r>
          </w:p>
          <w:p w:rsidR="00A670BD" w:rsidRPr="002A4DE2" w:rsidRDefault="00A670BD" w:rsidP="00A670BD">
            <w:pPr>
              <w:pStyle w:val="cuadroCabe"/>
              <w:jc w:val="right"/>
            </w:pPr>
            <w:r w:rsidRPr="002A4DE2">
              <w:t xml:space="preserve"> 2014</w:t>
            </w:r>
          </w:p>
        </w:tc>
        <w:tc>
          <w:tcPr>
            <w:tcW w:w="1892" w:type="dxa"/>
            <w:tcBorders>
              <w:bottom w:val="single" w:sz="4" w:space="0" w:color="auto"/>
            </w:tcBorders>
            <w:shd w:val="clear" w:color="auto" w:fill="8DB3E2" w:themeFill="text2" w:themeFillTint="66"/>
            <w:vAlign w:val="center"/>
          </w:tcPr>
          <w:p w:rsidR="00A670BD" w:rsidRDefault="00A670BD" w:rsidP="00A670BD">
            <w:pPr>
              <w:pStyle w:val="cuadroCabe"/>
              <w:jc w:val="right"/>
            </w:pPr>
            <w:r w:rsidRPr="005C1416">
              <w:t>Precio adjudicado</w:t>
            </w:r>
          </w:p>
          <w:p w:rsidR="00A670BD" w:rsidRPr="005C1416" w:rsidRDefault="00A670BD" w:rsidP="00A670BD">
            <w:pPr>
              <w:pStyle w:val="cuadroCabe"/>
              <w:jc w:val="right"/>
            </w:pPr>
            <w:r>
              <w:t>para 2014</w:t>
            </w:r>
          </w:p>
        </w:tc>
        <w:tc>
          <w:tcPr>
            <w:tcW w:w="1631" w:type="dxa"/>
            <w:tcBorders>
              <w:bottom w:val="single" w:sz="4" w:space="0" w:color="auto"/>
            </w:tcBorders>
            <w:shd w:val="clear" w:color="auto" w:fill="8DB3E2" w:themeFill="text2" w:themeFillTint="66"/>
            <w:vAlign w:val="center"/>
          </w:tcPr>
          <w:p w:rsidR="00A670BD" w:rsidRPr="002A4DE2" w:rsidRDefault="00A670BD" w:rsidP="00A670BD">
            <w:pPr>
              <w:pStyle w:val="cuadroCabe"/>
              <w:jc w:val="right"/>
            </w:pPr>
            <w:r w:rsidRPr="002A4DE2">
              <w:t>Gasto 2014</w:t>
            </w:r>
          </w:p>
        </w:tc>
      </w:tr>
      <w:tr w:rsidR="00A670BD" w:rsidRPr="002A4DE2" w:rsidTr="00A670BD">
        <w:trPr>
          <w:trHeight w:val="227"/>
          <w:jc w:val="center"/>
        </w:trPr>
        <w:tc>
          <w:tcPr>
            <w:tcW w:w="2886" w:type="dxa"/>
            <w:tcBorders>
              <w:bottom w:val="single" w:sz="2" w:space="0" w:color="auto"/>
            </w:tcBorders>
            <w:shd w:val="clear" w:color="auto" w:fill="auto"/>
            <w:vAlign w:val="center"/>
          </w:tcPr>
          <w:p w:rsidR="00A670BD" w:rsidRPr="002A4DE2" w:rsidRDefault="00A670BD" w:rsidP="00A670BD">
            <w:pPr>
              <w:pStyle w:val="cuatexto"/>
              <w:jc w:val="left"/>
              <w:rPr>
                <w:szCs w:val="20"/>
              </w:rPr>
            </w:pPr>
            <w:r w:rsidRPr="002A4DE2">
              <w:rPr>
                <w:szCs w:val="20"/>
              </w:rPr>
              <w:t>Asistencia san</w:t>
            </w:r>
            <w:r>
              <w:rPr>
                <w:szCs w:val="20"/>
              </w:rPr>
              <w:t>it</w:t>
            </w:r>
            <w:r w:rsidRPr="002A4DE2">
              <w:rPr>
                <w:szCs w:val="20"/>
              </w:rPr>
              <w:t xml:space="preserve">aria </w:t>
            </w:r>
          </w:p>
        </w:tc>
        <w:tc>
          <w:tcPr>
            <w:tcW w:w="2334" w:type="dxa"/>
            <w:tcBorders>
              <w:bottom w:val="single" w:sz="2" w:space="0" w:color="auto"/>
            </w:tcBorders>
            <w:shd w:val="clear" w:color="auto" w:fill="auto"/>
            <w:vAlign w:val="center"/>
          </w:tcPr>
          <w:p w:rsidR="00A670BD" w:rsidRPr="002A4DE2" w:rsidRDefault="00A670BD" w:rsidP="00A670BD">
            <w:pPr>
              <w:pStyle w:val="cuatexto"/>
              <w:jc w:val="right"/>
              <w:rPr>
                <w:szCs w:val="20"/>
              </w:rPr>
            </w:pPr>
            <w:r w:rsidRPr="002A4DE2">
              <w:rPr>
                <w:szCs w:val="20"/>
              </w:rPr>
              <w:t>2.400.000</w:t>
            </w:r>
          </w:p>
        </w:tc>
        <w:tc>
          <w:tcPr>
            <w:tcW w:w="1892" w:type="dxa"/>
            <w:tcBorders>
              <w:bottom w:val="single" w:sz="2" w:space="0" w:color="auto"/>
            </w:tcBorders>
            <w:shd w:val="clear" w:color="auto" w:fill="auto"/>
            <w:vAlign w:val="center"/>
          </w:tcPr>
          <w:p w:rsidR="00A670BD" w:rsidRPr="005C1416" w:rsidRDefault="00A670BD" w:rsidP="00A670BD">
            <w:pPr>
              <w:pStyle w:val="cuatexto"/>
              <w:jc w:val="right"/>
              <w:rPr>
                <w:szCs w:val="20"/>
              </w:rPr>
            </w:pPr>
            <w:r w:rsidRPr="005C1416">
              <w:rPr>
                <w:szCs w:val="20"/>
              </w:rPr>
              <w:t>2.400.000</w:t>
            </w:r>
          </w:p>
        </w:tc>
        <w:tc>
          <w:tcPr>
            <w:tcW w:w="1631" w:type="dxa"/>
            <w:tcBorders>
              <w:bottom w:val="single" w:sz="2" w:space="0" w:color="auto"/>
            </w:tcBorders>
            <w:vAlign w:val="center"/>
          </w:tcPr>
          <w:p w:rsidR="00A670BD" w:rsidRPr="002A4DE2" w:rsidRDefault="00A670BD" w:rsidP="00A670BD">
            <w:pPr>
              <w:pStyle w:val="cuatexto"/>
              <w:jc w:val="right"/>
              <w:rPr>
                <w:szCs w:val="20"/>
              </w:rPr>
            </w:pPr>
            <w:r w:rsidRPr="002A4DE2">
              <w:rPr>
                <w:szCs w:val="20"/>
              </w:rPr>
              <w:t>1.372.256(1)</w:t>
            </w:r>
          </w:p>
        </w:tc>
      </w:tr>
      <w:tr w:rsidR="00A670BD" w:rsidRPr="002A4DE2" w:rsidTr="00A670BD">
        <w:trPr>
          <w:trHeight w:val="227"/>
          <w:jc w:val="center"/>
        </w:trPr>
        <w:tc>
          <w:tcPr>
            <w:tcW w:w="2886" w:type="dxa"/>
            <w:tcBorders>
              <w:top w:val="single" w:sz="2" w:space="0" w:color="auto"/>
              <w:bottom w:val="single" w:sz="4" w:space="0" w:color="auto"/>
            </w:tcBorders>
            <w:shd w:val="clear" w:color="auto" w:fill="auto"/>
            <w:vAlign w:val="center"/>
          </w:tcPr>
          <w:p w:rsidR="00A670BD" w:rsidRPr="002A4DE2" w:rsidRDefault="00A670BD" w:rsidP="00A670BD">
            <w:pPr>
              <w:pStyle w:val="cuatexto"/>
              <w:jc w:val="left"/>
              <w:rPr>
                <w:szCs w:val="20"/>
              </w:rPr>
            </w:pPr>
            <w:r w:rsidRPr="002A4DE2">
              <w:rPr>
                <w:szCs w:val="20"/>
              </w:rPr>
              <w:t>Prótesis qui</w:t>
            </w:r>
            <w:r>
              <w:rPr>
                <w:szCs w:val="20"/>
              </w:rPr>
              <w:t>r</w:t>
            </w:r>
            <w:r w:rsidRPr="002A4DE2">
              <w:rPr>
                <w:szCs w:val="20"/>
              </w:rPr>
              <w:t>úrgicas</w:t>
            </w:r>
          </w:p>
        </w:tc>
        <w:tc>
          <w:tcPr>
            <w:tcW w:w="2334" w:type="dxa"/>
            <w:tcBorders>
              <w:top w:val="single" w:sz="2" w:space="0" w:color="auto"/>
              <w:bottom w:val="single" w:sz="4" w:space="0" w:color="auto"/>
            </w:tcBorders>
            <w:shd w:val="clear" w:color="auto" w:fill="auto"/>
            <w:vAlign w:val="center"/>
          </w:tcPr>
          <w:p w:rsidR="00A670BD" w:rsidRPr="002A4DE2" w:rsidRDefault="00A670BD" w:rsidP="00A670BD">
            <w:pPr>
              <w:pStyle w:val="cuatexto"/>
              <w:jc w:val="right"/>
              <w:rPr>
                <w:szCs w:val="20"/>
              </w:rPr>
            </w:pPr>
            <w:r w:rsidRPr="002A4DE2">
              <w:rPr>
                <w:szCs w:val="20"/>
              </w:rPr>
              <w:t>570.000</w:t>
            </w:r>
          </w:p>
        </w:tc>
        <w:tc>
          <w:tcPr>
            <w:tcW w:w="1892" w:type="dxa"/>
            <w:tcBorders>
              <w:top w:val="single" w:sz="2" w:space="0" w:color="auto"/>
              <w:bottom w:val="single" w:sz="4" w:space="0" w:color="auto"/>
            </w:tcBorders>
            <w:shd w:val="clear" w:color="auto" w:fill="auto"/>
            <w:vAlign w:val="center"/>
          </w:tcPr>
          <w:p w:rsidR="00A670BD" w:rsidRPr="005C1416" w:rsidRDefault="00A670BD" w:rsidP="00A670BD">
            <w:pPr>
              <w:pStyle w:val="cuatexto"/>
              <w:jc w:val="right"/>
              <w:rPr>
                <w:szCs w:val="20"/>
              </w:rPr>
            </w:pPr>
            <w:r w:rsidRPr="005C1416">
              <w:rPr>
                <w:szCs w:val="20"/>
              </w:rPr>
              <w:t>570.000</w:t>
            </w:r>
          </w:p>
        </w:tc>
        <w:tc>
          <w:tcPr>
            <w:tcW w:w="1631" w:type="dxa"/>
            <w:tcBorders>
              <w:top w:val="single" w:sz="2" w:space="0" w:color="auto"/>
              <w:bottom w:val="single" w:sz="4" w:space="0" w:color="auto"/>
            </w:tcBorders>
            <w:vAlign w:val="center"/>
          </w:tcPr>
          <w:p w:rsidR="00A670BD" w:rsidRPr="002A4DE2" w:rsidRDefault="00A670BD" w:rsidP="00A670BD">
            <w:pPr>
              <w:pStyle w:val="cuatexto"/>
              <w:jc w:val="right"/>
              <w:rPr>
                <w:szCs w:val="20"/>
              </w:rPr>
            </w:pPr>
            <w:r w:rsidRPr="002A4DE2">
              <w:rPr>
                <w:szCs w:val="20"/>
              </w:rPr>
              <w:t>164.861</w:t>
            </w:r>
          </w:p>
        </w:tc>
      </w:tr>
      <w:tr w:rsidR="00A670BD" w:rsidRPr="008415C6" w:rsidTr="00A670BD">
        <w:trPr>
          <w:trHeight w:val="284"/>
          <w:jc w:val="center"/>
        </w:trPr>
        <w:tc>
          <w:tcPr>
            <w:tcW w:w="2886" w:type="dxa"/>
            <w:tcBorders>
              <w:top w:val="single" w:sz="4" w:space="0" w:color="auto"/>
              <w:bottom w:val="single" w:sz="4" w:space="0" w:color="auto"/>
            </w:tcBorders>
            <w:shd w:val="clear" w:color="auto" w:fill="8DB3E2" w:themeFill="text2" w:themeFillTint="66"/>
            <w:vAlign w:val="center"/>
          </w:tcPr>
          <w:p w:rsidR="00A670BD" w:rsidRPr="002A4DE2" w:rsidRDefault="00A670BD" w:rsidP="00A670BD">
            <w:pPr>
              <w:pStyle w:val="cuadroCabe"/>
              <w:jc w:val="left"/>
            </w:pPr>
            <w:r w:rsidRPr="002A4DE2">
              <w:t xml:space="preserve">Total </w:t>
            </w:r>
          </w:p>
        </w:tc>
        <w:tc>
          <w:tcPr>
            <w:tcW w:w="2334" w:type="dxa"/>
            <w:tcBorders>
              <w:top w:val="single" w:sz="4" w:space="0" w:color="auto"/>
              <w:bottom w:val="single" w:sz="4" w:space="0" w:color="auto"/>
            </w:tcBorders>
            <w:shd w:val="clear" w:color="auto" w:fill="8DB3E2" w:themeFill="text2" w:themeFillTint="66"/>
            <w:vAlign w:val="center"/>
          </w:tcPr>
          <w:p w:rsidR="00A670BD" w:rsidRPr="002A4DE2" w:rsidRDefault="00A670BD" w:rsidP="00A670BD">
            <w:pPr>
              <w:pStyle w:val="cuadroCabe"/>
              <w:jc w:val="right"/>
            </w:pPr>
            <w:r w:rsidRPr="002A4DE2">
              <w:fldChar w:fldCharType="begin"/>
            </w:r>
            <w:r w:rsidRPr="002A4DE2">
              <w:instrText xml:space="preserve"> =SUM(ABOVE) </w:instrText>
            </w:r>
            <w:r w:rsidRPr="002A4DE2">
              <w:fldChar w:fldCharType="separate"/>
            </w:r>
            <w:r w:rsidRPr="002A4DE2">
              <w:t>2.970.000</w:t>
            </w:r>
            <w:r w:rsidRPr="002A4DE2">
              <w:fldChar w:fldCharType="end"/>
            </w:r>
          </w:p>
        </w:tc>
        <w:tc>
          <w:tcPr>
            <w:tcW w:w="1892" w:type="dxa"/>
            <w:tcBorders>
              <w:top w:val="single" w:sz="4" w:space="0" w:color="auto"/>
              <w:bottom w:val="single" w:sz="4" w:space="0" w:color="auto"/>
            </w:tcBorders>
            <w:shd w:val="clear" w:color="auto" w:fill="8DB3E2" w:themeFill="text2" w:themeFillTint="66"/>
            <w:vAlign w:val="center"/>
          </w:tcPr>
          <w:p w:rsidR="00A670BD" w:rsidRPr="005C1416" w:rsidRDefault="00A670BD" w:rsidP="00A670BD">
            <w:pPr>
              <w:pStyle w:val="cuadroCabe"/>
              <w:jc w:val="right"/>
            </w:pPr>
            <w:r w:rsidRPr="005C1416">
              <w:t>2.970.000</w:t>
            </w:r>
          </w:p>
        </w:tc>
        <w:tc>
          <w:tcPr>
            <w:tcW w:w="1631" w:type="dxa"/>
            <w:tcBorders>
              <w:top w:val="single" w:sz="4" w:space="0" w:color="auto"/>
              <w:bottom w:val="single" w:sz="4" w:space="0" w:color="auto"/>
            </w:tcBorders>
            <w:shd w:val="clear" w:color="auto" w:fill="8DB3E2" w:themeFill="text2" w:themeFillTint="66"/>
            <w:vAlign w:val="center"/>
          </w:tcPr>
          <w:p w:rsidR="00A670BD" w:rsidRPr="002A4DE2" w:rsidRDefault="00A670BD" w:rsidP="00A670BD">
            <w:pPr>
              <w:pStyle w:val="cuadroCabe"/>
              <w:jc w:val="right"/>
            </w:pPr>
            <w:r w:rsidRPr="002A4DE2">
              <w:t>1.537.117</w:t>
            </w:r>
          </w:p>
        </w:tc>
      </w:tr>
    </w:tbl>
    <w:p w:rsidR="00A670BD" w:rsidRPr="00CB6F69" w:rsidRDefault="00A670BD" w:rsidP="00A670BD">
      <w:pPr>
        <w:pStyle w:val="texto"/>
        <w:numPr>
          <w:ilvl w:val="0"/>
          <w:numId w:val="10"/>
        </w:numPr>
        <w:tabs>
          <w:tab w:val="clear" w:pos="2835"/>
          <w:tab w:val="clear" w:pos="3969"/>
          <w:tab w:val="left" w:pos="210"/>
        </w:tabs>
        <w:spacing w:before="80" w:after="0"/>
        <w:ind w:left="283" w:hanging="255"/>
        <w:rPr>
          <w:rFonts w:ascii="Arial Narrow" w:hAnsi="Arial Narrow"/>
          <w:spacing w:val="2"/>
          <w:sz w:val="17"/>
          <w:szCs w:val="17"/>
        </w:rPr>
      </w:pPr>
      <w:r w:rsidRPr="00CB6F69">
        <w:rPr>
          <w:rFonts w:ascii="Arial Narrow" w:hAnsi="Arial Narrow"/>
          <w:spacing w:val="2"/>
          <w:sz w:val="17"/>
          <w:szCs w:val="17"/>
        </w:rPr>
        <w:t>Se incluyen 28.449 de asistencia sanitaria a los beneficiarios de uso especial. El gasto corresponde al periodo abril-diciembre de 2014</w:t>
      </w:r>
    </w:p>
    <w:p w:rsidR="00A670BD" w:rsidRPr="006D43A7" w:rsidRDefault="00A670BD" w:rsidP="00A670BD">
      <w:pPr>
        <w:pStyle w:val="texto"/>
        <w:spacing w:after="180"/>
        <w:rPr>
          <w:lang w:val="es-ES"/>
        </w:rPr>
      </w:pPr>
      <w:r>
        <w:rPr>
          <w:lang w:val="es-ES"/>
        </w:rPr>
        <w:lastRenderedPageBreak/>
        <w:t>Se recibió</w:t>
      </w:r>
      <w:r w:rsidRPr="006D43A7">
        <w:rPr>
          <w:lang w:val="es-ES"/>
        </w:rPr>
        <w:t xml:space="preserve"> una única propuesta presentada conjuntamente al 50 por ciento por la </w:t>
      </w:r>
      <w:r>
        <w:rPr>
          <w:lang w:val="es-ES"/>
        </w:rPr>
        <w:t>C</w:t>
      </w:r>
      <w:r w:rsidRPr="006D43A7">
        <w:rPr>
          <w:lang w:val="es-ES"/>
        </w:rPr>
        <w:t>línica Universidad de Navarra y la Clínica San Miguel. El precio ofe</w:t>
      </w:r>
      <w:r w:rsidRPr="006D43A7">
        <w:rPr>
          <w:lang w:val="es-ES"/>
        </w:rPr>
        <w:t>r</w:t>
      </w:r>
      <w:r w:rsidRPr="006D43A7">
        <w:rPr>
          <w:lang w:val="es-ES"/>
        </w:rPr>
        <w:t xml:space="preserve">tado total </w:t>
      </w:r>
      <w:r>
        <w:rPr>
          <w:lang w:val="es-ES"/>
        </w:rPr>
        <w:t>fue igual al precio de licitación.</w:t>
      </w:r>
    </w:p>
    <w:p w:rsidR="00A670BD" w:rsidRPr="006D43A7" w:rsidRDefault="00A670BD" w:rsidP="00A670BD">
      <w:pPr>
        <w:pStyle w:val="texto"/>
        <w:spacing w:after="180"/>
        <w:rPr>
          <w:lang w:val="es-ES"/>
        </w:rPr>
      </w:pPr>
      <w:r>
        <w:rPr>
          <w:spacing w:val="2"/>
        </w:rPr>
        <w:t xml:space="preserve">El SNS-O comprueba que los pacientes asistidos en las </w:t>
      </w:r>
      <w:r w:rsidRPr="001C6A2D">
        <w:rPr>
          <w:spacing w:val="2"/>
        </w:rPr>
        <w:t xml:space="preserve">dos clínicas </w:t>
      </w:r>
      <w:r>
        <w:rPr>
          <w:spacing w:val="2"/>
        </w:rPr>
        <w:t xml:space="preserve">han sido autorizados, la asistencia que han recibido y el </w:t>
      </w:r>
      <w:r w:rsidRPr="006D43A7">
        <w:rPr>
          <w:lang w:val="es-ES"/>
        </w:rPr>
        <w:t>importe facturado. Hemos co</w:t>
      </w:r>
      <w:r w:rsidRPr="006D43A7">
        <w:rPr>
          <w:lang w:val="es-ES"/>
        </w:rPr>
        <w:t>m</w:t>
      </w:r>
      <w:r w:rsidRPr="006D43A7">
        <w:rPr>
          <w:lang w:val="es-ES"/>
        </w:rPr>
        <w:t>probado que los importes contabilizados están soportados en las correspondie</w:t>
      </w:r>
      <w:r w:rsidRPr="006D43A7">
        <w:rPr>
          <w:lang w:val="es-ES"/>
        </w:rPr>
        <w:t>n</w:t>
      </w:r>
      <w:r w:rsidRPr="006D43A7">
        <w:rPr>
          <w:lang w:val="es-ES"/>
        </w:rPr>
        <w:t>tes facturas. En el caso de la facturación de la clínica San Miguel hemos co</w:t>
      </w:r>
      <w:r w:rsidRPr="006D43A7">
        <w:rPr>
          <w:lang w:val="es-ES"/>
        </w:rPr>
        <w:t>m</w:t>
      </w:r>
      <w:r w:rsidRPr="006D43A7">
        <w:rPr>
          <w:lang w:val="es-ES"/>
        </w:rPr>
        <w:t xml:space="preserve">probado que las consultas, pruebas e intervenciones facturadas se corresponden con las establecidas en el Acuerdo Marco, así como que los precios facturados corresponden a los precios adjudicados. </w:t>
      </w:r>
      <w:r>
        <w:rPr>
          <w:lang w:val="es-ES"/>
        </w:rPr>
        <w:t>Esta comprobación no es posible en la CUN dado que este centro factura conjuntamente por los pacientes derivados correspondientes al concierto y al acuerdo marco.</w:t>
      </w:r>
    </w:p>
    <w:p w:rsidR="00A670BD" w:rsidRDefault="00A670BD" w:rsidP="00A670BD">
      <w:pPr>
        <w:pStyle w:val="texto"/>
        <w:spacing w:after="360"/>
        <w:rPr>
          <w:lang w:val="es-ES"/>
        </w:rPr>
      </w:pPr>
      <w:r w:rsidRPr="006D43A7">
        <w:rPr>
          <w:lang w:val="es-ES"/>
        </w:rPr>
        <w:t>Se contempla en el Acuerdo Marco la posibilidad de facturación de prótesis que, sin justificación médica, y sin estar en la relación de concierto del SNS</w:t>
      </w:r>
      <w:r>
        <w:rPr>
          <w:lang w:val="es-ES"/>
        </w:rPr>
        <w:t>-O</w:t>
      </w:r>
      <w:r w:rsidRPr="006D43A7">
        <w:rPr>
          <w:lang w:val="es-ES"/>
        </w:rPr>
        <w:t>, utilicen las clínicas en pacientes derivados por el SNS. Hemos comprobado que</w:t>
      </w:r>
      <w:r>
        <w:rPr>
          <w:lang w:val="es-ES"/>
        </w:rPr>
        <w:t>,</w:t>
      </w:r>
      <w:r w:rsidRPr="006D43A7">
        <w:rPr>
          <w:lang w:val="es-ES"/>
        </w:rPr>
        <w:t xml:space="preserve"> </w:t>
      </w:r>
      <w:r>
        <w:rPr>
          <w:lang w:val="es-ES"/>
        </w:rPr>
        <w:t>en estos casos, se ajusta el precio facturado por la clínica privada al precio de las prótesis del SNS-O.</w:t>
      </w:r>
    </w:p>
    <w:p w:rsidR="001B3767" w:rsidRPr="006F00FE" w:rsidRDefault="001B3767" w:rsidP="00EE27E6">
      <w:pPr>
        <w:pStyle w:val="atitulo2"/>
        <w:spacing w:before="280" w:after="200"/>
      </w:pPr>
      <w:bookmarkStart w:id="68" w:name="_Toc434399406"/>
      <w:r w:rsidRPr="006F00FE">
        <w:t>VII.</w:t>
      </w:r>
      <w:r>
        <w:t>5</w:t>
      </w:r>
      <w:r w:rsidRPr="006F00FE">
        <w:t>. Gastos de transferencias corrientes y de capital</w:t>
      </w:r>
      <w:bookmarkEnd w:id="67"/>
      <w:bookmarkEnd w:id="68"/>
    </w:p>
    <w:p w:rsidR="001B3767" w:rsidRPr="006D43A7" w:rsidRDefault="001B3767" w:rsidP="00EE27E6">
      <w:pPr>
        <w:pStyle w:val="texto"/>
        <w:spacing w:after="120"/>
        <w:rPr>
          <w:lang w:val="es-ES"/>
        </w:rPr>
      </w:pPr>
      <w:r w:rsidRPr="006D43A7">
        <w:rPr>
          <w:lang w:val="es-ES"/>
        </w:rPr>
        <w:t>Las transferencias corrientes concedidas en el ejercicio 2014 ascendieron a 1.386,87 millones de euros. Representan el 36 por ciento del total de obligaci</w:t>
      </w:r>
      <w:r w:rsidRPr="006D43A7">
        <w:rPr>
          <w:lang w:val="es-ES"/>
        </w:rPr>
        <w:t>o</w:t>
      </w:r>
      <w:r w:rsidRPr="006D43A7">
        <w:rPr>
          <w:lang w:val="es-ES"/>
        </w:rPr>
        <w:t>nes reconocidas en 2014. La aportación al Estado derivada del convenio ec</w:t>
      </w:r>
      <w:r w:rsidRPr="006D43A7">
        <w:rPr>
          <w:lang w:val="es-ES"/>
        </w:rPr>
        <w:t>o</w:t>
      </w:r>
      <w:r w:rsidRPr="006D43A7">
        <w:rPr>
          <w:lang w:val="es-ES"/>
        </w:rPr>
        <w:t>nómico supone el 40 por ciento del total de transferencias corrientes.</w:t>
      </w:r>
    </w:p>
    <w:p w:rsidR="001B3767" w:rsidRPr="006D43A7" w:rsidRDefault="001B3767" w:rsidP="00EE27E6">
      <w:pPr>
        <w:pStyle w:val="texto"/>
        <w:spacing w:after="120"/>
        <w:rPr>
          <w:lang w:val="es-ES"/>
        </w:rPr>
      </w:pPr>
      <w:r w:rsidRPr="006D43A7">
        <w:rPr>
          <w:lang w:val="es-ES"/>
        </w:rPr>
        <w:t xml:space="preserve">La variación de los gastos de transferencias corrientes de 2014 respecto a los de 2013 no es significativa dado que disminuyeron en un 0,02 por ciento; </w:t>
      </w:r>
      <w:r w:rsidR="00B45E93" w:rsidRPr="006D43A7">
        <w:rPr>
          <w:lang w:val="es-ES"/>
        </w:rPr>
        <w:t xml:space="preserve">no </w:t>
      </w:r>
      <w:r w:rsidRPr="006D43A7">
        <w:rPr>
          <w:lang w:val="es-ES"/>
        </w:rPr>
        <w:t>obstante, destaca el decremento de la aportación al Estado en un tres por ciento, 16 millones de euros menos, y el incremento de las trasferencias a familias y otros particulares en un ocho por ciento (entre ellas, las prestaciones farmacé</w:t>
      </w:r>
      <w:r w:rsidRPr="006D43A7">
        <w:rPr>
          <w:lang w:val="es-ES"/>
        </w:rPr>
        <w:t>u</w:t>
      </w:r>
      <w:r w:rsidRPr="006D43A7">
        <w:rPr>
          <w:lang w:val="es-ES"/>
        </w:rPr>
        <w:t>ticas que se han incrementado en un cinco por ciento).</w:t>
      </w:r>
    </w:p>
    <w:p w:rsidR="001B3767" w:rsidRPr="006D43A7" w:rsidRDefault="001B3767" w:rsidP="00EE27E6">
      <w:pPr>
        <w:pStyle w:val="texto"/>
        <w:spacing w:after="120"/>
        <w:rPr>
          <w:lang w:val="es-ES"/>
        </w:rPr>
      </w:pPr>
      <w:r w:rsidRPr="006D43A7">
        <w:rPr>
          <w:lang w:val="es-ES"/>
        </w:rPr>
        <w:t>Las transferencias de capital concedidas en 2014 ascendieron a 123,78 m</w:t>
      </w:r>
      <w:r w:rsidRPr="006D43A7">
        <w:rPr>
          <w:lang w:val="es-ES"/>
        </w:rPr>
        <w:t>i</w:t>
      </w:r>
      <w:r w:rsidRPr="006D43A7">
        <w:rPr>
          <w:lang w:val="es-ES"/>
        </w:rPr>
        <w:t>llones de euros. Suponen el tres por ciento del total de obligaciones reconoc</w:t>
      </w:r>
      <w:r w:rsidRPr="006D43A7">
        <w:rPr>
          <w:lang w:val="es-ES"/>
        </w:rPr>
        <w:t>i</w:t>
      </w:r>
      <w:r w:rsidRPr="006D43A7">
        <w:rPr>
          <w:lang w:val="es-ES"/>
        </w:rPr>
        <w:t>das en el ejercicio. El 41 por ciento se concedieron a empresas privadas, un 30 por ciento a familias y particulares, un 17 por ciento a entidades locales y el restante 12 por ciento se reparte entre instituciones sin fines de lucro, fund</w:t>
      </w:r>
      <w:r w:rsidRPr="006D43A7">
        <w:rPr>
          <w:lang w:val="es-ES"/>
        </w:rPr>
        <w:t>a</w:t>
      </w:r>
      <w:r w:rsidRPr="006D43A7">
        <w:rPr>
          <w:lang w:val="es-ES"/>
        </w:rPr>
        <w:t>ciones y empresas públicas.</w:t>
      </w:r>
    </w:p>
    <w:p w:rsidR="001B3767" w:rsidRDefault="001B3767" w:rsidP="00EE27E6">
      <w:pPr>
        <w:pStyle w:val="texto"/>
        <w:spacing w:after="120"/>
        <w:rPr>
          <w:lang w:val="es-ES"/>
        </w:rPr>
      </w:pPr>
      <w:r w:rsidRPr="006D43A7">
        <w:rPr>
          <w:lang w:val="es-ES"/>
        </w:rPr>
        <w:t>Fueron un 14 por ciento menos que las concedidas en 2013 debido princ</w:t>
      </w:r>
      <w:r w:rsidRPr="006D43A7">
        <w:rPr>
          <w:lang w:val="es-ES"/>
        </w:rPr>
        <w:t>i</w:t>
      </w:r>
      <w:r w:rsidRPr="006D43A7">
        <w:rPr>
          <w:lang w:val="es-ES"/>
        </w:rPr>
        <w:t>palmente a la disminución en un 24 por ciento de las transferencias de capital a empresas privadas. También es destacable la disminución en un 28 por ciento del fondo de transferencias de capital a entidades locales.</w:t>
      </w:r>
    </w:p>
    <w:p w:rsidR="005954CD" w:rsidRPr="00E26A4B" w:rsidRDefault="005954CD" w:rsidP="005954CD">
      <w:pPr>
        <w:pStyle w:val="atitulo3"/>
        <w:spacing w:before="320"/>
        <w:rPr>
          <w:rFonts w:cs="Arial"/>
        </w:rPr>
      </w:pPr>
      <w:r w:rsidRPr="00E26A4B">
        <w:rPr>
          <w:rFonts w:cs="Arial"/>
        </w:rPr>
        <w:lastRenderedPageBreak/>
        <w:t>VII.5.1</w:t>
      </w:r>
      <w:r w:rsidR="00AD4DD6">
        <w:rPr>
          <w:rFonts w:cs="Arial"/>
        </w:rPr>
        <w:t>.</w:t>
      </w:r>
      <w:r w:rsidRPr="00E26A4B">
        <w:rPr>
          <w:rFonts w:cs="Arial"/>
        </w:rPr>
        <w:t xml:space="preserve"> </w:t>
      </w:r>
      <w:r>
        <w:rPr>
          <w:rFonts w:cs="Arial"/>
        </w:rPr>
        <w:t>Muestra revisada</w:t>
      </w:r>
    </w:p>
    <w:p w:rsidR="00742589" w:rsidRDefault="001B3767" w:rsidP="00CB77B1">
      <w:pPr>
        <w:pStyle w:val="texto"/>
        <w:spacing w:after="260"/>
        <w:rPr>
          <w:lang w:val="es-ES"/>
        </w:rPr>
      </w:pPr>
      <w:r w:rsidRPr="006D43A7">
        <w:rPr>
          <w:lang w:val="es-ES"/>
        </w:rPr>
        <w:t xml:space="preserve">  </w:t>
      </w:r>
      <w:r w:rsidR="005954CD">
        <w:rPr>
          <w:lang w:val="es-ES"/>
        </w:rPr>
        <w:t xml:space="preserve">La muestra revisada de transferencias corrientes y de capital </w:t>
      </w:r>
      <w:proofErr w:type="gramStart"/>
      <w:r w:rsidR="005954CD">
        <w:rPr>
          <w:lang w:val="es-ES"/>
        </w:rPr>
        <w:t>concedidas</w:t>
      </w:r>
      <w:proofErr w:type="gramEnd"/>
      <w:r w:rsidR="005954CD">
        <w:rPr>
          <w:lang w:val="es-ES"/>
        </w:rPr>
        <w:t xml:space="preserve"> en 2014, seleccionada teniendo en cuenta, entre otros criterios, el informe de esta Cámara sobre </w:t>
      </w:r>
      <w:r w:rsidR="00742589">
        <w:rPr>
          <w:lang w:val="es-ES"/>
        </w:rPr>
        <w:t>“</w:t>
      </w:r>
      <w:r w:rsidR="005954CD">
        <w:rPr>
          <w:lang w:val="es-ES"/>
        </w:rPr>
        <w:t>s</w:t>
      </w:r>
      <w:r w:rsidR="005954CD" w:rsidRPr="00E671E9">
        <w:rPr>
          <w:lang w:val="es-ES"/>
        </w:rPr>
        <w:t>ubvenciones del Gobierno de Navarra a diversas entidades y asociaciones</w:t>
      </w:r>
      <w:r w:rsidR="00742589">
        <w:rPr>
          <w:lang w:val="es-ES"/>
        </w:rPr>
        <w:t>”, ha sido la siguiente:</w:t>
      </w:r>
    </w:p>
    <w:tbl>
      <w:tblPr>
        <w:tblW w:w="4865"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3293"/>
        <w:gridCol w:w="2457"/>
        <w:gridCol w:w="1367"/>
        <w:gridCol w:w="1571"/>
      </w:tblGrid>
      <w:tr w:rsidR="001B3767" w:rsidRPr="00CB77B1" w:rsidTr="004934BE">
        <w:trPr>
          <w:trHeight w:hRule="exact" w:val="503"/>
          <w:jc w:val="center"/>
        </w:trPr>
        <w:tc>
          <w:tcPr>
            <w:tcW w:w="1895" w:type="pct"/>
            <w:tcBorders>
              <w:top w:val="single" w:sz="4" w:space="0" w:color="auto"/>
              <w:left w:val="nil"/>
              <w:bottom w:val="single" w:sz="4" w:space="0" w:color="auto"/>
              <w:right w:val="nil"/>
            </w:tcBorders>
            <w:shd w:val="clear" w:color="auto" w:fill="8DB3E2" w:themeFill="text2" w:themeFillTint="66"/>
            <w:vAlign w:val="center"/>
          </w:tcPr>
          <w:p w:rsidR="001B3767" w:rsidRPr="00CB77B1" w:rsidRDefault="001B3767" w:rsidP="004934BE">
            <w:pPr>
              <w:pStyle w:val="cuadroCabe"/>
              <w:jc w:val="left"/>
              <w:rPr>
                <w:rFonts w:cs="Arial"/>
                <w:sz w:val="17"/>
                <w:szCs w:val="17"/>
              </w:rPr>
            </w:pPr>
            <w:r w:rsidRPr="00CB77B1">
              <w:rPr>
                <w:rFonts w:cs="Arial"/>
                <w:sz w:val="17"/>
                <w:szCs w:val="17"/>
              </w:rPr>
              <w:t xml:space="preserve">Departamento </w:t>
            </w:r>
          </w:p>
        </w:tc>
        <w:tc>
          <w:tcPr>
            <w:tcW w:w="1414" w:type="pct"/>
            <w:tcBorders>
              <w:top w:val="single" w:sz="4" w:space="0" w:color="auto"/>
              <w:left w:val="nil"/>
              <w:bottom w:val="single" w:sz="4" w:space="0" w:color="auto"/>
              <w:right w:val="nil"/>
            </w:tcBorders>
            <w:shd w:val="clear" w:color="auto" w:fill="8DB3E2" w:themeFill="text2" w:themeFillTint="66"/>
            <w:vAlign w:val="center"/>
            <w:hideMark/>
          </w:tcPr>
          <w:p w:rsidR="001B3767" w:rsidRPr="00CB77B1" w:rsidRDefault="001B3767" w:rsidP="004934BE">
            <w:pPr>
              <w:pStyle w:val="cuadroCabe"/>
              <w:ind w:left="129"/>
              <w:jc w:val="left"/>
              <w:rPr>
                <w:rFonts w:cs="Arial"/>
                <w:sz w:val="17"/>
                <w:szCs w:val="17"/>
              </w:rPr>
            </w:pPr>
            <w:r w:rsidRPr="00CB77B1">
              <w:rPr>
                <w:rFonts w:cs="Arial"/>
                <w:sz w:val="17"/>
                <w:szCs w:val="17"/>
              </w:rPr>
              <w:t>Concepto</w:t>
            </w:r>
          </w:p>
        </w:tc>
        <w:tc>
          <w:tcPr>
            <w:tcW w:w="787" w:type="pct"/>
            <w:tcBorders>
              <w:top w:val="single" w:sz="4" w:space="0" w:color="auto"/>
              <w:left w:val="nil"/>
              <w:bottom w:val="single" w:sz="4" w:space="0" w:color="auto"/>
              <w:right w:val="nil"/>
            </w:tcBorders>
            <w:shd w:val="clear" w:color="auto" w:fill="8DB3E2" w:themeFill="text2" w:themeFillTint="66"/>
            <w:vAlign w:val="center"/>
            <w:hideMark/>
          </w:tcPr>
          <w:p w:rsidR="001B3767" w:rsidRPr="00CB77B1" w:rsidRDefault="001B3767" w:rsidP="004934BE">
            <w:pPr>
              <w:pStyle w:val="cuadroCabe"/>
              <w:jc w:val="right"/>
              <w:rPr>
                <w:rFonts w:cs="Arial"/>
                <w:sz w:val="17"/>
                <w:szCs w:val="17"/>
              </w:rPr>
            </w:pPr>
            <w:proofErr w:type="spellStart"/>
            <w:r w:rsidRPr="00CB77B1">
              <w:rPr>
                <w:rFonts w:cs="Arial"/>
                <w:sz w:val="17"/>
                <w:szCs w:val="17"/>
              </w:rPr>
              <w:t>Transf</w:t>
            </w:r>
            <w:proofErr w:type="spellEnd"/>
            <w:r w:rsidRPr="00CB77B1">
              <w:rPr>
                <w:rFonts w:cs="Arial"/>
                <w:sz w:val="17"/>
                <w:szCs w:val="17"/>
              </w:rPr>
              <w:t>.</w:t>
            </w:r>
          </w:p>
          <w:p w:rsidR="001B3767" w:rsidRPr="00CB77B1" w:rsidRDefault="001B3767" w:rsidP="004934BE">
            <w:pPr>
              <w:pStyle w:val="cuadroCabe"/>
              <w:jc w:val="right"/>
              <w:rPr>
                <w:rFonts w:cs="Arial"/>
                <w:sz w:val="17"/>
                <w:szCs w:val="17"/>
              </w:rPr>
            </w:pPr>
            <w:r w:rsidRPr="00CB77B1">
              <w:rPr>
                <w:rFonts w:cs="Arial"/>
                <w:sz w:val="17"/>
                <w:szCs w:val="17"/>
              </w:rPr>
              <w:t xml:space="preserve"> </w:t>
            </w:r>
            <w:r w:rsidR="00A26C7F" w:rsidRPr="00CB77B1">
              <w:rPr>
                <w:rFonts w:cs="Arial"/>
                <w:sz w:val="17"/>
                <w:szCs w:val="17"/>
              </w:rPr>
              <w:t>corrientes</w:t>
            </w:r>
          </w:p>
        </w:tc>
        <w:tc>
          <w:tcPr>
            <w:tcW w:w="904" w:type="pct"/>
            <w:tcBorders>
              <w:top w:val="single" w:sz="4" w:space="0" w:color="auto"/>
              <w:left w:val="nil"/>
              <w:bottom w:val="single" w:sz="4" w:space="0" w:color="auto"/>
              <w:right w:val="nil"/>
            </w:tcBorders>
            <w:shd w:val="clear" w:color="auto" w:fill="8DB3E2" w:themeFill="text2" w:themeFillTint="66"/>
            <w:vAlign w:val="center"/>
          </w:tcPr>
          <w:p w:rsidR="001B3767" w:rsidRPr="00CB77B1" w:rsidRDefault="001B3767" w:rsidP="004934BE">
            <w:pPr>
              <w:pStyle w:val="cuadroCabe"/>
              <w:jc w:val="right"/>
              <w:rPr>
                <w:rFonts w:cs="Arial"/>
                <w:sz w:val="17"/>
                <w:szCs w:val="17"/>
              </w:rPr>
            </w:pPr>
            <w:r w:rsidRPr="00CB77B1">
              <w:rPr>
                <w:rFonts w:cs="Arial"/>
                <w:sz w:val="17"/>
                <w:szCs w:val="17"/>
              </w:rPr>
              <w:t>Transferencias capital</w:t>
            </w:r>
          </w:p>
        </w:tc>
      </w:tr>
      <w:tr w:rsidR="001B3767" w:rsidRPr="00CB77B1" w:rsidTr="004934BE">
        <w:trPr>
          <w:trHeight w:hRule="exact" w:val="284"/>
          <w:jc w:val="center"/>
        </w:trPr>
        <w:tc>
          <w:tcPr>
            <w:tcW w:w="1895" w:type="pct"/>
            <w:tcBorders>
              <w:top w:val="single" w:sz="4" w:space="0" w:color="auto"/>
              <w:left w:val="nil"/>
              <w:bottom w:val="nil"/>
              <w:right w:val="nil"/>
            </w:tcBorders>
            <w:vAlign w:val="center"/>
          </w:tcPr>
          <w:p w:rsidR="001B3767" w:rsidRPr="00CB77B1" w:rsidRDefault="001B3767" w:rsidP="004934BE">
            <w:pPr>
              <w:ind w:firstLine="0"/>
              <w:jc w:val="left"/>
              <w:rPr>
                <w:rFonts w:ascii="Arial Narrow" w:hAnsi="Arial Narrow" w:cs="Arial"/>
                <w:sz w:val="18"/>
                <w:szCs w:val="18"/>
              </w:rPr>
            </w:pPr>
            <w:r w:rsidRPr="00CB77B1">
              <w:rPr>
                <w:rFonts w:ascii="Arial Narrow" w:hAnsi="Arial Narrow" w:cs="Arial"/>
                <w:sz w:val="18"/>
                <w:szCs w:val="18"/>
              </w:rPr>
              <w:t>1.Economía y Hacienda, Industria y Empleo</w:t>
            </w:r>
          </w:p>
        </w:tc>
        <w:tc>
          <w:tcPr>
            <w:tcW w:w="1414" w:type="pct"/>
            <w:tcBorders>
              <w:top w:val="single" w:sz="4" w:space="0" w:color="auto"/>
              <w:left w:val="nil"/>
              <w:bottom w:val="nil"/>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Fundación Moderna</w:t>
            </w:r>
          </w:p>
        </w:tc>
        <w:tc>
          <w:tcPr>
            <w:tcW w:w="787" w:type="pct"/>
            <w:tcBorders>
              <w:top w:val="single" w:sz="4" w:space="0" w:color="auto"/>
              <w:left w:val="nil"/>
              <w:bottom w:val="nil"/>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300.000</w:t>
            </w:r>
          </w:p>
        </w:tc>
        <w:tc>
          <w:tcPr>
            <w:tcW w:w="904" w:type="pct"/>
            <w:tcBorders>
              <w:top w:val="single" w:sz="4" w:space="0" w:color="auto"/>
              <w:left w:val="nil"/>
              <w:bottom w:val="nil"/>
              <w:right w:val="nil"/>
            </w:tcBorders>
            <w:vAlign w:val="center"/>
          </w:tcPr>
          <w:p w:rsidR="001B3767" w:rsidRPr="00CB77B1" w:rsidRDefault="001B3767" w:rsidP="004934BE">
            <w:pPr>
              <w:jc w:val="right"/>
              <w:rPr>
                <w:rFonts w:ascii="Arial Narrow" w:hAnsi="Arial Narrow" w:cs="Arial"/>
                <w:sz w:val="18"/>
                <w:szCs w:val="18"/>
              </w:rPr>
            </w:pPr>
          </w:p>
        </w:tc>
      </w:tr>
      <w:tr w:rsidR="001B3767" w:rsidRPr="00CB77B1" w:rsidTr="004934BE">
        <w:trPr>
          <w:trHeight w:hRule="exact" w:val="284"/>
          <w:jc w:val="center"/>
        </w:trPr>
        <w:tc>
          <w:tcPr>
            <w:tcW w:w="1895" w:type="pct"/>
            <w:tcBorders>
              <w:top w:val="nil"/>
              <w:left w:val="nil"/>
              <w:bottom w:val="nil"/>
              <w:right w:val="nil"/>
            </w:tcBorders>
            <w:vAlign w:val="center"/>
          </w:tcPr>
          <w:p w:rsidR="001B3767" w:rsidRPr="00CB77B1" w:rsidRDefault="001B3767" w:rsidP="004934BE">
            <w:pPr>
              <w:ind w:firstLine="0"/>
              <w:jc w:val="left"/>
              <w:rPr>
                <w:rFonts w:ascii="Arial Narrow" w:hAnsi="Arial Narrow" w:cs="Arial"/>
                <w:sz w:val="18"/>
                <w:szCs w:val="18"/>
              </w:rPr>
            </w:pPr>
          </w:p>
        </w:tc>
        <w:tc>
          <w:tcPr>
            <w:tcW w:w="1414" w:type="pct"/>
            <w:tcBorders>
              <w:top w:val="nil"/>
              <w:left w:val="nil"/>
              <w:bottom w:val="nil"/>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Transferencia a CEIN</w:t>
            </w:r>
          </w:p>
        </w:tc>
        <w:tc>
          <w:tcPr>
            <w:tcW w:w="787" w:type="pct"/>
            <w:tcBorders>
              <w:top w:val="nil"/>
              <w:left w:val="nil"/>
              <w:bottom w:val="nil"/>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599.143</w:t>
            </w:r>
          </w:p>
        </w:tc>
        <w:tc>
          <w:tcPr>
            <w:tcW w:w="904" w:type="pct"/>
            <w:tcBorders>
              <w:top w:val="nil"/>
              <w:left w:val="nil"/>
              <w:bottom w:val="nil"/>
              <w:right w:val="nil"/>
            </w:tcBorders>
            <w:vAlign w:val="center"/>
          </w:tcPr>
          <w:p w:rsidR="001B3767" w:rsidRPr="00CB77B1" w:rsidRDefault="001B3767" w:rsidP="004934BE">
            <w:pPr>
              <w:jc w:val="right"/>
              <w:rPr>
                <w:rFonts w:ascii="Arial Narrow" w:hAnsi="Arial Narrow" w:cs="Arial"/>
                <w:sz w:val="18"/>
                <w:szCs w:val="18"/>
              </w:rPr>
            </w:pPr>
          </w:p>
        </w:tc>
      </w:tr>
      <w:tr w:rsidR="001B3767" w:rsidRPr="00CB77B1" w:rsidTr="004934BE">
        <w:trPr>
          <w:trHeight w:hRule="exact" w:val="284"/>
          <w:jc w:val="center"/>
        </w:trPr>
        <w:tc>
          <w:tcPr>
            <w:tcW w:w="1895" w:type="pct"/>
            <w:tcBorders>
              <w:top w:val="nil"/>
              <w:left w:val="nil"/>
              <w:bottom w:val="single" w:sz="2" w:space="0" w:color="auto"/>
              <w:right w:val="nil"/>
            </w:tcBorders>
            <w:vAlign w:val="center"/>
          </w:tcPr>
          <w:p w:rsidR="001B3767" w:rsidRPr="00CB77B1" w:rsidRDefault="001B3767" w:rsidP="004934BE">
            <w:pPr>
              <w:ind w:firstLine="0"/>
              <w:jc w:val="left"/>
              <w:rPr>
                <w:rFonts w:ascii="Arial Narrow" w:hAnsi="Arial Narrow" w:cs="Arial"/>
                <w:sz w:val="18"/>
                <w:szCs w:val="18"/>
              </w:rPr>
            </w:pPr>
          </w:p>
        </w:tc>
        <w:tc>
          <w:tcPr>
            <w:tcW w:w="1414" w:type="pct"/>
            <w:tcBorders>
              <w:top w:val="nil"/>
              <w:left w:val="nil"/>
              <w:bottom w:val="single" w:sz="2" w:space="0" w:color="auto"/>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Transferencia a CPEN</w:t>
            </w:r>
          </w:p>
        </w:tc>
        <w:tc>
          <w:tcPr>
            <w:tcW w:w="787"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140.000</w:t>
            </w:r>
          </w:p>
        </w:tc>
        <w:tc>
          <w:tcPr>
            <w:tcW w:w="904"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p>
        </w:tc>
      </w:tr>
      <w:tr w:rsidR="001B3767" w:rsidRPr="00CB77B1" w:rsidTr="00196AE3">
        <w:trPr>
          <w:trHeight w:hRule="exact" w:val="284"/>
          <w:jc w:val="center"/>
        </w:trPr>
        <w:tc>
          <w:tcPr>
            <w:tcW w:w="1895" w:type="pct"/>
            <w:tcBorders>
              <w:top w:val="single" w:sz="2" w:space="0" w:color="auto"/>
              <w:left w:val="nil"/>
              <w:bottom w:val="single" w:sz="2" w:space="0" w:color="auto"/>
              <w:right w:val="nil"/>
            </w:tcBorders>
            <w:vAlign w:val="center"/>
          </w:tcPr>
          <w:p w:rsidR="001B3767" w:rsidRPr="00CB77B1" w:rsidRDefault="001B3767" w:rsidP="004934BE">
            <w:pPr>
              <w:ind w:firstLine="0"/>
              <w:jc w:val="left"/>
              <w:rPr>
                <w:rFonts w:ascii="Arial Narrow" w:hAnsi="Arial Narrow" w:cs="Arial"/>
                <w:sz w:val="18"/>
                <w:szCs w:val="18"/>
              </w:rPr>
            </w:pPr>
            <w:r w:rsidRPr="00CB77B1">
              <w:rPr>
                <w:rFonts w:ascii="Arial Narrow" w:hAnsi="Arial Narrow" w:cs="Arial"/>
                <w:sz w:val="18"/>
                <w:szCs w:val="18"/>
              </w:rPr>
              <w:t>4.Educación</w:t>
            </w:r>
          </w:p>
        </w:tc>
        <w:tc>
          <w:tcPr>
            <w:tcW w:w="1414" w:type="pct"/>
            <w:tcBorders>
              <w:top w:val="single" w:sz="2" w:space="0" w:color="auto"/>
              <w:left w:val="nil"/>
              <w:bottom w:val="single" w:sz="2" w:space="0" w:color="auto"/>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Financiación UPNA</w:t>
            </w:r>
          </w:p>
        </w:tc>
        <w:tc>
          <w:tcPr>
            <w:tcW w:w="787" w:type="pct"/>
            <w:tcBorders>
              <w:top w:val="single" w:sz="2" w:space="0" w:color="auto"/>
              <w:left w:val="nil"/>
              <w:bottom w:val="single" w:sz="2" w:space="0" w:color="auto"/>
              <w:right w:val="nil"/>
            </w:tcBorders>
            <w:vAlign w:val="center"/>
          </w:tcPr>
          <w:p w:rsidR="001B3767" w:rsidRPr="00CB77B1" w:rsidRDefault="00CB77B1" w:rsidP="004934BE">
            <w:pPr>
              <w:ind w:firstLine="0"/>
              <w:jc w:val="right"/>
              <w:rPr>
                <w:rFonts w:ascii="Arial Narrow" w:hAnsi="Arial Narrow" w:cs="Arial"/>
                <w:sz w:val="18"/>
                <w:szCs w:val="18"/>
              </w:rPr>
            </w:pPr>
            <w:r>
              <w:rPr>
                <w:rFonts w:ascii="Arial Narrow" w:hAnsi="Arial Narrow" w:cs="Arial"/>
                <w:sz w:val="18"/>
                <w:szCs w:val="18"/>
              </w:rPr>
              <w:t xml:space="preserve">           </w:t>
            </w:r>
            <w:r w:rsidR="001B3767" w:rsidRPr="00CB77B1">
              <w:rPr>
                <w:rFonts w:ascii="Arial Narrow" w:hAnsi="Arial Narrow" w:cs="Arial"/>
                <w:sz w:val="18"/>
                <w:szCs w:val="18"/>
              </w:rPr>
              <w:t>51.794.279</w:t>
            </w:r>
          </w:p>
        </w:tc>
        <w:tc>
          <w:tcPr>
            <w:tcW w:w="904" w:type="pct"/>
            <w:tcBorders>
              <w:top w:val="single" w:sz="2" w:space="0" w:color="auto"/>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p>
        </w:tc>
      </w:tr>
      <w:tr w:rsidR="00EC2941" w:rsidRPr="00EC2941" w:rsidTr="00196AE3">
        <w:trPr>
          <w:trHeight w:hRule="exact" w:val="284"/>
          <w:jc w:val="center"/>
        </w:trPr>
        <w:tc>
          <w:tcPr>
            <w:tcW w:w="1895" w:type="pct"/>
            <w:tcBorders>
              <w:top w:val="single" w:sz="2" w:space="0" w:color="auto"/>
              <w:left w:val="nil"/>
              <w:bottom w:val="nil"/>
              <w:right w:val="nil"/>
            </w:tcBorders>
            <w:vAlign w:val="center"/>
          </w:tcPr>
          <w:p w:rsidR="001B3767" w:rsidRPr="00EC2941" w:rsidRDefault="001B3767" w:rsidP="004934BE">
            <w:pPr>
              <w:ind w:firstLine="0"/>
              <w:jc w:val="left"/>
              <w:rPr>
                <w:rFonts w:ascii="Arial Narrow" w:hAnsi="Arial Narrow" w:cs="Arial"/>
                <w:sz w:val="18"/>
                <w:szCs w:val="18"/>
              </w:rPr>
            </w:pPr>
            <w:r w:rsidRPr="00EC2941">
              <w:rPr>
                <w:rFonts w:ascii="Arial Narrow" w:hAnsi="Arial Narrow" w:cs="Arial"/>
                <w:sz w:val="18"/>
                <w:szCs w:val="18"/>
              </w:rPr>
              <w:t>6. Fomento</w:t>
            </w:r>
          </w:p>
        </w:tc>
        <w:tc>
          <w:tcPr>
            <w:tcW w:w="1414" w:type="pct"/>
            <w:tcBorders>
              <w:top w:val="single" w:sz="2" w:space="0" w:color="auto"/>
              <w:left w:val="nil"/>
              <w:bottom w:val="nil"/>
              <w:right w:val="nil"/>
            </w:tcBorders>
            <w:noWrap/>
            <w:vAlign w:val="center"/>
          </w:tcPr>
          <w:p w:rsidR="001B3767" w:rsidRPr="00EC2941" w:rsidRDefault="001B3767" w:rsidP="004934BE">
            <w:pPr>
              <w:ind w:left="129" w:firstLine="0"/>
              <w:jc w:val="left"/>
              <w:rPr>
                <w:rFonts w:ascii="Arial Narrow" w:hAnsi="Arial Narrow" w:cs="Arial"/>
                <w:sz w:val="18"/>
                <w:szCs w:val="18"/>
              </w:rPr>
            </w:pPr>
            <w:r w:rsidRPr="00EC2941">
              <w:rPr>
                <w:rFonts w:ascii="Arial Narrow" w:hAnsi="Arial Narrow" w:cs="Arial"/>
                <w:sz w:val="18"/>
                <w:szCs w:val="18"/>
              </w:rPr>
              <w:t>Rehabilitación de viviendas</w:t>
            </w:r>
          </w:p>
        </w:tc>
        <w:tc>
          <w:tcPr>
            <w:tcW w:w="787" w:type="pct"/>
            <w:tcBorders>
              <w:top w:val="single" w:sz="2" w:space="0" w:color="auto"/>
              <w:left w:val="nil"/>
              <w:bottom w:val="nil"/>
              <w:right w:val="nil"/>
            </w:tcBorders>
            <w:vAlign w:val="center"/>
          </w:tcPr>
          <w:p w:rsidR="001B3767" w:rsidRPr="00EC2941" w:rsidRDefault="001B3767" w:rsidP="004934BE">
            <w:pPr>
              <w:jc w:val="right"/>
              <w:rPr>
                <w:rFonts w:ascii="Arial Narrow" w:hAnsi="Arial Narrow" w:cs="Arial"/>
                <w:sz w:val="18"/>
                <w:szCs w:val="18"/>
              </w:rPr>
            </w:pPr>
          </w:p>
        </w:tc>
        <w:tc>
          <w:tcPr>
            <w:tcW w:w="904" w:type="pct"/>
            <w:tcBorders>
              <w:top w:val="single" w:sz="2" w:space="0" w:color="auto"/>
              <w:left w:val="nil"/>
              <w:bottom w:val="nil"/>
              <w:right w:val="nil"/>
            </w:tcBorders>
            <w:vAlign w:val="center"/>
          </w:tcPr>
          <w:p w:rsidR="001B3767" w:rsidRPr="00EC2941" w:rsidRDefault="00326C2A" w:rsidP="004934BE">
            <w:pPr>
              <w:jc w:val="right"/>
              <w:rPr>
                <w:rFonts w:ascii="Arial Narrow" w:hAnsi="Arial Narrow" w:cs="Arial"/>
                <w:sz w:val="18"/>
                <w:szCs w:val="18"/>
              </w:rPr>
            </w:pPr>
            <w:r>
              <w:rPr>
                <w:rFonts w:ascii="Arial Narrow" w:hAnsi="Arial Narrow" w:cs="Arial"/>
                <w:sz w:val="18"/>
                <w:szCs w:val="18"/>
              </w:rPr>
              <w:t>25.247.582</w:t>
            </w:r>
          </w:p>
        </w:tc>
      </w:tr>
      <w:tr w:rsidR="001B3767" w:rsidRPr="00CB77B1" w:rsidTr="00196AE3">
        <w:trPr>
          <w:trHeight w:hRule="exact" w:val="284"/>
          <w:jc w:val="center"/>
        </w:trPr>
        <w:tc>
          <w:tcPr>
            <w:tcW w:w="1895" w:type="pct"/>
            <w:tcBorders>
              <w:top w:val="nil"/>
              <w:left w:val="nil"/>
              <w:bottom w:val="single" w:sz="2" w:space="0" w:color="auto"/>
              <w:right w:val="nil"/>
            </w:tcBorders>
            <w:vAlign w:val="center"/>
          </w:tcPr>
          <w:p w:rsidR="001B3767" w:rsidRPr="00CB77B1" w:rsidRDefault="001B3767" w:rsidP="004934BE">
            <w:pPr>
              <w:ind w:firstLine="0"/>
              <w:jc w:val="left"/>
              <w:rPr>
                <w:rFonts w:ascii="Arial Narrow" w:hAnsi="Arial Narrow" w:cs="Arial"/>
                <w:sz w:val="18"/>
                <w:szCs w:val="18"/>
              </w:rPr>
            </w:pPr>
          </w:p>
        </w:tc>
        <w:tc>
          <w:tcPr>
            <w:tcW w:w="1414" w:type="pct"/>
            <w:tcBorders>
              <w:top w:val="nil"/>
              <w:left w:val="nil"/>
              <w:bottom w:val="single" w:sz="2" w:space="0" w:color="auto"/>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 xml:space="preserve">Transferencia a </w:t>
            </w:r>
            <w:proofErr w:type="spellStart"/>
            <w:r w:rsidRPr="00CB77B1">
              <w:rPr>
                <w:rFonts w:ascii="Arial Narrow" w:hAnsi="Arial Narrow" w:cs="Arial"/>
                <w:sz w:val="18"/>
                <w:szCs w:val="18"/>
              </w:rPr>
              <w:t>Nasuvinsa</w:t>
            </w:r>
            <w:proofErr w:type="spellEnd"/>
          </w:p>
        </w:tc>
        <w:tc>
          <w:tcPr>
            <w:tcW w:w="787"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951.963</w:t>
            </w:r>
          </w:p>
        </w:tc>
        <w:tc>
          <w:tcPr>
            <w:tcW w:w="904"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p>
        </w:tc>
      </w:tr>
      <w:tr w:rsidR="001B3767" w:rsidRPr="00CB77B1" w:rsidTr="004934BE">
        <w:trPr>
          <w:trHeight w:hRule="exact" w:val="420"/>
          <w:jc w:val="center"/>
        </w:trPr>
        <w:tc>
          <w:tcPr>
            <w:tcW w:w="1895" w:type="pct"/>
            <w:tcBorders>
              <w:top w:val="single" w:sz="2" w:space="0" w:color="auto"/>
              <w:left w:val="nil"/>
              <w:bottom w:val="nil"/>
              <w:right w:val="nil"/>
            </w:tcBorders>
            <w:vAlign w:val="center"/>
          </w:tcPr>
          <w:p w:rsidR="001B3767" w:rsidRPr="00CB77B1" w:rsidRDefault="001B3767" w:rsidP="004934BE">
            <w:pPr>
              <w:ind w:firstLine="0"/>
              <w:jc w:val="left"/>
              <w:rPr>
                <w:rFonts w:ascii="Arial Narrow" w:hAnsi="Arial Narrow" w:cs="Arial"/>
                <w:sz w:val="18"/>
                <w:szCs w:val="18"/>
              </w:rPr>
            </w:pPr>
            <w:r w:rsidRPr="00CB77B1">
              <w:rPr>
                <w:rFonts w:ascii="Arial Narrow" w:hAnsi="Arial Narrow" w:cs="Arial"/>
                <w:sz w:val="18"/>
                <w:szCs w:val="18"/>
              </w:rPr>
              <w:t>7. Desarrollo Rural, Medio Ambiente</w:t>
            </w:r>
            <w:r w:rsidR="00AD4DD6">
              <w:rPr>
                <w:rFonts w:ascii="Arial Narrow" w:hAnsi="Arial Narrow" w:cs="Arial"/>
                <w:sz w:val="18"/>
                <w:szCs w:val="18"/>
              </w:rPr>
              <w:t xml:space="preserve"> y       </w:t>
            </w:r>
            <w:r w:rsidRPr="00CB77B1">
              <w:rPr>
                <w:rFonts w:ascii="Arial Narrow" w:hAnsi="Arial Narrow" w:cs="Arial"/>
                <w:sz w:val="18"/>
                <w:szCs w:val="18"/>
              </w:rPr>
              <w:t xml:space="preserve"> Adm</w:t>
            </w:r>
            <w:r w:rsidR="00755007">
              <w:rPr>
                <w:rFonts w:ascii="Arial Narrow" w:hAnsi="Arial Narrow" w:cs="Arial"/>
                <w:sz w:val="18"/>
                <w:szCs w:val="18"/>
              </w:rPr>
              <w:t>ó</w:t>
            </w:r>
            <w:r w:rsidRPr="00CB77B1">
              <w:rPr>
                <w:rFonts w:ascii="Arial Narrow" w:hAnsi="Arial Narrow" w:cs="Arial"/>
                <w:sz w:val="18"/>
                <w:szCs w:val="18"/>
              </w:rPr>
              <w:t>n.</w:t>
            </w:r>
            <w:r w:rsidR="00755007">
              <w:rPr>
                <w:rFonts w:ascii="Arial Narrow" w:hAnsi="Arial Narrow" w:cs="Arial"/>
                <w:sz w:val="18"/>
                <w:szCs w:val="18"/>
              </w:rPr>
              <w:t xml:space="preserve"> </w:t>
            </w:r>
            <w:r w:rsidRPr="00CB77B1">
              <w:rPr>
                <w:rFonts w:ascii="Arial Narrow" w:hAnsi="Arial Narrow" w:cs="Arial"/>
                <w:sz w:val="18"/>
                <w:szCs w:val="18"/>
              </w:rPr>
              <w:t>Local</w:t>
            </w:r>
          </w:p>
        </w:tc>
        <w:tc>
          <w:tcPr>
            <w:tcW w:w="1414" w:type="pct"/>
            <w:tcBorders>
              <w:top w:val="single" w:sz="2" w:space="0" w:color="auto"/>
              <w:left w:val="nil"/>
              <w:bottom w:val="nil"/>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 xml:space="preserve">Fondo  </w:t>
            </w:r>
            <w:r w:rsidR="00994743" w:rsidRPr="00CB77B1">
              <w:rPr>
                <w:rFonts w:ascii="Arial Narrow" w:hAnsi="Arial Narrow" w:cs="Arial"/>
                <w:sz w:val="18"/>
                <w:szCs w:val="18"/>
              </w:rPr>
              <w:t xml:space="preserve">transferencias </w:t>
            </w:r>
            <w:r w:rsidRPr="00CB77B1">
              <w:rPr>
                <w:rFonts w:ascii="Arial Narrow" w:hAnsi="Arial Narrow" w:cs="Arial"/>
                <w:sz w:val="18"/>
                <w:szCs w:val="18"/>
              </w:rPr>
              <w:t>capital p</w:t>
            </w:r>
            <w:r w:rsidRPr="00CB77B1">
              <w:rPr>
                <w:rFonts w:ascii="Arial Narrow" w:hAnsi="Arial Narrow" w:cs="Arial"/>
                <w:sz w:val="18"/>
                <w:szCs w:val="18"/>
              </w:rPr>
              <w:t>a</w:t>
            </w:r>
            <w:r w:rsidRPr="00CB77B1">
              <w:rPr>
                <w:rFonts w:ascii="Arial Narrow" w:hAnsi="Arial Narrow" w:cs="Arial"/>
                <w:sz w:val="18"/>
                <w:szCs w:val="18"/>
              </w:rPr>
              <w:t>vimentaciones</w:t>
            </w:r>
          </w:p>
        </w:tc>
        <w:tc>
          <w:tcPr>
            <w:tcW w:w="787" w:type="pct"/>
            <w:tcBorders>
              <w:top w:val="single" w:sz="2" w:space="0" w:color="auto"/>
              <w:left w:val="nil"/>
              <w:bottom w:val="nil"/>
              <w:right w:val="nil"/>
            </w:tcBorders>
            <w:vAlign w:val="center"/>
          </w:tcPr>
          <w:p w:rsidR="001B3767" w:rsidRPr="00CB77B1" w:rsidRDefault="001B3767" w:rsidP="004934BE">
            <w:pPr>
              <w:jc w:val="right"/>
              <w:rPr>
                <w:rFonts w:ascii="Arial Narrow" w:hAnsi="Arial Narrow" w:cs="Arial"/>
                <w:sz w:val="18"/>
                <w:szCs w:val="18"/>
              </w:rPr>
            </w:pPr>
          </w:p>
        </w:tc>
        <w:tc>
          <w:tcPr>
            <w:tcW w:w="904" w:type="pct"/>
            <w:tcBorders>
              <w:top w:val="single" w:sz="2" w:space="0" w:color="auto"/>
              <w:left w:val="nil"/>
              <w:bottom w:val="nil"/>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3.773.032</w:t>
            </w:r>
          </w:p>
        </w:tc>
      </w:tr>
      <w:tr w:rsidR="001B3767" w:rsidRPr="00CB77B1" w:rsidTr="00196AE3">
        <w:trPr>
          <w:trHeight w:hRule="exact" w:val="284"/>
          <w:jc w:val="center"/>
        </w:trPr>
        <w:tc>
          <w:tcPr>
            <w:tcW w:w="1895" w:type="pct"/>
            <w:tcBorders>
              <w:top w:val="nil"/>
              <w:left w:val="nil"/>
              <w:bottom w:val="nil"/>
              <w:right w:val="nil"/>
            </w:tcBorders>
            <w:vAlign w:val="center"/>
          </w:tcPr>
          <w:p w:rsidR="001B3767" w:rsidRPr="00CB77B1" w:rsidRDefault="001B3767" w:rsidP="004934BE">
            <w:pPr>
              <w:ind w:firstLine="0"/>
              <w:jc w:val="left"/>
              <w:rPr>
                <w:rFonts w:ascii="Arial Narrow" w:hAnsi="Arial Narrow" w:cs="Arial"/>
                <w:sz w:val="18"/>
                <w:szCs w:val="18"/>
              </w:rPr>
            </w:pPr>
          </w:p>
        </w:tc>
        <w:tc>
          <w:tcPr>
            <w:tcW w:w="1414" w:type="pct"/>
            <w:tcBorders>
              <w:top w:val="nil"/>
              <w:left w:val="nil"/>
              <w:bottom w:val="nil"/>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Transferencia a INTIA</w:t>
            </w:r>
          </w:p>
        </w:tc>
        <w:tc>
          <w:tcPr>
            <w:tcW w:w="787" w:type="pct"/>
            <w:tcBorders>
              <w:top w:val="nil"/>
              <w:left w:val="nil"/>
              <w:bottom w:val="nil"/>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4.564.246</w:t>
            </w:r>
          </w:p>
        </w:tc>
        <w:tc>
          <w:tcPr>
            <w:tcW w:w="904" w:type="pct"/>
            <w:tcBorders>
              <w:top w:val="nil"/>
              <w:left w:val="nil"/>
              <w:bottom w:val="nil"/>
              <w:right w:val="nil"/>
            </w:tcBorders>
            <w:vAlign w:val="center"/>
          </w:tcPr>
          <w:p w:rsidR="001B3767" w:rsidRPr="00CB77B1" w:rsidRDefault="001B3767" w:rsidP="004934BE">
            <w:pPr>
              <w:jc w:val="right"/>
              <w:rPr>
                <w:rFonts w:ascii="Arial Narrow" w:hAnsi="Arial Narrow" w:cs="Arial"/>
                <w:sz w:val="18"/>
                <w:szCs w:val="18"/>
              </w:rPr>
            </w:pPr>
          </w:p>
        </w:tc>
      </w:tr>
      <w:tr w:rsidR="001B3767" w:rsidRPr="00CB77B1" w:rsidTr="00196AE3">
        <w:trPr>
          <w:trHeight w:hRule="exact" w:val="284"/>
          <w:jc w:val="center"/>
        </w:trPr>
        <w:tc>
          <w:tcPr>
            <w:tcW w:w="1895" w:type="pct"/>
            <w:tcBorders>
              <w:top w:val="nil"/>
              <w:left w:val="nil"/>
              <w:bottom w:val="single" w:sz="2" w:space="0" w:color="auto"/>
              <w:right w:val="nil"/>
            </w:tcBorders>
            <w:vAlign w:val="center"/>
          </w:tcPr>
          <w:p w:rsidR="001B3767" w:rsidRPr="00CB77B1" w:rsidRDefault="001B3767" w:rsidP="004934BE">
            <w:pPr>
              <w:ind w:firstLine="0"/>
              <w:jc w:val="left"/>
              <w:rPr>
                <w:rFonts w:ascii="Arial Narrow" w:hAnsi="Arial Narrow" w:cs="Arial"/>
                <w:sz w:val="18"/>
                <w:szCs w:val="18"/>
              </w:rPr>
            </w:pPr>
          </w:p>
        </w:tc>
        <w:tc>
          <w:tcPr>
            <w:tcW w:w="1414" w:type="pct"/>
            <w:tcBorders>
              <w:top w:val="nil"/>
              <w:left w:val="nil"/>
              <w:bottom w:val="single" w:sz="2" w:space="0" w:color="auto"/>
              <w:right w:val="nil"/>
            </w:tcBorders>
            <w:noWrap/>
            <w:vAlign w:val="center"/>
          </w:tcPr>
          <w:p w:rsidR="001B3767" w:rsidRPr="00CB77B1" w:rsidRDefault="001B3767" w:rsidP="004934BE">
            <w:pPr>
              <w:ind w:left="129" w:firstLine="0"/>
              <w:jc w:val="left"/>
              <w:rPr>
                <w:rFonts w:ascii="Arial Narrow" w:hAnsi="Arial Narrow" w:cs="Arial"/>
                <w:sz w:val="18"/>
                <w:szCs w:val="18"/>
              </w:rPr>
            </w:pPr>
            <w:r w:rsidRPr="00CB77B1">
              <w:rPr>
                <w:rFonts w:ascii="Arial Narrow" w:hAnsi="Arial Narrow" w:cs="Arial"/>
                <w:sz w:val="18"/>
                <w:szCs w:val="18"/>
              </w:rPr>
              <w:t>Transferencia a GANASA</w:t>
            </w:r>
          </w:p>
        </w:tc>
        <w:tc>
          <w:tcPr>
            <w:tcW w:w="787"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r w:rsidRPr="00CB77B1">
              <w:rPr>
                <w:rFonts w:ascii="Arial Narrow" w:hAnsi="Arial Narrow" w:cs="Arial"/>
                <w:sz w:val="18"/>
                <w:szCs w:val="18"/>
              </w:rPr>
              <w:t>872.372</w:t>
            </w:r>
          </w:p>
        </w:tc>
        <w:tc>
          <w:tcPr>
            <w:tcW w:w="904" w:type="pct"/>
            <w:tcBorders>
              <w:top w:val="nil"/>
              <w:left w:val="nil"/>
              <w:bottom w:val="single" w:sz="2" w:space="0" w:color="auto"/>
              <w:right w:val="nil"/>
            </w:tcBorders>
            <w:vAlign w:val="center"/>
          </w:tcPr>
          <w:p w:rsidR="001B3767" w:rsidRPr="00CB77B1" w:rsidRDefault="001B3767" w:rsidP="004934BE">
            <w:pPr>
              <w:jc w:val="right"/>
              <w:rPr>
                <w:rFonts w:ascii="Arial Narrow" w:hAnsi="Arial Narrow" w:cs="Arial"/>
                <w:sz w:val="18"/>
                <w:szCs w:val="18"/>
              </w:rPr>
            </w:pPr>
          </w:p>
        </w:tc>
      </w:tr>
      <w:tr w:rsidR="004934BE" w:rsidRPr="00CB77B1" w:rsidTr="004934BE">
        <w:trPr>
          <w:trHeight w:hRule="exact" w:val="284"/>
          <w:jc w:val="center"/>
        </w:trPr>
        <w:tc>
          <w:tcPr>
            <w:tcW w:w="1895" w:type="pct"/>
            <w:tcBorders>
              <w:top w:val="single" w:sz="2" w:space="0" w:color="auto"/>
              <w:left w:val="nil"/>
              <w:bottom w:val="single" w:sz="4" w:space="0" w:color="auto"/>
              <w:right w:val="nil"/>
            </w:tcBorders>
            <w:vAlign w:val="center"/>
          </w:tcPr>
          <w:p w:rsidR="004934BE" w:rsidRPr="00CB77B1" w:rsidRDefault="004934BE" w:rsidP="004934BE">
            <w:pPr>
              <w:ind w:firstLine="0"/>
              <w:jc w:val="left"/>
              <w:rPr>
                <w:rFonts w:ascii="Arial Narrow" w:hAnsi="Arial Narrow" w:cs="Arial"/>
                <w:sz w:val="18"/>
                <w:szCs w:val="18"/>
              </w:rPr>
            </w:pPr>
            <w:r w:rsidRPr="00CB77B1">
              <w:rPr>
                <w:rFonts w:ascii="Arial Narrow" w:hAnsi="Arial Narrow" w:cs="Arial"/>
                <w:sz w:val="18"/>
                <w:szCs w:val="18"/>
              </w:rPr>
              <w:t>A. Cultura, Turismo, Relaciones Institucionales</w:t>
            </w:r>
          </w:p>
        </w:tc>
        <w:tc>
          <w:tcPr>
            <w:tcW w:w="1414" w:type="pct"/>
            <w:tcBorders>
              <w:top w:val="single" w:sz="2" w:space="0" w:color="auto"/>
              <w:left w:val="nil"/>
              <w:bottom w:val="single" w:sz="4" w:space="0" w:color="auto"/>
              <w:right w:val="nil"/>
            </w:tcBorders>
            <w:noWrap/>
            <w:vAlign w:val="center"/>
          </w:tcPr>
          <w:p w:rsidR="004934BE" w:rsidRPr="00CB77B1" w:rsidRDefault="004934BE" w:rsidP="004934BE">
            <w:pPr>
              <w:ind w:left="129" w:firstLine="0"/>
              <w:jc w:val="left"/>
              <w:rPr>
                <w:rFonts w:ascii="Arial Narrow" w:hAnsi="Arial Narrow" w:cs="Arial"/>
                <w:sz w:val="18"/>
                <w:szCs w:val="18"/>
              </w:rPr>
            </w:pPr>
            <w:r w:rsidRPr="00CB77B1">
              <w:rPr>
                <w:rFonts w:ascii="Arial Narrow" w:hAnsi="Arial Narrow" w:cs="Arial"/>
                <w:sz w:val="18"/>
                <w:szCs w:val="18"/>
              </w:rPr>
              <w:t xml:space="preserve">Fundación Pablo </w:t>
            </w:r>
            <w:proofErr w:type="spellStart"/>
            <w:r w:rsidRPr="00CB77B1">
              <w:rPr>
                <w:rFonts w:ascii="Arial Narrow" w:hAnsi="Arial Narrow" w:cs="Arial"/>
                <w:sz w:val="18"/>
                <w:szCs w:val="18"/>
              </w:rPr>
              <w:t>Sarasate</w:t>
            </w:r>
            <w:proofErr w:type="spellEnd"/>
          </w:p>
        </w:tc>
        <w:tc>
          <w:tcPr>
            <w:tcW w:w="787" w:type="pct"/>
            <w:tcBorders>
              <w:top w:val="single" w:sz="2" w:space="0" w:color="auto"/>
              <w:left w:val="nil"/>
              <w:bottom w:val="single" w:sz="4" w:space="0" w:color="auto"/>
              <w:right w:val="nil"/>
            </w:tcBorders>
            <w:vAlign w:val="center"/>
          </w:tcPr>
          <w:p w:rsidR="004934BE" w:rsidRPr="00CB77B1" w:rsidRDefault="004934BE" w:rsidP="004934BE">
            <w:pPr>
              <w:jc w:val="right"/>
              <w:rPr>
                <w:rFonts w:ascii="Arial Narrow" w:hAnsi="Arial Narrow" w:cs="Arial"/>
                <w:sz w:val="18"/>
                <w:szCs w:val="18"/>
              </w:rPr>
            </w:pPr>
            <w:r w:rsidRPr="00CB77B1">
              <w:rPr>
                <w:rFonts w:ascii="Arial Narrow" w:hAnsi="Arial Narrow" w:cs="Arial"/>
                <w:sz w:val="18"/>
                <w:szCs w:val="18"/>
              </w:rPr>
              <w:t>2.551.696</w:t>
            </w:r>
          </w:p>
        </w:tc>
        <w:tc>
          <w:tcPr>
            <w:tcW w:w="904" w:type="pct"/>
            <w:tcBorders>
              <w:top w:val="single" w:sz="2" w:space="0" w:color="auto"/>
              <w:left w:val="nil"/>
              <w:bottom w:val="single" w:sz="4" w:space="0" w:color="auto"/>
              <w:right w:val="nil"/>
            </w:tcBorders>
            <w:vAlign w:val="center"/>
          </w:tcPr>
          <w:p w:rsidR="004934BE" w:rsidRPr="00CB77B1" w:rsidRDefault="004934BE" w:rsidP="004934BE">
            <w:pPr>
              <w:jc w:val="right"/>
              <w:rPr>
                <w:rFonts w:ascii="Arial Narrow" w:hAnsi="Arial Narrow" w:cs="Arial"/>
                <w:sz w:val="18"/>
                <w:szCs w:val="18"/>
              </w:rPr>
            </w:pPr>
          </w:p>
        </w:tc>
      </w:tr>
    </w:tbl>
    <w:p w:rsidR="00EC2941" w:rsidRPr="006D43A7" w:rsidRDefault="00723F5F" w:rsidP="00FA6F91">
      <w:pPr>
        <w:pStyle w:val="texto"/>
        <w:spacing w:before="280" w:after="240"/>
        <w:rPr>
          <w:lang w:val="es-ES"/>
        </w:rPr>
      </w:pPr>
      <w:r>
        <w:rPr>
          <w:lang w:val="es-ES"/>
        </w:rPr>
        <w:t xml:space="preserve">Además, se revisó la </w:t>
      </w:r>
      <w:r w:rsidR="00EC2941">
        <w:rPr>
          <w:lang w:val="es-ES"/>
        </w:rPr>
        <w:t>construcción</w:t>
      </w:r>
      <w:r>
        <w:rPr>
          <w:lang w:val="es-ES"/>
        </w:rPr>
        <w:t xml:space="preserve"> del </w:t>
      </w:r>
      <w:r w:rsidRPr="00893C49">
        <w:rPr>
          <w:lang w:val="es-ES"/>
        </w:rPr>
        <w:t xml:space="preserve">colegio público de Educación Infantil y Primaria en </w:t>
      </w:r>
      <w:proofErr w:type="spellStart"/>
      <w:r w:rsidRPr="00893C49">
        <w:rPr>
          <w:lang w:val="es-ES"/>
        </w:rPr>
        <w:t>Sarriguren</w:t>
      </w:r>
      <w:proofErr w:type="spellEnd"/>
      <w:r w:rsidR="00566DDC">
        <w:rPr>
          <w:lang w:val="es-ES"/>
        </w:rPr>
        <w:t xml:space="preserve"> licitada</w:t>
      </w:r>
      <w:r>
        <w:rPr>
          <w:lang w:val="es-ES"/>
        </w:rPr>
        <w:t xml:space="preserve"> por la Administración Foral, </w:t>
      </w:r>
      <w:r w:rsidR="00EC2941">
        <w:rPr>
          <w:lang w:val="es-ES"/>
        </w:rPr>
        <w:t>contabilizada como transferencia</w:t>
      </w:r>
      <w:r>
        <w:rPr>
          <w:lang w:val="es-ES"/>
        </w:rPr>
        <w:t>s</w:t>
      </w:r>
      <w:r w:rsidR="00EC2941">
        <w:rPr>
          <w:lang w:val="es-ES"/>
        </w:rPr>
        <w:t xml:space="preserve"> de capital</w:t>
      </w:r>
      <w:r>
        <w:rPr>
          <w:lang w:val="es-ES"/>
        </w:rPr>
        <w:t>, que presenta los siguientes datos</w:t>
      </w:r>
      <w:r w:rsidR="00893C49">
        <w:rPr>
          <w:lang w:val="es-ES"/>
        </w:rPr>
        <w:t>:</w:t>
      </w:r>
      <w:r w:rsidR="00EC2941">
        <w:rPr>
          <w:lang w:val="es-ES"/>
        </w:rPr>
        <w:t xml:space="preserve"> </w:t>
      </w:r>
    </w:p>
    <w:tbl>
      <w:tblPr>
        <w:tblW w:w="8801" w:type="dxa"/>
        <w:jc w:val="center"/>
        <w:tblBorders>
          <w:top w:val="single" w:sz="4" w:space="0" w:color="auto"/>
          <w:bottom w:val="single" w:sz="4" w:space="0" w:color="auto"/>
        </w:tblBorders>
        <w:tblLayout w:type="fixed"/>
        <w:tblLook w:val="01E0" w:firstRow="1" w:lastRow="1" w:firstColumn="1" w:lastColumn="1" w:noHBand="0" w:noVBand="0"/>
      </w:tblPr>
      <w:tblGrid>
        <w:gridCol w:w="3052"/>
        <w:gridCol w:w="802"/>
        <w:gridCol w:w="1356"/>
        <w:gridCol w:w="1080"/>
        <w:gridCol w:w="1255"/>
        <w:gridCol w:w="1256"/>
      </w:tblGrid>
      <w:tr w:rsidR="00893C49" w:rsidRPr="007A01AC" w:rsidTr="008F51A7">
        <w:trPr>
          <w:trHeight w:val="402"/>
          <w:jc w:val="center"/>
        </w:trPr>
        <w:tc>
          <w:tcPr>
            <w:tcW w:w="3052" w:type="dxa"/>
            <w:tcBorders>
              <w:top w:val="single" w:sz="4" w:space="0" w:color="auto"/>
              <w:bottom w:val="single" w:sz="4" w:space="0" w:color="auto"/>
            </w:tcBorders>
            <w:shd w:val="clear" w:color="auto" w:fill="8DB3E2" w:themeFill="text2" w:themeFillTint="66"/>
            <w:vAlign w:val="center"/>
            <w:hideMark/>
          </w:tcPr>
          <w:p w:rsidR="00893C49" w:rsidRPr="007A01AC" w:rsidRDefault="00893C49" w:rsidP="00EC2941">
            <w:pPr>
              <w:pStyle w:val="cuadroCabe"/>
              <w:jc w:val="left"/>
              <w:rPr>
                <w:sz w:val="16"/>
                <w:szCs w:val="16"/>
              </w:rPr>
            </w:pPr>
            <w:r w:rsidRPr="007A01AC">
              <w:rPr>
                <w:sz w:val="16"/>
                <w:szCs w:val="16"/>
              </w:rPr>
              <w:t>Objeto</w:t>
            </w:r>
          </w:p>
        </w:tc>
        <w:tc>
          <w:tcPr>
            <w:tcW w:w="802" w:type="dxa"/>
            <w:tcBorders>
              <w:top w:val="single" w:sz="4" w:space="0" w:color="auto"/>
              <w:bottom w:val="single" w:sz="4" w:space="0" w:color="auto"/>
            </w:tcBorders>
            <w:shd w:val="clear" w:color="auto" w:fill="8DB3E2" w:themeFill="text2" w:themeFillTint="66"/>
            <w:vAlign w:val="center"/>
            <w:hideMark/>
          </w:tcPr>
          <w:p w:rsidR="00893C49" w:rsidRPr="007A01AC" w:rsidRDefault="00893C49" w:rsidP="008F51A7">
            <w:pPr>
              <w:pStyle w:val="cuadroCabe"/>
              <w:ind w:left="-382" w:right="100"/>
              <w:jc w:val="right"/>
              <w:rPr>
                <w:sz w:val="16"/>
                <w:szCs w:val="16"/>
              </w:rPr>
            </w:pPr>
            <w:r w:rsidRPr="007A01AC">
              <w:rPr>
                <w:sz w:val="16"/>
                <w:szCs w:val="16"/>
              </w:rPr>
              <w:t>Tipo</w:t>
            </w:r>
          </w:p>
        </w:tc>
        <w:tc>
          <w:tcPr>
            <w:tcW w:w="1356" w:type="dxa"/>
            <w:tcBorders>
              <w:top w:val="single" w:sz="4" w:space="0" w:color="auto"/>
              <w:bottom w:val="single" w:sz="4" w:space="0" w:color="auto"/>
            </w:tcBorders>
            <w:shd w:val="clear" w:color="auto" w:fill="8DB3E2" w:themeFill="text2" w:themeFillTint="66"/>
            <w:vAlign w:val="center"/>
            <w:hideMark/>
          </w:tcPr>
          <w:p w:rsidR="00893C49" w:rsidRPr="007A01AC" w:rsidRDefault="00893C49" w:rsidP="008F51A7">
            <w:pPr>
              <w:pStyle w:val="cuadroCabe"/>
              <w:ind w:left="124" w:right="-132"/>
              <w:jc w:val="left"/>
              <w:rPr>
                <w:sz w:val="16"/>
                <w:szCs w:val="16"/>
              </w:rPr>
            </w:pPr>
            <w:r w:rsidRPr="007A01AC">
              <w:rPr>
                <w:sz w:val="16"/>
                <w:szCs w:val="16"/>
              </w:rPr>
              <w:t>Procedimiento</w:t>
            </w:r>
          </w:p>
        </w:tc>
        <w:tc>
          <w:tcPr>
            <w:tcW w:w="1080" w:type="dxa"/>
            <w:tcBorders>
              <w:top w:val="single" w:sz="4" w:space="0" w:color="auto"/>
              <w:bottom w:val="single" w:sz="4" w:space="0" w:color="auto"/>
            </w:tcBorders>
            <w:shd w:val="clear" w:color="auto" w:fill="8DB3E2" w:themeFill="text2" w:themeFillTint="66"/>
            <w:vAlign w:val="center"/>
            <w:hideMark/>
          </w:tcPr>
          <w:p w:rsidR="00FA6F91" w:rsidRDefault="00893C49" w:rsidP="00FA6F91">
            <w:pPr>
              <w:pStyle w:val="cuadroCabe"/>
              <w:jc w:val="right"/>
              <w:rPr>
                <w:sz w:val="16"/>
                <w:szCs w:val="16"/>
              </w:rPr>
            </w:pPr>
            <w:r w:rsidRPr="007A01AC">
              <w:rPr>
                <w:sz w:val="16"/>
                <w:szCs w:val="16"/>
              </w:rPr>
              <w:t xml:space="preserve">Precio </w:t>
            </w:r>
          </w:p>
          <w:p w:rsidR="00893C49" w:rsidRPr="007A01AC" w:rsidRDefault="00893C49" w:rsidP="00FA6F91">
            <w:pPr>
              <w:pStyle w:val="cuadroCabe"/>
              <w:jc w:val="right"/>
              <w:rPr>
                <w:sz w:val="16"/>
                <w:szCs w:val="16"/>
              </w:rPr>
            </w:pPr>
            <w:r w:rsidRPr="007A01AC">
              <w:rPr>
                <w:sz w:val="16"/>
                <w:szCs w:val="16"/>
              </w:rPr>
              <w:t xml:space="preserve">licitación </w:t>
            </w:r>
          </w:p>
        </w:tc>
        <w:tc>
          <w:tcPr>
            <w:tcW w:w="1255" w:type="dxa"/>
            <w:tcBorders>
              <w:top w:val="single" w:sz="4" w:space="0" w:color="auto"/>
              <w:bottom w:val="single" w:sz="4" w:space="0" w:color="auto"/>
            </w:tcBorders>
            <w:shd w:val="clear" w:color="auto" w:fill="8DB3E2" w:themeFill="text2" w:themeFillTint="66"/>
            <w:vAlign w:val="center"/>
            <w:hideMark/>
          </w:tcPr>
          <w:p w:rsidR="00893C49" w:rsidRPr="007A01AC" w:rsidRDefault="00893C49" w:rsidP="00FA6F91">
            <w:pPr>
              <w:pStyle w:val="cuadroCabe"/>
              <w:jc w:val="right"/>
              <w:rPr>
                <w:sz w:val="16"/>
                <w:szCs w:val="16"/>
              </w:rPr>
            </w:pPr>
            <w:r w:rsidRPr="007A01AC">
              <w:rPr>
                <w:sz w:val="16"/>
                <w:szCs w:val="16"/>
              </w:rPr>
              <w:t xml:space="preserve">Importe </w:t>
            </w:r>
          </w:p>
          <w:p w:rsidR="00893C49" w:rsidRPr="007A01AC" w:rsidRDefault="00994743" w:rsidP="008F51A7">
            <w:pPr>
              <w:pStyle w:val="cuadroCabe"/>
              <w:jc w:val="right"/>
              <w:rPr>
                <w:sz w:val="16"/>
                <w:szCs w:val="16"/>
              </w:rPr>
            </w:pPr>
            <w:r>
              <w:rPr>
                <w:sz w:val="16"/>
                <w:szCs w:val="16"/>
              </w:rPr>
              <w:t>adjudicación</w:t>
            </w:r>
            <w:r w:rsidR="00893C49" w:rsidRPr="007A01AC">
              <w:rPr>
                <w:sz w:val="16"/>
                <w:szCs w:val="16"/>
              </w:rPr>
              <w:t xml:space="preserve"> </w:t>
            </w:r>
          </w:p>
        </w:tc>
        <w:tc>
          <w:tcPr>
            <w:tcW w:w="1256" w:type="dxa"/>
            <w:tcBorders>
              <w:top w:val="single" w:sz="4" w:space="0" w:color="auto"/>
              <w:bottom w:val="single" w:sz="4" w:space="0" w:color="auto"/>
            </w:tcBorders>
            <w:shd w:val="clear" w:color="auto" w:fill="8DB3E2" w:themeFill="text2" w:themeFillTint="66"/>
            <w:vAlign w:val="center"/>
          </w:tcPr>
          <w:p w:rsidR="00893C49" w:rsidRDefault="00893C49" w:rsidP="00FA6F91">
            <w:pPr>
              <w:pStyle w:val="cuadroCabe"/>
              <w:jc w:val="right"/>
              <w:rPr>
                <w:sz w:val="16"/>
                <w:szCs w:val="16"/>
              </w:rPr>
            </w:pPr>
            <w:r>
              <w:rPr>
                <w:sz w:val="16"/>
                <w:szCs w:val="16"/>
              </w:rPr>
              <w:t>Baja</w:t>
            </w:r>
          </w:p>
          <w:p w:rsidR="00893C49" w:rsidRPr="007A01AC" w:rsidRDefault="00893C49" w:rsidP="00994743">
            <w:pPr>
              <w:pStyle w:val="cuadroCabe"/>
              <w:jc w:val="right"/>
              <w:rPr>
                <w:sz w:val="16"/>
                <w:szCs w:val="16"/>
              </w:rPr>
            </w:pPr>
            <w:r>
              <w:rPr>
                <w:sz w:val="16"/>
                <w:szCs w:val="16"/>
              </w:rPr>
              <w:t xml:space="preserve"> adjudicación </w:t>
            </w:r>
          </w:p>
        </w:tc>
      </w:tr>
      <w:tr w:rsidR="00893C49" w:rsidRPr="00FA6F91" w:rsidTr="008F51A7">
        <w:trPr>
          <w:trHeight w:hRule="exact" w:val="284"/>
          <w:jc w:val="center"/>
        </w:trPr>
        <w:tc>
          <w:tcPr>
            <w:tcW w:w="3052" w:type="dxa"/>
            <w:tcBorders>
              <w:top w:val="single" w:sz="4" w:space="0" w:color="auto"/>
              <w:bottom w:val="single" w:sz="4" w:space="0" w:color="auto"/>
            </w:tcBorders>
            <w:vAlign w:val="center"/>
          </w:tcPr>
          <w:p w:rsidR="00893C49" w:rsidRPr="00FA6F91" w:rsidRDefault="00893C49" w:rsidP="00FA6F91">
            <w:pPr>
              <w:pStyle w:val="cuatexto"/>
              <w:jc w:val="left"/>
              <w:rPr>
                <w:sz w:val="18"/>
                <w:szCs w:val="18"/>
              </w:rPr>
            </w:pPr>
            <w:r w:rsidRPr="00FA6F91">
              <w:rPr>
                <w:sz w:val="18"/>
                <w:szCs w:val="18"/>
              </w:rPr>
              <w:t>Construcción Colegio .</w:t>
            </w:r>
            <w:proofErr w:type="spellStart"/>
            <w:r w:rsidRPr="00FA6F91">
              <w:rPr>
                <w:sz w:val="18"/>
                <w:szCs w:val="18"/>
              </w:rPr>
              <w:t>Sarriguren</w:t>
            </w:r>
            <w:proofErr w:type="spellEnd"/>
          </w:p>
        </w:tc>
        <w:tc>
          <w:tcPr>
            <w:tcW w:w="802" w:type="dxa"/>
            <w:tcBorders>
              <w:top w:val="single" w:sz="4" w:space="0" w:color="auto"/>
              <w:bottom w:val="single" w:sz="4" w:space="0" w:color="auto"/>
            </w:tcBorders>
            <w:vAlign w:val="center"/>
          </w:tcPr>
          <w:p w:rsidR="00893C49" w:rsidRPr="00FA6F91" w:rsidRDefault="00893C49" w:rsidP="00FA6F91">
            <w:pPr>
              <w:pStyle w:val="cuatexto"/>
              <w:jc w:val="right"/>
              <w:rPr>
                <w:sz w:val="18"/>
                <w:szCs w:val="18"/>
              </w:rPr>
            </w:pPr>
            <w:r w:rsidRPr="00FA6F91">
              <w:rPr>
                <w:sz w:val="18"/>
                <w:szCs w:val="18"/>
              </w:rPr>
              <w:t>Obras</w:t>
            </w:r>
          </w:p>
        </w:tc>
        <w:tc>
          <w:tcPr>
            <w:tcW w:w="1356" w:type="dxa"/>
            <w:tcBorders>
              <w:top w:val="single" w:sz="4" w:space="0" w:color="auto"/>
              <w:bottom w:val="single" w:sz="4" w:space="0" w:color="auto"/>
            </w:tcBorders>
            <w:vAlign w:val="center"/>
          </w:tcPr>
          <w:p w:rsidR="00893C49" w:rsidRPr="00FA6F91" w:rsidRDefault="00893C49" w:rsidP="008F51A7">
            <w:pPr>
              <w:pStyle w:val="cuatexto"/>
              <w:ind w:left="132"/>
              <w:jc w:val="left"/>
              <w:rPr>
                <w:sz w:val="18"/>
                <w:szCs w:val="18"/>
              </w:rPr>
            </w:pPr>
            <w:r w:rsidRPr="00FA6F91">
              <w:rPr>
                <w:sz w:val="18"/>
                <w:szCs w:val="18"/>
              </w:rPr>
              <w:t>Abierto</w:t>
            </w:r>
          </w:p>
        </w:tc>
        <w:tc>
          <w:tcPr>
            <w:tcW w:w="1080" w:type="dxa"/>
            <w:tcBorders>
              <w:top w:val="single" w:sz="4" w:space="0" w:color="auto"/>
              <w:bottom w:val="single" w:sz="4" w:space="0" w:color="auto"/>
            </w:tcBorders>
            <w:vAlign w:val="center"/>
          </w:tcPr>
          <w:p w:rsidR="00893C49" w:rsidRPr="00FA6F91" w:rsidRDefault="00893C49" w:rsidP="00FA6F91">
            <w:pPr>
              <w:pStyle w:val="cuatexto"/>
              <w:jc w:val="right"/>
              <w:rPr>
                <w:sz w:val="18"/>
                <w:szCs w:val="18"/>
              </w:rPr>
            </w:pPr>
            <w:r w:rsidRPr="00FA6F91">
              <w:rPr>
                <w:sz w:val="18"/>
                <w:szCs w:val="18"/>
              </w:rPr>
              <w:t>2.008.602</w:t>
            </w:r>
          </w:p>
        </w:tc>
        <w:tc>
          <w:tcPr>
            <w:tcW w:w="1255" w:type="dxa"/>
            <w:tcBorders>
              <w:top w:val="single" w:sz="4" w:space="0" w:color="auto"/>
              <w:bottom w:val="single" w:sz="4" w:space="0" w:color="auto"/>
            </w:tcBorders>
            <w:vAlign w:val="center"/>
          </w:tcPr>
          <w:p w:rsidR="00893C49" w:rsidRPr="00FA6F91" w:rsidRDefault="00893C49" w:rsidP="00FA6F91">
            <w:pPr>
              <w:pStyle w:val="cuatexto"/>
              <w:jc w:val="right"/>
              <w:rPr>
                <w:sz w:val="18"/>
                <w:szCs w:val="18"/>
              </w:rPr>
            </w:pPr>
            <w:r w:rsidRPr="00FA6F91">
              <w:rPr>
                <w:sz w:val="18"/>
                <w:szCs w:val="18"/>
              </w:rPr>
              <w:t>1.566.710</w:t>
            </w:r>
          </w:p>
        </w:tc>
        <w:tc>
          <w:tcPr>
            <w:tcW w:w="1256" w:type="dxa"/>
            <w:tcBorders>
              <w:top w:val="single" w:sz="4" w:space="0" w:color="auto"/>
              <w:bottom w:val="single" w:sz="4" w:space="0" w:color="auto"/>
            </w:tcBorders>
            <w:vAlign w:val="center"/>
          </w:tcPr>
          <w:p w:rsidR="00893C49" w:rsidRPr="00FA6F91" w:rsidRDefault="00893C49" w:rsidP="00FA6F91">
            <w:pPr>
              <w:pStyle w:val="cuatexto"/>
              <w:jc w:val="right"/>
              <w:rPr>
                <w:sz w:val="18"/>
                <w:szCs w:val="18"/>
              </w:rPr>
            </w:pPr>
            <w:r w:rsidRPr="00FA6F91">
              <w:rPr>
                <w:sz w:val="18"/>
                <w:szCs w:val="18"/>
              </w:rPr>
              <w:t>22%</w:t>
            </w:r>
          </w:p>
        </w:tc>
      </w:tr>
    </w:tbl>
    <w:p w:rsidR="00A811C0" w:rsidRDefault="00A26C7F" w:rsidP="00723F5F">
      <w:pPr>
        <w:pStyle w:val="texto"/>
        <w:spacing w:before="240"/>
        <w:rPr>
          <w:lang w:val="es-ES"/>
        </w:rPr>
      </w:pPr>
      <w:r>
        <w:rPr>
          <w:lang w:val="es-ES"/>
        </w:rPr>
        <w:t>L</w:t>
      </w:r>
      <w:r w:rsidR="00893C49">
        <w:rPr>
          <w:lang w:val="es-ES"/>
        </w:rPr>
        <w:t xml:space="preserve">a construcción del colegio </w:t>
      </w:r>
      <w:r w:rsidR="00723F5F" w:rsidRPr="00723F5F">
        <w:rPr>
          <w:lang w:val="es-ES"/>
        </w:rPr>
        <w:t xml:space="preserve">público de Educación infantil y primaria de </w:t>
      </w:r>
      <w:proofErr w:type="spellStart"/>
      <w:r w:rsidR="00723F5F" w:rsidRPr="00723F5F">
        <w:rPr>
          <w:lang w:val="es-ES"/>
        </w:rPr>
        <w:t>S</w:t>
      </w:r>
      <w:r w:rsidR="00723F5F" w:rsidRPr="00723F5F">
        <w:rPr>
          <w:lang w:val="es-ES"/>
        </w:rPr>
        <w:t>a</w:t>
      </w:r>
      <w:r w:rsidR="00723F5F" w:rsidRPr="00723F5F">
        <w:rPr>
          <w:lang w:val="es-ES"/>
        </w:rPr>
        <w:t>rriguren</w:t>
      </w:r>
      <w:proofErr w:type="spellEnd"/>
      <w:r w:rsidR="00723F5F" w:rsidRPr="00723F5F">
        <w:rPr>
          <w:lang w:val="es-ES"/>
        </w:rPr>
        <w:t xml:space="preserve"> </w:t>
      </w:r>
      <w:r w:rsidR="00893C49">
        <w:rPr>
          <w:lang w:val="es-ES"/>
        </w:rPr>
        <w:t xml:space="preserve">era una </w:t>
      </w:r>
      <w:r w:rsidR="00A811C0">
        <w:rPr>
          <w:lang w:val="es-ES"/>
        </w:rPr>
        <w:t>actuación prioritaria del Plan Navarra 2012</w:t>
      </w:r>
      <w:r w:rsidR="00723F5F">
        <w:rPr>
          <w:lang w:val="es-ES"/>
        </w:rPr>
        <w:t xml:space="preserve">. </w:t>
      </w:r>
      <w:r w:rsidR="00A811C0" w:rsidRPr="00723F5F">
        <w:rPr>
          <w:lang w:val="es-ES"/>
        </w:rPr>
        <w:t>La tramitación del expediente de contratación se inició en agosto del año 2010</w:t>
      </w:r>
      <w:r w:rsidR="00723F5F">
        <w:rPr>
          <w:lang w:val="es-ES"/>
        </w:rPr>
        <w:t xml:space="preserve"> y se paralizó. En diciembre de 2014 se adjudic</w:t>
      </w:r>
      <w:r w:rsidR="0080281D">
        <w:rPr>
          <w:lang w:val="es-ES"/>
        </w:rPr>
        <w:t>aron las obras</w:t>
      </w:r>
      <w:r w:rsidR="00826DCD">
        <w:rPr>
          <w:lang w:val="es-ES"/>
        </w:rPr>
        <w:t>,</w:t>
      </w:r>
      <w:r w:rsidR="0080281D">
        <w:rPr>
          <w:lang w:val="es-ES"/>
        </w:rPr>
        <w:t xml:space="preserve"> </w:t>
      </w:r>
      <w:r w:rsidR="00826DCD">
        <w:rPr>
          <w:lang w:val="es-ES"/>
        </w:rPr>
        <w:t>correspondientes a las áreas de a</w:t>
      </w:r>
      <w:r w:rsidR="00826DCD">
        <w:rPr>
          <w:lang w:val="es-ES"/>
        </w:rPr>
        <w:t>c</w:t>
      </w:r>
      <w:r w:rsidR="00826DCD">
        <w:rPr>
          <w:lang w:val="es-ES"/>
        </w:rPr>
        <w:t>tuación “A</w:t>
      </w:r>
      <w:proofErr w:type="gramStart"/>
      <w:r w:rsidR="00826DCD">
        <w:rPr>
          <w:lang w:val="es-ES"/>
        </w:rPr>
        <w:t>”</w:t>
      </w:r>
      <w:r w:rsidR="00903D3D">
        <w:rPr>
          <w:lang w:val="es-ES"/>
        </w:rPr>
        <w:t>(</w:t>
      </w:r>
      <w:proofErr w:type="gramEnd"/>
      <w:r w:rsidR="00903D3D">
        <w:rPr>
          <w:lang w:val="es-ES"/>
        </w:rPr>
        <w:t>aulas de primaria, gimnasio y despachos, entre otros)</w:t>
      </w:r>
      <w:r w:rsidR="00826DCD">
        <w:rPr>
          <w:lang w:val="es-ES"/>
        </w:rPr>
        <w:t xml:space="preserve"> y “C”</w:t>
      </w:r>
      <w:r w:rsidR="00903D3D">
        <w:rPr>
          <w:lang w:val="es-ES"/>
        </w:rPr>
        <w:t>( c</w:t>
      </w:r>
      <w:r w:rsidR="00903D3D">
        <w:rPr>
          <w:lang w:val="es-ES"/>
        </w:rPr>
        <w:t>o</w:t>
      </w:r>
      <w:r w:rsidR="00903D3D">
        <w:rPr>
          <w:lang w:val="es-ES"/>
        </w:rPr>
        <w:t>medor y cocina)</w:t>
      </w:r>
      <w:r w:rsidR="00826DCD">
        <w:rPr>
          <w:lang w:val="es-ES"/>
        </w:rPr>
        <w:t xml:space="preserve">, </w:t>
      </w:r>
      <w:r w:rsidR="0080281D">
        <w:rPr>
          <w:lang w:val="es-ES"/>
        </w:rPr>
        <w:t>por procedimiento abierto y tramitación anticipada y urgente motivada en la necesidad de escolarización.</w:t>
      </w:r>
      <w:r w:rsidR="00723F5F">
        <w:rPr>
          <w:lang w:val="es-ES"/>
        </w:rPr>
        <w:t xml:space="preserve"> </w:t>
      </w:r>
    </w:p>
    <w:p w:rsidR="0080281D" w:rsidRDefault="0080281D" w:rsidP="0080281D">
      <w:pPr>
        <w:pStyle w:val="texto"/>
        <w:spacing w:before="240"/>
        <w:rPr>
          <w:lang w:val="es-ES"/>
        </w:rPr>
      </w:pPr>
      <w:r w:rsidRPr="00723F5F">
        <w:rPr>
          <w:lang w:val="es-ES"/>
        </w:rPr>
        <w:t xml:space="preserve">En general, el expediente de contratación de las obras del Colegio de </w:t>
      </w:r>
      <w:proofErr w:type="spellStart"/>
      <w:r w:rsidRPr="00723F5F">
        <w:rPr>
          <w:lang w:val="es-ES"/>
        </w:rPr>
        <w:t>Sarr</w:t>
      </w:r>
      <w:r w:rsidRPr="00723F5F">
        <w:rPr>
          <w:lang w:val="es-ES"/>
        </w:rPr>
        <w:t>i</w:t>
      </w:r>
      <w:r w:rsidRPr="00723F5F">
        <w:rPr>
          <w:lang w:val="es-ES"/>
        </w:rPr>
        <w:t>guren</w:t>
      </w:r>
      <w:proofErr w:type="spellEnd"/>
      <w:r w:rsidRPr="00723F5F">
        <w:rPr>
          <w:lang w:val="es-ES"/>
        </w:rPr>
        <w:t>, su adjudicación y ejecución se tramitó conforme a la legislación contra</w:t>
      </w:r>
      <w:r w:rsidRPr="00723F5F">
        <w:rPr>
          <w:lang w:val="es-ES"/>
        </w:rPr>
        <w:t>c</w:t>
      </w:r>
      <w:r w:rsidRPr="00723F5F">
        <w:rPr>
          <w:lang w:val="es-ES"/>
        </w:rPr>
        <w:t>tual.</w:t>
      </w:r>
      <w:r w:rsidRPr="006D43A7">
        <w:rPr>
          <w:lang w:val="es-ES"/>
        </w:rPr>
        <w:t xml:space="preserve"> </w:t>
      </w:r>
    </w:p>
    <w:p w:rsidR="001B3767" w:rsidRDefault="00EC2941" w:rsidP="00EC2941">
      <w:pPr>
        <w:pStyle w:val="texto"/>
        <w:rPr>
          <w:lang w:val="es-ES"/>
        </w:rPr>
      </w:pPr>
      <w:r>
        <w:rPr>
          <w:lang w:val="es-ES"/>
        </w:rPr>
        <w:t>En cuanto al resto de transferencias, tanto corrientes como de capital, s</w:t>
      </w:r>
      <w:r w:rsidR="001B3767" w:rsidRPr="006D43A7">
        <w:rPr>
          <w:lang w:val="es-ES"/>
        </w:rPr>
        <w:t>e ha comprobado que, en general, los gastos revisados están autorizados, interven</w:t>
      </w:r>
      <w:r w:rsidR="001B3767" w:rsidRPr="006D43A7">
        <w:rPr>
          <w:lang w:val="es-ES"/>
        </w:rPr>
        <w:t>i</w:t>
      </w:r>
      <w:r w:rsidR="001B3767" w:rsidRPr="006D43A7">
        <w:rPr>
          <w:lang w:val="es-ES"/>
        </w:rPr>
        <w:t xml:space="preserve">dos, justificados y correctamente contabilizados y la concesión, justificación y abono de las subvenciones se realizó conforme a lo establecido en su normativa reguladora. </w:t>
      </w:r>
    </w:p>
    <w:p w:rsidR="00BA13B2" w:rsidRPr="006D43A7" w:rsidRDefault="00BA13B2" w:rsidP="00EC2941">
      <w:pPr>
        <w:pStyle w:val="texto"/>
        <w:rPr>
          <w:lang w:val="es-ES"/>
        </w:rPr>
      </w:pPr>
      <w:r>
        <w:rPr>
          <w:lang w:val="es-ES"/>
        </w:rPr>
        <w:lastRenderedPageBreak/>
        <w:t>Además, en la fiscalización que esta Cámara realizó del Ayuntamiento de Pamplona correspondiente al ejercicio 2014, se comprobó que en el cálculo del coste neto anual de las clases pasivas del Ayuntamiento que sirve de base para determinar la subvención del Gobierno de Navarra, no se descontó el ingreso que el ayuntamiento recibe del Gobierno en concepto de cuota patronal del pe</w:t>
      </w:r>
      <w:r>
        <w:rPr>
          <w:lang w:val="es-ES"/>
        </w:rPr>
        <w:t>r</w:t>
      </w:r>
      <w:r>
        <w:rPr>
          <w:lang w:val="es-ES"/>
        </w:rPr>
        <w:t>sonal del cuerpo de bomberos municipales, integrados en la Agencia Navarra de Emergencias, lo que supuso un exceso de financiación de 864.487 euros del Gobierno al Ayuntamiento de Pamplona.</w:t>
      </w:r>
    </w:p>
    <w:p w:rsidR="001B3767" w:rsidRPr="006D43A7" w:rsidRDefault="001B3767" w:rsidP="001B3767">
      <w:pPr>
        <w:pStyle w:val="texto"/>
        <w:rPr>
          <w:lang w:val="es-ES"/>
        </w:rPr>
      </w:pPr>
      <w:r w:rsidRPr="006D43A7">
        <w:rPr>
          <w:lang w:val="es-ES"/>
        </w:rPr>
        <w:t>Resaltamos las siguientes conclusiones de las transferencias y subvenciones revisadas:</w:t>
      </w:r>
    </w:p>
    <w:p w:rsidR="001B3767" w:rsidRPr="00742589" w:rsidRDefault="001B3767" w:rsidP="006D43A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742589">
        <w:rPr>
          <w:rFonts w:cs="Arial"/>
        </w:rPr>
        <w:t>Fundación Moderna</w:t>
      </w:r>
      <w:r w:rsidR="00742589" w:rsidRPr="00742589">
        <w:rPr>
          <w:rFonts w:cs="Arial"/>
        </w:rPr>
        <w:t>: la Fundación recibió en 2014 una subvención de</w:t>
      </w:r>
      <w:r w:rsidR="00742589">
        <w:rPr>
          <w:rFonts w:cs="Arial"/>
        </w:rPr>
        <w:t xml:space="preserve"> </w:t>
      </w:r>
      <w:r w:rsidRPr="00742589">
        <w:rPr>
          <w:lang w:val="es-ES"/>
        </w:rPr>
        <w:t xml:space="preserve">300.000 euros </w:t>
      </w:r>
      <w:r w:rsidR="00742589">
        <w:rPr>
          <w:lang w:val="es-ES"/>
        </w:rPr>
        <w:t xml:space="preserve">para financiar </w:t>
      </w:r>
      <w:r w:rsidRPr="00742589">
        <w:rPr>
          <w:lang w:val="es-ES"/>
        </w:rPr>
        <w:t xml:space="preserve">las actuaciones </w:t>
      </w:r>
      <w:r w:rsidR="00742589">
        <w:rPr>
          <w:lang w:val="es-ES"/>
        </w:rPr>
        <w:t xml:space="preserve">del </w:t>
      </w:r>
      <w:r w:rsidRPr="00742589">
        <w:rPr>
          <w:lang w:val="es-ES"/>
        </w:rPr>
        <w:t>ejercicio 2014</w:t>
      </w:r>
      <w:r w:rsidR="00B45926" w:rsidRPr="00742589">
        <w:rPr>
          <w:lang w:val="es-ES"/>
        </w:rPr>
        <w:t xml:space="preserve"> que supusieron un gasto de 510.820 euros.</w:t>
      </w:r>
    </w:p>
    <w:p w:rsidR="001B3767" w:rsidRPr="006D43A7" w:rsidRDefault="001B3767" w:rsidP="006D43A7">
      <w:pPr>
        <w:pStyle w:val="texto"/>
        <w:rPr>
          <w:lang w:val="es-ES"/>
        </w:rPr>
      </w:pPr>
      <w:r w:rsidRPr="006D43A7">
        <w:rPr>
          <w:lang w:val="es-ES"/>
        </w:rPr>
        <w:t xml:space="preserve">En el convenio </w:t>
      </w:r>
      <w:r w:rsidR="00742589">
        <w:rPr>
          <w:lang w:val="es-ES"/>
        </w:rPr>
        <w:t xml:space="preserve">regulador de la subvención </w:t>
      </w:r>
      <w:r w:rsidRPr="006D43A7">
        <w:rPr>
          <w:lang w:val="es-ES"/>
        </w:rPr>
        <w:t>se establece que la fundación pr</w:t>
      </w:r>
      <w:r w:rsidRPr="006D43A7">
        <w:rPr>
          <w:lang w:val="es-ES"/>
        </w:rPr>
        <w:t>e</w:t>
      </w:r>
      <w:r w:rsidRPr="006D43A7">
        <w:rPr>
          <w:lang w:val="es-ES"/>
        </w:rPr>
        <w:t>sentará una memoria detallada de las actividades desarrolladas que incluirá una valoración de los objetivos previstos en el Plan Moderna para el ejercicio 2030.</w:t>
      </w:r>
    </w:p>
    <w:p w:rsidR="001B3767" w:rsidRPr="006D43A7" w:rsidRDefault="001B3767" w:rsidP="00B45926">
      <w:pPr>
        <w:pStyle w:val="texto"/>
        <w:spacing w:after="260"/>
        <w:rPr>
          <w:lang w:val="es-ES"/>
        </w:rPr>
      </w:pPr>
      <w:r w:rsidRPr="006D43A7">
        <w:rPr>
          <w:lang w:val="es-ES"/>
        </w:rPr>
        <w:t xml:space="preserve">En la memoria de actuaciones de 2014 </w:t>
      </w:r>
      <w:r w:rsidR="00B45926">
        <w:rPr>
          <w:lang w:val="es-ES"/>
        </w:rPr>
        <w:t xml:space="preserve">se </w:t>
      </w:r>
      <w:r w:rsidRPr="006D43A7">
        <w:rPr>
          <w:lang w:val="es-ES"/>
        </w:rPr>
        <w:t>detallan los fondos captados y las actuaciones en empresas</w:t>
      </w:r>
      <w:r w:rsidR="00B45926">
        <w:rPr>
          <w:lang w:val="es-ES"/>
        </w:rPr>
        <w:t>,</w:t>
      </w:r>
      <w:r w:rsidRPr="006D43A7">
        <w:rPr>
          <w:lang w:val="es-ES"/>
        </w:rPr>
        <w:t xml:space="preserve"> proyectos y eventos en los que se ha participado</w:t>
      </w:r>
      <w:r w:rsidR="00B45926">
        <w:rPr>
          <w:lang w:val="es-ES"/>
        </w:rPr>
        <w:t>. E</w:t>
      </w:r>
      <w:r w:rsidR="00B45926">
        <w:rPr>
          <w:lang w:val="es-ES"/>
        </w:rPr>
        <w:t>s</w:t>
      </w:r>
      <w:r w:rsidR="00B45926">
        <w:rPr>
          <w:lang w:val="es-ES"/>
        </w:rPr>
        <w:t xml:space="preserve">tas actividades </w:t>
      </w:r>
      <w:r w:rsidRPr="006D43A7">
        <w:rPr>
          <w:lang w:val="es-ES"/>
        </w:rPr>
        <w:t xml:space="preserve">no se han relacionado </w:t>
      </w:r>
      <w:r w:rsidR="00B45926">
        <w:rPr>
          <w:lang w:val="es-ES"/>
        </w:rPr>
        <w:t xml:space="preserve">directamente </w:t>
      </w:r>
      <w:r w:rsidRPr="006D43A7">
        <w:rPr>
          <w:lang w:val="es-ES"/>
        </w:rPr>
        <w:t xml:space="preserve">con las previstas en el plan de actuación de 2014 en las áreas de </w:t>
      </w:r>
      <w:r w:rsidR="003357DD" w:rsidRPr="006D43A7">
        <w:rPr>
          <w:lang w:val="es-ES"/>
        </w:rPr>
        <w:t xml:space="preserve">Economía </w:t>
      </w:r>
      <w:r w:rsidRPr="006D43A7">
        <w:rPr>
          <w:lang w:val="es-ES"/>
        </w:rPr>
        <w:t xml:space="preserve">de la Salud, </w:t>
      </w:r>
      <w:r w:rsidR="003357DD" w:rsidRPr="006D43A7">
        <w:rPr>
          <w:lang w:val="es-ES"/>
        </w:rPr>
        <w:t xml:space="preserve">Economía </w:t>
      </w:r>
      <w:r w:rsidRPr="006D43A7">
        <w:rPr>
          <w:lang w:val="es-ES"/>
        </w:rPr>
        <w:t xml:space="preserve">verde y Economía del Talento ni se ha valorado su contribución a la consecución de los objetivos a largo plazo del Plan Moderna de los que se aporta información, la mayor parte de la misma no actualizada al ejercicio 2014. </w:t>
      </w:r>
    </w:p>
    <w:p w:rsidR="001B3767" w:rsidRPr="00742589" w:rsidRDefault="00742589"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En el año 2014 se concedieron</w:t>
      </w:r>
      <w:r w:rsidR="001B3767" w:rsidRPr="00742589">
        <w:rPr>
          <w:rFonts w:cs="Arial"/>
        </w:rPr>
        <w:t xml:space="preserve"> a la U</w:t>
      </w:r>
      <w:r>
        <w:rPr>
          <w:rFonts w:cs="Arial"/>
        </w:rPr>
        <w:t>niversidad Pública de Navarra</w:t>
      </w:r>
      <w:r w:rsidR="001B3767" w:rsidRPr="00742589">
        <w:rPr>
          <w:rFonts w:cs="Arial"/>
        </w:rPr>
        <w:t xml:space="preserve"> </w:t>
      </w:r>
      <w:r>
        <w:rPr>
          <w:rFonts w:cs="Arial"/>
        </w:rPr>
        <w:t xml:space="preserve">(UPNA) </w:t>
      </w:r>
      <w:r w:rsidR="001B3767" w:rsidRPr="00742589">
        <w:rPr>
          <w:rFonts w:cs="Arial"/>
        </w:rPr>
        <w:t xml:space="preserve">51.794.279 euros de transferencias corrientes, el 94 por ciento para financiar labores de docencia e investigación y el resto, para la financiación de retribuciones complementarias del profesorado. </w:t>
      </w:r>
    </w:p>
    <w:p w:rsidR="001B3767" w:rsidRPr="006D43A7" w:rsidRDefault="00742589" w:rsidP="006D43A7">
      <w:pPr>
        <w:pStyle w:val="texto"/>
        <w:rPr>
          <w:lang w:val="es-ES"/>
        </w:rPr>
      </w:pPr>
      <w:r>
        <w:rPr>
          <w:lang w:val="es-ES"/>
        </w:rPr>
        <w:t xml:space="preserve">En el </w:t>
      </w:r>
      <w:r w:rsidR="001B3767" w:rsidRPr="006D43A7">
        <w:rPr>
          <w:lang w:val="es-ES"/>
        </w:rPr>
        <w:t xml:space="preserve">convenio de financiación de la UPNA </w:t>
      </w:r>
      <w:r>
        <w:rPr>
          <w:lang w:val="es-ES"/>
        </w:rPr>
        <w:t xml:space="preserve">firmado </w:t>
      </w:r>
      <w:r w:rsidR="001B3767" w:rsidRPr="006D43A7">
        <w:rPr>
          <w:lang w:val="es-ES"/>
        </w:rPr>
        <w:t>el 20 de junio de 2014</w:t>
      </w:r>
      <w:r>
        <w:rPr>
          <w:lang w:val="es-ES"/>
        </w:rPr>
        <w:t xml:space="preserve"> se r</w:t>
      </w:r>
      <w:r w:rsidR="001B3767" w:rsidRPr="006D43A7">
        <w:rPr>
          <w:lang w:val="es-ES"/>
        </w:rPr>
        <w:t>ecoge el compromiso del Gobierno y de la UPNA de implantar un nuevo modelo de financiación</w:t>
      </w:r>
      <w:r w:rsidR="00326C2A">
        <w:rPr>
          <w:lang w:val="es-ES"/>
        </w:rPr>
        <w:t xml:space="preserve"> plurianual</w:t>
      </w:r>
      <w:r w:rsidR="001B3767" w:rsidRPr="006D43A7">
        <w:rPr>
          <w:lang w:val="es-ES"/>
        </w:rPr>
        <w:t xml:space="preserve"> de la actividad universitaria</w:t>
      </w:r>
      <w:r w:rsidR="00326C2A">
        <w:rPr>
          <w:lang w:val="es-ES"/>
        </w:rPr>
        <w:t xml:space="preserve">, continuando los trabajos de la </w:t>
      </w:r>
      <w:r w:rsidR="003357DD">
        <w:rPr>
          <w:lang w:val="es-ES"/>
        </w:rPr>
        <w:t xml:space="preserve">comisión paritaria </w:t>
      </w:r>
      <w:r w:rsidR="00326C2A">
        <w:rPr>
          <w:lang w:val="es-ES"/>
        </w:rPr>
        <w:t>creada entre ambas entidades</w:t>
      </w:r>
      <w:r w:rsidR="001B3767" w:rsidRPr="006D43A7">
        <w:rPr>
          <w:lang w:val="es-ES"/>
        </w:rPr>
        <w:t>.</w:t>
      </w:r>
    </w:p>
    <w:p w:rsidR="001B3767" w:rsidRPr="006D43A7" w:rsidRDefault="00583173" w:rsidP="00AD140F">
      <w:pPr>
        <w:pStyle w:val="texto"/>
        <w:spacing w:after="180"/>
        <w:rPr>
          <w:lang w:val="es-ES"/>
        </w:rPr>
      </w:pPr>
      <w:r w:rsidRPr="006D43A7">
        <w:rPr>
          <w:lang w:val="es-ES"/>
        </w:rPr>
        <w:t>No se ha aprobado el modelo de financiación plurianual de la UPNA.</w:t>
      </w:r>
    </w:p>
    <w:p w:rsidR="00747A8C" w:rsidRPr="00742589" w:rsidRDefault="001B3767"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742589">
        <w:rPr>
          <w:rFonts w:cs="Arial"/>
        </w:rPr>
        <w:t xml:space="preserve">La sociedad pública </w:t>
      </w:r>
      <w:proofErr w:type="spellStart"/>
      <w:r w:rsidRPr="00742589">
        <w:rPr>
          <w:rFonts w:cs="Arial"/>
        </w:rPr>
        <w:t>Nasuvinsa</w:t>
      </w:r>
      <w:proofErr w:type="spellEnd"/>
      <w:r w:rsidRPr="00742589">
        <w:rPr>
          <w:rFonts w:cs="Arial"/>
        </w:rPr>
        <w:t xml:space="preserve"> recibió en 2014 un total de 951.963 euros de transferencias corrientes de la Administración Foral. </w:t>
      </w:r>
    </w:p>
    <w:p w:rsidR="001B3767" w:rsidRDefault="001B3767" w:rsidP="00AD140F">
      <w:pPr>
        <w:pStyle w:val="texto"/>
        <w:spacing w:after="180"/>
      </w:pPr>
      <w:r>
        <w:t xml:space="preserve">De este importe, 131.377 euros </w:t>
      </w:r>
      <w:r w:rsidR="00742589">
        <w:t>fuero</w:t>
      </w:r>
      <w:r>
        <w:t>n para financiar gastos de funcion</w:t>
      </w:r>
      <w:r>
        <w:t>a</w:t>
      </w:r>
      <w:r>
        <w:t xml:space="preserve">miento de la sociedad pública Agencia Navarra del Transporte y Logística (ANL) del segundo semestre de 2014, absorbida por </w:t>
      </w:r>
      <w:proofErr w:type="spellStart"/>
      <w:r>
        <w:t>Nasuvinsa</w:t>
      </w:r>
      <w:proofErr w:type="spellEnd"/>
      <w:r>
        <w:t xml:space="preserve"> el 1 de julio de 2014. Este gasto se aprobó el 15 de enero de 2015.</w:t>
      </w:r>
      <w:r w:rsidR="00583173">
        <w:t xml:space="preserve"> </w:t>
      </w:r>
      <w:proofErr w:type="spellStart"/>
      <w:r w:rsidR="00F95488">
        <w:rPr>
          <w:lang w:val="es-ES"/>
        </w:rPr>
        <w:t>Nasuvinsa</w:t>
      </w:r>
      <w:proofErr w:type="spellEnd"/>
      <w:r w:rsidR="00F95488">
        <w:rPr>
          <w:lang w:val="es-ES"/>
        </w:rPr>
        <w:t xml:space="preserve"> no había acord</w:t>
      </w:r>
      <w:r w:rsidR="00F95488">
        <w:rPr>
          <w:lang w:val="es-ES"/>
        </w:rPr>
        <w:t>a</w:t>
      </w:r>
      <w:r w:rsidR="00F95488">
        <w:rPr>
          <w:lang w:val="es-ES"/>
        </w:rPr>
        <w:lastRenderedPageBreak/>
        <w:t xml:space="preserve">do las nuevas </w:t>
      </w:r>
      <w:r w:rsidR="00747A8C">
        <w:rPr>
          <w:lang w:val="es-ES"/>
        </w:rPr>
        <w:t xml:space="preserve">condiciones de financiación para </w:t>
      </w:r>
      <w:r w:rsidR="00D07F49">
        <w:rPr>
          <w:lang w:val="es-ES"/>
        </w:rPr>
        <w:t>e</w:t>
      </w:r>
      <w:r w:rsidR="00747A8C">
        <w:rPr>
          <w:lang w:val="es-ES"/>
        </w:rPr>
        <w:t>stos gas</w:t>
      </w:r>
      <w:r w:rsidR="00F95488">
        <w:rPr>
          <w:lang w:val="es-ES"/>
        </w:rPr>
        <w:t>tos una vez hubo a</w:t>
      </w:r>
      <w:r w:rsidR="00F95488">
        <w:rPr>
          <w:lang w:val="es-ES"/>
        </w:rPr>
        <w:t>b</w:t>
      </w:r>
      <w:r w:rsidR="00F95488">
        <w:rPr>
          <w:lang w:val="es-ES"/>
        </w:rPr>
        <w:t>sorbido a ANL.</w:t>
      </w:r>
    </w:p>
    <w:p w:rsidR="00583173" w:rsidRPr="00742589" w:rsidRDefault="001B3767" w:rsidP="00742589">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742589">
        <w:rPr>
          <w:rFonts w:cs="Arial"/>
        </w:rPr>
        <w:t>La sociedad Pública INTIA recibió de la Administración Foral un total de 4,56 millones de euros en concepto de transferencias corrientes</w:t>
      </w:r>
      <w:r w:rsidR="00666135" w:rsidRPr="00742589">
        <w:rPr>
          <w:rFonts w:cs="Arial"/>
        </w:rPr>
        <w:t xml:space="preserve"> para los s</w:t>
      </w:r>
      <w:r w:rsidR="00666135" w:rsidRPr="00742589">
        <w:rPr>
          <w:rFonts w:cs="Arial"/>
        </w:rPr>
        <w:t>i</w:t>
      </w:r>
      <w:r w:rsidR="00666135" w:rsidRPr="00742589">
        <w:rPr>
          <w:rFonts w:cs="Arial"/>
        </w:rPr>
        <w:t>guientes fines:</w:t>
      </w:r>
    </w:p>
    <w:p w:rsidR="008720D8" w:rsidRDefault="00FB3882" w:rsidP="00AD140F">
      <w:pPr>
        <w:pStyle w:val="texto"/>
        <w:spacing w:after="180"/>
        <w:rPr>
          <w:lang w:val="es-ES"/>
        </w:rPr>
      </w:pPr>
      <w:r>
        <w:rPr>
          <w:lang w:val="es-ES"/>
        </w:rPr>
        <w:t>a)</w:t>
      </w:r>
      <w:r w:rsidR="001B6299">
        <w:rPr>
          <w:lang w:val="es-ES"/>
        </w:rPr>
        <w:t xml:space="preserve"> </w:t>
      </w:r>
      <w:r w:rsidR="00742589">
        <w:rPr>
          <w:lang w:val="es-ES"/>
        </w:rPr>
        <w:t>F</w:t>
      </w:r>
      <w:r w:rsidR="008720D8" w:rsidRPr="00666135">
        <w:rPr>
          <w:lang w:val="es-ES"/>
        </w:rPr>
        <w:t xml:space="preserve">omento de </w:t>
      </w:r>
      <w:proofErr w:type="spellStart"/>
      <w:r w:rsidR="00666135">
        <w:rPr>
          <w:lang w:val="es-ES"/>
        </w:rPr>
        <w:t>I+D+i</w:t>
      </w:r>
      <w:proofErr w:type="spellEnd"/>
      <w:r w:rsidR="008720D8" w:rsidRPr="00666135">
        <w:rPr>
          <w:lang w:val="es-ES"/>
        </w:rPr>
        <w:t xml:space="preserve"> en técnicas de producciones agrícolas y pecuarias y de asesoramiento técnico en producción y seguridad alimenta</w:t>
      </w:r>
      <w:r w:rsidR="00742589">
        <w:rPr>
          <w:lang w:val="es-ES"/>
        </w:rPr>
        <w:t>ria en agricultura y ganadería: 2,8 millones</w:t>
      </w:r>
    </w:p>
    <w:p w:rsidR="00666135" w:rsidRDefault="00FB3882" w:rsidP="00AD140F">
      <w:pPr>
        <w:pStyle w:val="texto"/>
        <w:spacing w:after="180"/>
        <w:rPr>
          <w:lang w:val="es-ES"/>
        </w:rPr>
      </w:pPr>
      <w:r>
        <w:rPr>
          <w:lang w:val="es-ES"/>
        </w:rPr>
        <w:t>b)</w:t>
      </w:r>
      <w:r w:rsidR="001B6299">
        <w:rPr>
          <w:lang w:val="es-ES"/>
        </w:rPr>
        <w:t xml:space="preserve"> </w:t>
      </w:r>
      <w:r w:rsidR="00742589">
        <w:rPr>
          <w:lang w:val="es-ES"/>
        </w:rPr>
        <w:t>A</w:t>
      </w:r>
      <w:r w:rsidR="00666135">
        <w:rPr>
          <w:lang w:val="es-ES"/>
        </w:rPr>
        <w:t>ctividades de promoción y asistencia a consejos regula</w:t>
      </w:r>
      <w:r w:rsidR="00742589">
        <w:rPr>
          <w:lang w:val="es-ES"/>
        </w:rPr>
        <w:t>dores: 1,13 m</w:t>
      </w:r>
      <w:r w:rsidR="00742589">
        <w:rPr>
          <w:lang w:val="es-ES"/>
        </w:rPr>
        <w:t>i</w:t>
      </w:r>
      <w:r w:rsidR="00742589">
        <w:rPr>
          <w:lang w:val="es-ES"/>
        </w:rPr>
        <w:t>llones.</w:t>
      </w:r>
    </w:p>
    <w:p w:rsidR="00666135" w:rsidRDefault="00FB3882" w:rsidP="00AD140F">
      <w:pPr>
        <w:pStyle w:val="texto"/>
        <w:spacing w:after="180"/>
        <w:rPr>
          <w:lang w:val="es-ES"/>
        </w:rPr>
      </w:pPr>
      <w:r>
        <w:rPr>
          <w:lang w:val="es-ES"/>
        </w:rPr>
        <w:t>c)</w:t>
      </w:r>
      <w:r w:rsidR="001B6299">
        <w:rPr>
          <w:lang w:val="es-ES"/>
        </w:rPr>
        <w:t xml:space="preserve"> </w:t>
      </w:r>
      <w:r w:rsidR="00742589">
        <w:rPr>
          <w:lang w:val="es-ES"/>
        </w:rPr>
        <w:t>Acciones</w:t>
      </w:r>
      <w:r w:rsidR="00666135">
        <w:rPr>
          <w:lang w:val="es-ES"/>
        </w:rPr>
        <w:t xml:space="preserve"> de form</w:t>
      </w:r>
      <w:r w:rsidR="00742589">
        <w:rPr>
          <w:lang w:val="es-ES"/>
        </w:rPr>
        <w:t>ación agraria y agroalimentaria: 0,15 millones.</w:t>
      </w:r>
    </w:p>
    <w:p w:rsidR="00666135" w:rsidRDefault="00FB3882" w:rsidP="00AD140F">
      <w:pPr>
        <w:pStyle w:val="texto"/>
        <w:spacing w:after="180"/>
        <w:rPr>
          <w:lang w:val="es-ES"/>
        </w:rPr>
      </w:pPr>
      <w:r>
        <w:rPr>
          <w:lang w:val="es-ES"/>
        </w:rPr>
        <w:t>d)</w:t>
      </w:r>
      <w:r w:rsidR="001B6299">
        <w:rPr>
          <w:lang w:val="es-ES"/>
        </w:rPr>
        <w:t xml:space="preserve"> </w:t>
      </w:r>
      <w:r w:rsidR="00742589">
        <w:rPr>
          <w:lang w:val="es-ES"/>
        </w:rPr>
        <w:t>A</w:t>
      </w:r>
      <w:r w:rsidR="00666135">
        <w:rPr>
          <w:lang w:val="es-ES"/>
        </w:rPr>
        <w:t xml:space="preserve">ctividades relacionadas </w:t>
      </w:r>
      <w:r w:rsidR="000F4EC6">
        <w:rPr>
          <w:lang w:val="es-ES"/>
        </w:rPr>
        <w:t>c</w:t>
      </w:r>
      <w:r w:rsidR="00666135" w:rsidRPr="006D43A7">
        <w:rPr>
          <w:lang w:val="es-ES"/>
        </w:rPr>
        <w:t>on la puesta en riego de la zona regable del C</w:t>
      </w:r>
      <w:r w:rsidR="00666135" w:rsidRPr="006D43A7">
        <w:rPr>
          <w:lang w:val="es-ES"/>
        </w:rPr>
        <w:t>a</w:t>
      </w:r>
      <w:r w:rsidR="00666135" w:rsidRPr="006D43A7">
        <w:rPr>
          <w:lang w:val="es-ES"/>
        </w:rPr>
        <w:t>nal de Navarra</w:t>
      </w:r>
      <w:r w:rsidR="00742589">
        <w:rPr>
          <w:lang w:val="es-ES"/>
        </w:rPr>
        <w:t>: 0,48 millones.</w:t>
      </w:r>
    </w:p>
    <w:p w:rsidR="001B3767" w:rsidRDefault="00666135" w:rsidP="00AD140F">
      <w:pPr>
        <w:pStyle w:val="texto"/>
        <w:spacing w:after="180"/>
        <w:rPr>
          <w:lang w:val="es-ES"/>
        </w:rPr>
      </w:pPr>
      <w:r>
        <w:rPr>
          <w:lang w:val="es-ES"/>
        </w:rPr>
        <w:t xml:space="preserve">Todas las transferencias, menos esta última, </w:t>
      </w:r>
      <w:r w:rsidR="00583173">
        <w:rPr>
          <w:lang w:val="es-ES"/>
        </w:rPr>
        <w:t>se regularon en los correspo</w:t>
      </w:r>
      <w:r w:rsidR="00583173">
        <w:rPr>
          <w:lang w:val="es-ES"/>
        </w:rPr>
        <w:t>n</w:t>
      </w:r>
      <w:r w:rsidR="00583173">
        <w:rPr>
          <w:lang w:val="es-ES"/>
        </w:rPr>
        <w:t>dientes convenios</w:t>
      </w:r>
      <w:r>
        <w:rPr>
          <w:lang w:val="es-ES"/>
        </w:rPr>
        <w:t>.</w:t>
      </w:r>
      <w:r w:rsidR="001B3767" w:rsidRPr="006D43A7">
        <w:rPr>
          <w:lang w:val="es-ES"/>
        </w:rPr>
        <w:t xml:space="preserve"> No consta que se realice un seguimiento ni se d</w:t>
      </w:r>
      <w:r w:rsidR="00583173">
        <w:rPr>
          <w:lang w:val="es-ES"/>
        </w:rPr>
        <w:t>a</w:t>
      </w:r>
      <w:r w:rsidR="001B3767" w:rsidRPr="006D43A7">
        <w:rPr>
          <w:lang w:val="es-ES"/>
        </w:rPr>
        <w:t xml:space="preserve"> el visto bueno a la memoria presentada por la sociedad pública</w:t>
      </w:r>
      <w:r>
        <w:rPr>
          <w:lang w:val="es-ES"/>
        </w:rPr>
        <w:t xml:space="preserve"> en relación con las act</w:t>
      </w:r>
      <w:r>
        <w:rPr>
          <w:lang w:val="es-ES"/>
        </w:rPr>
        <w:t>i</w:t>
      </w:r>
      <w:r>
        <w:rPr>
          <w:lang w:val="es-ES"/>
        </w:rPr>
        <w:t xml:space="preserve">vidades de </w:t>
      </w:r>
      <w:r w:rsidRPr="006D43A7">
        <w:rPr>
          <w:lang w:val="es-ES"/>
        </w:rPr>
        <w:t>puesta en riego de la zona regable del Canal de Navarra</w:t>
      </w:r>
      <w:r w:rsidR="00AC2ED5">
        <w:rPr>
          <w:lang w:val="es-ES"/>
        </w:rPr>
        <w:t>.</w:t>
      </w:r>
    </w:p>
    <w:p w:rsidR="00AC2ED5" w:rsidRPr="006D43A7" w:rsidRDefault="00AC2ED5" w:rsidP="00AD140F">
      <w:pPr>
        <w:pStyle w:val="texto"/>
        <w:spacing w:after="180"/>
        <w:rPr>
          <w:lang w:val="es-ES"/>
        </w:rPr>
      </w:pPr>
      <w:r>
        <w:rPr>
          <w:lang w:val="es-ES"/>
        </w:rPr>
        <w:t xml:space="preserve"> Además</w:t>
      </w:r>
      <w:r w:rsidR="00D07F49">
        <w:rPr>
          <w:lang w:val="es-ES"/>
        </w:rPr>
        <w:t>,</w:t>
      </w:r>
      <w:r>
        <w:rPr>
          <w:lang w:val="es-ES"/>
        </w:rPr>
        <w:t xml:space="preserve"> INTIA recibió 14,94 millones de euros para el pago del canon del Canal de Navarra.</w:t>
      </w:r>
    </w:p>
    <w:p w:rsidR="001B3767" w:rsidRPr="00846868" w:rsidRDefault="001B3767" w:rsidP="00AD140F">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846868">
        <w:rPr>
          <w:rFonts w:cs="Arial"/>
        </w:rPr>
        <w:t xml:space="preserve">Fundación Pablo </w:t>
      </w:r>
      <w:proofErr w:type="spellStart"/>
      <w:r w:rsidRPr="00846868">
        <w:rPr>
          <w:rFonts w:cs="Arial"/>
        </w:rPr>
        <w:t>Sarasate</w:t>
      </w:r>
      <w:proofErr w:type="spellEnd"/>
      <w:r w:rsidR="006D70C6">
        <w:rPr>
          <w:rFonts w:cs="Arial"/>
        </w:rPr>
        <w:t>.</w:t>
      </w:r>
      <w:r w:rsidRPr="00846868">
        <w:rPr>
          <w:rFonts w:cs="Arial"/>
        </w:rPr>
        <w:t xml:space="preserve"> </w:t>
      </w:r>
    </w:p>
    <w:p w:rsidR="001B3767" w:rsidRPr="006D43A7" w:rsidRDefault="00892023" w:rsidP="00AD140F">
      <w:pPr>
        <w:pStyle w:val="texto"/>
        <w:spacing w:after="180"/>
        <w:rPr>
          <w:lang w:val="es-ES"/>
        </w:rPr>
      </w:pPr>
      <w:r>
        <w:rPr>
          <w:lang w:val="es-ES"/>
        </w:rPr>
        <w:t xml:space="preserve">La Fundación Pablo </w:t>
      </w:r>
      <w:proofErr w:type="spellStart"/>
      <w:r>
        <w:rPr>
          <w:lang w:val="es-ES"/>
        </w:rPr>
        <w:t>Sarasate</w:t>
      </w:r>
      <w:proofErr w:type="spellEnd"/>
      <w:r>
        <w:rPr>
          <w:lang w:val="es-ES"/>
        </w:rPr>
        <w:t xml:space="preserve"> se creó en 1997 para la gestión de la Orquesta Sinfónica de Navarra. </w:t>
      </w:r>
      <w:r w:rsidR="001B3767" w:rsidRPr="006D43A7">
        <w:rPr>
          <w:lang w:val="es-ES"/>
        </w:rPr>
        <w:t xml:space="preserve">Esta fundación recibió de la Administración Foral una subvención </w:t>
      </w:r>
      <w:r w:rsidR="00345A16">
        <w:rPr>
          <w:lang w:val="es-ES"/>
        </w:rPr>
        <w:t xml:space="preserve">total </w:t>
      </w:r>
      <w:r w:rsidR="001B3767" w:rsidRPr="006D43A7">
        <w:rPr>
          <w:lang w:val="es-ES"/>
        </w:rPr>
        <w:t>de 2.551.696 eu</w:t>
      </w:r>
      <w:r w:rsidR="00345A16">
        <w:rPr>
          <w:lang w:val="es-ES"/>
        </w:rPr>
        <w:t xml:space="preserve">ros en 2014. De este importe, 1.600.500 euros corresponden a una subvención nominativa </w:t>
      </w:r>
      <w:r>
        <w:rPr>
          <w:lang w:val="es-ES"/>
        </w:rPr>
        <w:t xml:space="preserve">para financiar las </w:t>
      </w:r>
      <w:r w:rsidRPr="006D43A7">
        <w:rPr>
          <w:lang w:val="es-ES"/>
        </w:rPr>
        <w:t>actividades y fu</w:t>
      </w:r>
      <w:r w:rsidRPr="006D43A7">
        <w:rPr>
          <w:lang w:val="es-ES"/>
        </w:rPr>
        <w:t>n</w:t>
      </w:r>
      <w:r w:rsidRPr="006D43A7">
        <w:rPr>
          <w:lang w:val="es-ES"/>
        </w:rPr>
        <w:t xml:space="preserve">cionamiento </w:t>
      </w:r>
      <w:r>
        <w:rPr>
          <w:lang w:val="es-ES"/>
        </w:rPr>
        <w:t xml:space="preserve">de la Fundación en </w:t>
      </w:r>
      <w:r w:rsidRPr="006D43A7">
        <w:rPr>
          <w:lang w:val="es-ES"/>
        </w:rPr>
        <w:t>el periodo del 1 de septiembre de 2013 a 31 de agosto de 2014</w:t>
      </w:r>
      <w:r w:rsidR="00345A16">
        <w:rPr>
          <w:lang w:val="es-ES"/>
        </w:rPr>
        <w:t xml:space="preserve">. El resto, 951.196 euros, se otorgaron, en octubre y diciembre de 2014, mediante concesión directa, </w:t>
      </w:r>
      <w:r w:rsidR="001B3767" w:rsidRPr="006D43A7">
        <w:rPr>
          <w:lang w:val="es-ES"/>
        </w:rPr>
        <w:t>por la insuficiencia de recursos económ</w:t>
      </w:r>
      <w:r w:rsidR="001B3767" w:rsidRPr="006D43A7">
        <w:rPr>
          <w:lang w:val="es-ES"/>
        </w:rPr>
        <w:t>i</w:t>
      </w:r>
      <w:r w:rsidR="001B3767" w:rsidRPr="006D43A7">
        <w:rPr>
          <w:lang w:val="es-ES"/>
        </w:rPr>
        <w:t>cos debido a la no concreción de todos los patrocinios previstos. Según se ind</w:t>
      </w:r>
      <w:r w:rsidR="001B3767" w:rsidRPr="006D43A7">
        <w:rPr>
          <w:lang w:val="es-ES"/>
        </w:rPr>
        <w:t>i</w:t>
      </w:r>
      <w:r w:rsidR="001B3767" w:rsidRPr="006D43A7">
        <w:rPr>
          <w:lang w:val="es-ES"/>
        </w:rPr>
        <w:t>ca, parte de la subvención se destinará al pago de nóminas del personal.</w:t>
      </w:r>
    </w:p>
    <w:p w:rsidR="001B3767" w:rsidRPr="006D43A7" w:rsidRDefault="001B3767" w:rsidP="00AD140F">
      <w:pPr>
        <w:pStyle w:val="texto"/>
        <w:spacing w:after="180"/>
        <w:rPr>
          <w:lang w:val="es-ES"/>
        </w:rPr>
      </w:pPr>
      <w:r w:rsidRPr="006D43A7">
        <w:rPr>
          <w:lang w:val="es-ES"/>
        </w:rPr>
        <w:t xml:space="preserve">Los gastos de personal de la fundación ascendieron a 4.118.288 euros, el 73 por ciento del total de gastos, y corresponden a 70 personas, entre ellas ocho consejeros y un alto directivo. </w:t>
      </w:r>
    </w:p>
    <w:p w:rsidR="001B3767" w:rsidRDefault="001B3767" w:rsidP="00AD140F">
      <w:pPr>
        <w:pStyle w:val="texto"/>
        <w:spacing w:after="180"/>
        <w:rPr>
          <w:lang w:val="es-ES"/>
        </w:rPr>
      </w:pPr>
      <w:r w:rsidRPr="006D43A7">
        <w:rPr>
          <w:lang w:val="es-ES"/>
        </w:rPr>
        <w:t>En la justificación de la concesión directa de las subvenciones se indica que la determinación del destinatario, en razón del objeto de la subvención, excluye la posibilidad de acceso de cualquier otro interesado. La Ley Foral de subve</w:t>
      </w:r>
      <w:r w:rsidRPr="006D43A7">
        <w:rPr>
          <w:lang w:val="es-ES"/>
        </w:rPr>
        <w:t>n</w:t>
      </w:r>
      <w:r w:rsidRPr="006D43A7">
        <w:rPr>
          <w:lang w:val="es-ES"/>
        </w:rPr>
        <w:t xml:space="preserve">ciones contempla este supuesto de concesión directa con carácter excepcional. </w:t>
      </w:r>
      <w:r w:rsidRPr="006D43A7">
        <w:rPr>
          <w:lang w:val="es-ES"/>
        </w:rPr>
        <w:lastRenderedPageBreak/>
        <w:t>La utilidad pública de la subvención la fundamentan en la participación de la orquesta en el desarrollo cultural de la Comunidad Foral.</w:t>
      </w:r>
    </w:p>
    <w:p w:rsidR="002227E0" w:rsidRDefault="002227E0" w:rsidP="00326C2A">
      <w:pPr>
        <w:pStyle w:val="texto"/>
        <w:spacing w:after="180"/>
        <w:rPr>
          <w:lang w:val="es-ES"/>
        </w:rPr>
      </w:pPr>
      <w:r>
        <w:rPr>
          <w:lang w:val="es-ES"/>
        </w:rPr>
        <w:t>La fundación ha recibido de la Administración Foral entre 3,5 y 4,2 millones anuales en los años 2010 a 2012, 1,65 millones en 2013 y 2,55 en 2014.</w:t>
      </w:r>
    </w:p>
    <w:p w:rsidR="00AC2ED5" w:rsidRPr="00AC2ED5" w:rsidRDefault="00AC2ED5" w:rsidP="00326C2A">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rPr>
      </w:pPr>
      <w:r w:rsidRPr="00AC2ED5">
        <w:rPr>
          <w:rFonts w:cs="Arial"/>
        </w:rPr>
        <w:t>Transferencias de capital para rehabilitación de viviendas</w:t>
      </w:r>
      <w:r w:rsidR="006955A3">
        <w:rPr>
          <w:rFonts w:cs="Arial"/>
        </w:rPr>
        <w:t>: los comprom</w:t>
      </w:r>
      <w:r w:rsidR="006955A3">
        <w:rPr>
          <w:rFonts w:cs="Arial"/>
        </w:rPr>
        <w:t>i</w:t>
      </w:r>
      <w:r w:rsidR="006955A3">
        <w:rPr>
          <w:rFonts w:cs="Arial"/>
        </w:rPr>
        <w:t xml:space="preserve">sos adquiridos con los beneficiarios de las subvenciones cuando éstos presentan la calificación provisional antes del inicio de las obras, </w:t>
      </w:r>
      <w:r w:rsidR="00326C2A">
        <w:rPr>
          <w:rFonts w:cs="Arial"/>
        </w:rPr>
        <w:t xml:space="preserve">26,04 millones a 31 de diciembre de 2014, </w:t>
      </w:r>
      <w:r w:rsidR="006955A3">
        <w:rPr>
          <w:rFonts w:cs="Arial"/>
        </w:rPr>
        <w:t>no se contabilizan como gastos comprometidos, sino como reservas, y por tanto no se reflejan en el estado de compromisos de gastos fut</w:t>
      </w:r>
      <w:r w:rsidR="006955A3">
        <w:rPr>
          <w:rFonts w:cs="Arial"/>
        </w:rPr>
        <w:t>u</w:t>
      </w:r>
      <w:r w:rsidR="006955A3">
        <w:rPr>
          <w:rFonts w:cs="Arial"/>
        </w:rPr>
        <w:t xml:space="preserve">ros. Por otro lado, las reservas de crédito </w:t>
      </w:r>
      <w:r w:rsidR="00326C2A">
        <w:rPr>
          <w:rFonts w:cs="Arial"/>
        </w:rPr>
        <w:t>contabilizadas a 31 de diciembre de 2014 ascienden a 13,33 millones</w:t>
      </w:r>
      <w:r w:rsidR="002C2D49">
        <w:rPr>
          <w:rFonts w:cs="Arial"/>
        </w:rPr>
        <w:t xml:space="preserve"> y </w:t>
      </w:r>
      <w:r w:rsidR="006955A3">
        <w:rPr>
          <w:rFonts w:cs="Arial"/>
        </w:rPr>
        <w:t>no recogen todos los compromisos econ</w:t>
      </w:r>
      <w:r w:rsidR="006955A3">
        <w:rPr>
          <w:rFonts w:cs="Arial"/>
        </w:rPr>
        <w:t>ó</w:t>
      </w:r>
      <w:r w:rsidR="006955A3">
        <w:rPr>
          <w:rFonts w:cs="Arial"/>
        </w:rPr>
        <w:t>mico</w:t>
      </w:r>
      <w:r w:rsidR="00326C2A">
        <w:rPr>
          <w:rFonts w:cs="Arial"/>
        </w:rPr>
        <w:t>s</w:t>
      </w:r>
      <w:r w:rsidR="006955A3">
        <w:rPr>
          <w:rFonts w:cs="Arial"/>
        </w:rPr>
        <w:t xml:space="preserve"> adquiridos</w:t>
      </w:r>
      <w:r w:rsidR="002C2D49">
        <w:rPr>
          <w:rFonts w:cs="Arial"/>
        </w:rPr>
        <w:t xml:space="preserve"> a dicha fecha</w:t>
      </w:r>
      <w:r w:rsidR="006955A3">
        <w:rPr>
          <w:rFonts w:cs="Arial"/>
        </w:rPr>
        <w:t>.</w:t>
      </w:r>
      <w:r w:rsidR="00326C2A">
        <w:rPr>
          <w:rFonts w:cs="Arial"/>
        </w:rPr>
        <w:t xml:space="preserve"> </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90"/>
          <w:tab w:val="num" w:pos="600"/>
          <w:tab w:val="num" w:pos="720"/>
        </w:tabs>
        <w:ind w:left="0" w:firstLine="290"/>
        <w:rPr>
          <w:rFonts w:cs="Arial"/>
        </w:rPr>
      </w:pPr>
      <w:r w:rsidRPr="00846868">
        <w:rPr>
          <w:rFonts w:cs="Arial"/>
        </w:rPr>
        <w:t>Transferencias de capital a entidades locales</w:t>
      </w:r>
      <w:r w:rsidR="006D70C6">
        <w:rPr>
          <w:rFonts w:cs="Arial"/>
        </w:rPr>
        <w:t>.</w:t>
      </w:r>
    </w:p>
    <w:p w:rsidR="001B3767" w:rsidRPr="006D43A7" w:rsidRDefault="001B3767" w:rsidP="00AA6AAA">
      <w:pPr>
        <w:pStyle w:val="texto"/>
        <w:spacing w:after="220"/>
        <w:rPr>
          <w:lang w:val="es-ES"/>
        </w:rPr>
      </w:pPr>
      <w:r w:rsidRPr="006D43A7">
        <w:rPr>
          <w:lang w:val="es-ES"/>
        </w:rPr>
        <w:t>Las transferencias de capital a entidades locales para la financiación de obras de pavimentación  han supuesto un gasto de 3,77 millones de euros en 2014. Se ha fiscalizado la siguiente muestra de gastos contabilizados en cuatro partidas presupuestarias:</w:t>
      </w:r>
    </w:p>
    <w:tbl>
      <w:tblPr>
        <w:tblW w:w="8808" w:type="dxa"/>
        <w:jc w:val="center"/>
        <w:tblLayout w:type="fixed"/>
        <w:tblCellMar>
          <w:left w:w="70" w:type="dxa"/>
          <w:right w:w="70" w:type="dxa"/>
        </w:tblCellMar>
        <w:tblLook w:val="0000" w:firstRow="0" w:lastRow="0" w:firstColumn="0" w:lastColumn="0" w:noHBand="0" w:noVBand="0"/>
      </w:tblPr>
      <w:tblGrid>
        <w:gridCol w:w="4080"/>
        <w:gridCol w:w="1114"/>
        <w:gridCol w:w="1350"/>
        <w:gridCol w:w="1095"/>
        <w:gridCol w:w="1169"/>
      </w:tblGrid>
      <w:tr w:rsidR="001B3767" w:rsidRPr="00AA6AAA" w:rsidTr="00AA6AAA">
        <w:trPr>
          <w:trHeight w:hRule="exact" w:val="397"/>
          <w:jc w:val="center"/>
        </w:trPr>
        <w:tc>
          <w:tcPr>
            <w:tcW w:w="4080" w:type="dxa"/>
            <w:tcBorders>
              <w:top w:val="single" w:sz="4" w:space="0" w:color="auto"/>
              <w:bottom w:val="single" w:sz="4" w:space="0" w:color="auto"/>
            </w:tcBorders>
            <w:shd w:val="clear" w:color="auto" w:fill="8DB3E2" w:themeFill="text2" w:themeFillTint="66"/>
            <w:noWrap/>
            <w:vAlign w:val="center"/>
          </w:tcPr>
          <w:p w:rsidR="001B3767" w:rsidRPr="00AA6AAA" w:rsidRDefault="001B3767" w:rsidP="00185CFC">
            <w:pPr>
              <w:pStyle w:val="cuadroCabe"/>
              <w:jc w:val="left"/>
              <w:rPr>
                <w:sz w:val="17"/>
                <w:szCs w:val="17"/>
              </w:rPr>
            </w:pPr>
          </w:p>
        </w:tc>
        <w:tc>
          <w:tcPr>
            <w:tcW w:w="1114" w:type="dxa"/>
            <w:tcBorders>
              <w:top w:val="single" w:sz="4" w:space="0" w:color="auto"/>
              <w:bottom w:val="single" w:sz="4" w:space="0" w:color="auto"/>
            </w:tcBorders>
            <w:shd w:val="clear" w:color="auto" w:fill="8DB3E2" w:themeFill="text2" w:themeFillTint="66"/>
            <w:noWrap/>
            <w:vAlign w:val="center"/>
          </w:tcPr>
          <w:p w:rsidR="001B3767" w:rsidRPr="00AA6AAA" w:rsidRDefault="001B3767" w:rsidP="00185CFC">
            <w:pPr>
              <w:pStyle w:val="cuadroCabe"/>
              <w:jc w:val="right"/>
              <w:rPr>
                <w:sz w:val="17"/>
                <w:szCs w:val="17"/>
              </w:rPr>
            </w:pPr>
            <w:r w:rsidRPr="00AA6AAA">
              <w:rPr>
                <w:sz w:val="17"/>
                <w:szCs w:val="17"/>
              </w:rPr>
              <w:t>Gasto total</w:t>
            </w:r>
          </w:p>
        </w:tc>
        <w:tc>
          <w:tcPr>
            <w:tcW w:w="1350" w:type="dxa"/>
            <w:tcBorders>
              <w:top w:val="single" w:sz="4" w:space="0" w:color="auto"/>
              <w:bottom w:val="single" w:sz="4" w:space="0" w:color="auto"/>
            </w:tcBorders>
            <w:shd w:val="clear" w:color="auto" w:fill="8DB3E2" w:themeFill="text2" w:themeFillTint="66"/>
            <w:vAlign w:val="center"/>
          </w:tcPr>
          <w:p w:rsidR="00185CFC" w:rsidRPr="00AA6AAA" w:rsidRDefault="001B3767" w:rsidP="00185CFC">
            <w:pPr>
              <w:pStyle w:val="cuadroCabe"/>
              <w:jc w:val="right"/>
              <w:rPr>
                <w:sz w:val="17"/>
                <w:szCs w:val="17"/>
              </w:rPr>
            </w:pPr>
            <w:r w:rsidRPr="00AA6AAA">
              <w:rPr>
                <w:sz w:val="17"/>
                <w:szCs w:val="17"/>
              </w:rPr>
              <w:t xml:space="preserve">Nº Entes </w:t>
            </w:r>
          </w:p>
          <w:p w:rsidR="001B3767" w:rsidRPr="00AA6AAA" w:rsidRDefault="001B3767" w:rsidP="00185CFC">
            <w:pPr>
              <w:pStyle w:val="cuadroCabe"/>
              <w:jc w:val="right"/>
              <w:rPr>
                <w:sz w:val="17"/>
                <w:szCs w:val="17"/>
              </w:rPr>
            </w:pPr>
            <w:r w:rsidRPr="00AA6AAA">
              <w:rPr>
                <w:sz w:val="17"/>
                <w:szCs w:val="17"/>
              </w:rPr>
              <w:t>locales</w:t>
            </w:r>
          </w:p>
        </w:tc>
        <w:tc>
          <w:tcPr>
            <w:tcW w:w="1095" w:type="dxa"/>
            <w:tcBorders>
              <w:top w:val="single" w:sz="4" w:space="0" w:color="auto"/>
              <w:bottom w:val="single" w:sz="4" w:space="0" w:color="auto"/>
            </w:tcBorders>
            <w:shd w:val="clear" w:color="auto" w:fill="8DB3E2" w:themeFill="text2" w:themeFillTint="66"/>
            <w:vAlign w:val="center"/>
          </w:tcPr>
          <w:p w:rsidR="00185CFC" w:rsidRPr="00AA6AAA" w:rsidRDefault="001B3767" w:rsidP="00185CFC">
            <w:pPr>
              <w:pStyle w:val="cuadroCabe"/>
              <w:jc w:val="right"/>
              <w:rPr>
                <w:sz w:val="17"/>
                <w:szCs w:val="17"/>
              </w:rPr>
            </w:pPr>
            <w:r w:rsidRPr="00AA6AAA">
              <w:rPr>
                <w:sz w:val="17"/>
                <w:szCs w:val="17"/>
              </w:rPr>
              <w:t xml:space="preserve">Gasto </w:t>
            </w:r>
          </w:p>
          <w:p w:rsidR="001B3767" w:rsidRPr="00AA6AAA" w:rsidRDefault="001B3767" w:rsidP="00185CFC">
            <w:pPr>
              <w:pStyle w:val="cuadroCabe"/>
              <w:jc w:val="right"/>
              <w:rPr>
                <w:sz w:val="17"/>
                <w:szCs w:val="17"/>
              </w:rPr>
            </w:pPr>
            <w:r w:rsidRPr="00AA6AAA">
              <w:rPr>
                <w:sz w:val="17"/>
                <w:szCs w:val="17"/>
              </w:rPr>
              <w:t>revisado</w:t>
            </w:r>
          </w:p>
        </w:tc>
        <w:tc>
          <w:tcPr>
            <w:tcW w:w="1169" w:type="dxa"/>
            <w:tcBorders>
              <w:top w:val="single" w:sz="4" w:space="0" w:color="auto"/>
              <w:bottom w:val="single" w:sz="4" w:space="0" w:color="auto"/>
            </w:tcBorders>
            <w:shd w:val="clear" w:color="auto" w:fill="8DB3E2" w:themeFill="text2" w:themeFillTint="66"/>
            <w:vAlign w:val="center"/>
          </w:tcPr>
          <w:p w:rsidR="001B3767" w:rsidRPr="00AA6AAA" w:rsidRDefault="001B3767" w:rsidP="00185CFC">
            <w:pPr>
              <w:pStyle w:val="cuadroCabe"/>
              <w:jc w:val="right"/>
              <w:rPr>
                <w:sz w:val="17"/>
                <w:szCs w:val="17"/>
              </w:rPr>
            </w:pPr>
            <w:r w:rsidRPr="00AA6AAA">
              <w:rPr>
                <w:sz w:val="17"/>
                <w:szCs w:val="17"/>
              </w:rPr>
              <w:t>Nº entes locales</w:t>
            </w:r>
          </w:p>
        </w:tc>
      </w:tr>
      <w:tr w:rsidR="001B3767" w:rsidRPr="00AA6AAA" w:rsidTr="00185CFC">
        <w:trPr>
          <w:trHeight w:hRule="exact" w:val="227"/>
          <w:jc w:val="center"/>
        </w:trPr>
        <w:tc>
          <w:tcPr>
            <w:tcW w:w="4080" w:type="dxa"/>
            <w:tcBorders>
              <w:top w:val="single" w:sz="4" w:space="0" w:color="auto"/>
              <w:bottom w:val="single" w:sz="2" w:space="0" w:color="auto"/>
            </w:tcBorders>
            <w:noWrap/>
            <w:vAlign w:val="center"/>
          </w:tcPr>
          <w:p w:rsidR="001B3767" w:rsidRPr="00AA6AAA" w:rsidRDefault="001B3767" w:rsidP="00185CFC">
            <w:pPr>
              <w:pStyle w:val="cuatexto"/>
              <w:jc w:val="left"/>
              <w:rPr>
                <w:sz w:val="18"/>
                <w:szCs w:val="18"/>
              </w:rPr>
            </w:pPr>
            <w:r w:rsidRPr="00AA6AAA">
              <w:rPr>
                <w:sz w:val="18"/>
                <w:szCs w:val="18"/>
              </w:rPr>
              <w:t>Pavimentación con redes régimen general</w:t>
            </w:r>
          </w:p>
        </w:tc>
        <w:tc>
          <w:tcPr>
            <w:tcW w:w="1114" w:type="dxa"/>
            <w:tcBorders>
              <w:top w:val="single" w:sz="4"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1.899.461</w:t>
            </w:r>
          </w:p>
        </w:tc>
        <w:tc>
          <w:tcPr>
            <w:tcW w:w="1350" w:type="dxa"/>
            <w:tcBorders>
              <w:top w:val="single" w:sz="4"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15</w:t>
            </w:r>
          </w:p>
        </w:tc>
        <w:tc>
          <w:tcPr>
            <w:tcW w:w="1095" w:type="dxa"/>
            <w:tcBorders>
              <w:top w:val="single" w:sz="4"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237.876</w:t>
            </w:r>
          </w:p>
        </w:tc>
        <w:tc>
          <w:tcPr>
            <w:tcW w:w="1169" w:type="dxa"/>
            <w:tcBorders>
              <w:top w:val="single" w:sz="4"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1</w:t>
            </w:r>
          </w:p>
        </w:tc>
      </w:tr>
      <w:tr w:rsidR="001B3767" w:rsidRPr="00AA6AAA" w:rsidTr="00185CFC">
        <w:trPr>
          <w:trHeight w:hRule="exact" w:val="227"/>
          <w:jc w:val="center"/>
        </w:trPr>
        <w:tc>
          <w:tcPr>
            <w:tcW w:w="4080" w:type="dxa"/>
            <w:tcBorders>
              <w:top w:val="single" w:sz="2" w:space="0" w:color="auto"/>
              <w:bottom w:val="single" w:sz="2" w:space="0" w:color="auto"/>
            </w:tcBorders>
            <w:noWrap/>
            <w:vAlign w:val="center"/>
          </w:tcPr>
          <w:p w:rsidR="001B3767" w:rsidRPr="00AA6AAA" w:rsidRDefault="001B3767" w:rsidP="00185CFC">
            <w:pPr>
              <w:pStyle w:val="cuatexto"/>
              <w:jc w:val="left"/>
              <w:rPr>
                <w:sz w:val="18"/>
                <w:szCs w:val="18"/>
              </w:rPr>
            </w:pPr>
            <w:r w:rsidRPr="00AA6AAA">
              <w:rPr>
                <w:sz w:val="18"/>
                <w:szCs w:val="18"/>
              </w:rPr>
              <w:t>Pavimentación sin redes régimen general</w:t>
            </w:r>
          </w:p>
        </w:tc>
        <w:tc>
          <w:tcPr>
            <w:tcW w:w="1114" w:type="dxa"/>
            <w:tcBorders>
              <w:top w:val="single" w:sz="2" w:space="0" w:color="auto"/>
              <w:bottom w:val="single" w:sz="2" w:space="0" w:color="auto"/>
            </w:tcBorders>
            <w:noWrap/>
            <w:vAlign w:val="center"/>
          </w:tcPr>
          <w:p w:rsidR="001B3767" w:rsidRPr="00AA6AAA" w:rsidRDefault="00466A28" w:rsidP="00185CFC">
            <w:pPr>
              <w:pStyle w:val="cuatexto"/>
              <w:jc w:val="right"/>
              <w:rPr>
                <w:sz w:val="18"/>
                <w:szCs w:val="18"/>
              </w:rPr>
            </w:pPr>
            <w:r>
              <w:rPr>
                <w:sz w:val="18"/>
                <w:szCs w:val="18"/>
              </w:rPr>
              <w:t>814.609</w:t>
            </w:r>
          </w:p>
        </w:tc>
        <w:tc>
          <w:tcPr>
            <w:tcW w:w="1350" w:type="dxa"/>
            <w:tcBorders>
              <w:top w:val="single" w:sz="2" w:space="0" w:color="auto"/>
              <w:bottom w:val="single" w:sz="2" w:space="0" w:color="auto"/>
            </w:tcBorders>
            <w:noWrap/>
            <w:vAlign w:val="center"/>
          </w:tcPr>
          <w:p w:rsidR="001B3767" w:rsidRPr="00AA6AAA" w:rsidRDefault="00466A28" w:rsidP="00185CFC">
            <w:pPr>
              <w:pStyle w:val="cuatexto"/>
              <w:jc w:val="right"/>
              <w:rPr>
                <w:sz w:val="18"/>
                <w:szCs w:val="18"/>
              </w:rPr>
            </w:pPr>
            <w:r>
              <w:rPr>
                <w:sz w:val="18"/>
                <w:szCs w:val="18"/>
              </w:rPr>
              <w:t>11</w:t>
            </w:r>
          </w:p>
        </w:tc>
        <w:tc>
          <w:tcPr>
            <w:tcW w:w="1095"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55.297</w:t>
            </w:r>
          </w:p>
        </w:tc>
        <w:tc>
          <w:tcPr>
            <w:tcW w:w="1169"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1</w:t>
            </w:r>
          </w:p>
        </w:tc>
      </w:tr>
      <w:tr w:rsidR="001B3767" w:rsidRPr="00AA6AAA" w:rsidTr="0078368B">
        <w:trPr>
          <w:trHeight w:hRule="exact" w:val="227"/>
          <w:jc w:val="center"/>
        </w:trPr>
        <w:tc>
          <w:tcPr>
            <w:tcW w:w="4080" w:type="dxa"/>
            <w:tcBorders>
              <w:top w:val="single" w:sz="2" w:space="0" w:color="auto"/>
              <w:bottom w:val="single" w:sz="2" w:space="0" w:color="auto"/>
            </w:tcBorders>
            <w:noWrap/>
            <w:vAlign w:val="center"/>
          </w:tcPr>
          <w:p w:rsidR="001B3767" w:rsidRPr="00AA6AAA" w:rsidRDefault="001B3767" w:rsidP="00185CFC">
            <w:pPr>
              <w:pStyle w:val="cuatexto"/>
              <w:jc w:val="left"/>
              <w:rPr>
                <w:sz w:val="18"/>
                <w:szCs w:val="18"/>
              </w:rPr>
            </w:pPr>
            <w:r w:rsidRPr="00AA6AAA">
              <w:rPr>
                <w:sz w:val="18"/>
                <w:szCs w:val="18"/>
              </w:rPr>
              <w:t>Pavimentación con redes régimen especial</w:t>
            </w:r>
          </w:p>
        </w:tc>
        <w:tc>
          <w:tcPr>
            <w:tcW w:w="1114"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431.039</w:t>
            </w:r>
          </w:p>
        </w:tc>
        <w:tc>
          <w:tcPr>
            <w:tcW w:w="1350"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3</w:t>
            </w:r>
          </w:p>
        </w:tc>
        <w:tc>
          <w:tcPr>
            <w:tcW w:w="1095"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344.455</w:t>
            </w:r>
          </w:p>
        </w:tc>
        <w:tc>
          <w:tcPr>
            <w:tcW w:w="1169" w:type="dxa"/>
            <w:tcBorders>
              <w:top w:val="single" w:sz="2" w:space="0" w:color="auto"/>
              <w:bottom w:val="single" w:sz="2" w:space="0" w:color="auto"/>
            </w:tcBorders>
            <w:noWrap/>
            <w:vAlign w:val="center"/>
          </w:tcPr>
          <w:p w:rsidR="001B3767" w:rsidRPr="00AA6AAA" w:rsidRDefault="001B3767" w:rsidP="00185CFC">
            <w:pPr>
              <w:pStyle w:val="cuatexto"/>
              <w:jc w:val="right"/>
              <w:rPr>
                <w:sz w:val="18"/>
                <w:szCs w:val="18"/>
              </w:rPr>
            </w:pPr>
            <w:r w:rsidRPr="00AA6AAA">
              <w:rPr>
                <w:sz w:val="18"/>
                <w:szCs w:val="18"/>
              </w:rPr>
              <w:t>1</w:t>
            </w:r>
          </w:p>
        </w:tc>
      </w:tr>
      <w:tr w:rsidR="001B3767" w:rsidRPr="00AA6AAA" w:rsidTr="0078368B">
        <w:trPr>
          <w:trHeight w:hRule="exact" w:val="227"/>
          <w:jc w:val="center"/>
        </w:trPr>
        <w:tc>
          <w:tcPr>
            <w:tcW w:w="4080" w:type="dxa"/>
            <w:tcBorders>
              <w:top w:val="single" w:sz="2" w:space="0" w:color="auto"/>
              <w:bottom w:val="single" w:sz="4" w:space="0" w:color="auto"/>
            </w:tcBorders>
            <w:noWrap/>
            <w:vAlign w:val="center"/>
          </w:tcPr>
          <w:p w:rsidR="001B3767" w:rsidRPr="00AA6AAA" w:rsidRDefault="001B3767" w:rsidP="00185CFC">
            <w:pPr>
              <w:pStyle w:val="cuatexto"/>
              <w:jc w:val="left"/>
              <w:rPr>
                <w:sz w:val="18"/>
                <w:szCs w:val="18"/>
              </w:rPr>
            </w:pPr>
            <w:r w:rsidRPr="00AA6AAA">
              <w:rPr>
                <w:sz w:val="18"/>
                <w:szCs w:val="18"/>
              </w:rPr>
              <w:t>Pavimentación sin redes régimen especial</w:t>
            </w:r>
          </w:p>
        </w:tc>
        <w:tc>
          <w:tcPr>
            <w:tcW w:w="1114" w:type="dxa"/>
            <w:tcBorders>
              <w:top w:val="single" w:sz="2" w:space="0" w:color="auto"/>
              <w:bottom w:val="single" w:sz="4" w:space="0" w:color="auto"/>
            </w:tcBorders>
            <w:noWrap/>
            <w:vAlign w:val="center"/>
          </w:tcPr>
          <w:p w:rsidR="001B3767" w:rsidRPr="00AA6AAA" w:rsidRDefault="001B3767" w:rsidP="00185CFC">
            <w:pPr>
              <w:pStyle w:val="cuatexto"/>
              <w:jc w:val="right"/>
              <w:rPr>
                <w:sz w:val="18"/>
                <w:szCs w:val="18"/>
              </w:rPr>
            </w:pPr>
            <w:r w:rsidRPr="00AA6AAA">
              <w:rPr>
                <w:sz w:val="18"/>
                <w:szCs w:val="18"/>
              </w:rPr>
              <w:t>324.299</w:t>
            </w:r>
          </w:p>
        </w:tc>
        <w:tc>
          <w:tcPr>
            <w:tcW w:w="1350" w:type="dxa"/>
            <w:tcBorders>
              <w:top w:val="single" w:sz="2" w:space="0" w:color="auto"/>
              <w:bottom w:val="single" w:sz="4" w:space="0" w:color="auto"/>
            </w:tcBorders>
            <w:noWrap/>
            <w:vAlign w:val="center"/>
          </w:tcPr>
          <w:p w:rsidR="001B3767" w:rsidRPr="00AA6AAA" w:rsidRDefault="001B3767" w:rsidP="00185CFC">
            <w:pPr>
              <w:pStyle w:val="cuatexto"/>
              <w:jc w:val="right"/>
              <w:rPr>
                <w:sz w:val="18"/>
                <w:szCs w:val="18"/>
              </w:rPr>
            </w:pPr>
            <w:r w:rsidRPr="00AA6AAA">
              <w:rPr>
                <w:sz w:val="18"/>
                <w:szCs w:val="18"/>
              </w:rPr>
              <w:t>3</w:t>
            </w:r>
          </w:p>
        </w:tc>
        <w:tc>
          <w:tcPr>
            <w:tcW w:w="1095" w:type="dxa"/>
            <w:tcBorders>
              <w:top w:val="single" w:sz="2" w:space="0" w:color="auto"/>
              <w:bottom w:val="single" w:sz="4" w:space="0" w:color="auto"/>
            </w:tcBorders>
            <w:noWrap/>
            <w:vAlign w:val="center"/>
          </w:tcPr>
          <w:p w:rsidR="001B3767" w:rsidRPr="00AA6AAA" w:rsidRDefault="001B3767" w:rsidP="00185CFC">
            <w:pPr>
              <w:pStyle w:val="cuatexto"/>
              <w:jc w:val="right"/>
              <w:rPr>
                <w:sz w:val="18"/>
                <w:szCs w:val="18"/>
              </w:rPr>
            </w:pPr>
            <w:r w:rsidRPr="00AA6AAA">
              <w:rPr>
                <w:sz w:val="18"/>
                <w:szCs w:val="18"/>
              </w:rPr>
              <w:t>23.199</w:t>
            </w:r>
          </w:p>
        </w:tc>
        <w:tc>
          <w:tcPr>
            <w:tcW w:w="1169" w:type="dxa"/>
            <w:tcBorders>
              <w:top w:val="single" w:sz="2" w:space="0" w:color="auto"/>
              <w:bottom w:val="single" w:sz="4" w:space="0" w:color="auto"/>
            </w:tcBorders>
            <w:noWrap/>
            <w:vAlign w:val="center"/>
          </w:tcPr>
          <w:p w:rsidR="001B3767" w:rsidRPr="00AA6AAA" w:rsidRDefault="001B3767" w:rsidP="00185CFC">
            <w:pPr>
              <w:pStyle w:val="cuatexto"/>
              <w:jc w:val="right"/>
              <w:rPr>
                <w:sz w:val="18"/>
                <w:szCs w:val="18"/>
              </w:rPr>
            </w:pPr>
            <w:r w:rsidRPr="00AA6AAA">
              <w:rPr>
                <w:sz w:val="18"/>
                <w:szCs w:val="18"/>
              </w:rPr>
              <w:t>1</w:t>
            </w:r>
          </w:p>
        </w:tc>
      </w:tr>
    </w:tbl>
    <w:p w:rsidR="001B3767" w:rsidRPr="00AA6AAA" w:rsidRDefault="001B3767" w:rsidP="00AA6AAA">
      <w:pPr>
        <w:pStyle w:val="texto"/>
        <w:spacing w:before="220" w:after="120"/>
        <w:rPr>
          <w:spacing w:val="4"/>
          <w:w w:val="98"/>
          <w:lang w:val="es-ES"/>
        </w:rPr>
      </w:pPr>
      <w:r w:rsidRPr="00AA6AAA">
        <w:rPr>
          <w:spacing w:val="4"/>
          <w:w w:val="98"/>
          <w:lang w:val="es-ES"/>
        </w:rPr>
        <w:t>Estas aportaciones están enmarcadas en el Plan de Inversiones Locales 2009-2012 aprobado por Ley Foral 16/2008 de 24 de octubre. El Plan establece un r</w:t>
      </w:r>
      <w:r w:rsidRPr="00AA6AAA">
        <w:rPr>
          <w:spacing w:val="4"/>
          <w:w w:val="98"/>
          <w:lang w:val="es-ES"/>
        </w:rPr>
        <w:t>é</w:t>
      </w:r>
      <w:r w:rsidRPr="00AA6AAA">
        <w:rPr>
          <w:spacing w:val="4"/>
          <w:w w:val="98"/>
          <w:lang w:val="es-ES"/>
        </w:rPr>
        <w:t>gimen general de financiación de las obras de pavimentación de un 70 por ciento de la inversión, porcentaje que podrá incrementarse hasta el 80 por ciento para aquellas obras de pavimentación incluidas en el régimen especial de financiación.</w:t>
      </w:r>
    </w:p>
    <w:p w:rsidR="001B3767" w:rsidRPr="006D43A7" w:rsidRDefault="001B3767" w:rsidP="00AA6AAA">
      <w:pPr>
        <w:pStyle w:val="texto"/>
        <w:spacing w:after="120"/>
        <w:rPr>
          <w:lang w:val="es-ES"/>
        </w:rPr>
      </w:pPr>
      <w:r w:rsidRPr="006D43A7">
        <w:rPr>
          <w:lang w:val="es-ES"/>
        </w:rPr>
        <w:t>Se ha comprobado que las aportaciones revisadas se han determinado, just</w:t>
      </w:r>
      <w:r w:rsidRPr="006D43A7">
        <w:rPr>
          <w:lang w:val="es-ES"/>
        </w:rPr>
        <w:t>i</w:t>
      </w:r>
      <w:r w:rsidRPr="006D43A7">
        <w:rPr>
          <w:lang w:val="es-ES"/>
        </w:rPr>
        <w:t>ficado y abonado conforme a la normativa reguladora del Plan de Inversiones Locales 2009-2012.</w:t>
      </w:r>
    </w:p>
    <w:p w:rsidR="001B3767" w:rsidRPr="006D43A7" w:rsidRDefault="001B3767" w:rsidP="00AA6AAA">
      <w:pPr>
        <w:pStyle w:val="texto"/>
        <w:spacing w:after="120"/>
        <w:rPr>
          <w:lang w:val="es-ES"/>
        </w:rPr>
      </w:pPr>
      <w:r w:rsidRPr="006D43A7">
        <w:rPr>
          <w:lang w:val="es-ES"/>
        </w:rPr>
        <w:t>Se ha constatado un retraso de hasta dos años entre la previsión de ejecución de las obras de pavimentación del Plan de Inversiones hasta su adjudicación por parte de la entidad local.</w:t>
      </w:r>
    </w:p>
    <w:p w:rsidR="001B3767" w:rsidRPr="006F3D5E" w:rsidRDefault="001B3767" w:rsidP="00AA6AAA">
      <w:pPr>
        <w:pStyle w:val="texto"/>
        <w:spacing w:after="120"/>
        <w:rPr>
          <w:lang w:val="es-ES"/>
        </w:rPr>
      </w:pPr>
      <w:r w:rsidRPr="006D43A7">
        <w:rPr>
          <w:lang w:val="es-ES"/>
        </w:rPr>
        <w:t xml:space="preserve">Una de las obras revisadas fue declarada de reconocida urgencia a efectos de su inclusión en el Plan de Inversiones, calificación justificada en la solicitud del ayuntamiento con la mera indicación del deterioro de las </w:t>
      </w:r>
      <w:r>
        <w:rPr>
          <w:lang w:val="es-ES"/>
        </w:rPr>
        <w:t>infraestructuras de abastecimiento y saneamiento, que perjudica gravemente a las edificaciones de las calles que datan de hace 45 años.</w:t>
      </w:r>
    </w:p>
    <w:p w:rsidR="001B3767" w:rsidRPr="006D43A7" w:rsidRDefault="001B3767" w:rsidP="00AA6AAA">
      <w:pPr>
        <w:pStyle w:val="texto"/>
        <w:spacing w:after="120"/>
        <w:rPr>
          <w:lang w:val="es-ES"/>
        </w:rPr>
      </w:pPr>
      <w:r w:rsidRPr="006D43A7">
        <w:rPr>
          <w:lang w:val="es-ES"/>
        </w:rPr>
        <w:lastRenderedPageBreak/>
        <w:t>El Plan de Inversiones Locales 2009-2012 se aprobó con una dotación ec</w:t>
      </w:r>
      <w:r w:rsidRPr="006D43A7">
        <w:rPr>
          <w:lang w:val="es-ES"/>
        </w:rPr>
        <w:t>o</w:t>
      </w:r>
      <w:r w:rsidRPr="006D43A7">
        <w:rPr>
          <w:lang w:val="es-ES"/>
        </w:rPr>
        <w:t xml:space="preserve">nómica de 233,36 millones de euros para la financiación de infraestructuras e inversiones de competencia municipal y concejil </w:t>
      </w:r>
      <w:r w:rsidR="00345A16">
        <w:rPr>
          <w:lang w:val="es-ES"/>
        </w:rPr>
        <w:t>y se prolongó hasta la aprob</w:t>
      </w:r>
      <w:r w:rsidR="00345A16">
        <w:rPr>
          <w:lang w:val="es-ES"/>
        </w:rPr>
        <w:t>a</w:t>
      </w:r>
      <w:r w:rsidR="00345A16">
        <w:rPr>
          <w:lang w:val="es-ES"/>
        </w:rPr>
        <w:t>ción de un nuevo plan</w:t>
      </w:r>
      <w:r w:rsidRPr="006D43A7">
        <w:rPr>
          <w:lang w:val="es-ES"/>
        </w:rPr>
        <w:t xml:space="preserve">. </w:t>
      </w:r>
    </w:p>
    <w:p w:rsidR="002227E0" w:rsidRPr="006D43A7" w:rsidRDefault="002227E0" w:rsidP="00AA6AAA">
      <w:pPr>
        <w:pStyle w:val="texto"/>
        <w:spacing w:after="220"/>
        <w:rPr>
          <w:lang w:val="es-ES"/>
        </w:rPr>
      </w:pPr>
      <w:r w:rsidRPr="006D43A7">
        <w:rPr>
          <w:lang w:val="es-ES"/>
        </w:rPr>
        <w:t xml:space="preserve">A continuación se muestra la ejecución del Plan </w:t>
      </w:r>
      <w:r>
        <w:rPr>
          <w:lang w:val="es-ES"/>
        </w:rPr>
        <w:t>en el periodo 2009-2014</w:t>
      </w:r>
      <w:r w:rsidRPr="006D43A7">
        <w:rPr>
          <w:lang w:val="es-ES"/>
        </w:rPr>
        <w:t xml:space="preserve"> y su comparación con las previsiones establecidas en su Ley Foral de aprobación,  Ley Fo</w:t>
      </w:r>
      <w:r>
        <w:rPr>
          <w:lang w:val="es-ES"/>
        </w:rPr>
        <w:t>ral 16/2008, de 24 de octubre:</w:t>
      </w:r>
    </w:p>
    <w:tbl>
      <w:tblPr>
        <w:tblW w:w="8783" w:type="dxa"/>
        <w:jc w:val="center"/>
        <w:tblLayout w:type="fixed"/>
        <w:tblCellMar>
          <w:left w:w="70" w:type="dxa"/>
          <w:right w:w="70" w:type="dxa"/>
        </w:tblCellMar>
        <w:tblLook w:val="0000" w:firstRow="0" w:lastRow="0" w:firstColumn="0" w:lastColumn="0" w:noHBand="0" w:noVBand="0"/>
      </w:tblPr>
      <w:tblGrid>
        <w:gridCol w:w="1879"/>
        <w:gridCol w:w="992"/>
        <w:gridCol w:w="993"/>
        <w:gridCol w:w="992"/>
        <w:gridCol w:w="992"/>
        <w:gridCol w:w="906"/>
        <w:gridCol w:w="923"/>
        <w:gridCol w:w="1106"/>
      </w:tblGrid>
      <w:tr w:rsidR="002227E0" w:rsidRPr="004A4F10" w:rsidTr="00AA6AAA">
        <w:trPr>
          <w:trHeight w:hRule="exact" w:val="284"/>
          <w:jc w:val="center"/>
        </w:trPr>
        <w:tc>
          <w:tcPr>
            <w:tcW w:w="1879" w:type="dxa"/>
            <w:tcBorders>
              <w:top w:val="single" w:sz="4" w:space="0" w:color="auto"/>
              <w:bottom w:val="single" w:sz="4" w:space="0" w:color="auto"/>
            </w:tcBorders>
            <w:shd w:val="clear" w:color="auto" w:fill="8DB3E2" w:themeFill="text2" w:themeFillTint="66"/>
            <w:noWrap/>
            <w:vAlign w:val="center"/>
          </w:tcPr>
          <w:p w:rsidR="002227E0" w:rsidRPr="004A4F10" w:rsidRDefault="002227E0" w:rsidP="002E470E">
            <w:pPr>
              <w:pStyle w:val="cuadroCabe"/>
              <w:jc w:val="left"/>
              <w:rPr>
                <w:sz w:val="17"/>
                <w:szCs w:val="17"/>
              </w:rPr>
            </w:pPr>
            <w:r w:rsidRPr="004A4F10">
              <w:rPr>
                <w:sz w:val="17"/>
                <w:szCs w:val="17"/>
              </w:rPr>
              <w:t>   </w:t>
            </w:r>
          </w:p>
        </w:tc>
        <w:tc>
          <w:tcPr>
            <w:tcW w:w="992" w:type="dxa"/>
            <w:tcBorders>
              <w:top w:val="single" w:sz="4" w:space="0" w:color="auto"/>
              <w:bottom w:val="single" w:sz="4" w:space="0" w:color="auto"/>
            </w:tcBorders>
            <w:shd w:val="clear" w:color="auto" w:fill="8DB3E2" w:themeFill="text2" w:themeFillTint="66"/>
            <w:noWrap/>
            <w:vAlign w:val="center"/>
          </w:tcPr>
          <w:p w:rsidR="002227E0" w:rsidRPr="004A4F10" w:rsidRDefault="002227E0" w:rsidP="006922F2">
            <w:pPr>
              <w:pStyle w:val="cuadroCabe"/>
              <w:jc w:val="right"/>
              <w:rPr>
                <w:sz w:val="17"/>
                <w:szCs w:val="17"/>
              </w:rPr>
            </w:pPr>
            <w:r w:rsidRPr="004A4F10">
              <w:rPr>
                <w:sz w:val="17"/>
                <w:szCs w:val="17"/>
              </w:rPr>
              <w:t>2009</w:t>
            </w:r>
          </w:p>
        </w:tc>
        <w:tc>
          <w:tcPr>
            <w:tcW w:w="993"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2010</w:t>
            </w:r>
          </w:p>
        </w:tc>
        <w:tc>
          <w:tcPr>
            <w:tcW w:w="992"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2011</w:t>
            </w:r>
          </w:p>
        </w:tc>
        <w:tc>
          <w:tcPr>
            <w:tcW w:w="992"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2012</w:t>
            </w:r>
          </w:p>
        </w:tc>
        <w:tc>
          <w:tcPr>
            <w:tcW w:w="906"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2013</w:t>
            </w:r>
          </w:p>
        </w:tc>
        <w:tc>
          <w:tcPr>
            <w:tcW w:w="923"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2014</w:t>
            </w:r>
          </w:p>
        </w:tc>
        <w:tc>
          <w:tcPr>
            <w:tcW w:w="1106" w:type="dxa"/>
            <w:tcBorders>
              <w:top w:val="single" w:sz="4" w:space="0" w:color="auto"/>
              <w:bottom w:val="single" w:sz="4" w:space="0" w:color="auto"/>
            </w:tcBorders>
            <w:shd w:val="clear" w:color="auto" w:fill="8DB3E2" w:themeFill="text2" w:themeFillTint="66"/>
            <w:vAlign w:val="center"/>
          </w:tcPr>
          <w:p w:rsidR="002227E0" w:rsidRPr="004A4F10" w:rsidRDefault="002227E0" w:rsidP="006922F2">
            <w:pPr>
              <w:pStyle w:val="cuadroCabe"/>
              <w:jc w:val="right"/>
              <w:rPr>
                <w:sz w:val="17"/>
                <w:szCs w:val="17"/>
              </w:rPr>
            </w:pPr>
            <w:r w:rsidRPr="004A4F10">
              <w:rPr>
                <w:sz w:val="17"/>
                <w:szCs w:val="17"/>
              </w:rPr>
              <w:t>Total</w:t>
            </w:r>
          </w:p>
        </w:tc>
      </w:tr>
      <w:tr w:rsidR="002227E0" w:rsidRPr="00D10DE4" w:rsidTr="00AA6AAA">
        <w:trPr>
          <w:trHeight w:hRule="exact" w:val="227"/>
          <w:jc w:val="center"/>
        </w:trPr>
        <w:tc>
          <w:tcPr>
            <w:tcW w:w="1879" w:type="dxa"/>
            <w:tcBorders>
              <w:top w:val="single" w:sz="4" w:space="0" w:color="auto"/>
              <w:bottom w:val="single" w:sz="2" w:space="0" w:color="auto"/>
            </w:tcBorders>
            <w:noWrap/>
            <w:vAlign w:val="center"/>
          </w:tcPr>
          <w:p w:rsidR="002227E0" w:rsidRPr="00D10DE4" w:rsidRDefault="002227E0" w:rsidP="002E470E">
            <w:pPr>
              <w:pStyle w:val="cuatexto"/>
              <w:jc w:val="left"/>
              <w:rPr>
                <w:sz w:val="17"/>
                <w:szCs w:val="17"/>
              </w:rPr>
            </w:pPr>
            <w:r w:rsidRPr="00D10DE4">
              <w:rPr>
                <w:sz w:val="17"/>
                <w:szCs w:val="17"/>
              </w:rPr>
              <w:t>Plan Ordinario</w:t>
            </w: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56.197.537</w:t>
            </w:r>
          </w:p>
        </w:tc>
        <w:tc>
          <w:tcPr>
            <w:tcW w:w="993"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57.602.474</w:t>
            </w: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54.542.536</w:t>
            </w: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56.018.599</w:t>
            </w:r>
          </w:p>
        </w:tc>
        <w:tc>
          <w:tcPr>
            <w:tcW w:w="906"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p>
        </w:tc>
        <w:tc>
          <w:tcPr>
            <w:tcW w:w="923"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p>
        </w:tc>
        <w:tc>
          <w:tcPr>
            <w:tcW w:w="1106"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r w:rsidRPr="00D10DE4">
              <w:rPr>
                <w:sz w:val="17"/>
                <w:szCs w:val="17"/>
              </w:rPr>
              <w:fldChar w:fldCharType="begin"/>
            </w:r>
            <w:r w:rsidRPr="00D10DE4">
              <w:rPr>
                <w:sz w:val="17"/>
                <w:szCs w:val="17"/>
              </w:rPr>
              <w:instrText xml:space="preserve"> =SUM(LEFT) </w:instrText>
            </w:r>
            <w:r w:rsidRPr="00D10DE4">
              <w:rPr>
                <w:sz w:val="17"/>
                <w:szCs w:val="17"/>
              </w:rPr>
              <w:fldChar w:fldCharType="separate"/>
            </w:r>
            <w:r w:rsidRPr="00D10DE4">
              <w:rPr>
                <w:sz w:val="17"/>
                <w:szCs w:val="17"/>
              </w:rPr>
              <w:t>224.361.146</w:t>
            </w:r>
            <w:r w:rsidRPr="00D10DE4">
              <w:rPr>
                <w:sz w:val="17"/>
                <w:szCs w:val="17"/>
              </w:rPr>
              <w:fldChar w:fldCharType="end"/>
            </w:r>
          </w:p>
        </w:tc>
      </w:tr>
      <w:tr w:rsidR="002227E0" w:rsidRPr="00D10DE4" w:rsidTr="00AA6AAA">
        <w:trPr>
          <w:trHeight w:hRule="exact" w:val="227"/>
          <w:jc w:val="center"/>
        </w:trPr>
        <w:tc>
          <w:tcPr>
            <w:tcW w:w="1879" w:type="dxa"/>
            <w:tcBorders>
              <w:top w:val="single" w:sz="2" w:space="0" w:color="auto"/>
              <w:bottom w:val="single" w:sz="4" w:space="0" w:color="auto"/>
            </w:tcBorders>
            <w:noWrap/>
            <w:vAlign w:val="center"/>
          </w:tcPr>
          <w:p w:rsidR="002227E0" w:rsidRPr="00D10DE4" w:rsidRDefault="002227E0" w:rsidP="002E470E">
            <w:pPr>
              <w:pStyle w:val="cuatexto"/>
              <w:jc w:val="left"/>
              <w:rPr>
                <w:sz w:val="17"/>
                <w:szCs w:val="17"/>
              </w:rPr>
            </w:pPr>
            <w:r w:rsidRPr="00D10DE4">
              <w:rPr>
                <w:sz w:val="17"/>
                <w:szCs w:val="17"/>
              </w:rPr>
              <w:t>Plan extraordinario</w:t>
            </w: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93"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r w:rsidRPr="00D10DE4">
              <w:rPr>
                <w:sz w:val="17"/>
                <w:szCs w:val="17"/>
              </w:rPr>
              <w:t>4.500.000</w:t>
            </w: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r w:rsidRPr="00D10DE4">
              <w:rPr>
                <w:sz w:val="17"/>
                <w:szCs w:val="17"/>
              </w:rPr>
              <w:t>4.500.000</w:t>
            </w:r>
          </w:p>
        </w:tc>
        <w:tc>
          <w:tcPr>
            <w:tcW w:w="906" w:type="dxa"/>
            <w:tcBorders>
              <w:top w:val="single" w:sz="2" w:space="0" w:color="auto"/>
              <w:bottom w:val="single" w:sz="4" w:space="0" w:color="auto"/>
            </w:tcBorders>
            <w:vAlign w:val="center"/>
          </w:tcPr>
          <w:p w:rsidR="002227E0" w:rsidRPr="00D10DE4" w:rsidRDefault="002227E0" w:rsidP="006922F2">
            <w:pPr>
              <w:pStyle w:val="cuatexto"/>
              <w:jc w:val="right"/>
              <w:rPr>
                <w:sz w:val="17"/>
                <w:szCs w:val="17"/>
              </w:rPr>
            </w:pPr>
          </w:p>
        </w:tc>
        <w:tc>
          <w:tcPr>
            <w:tcW w:w="923" w:type="dxa"/>
            <w:tcBorders>
              <w:top w:val="single" w:sz="2" w:space="0" w:color="auto"/>
              <w:bottom w:val="single" w:sz="4" w:space="0" w:color="auto"/>
            </w:tcBorders>
            <w:vAlign w:val="center"/>
          </w:tcPr>
          <w:p w:rsidR="002227E0" w:rsidRPr="00D10DE4" w:rsidRDefault="002227E0" w:rsidP="006922F2">
            <w:pPr>
              <w:pStyle w:val="cuatexto"/>
              <w:jc w:val="right"/>
              <w:rPr>
                <w:sz w:val="17"/>
                <w:szCs w:val="17"/>
              </w:rPr>
            </w:pPr>
          </w:p>
        </w:tc>
        <w:tc>
          <w:tcPr>
            <w:tcW w:w="1106" w:type="dxa"/>
            <w:tcBorders>
              <w:top w:val="single" w:sz="2" w:space="0" w:color="auto"/>
              <w:bottom w:val="single" w:sz="4" w:space="0" w:color="auto"/>
            </w:tcBorders>
            <w:vAlign w:val="center"/>
          </w:tcPr>
          <w:p w:rsidR="002227E0" w:rsidRPr="00D10DE4" w:rsidRDefault="002227E0" w:rsidP="00A10EAC">
            <w:pPr>
              <w:pStyle w:val="cuatexto"/>
              <w:jc w:val="right"/>
              <w:rPr>
                <w:sz w:val="17"/>
                <w:szCs w:val="17"/>
              </w:rPr>
            </w:pPr>
            <w:r w:rsidRPr="00D10DE4">
              <w:rPr>
                <w:sz w:val="17"/>
                <w:szCs w:val="17"/>
              </w:rPr>
              <w:t>9.000.000</w:t>
            </w:r>
          </w:p>
        </w:tc>
      </w:tr>
      <w:tr w:rsidR="002227E0" w:rsidRPr="00D10DE4" w:rsidTr="00AA6AAA">
        <w:trPr>
          <w:trHeight w:hRule="exact" w:val="227"/>
          <w:jc w:val="center"/>
        </w:trPr>
        <w:tc>
          <w:tcPr>
            <w:tcW w:w="1879" w:type="dxa"/>
            <w:tcBorders>
              <w:top w:val="single" w:sz="4" w:space="0" w:color="auto"/>
              <w:bottom w:val="single" w:sz="4" w:space="0" w:color="auto"/>
            </w:tcBorders>
            <w:noWrap/>
            <w:vAlign w:val="center"/>
          </w:tcPr>
          <w:p w:rsidR="002227E0" w:rsidRPr="00D10DE4" w:rsidRDefault="002227E0" w:rsidP="002E470E">
            <w:pPr>
              <w:pStyle w:val="cuatexto"/>
              <w:jc w:val="left"/>
              <w:rPr>
                <w:b/>
                <w:sz w:val="17"/>
                <w:szCs w:val="17"/>
              </w:rPr>
            </w:pPr>
            <w:r w:rsidRPr="00D10DE4">
              <w:rPr>
                <w:b/>
                <w:sz w:val="17"/>
                <w:szCs w:val="17"/>
              </w:rPr>
              <w:t>Total previsto</w:t>
            </w:r>
          </w:p>
        </w:tc>
        <w:tc>
          <w:tcPr>
            <w:tcW w:w="992" w:type="dxa"/>
            <w:tcBorders>
              <w:top w:val="single" w:sz="4" w:space="0" w:color="auto"/>
              <w:bottom w:val="single" w:sz="4" w:space="0" w:color="auto"/>
            </w:tcBorders>
            <w:noWrap/>
            <w:vAlign w:val="center"/>
          </w:tcPr>
          <w:p w:rsidR="002227E0" w:rsidRPr="00D10DE4" w:rsidRDefault="002227E0" w:rsidP="006922F2">
            <w:pPr>
              <w:pStyle w:val="cuatexto"/>
              <w:jc w:val="right"/>
              <w:rPr>
                <w:b/>
                <w:sz w:val="17"/>
                <w:szCs w:val="17"/>
              </w:rPr>
            </w:pPr>
            <w:r w:rsidRPr="00D10DE4">
              <w:rPr>
                <w:b/>
                <w:sz w:val="17"/>
                <w:szCs w:val="17"/>
              </w:rPr>
              <w:t>56.197.537</w:t>
            </w:r>
          </w:p>
        </w:tc>
        <w:tc>
          <w:tcPr>
            <w:tcW w:w="993" w:type="dxa"/>
            <w:tcBorders>
              <w:top w:val="single" w:sz="4" w:space="0" w:color="auto"/>
              <w:bottom w:val="single" w:sz="4" w:space="0" w:color="auto"/>
            </w:tcBorders>
            <w:noWrap/>
            <w:vAlign w:val="center"/>
          </w:tcPr>
          <w:p w:rsidR="002227E0" w:rsidRPr="00D10DE4" w:rsidRDefault="002227E0" w:rsidP="006922F2">
            <w:pPr>
              <w:pStyle w:val="cuatexto"/>
              <w:jc w:val="right"/>
              <w:rPr>
                <w:b/>
                <w:sz w:val="17"/>
                <w:szCs w:val="17"/>
              </w:rPr>
            </w:pPr>
            <w:r w:rsidRPr="00D10DE4">
              <w:rPr>
                <w:b/>
                <w:sz w:val="17"/>
                <w:szCs w:val="17"/>
              </w:rPr>
              <w:t>57.602.474</w:t>
            </w:r>
          </w:p>
        </w:tc>
        <w:tc>
          <w:tcPr>
            <w:tcW w:w="992" w:type="dxa"/>
            <w:tcBorders>
              <w:top w:val="single" w:sz="4" w:space="0" w:color="auto"/>
              <w:bottom w:val="single" w:sz="4" w:space="0" w:color="auto"/>
            </w:tcBorders>
            <w:noWrap/>
            <w:vAlign w:val="center"/>
          </w:tcPr>
          <w:p w:rsidR="002227E0" w:rsidRPr="00D10DE4" w:rsidRDefault="002227E0" w:rsidP="006922F2">
            <w:pPr>
              <w:pStyle w:val="cuatexto"/>
              <w:jc w:val="right"/>
              <w:rPr>
                <w:b/>
                <w:sz w:val="17"/>
                <w:szCs w:val="17"/>
              </w:rPr>
            </w:pPr>
            <w:r w:rsidRPr="00D10DE4">
              <w:rPr>
                <w:b/>
                <w:sz w:val="17"/>
                <w:szCs w:val="17"/>
              </w:rPr>
              <w:t>59.042.536</w:t>
            </w:r>
          </w:p>
        </w:tc>
        <w:tc>
          <w:tcPr>
            <w:tcW w:w="992" w:type="dxa"/>
            <w:tcBorders>
              <w:top w:val="single" w:sz="4" w:space="0" w:color="auto"/>
              <w:bottom w:val="single" w:sz="4" w:space="0" w:color="auto"/>
            </w:tcBorders>
            <w:noWrap/>
            <w:vAlign w:val="center"/>
          </w:tcPr>
          <w:p w:rsidR="002227E0" w:rsidRPr="00D10DE4" w:rsidRDefault="002227E0" w:rsidP="006922F2">
            <w:pPr>
              <w:pStyle w:val="cuatexto"/>
              <w:jc w:val="right"/>
              <w:rPr>
                <w:b/>
                <w:sz w:val="17"/>
                <w:szCs w:val="17"/>
              </w:rPr>
            </w:pPr>
            <w:r w:rsidRPr="00D10DE4">
              <w:rPr>
                <w:b/>
                <w:sz w:val="17"/>
                <w:szCs w:val="17"/>
              </w:rPr>
              <w:t>60.</w:t>
            </w:r>
            <w:r w:rsidR="00D90516" w:rsidRPr="00D10DE4">
              <w:rPr>
                <w:b/>
                <w:sz w:val="17"/>
                <w:szCs w:val="17"/>
              </w:rPr>
              <w:t>5</w:t>
            </w:r>
            <w:r w:rsidRPr="00D10DE4">
              <w:rPr>
                <w:b/>
                <w:sz w:val="17"/>
                <w:szCs w:val="17"/>
              </w:rPr>
              <w:t>18.599</w:t>
            </w:r>
          </w:p>
        </w:tc>
        <w:tc>
          <w:tcPr>
            <w:tcW w:w="906" w:type="dxa"/>
            <w:tcBorders>
              <w:top w:val="single" w:sz="4" w:space="0" w:color="auto"/>
              <w:bottom w:val="single" w:sz="4" w:space="0" w:color="auto"/>
            </w:tcBorders>
            <w:vAlign w:val="center"/>
          </w:tcPr>
          <w:p w:rsidR="002227E0" w:rsidRPr="00D10DE4" w:rsidRDefault="002227E0" w:rsidP="006922F2">
            <w:pPr>
              <w:pStyle w:val="cuatexto"/>
              <w:jc w:val="right"/>
              <w:rPr>
                <w:b/>
                <w:sz w:val="17"/>
                <w:szCs w:val="17"/>
              </w:rPr>
            </w:pPr>
          </w:p>
        </w:tc>
        <w:tc>
          <w:tcPr>
            <w:tcW w:w="923" w:type="dxa"/>
            <w:tcBorders>
              <w:top w:val="single" w:sz="4" w:space="0" w:color="auto"/>
              <w:bottom w:val="single" w:sz="4" w:space="0" w:color="auto"/>
            </w:tcBorders>
            <w:vAlign w:val="center"/>
          </w:tcPr>
          <w:p w:rsidR="002227E0" w:rsidRPr="00D10DE4" w:rsidRDefault="002227E0" w:rsidP="006922F2">
            <w:pPr>
              <w:pStyle w:val="cuatexto"/>
              <w:jc w:val="right"/>
              <w:rPr>
                <w:b/>
                <w:sz w:val="17"/>
                <w:szCs w:val="17"/>
              </w:rPr>
            </w:pPr>
          </w:p>
        </w:tc>
        <w:tc>
          <w:tcPr>
            <w:tcW w:w="1106" w:type="dxa"/>
            <w:tcBorders>
              <w:top w:val="single" w:sz="4" w:space="0" w:color="auto"/>
              <w:bottom w:val="single" w:sz="4" w:space="0" w:color="auto"/>
            </w:tcBorders>
            <w:vAlign w:val="center"/>
          </w:tcPr>
          <w:p w:rsidR="002227E0" w:rsidRPr="00D10DE4" w:rsidRDefault="002227E0" w:rsidP="006922F2">
            <w:pPr>
              <w:pStyle w:val="cuatexto"/>
              <w:jc w:val="right"/>
              <w:rPr>
                <w:b/>
                <w:sz w:val="17"/>
                <w:szCs w:val="17"/>
              </w:rPr>
            </w:pPr>
            <w:r w:rsidRPr="00D10DE4">
              <w:rPr>
                <w:b/>
                <w:sz w:val="17"/>
                <w:szCs w:val="17"/>
              </w:rPr>
              <w:fldChar w:fldCharType="begin"/>
            </w:r>
            <w:r w:rsidRPr="00D10DE4">
              <w:rPr>
                <w:b/>
                <w:sz w:val="17"/>
                <w:szCs w:val="17"/>
              </w:rPr>
              <w:instrText xml:space="preserve"> =SUM(ABOVE) </w:instrText>
            </w:r>
            <w:r w:rsidRPr="00D10DE4">
              <w:rPr>
                <w:b/>
                <w:sz w:val="17"/>
                <w:szCs w:val="17"/>
              </w:rPr>
              <w:fldChar w:fldCharType="separate"/>
            </w:r>
            <w:r w:rsidRPr="00D10DE4">
              <w:rPr>
                <w:b/>
                <w:sz w:val="17"/>
                <w:szCs w:val="17"/>
              </w:rPr>
              <w:t>233.361.146</w:t>
            </w:r>
            <w:r w:rsidRPr="00D10DE4">
              <w:rPr>
                <w:b/>
                <w:sz w:val="17"/>
                <w:szCs w:val="17"/>
              </w:rPr>
              <w:fldChar w:fldCharType="end"/>
            </w:r>
          </w:p>
        </w:tc>
      </w:tr>
      <w:tr w:rsidR="002227E0" w:rsidRPr="00D10DE4" w:rsidTr="00AA6AAA">
        <w:trPr>
          <w:trHeight w:hRule="exact" w:val="227"/>
          <w:jc w:val="center"/>
        </w:trPr>
        <w:tc>
          <w:tcPr>
            <w:tcW w:w="1879" w:type="dxa"/>
            <w:tcBorders>
              <w:top w:val="single" w:sz="4" w:space="0" w:color="auto"/>
              <w:bottom w:val="single" w:sz="2" w:space="0" w:color="auto"/>
            </w:tcBorders>
            <w:noWrap/>
            <w:vAlign w:val="center"/>
          </w:tcPr>
          <w:p w:rsidR="002227E0" w:rsidRPr="00D10DE4" w:rsidRDefault="002227E0" w:rsidP="002E470E">
            <w:pPr>
              <w:pStyle w:val="cuatexto"/>
              <w:jc w:val="left"/>
              <w:rPr>
                <w:sz w:val="17"/>
                <w:szCs w:val="17"/>
              </w:rPr>
            </w:pPr>
            <w:r w:rsidRPr="00D10DE4">
              <w:rPr>
                <w:sz w:val="17"/>
                <w:szCs w:val="17"/>
              </w:rPr>
              <w:t>Disminución</w:t>
            </w: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3"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4"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-23.604.450</w:t>
            </w:r>
          </w:p>
        </w:tc>
        <w:tc>
          <w:tcPr>
            <w:tcW w:w="906"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p>
        </w:tc>
        <w:tc>
          <w:tcPr>
            <w:tcW w:w="923"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p>
        </w:tc>
        <w:tc>
          <w:tcPr>
            <w:tcW w:w="1106" w:type="dxa"/>
            <w:tcBorders>
              <w:top w:val="single" w:sz="4" w:space="0" w:color="auto"/>
              <w:bottom w:val="single" w:sz="2" w:space="0" w:color="auto"/>
            </w:tcBorders>
            <w:vAlign w:val="center"/>
          </w:tcPr>
          <w:p w:rsidR="002227E0" w:rsidRPr="00D10DE4" w:rsidRDefault="002227E0" w:rsidP="006922F2">
            <w:pPr>
              <w:pStyle w:val="cuatexto"/>
              <w:jc w:val="right"/>
              <w:rPr>
                <w:sz w:val="17"/>
                <w:szCs w:val="17"/>
              </w:rPr>
            </w:pPr>
            <w:r w:rsidRPr="00D10DE4">
              <w:rPr>
                <w:sz w:val="17"/>
                <w:szCs w:val="17"/>
              </w:rPr>
              <w:t>-23.604.450</w:t>
            </w:r>
          </w:p>
        </w:tc>
      </w:tr>
      <w:tr w:rsidR="002227E0" w:rsidRPr="00D10DE4" w:rsidTr="00AA6AAA">
        <w:trPr>
          <w:trHeight w:hRule="exact" w:val="227"/>
          <w:jc w:val="center"/>
        </w:trPr>
        <w:tc>
          <w:tcPr>
            <w:tcW w:w="1879" w:type="dxa"/>
            <w:tcBorders>
              <w:top w:val="single" w:sz="2" w:space="0" w:color="auto"/>
              <w:bottom w:val="single" w:sz="2" w:space="0" w:color="auto"/>
            </w:tcBorders>
            <w:noWrap/>
            <w:vAlign w:val="center"/>
          </w:tcPr>
          <w:p w:rsidR="002227E0" w:rsidRPr="00D10DE4" w:rsidRDefault="002227E0" w:rsidP="002E470E">
            <w:pPr>
              <w:pStyle w:val="cuatexto"/>
              <w:jc w:val="left"/>
              <w:rPr>
                <w:sz w:val="17"/>
                <w:szCs w:val="17"/>
              </w:rPr>
            </w:pPr>
            <w:r w:rsidRPr="00D10DE4">
              <w:rPr>
                <w:sz w:val="17"/>
                <w:szCs w:val="17"/>
              </w:rPr>
              <w:t>Previsto modificado</w:t>
            </w:r>
          </w:p>
        </w:tc>
        <w:tc>
          <w:tcPr>
            <w:tcW w:w="992"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3"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p>
        </w:tc>
        <w:tc>
          <w:tcPr>
            <w:tcW w:w="906" w:type="dxa"/>
            <w:tcBorders>
              <w:top w:val="single" w:sz="2" w:space="0" w:color="auto"/>
              <w:bottom w:val="single" w:sz="2" w:space="0" w:color="auto"/>
            </w:tcBorders>
            <w:vAlign w:val="center"/>
          </w:tcPr>
          <w:p w:rsidR="002227E0" w:rsidRPr="00D10DE4" w:rsidRDefault="002227E0" w:rsidP="006922F2">
            <w:pPr>
              <w:pStyle w:val="cuatexto"/>
              <w:jc w:val="right"/>
              <w:rPr>
                <w:sz w:val="17"/>
                <w:szCs w:val="17"/>
              </w:rPr>
            </w:pPr>
          </w:p>
        </w:tc>
        <w:tc>
          <w:tcPr>
            <w:tcW w:w="923" w:type="dxa"/>
            <w:tcBorders>
              <w:top w:val="single" w:sz="2" w:space="0" w:color="auto"/>
              <w:bottom w:val="single" w:sz="2" w:space="0" w:color="auto"/>
            </w:tcBorders>
            <w:vAlign w:val="center"/>
          </w:tcPr>
          <w:p w:rsidR="002227E0" w:rsidRPr="00D10DE4" w:rsidRDefault="002227E0" w:rsidP="006922F2">
            <w:pPr>
              <w:pStyle w:val="cuatexto"/>
              <w:jc w:val="right"/>
              <w:rPr>
                <w:sz w:val="17"/>
                <w:szCs w:val="17"/>
              </w:rPr>
            </w:pPr>
          </w:p>
        </w:tc>
        <w:tc>
          <w:tcPr>
            <w:tcW w:w="1106" w:type="dxa"/>
            <w:tcBorders>
              <w:top w:val="single" w:sz="2" w:space="0" w:color="auto"/>
              <w:bottom w:val="single" w:sz="2" w:space="0" w:color="auto"/>
            </w:tcBorders>
            <w:vAlign w:val="center"/>
          </w:tcPr>
          <w:p w:rsidR="002227E0" w:rsidRPr="00D10DE4" w:rsidRDefault="002227E0" w:rsidP="006922F2">
            <w:pPr>
              <w:pStyle w:val="cuatexto"/>
              <w:jc w:val="right"/>
              <w:rPr>
                <w:sz w:val="17"/>
                <w:szCs w:val="17"/>
              </w:rPr>
            </w:pPr>
            <w:r w:rsidRPr="00D10DE4">
              <w:rPr>
                <w:sz w:val="17"/>
                <w:szCs w:val="17"/>
              </w:rPr>
              <w:t>209.756.696</w:t>
            </w:r>
          </w:p>
        </w:tc>
      </w:tr>
      <w:tr w:rsidR="002227E0" w:rsidRPr="00D10DE4" w:rsidTr="00AA6AAA">
        <w:trPr>
          <w:trHeight w:hRule="exact" w:val="227"/>
          <w:jc w:val="center"/>
        </w:trPr>
        <w:tc>
          <w:tcPr>
            <w:tcW w:w="1879" w:type="dxa"/>
            <w:tcBorders>
              <w:top w:val="single" w:sz="2" w:space="0" w:color="auto"/>
              <w:bottom w:val="single" w:sz="2" w:space="0" w:color="auto"/>
            </w:tcBorders>
            <w:noWrap/>
            <w:vAlign w:val="center"/>
          </w:tcPr>
          <w:p w:rsidR="002227E0" w:rsidRPr="00D10DE4" w:rsidRDefault="002227E0" w:rsidP="002E470E">
            <w:pPr>
              <w:pStyle w:val="cuatexto"/>
              <w:jc w:val="left"/>
              <w:rPr>
                <w:sz w:val="17"/>
                <w:szCs w:val="17"/>
              </w:rPr>
            </w:pPr>
            <w:r w:rsidRPr="00D10DE4">
              <w:rPr>
                <w:sz w:val="17"/>
                <w:szCs w:val="17"/>
              </w:rPr>
              <w:t>Obligación reconocida</w:t>
            </w:r>
            <w:r w:rsidR="00D10DE4">
              <w:rPr>
                <w:sz w:val="17"/>
                <w:szCs w:val="17"/>
              </w:rPr>
              <w:t xml:space="preserve"> </w:t>
            </w:r>
            <w:r w:rsidR="00EF668B" w:rsidRPr="00D10DE4">
              <w:rPr>
                <w:sz w:val="16"/>
                <w:szCs w:val="16"/>
              </w:rPr>
              <w:t>(1)</w:t>
            </w:r>
          </w:p>
        </w:tc>
        <w:tc>
          <w:tcPr>
            <w:tcW w:w="992" w:type="dxa"/>
            <w:tcBorders>
              <w:top w:val="single" w:sz="2" w:space="0" w:color="auto"/>
              <w:bottom w:val="single" w:sz="2" w:space="0" w:color="auto"/>
            </w:tcBorders>
            <w:noWrap/>
            <w:vAlign w:val="center"/>
          </w:tcPr>
          <w:p w:rsidR="002227E0" w:rsidRPr="00D10DE4" w:rsidRDefault="005A1C4A" w:rsidP="006922F2">
            <w:pPr>
              <w:pStyle w:val="cuatexto"/>
              <w:jc w:val="right"/>
              <w:rPr>
                <w:sz w:val="17"/>
                <w:szCs w:val="17"/>
              </w:rPr>
            </w:pPr>
            <w:r w:rsidRPr="00D10DE4">
              <w:rPr>
                <w:sz w:val="17"/>
                <w:szCs w:val="17"/>
              </w:rPr>
              <w:t>43.598.140</w:t>
            </w:r>
          </w:p>
        </w:tc>
        <w:tc>
          <w:tcPr>
            <w:tcW w:w="993"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52.4</w:t>
            </w:r>
            <w:r w:rsidR="005A1C4A" w:rsidRPr="00D10DE4">
              <w:rPr>
                <w:sz w:val="17"/>
                <w:szCs w:val="17"/>
              </w:rPr>
              <w:t>78.545</w:t>
            </w:r>
            <w:r w:rsidRPr="00D10DE4">
              <w:rPr>
                <w:sz w:val="17"/>
                <w:szCs w:val="17"/>
              </w:rPr>
              <w:t>8</w:t>
            </w:r>
          </w:p>
        </w:tc>
        <w:tc>
          <w:tcPr>
            <w:tcW w:w="992" w:type="dxa"/>
            <w:tcBorders>
              <w:top w:val="single" w:sz="2" w:space="0" w:color="auto"/>
              <w:bottom w:val="single" w:sz="2" w:space="0" w:color="auto"/>
            </w:tcBorders>
            <w:noWrap/>
            <w:vAlign w:val="center"/>
          </w:tcPr>
          <w:p w:rsidR="002227E0" w:rsidRPr="00D10DE4" w:rsidRDefault="002227E0" w:rsidP="006922F2">
            <w:pPr>
              <w:pStyle w:val="cuatexto"/>
              <w:jc w:val="right"/>
              <w:rPr>
                <w:sz w:val="17"/>
                <w:szCs w:val="17"/>
              </w:rPr>
            </w:pPr>
            <w:r w:rsidRPr="00D10DE4">
              <w:rPr>
                <w:sz w:val="17"/>
                <w:szCs w:val="17"/>
              </w:rPr>
              <w:t>13</w:t>
            </w:r>
            <w:r w:rsidR="005A1C4A" w:rsidRPr="00D10DE4">
              <w:rPr>
                <w:sz w:val="17"/>
                <w:szCs w:val="17"/>
              </w:rPr>
              <w:t>.395.331</w:t>
            </w:r>
          </w:p>
        </w:tc>
        <w:tc>
          <w:tcPr>
            <w:tcW w:w="992" w:type="dxa"/>
            <w:tcBorders>
              <w:top w:val="single" w:sz="2" w:space="0" w:color="auto"/>
              <w:bottom w:val="single" w:sz="2" w:space="0" w:color="auto"/>
            </w:tcBorders>
            <w:noWrap/>
            <w:vAlign w:val="center"/>
          </w:tcPr>
          <w:p w:rsidR="002227E0" w:rsidRPr="00D10DE4" w:rsidRDefault="005A1C4A" w:rsidP="006922F2">
            <w:pPr>
              <w:pStyle w:val="cuatexto"/>
              <w:jc w:val="right"/>
              <w:rPr>
                <w:sz w:val="17"/>
                <w:szCs w:val="17"/>
              </w:rPr>
            </w:pPr>
            <w:r w:rsidRPr="00D10DE4">
              <w:rPr>
                <w:sz w:val="17"/>
                <w:szCs w:val="17"/>
              </w:rPr>
              <w:t>32.039.781</w:t>
            </w:r>
          </w:p>
        </w:tc>
        <w:tc>
          <w:tcPr>
            <w:tcW w:w="906" w:type="dxa"/>
            <w:tcBorders>
              <w:top w:val="single" w:sz="2" w:space="0" w:color="auto"/>
              <w:bottom w:val="single" w:sz="2" w:space="0" w:color="auto"/>
            </w:tcBorders>
            <w:vAlign w:val="center"/>
          </w:tcPr>
          <w:p w:rsidR="002227E0" w:rsidRPr="00D10DE4" w:rsidRDefault="005A1C4A" w:rsidP="006922F2">
            <w:pPr>
              <w:pStyle w:val="cuatexto"/>
              <w:jc w:val="right"/>
              <w:rPr>
                <w:sz w:val="17"/>
                <w:szCs w:val="17"/>
              </w:rPr>
            </w:pPr>
            <w:r w:rsidRPr="00D10DE4">
              <w:rPr>
                <w:sz w:val="17"/>
                <w:szCs w:val="17"/>
              </w:rPr>
              <w:t>16.926.299</w:t>
            </w:r>
          </w:p>
        </w:tc>
        <w:tc>
          <w:tcPr>
            <w:tcW w:w="923" w:type="dxa"/>
            <w:tcBorders>
              <w:top w:val="single" w:sz="2" w:space="0" w:color="auto"/>
              <w:bottom w:val="single" w:sz="2" w:space="0" w:color="auto"/>
            </w:tcBorders>
            <w:vAlign w:val="center"/>
          </w:tcPr>
          <w:p w:rsidR="005A1C4A" w:rsidRPr="00D10DE4" w:rsidRDefault="005A1C4A" w:rsidP="00A10EAC">
            <w:pPr>
              <w:pStyle w:val="cuatexto"/>
              <w:jc w:val="right"/>
              <w:rPr>
                <w:sz w:val="17"/>
                <w:szCs w:val="17"/>
              </w:rPr>
            </w:pPr>
            <w:r w:rsidRPr="00D10DE4">
              <w:rPr>
                <w:sz w:val="17"/>
                <w:szCs w:val="17"/>
              </w:rPr>
              <w:t>11.232.058</w:t>
            </w:r>
          </w:p>
        </w:tc>
        <w:tc>
          <w:tcPr>
            <w:tcW w:w="1106" w:type="dxa"/>
            <w:tcBorders>
              <w:top w:val="single" w:sz="2" w:space="0" w:color="auto"/>
              <w:bottom w:val="single" w:sz="2" w:space="0" w:color="auto"/>
            </w:tcBorders>
            <w:vAlign w:val="center"/>
          </w:tcPr>
          <w:p w:rsidR="002227E0" w:rsidRPr="00D10DE4" w:rsidRDefault="005A1C4A" w:rsidP="006922F2">
            <w:pPr>
              <w:pStyle w:val="cuatexto"/>
              <w:jc w:val="right"/>
              <w:rPr>
                <w:sz w:val="17"/>
                <w:szCs w:val="17"/>
              </w:rPr>
            </w:pPr>
            <w:r w:rsidRPr="00D10DE4">
              <w:rPr>
                <w:sz w:val="17"/>
                <w:szCs w:val="17"/>
              </w:rPr>
              <w:t>169.670.154</w:t>
            </w:r>
          </w:p>
        </w:tc>
      </w:tr>
      <w:tr w:rsidR="002227E0" w:rsidRPr="00D10DE4" w:rsidTr="00AA6AAA">
        <w:trPr>
          <w:trHeight w:hRule="exact" w:val="227"/>
          <w:jc w:val="center"/>
        </w:trPr>
        <w:tc>
          <w:tcPr>
            <w:tcW w:w="1879" w:type="dxa"/>
            <w:tcBorders>
              <w:top w:val="single" w:sz="2" w:space="0" w:color="auto"/>
              <w:bottom w:val="single" w:sz="4" w:space="0" w:color="auto"/>
            </w:tcBorders>
            <w:noWrap/>
            <w:vAlign w:val="center"/>
          </w:tcPr>
          <w:p w:rsidR="002227E0" w:rsidRPr="00D10DE4" w:rsidRDefault="002227E0" w:rsidP="002E470E">
            <w:pPr>
              <w:pStyle w:val="cuatexto"/>
              <w:jc w:val="left"/>
              <w:rPr>
                <w:sz w:val="17"/>
                <w:szCs w:val="17"/>
              </w:rPr>
            </w:pPr>
            <w:r w:rsidRPr="00D10DE4">
              <w:rPr>
                <w:sz w:val="17"/>
                <w:szCs w:val="17"/>
              </w:rPr>
              <w:t>Pendiente de ejecutar</w:t>
            </w: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93"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92" w:type="dxa"/>
            <w:tcBorders>
              <w:top w:val="single" w:sz="2" w:space="0" w:color="auto"/>
              <w:bottom w:val="single" w:sz="4" w:space="0" w:color="auto"/>
            </w:tcBorders>
            <w:noWrap/>
            <w:vAlign w:val="center"/>
          </w:tcPr>
          <w:p w:rsidR="002227E0" w:rsidRPr="00D10DE4" w:rsidRDefault="002227E0" w:rsidP="006922F2">
            <w:pPr>
              <w:pStyle w:val="cuatexto"/>
              <w:jc w:val="right"/>
              <w:rPr>
                <w:sz w:val="17"/>
                <w:szCs w:val="17"/>
              </w:rPr>
            </w:pPr>
          </w:p>
        </w:tc>
        <w:tc>
          <w:tcPr>
            <w:tcW w:w="906" w:type="dxa"/>
            <w:tcBorders>
              <w:top w:val="single" w:sz="2" w:space="0" w:color="auto"/>
              <w:bottom w:val="single" w:sz="4" w:space="0" w:color="auto"/>
            </w:tcBorders>
            <w:vAlign w:val="center"/>
          </w:tcPr>
          <w:p w:rsidR="002227E0" w:rsidRPr="00D10DE4" w:rsidRDefault="002227E0" w:rsidP="006922F2">
            <w:pPr>
              <w:pStyle w:val="cuatexto"/>
              <w:jc w:val="right"/>
              <w:rPr>
                <w:sz w:val="17"/>
                <w:szCs w:val="17"/>
              </w:rPr>
            </w:pPr>
          </w:p>
        </w:tc>
        <w:tc>
          <w:tcPr>
            <w:tcW w:w="923" w:type="dxa"/>
            <w:tcBorders>
              <w:top w:val="single" w:sz="2" w:space="0" w:color="auto"/>
              <w:bottom w:val="single" w:sz="4" w:space="0" w:color="auto"/>
            </w:tcBorders>
            <w:vAlign w:val="center"/>
          </w:tcPr>
          <w:p w:rsidR="002227E0" w:rsidRPr="00D10DE4" w:rsidRDefault="002227E0" w:rsidP="006922F2">
            <w:pPr>
              <w:pStyle w:val="cuatexto"/>
              <w:jc w:val="right"/>
              <w:rPr>
                <w:sz w:val="17"/>
                <w:szCs w:val="17"/>
              </w:rPr>
            </w:pPr>
          </w:p>
        </w:tc>
        <w:tc>
          <w:tcPr>
            <w:tcW w:w="1106" w:type="dxa"/>
            <w:tcBorders>
              <w:top w:val="single" w:sz="2" w:space="0" w:color="auto"/>
              <w:bottom w:val="single" w:sz="4" w:space="0" w:color="auto"/>
            </w:tcBorders>
            <w:vAlign w:val="center"/>
          </w:tcPr>
          <w:p w:rsidR="002227E0" w:rsidRPr="00D10DE4" w:rsidRDefault="00D90516" w:rsidP="006922F2">
            <w:pPr>
              <w:pStyle w:val="cuatexto"/>
              <w:jc w:val="right"/>
              <w:rPr>
                <w:sz w:val="17"/>
                <w:szCs w:val="17"/>
              </w:rPr>
            </w:pPr>
            <w:r w:rsidRPr="00D10DE4">
              <w:rPr>
                <w:sz w:val="17"/>
                <w:szCs w:val="17"/>
              </w:rPr>
              <w:t>40.086.542</w:t>
            </w:r>
          </w:p>
        </w:tc>
      </w:tr>
    </w:tbl>
    <w:p w:rsidR="002227E0" w:rsidRPr="00D10DE4" w:rsidRDefault="00D10DE4" w:rsidP="00AA6AAA">
      <w:pPr>
        <w:pStyle w:val="texto"/>
        <w:spacing w:before="100" w:after="0"/>
        <w:ind w:left="28" w:firstLine="0"/>
        <w:rPr>
          <w:rFonts w:ascii="Arial Narrow" w:hAnsi="Arial Narrow"/>
          <w:sz w:val="17"/>
          <w:szCs w:val="17"/>
          <w:lang w:val="es-ES"/>
        </w:rPr>
      </w:pPr>
      <w:r w:rsidRPr="00D10DE4">
        <w:rPr>
          <w:rFonts w:ascii="Arial Narrow" w:hAnsi="Arial Narrow"/>
          <w:sz w:val="17"/>
          <w:szCs w:val="17"/>
        </w:rPr>
        <w:t xml:space="preserve">(1) </w:t>
      </w:r>
      <w:r w:rsidR="002227E0" w:rsidRPr="00D10DE4">
        <w:rPr>
          <w:rFonts w:ascii="Arial Narrow" w:hAnsi="Arial Narrow"/>
          <w:sz w:val="17"/>
          <w:szCs w:val="17"/>
          <w:lang w:val="es-ES"/>
        </w:rPr>
        <w:t>Descontadas las obligaciones</w:t>
      </w:r>
      <w:r w:rsidR="00345A16">
        <w:rPr>
          <w:rFonts w:ascii="Arial Narrow" w:hAnsi="Arial Narrow"/>
          <w:sz w:val="17"/>
          <w:szCs w:val="17"/>
          <w:lang w:val="es-ES"/>
        </w:rPr>
        <w:t xml:space="preserve"> </w:t>
      </w:r>
      <w:r w:rsidR="002227E0" w:rsidRPr="00D10DE4">
        <w:rPr>
          <w:rFonts w:ascii="Arial Narrow" w:hAnsi="Arial Narrow"/>
          <w:sz w:val="17"/>
          <w:szCs w:val="17"/>
          <w:lang w:val="es-ES"/>
        </w:rPr>
        <w:t>correspondientes a Planes anteriores</w:t>
      </w:r>
      <w:r w:rsidR="002C2D49">
        <w:rPr>
          <w:rFonts w:ascii="Arial Narrow" w:hAnsi="Arial Narrow"/>
          <w:sz w:val="17"/>
          <w:szCs w:val="17"/>
          <w:lang w:val="es-ES"/>
        </w:rPr>
        <w:t>, según el Departamento de Administración Local.</w:t>
      </w:r>
    </w:p>
    <w:p w:rsidR="002227E0" w:rsidRPr="006D43A7" w:rsidRDefault="005A1C4A" w:rsidP="008A4EBB">
      <w:pPr>
        <w:pStyle w:val="texto"/>
        <w:spacing w:before="280" w:after="120"/>
        <w:rPr>
          <w:lang w:val="es-ES"/>
        </w:rPr>
      </w:pPr>
      <w:r>
        <w:rPr>
          <w:lang w:val="es-ES"/>
        </w:rPr>
        <w:t>El</w:t>
      </w:r>
      <w:r w:rsidR="002227E0" w:rsidRPr="006D43A7">
        <w:rPr>
          <w:lang w:val="es-ES"/>
        </w:rPr>
        <w:t xml:space="preserve"> </w:t>
      </w:r>
      <w:r w:rsidRPr="006D43A7">
        <w:rPr>
          <w:lang w:val="es-ES"/>
        </w:rPr>
        <w:t>Plan de Inversiones Locales 2009-2012</w:t>
      </w:r>
      <w:r>
        <w:rPr>
          <w:lang w:val="es-ES"/>
        </w:rPr>
        <w:t xml:space="preserve"> </w:t>
      </w:r>
      <w:r w:rsidR="002227E0" w:rsidRPr="006D43A7">
        <w:rPr>
          <w:lang w:val="es-ES"/>
        </w:rPr>
        <w:t>se ejecutó en un 73 por ciento de las previsiones aprobadas inicialmente en su normativa reguladora. Si tenemos en cuenta que en el ejercicio 2012</w:t>
      </w:r>
      <w:r w:rsidR="002C2D49">
        <w:rPr>
          <w:lang w:val="es-ES"/>
        </w:rPr>
        <w:t xml:space="preserve"> se rebajó la dotación prevista</w:t>
      </w:r>
      <w:r w:rsidR="002227E0" w:rsidRPr="006D43A7">
        <w:rPr>
          <w:lang w:val="es-ES"/>
        </w:rPr>
        <w:t xml:space="preserve"> en el Plan para las aportaciones de capital en 23,6 millones de euros, la ejecución del Plan se situaría en el 8</w:t>
      </w:r>
      <w:r>
        <w:rPr>
          <w:lang w:val="es-ES"/>
        </w:rPr>
        <w:t>1</w:t>
      </w:r>
      <w:r w:rsidR="002227E0" w:rsidRPr="006D43A7">
        <w:rPr>
          <w:lang w:val="es-ES"/>
        </w:rPr>
        <w:t xml:space="preserve"> por ciento. </w:t>
      </w:r>
    </w:p>
    <w:p w:rsidR="002227E0" w:rsidRPr="006D43A7" w:rsidRDefault="002227E0" w:rsidP="008A4EBB">
      <w:pPr>
        <w:pStyle w:val="texto"/>
        <w:spacing w:after="120"/>
        <w:rPr>
          <w:lang w:val="es-ES"/>
        </w:rPr>
      </w:pPr>
      <w:r w:rsidRPr="006D43A7">
        <w:rPr>
          <w:lang w:val="es-ES"/>
        </w:rPr>
        <w:t>A 31 de diciembre de 2014 se encontraban en la situación de créditos no di</w:t>
      </w:r>
      <w:r w:rsidRPr="006D43A7">
        <w:rPr>
          <w:lang w:val="es-ES"/>
        </w:rPr>
        <w:t>s</w:t>
      </w:r>
      <w:r w:rsidRPr="006D43A7">
        <w:rPr>
          <w:lang w:val="es-ES"/>
        </w:rPr>
        <w:t>ponibles un total de 5.670.529 euros de aportaciones de capital del Plan de i</w:t>
      </w:r>
      <w:r w:rsidRPr="006D43A7">
        <w:rPr>
          <w:lang w:val="es-ES"/>
        </w:rPr>
        <w:t>n</w:t>
      </w:r>
      <w:r w:rsidRPr="006D43A7">
        <w:rPr>
          <w:lang w:val="es-ES"/>
        </w:rPr>
        <w:t>versiones Locales 2009-2012.</w:t>
      </w:r>
    </w:p>
    <w:p w:rsidR="001B3767" w:rsidRPr="006D43A7" w:rsidRDefault="001B3767" w:rsidP="008A4EBB">
      <w:pPr>
        <w:pStyle w:val="texto"/>
        <w:spacing w:after="120"/>
        <w:rPr>
          <w:lang w:val="es-ES"/>
        </w:rPr>
      </w:pPr>
      <w:r w:rsidRPr="006D43A7">
        <w:rPr>
          <w:lang w:val="es-ES"/>
        </w:rPr>
        <w:t>La Ley Foral 19/</w:t>
      </w:r>
      <w:bookmarkStart w:id="69" w:name="Da.Primera"/>
      <w:bookmarkEnd w:id="69"/>
      <w:r w:rsidRPr="006D43A7">
        <w:rPr>
          <w:lang w:val="es-ES"/>
        </w:rPr>
        <w:t>2011, de 28 de diciembre, de Presupuestos Generales de Navarra para el año 2012 establece que los créditos aprobados por el Parlame</w:t>
      </w:r>
      <w:r w:rsidRPr="006D43A7">
        <w:rPr>
          <w:lang w:val="es-ES"/>
        </w:rPr>
        <w:t>n</w:t>
      </w:r>
      <w:r w:rsidRPr="006D43A7">
        <w:rPr>
          <w:lang w:val="es-ES"/>
        </w:rPr>
        <w:t>to de Navarra, que integran el fondo de participación de las entidades locales en los tributos de Navarra en su vertiente de transferencias de capital no utilizados presupuestariamente al cierre del ejercicio o que tengan su origen en las ec</w:t>
      </w:r>
      <w:r w:rsidRPr="006D43A7">
        <w:rPr>
          <w:lang w:val="es-ES"/>
        </w:rPr>
        <w:t>o</w:t>
      </w:r>
      <w:r w:rsidRPr="006D43A7">
        <w:rPr>
          <w:lang w:val="es-ES"/>
        </w:rPr>
        <w:t>nomías de ejercicios cerrados, tendrán la consideración de remanente de tesor</w:t>
      </w:r>
      <w:r w:rsidRPr="006D43A7">
        <w:rPr>
          <w:lang w:val="es-ES"/>
        </w:rPr>
        <w:t>e</w:t>
      </w:r>
      <w:r w:rsidRPr="006D43A7">
        <w:rPr>
          <w:lang w:val="es-ES"/>
        </w:rPr>
        <w:t>ría afecto.</w:t>
      </w:r>
    </w:p>
    <w:p w:rsidR="001B3767" w:rsidRPr="00345A16" w:rsidRDefault="005A1C4A" w:rsidP="008A4EBB">
      <w:pPr>
        <w:pStyle w:val="texto"/>
        <w:spacing w:after="120"/>
        <w:rPr>
          <w:lang w:val="es-ES"/>
        </w:rPr>
      </w:pPr>
      <w:r w:rsidRPr="00345A16">
        <w:rPr>
          <w:lang w:val="es-ES"/>
        </w:rPr>
        <w:t>E</w:t>
      </w:r>
      <w:r w:rsidR="001B3767" w:rsidRPr="00345A16">
        <w:rPr>
          <w:lang w:val="es-ES"/>
        </w:rPr>
        <w:t>n el presupuesto del ejercicio 2014 se recogió un crédito inicial de 20 m</w:t>
      </w:r>
      <w:r w:rsidR="001B3767" w:rsidRPr="00345A16">
        <w:rPr>
          <w:lang w:val="es-ES"/>
        </w:rPr>
        <w:t>i</w:t>
      </w:r>
      <w:r w:rsidR="001B3767" w:rsidRPr="00345A16">
        <w:rPr>
          <w:lang w:val="es-ES"/>
        </w:rPr>
        <w:t>llones que iba a ser financiado con remanente de tesorería afecto  y que debió ser incorporado al presupuesto mediante una modificación presupuestaria.</w:t>
      </w:r>
    </w:p>
    <w:p w:rsidR="005A1C4A" w:rsidRDefault="005A1C4A" w:rsidP="008A4EBB">
      <w:pPr>
        <w:pStyle w:val="texto"/>
        <w:spacing w:after="120"/>
        <w:rPr>
          <w:lang w:val="es-ES"/>
        </w:rPr>
      </w:pPr>
      <w:r>
        <w:rPr>
          <w:lang w:val="es-ES"/>
        </w:rPr>
        <w:t>El remanente de tesorería afecto a 31 de diciembre de 2014 al Plan de Inve</w:t>
      </w:r>
      <w:r>
        <w:rPr>
          <w:lang w:val="es-ES"/>
        </w:rPr>
        <w:t>r</w:t>
      </w:r>
      <w:r>
        <w:rPr>
          <w:lang w:val="es-ES"/>
        </w:rPr>
        <w:t>sion</w:t>
      </w:r>
      <w:r w:rsidR="002D6B41">
        <w:rPr>
          <w:lang w:val="es-ES"/>
        </w:rPr>
        <w:t>es Locales es de 65,50 millones</w:t>
      </w:r>
      <w:r w:rsidR="00666135">
        <w:rPr>
          <w:lang w:val="es-ES"/>
        </w:rPr>
        <w:t>,</w:t>
      </w:r>
      <w:r w:rsidR="002C2D49">
        <w:rPr>
          <w:lang w:val="es-ES"/>
        </w:rPr>
        <w:t xml:space="preserve"> de los cuales</w:t>
      </w:r>
      <w:r w:rsidR="00666135">
        <w:rPr>
          <w:lang w:val="es-ES"/>
        </w:rPr>
        <w:t xml:space="preserve"> 40 corresponden al Plan 2009-2012 y el resto a planes anteriores.</w:t>
      </w:r>
    </w:p>
    <w:p w:rsidR="00742589" w:rsidRPr="008A4EBB" w:rsidRDefault="00742589" w:rsidP="008A4EBB">
      <w:pPr>
        <w:pStyle w:val="texto"/>
        <w:spacing w:after="120"/>
        <w:rPr>
          <w:lang w:val="es-ES"/>
        </w:rPr>
      </w:pPr>
      <w:r w:rsidRPr="008A4EBB">
        <w:rPr>
          <w:lang w:val="es-ES"/>
        </w:rPr>
        <w:t>Recomendamos:</w:t>
      </w:r>
    </w:p>
    <w:p w:rsidR="00F41598" w:rsidRDefault="00F41598" w:rsidP="00AA552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Regularizar con el Ayuntamiento las subvenciones concedidas en exceso para la financiación del coste neto de las clases pasivas municipales.</w:t>
      </w:r>
    </w:p>
    <w:p w:rsidR="00742589" w:rsidRPr="00AA5528" w:rsidRDefault="0074258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AA5528">
        <w:rPr>
          <w:rFonts w:cs="Arial"/>
          <w:i/>
        </w:rPr>
        <w:lastRenderedPageBreak/>
        <w:t xml:space="preserve">Presentar en la memoria </w:t>
      </w:r>
      <w:r w:rsidR="002C2D49">
        <w:rPr>
          <w:rFonts w:cs="Arial"/>
          <w:i/>
        </w:rPr>
        <w:t xml:space="preserve">de la Fundación Moderna </w:t>
      </w:r>
      <w:r w:rsidRPr="00AA5528">
        <w:rPr>
          <w:rFonts w:cs="Arial"/>
          <w:i/>
        </w:rPr>
        <w:t>el cumplimiento y v</w:t>
      </w:r>
      <w:r w:rsidRPr="00AA5528">
        <w:rPr>
          <w:rFonts w:cs="Arial"/>
          <w:i/>
        </w:rPr>
        <w:t>a</w:t>
      </w:r>
      <w:r w:rsidRPr="00AA5528">
        <w:rPr>
          <w:rFonts w:cs="Arial"/>
          <w:i/>
        </w:rPr>
        <w:t>loración de objetivos en alineación con establecidos en el plan de actuación y con los objetivos a largo plazo del Plan Moderna.</w:t>
      </w:r>
    </w:p>
    <w:p w:rsidR="00742589" w:rsidRPr="00AA5528" w:rsidRDefault="0074258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AA5528">
        <w:rPr>
          <w:rFonts w:cs="Arial"/>
          <w:i/>
        </w:rPr>
        <w:t>Apro</w:t>
      </w:r>
      <w:r w:rsidR="00345A16" w:rsidRPr="00AA5528">
        <w:rPr>
          <w:rFonts w:cs="Arial"/>
          <w:i/>
        </w:rPr>
        <w:t>b</w:t>
      </w:r>
      <w:r w:rsidRPr="00AA5528">
        <w:rPr>
          <w:rFonts w:cs="Arial"/>
          <w:i/>
        </w:rPr>
        <w:t xml:space="preserve">ar un </w:t>
      </w:r>
      <w:r w:rsidR="002C2D49">
        <w:rPr>
          <w:rFonts w:cs="Arial"/>
          <w:i/>
        </w:rPr>
        <w:t xml:space="preserve">nuevo modelo de financiación </w:t>
      </w:r>
      <w:r w:rsidRPr="00AA5528">
        <w:rPr>
          <w:rFonts w:cs="Arial"/>
          <w:i/>
        </w:rPr>
        <w:t>de la actividad de la Univers</w:t>
      </w:r>
      <w:r w:rsidRPr="00AA5528">
        <w:rPr>
          <w:rFonts w:cs="Arial"/>
          <w:i/>
        </w:rPr>
        <w:t>i</w:t>
      </w:r>
      <w:r w:rsidRPr="00AA5528">
        <w:rPr>
          <w:rFonts w:cs="Arial"/>
          <w:i/>
        </w:rPr>
        <w:t xml:space="preserve">dad Pública </w:t>
      </w:r>
      <w:r w:rsidR="000D7F32">
        <w:rPr>
          <w:rFonts w:cs="Arial"/>
          <w:i/>
        </w:rPr>
        <w:t xml:space="preserve">de Navarra </w:t>
      </w:r>
      <w:r w:rsidRPr="00AA5528">
        <w:rPr>
          <w:rFonts w:cs="Arial"/>
          <w:i/>
        </w:rPr>
        <w:t>en el que se establezcan objetivos e indicado</w:t>
      </w:r>
      <w:r w:rsidR="002C2D49">
        <w:rPr>
          <w:rFonts w:cs="Arial"/>
          <w:i/>
        </w:rPr>
        <w:t>res para medir su cumplimiento, necesarios para establecer una financiación ligada a resultados.</w:t>
      </w:r>
    </w:p>
    <w:p w:rsidR="002C2D49" w:rsidRDefault="002C2D49"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Pr>
          <w:rFonts w:cs="Arial"/>
          <w:i/>
        </w:rPr>
        <w:t>Reflexionar sobre el criterio de conceder</w:t>
      </w:r>
      <w:r w:rsidR="00345A16" w:rsidRPr="00AA5528">
        <w:rPr>
          <w:rFonts w:cs="Arial"/>
          <w:i/>
        </w:rPr>
        <w:t xml:space="preserve"> subvenciones </w:t>
      </w:r>
      <w:r>
        <w:rPr>
          <w:rFonts w:cs="Arial"/>
          <w:i/>
        </w:rPr>
        <w:t>directas como ap</w:t>
      </w:r>
      <w:r>
        <w:rPr>
          <w:rFonts w:cs="Arial"/>
          <w:i/>
        </w:rPr>
        <w:t>o</w:t>
      </w:r>
      <w:r>
        <w:rPr>
          <w:rFonts w:cs="Arial"/>
          <w:i/>
        </w:rPr>
        <w:t xml:space="preserve">yo financiero a entidades, en este caso la Fundación Pablo </w:t>
      </w:r>
      <w:proofErr w:type="spellStart"/>
      <w:r>
        <w:rPr>
          <w:rFonts w:cs="Arial"/>
          <w:i/>
        </w:rPr>
        <w:t>Sarasate</w:t>
      </w:r>
      <w:proofErr w:type="spellEnd"/>
      <w:r>
        <w:rPr>
          <w:rFonts w:cs="Arial"/>
          <w:i/>
        </w:rPr>
        <w:t xml:space="preserve">, que no han conseguido los ingresos previstos de otras fuentes de financiación. </w:t>
      </w:r>
    </w:p>
    <w:p w:rsidR="006955A3" w:rsidRPr="00AA5528" w:rsidRDefault="006955A3"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Pr>
          <w:rFonts w:cs="Arial"/>
          <w:i/>
        </w:rPr>
        <w:t xml:space="preserve">Contabilizar el compromiso de gasto correspondiente a las subvenciones de rehabilitación de viviendas </w:t>
      </w:r>
      <w:r w:rsidR="003E66FD">
        <w:rPr>
          <w:rFonts w:cs="Arial"/>
          <w:i/>
        </w:rPr>
        <w:t>cuando se presente la calificación provisional.</w:t>
      </w:r>
    </w:p>
    <w:p w:rsidR="00345A16" w:rsidRPr="00AA5528" w:rsidRDefault="00345A16" w:rsidP="000D7F3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89"/>
        <w:rPr>
          <w:rFonts w:cs="Arial"/>
          <w:i/>
        </w:rPr>
      </w:pPr>
      <w:r w:rsidRPr="00AA5528">
        <w:rPr>
          <w:rFonts w:cs="Arial"/>
          <w:i/>
        </w:rPr>
        <w:t>No incluir como crédito inicial del presupuesto aquellos gastos financi</w:t>
      </w:r>
      <w:r w:rsidRPr="00AA5528">
        <w:rPr>
          <w:rFonts w:cs="Arial"/>
          <w:i/>
        </w:rPr>
        <w:t>a</w:t>
      </w:r>
      <w:r w:rsidRPr="00AA5528">
        <w:rPr>
          <w:rFonts w:cs="Arial"/>
          <w:i/>
        </w:rPr>
        <w:t>dos con remanente de tesorería afecto.</w:t>
      </w:r>
    </w:p>
    <w:p w:rsidR="001B3767" w:rsidRPr="00E26A4B" w:rsidRDefault="001B3767" w:rsidP="0037495B">
      <w:pPr>
        <w:pStyle w:val="atitulo3"/>
        <w:spacing w:before="320"/>
        <w:rPr>
          <w:rFonts w:cs="Arial"/>
        </w:rPr>
      </w:pPr>
      <w:bookmarkStart w:id="70" w:name="_Toc418853784"/>
      <w:bookmarkStart w:id="71" w:name="_Toc402180194"/>
      <w:r w:rsidRPr="00E26A4B">
        <w:rPr>
          <w:rFonts w:cs="Arial"/>
        </w:rPr>
        <w:t>VII.5.</w:t>
      </w:r>
      <w:r w:rsidR="00742589">
        <w:rPr>
          <w:rFonts w:cs="Arial"/>
        </w:rPr>
        <w:t>2</w:t>
      </w:r>
      <w:r w:rsidRPr="00E26A4B">
        <w:rPr>
          <w:rFonts w:cs="Arial"/>
        </w:rPr>
        <w:t xml:space="preserve"> Convenio Económico con el Estado</w:t>
      </w:r>
      <w:bookmarkEnd w:id="70"/>
      <w:bookmarkEnd w:id="71"/>
    </w:p>
    <w:p w:rsidR="001B3767" w:rsidRPr="006D43A7" w:rsidRDefault="001B3767" w:rsidP="000D7F32">
      <w:pPr>
        <w:pStyle w:val="texto"/>
        <w:spacing w:after="120"/>
        <w:rPr>
          <w:lang w:val="es-ES"/>
        </w:rPr>
      </w:pPr>
      <w:r w:rsidRPr="006D43A7">
        <w:rPr>
          <w:lang w:val="es-ES"/>
        </w:rPr>
        <w:t>La actividad financiera y tributaria de Navarra se rige, en virtud de su rég</w:t>
      </w:r>
      <w:r w:rsidRPr="006D43A7">
        <w:rPr>
          <w:lang w:val="es-ES"/>
        </w:rPr>
        <w:t>i</w:t>
      </w:r>
      <w:r w:rsidRPr="006D43A7">
        <w:rPr>
          <w:lang w:val="es-ES"/>
        </w:rPr>
        <w:t xml:space="preserve">men foral, por el Convenio Económico entre el Estado y la Comunidad Foral de Navarra, firmado el 31 de julio de 1990 y regulado en la Ley Foral 28/1990, de 26 de diciembre. </w:t>
      </w:r>
    </w:p>
    <w:p w:rsidR="001B3767" w:rsidRPr="006D43A7" w:rsidRDefault="001B3767" w:rsidP="000D7F32">
      <w:pPr>
        <w:pStyle w:val="texto"/>
        <w:spacing w:after="120"/>
        <w:rPr>
          <w:lang w:val="es-ES"/>
        </w:rPr>
      </w:pPr>
      <w:r w:rsidRPr="006D43A7">
        <w:rPr>
          <w:lang w:val="es-ES"/>
        </w:rPr>
        <w:t>En el convenio se establecen los criterios de armonización fiscal y el método para calcular la aportación de Navarra al Estado por las competencias no tran</w:t>
      </w:r>
      <w:r w:rsidRPr="006D43A7">
        <w:rPr>
          <w:lang w:val="es-ES"/>
        </w:rPr>
        <w:t>s</w:t>
      </w:r>
      <w:r w:rsidRPr="006D43A7">
        <w:rPr>
          <w:lang w:val="es-ES"/>
        </w:rPr>
        <w:t xml:space="preserve">feridas que la Administración estatal presta en Navarra. </w:t>
      </w:r>
    </w:p>
    <w:p w:rsidR="001B3767" w:rsidRPr="006D43A7" w:rsidRDefault="001B3767" w:rsidP="00462930">
      <w:pPr>
        <w:pStyle w:val="texto"/>
        <w:spacing w:after="260"/>
        <w:rPr>
          <w:lang w:val="es-ES"/>
        </w:rPr>
      </w:pPr>
      <w:r w:rsidRPr="006D43A7">
        <w:rPr>
          <w:lang w:val="es-ES"/>
        </w:rPr>
        <w:t>Las operaciones de gastos e ingresos correspondientes al Convenio Econ</w:t>
      </w:r>
      <w:r w:rsidRPr="006D43A7">
        <w:rPr>
          <w:lang w:val="es-ES"/>
        </w:rPr>
        <w:t>ó</w:t>
      </w:r>
      <w:r w:rsidRPr="006D43A7">
        <w:rPr>
          <w:lang w:val="es-ES"/>
        </w:rPr>
        <w:t>mico contabilizadas en el ejercicio 2014 y su comparación con el ejercicio a</w:t>
      </w:r>
      <w:r w:rsidRPr="006D43A7">
        <w:rPr>
          <w:lang w:val="es-ES"/>
        </w:rPr>
        <w:t>n</w:t>
      </w:r>
      <w:r w:rsidRPr="006D43A7">
        <w:rPr>
          <w:lang w:val="es-ES"/>
        </w:rPr>
        <w:t>terior fueron:</w:t>
      </w:r>
    </w:p>
    <w:tbl>
      <w:tblPr>
        <w:tblW w:w="8743"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580"/>
        <w:gridCol w:w="1399"/>
        <w:gridCol w:w="1450"/>
        <w:gridCol w:w="1314"/>
      </w:tblGrid>
      <w:tr w:rsidR="001B3767" w:rsidRPr="00EE6D78" w:rsidTr="0067612B">
        <w:trPr>
          <w:trHeight w:val="312"/>
          <w:jc w:val="center"/>
        </w:trPr>
        <w:tc>
          <w:tcPr>
            <w:tcW w:w="4580" w:type="dxa"/>
            <w:tcBorders>
              <w:top w:val="single" w:sz="4" w:space="0" w:color="auto"/>
              <w:bottom w:val="single" w:sz="4" w:space="0" w:color="auto"/>
            </w:tcBorders>
            <w:shd w:val="clear" w:color="auto" w:fill="8DB3E2" w:themeFill="text2" w:themeFillTint="66"/>
            <w:vAlign w:val="center"/>
          </w:tcPr>
          <w:p w:rsidR="001B3767" w:rsidRPr="00462930" w:rsidRDefault="001B3767" w:rsidP="000E2288">
            <w:pPr>
              <w:pStyle w:val="cuadroCabe"/>
              <w:jc w:val="left"/>
            </w:pPr>
            <w:r w:rsidRPr="00462930">
              <w:t>Gastos</w:t>
            </w:r>
          </w:p>
        </w:tc>
        <w:tc>
          <w:tcPr>
            <w:tcW w:w="1399"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right"/>
            </w:pPr>
            <w:r w:rsidRPr="00462930">
              <w:t>2013</w:t>
            </w:r>
          </w:p>
        </w:tc>
        <w:tc>
          <w:tcPr>
            <w:tcW w:w="1450"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right"/>
            </w:pPr>
            <w:r w:rsidRPr="00462930">
              <w:t>2014</w:t>
            </w:r>
          </w:p>
        </w:tc>
        <w:tc>
          <w:tcPr>
            <w:tcW w:w="1314"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right"/>
            </w:pPr>
            <w:r w:rsidRPr="00462930">
              <w:t>Variación</w:t>
            </w:r>
          </w:p>
        </w:tc>
      </w:tr>
      <w:tr w:rsidR="001B3767" w:rsidRPr="00462930" w:rsidTr="0067612B">
        <w:trPr>
          <w:trHeight w:val="255"/>
          <w:jc w:val="center"/>
        </w:trPr>
        <w:tc>
          <w:tcPr>
            <w:tcW w:w="4580" w:type="dxa"/>
            <w:tcBorders>
              <w:top w:val="single" w:sz="4"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Aportación al Estado</w:t>
            </w:r>
          </w:p>
        </w:tc>
        <w:tc>
          <w:tcPr>
            <w:tcW w:w="1399" w:type="dxa"/>
            <w:tcBorders>
              <w:top w:val="single" w:sz="4"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571.859</w:t>
            </w:r>
          </w:p>
        </w:tc>
        <w:tc>
          <w:tcPr>
            <w:tcW w:w="1450" w:type="dxa"/>
            <w:tcBorders>
              <w:top w:val="single" w:sz="4" w:space="0" w:color="auto"/>
              <w:bottom w:val="single" w:sz="2" w:space="0" w:color="auto"/>
            </w:tcBorders>
            <w:vAlign w:val="center"/>
          </w:tcPr>
          <w:p w:rsidR="001B3767" w:rsidRPr="00462930" w:rsidRDefault="001B3767" w:rsidP="006D70C6">
            <w:pPr>
              <w:pStyle w:val="cuatexto"/>
              <w:ind w:right="-37"/>
              <w:jc w:val="right"/>
              <w:rPr>
                <w:szCs w:val="20"/>
              </w:rPr>
            </w:pPr>
            <w:r w:rsidRPr="00462930">
              <w:rPr>
                <w:szCs w:val="20"/>
              </w:rPr>
              <w:t>555.835</w:t>
            </w:r>
          </w:p>
        </w:tc>
        <w:tc>
          <w:tcPr>
            <w:tcW w:w="1314" w:type="dxa"/>
            <w:tcBorders>
              <w:top w:val="single" w:sz="4"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-3%</w:t>
            </w:r>
          </w:p>
        </w:tc>
      </w:tr>
      <w:tr w:rsidR="001B3767" w:rsidRPr="00EE6D78" w:rsidTr="0067612B">
        <w:trPr>
          <w:trHeight w:val="312"/>
          <w:jc w:val="center"/>
        </w:trPr>
        <w:tc>
          <w:tcPr>
            <w:tcW w:w="4580" w:type="dxa"/>
            <w:tcBorders>
              <w:top w:val="single" w:sz="2" w:space="0" w:color="auto"/>
              <w:bottom w:val="single" w:sz="2" w:space="0" w:color="auto"/>
            </w:tcBorders>
            <w:shd w:val="clear" w:color="auto" w:fill="8DB3E2" w:themeFill="text2" w:themeFillTint="66"/>
            <w:vAlign w:val="center"/>
          </w:tcPr>
          <w:p w:rsidR="001B3767" w:rsidRPr="00462930" w:rsidRDefault="001B3767" w:rsidP="00462930">
            <w:pPr>
              <w:pStyle w:val="cuadroCabe"/>
              <w:jc w:val="left"/>
            </w:pPr>
            <w:r w:rsidRPr="00462930">
              <w:t>Total gastos</w:t>
            </w:r>
          </w:p>
        </w:tc>
        <w:tc>
          <w:tcPr>
            <w:tcW w:w="1399" w:type="dxa"/>
            <w:tcBorders>
              <w:top w:val="single" w:sz="2" w:space="0" w:color="auto"/>
              <w:bottom w:val="single" w:sz="2" w:space="0" w:color="auto"/>
            </w:tcBorders>
            <w:shd w:val="clear" w:color="auto" w:fill="8DB3E2" w:themeFill="text2" w:themeFillTint="66"/>
            <w:noWrap/>
            <w:vAlign w:val="center"/>
          </w:tcPr>
          <w:p w:rsidR="001B3767" w:rsidRPr="00462930" w:rsidRDefault="001B3767" w:rsidP="00462930">
            <w:pPr>
              <w:pStyle w:val="cuadroCabe"/>
              <w:jc w:val="right"/>
            </w:pPr>
            <w:r w:rsidRPr="00462930">
              <w:t>571.859</w:t>
            </w:r>
          </w:p>
        </w:tc>
        <w:tc>
          <w:tcPr>
            <w:tcW w:w="1450" w:type="dxa"/>
            <w:tcBorders>
              <w:top w:val="single" w:sz="2" w:space="0" w:color="auto"/>
              <w:bottom w:val="single" w:sz="2" w:space="0" w:color="auto"/>
            </w:tcBorders>
            <w:shd w:val="clear" w:color="auto" w:fill="8DB3E2" w:themeFill="text2" w:themeFillTint="66"/>
            <w:vAlign w:val="center"/>
          </w:tcPr>
          <w:p w:rsidR="001B3767" w:rsidRPr="00462930" w:rsidRDefault="001B3767" w:rsidP="006D70C6">
            <w:pPr>
              <w:pStyle w:val="cuadroCabe"/>
              <w:ind w:right="-37"/>
              <w:jc w:val="right"/>
            </w:pPr>
            <w:r w:rsidRPr="00462930">
              <w:t>555.835</w:t>
            </w:r>
          </w:p>
        </w:tc>
        <w:tc>
          <w:tcPr>
            <w:tcW w:w="1314" w:type="dxa"/>
            <w:tcBorders>
              <w:top w:val="single" w:sz="2" w:space="0" w:color="auto"/>
              <w:bottom w:val="single" w:sz="2" w:space="0" w:color="auto"/>
            </w:tcBorders>
            <w:shd w:val="clear" w:color="auto" w:fill="8DB3E2" w:themeFill="text2" w:themeFillTint="66"/>
            <w:vAlign w:val="center"/>
          </w:tcPr>
          <w:p w:rsidR="001B3767" w:rsidRPr="00462930" w:rsidRDefault="001B3767" w:rsidP="00462930">
            <w:pPr>
              <w:pStyle w:val="cuadroCabe"/>
              <w:jc w:val="right"/>
            </w:pPr>
            <w:r w:rsidRPr="00462930">
              <w:t>-3%</w:t>
            </w:r>
          </w:p>
        </w:tc>
      </w:tr>
      <w:tr w:rsidR="00C927AC" w:rsidRPr="00EE6D78" w:rsidTr="00C927AC">
        <w:trPr>
          <w:trHeight w:val="312"/>
          <w:jc w:val="center"/>
        </w:trPr>
        <w:tc>
          <w:tcPr>
            <w:tcW w:w="4580" w:type="dxa"/>
            <w:tcBorders>
              <w:top w:val="single" w:sz="2" w:space="0" w:color="auto"/>
              <w:bottom w:val="single" w:sz="2" w:space="0" w:color="auto"/>
            </w:tcBorders>
            <w:shd w:val="clear" w:color="auto" w:fill="auto"/>
            <w:vAlign w:val="center"/>
          </w:tcPr>
          <w:p w:rsidR="00C927AC" w:rsidRPr="00C927AC" w:rsidRDefault="00C927AC" w:rsidP="00462930">
            <w:pPr>
              <w:pStyle w:val="cuadroCabe"/>
              <w:jc w:val="left"/>
              <w:rPr>
                <w:sz w:val="16"/>
                <w:szCs w:val="16"/>
              </w:rPr>
            </w:pPr>
          </w:p>
        </w:tc>
        <w:tc>
          <w:tcPr>
            <w:tcW w:w="1399" w:type="dxa"/>
            <w:tcBorders>
              <w:top w:val="single" w:sz="2" w:space="0" w:color="auto"/>
              <w:bottom w:val="single" w:sz="2" w:space="0" w:color="auto"/>
            </w:tcBorders>
            <w:shd w:val="clear" w:color="auto" w:fill="auto"/>
            <w:noWrap/>
            <w:vAlign w:val="center"/>
          </w:tcPr>
          <w:p w:rsidR="00C927AC" w:rsidRPr="00462930" w:rsidRDefault="00C927AC" w:rsidP="00462930">
            <w:pPr>
              <w:pStyle w:val="cuadroCabe"/>
              <w:jc w:val="right"/>
            </w:pPr>
          </w:p>
        </w:tc>
        <w:tc>
          <w:tcPr>
            <w:tcW w:w="1450" w:type="dxa"/>
            <w:tcBorders>
              <w:top w:val="single" w:sz="2" w:space="0" w:color="auto"/>
              <w:bottom w:val="single" w:sz="2" w:space="0" w:color="auto"/>
            </w:tcBorders>
            <w:shd w:val="clear" w:color="auto" w:fill="auto"/>
            <w:vAlign w:val="center"/>
          </w:tcPr>
          <w:p w:rsidR="00C927AC" w:rsidRPr="00462930" w:rsidRDefault="00C927AC" w:rsidP="006D70C6">
            <w:pPr>
              <w:pStyle w:val="cuadroCabe"/>
              <w:ind w:right="-37"/>
              <w:jc w:val="right"/>
            </w:pPr>
          </w:p>
        </w:tc>
        <w:tc>
          <w:tcPr>
            <w:tcW w:w="1314" w:type="dxa"/>
            <w:tcBorders>
              <w:top w:val="single" w:sz="2" w:space="0" w:color="auto"/>
              <w:bottom w:val="single" w:sz="2" w:space="0" w:color="auto"/>
            </w:tcBorders>
            <w:shd w:val="clear" w:color="auto" w:fill="auto"/>
            <w:vAlign w:val="center"/>
          </w:tcPr>
          <w:p w:rsidR="00C927AC" w:rsidRPr="00462930" w:rsidRDefault="00C927AC" w:rsidP="00462930">
            <w:pPr>
              <w:pStyle w:val="cuadroCabe"/>
              <w:jc w:val="right"/>
            </w:pPr>
          </w:p>
        </w:tc>
      </w:tr>
      <w:tr w:rsidR="001B3767" w:rsidRPr="00EE6D78" w:rsidTr="0067612B">
        <w:trPr>
          <w:trHeight w:val="312"/>
          <w:jc w:val="center"/>
        </w:trPr>
        <w:tc>
          <w:tcPr>
            <w:tcW w:w="4580" w:type="dxa"/>
            <w:tcBorders>
              <w:top w:val="single" w:sz="2" w:space="0" w:color="auto"/>
              <w:bottom w:val="single" w:sz="2" w:space="0" w:color="auto"/>
            </w:tcBorders>
            <w:shd w:val="clear" w:color="auto" w:fill="8DB3E2" w:themeFill="text2" w:themeFillTint="66"/>
            <w:vAlign w:val="center"/>
          </w:tcPr>
          <w:p w:rsidR="001B3767" w:rsidRPr="00462930" w:rsidRDefault="001B3767" w:rsidP="00462930">
            <w:pPr>
              <w:pStyle w:val="cuadroCabe"/>
              <w:jc w:val="left"/>
            </w:pPr>
            <w:r w:rsidRPr="00462930">
              <w:t>Ingresos</w:t>
            </w:r>
          </w:p>
        </w:tc>
        <w:tc>
          <w:tcPr>
            <w:tcW w:w="1399" w:type="dxa"/>
            <w:tcBorders>
              <w:top w:val="single" w:sz="2" w:space="0" w:color="auto"/>
              <w:bottom w:val="single" w:sz="2" w:space="0" w:color="auto"/>
            </w:tcBorders>
            <w:shd w:val="clear" w:color="auto" w:fill="8DB3E2" w:themeFill="text2" w:themeFillTint="66"/>
            <w:noWrap/>
            <w:vAlign w:val="center"/>
          </w:tcPr>
          <w:p w:rsidR="001B3767" w:rsidRPr="00462930" w:rsidRDefault="001B3767" w:rsidP="00462930">
            <w:pPr>
              <w:pStyle w:val="cuadroCabe"/>
              <w:jc w:val="right"/>
            </w:pPr>
            <w:r w:rsidRPr="00462930">
              <w:t>2013</w:t>
            </w:r>
          </w:p>
        </w:tc>
        <w:tc>
          <w:tcPr>
            <w:tcW w:w="1450" w:type="dxa"/>
            <w:tcBorders>
              <w:top w:val="single" w:sz="2" w:space="0" w:color="auto"/>
              <w:bottom w:val="single" w:sz="2" w:space="0" w:color="auto"/>
            </w:tcBorders>
            <w:shd w:val="clear" w:color="auto" w:fill="8DB3E2" w:themeFill="text2" w:themeFillTint="66"/>
            <w:vAlign w:val="center"/>
          </w:tcPr>
          <w:p w:rsidR="001B3767" w:rsidRPr="00462930" w:rsidRDefault="001B3767" w:rsidP="00462930">
            <w:pPr>
              <w:pStyle w:val="cuadroCabe"/>
              <w:jc w:val="right"/>
            </w:pPr>
            <w:r w:rsidRPr="00462930">
              <w:t>2014</w:t>
            </w:r>
          </w:p>
        </w:tc>
        <w:tc>
          <w:tcPr>
            <w:tcW w:w="1314" w:type="dxa"/>
            <w:tcBorders>
              <w:top w:val="single" w:sz="2" w:space="0" w:color="auto"/>
              <w:bottom w:val="single" w:sz="2" w:space="0" w:color="auto"/>
            </w:tcBorders>
            <w:shd w:val="clear" w:color="auto" w:fill="8DB3E2" w:themeFill="text2" w:themeFillTint="66"/>
            <w:vAlign w:val="center"/>
          </w:tcPr>
          <w:p w:rsidR="001B3767" w:rsidRPr="00462930" w:rsidRDefault="001B3767" w:rsidP="00462930">
            <w:pPr>
              <w:pStyle w:val="cuadroCabe"/>
              <w:jc w:val="right"/>
            </w:pP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Ajustes por IVA</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646.767</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750.869</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16%</w:t>
            </w: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Impuestos especiales sobre el Alcohol</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-34.048</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-34.934</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-3%</w:t>
            </w: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Impuestos especiales sobre la Cerveza</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8.501</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4.331</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-49%</w:t>
            </w: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Impuestos especiales sobre Tabaco</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15.507</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14.374</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-7%</w:t>
            </w: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Impuestos especiales sobre Hidrocarburos</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19.313</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-15.866</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-182%</w:t>
            </w:r>
          </w:p>
        </w:tc>
      </w:tr>
      <w:tr w:rsidR="001B3767" w:rsidRPr="00462930" w:rsidTr="0067612B">
        <w:trPr>
          <w:trHeight w:val="255"/>
          <w:jc w:val="center"/>
        </w:trPr>
        <w:tc>
          <w:tcPr>
            <w:tcW w:w="4580" w:type="dxa"/>
            <w:tcBorders>
              <w:top w:val="single" w:sz="2" w:space="0" w:color="auto"/>
              <w:bottom w:val="single" w:sz="2" w:space="0" w:color="auto"/>
            </w:tcBorders>
            <w:shd w:val="clear" w:color="auto" w:fill="auto"/>
            <w:vAlign w:val="center"/>
          </w:tcPr>
          <w:p w:rsidR="001B3767" w:rsidRPr="00462930" w:rsidRDefault="001B3767" w:rsidP="00462930">
            <w:pPr>
              <w:pStyle w:val="cuatexto"/>
              <w:jc w:val="left"/>
              <w:rPr>
                <w:szCs w:val="20"/>
              </w:rPr>
            </w:pPr>
            <w:r w:rsidRPr="00462930">
              <w:rPr>
                <w:szCs w:val="20"/>
              </w:rPr>
              <w:t>Total ajustes IVA e impuestos especiales</w:t>
            </w:r>
          </w:p>
        </w:tc>
        <w:tc>
          <w:tcPr>
            <w:tcW w:w="1399" w:type="dxa"/>
            <w:tcBorders>
              <w:top w:val="single" w:sz="2" w:space="0" w:color="auto"/>
              <w:bottom w:val="single" w:sz="2"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656.040</w:t>
            </w:r>
          </w:p>
        </w:tc>
        <w:tc>
          <w:tcPr>
            <w:tcW w:w="1450"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718.775</w:t>
            </w:r>
          </w:p>
        </w:tc>
        <w:tc>
          <w:tcPr>
            <w:tcW w:w="1314" w:type="dxa"/>
            <w:tcBorders>
              <w:top w:val="single" w:sz="2" w:space="0" w:color="auto"/>
              <w:bottom w:val="single" w:sz="2" w:space="0" w:color="auto"/>
            </w:tcBorders>
            <w:vAlign w:val="center"/>
          </w:tcPr>
          <w:p w:rsidR="001B3767" w:rsidRPr="00462930" w:rsidRDefault="001B3767" w:rsidP="00462930">
            <w:pPr>
              <w:pStyle w:val="cuatexto"/>
              <w:jc w:val="right"/>
              <w:rPr>
                <w:szCs w:val="20"/>
              </w:rPr>
            </w:pPr>
            <w:r w:rsidRPr="00462930">
              <w:rPr>
                <w:szCs w:val="20"/>
              </w:rPr>
              <w:t>10%</w:t>
            </w:r>
          </w:p>
        </w:tc>
      </w:tr>
      <w:tr w:rsidR="001B3767" w:rsidRPr="00462930" w:rsidTr="0067612B">
        <w:trPr>
          <w:trHeight w:val="255"/>
          <w:jc w:val="center"/>
        </w:trPr>
        <w:tc>
          <w:tcPr>
            <w:tcW w:w="4580" w:type="dxa"/>
            <w:tcBorders>
              <w:top w:val="single" w:sz="2" w:space="0" w:color="auto"/>
              <w:bottom w:val="single" w:sz="4" w:space="0" w:color="auto"/>
            </w:tcBorders>
            <w:shd w:val="clear" w:color="auto" w:fill="auto"/>
            <w:vAlign w:val="center"/>
          </w:tcPr>
          <w:p w:rsidR="001B3767" w:rsidRPr="00462930" w:rsidRDefault="001B3767" w:rsidP="00462930">
            <w:pPr>
              <w:pStyle w:val="cuatexto"/>
              <w:jc w:val="left"/>
              <w:rPr>
                <w:szCs w:val="20"/>
              </w:rPr>
            </w:pPr>
            <w:r w:rsidRPr="00462930">
              <w:rPr>
                <w:szCs w:val="20"/>
              </w:rPr>
              <w:t>Atención a la Dependencia</w:t>
            </w:r>
          </w:p>
        </w:tc>
        <w:tc>
          <w:tcPr>
            <w:tcW w:w="1399" w:type="dxa"/>
            <w:tcBorders>
              <w:top w:val="single" w:sz="2" w:space="0" w:color="auto"/>
              <w:bottom w:val="single" w:sz="4" w:space="0" w:color="auto"/>
            </w:tcBorders>
            <w:shd w:val="clear" w:color="auto" w:fill="auto"/>
            <w:noWrap/>
            <w:vAlign w:val="center"/>
          </w:tcPr>
          <w:p w:rsidR="001B3767" w:rsidRPr="00462930" w:rsidRDefault="001B3767" w:rsidP="00462930">
            <w:pPr>
              <w:pStyle w:val="cuatexto"/>
              <w:jc w:val="right"/>
              <w:rPr>
                <w:szCs w:val="20"/>
              </w:rPr>
            </w:pPr>
            <w:r w:rsidRPr="00462930">
              <w:rPr>
                <w:szCs w:val="20"/>
              </w:rPr>
              <w:t>11.554</w:t>
            </w:r>
          </w:p>
        </w:tc>
        <w:tc>
          <w:tcPr>
            <w:tcW w:w="1450" w:type="dxa"/>
            <w:tcBorders>
              <w:top w:val="single" w:sz="2" w:space="0" w:color="auto"/>
              <w:bottom w:val="single" w:sz="4" w:space="0" w:color="auto"/>
            </w:tcBorders>
            <w:vAlign w:val="center"/>
          </w:tcPr>
          <w:p w:rsidR="001B3767" w:rsidRPr="00462930" w:rsidRDefault="001B3767" w:rsidP="00462930">
            <w:pPr>
              <w:pStyle w:val="cuatexto"/>
              <w:jc w:val="right"/>
              <w:rPr>
                <w:szCs w:val="20"/>
              </w:rPr>
            </w:pPr>
            <w:r w:rsidRPr="00462930">
              <w:rPr>
                <w:szCs w:val="20"/>
              </w:rPr>
              <w:t>12.219</w:t>
            </w:r>
          </w:p>
        </w:tc>
        <w:tc>
          <w:tcPr>
            <w:tcW w:w="1314" w:type="dxa"/>
            <w:tcBorders>
              <w:top w:val="single" w:sz="2" w:space="0" w:color="auto"/>
              <w:bottom w:val="single" w:sz="4" w:space="0" w:color="auto"/>
            </w:tcBorders>
            <w:vAlign w:val="center"/>
          </w:tcPr>
          <w:p w:rsidR="001B3767" w:rsidRPr="00462930" w:rsidRDefault="001B3767" w:rsidP="00462930">
            <w:pPr>
              <w:pStyle w:val="cuatexto"/>
              <w:jc w:val="right"/>
              <w:rPr>
                <w:szCs w:val="20"/>
              </w:rPr>
            </w:pPr>
            <w:r w:rsidRPr="00462930">
              <w:rPr>
                <w:szCs w:val="20"/>
              </w:rPr>
              <w:t>6%</w:t>
            </w:r>
          </w:p>
        </w:tc>
      </w:tr>
      <w:tr w:rsidR="001B3767" w:rsidRPr="00EE6D78" w:rsidTr="0067612B">
        <w:trPr>
          <w:trHeight w:val="312"/>
          <w:jc w:val="center"/>
        </w:trPr>
        <w:tc>
          <w:tcPr>
            <w:tcW w:w="4580"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left"/>
            </w:pPr>
            <w:r w:rsidRPr="00462930">
              <w:t>Total ingresos</w:t>
            </w:r>
          </w:p>
        </w:tc>
        <w:tc>
          <w:tcPr>
            <w:tcW w:w="1399" w:type="dxa"/>
            <w:tcBorders>
              <w:top w:val="single" w:sz="4" w:space="0" w:color="auto"/>
              <w:bottom w:val="single" w:sz="4" w:space="0" w:color="auto"/>
            </w:tcBorders>
            <w:shd w:val="clear" w:color="auto" w:fill="8DB3E2" w:themeFill="text2" w:themeFillTint="66"/>
            <w:noWrap/>
            <w:vAlign w:val="center"/>
          </w:tcPr>
          <w:p w:rsidR="001B3767" w:rsidRPr="00462930" w:rsidRDefault="001B3767" w:rsidP="00462930">
            <w:pPr>
              <w:pStyle w:val="cuadroCabe"/>
              <w:jc w:val="right"/>
            </w:pPr>
            <w:r w:rsidRPr="00462930">
              <w:t>667.594</w:t>
            </w:r>
          </w:p>
        </w:tc>
        <w:tc>
          <w:tcPr>
            <w:tcW w:w="1450"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right"/>
            </w:pPr>
            <w:r w:rsidRPr="00462930">
              <w:t>730.994</w:t>
            </w:r>
          </w:p>
        </w:tc>
        <w:tc>
          <w:tcPr>
            <w:tcW w:w="1314" w:type="dxa"/>
            <w:tcBorders>
              <w:top w:val="single" w:sz="4" w:space="0" w:color="auto"/>
              <w:bottom w:val="single" w:sz="4" w:space="0" w:color="auto"/>
            </w:tcBorders>
            <w:shd w:val="clear" w:color="auto" w:fill="8DB3E2" w:themeFill="text2" w:themeFillTint="66"/>
            <w:vAlign w:val="center"/>
          </w:tcPr>
          <w:p w:rsidR="001B3767" w:rsidRPr="00462930" w:rsidRDefault="001B3767" w:rsidP="00462930">
            <w:pPr>
              <w:pStyle w:val="cuadroCabe"/>
              <w:jc w:val="right"/>
            </w:pPr>
            <w:r w:rsidRPr="00462930">
              <w:t>9%</w:t>
            </w:r>
          </w:p>
        </w:tc>
      </w:tr>
    </w:tbl>
    <w:p w:rsidR="001B3767" w:rsidRPr="006D70C6" w:rsidRDefault="001B3767" w:rsidP="008A31C0">
      <w:pPr>
        <w:pStyle w:val="texto"/>
        <w:tabs>
          <w:tab w:val="num" w:pos="300"/>
        </w:tabs>
        <w:spacing w:before="320"/>
        <w:rPr>
          <w:rFonts w:ascii="Arial" w:hAnsi="Arial" w:cs="Arial"/>
          <w:i/>
          <w:sz w:val="24"/>
        </w:rPr>
      </w:pPr>
      <w:r w:rsidRPr="006D70C6">
        <w:rPr>
          <w:rFonts w:ascii="Arial" w:hAnsi="Arial" w:cs="Arial"/>
          <w:i/>
          <w:sz w:val="24"/>
        </w:rPr>
        <w:lastRenderedPageBreak/>
        <w:t>Gastos</w:t>
      </w:r>
    </w:p>
    <w:p w:rsidR="001B3767" w:rsidRPr="006D43A7" w:rsidRDefault="001B3767" w:rsidP="001B3767">
      <w:pPr>
        <w:pStyle w:val="texto"/>
        <w:rPr>
          <w:lang w:val="es-ES"/>
        </w:rPr>
      </w:pPr>
      <w:r w:rsidRPr="006D43A7">
        <w:rPr>
          <w:lang w:val="es-ES"/>
        </w:rPr>
        <w:t>La aportación al Estado en 2014 ascendió a 555,83 millones de euros, sup</w:t>
      </w:r>
      <w:r w:rsidRPr="006D43A7">
        <w:rPr>
          <w:lang w:val="es-ES"/>
        </w:rPr>
        <w:t>o</w:t>
      </w:r>
      <w:r w:rsidRPr="006D43A7">
        <w:rPr>
          <w:lang w:val="es-ES"/>
        </w:rPr>
        <w:t>niendo el 15 por ciento del total de obligaciones reconocidas en dicho ejercicio. El crédito inicial en el presupuesto de 2012 era de 534,87 millones, se prorr</w:t>
      </w:r>
      <w:r w:rsidRPr="006D43A7">
        <w:rPr>
          <w:lang w:val="es-ES"/>
        </w:rPr>
        <w:t>o</w:t>
      </w:r>
      <w:r w:rsidRPr="006D43A7">
        <w:rPr>
          <w:lang w:val="es-ES"/>
        </w:rPr>
        <w:t>garon 498,31 millones al ejercicio 2014 y se incrementó en 57,52 millones.</w:t>
      </w:r>
    </w:p>
    <w:p w:rsidR="001B3767" w:rsidRPr="006D43A7" w:rsidRDefault="001B3767" w:rsidP="001B3767">
      <w:pPr>
        <w:pStyle w:val="texto"/>
        <w:rPr>
          <w:lang w:val="es-ES"/>
        </w:rPr>
      </w:pPr>
      <w:r w:rsidRPr="006D43A7">
        <w:rPr>
          <w:lang w:val="es-ES"/>
        </w:rPr>
        <w:t>En el Acuerdo del Gobierno de Navarra, de 30 de diciembre de 2013, por el que se dictan las normas de ejecución que regirán la prórroga de los Presupue</w:t>
      </w:r>
      <w:r w:rsidRPr="006D43A7">
        <w:rPr>
          <w:lang w:val="es-ES"/>
        </w:rPr>
        <w:t>s</w:t>
      </w:r>
      <w:r w:rsidRPr="006D43A7">
        <w:rPr>
          <w:lang w:val="es-ES"/>
        </w:rPr>
        <w:t>tos Generales de Navarra de 2012, para el ejercicio de 2014, se estableció que el Departamento de Economía, Hacienda, Industria y Empleo abordar</w:t>
      </w:r>
      <w:r w:rsidR="00584E0D">
        <w:rPr>
          <w:lang w:val="es-ES"/>
        </w:rPr>
        <w:t>ía</w:t>
      </w:r>
      <w:r w:rsidRPr="006D43A7">
        <w:rPr>
          <w:lang w:val="es-ES"/>
        </w:rPr>
        <w:t xml:space="preserve"> de i</w:t>
      </w:r>
      <w:r w:rsidRPr="006D43A7">
        <w:rPr>
          <w:lang w:val="es-ES"/>
        </w:rPr>
        <w:t>n</w:t>
      </w:r>
      <w:r w:rsidRPr="006D43A7">
        <w:rPr>
          <w:lang w:val="es-ES"/>
        </w:rPr>
        <w:t xml:space="preserve">mediato la revisión y negociación de la cuantía a abonar a la Administración del Estado en concepto de </w:t>
      </w:r>
      <w:r w:rsidR="002C2D49">
        <w:rPr>
          <w:lang w:val="es-ES"/>
        </w:rPr>
        <w:t>a</w:t>
      </w:r>
      <w:r w:rsidRPr="006D43A7">
        <w:rPr>
          <w:lang w:val="es-ES"/>
        </w:rPr>
        <w:t xml:space="preserve">portación a las cargas generales, </w:t>
      </w:r>
      <w:r w:rsidR="00584E0D">
        <w:rPr>
          <w:lang w:val="es-ES"/>
        </w:rPr>
        <w:t xml:space="preserve">para reducir el gasto por este concepto al menos </w:t>
      </w:r>
      <w:r w:rsidRPr="006D43A7">
        <w:rPr>
          <w:lang w:val="es-ES"/>
        </w:rPr>
        <w:t>70 millones de euros sobre el importe previsto en el presupuesto prorrogado. Estas previsiones no se cumplieron.</w:t>
      </w:r>
    </w:p>
    <w:p w:rsidR="001B3767" w:rsidRPr="006D43A7" w:rsidRDefault="001B3767" w:rsidP="001B3767">
      <w:pPr>
        <w:pStyle w:val="texto"/>
        <w:rPr>
          <w:lang w:val="es-ES"/>
        </w:rPr>
      </w:pPr>
      <w:r w:rsidRPr="006D43A7">
        <w:rPr>
          <w:lang w:val="es-ES"/>
        </w:rPr>
        <w:t>La aportación l</w:t>
      </w:r>
      <w:r w:rsidR="002C2D49">
        <w:rPr>
          <w:lang w:val="es-ES"/>
        </w:rPr>
        <w:t>í</w:t>
      </w:r>
      <w:r w:rsidRPr="006D43A7">
        <w:rPr>
          <w:lang w:val="es-ES"/>
        </w:rPr>
        <w:t>quida provisional del año 2014 se calculó aplicando a la aportación l</w:t>
      </w:r>
      <w:r w:rsidR="002C2D49">
        <w:rPr>
          <w:lang w:val="es-ES"/>
        </w:rPr>
        <w:t>í</w:t>
      </w:r>
      <w:r w:rsidRPr="006D43A7">
        <w:rPr>
          <w:lang w:val="es-ES"/>
        </w:rPr>
        <w:t>quida del año base 2010, 485,51 millones, el índice de actualiz</w:t>
      </w:r>
      <w:r w:rsidRPr="006D43A7">
        <w:rPr>
          <w:lang w:val="es-ES"/>
        </w:rPr>
        <w:t>a</w:t>
      </w:r>
      <w:r w:rsidRPr="006D43A7">
        <w:rPr>
          <w:lang w:val="es-ES"/>
        </w:rPr>
        <w:t>ción provisional establecido para el periodo 2010-2014. Este índice se calcula como el cociente entre la recaudación del estado por los tributos convenidos y la recaudación estatal del año base.</w:t>
      </w:r>
    </w:p>
    <w:p w:rsidR="001B3767" w:rsidRPr="006D43A7" w:rsidRDefault="001B3767" w:rsidP="001B3767">
      <w:pPr>
        <w:pStyle w:val="texto"/>
        <w:rPr>
          <w:lang w:val="es-ES"/>
        </w:rPr>
      </w:pPr>
      <w:r w:rsidRPr="006D43A7">
        <w:rPr>
          <w:lang w:val="es-ES"/>
        </w:rPr>
        <w:t xml:space="preserve">Existen discrepancias entre ambas administraciones para la determinación del índice de actualización provisional por la inclusión del Impuesto de ventas minoristas sobre determinados hidrocarburos. </w:t>
      </w:r>
    </w:p>
    <w:p w:rsidR="001B3767" w:rsidRPr="00DB63CC" w:rsidRDefault="001B3767" w:rsidP="001B3767">
      <w:pPr>
        <w:pStyle w:val="texto"/>
        <w:rPr>
          <w:rFonts w:cs="Arial"/>
        </w:rPr>
      </w:pPr>
      <w:r>
        <w:rPr>
          <w:rFonts w:cs="Arial"/>
        </w:rPr>
        <w:t xml:space="preserve">En 2014 se contabilizó un gasto de 555,83 millones correspondiente a </w:t>
      </w:r>
      <w:r w:rsidRPr="00DB63CC">
        <w:rPr>
          <w:rFonts w:cs="Arial"/>
        </w:rPr>
        <w:t>la</w:t>
      </w:r>
      <w:r>
        <w:rPr>
          <w:rFonts w:cs="Arial"/>
        </w:rPr>
        <w:t xml:space="preserve"> aportación </w:t>
      </w:r>
      <w:r w:rsidR="002D6B41">
        <w:rPr>
          <w:rFonts w:cs="Arial"/>
        </w:rPr>
        <w:t xml:space="preserve">provisional </w:t>
      </w:r>
      <w:r>
        <w:rPr>
          <w:rFonts w:cs="Arial"/>
        </w:rPr>
        <w:t>que el Departamento de Economía estimó para dicho ejercicio</w:t>
      </w:r>
      <w:r w:rsidR="00747A8C">
        <w:rPr>
          <w:rFonts w:cs="Arial"/>
        </w:rPr>
        <w:t>.</w:t>
      </w:r>
      <w:r w:rsidR="002D6B41" w:rsidRPr="002D6B41">
        <w:rPr>
          <w:rFonts w:cs="Arial"/>
          <w:color w:val="FF0000"/>
        </w:rPr>
        <w:t xml:space="preserve"> </w:t>
      </w:r>
      <w:r>
        <w:rPr>
          <w:rFonts w:cs="Arial"/>
        </w:rPr>
        <w:t>Del gasto total contabilizado, se abonó al Estado, debido a la discr</w:t>
      </w:r>
      <w:r>
        <w:rPr>
          <w:rFonts w:cs="Arial"/>
        </w:rPr>
        <w:t>e</w:t>
      </w:r>
      <w:r>
        <w:rPr>
          <w:rFonts w:cs="Arial"/>
        </w:rPr>
        <w:t>pancia existente entre ambas administraciones</w:t>
      </w:r>
      <w:r w:rsidR="002D6B41">
        <w:rPr>
          <w:rFonts w:cs="Arial"/>
        </w:rPr>
        <w:t>,</w:t>
      </w:r>
      <w:r>
        <w:rPr>
          <w:rFonts w:cs="Arial"/>
        </w:rPr>
        <w:t xml:space="preserve"> 520,69 millones</w:t>
      </w:r>
      <w:r w:rsidRPr="00DB63CC">
        <w:rPr>
          <w:rFonts w:cs="Arial"/>
        </w:rPr>
        <w:t xml:space="preserve"> </w:t>
      </w:r>
      <w:r>
        <w:rPr>
          <w:rFonts w:cs="Arial"/>
        </w:rPr>
        <w:t>correspondie</w:t>
      </w:r>
      <w:r>
        <w:rPr>
          <w:rFonts w:cs="Arial"/>
        </w:rPr>
        <w:t>n</w:t>
      </w:r>
      <w:r>
        <w:rPr>
          <w:rFonts w:cs="Arial"/>
        </w:rPr>
        <w:t xml:space="preserve">tes a </w:t>
      </w:r>
      <w:r w:rsidRPr="00DB63CC">
        <w:rPr>
          <w:rFonts w:cs="Arial"/>
        </w:rPr>
        <w:t>la última aportación líquida provisional acordada</w:t>
      </w:r>
      <w:r>
        <w:rPr>
          <w:rFonts w:cs="Arial"/>
        </w:rPr>
        <w:t xml:space="preserve"> (2012)</w:t>
      </w:r>
      <w:r w:rsidRPr="00DB63CC">
        <w:rPr>
          <w:rFonts w:cs="Arial"/>
        </w:rPr>
        <w:t>. La cantidad pendiente de pago al cierre del ejercicio 2014 es de 35</w:t>
      </w:r>
      <w:r>
        <w:rPr>
          <w:rFonts w:cs="Arial"/>
        </w:rPr>
        <w:t>,</w:t>
      </w:r>
      <w:r w:rsidR="00211664">
        <w:rPr>
          <w:rFonts w:cs="Arial"/>
        </w:rPr>
        <w:t>15 millones de la apo</w:t>
      </w:r>
      <w:r w:rsidR="00211664">
        <w:rPr>
          <w:rFonts w:cs="Arial"/>
        </w:rPr>
        <w:t>r</w:t>
      </w:r>
      <w:r w:rsidR="00211664">
        <w:rPr>
          <w:rFonts w:cs="Arial"/>
        </w:rPr>
        <w:t>tación de 2014, además de 25,09 millones de euros de la aportación de 2013.</w:t>
      </w:r>
    </w:p>
    <w:p w:rsidR="001B3767" w:rsidRPr="006D43A7" w:rsidRDefault="001B3767" w:rsidP="001B3767">
      <w:pPr>
        <w:pStyle w:val="texto"/>
        <w:rPr>
          <w:lang w:val="es-ES"/>
        </w:rPr>
      </w:pPr>
      <w:r w:rsidRPr="006D43A7">
        <w:rPr>
          <w:lang w:val="es-ES"/>
        </w:rPr>
        <w:t>En 2014 no se aprobó ni acordó entre ambas administraciones la liquidación definitiva de la aportación correspondiente al ejercicio 2013.</w:t>
      </w:r>
    </w:p>
    <w:p w:rsidR="001B3767" w:rsidRPr="006D70C6" w:rsidRDefault="001B3767" w:rsidP="00995A7B">
      <w:pPr>
        <w:pStyle w:val="texto"/>
        <w:tabs>
          <w:tab w:val="num" w:pos="300"/>
        </w:tabs>
        <w:spacing w:before="240" w:after="180"/>
        <w:rPr>
          <w:rFonts w:ascii="Arial" w:hAnsi="Arial" w:cs="Arial"/>
          <w:i/>
          <w:sz w:val="24"/>
        </w:rPr>
      </w:pPr>
      <w:r w:rsidRPr="006D70C6">
        <w:rPr>
          <w:rFonts w:ascii="Arial" w:hAnsi="Arial" w:cs="Arial"/>
          <w:i/>
          <w:sz w:val="24"/>
        </w:rPr>
        <w:t>Ingresos tributarios</w:t>
      </w:r>
    </w:p>
    <w:p w:rsidR="001B3767" w:rsidRPr="006D43A7" w:rsidRDefault="001B3767" w:rsidP="001B3767">
      <w:pPr>
        <w:pStyle w:val="texto"/>
        <w:rPr>
          <w:lang w:val="es-ES"/>
        </w:rPr>
      </w:pPr>
      <w:r w:rsidRPr="006D43A7">
        <w:rPr>
          <w:lang w:val="es-ES"/>
        </w:rPr>
        <w:t>El convenio contempla ajustes a la recaudación tributaria tanto para el pe</w:t>
      </w:r>
      <w:r w:rsidRPr="006D43A7">
        <w:rPr>
          <w:lang w:val="es-ES"/>
        </w:rPr>
        <w:t>r</w:t>
      </w:r>
      <w:r w:rsidRPr="006D43A7">
        <w:rPr>
          <w:lang w:val="es-ES"/>
        </w:rPr>
        <w:t>feccionamiento de la estimación de los impuestos directos imputables a Nav</w:t>
      </w:r>
      <w:r w:rsidRPr="006D43A7">
        <w:rPr>
          <w:lang w:val="es-ES"/>
        </w:rPr>
        <w:t>a</w:t>
      </w:r>
      <w:r w:rsidRPr="006D43A7">
        <w:rPr>
          <w:lang w:val="es-ES"/>
        </w:rPr>
        <w:t>rra y al resto del Estado como en los impuestos indirectos.</w:t>
      </w:r>
    </w:p>
    <w:p w:rsidR="001B3767" w:rsidRPr="006D43A7" w:rsidRDefault="001B3767" w:rsidP="001B3767">
      <w:pPr>
        <w:pStyle w:val="texto"/>
        <w:rPr>
          <w:lang w:val="es-ES"/>
        </w:rPr>
      </w:pPr>
      <w:r w:rsidRPr="006D43A7">
        <w:rPr>
          <w:lang w:val="es-ES"/>
        </w:rPr>
        <w:t>Los ajustes aplicados corresponden a los impuestos indirectos, IVA e i</w:t>
      </w:r>
      <w:r w:rsidRPr="006D43A7">
        <w:rPr>
          <w:lang w:val="es-ES"/>
        </w:rPr>
        <w:t>m</w:t>
      </w:r>
      <w:r w:rsidRPr="006D43A7">
        <w:rPr>
          <w:lang w:val="es-ES"/>
        </w:rPr>
        <w:t xml:space="preserve">puestos especiales, y se calculan conforme a las </w:t>
      </w:r>
      <w:r w:rsidRPr="00747A8C">
        <w:rPr>
          <w:lang w:val="es-ES"/>
        </w:rPr>
        <w:t xml:space="preserve">fórmulas </w:t>
      </w:r>
      <w:r w:rsidR="002D6B41" w:rsidRPr="00747A8C">
        <w:rPr>
          <w:lang w:val="es-ES"/>
        </w:rPr>
        <w:t>y método</w:t>
      </w:r>
      <w:r w:rsidR="002C2D49">
        <w:rPr>
          <w:lang w:val="es-ES"/>
        </w:rPr>
        <w:t>s</w:t>
      </w:r>
      <w:r w:rsidR="002D6B41" w:rsidRPr="00747A8C">
        <w:rPr>
          <w:lang w:val="es-ES"/>
        </w:rPr>
        <w:t xml:space="preserve"> </w:t>
      </w:r>
      <w:r w:rsidRPr="00747A8C">
        <w:rPr>
          <w:lang w:val="es-ES"/>
        </w:rPr>
        <w:t>previst</w:t>
      </w:r>
      <w:r w:rsidR="00747A8C">
        <w:rPr>
          <w:lang w:val="es-ES"/>
        </w:rPr>
        <w:t>o</w:t>
      </w:r>
      <w:r w:rsidRPr="00747A8C">
        <w:rPr>
          <w:lang w:val="es-ES"/>
        </w:rPr>
        <w:t xml:space="preserve">s </w:t>
      </w:r>
      <w:r w:rsidRPr="006D43A7">
        <w:rPr>
          <w:lang w:val="es-ES"/>
        </w:rPr>
        <w:t>en el Convenio Económico.</w:t>
      </w:r>
    </w:p>
    <w:p w:rsidR="001B3767" w:rsidRPr="006D43A7" w:rsidRDefault="001B3767" w:rsidP="001B3767">
      <w:pPr>
        <w:pStyle w:val="texto"/>
        <w:rPr>
          <w:lang w:val="es-ES"/>
        </w:rPr>
      </w:pPr>
      <w:r w:rsidRPr="006D43A7">
        <w:rPr>
          <w:lang w:val="es-ES"/>
        </w:rPr>
        <w:lastRenderedPageBreak/>
        <w:t xml:space="preserve">Se contabilizan en la partida de ingresos del tributo correspondiente, en la que se incluye </w:t>
      </w:r>
      <w:r w:rsidR="002C2D49">
        <w:rPr>
          <w:lang w:val="es-ES"/>
        </w:rPr>
        <w:t xml:space="preserve">también </w:t>
      </w:r>
      <w:r w:rsidRPr="006D43A7">
        <w:rPr>
          <w:lang w:val="es-ES"/>
        </w:rPr>
        <w:t>el anticipo de la liquidación definitiva de 2014 por aju</w:t>
      </w:r>
      <w:r w:rsidRPr="006D43A7">
        <w:rPr>
          <w:lang w:val="es-ES"/>
        </w:rPr>
        <w:t>s</w:t>
      </w:r>
      <w:r w:rsidRPr="006D43A7">
        <w:rPr>
          <w:lang w:val="es-ES"/>
        </w:rPr>
        <w:t>tes de IVA e impuestos especiales, 29.996.371 euros en 2014.</w:t>
      </w:r>
    </w:p>
    <w:p w:rsidR="001B3767" w:rsidRPr="006D43A7" w:rsidRDefault="001B3767" w:rsidP="001B3767">
      <w:pPr>
        <w:pStyle w:val="texto"/>
        <w:rPr>
          <w:lang w:val="es-ES"/>
        </w:rPr>
      </w:pPr>
      <w:r w:rsidRPr="006D43A7">
        <w:rPr>
          <w:lang w:val="es-ES"/>
        </w:rPr>
        <w:t xml:space="preserve">No se ha acordado entre la Administración Foral y la Estatal la liquidación definitiva por el ajuste del Impuesto especial sobre hidrocarburos del año 2013. Sin embargo, </w:t>
      </w:r>
      <w:r w:rsidR="002D6B41">
        <w:rPr>
          <w:lang w:val="es-ES"/>
        </w:rPr>
        <w:t>el Estado</w:t>
      </w:r>
      <w:r w:rsidRPr="006D43A7">
        <w:rPr>
          <w:lang w:val="es-ES"/>
        </w:rPr>
        <w:t xml:space="preserve"> cuantificó </w:t>
      </w:r>
      <w:r w:rsidR="007E783B">
        <w:rPr>
          <w:lang w:val="es-ES"/>
        </w:rPr>
        <w:t xml:space="preserve">unilateralmente </w:t>
      </w:r>
      <w:r w:rsidRPr="006D43A7">
        <w:rPr>
          <w:lang w:val="es-ES"/>
        </w:rPr>
        <w:t xml:space="preserve">dicha liquidación en 19.665.669 euros a </w:t>
      </w:r>
      <w:r w:rsidR="002D6B41">
        <w:rPr>
          <w:lang w:val="es-ES"/>
        </w:rPr>
        <w:t xml:space="preserve">su </w:t>
      </w:r>
      <w:r w:rsidRPr="006D43A7">
        <w:rPr>
          <w:lang w:val="es-ES"/>
        </w:rPr>
        <w:t xml:space="preserve">favor y la descontó del ingreso </w:t>
      </w:r>
      <w:r w:rsidR="002D6B41">
        <w:rPr>
          <w:lang w:val="es-ES"/>
        </w:rPr>
        <w:t xml:space="preserve">a la Comunidad Foral </w:t>
      </w:r>
      <w:r w:rsidRPr="006D43A7">
        <w:rPr>
          <w:lang w:val="es-ES"/>
        </w:rPr>
        <w:t xml:space="preserve">por ajuste por IVA. El Gobierno de Navarra solicitó al Estado la devolución </w:t>
      </w:r>
      <w:r w:rsidR="007E783B">
        <w:rPr>
          <w:lang w:val="es-ES"/>
        </w:rPr>
        <w:t>del i</w:t>
      </w:r>
      <w:r w:rsidR="007E783B">
        <w:rPr>
          <w:lang w:val="es-ES"/>
        </w:rPr>
        <w:t>n</w:t>
      </w:r>
      <w:r w:rsidR="00064B4D">
        <w:rPr>
          <w:lang w:val="es-ES"/>
        </w:rPr>
        <w:t>greso descontado y</w:t>
      </w:r>
      <w:r w:rsidR="00EE3478">
        <w:rPr>
          <w:lang w:val="es-ES"/>
        </w:rPr>
        <w:t>,</w:t>
      </w:r>
      <w:r w:rsidR="00064B4D">
        <w:rPr>
          <w:lang w:val="es-ES"/>
        </w:rPr>
        <w:t xml:space="preserve"> al no obtener respuesta, </w:t>
      </w:r>
      <w:r w:rsidR="00466A28">
        <w:rPr>
          <w:lang w:val="es-ES"/>
        </w:rPr>
        <w:t>compensó el ingreso descontado por el Estado en el pago de la aportación provisional del cuarto trimestre de 2014.</w:t>
      </w:r>
    </w:p>
    <w:p w:rsidR="001B3767" w:rsidRPr="00185E17" w:rsidRDefault="001B3767" w:rsidP="00995A7B">
      <w:pPr>
        <w:pStyle w:val="texto"/>
        <w:tabs>
          <w:tab w:val="num" w:pos="300"/>
        </w:tabs>
        <w:spacing w:before="240" w:after="180"/>
        <w:rPr>
          <w:rFonts w:ascii="Arial" w:hAnsi="Arial" w:cs="Arial"/>
          <w:i/>
          <w:sz w:val="24"/>
        </w:rPr>
      </w:pPr>
      <w:r w:rsidRPr="00185E17">
        <w:rPr>
          <w:rFonts w:ascii="Arial" w:hAnsi="Arial" w:cs="Arial"/>
          <w:i/>
          <w:sz w:val="24"/>
        </w:rPr>
        <w:t>Recursos</w:t>
      </w:r>
    </w:p>
    <w:p w:rsidR="001B3767" w:rsidRPr="006D43A7" w:rsidRDefault="001B3767" w:rsidP="00995A7B">
      <w:pPr>
        <w:pStyle w:val="texto"/>
        <w:spacing w:after="160"/>
        <w:rPr>
          <w:lang w:val="es-ES"/>
        </w:rPr>
      </w:pPr>
      <w:r w:rsidRPr="006D43A7">
        <w:rPr>
          <w:lang w:val="es-ES"/>
        </w:rPr>
        <w:t>Constan los siguientes recursos en relación con el convenio económico:</w:t>
      </w:r>
    </w:p>
    <w:p w:rsidR="00383C76" w:rsidRDefault="00B766A2" w:rsidP="00995A7B">
      <w:pPr>
        <w:pStyle w:val="texto"/>
        <w:spacing w:after="180"/>
        <w:rPr>
          <w:rFonts w:ascii="Times New (W1)" w:hAnsi="Times New (W1)"/>
        </w:rPr>
      </w:pPr>
      <w:r>
        <w:rPr>
          <w:lang w:val="es-ES"/>
        </w:rPr>
        <w:t>1-</w:t>
      </w:r>
      <w:r w:rsidR="001B3767" w:rsidRPr="006D43A7">
        <w:rPr>
          <w:lang w:val="es-ES"/>
        </w:rPr>
        <w:t>El 25 de julio de 2014, la Admin</w:t>
      </w:r>
      <w:r w:rsidR="002C2D49">
        <w:rPr>
          <w:lang w:val="es-ES"/>
        </w:rPr>
        <w:t>istración del Estado interpuso</w:t>
      </w:r>
      <w:r w:rsidR="001B3767" w:rsidRPr="006D43A7">
        <w:rPr>
          <w:lang w:val="es-ES"/>
        </w:rPr>
        <w:t xml:space="preserve"> Recurso Contencioso-Administrativo ante el Tribunal Supremo contra la Resolución de la Junta Arbitral</w:t>
      </w:r>
      <w:r w:rsidR="00C221E6">
        <w:rPr>
          <w:lang w:val="es-ES"/>
        </w:rPr>
        <w:t xml:space="preserve"> del Convenio Económico,</w:t>
      </w:r>
      <w:r w:rsidR="001B3767" w:rsidRPr="006D43A7">
        <w:rPr>
          <w:lang w:val="es-ES"/>
        </w:rPr>
        <w:t xml:space="preserve"> </w:t>
      </w:r>
      <w:r w:rsidR="00383C76" w:rsidRPr="003E5C1F">
        <w:rPr>
          <w:rFonts w:ascii="Times New (W1)" w:hAnsi="Times New (W1)"/>
        </w:rPr>
        <w:t xml:space="preserve">en el conflicto de competencias </w:t>
      </w:r>
      <w:r w:rsidR="00383C76">
        <w:rPr>
          <w:rFonts w:ascii="Times New (W1)" w:hAnsi="Times New (W1)"/>
        </w:rPr>
        <w:t>e</w:t>
      </w:r>
      <w:r w:rsidR="00383C76">
        <w:rPr>
          <w:rFonts w:ascii="Times New (W1)" w:hAnsi="Times New (W1)"/>
        </w:rPr>
        <w:t>n</w:t>
      </w:r>
      <w:r w:rsidR="00383C76">
        <w:rPr>
          <w:rFonts w:ascii="Times New (W1)" w:hAnsi="Times New (W1)"/>
        </w:rPr>
        <w:t xml:space="preserve">tre la Administración </w:t>
      </w:r>
      <w:r w:rsidR="002C2D49">
        <w:rPr>
          <w:rFonts w:ascii="Times New (W1)" w:hAnsi="Times New (W1)"/>
        </w:rPr>
        <w:t>E</w:t>
      </w:r>
      <w:r w:rsidR="00383C76">
        <w:rPr>
          <w:rFonts w:ascii="Times New (W1)" w:hAnsi="Times New (W1)"/>
        </w:rPr>
        <w:t>statal y Foral, inadmitiendo</w:t>
      </w:r>
      <w:r w:rsidR="00383C76" w:rsidRPr="003E5C1F">
        <w:rPr>
          <w:rFonts w:ascii="Times New (W1)" w:hAnsi="Times New (W1)"/>
        </w:rPr>
        <w:t xml:space="preserve"> el </w:t>
      </w:r>
      <w:r w:rsidR="00383C76" w:rsidRPr="007E783B">
        <w:rPr>
          <w:rFonts w:ascii="Times New (W1)" w:hAnsi="Times New (W1)"/>
        </w:rPr>
        <w:t xml:space="preserve">conflicto </w:t>
      </w:r>
      <w:r w:rsidR="00383C76" w:rsidRPr="003E5C1F">
        <w:rPr>
          <w:rFonts w:ascii="Times New (W1)" w:hAnsi="Times New (W1)"/>
        </w:rPr>
        <w:t>negativo de competencia</w:t>
      </w:r>
      <w:r w:rsidR="00383C76">
        <w:rPr>
          <w:rFonts w:ascii="Times New (W1)" w:hAnsi="Times New (W1)"/>
        </w:rPr>
        <w:t xml:space="preserve"> originado en 2012.</w:t>
      </w:r>
    </w:p>
    <w:p w:rsidR="00383C76" w:rsidRPr="006D43A7" w:rsidRDefault="00383C76" w:rsidP="00383C76">
      <w:pPr>
        <w:pStyle w:val="texto"/>
        <w:spacing w:after="180"/>
        <w:rPr>
          <w:lang w:val="es-ES"/>
        </w:rPr>
      </w:pPr>
      <w:r>
        <w:rPr>
          <w:lang w:val="es-ES"/>
        </w:rPr>
        <w:t>Al respecto, l</w:t>
      </w:r>
      <w:r w:rsidRPr="006D43A7">
        <w:rPr>
          <w:lang w:val="es-ES"/>
        </w:rPr>
        <w:t>a Administración del Estado presentó ante el Gobierno de N</w:t>
      </w:r>
      <w:r w:rsidRPr="006D43A7">
        <w:rPr>
          <w:lang w:val="es-ES"/>
        </w:rPr>
        <w:t>a</w:t>
      </w:r>
      <w:r w:rsidRPr="006D43A7">
        <w:rPr>
          <w:lang w:val="es-ES"/>
        </w:rPr>
        <w:t>varra su declaración de incompetencia para la devolución del IVA soportado por una sociedad mercantil comercializadora de vehículos fabricados en la fa</w:t>
      </w:r>
      <w:r w:rsidRPr="006D43A7">
        <w:rPr>
          <w:lang w:val="es-ES"/>
        </w:rPr>
        <w:t>c</w:t>
      </w:r>
      <w:r w:rsidRPr="006D43A7">
        <w:rPr>
          <w:lang w:val="es-ES"/>
        </w:rPr>
        <w:t>toría situada en territorio navarro y</w:t>
      </w:r>
      <w:r w:rsidR="00EE3478">
        <w:rPr>
          <w:lang w:val="es-ES"/>
        </w:rPr>
        <w:t>,</w:t>
      </w:r>
      <w:r w:rsidRPr="006D43A7">
        <w:rPr>
          <w:lang w:val="es-ES"/>
        </w:rPr>
        <w:t xml:space="preserve"> a su vez</w:t>
      </w:r>
      <w:r w:rsidR="00EE3478">
        <w:rPr>
          <w:lang w:val="es-ES"/>
        </w:rPr>
        <w:t>, la Comunidad Foral de Navarra</w:t>
      </w:r>
      <w:r w:rsidRPr="006D43A7">
        <w:rPr>
          <w:lang w:val="es-ES"/>
        </w:rPr>
        <w:t xml:space="preserve"> se declaró igualmente incompetente para dicha devolución. </w:t>
      </w:r>
    </w:p>
    <w:p w:rsidR="001B3767" w:rsidRPr="006D43A7" w:rsidRDefault="001B3767" w:rsidP="00995A7B">
      <w:pPr>
        <w:pStyle w:val="texto"/>
        <w:spacing w:after="180"/>
        <w:rPr>
          <w:lang w:val="es-ES"/>
        </w:rPr>
      </w:pPr>
      <w:r w:rsidRPr="006D43A7">
        <w:rPr>
          <w:lang w:val="es-ES"/>
        </w:rPr>
        <w:t>La A</w:t>
      </w:r>
      <w:r w:rsidR="00383C76">
        <w:rPr>
          <w:lang w:val="es-ES"/>
        </w:rPr>
        <w:t xml:space="preserve">gencia </w:t>
      </w:r>
      <w:r w:rsidRPr="006D43A7">
        <w:rPr>
          <w:lang w:val="es-ES"/>
        </w:rPr>
        <w:t>E</w:t>
      </w:r>
      <w:r w:rsidR="00383C76">
        <w:rPr>
          <w:lang w:val="es-ES"/>
        </w:rPr>
        <w:t>statal de Administración Tributaria</w:t>
      </w:r>
      <w:r w:rsidRPr="006D43A7">
        <w:rPr>
          <w:lang w:val="es-ES"/>
        </w:rPr>
        <w:t xml:space="preserve"> determinó una deducción improcedente de IVA por importe de 1.513.750.174,57 euros acordando que ese importe no debía exigirse al obligado tributario, la sociedad comercializ</w:t>
      </w:r>
      <w:r w:rsidRPr="006D43A7">
        <w:rPr>
          <w:lang w:val="es-ES"/>
        </w:rPr>
        <w:t>a</w:t>
      </w:r>
      <w:r w:rsidRPr="006D43A7">
        <w:rPr>
          <w:lang w:val="es-ES"/>
        </w:rPr>
        <w:t xml:space="preserve">dora, sino a la Hacienda Foral de Navarra. </w:t>
      </w:r>
    </w:p>
    <w:p w:rsidR="001B3767" w:rsidRDefault="001B3767" w:rsidP="00995A7B">
      <w:pPr>
        <w:pStyle w:val="texto"/>
        <w:spacing w:after="180"/>
      </w:pPr>
      <w:r w:rsidRPr="006D43A7">
        <w:rPr>
          <w:lang w:val="es-ES"/>
        </w:rPr>
        <w:t>El 26 de noviembre de 2014 el Tribunal Supremo accedió a la suspensión del recur</w:t>
      </w:r>
      <w:r w:rsidR="00383C76">
        <w:rPr>
          <w:lang w:val="es-ES"/>
        </w:rPr>
        <w:t xml:space="preserve">so por un plazo de sesenta días y el </w:t>
      </w:r>
      <w:r w:rsidR="00383C76">
        <w:t xml:space="preserve">7 de abril de 2015 </w:t>
      </w:r>
      <w:r w:rsidRPr="00961AB8">
        <w:t xml:space="preserve">acordó el archivo provisional del recurso mientras no se solicite la continuidad del </w:t>
      </w:r>
      <w:r w:rsidRPr="00211664">
        <w:t>procedimiento o se produzca la caducidad de la instancia.</w:t>
      </w:r>
    </w:p>
    <w:p w:rsidR="00676005" w:rsidRPr="00211664" w:rsidRDefault="00676005" w:rsidP="00995A7B">
      <w:pPr>
        <w:pStyle w:val="texto"/>
        <w:spacing w:after="180"/>
      </w:pPr>
      <w:r>
        <w:t>La Disposición Adicional Undécima de la Ley 14/2015, de 24 de junio</w:t>
      </w:r>
      <w:r w:rsidR="00BA13B2">
        <w:t xml:space="preserve"> que modifica el convenio económico,</w:t>
      </w:r>
      <w:r>
        <w:t xml:space="preserve"> establece un procedimiento para la resolución de conflictos de competencias entre la Administración del Estado y la Comun</w:t>
      </w:r>
      <w:r>
        <w:t>i</w:t>
      </w:r>
      <w:r>
        <w:t>dad Foral</w:t>
      </w:r>
      <w:r w:rsidR="00C221E6">
        <w:t xml:space="preserve"> ya planteados</w:t>
      </w:r>
      <w:r>
        <w:t xml:space="preserve"> ante la Junta Arbitral del Convenio económico. No se han formalizado todo</w:t>
      </w:r>
      <w:r w:rsidR="00323A29">
        <w:t>s</w:t>
      </w:r>
      <w:r>
        <w:t xml:space="preserve"> los requisitos exigidos en la citada Ley para la resol</w:t>
      </w:r>
      <w:r>
        <w:t>u</w:t>
      </w:r>
      <w:r>
        <w:t>ción del conflicto de competencias en relación con la devolución del IVA rec</w:t>
      </w:r>
      <w:r>
        <w:t>u</w:t>
      </w:r>
      <w:r>
        <w:t xml:space="preserve">rrida ante el Tribunal Supremo y </w:t>
      </w:r>
      <w:r w:rsidR="00323A29">
        <w:t>en archivo provisional.</w:t>
      </w:r>
    </w:p>
    <w:p w:rsidR="001B3767" w:rsidRPr="006D43A7" w:rsidRDefault="001B3767" w:rsidP="00AF4AC3">
      <w:pPr>
        <w:pStyle w:val="texto"/>
        <w:spacing w:after="120"/>
        <w:rPr>
          <w:lang w:val="es-ES"/>
        </w:rPr>
      </w:pPr>
      <w:r w:rsidRPr="006D43A7">
        <w:rPr>
          <w:lang w:val="es-ES"/>
        </w:rPr>
        <w:lastRenderedPageBreak/>
        <w:t>2</w:t>
      </w:r>
      <w:r w:rsidR="00961AB8">
        <w:rPr>
          <w:lang w:val="es-ES"/>
        </w:rPr>
        <w:t xml:space="preserve">. </w:t>
      </w:r>
      <w:r w:rsidRPr="006D43A7">
        <w:rPr>
          <w:lang w:val="es-ES"/>
        </w:rPr>
        <w:t xml:space="preserve">Un partido político presentó un recurso contencioso administrativo contra los acuerdos de la Comisión Coordinadora de 7 de mayo de 2012 </w:t>
      </w:r>
      <w:r w:rsidR="007E783B">
        <w:rPr>
          <w:lang w:val="es-ES"/>
        </w:rPr>
        <w:t>que modif</w:t>
      </w:r>
      <w:r w:rsidR="007E783B">
        <w:rPr>
          <w:lang w:val="es-ES"/>
        </w:rPr>
        <w:t>i</w:t>
      </w:r>
      <w:r w:rsidR="007E783B">
        <w:rPr>
          <w:lang w:val="es-ES"/>
        </w:rPr>
        <w:t>caban</w:t>
      </w:r>
      <w:r w:rsidRPr="006D43A7">
        <w:rPr>
          <w:lang w:val="es-ES"/>
        </w:rPr>
        <w:t xml:space="preserve"> el método para hacer efectivo el ajuste de la recaudación del IVA en el quinquenio 2010-2014</w:t>
      </w:r>
      <w:r w:rsidR="00EE3478">
        <w:rPr>
          <w:lang w:val="es-ES"/>
        </w:rPr>
        <w:t>,</w:t>
      </w:r>
      <w:r w:rsidRPr="006D43A7">
        <w:rPr>
          <w:lang w:val="es-ES"/>
        </w:rPr>
        <w:t xml:space="preserve"> a partir del 1 de abril de 2012.</w:t>
      </w:r>
      <w:r w:rsidR="00331558">
        <w:rPr>
          <w:lang w:val="es-ES"/>
        </w:rPr>
        <w:t xml:space="preserve"> </w:t>
      </w:r>
      <w:r w:rsidRPr="006D43A7">
        <w:rPr>
          <w:lang w:val="es-ES"/>
        </w:rPr>
        <w:t xml:space="preserve">Esta modificación se aprobó con el fin de equilibrar el efecto </w:t>
      </w:r>
      <w:r w:rsidR="00B766A2">
        <w:rPr>
          <w:lang w:val="es-ES"/>
        </w:rPr>
        <w:t xml:space="preserve">fiscal </w:t>
      </w:r>
      <w:r w:rsidRPr="006D43A7">
        <w:rPr>
          <w:lang w:val="es-ES"/>
        </w:rPr>
        <w:t>del nuevo sistema de comercial</w:t>
      </w:r>
      <w:r w:rsidRPr="006D43A7">
        <w:rPr>
          <w:lang w:val="es-ES"/>
        </w:rPr>
        <w:t>i</w:t>
      </w:r>
      <w:r w:rsidRPr="006D43A7">
        <w:rPr>
          <w:lang w:val="es-ES"/>
        </w:rPr>
        <w:t>zación y exportación de los vehículos de una empresa auto</w:t>
      </w:r>
      <w:r w:rsidR="00B766A2">
        <w:rPr>
          <w:lang w:val="es-ES"/>
        </w:rPr>
        <w:t xml:space="preserve">movilística navarra, </w:t>
      </w:r>
      <w:r w:rsidRPr="006D43A7">
        <w:rPr>
          <w:lang w:val="es-ES"/>
        </w:rPr>
        <w:t>limitándose en la Comunidad Foral a 25 millones de euros en cada uno de los tres ejercicios presupuestarios 2012, 2013 y 2014.</w:t>
      </w:r>
    </w:p>
    <w:p w:rsidR="001B3767" w:rsidRPr="006D43A7" w:rsidRDefault="001B3767" w:rsidP="00AF4AC3">
      <w:pPr>
        <w:pStyle w:val="texto"/>
        <w:spacing w:after="120"/>
        <w:rPr>
          <w:lang w:val="es-ES"/>
        </w:rPr>
      </w:pPr>
      <w:r w:rsidRPr="006D43A7">
        <w:rPr>
          <w:lang w:val="es-ES"/>
        </w:rPr>
        <w:t xml:space="preserve">El recurso de la formación política fue declarado inadmitido por Sentencia del 22 de enero de 2015 de la Audiencia Nacional. El 14 de abril de 2015, el Tribunal Supremo declaró desierto el recurso de Casación preparado por el </w:t>
      </w:r>
      <w:r w:rsidR="00EE3478" w:rsidRPr="006D43A7">
        <w:rPr>
          <w:lang w:val="es-ES"/>
        </w:rPr>
        <w:t>pa</w:t>
      </w:r>
      <w:r w:rsidR="00EE3478" w:rsidRPr="006D43A7">
        <w:rPr>
          <w:lang w:val="es-ES"/>
        </w:rPr>
        <w:t>r</w:t>
      </w:r>
      <w:r w:rsidR="00EE3478" w:rsidRPr="006D43A7">
        <w:rPr>
          <w:lang w:val="es-ES"/>
        </w:rPr>
        <w:t xml:space="preserve">tido </w:t>
      </w:r>
      <w:r w:rsidRPr="006D43A7">
        <w:rPr>
          <w:lang w:val="es-ES"/>
        </w:rPr>
        <w:t>político contra la sentencia de la Audiencia Nacional.</w:t>
      </w:r>
    </w:p>
    <w:p w:rsidR="001B3767" w:rsidRDefault="00CE386F" w:rsidP="001B3767">
      <w:pPr>
        <w:pStyle w:val="texto"/>
        <w:rPr>
          <w:rFonts w:ascii="Times New (W1)" w:hAnsi="Times New (W1)"/>
          <w:i/>
        </w:rPr>
      </w:pPr>
      <w:r w:rsidRPr="00CE386F">
        <w:rPr>
          <w:i/>
          <w:lang w:val="es-ES"/>
        </w:rPr>
        <w:t>Recomendamos</w:t>
      </w:r>
      <w:r>
        <w:rPr>
          <w:lang w:val="es-ES"/>
        </w:rPr>
        <w:t xml:space="preserve"> </w:t>
      </w:r>
      <w:r w:rsidRPr="001B4846">
        <w:rPr>
          <w:rFonts w:ascii="Times New (W1)" w:hAnsi="Times New (W1)"/>
          <w:i/>
        </w:rPr>
        <w:t xml:space="preserve">resolver </w:t>
      </w:r>
      <w:r w:rsidR="001B3767" w:rsidRPr="001B4846">
        <w:rPr>
          <w:rFonts w:ascii="Times New (W1)" w:hAnsi="Times New (W1)"/>
          <w:i/>
        </w:rPr>
        <w:t>las discrepancias con la Administración estatal en relación con l</w:t>
      </w:r>
      <w:r w:rsidR="001B3767">
        <w:rPr>
          <w:rFonts w:ascii="Times New (W1)" w:hAnsi="Times New (W1)"/>
          <w:i/>
        </w:rPr>
        <w:t>o</w:t>
      </w:r>
      <w:r w:rsidR="001B3767" w:rsidRPr="001B4846">
        <w:rPr>
          <w:rFonts w:ascii="Times New (W1)" w:hAnsi="Times New (W1)"/>
          <w:i/>
        </w:rPr>
        <w:t xml:space="preserve">s </w:t>
      </w:r>
      <w:r w:rsidR="001B3767">
        <w:rPr>
          <w:rFonts w:ascii="Times New (W1)" w:hAnsi="Times New (W1)"/>
          <w:i/>
        </w:rPr>
        <w:t xml:space="preserve">ajustes pendientes de la aportación al </w:t>
      </w:r>
      <w:r w:rsidR="00185E17">
        <w:rPr>
          <w:rFonts w:ascii="Times New (W1)" w:hAnsi="Times New (W1)"/>
          <w:i/>
        </w:rPr>
        <w:t xml:space="preserve">Estado </w:t>
      </w:r>
      <w:r w:rsidR="001B3767">
        <w:rPr>
          <w:rFonts w:ascii="Times New (W1)" w:hAnsi="Times New (W1)"/>
          <w:i/>
        </w:rPr>
        <w:t>y el impuesto especial sobre hidrocarburos</w:t>
      </w:r>
      <w:r w:rsidR="001B3767" w:rsidRPr="001B4846">
        <w:rPr>
          <w:rFonts w:ascii="Times New (W1)" w:hAnsi="Times New (W1)"/>
          <w:i/>
        </w:rPr>
        <w:t xml:space="preserve">. </w:t>
      </w:r>
    </w:p>
    <w:p w:rsidR="001B3767" w:rsidRPr="0064603A" w:rsidRDefault="001B3767" w:rsidP="00AF4AC3">
      <w:pPr>
        <w:pStyle w:val="atitulo2"/>
        <w:suppressAutoHyphens/>
        <w:spacing w:before="240" w:after="140"/>
        <w:ind w:right="28"/>
        <w:rPr>
          <w:color w:val="auto"/>
        </w:rPr>
      </w:pPr>
      <w:bookmarkStart w:id="72" w:name="_Toc434399407"/>
      <w:r w:rsidRPr="0064603A">
        <w:rPr>
          <w:color w:val="auto"/>
        </w:rPr>
        <w:t>VII.</w:t>
      </w:r>
      <w:r>
        <w:rPr>
          <w:color w:val="auto"/>
        </w:rPr>
        <w:t>6</w:t>
      </w:r>
      <w:r w:rsidRPr="0064603A">
        <w:rPr>
          <w:color w:val="auto"/>
        </w:rPr>
        <w:t>. Inversiones</w:t>
      </w:r>
      <w:r>
        <w:rPr>
          <w:color w:val="auto"/>
        </w:rPr>
        <w:t xml:space="preserve"> e inmovilizado no financiero</w:t>
      </w:r>
      <w:bookmarkEnd w:id="72"/>
    </w:p>
    <w:p w:rsidR="001B3767" w:rsidRPr="00B83D29" w:rsidRDefault="001B3767" w:rsidP="00AB3032">
      <w:pPr>
        <w:pStyle w:val="texto"/>
        <w:spacing w:after="120"/>
        <w:rPr>
          <w:spacing w:val="4"/>
          <w:lang w:val="es-ES"/>
        </w:rPr>
      </w:pPr>
      <w:r w:rsidRPr="00B83D29">
        <w:rPr>
          <w:spacing w:val="4"/>
          <w:lang w:val="es-ES"/>
        </w:rPr>
        <w:t xml:space="preserve">Las inversiones del año 2014 ascendieron a 94,13 millones de euros, el 2,5 por ciento del total de las obligaciones reconocidas en 2014. Su grado de ejecución fue del 52 por ciento de los créditos consolidados. Las principales inversiones corresponden a los siguientes conceptos: un 37 por ciento a carreteras y caminos, un </w:t>
      </w:r>
      <w:r w:rsidR="00466A28">
        <w:rPr>
          <w:spacing w:val="4"/>
          <w:lang w:val="es-ES"/>
        </w:rPr>
        <w:t>20</w:t>
      </w:r>
      <w:r w:rsidRPr="00B83D29">
        <w:rPr>
          <w:spacing w:val="4"/>
          <w:lang w:val="es-ES"/>
        </w:rPr>
        <w:t xml:space="preserve"> por ciento a</w:t>
      </w:r>
      <w:r w:rsidR="00466A28">
        <w:rPr>
          <w:spacing w:val="4"/>
          <w:lang w:val="es-ES"/>
        </w:rPr>
        <w:t>l</w:t>
      </w:r>
      <w:r w:rsidRPr="00B83D29">
        <w:rPr>
          <w:spacing w:val="4"/>
          <w:lang w:val="es-ES"/>
        </w:rPr>
        <w:t xml:space="preserve"> corredor navarro del Tren de alta velocidad, un 10 por ciento a </w:t>
      </w:r>
      <w:r w:rsidR="00466A28">
        <w:rPr>
          <w:spacing w:val="4"/>
          <w:lang w:val="es-ES"/>
        </w:rPr>
        <w:t xml:space="preserve">otro </w:t>
      </w:r>
      <w:r w:rsidRPr="00B83D29">
        <w:rPr>
          <w:spacing w:val="4"/>
          <w:lang w:val="es-ES"/>
        </w:rPr>
        <w:t>inmovilizado inmaterial y un 9 por ciento a edificios.</w:t>
      </w:r>
    </w:p>
    <w:p w:rsidR="001B3767" w:rsidRPr="006D43A7" w:rsidRDefault="001B3767" w:rsidP="00AB3032">
      <w:pPr>
        <w:pStyle w:val="texto"/>
        <w:spacing w:after="120"/>
        <w:rPr>
          <w:lang w:val="es-ES"/>
        </w:rPr>
      </w:pPr>
      <w:r w:rsidRPr="006D43A7">
        <w:rPr>
          <w:lang w:val="es-ES"/>
        </w:rPr>
        <w:t>El 63 por ciento de las inversiones corresponde al Departamento de Fomento y el 18 por ciento al Departamento de Salud.</w:t>
      </w:r>
    </w:p>
    <w:p w:rsidR="001B3767" w:rsidRPr="006D43A7" w:rsidRDefault="001B3767" w:rsidP="00AB3032">
      <w:pPr>
        <w:pStyle w:val="texto"/>
        <w:spacing w:after="120"/>
        <w:rPr>
          <w:lang w:val="es-ES"/>
        </w:rPr>
      </w:pPr>
      <w:r w:rsidRPr="006D43A7">
        <w:rPr>
          <w:lang w:val="es-ES"/>
        </w:rPr>
        <w:t>Las inversiones en 2014 fueron un 25 por ciento inferiores que las ejecutadas en 2013. Las inversiones de la Administración Foral han descendido de 305,98 millones en 2008 a 94,13 millones en 2014.</w:t>
      </w:r>
    </w:p>
    <w:p w:rsidR="001B3767" w:rsidRPr="006D43A7" w:rsidRDefault="001B3767" w:rsidP="00AB3032">
      <w:pPr>
        <w:pStyle w:val="texto"/>
        <w:spacing w:after="120"/>
        <w:rPr>
          <w:lang w:val="es-ES"/>
        </w:rPr>
      </w:pPr>
      <w:r w:rsidRPr="006D43A7">
        <w:rPr>
          <w:lang w:val="es-ES"/>
        </w:rPr>
        <w:t>Las inversiones en infraestructuras de uso o servicio público, 36.517.645 e</w:t>
      </w:r>
      <w:r w:rsidRPr="006D43A7">
        <w:rPr>
          <w:lang w:val="es-ES"/>
        </w:rPr>
        <w:t>u</w:t>
      </w:r>
      <w:r w:rsidRPr="006D43A7">
        <w:rPr>
          <w:lang w:val="es-ES"/>
        </w:rPr>
        <w:t>ros en 2014 correspondientes a obras en carreteras y caminos, no se recogen en  el inmovilizado material del balance, sino que se imputan a la cuenta del resu</w:t>
      </w:r>
      <w:r w:rsidRPr="006D43A7">
        <w:rPr>
          <w:lang w:val="es-ES"/>
        </w:rPr>
        <w:t>l</w:t>
      </w:r>
      <w:r w:rsidRPr="006D43A7">
        <w:rPr>
          <w:lang w:val="es-ES"/>
        </w:rPr>
        <w:t>tado económico en concepto de pérdidas del inmovilizado.</w:t>
      </w:r>
    </w:p>
    <w:p w:rsidR="001B3767" w:rsidRPr="006D43A7" w:rsidRDefault="001B3767" w:rsidP="00AB3032">
      <w:pPr>
        <w:pStyle w:val="texto"/>
        <w:spacing w:after="120"/>
        <w:rPr>
          <w:lang w:val="es-ES"/>
        </w:rPr>
      </w:pPr>
      <w:r w:rsidRPr="006D43A7">
        <w:rPr>
          <w:lang w:val="es-ES"/>
        </w:rPr>
        <w:t>Las inversiones en inmovilizaciones intangibles tampoco se recogen en el activo del balance como inmovilizado intangible sino que se imputan a la cue</w:t>
      </w:r>
      <w:r w:rsidRPr="006D43A7">
        <w:rPr>
          <w:lang w:val="es-ES"/>
        </w:rPr>
        <w:t>n</w:t>
      </w:r>
      <w:r w:rsidRPr="006D43A7">
        <w:rPr>
          <w:lang w:val="es-ES"/>
        </w:rPr>
        <w:t>ta de resultado económico como pérdidas de inmovilizado inmaterial, 12.366.484 euros en 2014.</w:t>
      </w:r>
    </w:p>
    <w:p w:rsidR="001B3767" w:rsidRPr="006D43A7" w:rsidRDefault="001B3767" w:rsidP="00AB3032">
      <w:pPr>
        <w:pStyle w:val="texto"/>
        <w:spacing w:after="120"/>
        <w:rPr>
          <w:lang w:val="es-ES"/>
        </w:rPr>
      </w:pPr>
      <w:r w:rsidRPr="006D43A7">
        <w:rPr>
          <w:lang w:val="es-ES"/>
        </w:rPr>
        <w:t>No se ha definido ni aplicado una política de amortizaciones para reflejar el deterioro de los bienes del inmovilizado.</w:t>
      </w:r>
    </w:p>
    <w:p w:rsidR="001B3767" w:rsidRPr="006D43A7" w:rsidRDefault="001B3767" w:rsidP="002A1413">
      <w:pPr>
        <w:pStyle w:val="texto"/>
        <w:spacing w:after="120"/>
        <w:rPr>
          <w:lang w:val="es-ES"/>
        </w:rPr>
      </w:pPr>
      <w:r w:rsidRPr="006D43A7">
        <w:rPr>
          <w:lang w:val="es-ES"/>
        </w:rPr>
        <w:lastRenderedPageBreak/>
        <w:t>No consta en la memoria de la Cuenta General información sobre el invent</w:t>
      </w:r>
      <w:r w:rsidRPr="006D43A7">
        <w:rPr>
          <w:lang w:val="es-ES"/>
        </w:rPr>
        <w:t>a</w:t>
      </w:r>
      <w:r w:rsidRPr="006D43A7">
        <w:rPr>
          <w:lang w:val="es-ES"/>
        </w:rPr>
        <w:t xml:space="preserve">rio de bienes y derechos, contrariamente a lo establecido en la Ley Foral de Hacienda Pública. </w:t>
      </w:r>
    </w:p>
    <w:p w:rsidR="0080281D" w:rsidRPr="00E26A4B" w:rsidRDefault="0080281D" w:rsidP="00AF4AC3">
      <w:pPr>
        <w:pStyle w:val="atitulo3"/>
        <w:spacing w:before="240" w:after="200"/>
        <w:rPr>
          <w:rFonts w:cs="Arial"/>
        </w:rPr>
      </w:pPr>
      <w:r w:rsidRPr="00E26A4B">
        <w:rPr>
          <w:rFonts w:cs="Arial"/>
        </w:rPr>
        <w:t>VII.</w:t>
      </w:r>
      <w:r>
        <w:rPr>
          <w:rFonts w:cs="Arial"/>
        </w:rPr>
        <w:t>6</w:t>
      </w:r>
      <w:r w:rsidRPr="00E26A4B">
        <w:rPr>
          <w:rFonts w:cs="Arial"/>
        </w:rPr>
        <w:t>.</w:t>
      </w:r>
      <w:r>
        <w:rPr>
          <w:rFonts w:cs="Arial"/>
        </w:rPr>
        <w:t>1</w:t>
      </w:r>
      <w:r w:rsidRPr="00E26A4B">
        <w:rPr>
          <w:rFonts w:cs="Arial"/>
        </w:rPr>
        <w:t xml:space="preserve"> </w:t>
      </w:r>
      <w:r>
        <w:rPr>
          <w:rFonts w:cs="Arial"/>
        </w:rPr>
        <w:t xml:space="preserve">Muestra de inversiones </w:t>
      </w:r>
    </w:p>
    <w:p w:rsidR="001B3767" w:rsidRPr="006D43A7" w:rsidRDefault="001B3767" w:rsidP="002A1413">
      <w:pPr>
        <w:pStyle w:val="texto"/>
        <w:spacing w:after="200"/>
        <w:rPr>
          <w:lang w:val="es-ES"/>
        </w:rPr>
      </w:pPr>
      <w:r w:rsidRPr="006D43A7">
        <w:rPr>
          <w:lang w:val="es-ES"/>
        </w:rPr>
        <w:t>Se han revisado las siguientes inversiones:</w:t>
      </w:r>
    </w:p>
    <w:tbl>
      <w:tblPr>
        <w:tblW w:w="4899"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09"/>
        <w:gridCol w:w="3192"/>
        <w:gridCol w:w="2348"/>
      </w:tblGrid>
      <w:tr w:rsidR="001B3767" w:rsidTr="00E22617">
        <w:trPr>
          <w:trHeight w:hRule="exact" w:val="340"/>
          <w:jc w:val="center"/>
        </w:trPr>
        <w:tc>
          <w:tcPr>
            <w:tcW w:w="1834" w:type="pct"/>
            <w:tcBorders>
              <w:top w:val="single" w:sz="4" w:space="0" w:color="auto"/>
              <w:left w:val="nil"/>
              <w:bottom w:val="single" w:sz="4" w:space="0" w:color="auto"/>
              <w:right w:val="nil"/>
            </w:tcBorders>
            <w:shd w:val="clear" w:color="auto" w:fill="8DB3E2" w:themeFill="text2" w:themeFillTint="66"/>
            <w:vAlign w:val="center"/>
            <w:hideMark/>
          </w:tcPr>
          <w:p w:rsidR="001B3767" w:rsidRPr="00EB31BB" w:rsidRDefault="001B3767" w:rsidP="00EB31BB">
            <w:pPr>
              <w:pStyle w:val="cuadroCabe"/>
              <w:jc w:val="left"/>
            </w:pPr>
            <w:r w:rsidRPr="00EB31BB">
              <w:t xml:space="preserve">Departamento </w:t>
            </w:r>
          </w:p>
        </w:tc>
        <w:tc>
          <w:tcPr>
            <w:tcW w:w="1824" w:type="pct"/>
            <w:tcBorders>
              <w:top w:val="single" w:sz="4" w:space="0" w:color="auto"/>
              <w:left w:val="nil"/>
              <w:bottom w:val="single" w:sz="4" w:space="0" w:color="auto"/>
              <w:right w:val="nil"/>
            </w:tcBorders>
            <w:shd w:val="clear" w:color="auto" w:fill="8DB3E2" w:themeFill="text2" w:themeFillTint="66"/>
            <w:vAlign w:val="center"/>
            <w:hideMark/>
          </w:tcPr>
          <w:p w:rsidR="001B3767" w:rsidRPr="00EB31BB" w:rsidRDefault="001B3767" w:rsidP="00EB31BB">
            <w:pPr>
              <w:pStyle w:val="cuadroCabe"/>
              <w:jc w:val="left"/>
            </w:pPr>
            <w:r w:rsidRPr="00EB31BB">
              <w:t>Concepto</w:t>
            </w:r>
          </w:p>
        </w:tc>
        <w:tc>
          <w:tcPr>
            <w:tcW w:w="1342" w:type="pct"/>
            <w:tcBorders>
              <w:top w:val="single" w:sz="4" w:space="0" w:color="auto"/>
              <w:left w:val="nil"/>
              <w:bottom w:val="single" w:sz="4" w:space="0" w:color="auto"/>
              <w:right w:val="nil"/>
            </w:tcBorders>
            <w:shd w:val="clear" w:color="auto" w:fill="8DB3E2" w:themeFill="text2" w:themeFillTint="66"/>
            <w:vAlign w:val="center"/>
            <w:hideMark/>
          </w:tcPr>
          <w:p w:rsidR="001B3767" w:rsidRPr="00EB31BB" w:rsidRDefault="001B3767" w:rsidP="00EB31BB">
            <w:pPr>
              <w:pStyle w:val="cuadroCabe"/>
              <w:jc w:val="right"/>
            </w:pPr>
            <w:r w:rsidRPr="00EB31BB">
              <w:t>Gasto</w:t>
            </w:r>
          </w:p>
        </w:tc>
      </w:tr>
      <w:tr w:rsidR="001B3767" w:rsidRPr="00EB31BB" w:rsidTr="00B43632">
        <w:trPr>
          <w:trHeight w:hRule="exact" w:val="255"/>
          <w:jc w:val="center"/>
        </w:trPr>
        <w:tc>
          <w:tcPr>
            <w:tcW w:w="1834" w:type="pct"/>
            <w:tcBorders>
              <w:top w:val="single" w:sz="4" w:space="0" w:color="auto"/>
              <w:left w:val="nil"/>
              <w:bottom w:val="single" w:sz="2" w:space="0" w:color="auto"/>
              <w:right w:val="nil"/>
            </w:tcBorders>
            <w:vAlign w:val="center"/>
            <w:hideMark/>
          </w:tcPr>
          <w:p w:rsidR="001B3767" w:rsidRPr="00EB31BB" w:rsidRDefault="001B3767" w:rsidP="00EB31BB">
            <w:pPr>
              <w:pStyle w:val="cuatexto"/>
              <w:jc w:val="left"/>
              <w:rPr>
                <w:szCs w:val="20"/>
              </w:rPr>
            </w:pPr>
            <w:r w:rsidRPr="00EB31BB">
              <w:rPr>
                <w:szCs w:val="20"/>
              </w:rPr>
              <w:t>Salud</w:t>
            </w:r>
          </w:p>
        </w:tc>
        <w:tc>
          <w:tcPr>
            <w:tcW w:w="1824" w:type="pct"/>
            <w:tcBorders>
              <w:top w:val="single" w:sz="4" w:space="0" w:color="auto"/>
              <w:left w:val="nil"/>
              <w:bottom w:val="single" w:sz="2" w:space="0" w:color="auto"/>
              <w:right w:val="nil"/>
            </w:tcBorders>
            <w:noWrap/>
            <w:vAlign w:val="center"/>
            <w:hideMark/>
          </w:tcPr>
          <w:p w:rsidR="001B3767" w:rsidRPr="00EB31BB" w:rsidRDefault="001B3767" w:rsidP="00EB31BB">
            <w:pPr>
              <w:pStyle w:val="cuatexto"/>
              <w:jc w:val="left"/>
              <w:rPr>
                <w:szCs w:val="20"/>
              </w:rPr>
            </w:pPr>
            <w:r w:rsidRPr="00EB31BB">
              <w:rPr>
                <w:szCs w:val="20"/>
              </w:rPr>
              <w:t>Infraestructuras, equipamiento</w:t>
            </w:r>
          </w:p>
        </w:tc>
        <w:tc>
          <w:tcPr>
            <w:tcW w:w="1342" w:type="pct"/>
            <w:tcBorders>
              <w:top w:val="single" w:sz="4" w:space="0" w:color="auto"/>
              <w:left w:val="nil"/>
              <w:bottom w:val="single" w:sz="2" w:space="0" w:color="auto"/>
              <w:right w:val="nil"/>
            </w:tcBorders>
            <w:vAlign w:val="center"/>
            <w:hideMark/>
          </w:tcPr>
          <w:p w:rsidR="001B3767" w:rsidRPr="00EB31BB" w:rsidRDefault="001B3767" w:rsidP="00EB31BB">
            <w:pPr>
              <w:pStyle w:val="cuatexto"/>
              <w:jc w:val="right"/>
              <w:rPr>
                <w:szCs w:val="20"/>
              </w:rPr>
            </w:pPr>
            <w:r w:rsidRPr="00EB31BB">
              <w:rPr>
                <w:szCs w:val="20"/>
              </w:rPr>
              <w:t>4.330.625</w:t>
            </w:r>
          </w:p>
        </w:tc>
      </w:tr>
      <w:tr w:rsidR="001B3767" w:rsidRPr="00EB31BB" w:rsidTr="00B43632">
        <w:trPr>
          <w:trHeight w:hRule="exact" w:val="255"/>
          <w:jc w:val="center"/>
        </w:trPr>
        <w:tc>
          <w:tcPr>
            <w:tcW w:w="1834" w:type="pct"/>
            <w:tcBorders>
              <w:top w:val="single" w:sz="2" w:space="0" w:color="auto"/>
              <w:left w:val="nil"/>
              <w:bottom w:val="single" w:sz="4" w:space="0" w:color="auto"/>
              <w:right w:val="nil"/>
            </w:tcBorders>
            <w:vAlign w:val="center"/>
            <w:hideMark/>
          </w:tcPr>
          <w:p w:rsidR="001B3767" w:rsidRPr="00EB31BB" w:rsidRDefault="001B3767" w:rsidP="00EB31BB">
            <w:pPr>
              <w:pStyle w:val="cuatexto"/>
              <w:jc w:val="left"/>
              <w:rPr>
                <w:szCs w:val="20"/>
              </w:rPr>
            </w:pPr>
            <w:r w:rsidRPr="00EB31BB">
              <w:rPr>
                <w:szCs w:val="20"/>
              </w:rPr>
              <w:t>Fomento</w:t>
            </w:r>
          </w:p>
        </w:tc>
        <w:tc>
          <w:tcPr>
            <w:tcW w:w="1824" w:type="pct"/>
            <w:tcBorders>
              <w:top w:val="single" w:sz="2" w:space="0" w:color="auto"/>
              <w:left w:val="nil"/>
              <w:bottom w:val="single" w:sz="4" w:space="0" w:color="auto"/>
              <w:right w:val="nil"/>
            </w:tcBorders>
            <w:noWrap/>
            <w:vAlign w:val="center"/>
            <w:hideMark/>
          </w:tcPr>
          <w:p w:rsidR="001B3767" w:rsidRPr="00EB31BB" w:rsidRDefault="007E783B" w:rsidP="00EB31BB">
            <w:pPr>
              <w:pStyle w:val="cuatexto"/>
              <w:jc w:val="left"/>
              <w:rPr>
                <w:szCs w:val="20"/>
              </w:rPr>
            </w:pPr>
            <w:r>
              <w:rPr>
                <w:szCs w:val="20"/>
              </w:rPr>
              <w:t>Tren Alta Velocidad</w:t>
            </w:r>
          </w:p>
        </w:tc>
        <w:tc>
          <w:tcPr>
            <w:tcW w:w="1342" w:type="pct"/>
            <w:tcBorders>
              <w:top w:val="single" w:sz="2" w:space="0" w:color="auto"/>
              <w:left w:val="nil"/>
              <w:bottom w:val="single" w:sz="4" w:space="0" w:color="auto"/>
              <w:right w:val="nil"/>
            </w:tcBorders>
            <w:vAlign w:val="center"/>
            <w:hideMark/>
          </w:tcPr>
          <w:p w:rsidR="001B3767" w:rsidRPr="00EB31BB" w:rsidRDefault="00466A28" w:rsidP="00EB31BB">
            <w:pPr>
              <w:pStyle w:val="cuatexto"/>
              <w:jc w:val="right"/>
              <w:rPr>
                <w:szCs w:val="20"/>
              </w:rPr>
            </w:pPr>
            <w:r>
              <w:rPr>
                <w:szCs w:val="20"/>
              </w:rPr>
              <w:t>19.220.712</w:t>
            </w:r>
          </w:p>
        </w:tc>
      </w:tr>
    </w:tbl>
    <w:p w:rsidR="001B3767" w:rsidRPr="006D43A7" w:rsidRDefault="001B3767" w:rsidP="002A1413">
      <w:pPr>
        <w:pStyle w:val="texto"/>
        <w:spacing w:before="240" w:after="120"/>
        <w:rPr>
          <w:lang w:val="es-ES"/>
        </w:rPr>
      </w:pPr>
      <w:r w:rsidRPr="006D43A7">
        <w:rPr>
          <w:lang w:val="es-ES"/>
        </w:rPr>
        <w:t xml:space="preserve">Se ha constatado que los gastos </w:t>
      </w:r>
      <w:r w:rsidR="00296EB4">
        <w:rPr>
          <w:lang w:val="es-ES"/>
        </w:rPr>
        <w:t xml:space="preserve">revisados </w:t>
      </w:r>
      <w:r w:rsidR="007E783B">
        <w:rPr>
          <w:lang w:val="es-ES"/>
        </w:rPr>
        <w:t xml:space="preserve">de equipamiento médico y </w:t>
      </w:r>
      <w:r w:rsidR="00296EB4">
        <w:rPr>
          <w:lang w:val="es-ES"/>
        </w:rPr>
        <w:t xml:space="preserve">del </w:t>
      </w:r>
      <w:r w:rsidR="007E783B">
        <w:rPr>
          <w:lang w:val="es-ES"/>
        </w:rPr>
        <w:t xml:space="preserve">Tren de Alta Velocidad </w:t>
      </w:r>
      <w:r w:rsidRPr="006D43A7">
        <w:rPr>
          <w:lang w:val="es-ES"/>
        </w:rPr>
        <w:t>están aprobados, justificados e intervenidos.</w:t>
      </w:r>
    </w:p>
    <w:p w:rsidR="001B3767" w:rsidRDefault="001B3767" w:rsidP="002A1413">
      <w:pPr>
        <w:pStyle w:val="texto"/>
        <w:spacing w:after="200"/>
        <w:rPr>
          <w:lang w:val="es-ES"/>
        </w:rPr>
      </w:pPr>
      <w:r w:rsidRPr="006D43A7">
        <w:rPr>
          <w:lang w:val="es-ES"/>
        </w:rPr>
        <w:t xml:space="preserve">A continuación se analizan las inversiones relacionadas con el Tren de alta velocidad en el ejercicio 2014 y su situación al cierre del mismo. </w:t>
      </w:r>
    </w:p>
    <w:p w:rsidR="001B3767" w:rsidRPr="00EF16C1" w:rsidRDefault="001B3767" w:rsidP="00AF4AC3">
      <w:pPr>
        <w:pStyle w:val="texto"/>
        <w:tabs>
          <w:tab w:val="num" w:pos="300"/>
        </w:tabs>
        <w:spacing w:before="280" w:after="180"/>
        <w:rPr>
          <w:rFonts w:ascii="Arial" w:hAnsi="Arial" w:cs="Arial"/>
          <w:i/>
          <w:sz w:val="23"/>
          <w:szCs w:val="23"/>
        </w:rPr>
      </w:pPr>
      <w:r w:rsidRPr="00EF16C1">
        <w:rPr>
          <w:rFonts w:ascii="Arial" w:hAnsi="Arial" w:cs="Arial"/>
          <w:i/>
          <w:sz w:val="23"/>
          <w:szCs w:val="23"/>
        </w:rPr>
        <w:t xml:space="preserve">Tramo Castejón-Pamplona de la línea de alta velocidad Zaragoza-Pamplona </w:t>
      </w:r>
    </w:p>
    <w:p w:rsidR="001B3767" w:rsidRPr="006D43A7" w:rsidRDefault="001B3767" w:rsidP="002A1413">
      <w:pPr>
        <w:pStyle w:val="texto"/>
        <w:spacing w:after="120"/>
        <w:rPr>
          <w:lang w:val="es-ES"/>
        </w:rPr>
      </w:pPr>
      <w:r w:rsidRPr="006D43A7">
        <w:rPr>
          <w:lang w:val="es-ES"/>
        </w:rPr>
        <w:t>Según el convenio firmado el 9 de abril de 2010 entre el Ministerio de F</w:t>
      </w:r>
      <w:r w:rsidRPr="006D43A7">
        <w:rPr>
          <w:lang w:val="es-ES"/>
        </w:rPr>
        <w:t>o</w:t>
      </w:r>
      <w:r w:rsidRPr="006D43A7">
        <w:rPr>
          <w:lang w:val="es-ES"/>
        </w:rPr>
        <w:t>mento y el Gobierno de Navarra para la construcción de la línea de alta veloc</w:t>
      </w:r>
      <w:r w:rsidRPr="006D43A7">
        <w:rPr>
          <w:lang w:val="es-ES"/>
        </w:rPr>
        <w:t>i</w:t>
      </w:r>
      <w:r w:rsidRPr="006D43A7">
        <w:rPr>
          <w:lang w:val="es-ES"/>
        </w:rPr>
        <w:t xml:space="preserve">dad Zaragoza-Pamplona en el territorio de Navarra, tramo Castejón-Comarca de Pamplona, la Administración Foral </w:t>
      </w:r>
      <w:r w:rsidR="007E783B">
        <w:rPr>
          <w:lang w:val="es-ES"/>
        </w:rPr>
        <w:t>redactará</w:t>
      </w:r>
      <w:r w:rsidRPr="006D43A7">
        <w:rPr>
          <w:lang w:val="es-ES"/>
        </w:rPr>
        <w:t xml:space="preserve"> los proyectos constructivos</w:t>
      </w:r>
      <w:r w:rsidR="00B766A2">
        <w:rPr>
          <w:lang w:val="es-ES"/>
        </w:rPr>
        <w:t>,</w:t>
      </w:r>
      <w:r w:rsidRPr="006D43A7">
        <w:rPr>
          <w:lang w:val="es-ES"/>
        </w:rPr>
        <w:t xml:space="preserve"> </w:t>
      </w:r>
      <w:r w:rsidR="007E783B">
        <w:rPr>
          <w:lang w:val="es-ES"/>
        </w:rPr>
        <w:t>contratará</w:t>
      </w:r>
      <w:r w:rsidRPr="006D43A7">
        <w:rPr>
          <w:lang w:val="es-ES"/>
        </w:rPr>
        <w:t xml:space="preserve"> la dirección y ejecución de las obras de la plataforma entre Castejón y la Comarca de Pamplona, hasta la nueva estación de alta velocidad</w:t>
      </w:r>
      <w:r w:rsidR="00B766A2">
        <w:rPr>
          <w:lang w:val="es-ES"/>
        </w:rPr>
        <w:t xml:space="preserve"> y</w:t>
      </w:r>
      <w:r w:rsidRPr="006D43A7">
        <w:rPr>
          <w:lang w:val="es-ES"/>
        </w:rPr>
        <w:t xml:space="preserve"> colab</w:t>
      </w:r>
      <w:r w:rsidRPr="006D43A7">
        <w:rPr>
          <w:lang w:val="es-ES"/>
        </w:rPr>
        <w:t>o</w:t>
      </w:r>
      <w:r w:rsidRPr="006D43A7">
        <w:rPr>
          <w:lang w:val="es-ES"/>
        </w:rPr>
        <w:t>rará en la tramitación de los expedientes expropiatorios.</w:t>
      </w:r>
    </w:p>
    <w:p w:rsidR="001B3767" w:rsidRPr="006D43A7" w:rsidRDefault="001B3767" w:rsidP="002A1413">
      <w:pPr>
        <w:pStyle w:val="texto"/>
        <w:spacing w:after="120"/>
        <w:rPr>
          <w:lang w:val="es-ES"/>
        </w:rPr>
      </w:pPr>
      <w:r w:rsidRPr="006D43A7">
        <w:rPr>
          <w:lang w:val="es-ES"/>
        </w:rPr>
        <w:t>El Ministerio de Fomento, a través de ADIF, se hará cargo de la redacción de los proyectos constructivos y de la dirección y ejecución de las obras de la s</w:t>
      </w:r>
      <w:r w:rsidRPr="006D43A7">
        <w:rPr>
          <w:lang w:val="es-ES"/>
        </w:rPr>
        <w:t>u</w:t>
      </w:r>
      <w:r w:rsidRPr="006D43A7">
        <w:rPr>
          <w:lang w:val="es-ES"/>
        </w:rPr>
        <w:t>perestructura entre Castejón y la Comarca de Pamplona.</w:t>
      </w:r>
    </w:p>
    <w:p w:rsidR="001B3767" w:rsidRDefault="001B3767" w:rsidP="00C70421">
      <w:pPr>
        <w:pStyle w:val="texto"/>
        <w:rPr>
          <w:lang w:val="es-ES"/>
        </w:rPr>
      </w:pPr>
      <w:r w:rsidRPr="006D43A7">
        <w:rPr>
          <w:lang w:val="es-ES"/>
        </w:rPr>
        <w:t xml:space="preserve">El coste total de las obras a realizar por ambas entidades se estimó en 675 millones de euros. De este importe, </w:t>
      </w:r>
      <w:r w:rsidR="00C70421">
        <w:rPr>
          <w:lang w:val="es-ES"/>
        </w:rPr>
        <w:t>la ejecución</w:t>
      </w:r>
      <w:r w:rsidRPr="006D43A7">
        <w:rPr>
          <w:lang w:val="es-ES"/>
        </w:rPr>
        <w:t xml:space="preserve"> del tramo navarro, con un co</w:t>
      </w:r>
      <w:r w:rsidRPr="006D43A7">
        <w:rPr>
          <w:lang w:val="es-ES"/>
        </w:rPr>
        <w:t>s</w:t>
      </w:r>
      <w:r w:rsidRPr="006D43A7">
        <w:rPr>
          <w:lang w:val="es-ES"/>
        </w:rPr>
        <w:t xml:space="preserve">te total estimado de 387,65 millones, </w:t>
      </w:r>
      <w:r w:rsidR="00C70421">
        <w:rPr>
          <w:lang w:val="es-ES"/>
        </w:rPr>
        <w:t>corresponde a</w:t>
      </w:r>
      <w:r w:rsidRPr="006D43A7">
        <w:rPr>
          <w:lang w:val="es-ES"/>
        </w:rPr>
        <w:t xml:space="preserve"> la Administración Foral</w:t>
      </w:r>
      <w:r w:rsidR="00C70421">
        <w:rPr>
          <w:lang w:val="es-ES"/>
        </w:rPr>
        <w:t>. Esta es la programación del periodo 2011-2014</w:t>
      </w:r>
      <w:r w:rsidRPr="006D43A7">
        <w:rPr>
          <w:lang w:val="es-ES"/>
        </w:rPr>
        <w:t>:</w:t>
      </w:r>
    </w:p>
    <w:p w:rsidR="002A1413" w:rsidRPr="00E05116" w:rsidRDefault="002A1413" w:rsidP="002A1413">
      <w:pPr>
        <w:pStyle w:val="texto"/>
        <w:spacing w:after="80"/>
        <w:jc w:val="right"/>
        <w:rPr>
          <w:rFonts w:ascii="Arial" w:hAnsi="Arial" w:cs="Arial"/>
          <w:sz w:val="16"/>
          <w:szCs w:val="16"/>
          <w:lang w:val="es-ES" w:eastAsia="es-ES"/>
        </w:rPr>
      </w:pPr>
      <w:r w:rsidRPr="00E05116">
        <w:rPr>
          <w:rFonts w:ascii="Arial" w:hAnsi="Arial" w:cs="Arial"/>
          <w:sz w:val="16"/>
          <w:szCs w:val="16"/>
          <w:lang w:val="es-ES" w:eastAsia="es-ES"/>
        </w:rPr>
        <w:t>(</w:t>
      </w:r>
      <w:proofErr w:type="gramStart"/>
      <w:r w:rsidRPr="00E05116">
        <w:rPr>
          <w:rFonts w:ascii="Arial" w:hAnsi="Arial" w:cs="Arial"/>
          <w:sz w:val="16"/>
          <w:szCs w:val="16"/>
          <w:lang w:val="es-ES" w:eastAsia="es-ES"/>
        </w:rPr>
        <w:t>millones</w:t>
      </w:r>
      <w:proofErr w:type="gramEnd"/>
      <w:r w:rsidRPr="00E05116">
        <w:rPr>
          <w:rFonts w:ascii="Arial" w:hAnsi="Arial" w:cs="Arial"/>
          <w:sz w:val="16"/>
          <w:szCs w:val="16"/>
          <w:lang w:val="es-ES" w:eastAsia="es-ES"/>
        </w:rPr>
        <w:t xml:space="preserve"> de euros)</w:t>
      </w:r>
    </w:p>
    <w:tbl>
      <w:tblPr>
        <w:tblW w:w="878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051"/>
        <w:gridCol w:w="750"/>
        <w:gridCol w:w="791"/>
        <w:gridCol w:w="1085"/>
        <w:gridCol w:w="1031"/>
        <w:gridCol w:w="1049"/>
        <w:gridCol w:w="1023"/>
      </w:tblGrid>
      <w:tr w:rsidR="001B3767" w:rsidRPr="00327BAC" w:rsidTr="002A1413">
        <w:trPr>
          <w:trHeight w:val="227"/>
          <w:jc w:val="center"/>
        </w:trPr>
        <w:tc>
          <w:tcPr>
            <w:tcW w:w="3051" w:type="dxa"/>
            <w:vMerge w:val="restart"/>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0E2288">
            <w:pPr>
              <w:pStyle w:val="cuadroCabe"/>
              <w:jc w:val="left"/>
              <w:rPr>
                <w:sz w:val="17"/>
                <w:szCs w:val="17"/>
              </w:rPr>
            </w:pPr>
            <w:r w:rsidRPr="00327BAC">
              <w:rPr>
                <w:sz w:val="17"/>
                <w:szCs w:val="17"/>
              </w:rPr>
              <w:t>Tramo Castejón–Pamplona</w:t>
            </w:r>
          </w:p>
        </w:tc>
        <w:tc>
          <w:tcPr>
            <w:tcW w:w="750" w:type="dxa"/>
            <w:vMerge w:val="restart"/>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327BAC">
            <w:pPr>
              <w:pStyle w:val="cuadroCabe"/>
              <w:jc w:val="right"/>
              <w:rPr>
                <w:sz w:val="17"/>
                <w:szCs w:val="17"/>
              </w:rPr>
            </w:pPr>
            <w:r w:rsidRPr="00327BAC">
              <w:rPr>
                <w:sz w:val="17"/>
                <w:szCs w:val="17"/>
              </w:rPr>
              <w:t>Km.</w:t>
            </w:r>
          </w:p>
        </w:tc>
        <w:tc>
          <w:tcPr>
            <w:tcW w:w="4979" w:type="dxa"/>
            <w:gridSpan w:val="5"/>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75240F">
            <w:pPr>
              <w:pStyle w:val="cuadroCabe"/>
              <w:jc w:val="center"/>
              <w:rPr>
                <w:sz w:val="17"/>
                <w:szCs w:val="17"/>
              </w:rPr>
            </w:pPr>
            <w:r w:rsidRPr="00327BAC">
              <w:rPr>
                <w:sz w:val="17"/>
                <w:szCs w:val="17"/>
              </w:rPr>
              <w:t>Coste estimado</w:t>
            </w:r>
          </w:p>
        </w:tc>
      </w:tr>
      <w:tr w:rsidR="001B3767" w:rsidRPr="00327BAC" w:rsidTr="002A1413">
        <w:trPr>
          <w:trHeight w:val="227"/>
          <w:jc w:val="center"/>
        </w:trPr>
        <w:tc>
          <w:tcPr>
            <w:tcW w:w="3051" w:type="dxa"/>
            <w:vMerge/>
            <w:tcBorders>
              <w:top w:val="single" w:sz="4" w:space="0" w:color="auto"/>
              <w:left w:val="nil"/>
              <w:bottom w:val="single" w:sz="4" w:space="0" w:color="auto"/>
              <w:right w:val="nil"/>
            </w:tcBorders>
            <w:shd w:val="clear" w:color="auto" w:fill="99CCFF"/>
            <w:noWrap/>
            <w:vAlign w:val="center"/>
            <w:hideMark/>
          </w:tcPr>
          <w:p w:rsidR="001B3767" w:rsidRPr="00327BAC" w:rsidRDefault="001B3767" w:rsidP="000E2288">
            <w:pPr>
              <w:pStyle w:val="cuadroCabe"/>
              <w:jc w:val="left"/>
              <w:rPr>
                <w:sz w:val="17"/>
                <w:szCs w:val="17"/>
              </w:rPr>
            </w:pPr>
          </w:p>
        </w:tc>
        <w:tc>
          <w:tcPr>
            <w:tcW w:w="750" w:type="dxa"/>
            <w:vMerge/>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327BAC">
            <w:pPr>
              <w:pStyle w:val="cuadroCabe"/>
              <w:jc w:val="right"/>
              <w:rPr>
                <w:sz w:val="17"/>
                <w:szCs w:val="17"/>
              </w:rPr>
            </w:pPr>
          </w:p>
        </w:tc>
        <w:tc>
          <w:tcPr>
            <w:tcW w:w="791"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Coste Total</w:t>
            </w:r>
          </w:p>
        </w:tc>
        <w:tc>
          <w:tcPr>
            <w:tcW w:w="1085"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2011</w:t>
            </w:r>
          </w:p>
        </w:tc>
        <w:tc>
          <w:tcPr>
            <w:tcW w:w="1031"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2012</w:t>
            </w:r>
          </w:p>
        </w:tc>
        <w:tc>
          <w:tcPr>
            <w:tcW w:w="1049"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2013</w:t>
            </w:r>
          </w:p>
        </w:tc>
        <w:tc>
          <w:tcPr>
            <w:tcW w:w="1023"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2014</w:t>
            </w:r>
          </w:p>
        </w:tc>
      </w:tr>
      <w:tr w:rsidR="001B3767" w:rsidRPr="00327BAC" w:rsidTr="0075240F">
        <w:trPr>
          <w:trHeight w:val="227"/>
          <w:jc w:val="center"/>
        </w:trPr>
        <w:tc>
          <w:tcPr>
            <w:tcW w:w="3051" w:type="dxa"/>
            <w:tcBorders>
              <w:top w:val="single" w:sz="4" w:space="0" w:color="auto"/>
              <w:left w:val="nil"/>
              <w:bottom w:val="single" w:sz="2" w:space="0" w:color="auto"/>
              <w:right w:val="nil"/>
            </w:tcBorders>
            <w:noWrap/>
            <w:vAlign w:val="center"/>
            <w:hideMark/>
          </w:tcPr>
          <w:p w:rsidR="001B3767" w:rsidRPr="00327BAC" w:rsidRDefault="001B3767" w:rsidP="00EF16C1">
            <w:pPr>
              <w:pStyle w:val="cuatexto"/>
              <w:jc w:val="left"/>
              <w:rPr>
                <w:sz w:val="18"/>
                <w:szCs w:val="18"/>
              </w:rPr>
            </w:pPr>
            <w:r w:rsidRPr="00327BAC">
              <w:rPr>
                <w:sz w:val="18"/>
                <w:szCs w:val="18"/>
              </w:rPr>
              <w:t>1. Castejón-Villafranca</w:t>
            </w:r>
          </w:p>
        </w:tc>
        <w:tc>
          <w:tcPr>
            <w:tcW w:w="750" w:type="dxa"/>
            <w:tcBorders>
              <w:top w:val="single" w:sz="4"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14,50</w:t>
            </w:r>
          </w:p>
        </w:tc>
        <w:tc>
          <w:tcPr>
            <w:tcW w:w="791"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71,10</w:t>
            </w:r>
          </w:p>
        </w:tc>
        <w:tc>
          <w:tcPr>
            <w:tcW w:w="1085"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7,10</w:t>
            </w:r>
          </w:p>
        </w:tc>
        <w:tc>
          <w:tcPr>
            <w:tcW w:w="1031"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28,40</w:t>
            </w:r>
          </w:p>
        </w:tc>
        <w:tc>
          <w:tcPr>
            <w:tcW w:w="1049"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35,60</w:t>
            </w:r>
          </w:p>
        </w:tc>
        <w:tc>
          <w:tcPr>
            <w:tcW w:w="1023"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r>
      <w:tr w:rsidR="001B3767" w:rsidRPr="00327BAC" w:rsidTr="0075240F">
        <w:trPr>
          <w:trHeight w:val="227"/>
          <w:jc w:val="center"/>
        </w:trPr>
        <w:tc>
          <w:tcPr>
            <w:tcW w:w="3051" w:type="dxa"/>
            <w:tcBorders>
              <w:top w:val="single" w:sz="2" w:space="0" w:color="auto"/>
              <w:left w:val="nil"/>
              <w:bottom w:val="single" w:sz="2" w:space="0" w:color="auto"/>
              <w:right w:val="nil"/>
            </w:tcBorders>
            <w:noWrap/>
            <w:vAlign w:val="center"/>
            <w:hideMark/>
          </w:tcPr>
          <w:p w:rsidR="001B3767" w:rsidRPr="00327BAC" w:rsidRDefault="001B3767" w:rsidP="00EF16C1">
            <w:pPr>
              <w:pStyle w:val="cuatexto"/>
              <w:jc w:val="left"/>
              <w:rPr>
                <w:sz w:val="18"/>
                <w:szCs w:val="18"/>
              </w:rPr>
            </w:pPr>
            <w:r w:rsidRPr="00327BAC">
              <w:rPr>
                <w:sz w:val="18"/>
                <w:szCs w:val="18"/>
              </w:rPr>
              <w:t>2. Villafranca-</w:t>
            </w:r>
            <w:proofErr w:type="spellStart"/>
            <w:r w:rsidRPr="00327BAC">
              <w:rPr>
                <w:sz w:val="18"/>
                <w:szCs w:val="18"/>
              </w:rPr>
              <w:t>Olite</w:t>
            </w:r>
            <w:proofErr w:type="spellEnd"/>
          </w:p>
        </w:tc>
        <w:tc>
          <w:tcPr>
            <w:tcW w:w="750" w:type="dxa"/>
            <w:tcBorders>
              <w:top w:val="single" w:sz="2"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15,00</w:t>
            </w:r>
          </w:p>
        </w:tc>
        <w:tc>
          <w:tcPr>
            <w:tcW w:w="79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77,55</w:t>
            </w:r>
          </w:p>
        </w:tc>
        <w:tc>
          <w:tcPr>
            <w:tcW w:w="1085"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7,75</w:t>
            </w:r>
          </w:p>
        </w:tc>
        <w:tc>
          <w:tcPr>
            <w:tcW w:w="103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31,00</w:t>
            </w:r>
          </w:p>
        </w:tc>
        <w:tc>
          <w:tcPr>
            <w:tcW w:w="104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38,80</w:t>
            </w:r>
          </w:p>
        </w:tc>
        <w:tc>
          <w:tcPr>
            <w:tcW w:w="1023"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r>
      <w:tr w:rsidR="001B3767" w:rsidRPr="00327BAC" w:rsidTr="0075240F">
        <w:trPr>
          <w:trHeight w:val="227"/>
          <w:jc w:val="center"/>
        </w:trPr>
        <w:tc>
          <w:tcPr>
            <w:tcW w:w="3051" w:type="dxa"/>
            <w:tcBorders>
              <w:top w:val="single" w:sz="2" w:space="0" w:color="auto"/>
              <w:left w:val="nil"/>
              <w:bottom w:val="single" w:sz="2" w:space="0" w:color="auto"/>
              <w:right w:val="nil"/>
            </w:tcBorders>
            <w:noWrap/>
            <w:vAlign w:val="center"/>
            <w:hideMark/>
          </w:tcPr>
          <w:p w:rsidR="001B3767" w:rsidRPr="00327BAC" w:rsidRDefault="001B3767" w:rsidP="00EF16C1">
            <w:pPr>
              <w:pStyle w:val="cuatexto"/>
              <w:jc w:val="left"/>
              <w:rPr>
                <w:sz w:val="18"/>
                <w:szCs w:val="18"/>
              </w:rPr>
            </w:pPr>
            <w:r w:rsidRPr="00327BAC">
              <w:rPr>
                <w:sz w:val="18"/>
                <w:szCs w:val="18"/>
              </w:rPr>
              <w:t xml:space="preserve">3. </w:t>
            </w:r>
            <w:proofErr w:type="spellStart"/>
            <w:r w:rsidRPr="00327BAC">
              <w:rPr>
                <w:sz w:val="18"/>
                <w:szCs w:val="18"/>
              </w:rPr>
              <w:t>Olite</w:t>
            </w:r>
            <w:proofErr w:type="spellEnd"/>
            <w:r w:rsidRPr="00327BAC">
              <w:rPr>
                <w:sz w:val="18"/>
                <w:szCs w:val="18"/>
              </w:rPr>
              <w:t>-Tafalla</w:t>
            </w:r>
          </w:p>
        </w:tc>
        <w:tc>
          <w:tcPr>
            <w:tcW w:w="750" w:type="dxa"/>
            <w:tcBorders>
              <w:top w:val="single" w:sz="2"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15,00</w:t>
            </w:r>
          </w:p>
        </w:tc>
        <w:tc>
          <w:tcPr>
            <w:tcW w:w="79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76,00</w:t>
            </w:r>
          </w:p>
        </w:tc>
        <w:tc>
          <w:tcPr>
            <w:tcW w:w="1085"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7,60</w:t>
            </w:r>
          </w:p>
        </w:tc>
        <w:tc>
          <w:tcPr>
            <w:tcW w:w="103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20,40</w:t>
            </w:r>
          </w:p>
        </w:tc>
        <w:tc>
          <w:tcPr>
            <w:tcW w:w="104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22,00</w:t>
            </w:r>
          </w:p>
        </w:tc>
        <w:tc>
          <w:tcPr>
            <w:tcW w:w="1023"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26,00</w:t>
            </w:r>
          </w:p>
        </w:tc>
      </w:tr>
      <w:tr w:rsidR="001B3767" w:rsidRPr="00327BAC" w:rsidTr="0075240F">
        <w:trPr>
          <w:trHeight w:val="227"/>
          <w:jc w:val="center"/>
        </w:trPr>
        <w:tc>
          <w:tcPr>
            <w:tcW w:w="3051" w:type="dxa"/>
            <w:tcBorders>
              <w:top w:val="single" w:sz="2" w:space="0" w:color="auto"/>
              <w:left w:val="nil"/>
              <w:bottom w:val="single" w:sz="2" w:space="0" w:color="auto"/>
              <w:right w:val="nil"/>
            </w:tcBorders>
            <w:noWrap/>
            <w:vAlign w:val="center"/>
            <w:hideMark/>
          </w:tcPr>
          <w:p w:rsidR="001B3767" w:rsidRPr="00327BAC" w:rsidRDefault="001B3767" w:rsidP="00EF16C1">
            <w:pPr>
              <w:pStyle w:val="cuatexto"/>
              <w:jc w:val="left"/>
              <w:rPr>
                <w:sz w:val="18"/>
                <w:szCs w:val="18"/>
              </w:rPr>
            </w:pPr>
            <w:r w:rsidRPr="00327BAC">
              <w:rPr>
                <w:sz w:val="18"/>
                <w:szCs w:val="18"/>
              </w:rPr>
              <w:t>4. Tafalla-Campanas</w:t>
            </w:r>
          </w:p>
        </w:tc>
        <w:tc>
          <w:tcPr>
            <w:tcW w:w="750" w:type="dxa"/>
            <w:tcBorders>
              <w:top w:val="single" w:sz="2"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15,19</w:t>
            </w:r>
          </w:p>
        </w:tc>
        <w:tc>
          <w:tcPr>
            <w:tcW w:w="79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78,00</w:t>
            </w:r>
          </w:p>
        </w:tc>
        <w:tc>
          <w:tcPr>
            <w:tcW w:w="1085"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7,80</w:t>
            </w:r>
          </w:p>
        </w:tc>
        <w:tc>
          <w:tcPr>
            <w:tcW w:w="1031"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21,20</w:t>
            </w:r>
          </w:p>
        </w:tc>
        <w:tc>
          <w:tcPr>
            <w:tcW w:w="104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21,00</w:t>
            </w:r>
          </w:p>
        </w:tc>
        <w:tc>
          <w:tcPr>
            <w:tcW w:w="1023"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28,00</w:t>
            </w:r>
          </w:p>
        </w:tc>
      </w:tr>
      <w:tr w:rsidR="001B3767" w:rsidRPr="00327BAC" w:rsidTr="0075240F">
        <w:trPr>
          <w:trHeight w:val="227"/>
          <w:jc w:val="center"/>
        </w:trPr>
        <w:tc>
          <w:tcPr>
            <w:tcW w:w="3051" w:type="dxa"/>
            <w:tcBorders>
              <w:top w:val="single" w:sz="2" w:space="0" w:color="auto"/>
              <w:left w:val="nil"/>
              <w:bottom w:val="single" w:sz="4" w:space="0" w:color="auto"/>
              <w:right w:val="nil"/>
            </w:tcBorders>
            <w:noWrap/>
            <w:vAlign w:val="center"/>
            <w:hideMark/>
          </w:tcPr>
          <w:p w:rsidR="001B3767" w:rsidRPr="00327BAC" w:rsidRDefault="001B3767" w:rsidP="00EF16C1">
            <w:pPr>
              <w:pStyle w:val="cuatexto"/>
              <w:jc w:val="left"/>
              <w:rPr>
                <w:sz w:val="18"/>
                <w:szCs w:val="18"/>
              </w:rPr>
            </w:pPr>
            <w:r w:rsidRPr="00327BAC">
              <w:rPr>
                <w:sz w:val="18"/>
                <w:szCs w:val="18"/>
              </w:rPr>
              <w:t>5. Campanas-</w:t>
            </w:r>
            <w:proofErr w:type="spellStart"/>
            <w:r w:rsidRPr="00327BAC">
              <w:rPr>
                <w:sz w:val="18"/>
                <w:szCs w:val="18"/>
              </w:rPr>
              <w:t>Esquíroz</w:t>
            </w:r>
            <w:proofErr w:type="spellEnd"/>
          </w:p>
        </w:tc>
        <w:tc>
          <w:tcPr>
            <w:tcW w:w="750" w:type="dxa"/>
            <w:tcBorders>
              <w:top w:val="single" w:sz="2" w:space="0" w:color="auto"/>
              <w:left w:val="nil"/>
              <w:bottom w:val="single" w:sz="4"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10,20</w:t>
            </w:r>
          </w:p>
        </w:tc>
        <w:tc>
          <w:tcPr>
            <w:tcW w:w="791"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60,00</w:t>
            </w:r>
          </w:p>
        </w:tc>
        <w:tc>
          <w:tcPr>
            <w:tcW w:w="1085"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6,00</w:t>
            </w:r>
          </w:p>
        </w:tc>
        <w:tc>
          <w:tcPr>
            <w:tcW w:w="1031"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24,00</w:t>
            </w:r>
          </w:p>
        </w:tc>
        <w:tc>
          <w:tcPr>
            <w:tcW w:w="1049"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16,65</w:t>
            </w:r>
          </w:p>
        </w:tc>
        <w:tc>
          <w:tcPr>
            <w:tcW w:w="1023"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13,35</w:t>
            </w:r>
          </w:p>
        </w:tc>
      </w:tr>
      <w:tr w:rsidR="001B3767" w:rsidRPr="00327BAC" w:rsidTr="00A76CC3">
        <w:trPr>
          <w:trHeight w:val="227"/>
          <w:jc w:val="center"/>
        </w:trPr>
        <w:tc>
          <w:tcPr>
            <w:tcW w:w="3051" w:type="dxa"/>
            <w:tcBorders>
              <w:top w:val="single" w:sz="4" w:space="0" w:color="auto"/>
              <w:left w:val="nil"/>
              <w:bottom w:val="single" w:sz="4" w:space="0" w:color="auto"/>
              <w:right w:val="nil"/>
            </w:tcBorders>
            <w:noWrap/>
            <w:vAlign w:val="center"/>
          </w:tcPr>
          <w:p w:rsidR="001B3767" w:rsidRPr="00327BAC" w:rsidRDefault="001B3767" w:rsidP="00EF16C1">
            <w:pPr>
              <w:pStyle w:val="cuatexto"/>
              <w:jc w:val="left"/>
              <w:rPr>
                <w:b/>
                <w:sz w:val="18"/>
                <w:szCs w:val="18"/>
              </w:rPr>
            </w:pPr>
            <w:r w:rsidRPr="00327BAC">
              <w:rPr>
                <w:b/>
                <w:sz w:val="18"/>
                <w:szCs w:val="18"/>
              </w:rPr>
              <w:t>Total construcción</w:t>
            </w:r>
          </w:p>
        </w:tc>
        <w:tc>
          <w:tcPr>
            <w:tcW w:w="750" w:type="dxa"/>
            <w:tcBorders>
              <w:top w:val="single" w:sz="4" w:space="0" w:color="auto"/>
              <w:left w:val="nil"/>
              <w:bottom w:val="single" w:sz="4" w:space="0" w:color="auto"/>
              <w:right w:val="nil"/>
            </w:tcBorders>
            <w:noWrap/>
            <w:vAlign w:val="center"/>
          </w:tcPr>
          <w:p w:rsidR="001B3767" w:rsidRPr="00327BAC" w:rsidRDefault="001B3767" w:rsidP="00327BAC">
            <w:pPr>
              <w:pStyle w:val="cuatexto"/>
              <w:jc w:val="right"/>
              <w:rPr>
                <w:b/>
                <w:sz w:val="18"/>
                <w:szCs w:val="18"/>
              </w:rPr>
            </w:pPr>
            <w:r w:rsidRPr="00327BAC">
              <w:rPr>
                <w:b/>
                <w:sz w:val="18"/>
                <w:szCs w:val="18"/>
              </w:rPr>
              <w:t>69,89</w:t>
            </w:r>
          </w:p>
        </w:tc>
        <w:tc>
          <w:tcPr>
            <w:tcW w:w="791"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b/>
                <w:sz w:val="18"/>
                <w:szCs w:val="18"/>
              </w:rPr>
            </w:pPr>
            <w:r w:rsidRPr="00327BAC">
              <w:rPr>
                <w:b/>
                <w:sz w:val="18"/>
                <w:szCs w:val="18"/>
              </w:rPr>
              <w:fldChar w:fldCharType="begin"/>
            </w:r>
            <w:r w:rsidRPr="00327BAC">
              <w:rPr>
                <w:b/>
                <w:sz w:val="18"/>
                <w:szCs w:val="18"/>
              </w:rPr>
              <w:instrText xml:space="preserve"> =SUM(ABOVE) </w:instrText>
            </w:r>
            <w:r w:rsidRPr="00327BAC">
              <w:rPr>
                <w:b/>
                <w:sz w:val="18"/>
                <w:szCs w:val="18"/>
              </w:rPr>
              <w:fldChar w:fldCharType="separate"/>
            </w:r>
            <w:r w:rsidRPr="00327BAC">
              <w:rPr>
                <w:b/>
                <w:sz w:val="18"/>
                <w:szCs w:val="18"/>
              </w:rPr>
              <w:t>362,65</w:t>
            </w:r>
            <w:r w:rsidRPr="00327BAC">
              <w:rPr>
                <w:b/>
                <w:sz w:val="18"/>
                <w:szCs w:val="18"/>
              </w:rPr>
              <w:fldChar w:fldCharType="end"/>
            </w:r>
          </w:p>
        </w:tc>
        <w:tc>
          <w:tcPr>
            <w:tcW w:w="1085"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b/>
                <w:sz w:val="18"/>
                <w:szCs w:val="18"/>
              </w:rPr>
            </w:pPr>
            <w:r w:rsidRPr="00327BAC">
              <w:rPr>
                <w:b/>
                <w:sz w:val="18"/>
                <w:szCs w:val="18"/>
              </w:rPr>
              <w:fldChar w:fldCharType="begin"/>
            </w:r>
            <w:r w:rsidRPr="00327BAC">
              <w:rPr>
                <w:b/>
                <w:sz w:val="18"/>
                <w:szCs w:val="18"/>
              </w:rPr>
              <w:instrText xml:space="preserve"> =SUM(ABOVE) </w:instrText>
            </w:r>
            <w:r w:rsidRPr="00327BAC">
              <w:rPr>
                <w:b/>
                <w:sz w:val="18"/>
                <w:szCs w:val="18"/>
              </w:rPr>
              <w:fldChar w:fldCharType="separate"/>
            </w:r>
            <w:r w:rsidRPr="00327BAC">
              <w:rPr>
                <w:b/>
                <w:sz w:val="18"/>
                <w:szCs w:val="18"/>
              </w:rPr>
              <w:t>36,25</w:t>
            </w:r>
            <w:r w:rsidRPr="00327BAC">
              <w:rPr>
                <w:b/>
                <w:sz w:val="18"/>
                <w:szCs w:val="18"/>
              </w:rPr>
              <w:fldChar w:fldCharType="end"/>
            </w:r>
          </w:p>
        </w:tc>
        <w:tc>
          <w:tcPr>
            <w:tcW w:w="1031"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b/>
                <w:sz w:val="18"/>
                <w:szCs w:val="18"/>
              </w:rPr>
            </w:pPr>
            <w:r w:rsidRPr="00327BAC">
              <w:rPr>
                <w:b/>
                <w:sz w:val="18"/>
                <w:szCs w:val="18"/>
              </w:rPr>
              <w:fldChar w:fldCharType="begin"/>
            </w:r>
            <w:r w:rsidRPr="00327BAC">
              <w:rPr>
                <w:b/>
                <w:sz w:val="18"/>
                <w:szCs w:val="18"/>
              </w:rPr>
              <w:instrText xml:space="preserve"> =SUM(ABOVE) </w:instrText>
            </w:r>
            <w:r w:rsidRPr="00327BAC">
              <w:rPr>
                <w:b/>
                <w:sz w:val="18"/>
                <w:szCs w:val="18"/>
              </w:rPr>
              <w:fldChar w:fldCharType="separate"/>
            </w:r>
            <w:r w:rsidRPr="00327BAC">
              <w:rPr>
                <w:b/>
                <w:sz w:val="18"/>
                <w:szCs w:val="18"/>
              </w:rPr>
              <w:t>125</w:t>
            </w:r>
            <w:r w:rsidRPr="00327BAC">
              <w:rPr>
                <w:b/>
                <w:sz w:val="18"/>
                <w:szCs w:val="18"/>
              </w:rPr>
              <w:fldChar w:fldCharType="end"/>
            </w:r>
          </w:p>
        </w:tc>
        <w:tc>
          <w:tcPr>
            <w:tcW w:w="104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b/>
                <w:sz w:val="18"/>
                <w:szCs w:val="18"/>
              </w:rPr>
            </w:pPr>
            <w:r w:rsidRPr="00327BAC">
              <w:rPr>
                <w:b/>
                <w:sz w:val="18"/>
                <w:szCs w:val="18"/>
              </w:rPr>
              <w:fldChar w:fldCharType="begin"/>
            </w:r>
            <w:r w:rsidRPr="00327BAC">
              <w:rPr>
                <w:b/>
                <w:sz w:val="18"/>
                <w:szCs w:val="18"/>
              </w:rPr>
              <w:instrText xml:space="preserve"> =SUM(ABOVE) </w:instrText>
            </w:r>
            <w:r w:rsidRPr="00327BAC">
              <w:rPr>
                <w:b/>
                <w:sz w:val="18"/>
                <w:szCs w:val="18"/>
              </w:rPr>
              <w:fldChar w:fldCharType="separate"/>
            </w:r>
            <w:r w:rsidRPr="00327BAC">
              <w:rPr>
                <w:b/>
                <w:sz w:val="18"/>
                <w:szCs w:val="18"/>
              </w:rPr>
              <w:t>134,05</w:t>
            </w:r>
            <w:r w:rsidRPr="00327BAC">
              <w:rPr>
                <w:b/>
                <w:sz w:val="18"/>
                <w:szCs w:val="18"/>
              </w:rPr>
              <w:fldChar w:fldCharType="end"/>
            </w:r>
          </w:p>
        </w:tc>
        <w:tc>
          <w:tcPr>
            <w:tcW w:w="1023"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b/>
                <w:sz w:val="18"/>
                <w:szCs w:val="18"/>
              </w:rPr>
            </w:pPr>
            <w:r w:rsidRPr="00327BAC">
              <w:rPr>
                <w:b/>
                <w:sz w:val="18"/>
                <w:szCs w:val="18"/>
              </w:rPr>
              <w:fldChar w:fldCharType="begin"/>
            </w:r>
            <w:r w:rsidRPr="00327BAC">
              <w:rPr>
                <w:b/>
                <w:sz w:val="18"/>
                <w:szCs w:val="18"/>
              </w:rPr>
              <w:instrText xml:space="preserve"> =SUM(ABOVE) </w:instrText>
            </w:r>
            <w:r w:rsidRPr="00327BAC">
              <w:rPr>
                <w:b/>
                <w:sz w:val="18"/>
                <w:szCs w:val="18"/>
              </w:rPr>
              <w:fldChar w:fldCharType="separate"/>
            </w:r>
            <w:r w:rsidRPr="00327BAC">
              <w:rPr>
                <w:b/>
                <w:sz w:val="18"/>
                <w:szCs w:val="18"/>
              </w:rPr>
              <w:t>67,35</w:t>
            </w:r>
            <w:r w:rsidRPr="00327BAC">
              <w:rPr>
                <w:b/>
                <w:sz w:val="18"/>
                <w:szCs w:val="18"/>
              </w:rPr>
              <w:fldChar w:fldCharType="end"/>
            </w:r>
          </w:p>
        </w:tc>
      </w:tr>
      <w:tr w:rsidR="001B3767" w:rsidRPr="00327BAC" w:rsidTr="0075240F">
        <w:trPr>
          <w:trHeight w:val="227"/>
          <w:jc w:val="center"/>
        </w:trPr>
        <w:tc>
          <w:tcPr>
            <w:tcW w:w="3051" w:type="dxa"/>
            <w:tcBorders>
              <w:top w:val="single" w:sz="4" w:space="0" w:color="auto"/>
              <w:left w:val="nil"/>
              <w:bottom w:val="single" w:sz="2" w:space="0" w:color="auto"/>
              <w:right w:val="nil"/>
            </w:tcBorders>
            <w:noWrap/>
            <w:vAlign w:val="center"/>
          </w:tcPr>
          <w:p w:rsidR="001B3767" w:rsidRPr="00327BAC" w:rsidRDefault="001B3767" w:rsidP="00EF16C1">
            <w:pPr>
              <w:pStyle w:val="cuatexto"/>
              <w:jc w:val="left"/>
              <w:rPr>
                <w:sz w:val="18"/>
                <w:szCs w:val="18"/>
              </w:rPr>
            </w:pPr>
            <w:r w:rsidRPr="00327BAC">
              <w:rPr>
                <w:sz w:val="18"/>
                <w:szCs w:val="18"/>
              </w:rPr>
              <w:t>Expropiaciones</w:t>
            </w:r>
          </w:p>
        </w:tc>
        <w:tc>
          <w:tcPr>
            <w:tcW w:w="750" w:type="dxa"/>
            <w:tcBorders>
              <w:top w:val="single" w:sz="4"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p>
        </w:tc>
        <w:tc>
          <w:tcPr>
            <w:tcW w:w="791"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10,00</w:t>
            </w:r>
          </w:p>
        </w:tc>
        <w:tc>
          <w:tcPr>
            <w:tcW w:w="1085"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5,00</w:t>
            </w:r>
          </w:p>
        </w:tc>
        <w:tc>
          <w:tcPr>
            <w:tcW w:w="1031"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5,00</w:t>
            </w:r>
          </w:p>
        </w:tc>
        <w:tc>
          <w:tcPr>
            <w:tcW w:w="1049"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c>
          <w:tcPr>
            <w:tcW w:w="1023"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r>
      <w:tr w:rsidR="001B3767" w:rsidRPr="00327BAC" w:rsidTr="0075240F">
        <w:trPr>
          <w:trHeight w:val="227"/>
          <w:jc w:val="center"/>
        </w:trPr>
        <w:tc>
          <w:tcPr>
            <w:tcW w:w="3051" w:type="dxa"/>
            <w:tcBorders>
              <w:top w:val="single" w:sz="2" w:space="0" w:color="auto"/>
              <w:left w:val="nil"/>
              <w:bottom w:val="single" w:sz="4" w:space="0" w:color="auto"/>
              <w:right w:val="nil"/>
            </w:tcBorders>
            <w:noWrap/>
            <w:vAlign w:val="center"/>
          </w:tcPr>
          <w:p w:rsidR="001B3767" w:rsidRPr="00327BAC" w:rsidRDefault="001B3767" w:rsidP="00EF16C1">
            <w:pPr>
              <w:pStyle w:val="cuatexto"/>
              <w:jc w:val="left"/>
              <w:rPr>
                <w:sz w:val="18"/>
                <w:szCs w:val="18"/>
              </w:rPr>
            </w:pPr>
            <w:proofErr w:type="spellStart"/>
            <w:r w:rsidRPr="00327BAC">
              <w:rPr>
                <w:sz w:val="18"/>
                <w:szCs w:val="18"/>
              </w:rPr>
              <w:t>Redac.pyto</w:t>
            </w:r>
            <w:proofErr w:type="spellEnd"/>
            <w:r w:rsidRPr="00327BAC">
              <w:rPr>
                <w:sz w:val="18"/>
                <w:szCs w:val="18"/>
              </w:rPr>
              <w:t xml:space="preserve">, </w:t>
            </w:r>
            <w:proofErr w:type="spellStart"/>
            <w:r w:rsidRPr="00327BAC">
              <w:rPr>
                <w:sz w:val="18"/>
                <w:szCs w:val="18"/>
              </w:rPr>
              <w:t>dción</w:t>
            </w:r>
            <w:proofErr w:type="spellEnd"/>
            <w:r w:rsidRPr="00327BAC">
              <w:rPr>
                <w:sz w:val="18"/>
                <w:szCs w:val="18"/>
              </w:rPr>
              <w:t xml:space="preserve"> obra</w:t>
            </w:r>
          </w:p>
        </w:tc>
        <w:tc>
          <w:tcPr>
            <w:tcW w:w="750" w:type="dxa"/>
            <w:tcBorders>
              <w:top w:val="single" w:sz="2" w:space="0" w:color="auto"/>
              <w:left w:val="nil"/>
              <w:bottom w:val="single" w:sz="4" w:space="0" w:color="auto"/>
              <w:right w:val="nil"/>
            </w:tcBorders>
            <w:noWrap/>
            <w:vAlign w:val="center"/>
          </w:tcPr>
          <w:p w:rsidR="001B3767" w:rsidRPr="00327BAC" w:rsidRDefault="001B3767" w:rsidP="00327BAC">
            <w:pPr>
              <w:pStyle w:val="cuatexto"/>
              <w:jc w:val="right"/>
              <w:rPr>
                <w:sz w:val="18"/>
                <w:szCs w:val="18"/>
              </w:rPr>
            </w:pPr>
          </w:p>
        </w:tc>
        <w:tc>
          <w:tcPr>
            <w:tcW w:w="791"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15,00</w:t>
            </w:r>
          </w:p>
        </w:tc>
        <w:tc>
          <w:tcPr>
            <w:tcW w:w="1085"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2,00</w:t>
            </w:r>
          </w:p>
        </w:tc>
        <w:tc>
          <w:tcPr>
            <w:tcW w:w="1031"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4,00</w:t>
            </w:r>
          </w:p>
        </w:tc>
        <w:tc>
          <w:tcPr>
            <w:tcW w:w="1049"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5,00</w:t>
            </w:r>
          </w:p>
        </w:tc>
        <w:tc>
          <w:tcPr>
            <w:tcW w:w="1023"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4,00</w:t>
            </w:r>
          </w:p>
        </w:tc>
      </w:tr>
      <w:tr w:rsidR="001B3767" w:rsidRPr="00327BAC" w:rsidTr="002A1413">
        <w:trPr>
          <w:trHeight w:val="284"/>
          <w:jc w:val="center"/>
        </w:trPr>
        <w:tc>
          <w:tcPr>
            <w:tcW w:w="3051" w:type="dxa"/>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EF16C1">
            <w:pPr>
              <w:pStyle w:val="cuadroCabe"/>
              <w:jc w:val="left"/>
              <w:rPr>
                <w:sz w:val="17"/>
                <w:szCs w:val="17"/>
              </w:rPr>
            </w:pPr>
            <w:r w:rsidRPr="00327BAC">
              <w:rPr>
                <w:sz w:val="17"/>
                <w:szCs w:val="17"/>
              </w:rPr>
              <w:t>Total coste</w:t>
            </w:r>
          </w:p>
        </w:tc>
        <w:tc>
          <w:tcPr>
            <w:tcW w:w="750" w:type="dxa"/>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327BAC">
            <w:pPr>
              <w:pStyle w:val="cuadroCabe"/>
              <w:jc w:val="right"/>
              <w:rPr>
                <w:sz w:val="17"/>
                <w:szCs w:val="17"/>
              </w:rPr>
            </w:pPr>
          </w:p>
        </w:tc>
        <w:tc>
          <w:tcPr>
            <w:tcW w:w="791"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387,65</w:t>
            </w:r>
          </w:p>
        </w:tc>
        <w:tc>
          <w:tcPr>
            <w:tcW w:w="1085"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fldChar w:fldCharType="begin"/>
            </w:r>
            <w:r w:rsidRPr="00327BAC">
              <w:rPr>
                <w:sz w:val="17"/>
                <w:szCs w:val="17"/>
              </w:rPr>
              <w:instrText xml:space="preserve"> =SUM(ABOVE) </w:instrText>
            </w:r>
            <w:r w:rsidRPr="00327BAC">
              <w:rPr>
                <w:sz w:val="17"/>
                <w:szCs w:val="17"/>
              </w:rPr>
              <w:fldChar w:fldCharType="separate"/>
            </w:r>
            <w:r w:rsidRPr="00327BAC">
              <w:rPr>
                <w:sz w:val="17"/>
                <w:szCs w:val="17"/>
              </w:rPr>
              <w:t>43,25</w:t>
            </w:r>
            <w:r w:rsidRPr="00327BAC">
              <w:rPr>
                <w:sz w:val="17"/>
                <w:szCs w:val="17"/>
              </w:rPr>
              <w:fldChar w:fldCharType="end"/>
            </w:r>
          </w:p>
        </w:tc>
        <w:tc>
          <w:tcPr>
            <w:tcW w:w="1031"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fldChar w:fldCharType="begin"/>
            </w:r>
            <w:r w:rsidRPr="00327BAC">
              <w:rPr>
                <w:sz w:val="17"/>
                <w:szCs w:val="17"/>
              </w:rPr>
              <w:instrText xml:space="preserve"> =SUM(ABOVE) </w:instrText>
            </w:r>
            <w:r w:rsidRPr="00327BAC">
              <w:rPr>
                <w:sz w:val="17"/>
                <w:szCs w:val="17"/>
              </w:rPr>
              <w:fldChar w:fldCharType="separate"/>
            </w:r>
            <w:r w:rsidRPr="00327BAC">
              <w:rPr>
                <w:sz w:val="17"/>
                <w:szCs w:val="17"/>
              </w:rPr>
              <w:t>134</w:t>
            </w:r>
            <w:r w:rsidRPr="00327BAC">
              <w:rPr>
                <w:sz w:val="17"/>
                <w:szCs w:val="17"/>
              </w:rPr>
              <w:fldChar w:fldCharType="end"/>
            </w:r>
            <w:r w:rsidRPr="00327BAC">
              <w:rPr>
                <w:sz w:val="17"/>
                <w:szCs w:val="17"/>
              </w:rPr>
              <w:t>,00</w:t>
            </w:r>
          </w:p>
        </w:tc>
        <w:tc>
          <w:tcPr>
            <w:tcW w:w="1049"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139,05</w:t>
            </w:r>
          </w:p>
        </w:tc>
        <w:tc>
          <w:tcPr>
            <w:tcW w:w="1023"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droCabe"/>
              <w:jc w:val="right"/>
              <w:rPr>
                <w:sz w:val="17"/>
                <w:szCs w:val="17"/>
              </w:rPr>
            </w:pPr>
            <w:r w:rsidRPr="00327BAC">
              <w:rPr>
                <w:sz w:val="17"/>
                <w:szCs w:val="17"/>
              </w:rPr>
              <w:t>71,35</w:t>
            </w:r>
          </w:p>
        </w:tc>
      </w:tr>
    </w:tbl>
    <w:p w:rsidR="001B3767" w:rsidRDefault="001B3767" w:rsidP="00184D8F">
      <w:pPr>
        <w:pStyle w:val="texto"/>
        <w:spacing w:before="280" w:after="280"/>
        <w:rPr>
          <w:lang w:val="es-ES"/>
        </w:rPr>
      </w:pPr>
      <w:bookmarkStart w:id="73" w:name="tm_385745294"/>
      <w:bookmarkEnd w:id="73"/>
      <w:r w:rsidRPr="006D43A7">
        <w:rPr>
          <w:lang w:val="es-ES"/>
        </w:rPr>
        <w:lastRenderedPageBreak/>
        <w:t xml:space="preserve">El Estado, a través de ADIF, </w:t>
      </w:r>
      <w:r w:rsidR="00B749EB">
        <w:rPr>
          <w:lang w:val="es-ES"/>
        </w:rPr>
        <w:t>debe reintegrar</w:t>
      </w:r>
      <w:r w:rsidRPr="006D43A7">
        <w:rPr>
          <w:lang w:val="es-ES"/>
        </w:rPr>
        <w:t xml:space="preserve"> el coste de las obras entre los ejer</w:t>
      </w:r>
      <w:r w:rsidR="007E783B">
        <w:rPr>
          <w:lang w:val="es-ES"/>
        </w:rPr>
        <w:t>cicios 2013 a 2017 con el siguiente calendario:</w:t>
      </w:r>
    </w:p>
    <w:tbl>
      <w:tblPr>
        <w:tblW w:w="881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13"/>
        <w:gridCol w:w="1118"/>
        <w:gridCol w:w="1011"/>
        <w:gridCol w:w="925"/>
        <w:gridCol w:w="1066"/>
        <w:gridCol w:w="1110"/>
        <w:gridCol w:w="1171"/>
      </w:tblGrid>
      <w:tr w:rsidR="007E783B" w:rsidRPr="00327BAC" w:rsidTr="00184D8F">
        <w:trPr>
          <w:trHeight w:val="340"/>
          <w:jc w:val="center"/>
        </w:trPr>
        <w:tc>
          <w:tcPr>
            <w:tcW w:w="2413" w:type="dxa"/>
            <w:tcBorders>
              <w:top w:val="single" w:sz="4" w:space="0" w:color="auto"/>
              <w:left w:val="nil"/>
              <w:bottom w:val="single" w:sz="4" w:space="0" w:color="auto"/>
              <w:right w:val="nil"/>
            </w:tcBorders>
            <w:shd w:val="clear" w:color="auto" w:fill="8DB3E2" w:themeFill="text2" w:themeFillTint="66"/>
            <w:noWrap/>
            <w:vAlign w:val="center"/>
          </w:tcPr>
          <w:p w:rsidR="007E783B" w:rsidRPr="00327BAC" w:rsidRDefault="007E783B" w:rsidP="00533B0D">
            <w:pPr>
              <w:pStyle w:val="cuadroCabe"/>
              <w:jc w:val="left"/>
              <w:rPr>
                <w:sz w:val="17"/>
                <w:szCs w:val="17"/>
              </w:rPr>
            </w:pPr>
            <w:r>
              <w:rPr>
                <w:sz w:val="17"/>
                <w:szCs w:val="17"/>
              </w:rPr>
              <w:t>Reintegros</w:t>
            </w:r>
          </w:p>
        </w:tc>
        <w:tc>
          <w:tcPr>
            <w:tcW w:w="1118" w:type="dxa"/>
            <w:tcBorders>
              <w:top w:val="single" w:sz="4" w:space="0" w:color="auto"/>
              <w:left w:val="nil"/>
              <w:bottom w:val="single" w:sz="4" w:space="0" w:color="auto"/>
              <w:right w:val="nil"/>
            </w:tcBorders>
            <w:shd w:val="clear" w:color="auto" w:fill="8DB3E2" w:themeFill="text2" w:themeFillTint="66"/>
            <w:vAlign w:val="center"/>
          </w:tcPr>
          <w:p w:rsidR="007E783B" w:rsidRPr="00327BAC" w:rsidRDefault="007E783B" w:rsidP="002E470E">
            <w:pPr>
              <w:pStyle w:val="cuadroCabe"/>
              <w:jc w:val="right"/>
              <w:rPr>
                <w:sz w:val="17"/>
                <w:szCs w:val="17"/>
              </w:rPr>
            </w:pPr>
            <w:r>
              <w:rPr>
                <w:sz w:val="17"/>
                <w:szCs w:val="17"/>
              </w:rPr>
              <w:t>2013</w:t>
            </w:r>
          </w:p>
        </w:tc>
        <w:tc>
          <w:tcPr>
            <w:tcW w:w="1011" w:type="dxa"/>
            <w:tcBorders>
              <w:top w:val="single" w:sz="4" w:space="0" w:color="auto"/>
              <w:left w:val="nil"/>
              <w:bottom w:val="single" w:sz="4" w:space="0" w:color="auto"/>
              <w:right w:val="nil"/>
            </w:tcBorders>
            <w:shd w:val="clear" w:color="auto" w:fill="8DB3E2" w:themeFill="text2" w:themeFillTint="66"/>
            <w:vAlign w:val="center"/>
          </w:tcPr>
          <w:p w:rsidR="007E783B" w:rsidRPr="00327BAC" w:rsidRDefault="007E783B" w:rsidP="007E783B">
            <w:pPr>
              <w:pStyle w:val="cuadroCabe"/>
              <w:jc w:val="right"/>
              <w:rPr>
                <w:sz w:val="17"/>
                <w:szCs w:val="17"/>
              </w:rPr>
            </w:pPr>
            <w:r>
              <w:rPr>
                <w:sz w:val="17"/>
                <w:szCs w:val="17"/>
              </w:rPr>
              <w:t>2014</w:t>
            </w:r>
          </w:p>
        </w:tc>
        <w:tc>
          <w:tcPr>
            <w:tcW w:w="925" w:type="dxa"/>
            <w:tcBorders>
              <w:top w:val="single" w:sz="4" w:space="0" w:color="auto"/>
              <w:left w:val="nil"/>
              <w:bottom w:val="single" w:sz="4" w:space="0" w:color="auto"/>
              <w:right w:val="nil"/>
            </w:tcBorders>
            <w:shd w:val="clear" w:color="auto" w:fill="8DB3E2" w:themeFill="text2" w:themeFillTint="66"/>
            <w:noWrap/>
            <w:vAlign w:val="center"/>
          </w:tcPr>
          <w:p w:rsidR="007E783B" w:rsidRPr="00327BAC" w:rsidRDefault="007E783B" w:rsidP="002E470E">
            <w:pPr>
              <w:pStyle w:val="cuadroCabe"/>
              <w:jc w:val="right"/>
              <w:rPr>
                <w:sz w:val="17"/>
                <w:szCs w:val="17"/>
              </w:rPr>
            </w:pPr>
            <w:r>
              <w:rPr>
                <w:sz w:val="17"/>
                <w:szCs w:val="17"/>
              </w:rPr>
              <w:t>2015</w:t>
            </w:r>
          </w:p>
        </w:tc>
        <w:tc>
          <w:tcPr>
            <w:tcW w:w="1066" w:type="dxa"/>
            <w:tcBorders>
              <w:top w:val="single" w:sz="4" w:space="0" w:color="auto"/>
              <w:left w:val="nil"/>
              <w:bottom w:val="single" w:sz="4" w:space="0" w:color="auto"/>
              <w:right w:val="nil"/>
            </w:tcBorders>
            <w:shd w:val="clear" w:color="auto" w:fill="8DB3E2" w:themeFill="text2" w:themeFillTint="66"/>
            <w:vAlign w:val="center"/>
          </w:tcPr>
          <w:p w:rsidR="007E783B" w:rsidRPr="00327BAC" w:rsidRDefault="007E783B" w:rsidP="002E470E">
            <w:pPr>
              <w:pStyle w:val="cuadroCabe"/>
              <w:jc w:val="right"/>
              <w:rPr>
                <w:sz w:val="17"/>
                <w:szCs w:val="17"/>
              </w:rPr>
            </w:pPr>
            <w:r>
              <w:rPr>
                <w:sz w:val="17"/>
                <w:szCs w:val="17"/>
              </w:rPr>
              <w:t>2016</w:t>
            </w:r>
          </w:p>
        </w:tc>
        <w:tc>
          <w:tcPr>
            <w:tcW w:w="1110" w:type="dxa"/>
            <w:tcBorders>
              <w:top w:val="single" w:sz="4" w:space="0" w:color="auto"/>
              <w:left w:val="nil"/>
              <w:bottom w:val="single" w:sz="4" w:space="0" w:color="auto"/>
              <w:right w:val="nil"/>
            </w:tcBorders>
            <w:shd w:val="clear" w:color="auto" w:fill="8DB3E2" w:themeFill="text2" w:themeFillTint="66"/>
            <w:vAlign w:val="center"/>
          </w:tcPr>
          <w:p w:rsidR="007E783B" w:rsidRPr="00327BAC" w:rsidRDefault="007E783B" w:rsidP="002E470E">
            <w:pPr>
              <w:pStyle w:val="cuadroCabe"/>
              <w:jc w:val="right"/>
              <w:rPr>
                <w:sz w:val="17"/>
                <w:szCs w:val="17"/>
              </w:rPr>
            </w:pPr>
            <w:r>
              <w:rPr>
                <w:sz w:val="17"/>
                <w:szCs w:val="17"/>
              </w:rPr>
              <w:t>2017</w:t>
            </w:r>
          </w:p>
        </w:tc>
        <w:tc>
          <w:tcPr>
            <w:tcW w:w="1171" w:type="dxa"/>
            <w:tcBorders>
              <w:top w:val="single" w:sz="4" w:space="0" w:color="auto"/>
              <w:left w:val="nil"/>
              <w:bottom w:val="single" w:sz="4" w:space="0" w:color="auto"/>
              <w:right w:val="nil"/>
            </w:tcBorders>
            <w:shd w:val="clear" w:color="auto" w:fill="8DB3E2" w:themeFill="text2" w:themeFillTint="66"/>
            <w:vAlign w:val="center"/>
          </w:tcPr>
          <w:p w:rsidR="007E783B" w:rsidRPr="00327BAC" w:rsidRDefault="007E783B" w:rsidP="002E470E">
            <w:pPr>
              <w:pStyle w:val="cuadroCabe"/>
              <w:jc w:val="right"/>
              <w:rPr>
                <w:sz w:val="17"/>
                <w:szCs w:val="17"/>
              </w:rPr>
            </w:pPr>
            <w:r>
              <w:rPr>
                <w:sz w:val="17"/>
                <w:szCs w:val="17"/>
              </w:rPr>
              <w:t>Total</w:t>
            </w:r>
          </w:p>
        </w:tc>
      </w:tr>
      <w:tr w:rsidR="007E783B" w:rsidRPr="00327BAC" w:rsidTr="00184D8F">
        <w:trPr>
          <w:trHeight w:val="284"/>
          <w:jc w:val="center"/>
        </w:trPr>
        <w:tc>
          <w:tcPr>
            <w:tcW w:w="2413" w:type="dxa"/>
            <w:tcBorders>
              <w:top w:val="single" w:sz="4" w:space="0" w:color="auto"/>
              <w:left w:val="nil"/>
              <w:bottom w:val="single" w:sz="4" w:space="0" w:color="auto"/>
              <w:right w:val="nil"/>
            </w:tcBorders>
            <w:noWrap/>
            <w:vAlign w:val="center"/>
          </w:tcPr>
          <w:p w:rsidR="007E783B" w:rsidRPr="00327BAC" w:rsidRDefault="003C1F07" w:rsidP="002E470E">
            <w:pPr>
              <w:pStyle w:val="cuatexto"/>
              <w:jc w:val="left"/>
              <w:rPr>
                <w:sz w:val="18"/>
                <w:szCs w:val="18"/>
              </w:rPr>
            </w:pPr>
            <w:r>
              <w:rPr>
                <w:sz w:val="18"/>
                <w:szCs w:val="18"/>
              </w:rPr>
              <w:t>Importe en millones</w:t>
            </w:r>
          </w:p>
        </w:tc>
        <w:tc>
          <w:tcPr>
            <w:tcW w:w="1118" w:type="dxa"/>
            <w:tcBorders>
              <w:top w:val="single" w:sz="4" w:space="0" w:color="auto"/>
              <w:left w:val="nil"/>
              <w:bottom w:val="single" w:sz="4" w:space="0" w:color="auto"/>
              <w:right w:val="nil"/>
            </w:tcBorders>
            <w:vAlign w:val="center"/>
          </w:tcPr>
          <w:p w:rsidR="007E783B" w:rsidRPr="00327BAC" w:rsidRDefault="00F1779A" w:rsidP="002E470E">
            <w:pPr>
              <w:pStyle w:val="cuatexto"/>
              <w:jc w:val="right"/>
              <w:rPr>
                <w:sz w:val="18"/>
                <w:szCs w:val="18"/>
              </w:rPr>
            </w:pPr>
            <w:r>
              <w:rPr>
                <w:sz w:val="18"/>
                <w:szCs w:val="18"/>
              </w:rPr>
              <w:t>10</w:t>
            </w:r>
          </w:p>
        </w:tc>
        <w:tc>
          <w:tcPr>
            <w:tcW w:w="1011" w:type="dxa"/>
            <w:tcBorders>
              <w:top w:val="single" w:sz="4" w:space="0" w:color="auto"/>
              <w:left w:val="nil"/>
              <w:bottom w:val="single" w:sz="4" w:space="0" w:color="auto"/>
              <w:right w:val="nil"/>
            </w:tcBorders>
            <w:vAlign w:val="center"/>
          </w:tcPr>
          <w:p w:rsidR="007E783B" w:rsidRPr="00327BAC" w:rsidRDefault="00F1779A" w:rsidP="002E470E">
            <w:pPr>
              <w:pStyle w:val="cuatexto"/>
              <w:jc w:val="right"/>
              <w:rPr>
                <w:sz w:val="18"/>
                <w:szCs w:val="18"/>
              </w:rPr>
            </w:pPr>
            <w:r>
              <w:rPr>
                <w:sz w:val="18"/>
                <w:szCs w:val="18"/>
              </w:rPr>
              <w:t>25,65</w:t>
            </w:r>
          </w:p>
        </w:tc>
        <w:tc>
          <w:tcPr>
            <w:tcW w:w="925" w:type="dxa"/>
            <w:tcBorders>
              <w:top w:val="single" w:sz="4" w:space="0" w:color="auto"/>
              <w:left w:val="nil"/>
              <w:bottom w:val="single" w:sz="4" w:space="0" w:color="auto"/>
              <w:right w:val="nil"/>
            </w:tcBorders>
            <w:noWrap/>
            <w:vAlign w:val="center"/>
          </w:tcPr>
          <w:p w:rsidR="007E783B" w:rsidRPr="00327BAC" w:rsidRDefault="00F1779A" w:rsidP="002E470E">
            <w:pPr>
              <w:pStyle w:val="cuatexto"/>
              <w:jc w:val="right"/>
              <w:rPr>
                <w:sz w:val="18"/>
                <w:szCs w:val="18"/>
              </w:rPr>
            </w:pPr>
            <w:r>
              <w:rPr>
                <w:sz w:val="18"/>
                <w:szCs w:val="18"/>
              </w:rPr>
              <w:t>30</w:t>
            </w:r>
          </w:p>
        </w:tc>
        <w:tc>
          <w:tcPr>
            <w:tcW w:w="1066" w:type="dxa"/>
            <w:tcBorders>
              <w:top w:val="single" w:sz="4" w:space="0" w:color="auto"/>
              <w:left w:val="nil"/>
              <w:bottom w:val="single" w:sz="4" w:space="0" w:color="auto"/>
              <w:right w:val="nil"/>
            </w:tcBorders>
            <w:vAlign w:val="center"/>
          </w:tcPr>
          <w:p w:rsidR="007E783B" w:rsidRPr="00327BAC" w:rsidRDefault="00F1779A" w:rsidP="002E470E">
            <w:pPr>
              <w:pStyle w:val="cuatexto"/>
              <w:jc w:val="right"/>
              <w:rPr>
                <w:sz w:val="18"/>
                <w:szCs w:val="18"/>
              </w:rPr>
            </w:pPr>
            <w:r>
              <w:rPr>
                <w:sz w:val="18"/>
                <w:szCs w:val="18"/>
              </w:rPr>
              <w:t>170</w:t>
            </w:r>
          </w:p>
        </w:tc>
        <w:tc>
          <w:tcPr>
            <w:tcW w:w="1110" w:type="dxa"/>
            <w:tcBorders>
              <w:top w:val="single" w:sz="4" w:space="0" w:color="auto"/>
              <w:left w:val="nil"/>
              <w:bottom w:val="single" w:sz="4" w:space="0" w:color="auto"/>
              <w:right w:val="nil"/>
            </w:tcBorders>
            <w:vAlign w:val="center"/>
          </w:tcPr>
          <w:p w:rsidR="007E783B" w:rsidRPr="00327BAC" w:rsidRDefault="00F1779A" w:rsidP="002E470E">
            <w:pPr>
              <w:pStyle w:val="cuatexto"/>
              <w:jc w:val="right"/>
              <w:rPr>
                <w:sz w:val="18"/>
                <w:szCs w:val="18"/>
              </w:rPr>
            </w:pPr>
            <w:r>
              <w:rPr>
                <w:sz w:val="18"/>
                <w:szCs w:val="18"/>
              </w:rPr>
              <w:t>152</w:t>
            </w:r>
          </w:p>
        </w:tc>
        <w:tc>
          <w:tcPr>
            <w:tcW w:w="1171" w:type="dxa"/>
            <w:tcBorders>
              <w:top w:val="single" w:sz="4" w:space="0" w:color="auto"/>
              <w:left w:val="nil"/>
              <w:bottom w:val="single" w:sz="4" w:space="0" w:color="auto"/>
              <w:right w:val="nil"/>
            </w:tcBorders>
            <w:vAlign w:val="center"/>
          </w:tcPr>
          <w:p w:rsidR="007E783B" w:rsidRPr="00327BAC" w:rsidRDefault="00F1779A" w:rsidP="002E470E">
            <w:pPr>
              <w:pStyle w:val="cuatexto"/>
              <w:jc w:val="right"/>
              <w:rPr>
                <w:sz w:val="18"/>
                <w:szCs w:val="18"/>
              </w:rPr>
            </w:pPr>
            <w:r>
              <w:rPr>
                <w:sz w:val="18"/>
                <w:szCs w:val="18"/>
              </w:rPr>
              <w:t>387,65</w:t>
            </w:r>
          </w:p>
        </w:tc>
      </w:tr>
    </w:tbl>
    <w:p w:rsidR="001B3767" w:rsidRPr="006D43A7" w:rsidRDefault="001B3767" w:rsidP="00F733CB">
      <w:pPr>
        <w:pStyle w:val="texto"/>
        <w:spacing w:before="320" w:after="280"/>
        <w:rPr>
          <w:lang w:val="es-ES"/>
        </w:rPr>
      </w:pPr>
      <w:r w:rsidRPr="006D43A7">
        <w:rPr>
          <w:lang w:val="es-ES"/>
        </w:rPr>
        <w:t>A 31 de diciembre de 2014, la inversión realizada por la Administración F</w:t>
      </w:r>
      <w:r w:rsidRPr="006D43A7">
        <w:rPr>
          <w:lang w:val="es-ES"/>
        </w:rPr>
        <w:t>o</w:t>
      </w:r>
      <w:r w:rsidRPr="006D43A7">
        <w:rPr>
          <w:lang w:val="es-ES"/>
        </w:rPr>
        <w:t>ral ascendía a 72,47 millones de euros y correspondía a:</w:t>
      </w:r>
    </w:p>
    <w:tbl>
      <w:tblPr>
        <w:tblW w:w="8833"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033"/>
        <w:gridCol w:w="859"/>
        <w:gridCol w:w="879"/>
        <w:gridCol w:w="873"/>
        <w:gridCol w:w="1029"/>
        <w:gridCol w:w="1064"/>
        <w:gridCol w:w="1032"/>
        <w:gridCol w:w="1064"/>
      </w:tblGrid>
      <w:tr w:rsidR="00327BAC" w:rsidRPr="00327BAC" w:rsidTr="00184D8F">
        <w:trPr>
          <w:trHeight w:val="340"/>
          <w:jc w:val="center"/>
        </w:trPr>
        <w:tc>
          <w:tcPr>
            <w:tcW w:w="2033" w:type="dxa"/>
            <w:tcBorders>
              <w:top w:val="single" w:sz="4" w:space="0" w:color="auto"/>
              <w:left w:val="nil"/>
              <w:bottom w:val="single" w:sz="4" w:space="0" w:color="auto"/>
              <w:right w:val="nil"/>
            </w:tcBorders>
            <w:shd w:val="clear" w:color="auto" w:fill="8DB3E2" w:themeFill="text2" w:themeFillTint="66"/>
            <w:noWrap/>
            <w:vAlign w:val="center"/>
          </w:tcPr>
          <w:p w:rsidR="00327BAC" w:rsidRPr="00327BAC" w:rsidRDefault="00327BAC" w:rsidP="00327BAC">
            <w:pPr>
              <w:pStyle w:val="cuadroCabe"/>
              <w:jc w:val="left"/>
              <w:rPr>
                <w:sz w:val="17"/>
                <w:szCs w:val="17"/>
              </w:rPr>
            </w:pPr>
            <w:r>
              <w:rPr>
                <w:sz w:val="17"/>
                <w:szCs w:val="17"/>
              </w:rPr>
              <w:t>Gastos</w:t>
            </w:r>
          </w:p>
        </w:tc>
        <w:tc>
          <w:tcPr>
            <w:tcW w:w="859"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2009</w:t>
            </w:r>
          </w:p>
        </w:tc>
        <w:tc>
          <w:tcPr>
            <w:tcW w:w="879"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2010</w:t>
            </w:r>
          </w:p>
        </w:tc>
        <w:tc>
          <w:tcPr>
            <w:tcW w:w="873" w:type="dxa"/>
            <w:tcBorders>
              <w:top w:val="single" w:sz="4" w:space="0" w:color="auto"/>
              <w:left w:val="nil"/>
              <w:bottom w:val="single" w:sz="4" w:space="0" w:color="auto"/>
              <w:right w:val="nil"/>
            </w:tcBorders>
            <w:shd w:val="clear" w:color="auto" w:fill="8DB3E2" w:themeFill="text2" w:themeFillTint="66"/>
            <w:noWrap/>
            <w:vAlign w:val="center"/>
          </w:tcPr>
          <w:p w:rsidR="00327BAC" w:rsidRPr="00327BAC" w:rsidRDefault="00327BAC" w:rsidP="00327BAC">
            <w:pPr>
              <w:pStyle w:val="cuadroCabe"/>
              <w:jc w:val="right"/>
              <w:rPr>
                <w:sz w:val="17"/>
                <w:szCs w:val="17"/>
              </w:rPr>
            </w:pPr>
            <w:r>
              <w:rPr>
                <w:sz w:val="17"/>
                <w:szCs w:val="17"/>
              </w:rPr>
              <w:t>2011</w:t>
            </w:r>
          </w:p>
        </w:tc>
        <w:tc>
          <w:tcPr>
            <w:tcW w:w="1029"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2012</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2013</w:t>
            </w:r>
          </w:p>
        </w:tc>
        <w:tc>
          <w:tcPr>
            <w:tcW w:w="1032"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2014</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327BAC" w:rsidRPr="00327BAC" w:rsidRDefault="00327BAC" w:rsidP="00327BAC">
            <w:pPr>
              <w:pStyle w:val="cuadroCabe"/>
              <w:jc w:val="right"/>
              <w:rPr>
                <w:sz w:val="17"/>
                <w:szCs w:val="17"/>
              </w:rPr>
            </w:pPr>
            <w:r>
              <w:rPr>
                <w:sz w:val="17"/>
                <w:szCs w:val="17"/>
              </w:rPr>
              <w:t>Total</w:t>
            </w:r>
          </w:p>
        </w:tc>
      </w:tr>
      <w:tr w:rsidR="001B3767" w:rsidRPr="00327BAC" w:rsidTr="00184D8F">
        <w:trPr>
          <w:trHeight w:val="255"/>
          <w:jc w:val="center"/>
        </w:trPr>
        <w:tc>
          <w:tcPr>
            <w:tcW w:w="2033" w:type="dxa"/>
            <w:tcBorders>
              <w:top w:val="single" w:sz="4" w:space="0" w:color="auto"/>
              <w:left w:val="nil"/>
              <w:bottom w:val="single" w:sz="2" w:space="0" w:color="auto"/>
              <w:right w:val="nil"/>
            </w:tcBorders>
            <w:noWrap/>
            <w:vAlign w:val="center"/>
          </w:tcPr>
          <w:p w:rsidR="001B3767" w:rsidRPr="00327BAC" w:rsidRDefault="001B3767" w:rsidP="00EF16C1">
            <w:pPr>
              <w:pStyle w:val="cuatexto"/>
              <w:jc w:val="left"/>
              <w:rPr>
                <w:sz w:val="18"/>
                <w:szCs w:val="18"/>
              </w:rPr>
            </w:pPr>
            <w:r w:rsidRPr="00327BAC">
              <w:rPr>
                <w:sz w:val="18"/>
                <w:szCs w:val="18"/>
              </w:rPr>
              <w:t>Construcción</w:t>
            </w:r>
          </w:p>
        </w:tc>
        <w:tc>
          <w:tcPr>
            <w:tcW w:w="859"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c>
          <w:tcPr>
            <w:tcW w:w="879"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c>
          <w:tcPr>
            <w:tcW w:w="873" w:type="dxa"/>
            <w:tcBorders>
              <w:top w:val="single" w:sz="4"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161.234</w:t>
            </w:r>
          </w:p>
        </w:tc>
        <w:tc>
          <w:tcPr>
            <w:tcW w:w="1029"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11.887.883</w:t>
            </w:r>
          </w:p>
        </w:tc>
        <w:tc>
          <w:tcPr>
            <w:tcW w:w="1064"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25.342.449</w:t>
            </w:r>
          </w:p>
        </w:tc>
        <w:tc>
          <w:tcPr>
            <w:tcW w:w="1032"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18.333.406</w:t>
            </w:r>
          </w:p>
        </w:tc>
        <w:tc>
          <w:tcPr>
            <w:tcW w:w="1064" w:type="dxa"/>
            <w:tcBorders>
              <w:top w:val="single" w:sz="4"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fldChar w:fldCharType="begin"/>
            </w:r>
            <w:r w:rsidRPr="00327BAC">
              <w:rPr>
                <w:sz w:val="18"/>
                <w:szCs w:val="18"/>
              </w:rPr>
              <w:instrText xml:space="preserve"> =SUM(LEFT) </w:instrText>
            </w:r>
            <w:r w:rsidRPr="00327BAC">
              <w:rPr>
                <w:sz w:val="18"/>
                <w:szCs w:val="18"/>
              </w:rPr>
              <w:fldChar w:fldCharType="separate"/>
            </w:r>
            <w:r w:rsidRPr="00327BAC">
              <w:rPr>
                <w:sz w:val="18"/>
                <w:szCs w:val="18"/>
              </w:rPr>
              <w:t>55.724.972</w:t>
            </w:r>
            <w:r w:rsidRPr="00327BAC">
              <w:rPr>
                <w:sz w:val="18"/>
                <w:szCs w:val="18"/>
              </w:rPr>
              <w:fldChar w:fldCharType="end"/>
            </w:r>
          </w:p>
        </w:tc>
      </w:tr>
      <w:tr w:rsidR="001B3767" w:rsidRPr="00327BAC" w:rsidTr="00184D8F">
        <w:trPr>
          <w:trHeight w:val="255"/>
          <w:jc w:val="center"/>
        </w:trPr>
        <w:tc>
          <w:tcPr>
            <w:tcW w:w="2033" w:type="dxa"/>
            <w:tcBorders>
              <w:top w:val="single" w:sz="2" w:space="0" w:color="auto"/>
              <w:left w:val="nil"/>
              <w:bottom w:val="single" w:sz="2" w:space="0" w:color="auto"/>
              <w:right w:val="nil"/>
            </w:tcBorders>
            <w:noWrap/>
            <w:vAlign w:val="center"/>
          </w:tcPr>
          <w:p w:rsidR="001B3767" w:rsidRPr="00327BAC" w:rsidRDefault="001B3767" w:rsidP="00EF16C1">
            <w:pPr>
              <w:pStyle w:val="cuatexto"/>
              <w:jc w:val="left"/>
              <w:rPr>
                <w:sz w:val="18"/>
                <w:szCs w:val="18"/>
              </w:rPr>
            </w:pPr>
            <w:r w:rsidRPr="00327BAC">
              <w:rPr>
                <w:sz w:val="18"/>
                <w:szCs w:val="18"/>
              </w:rPr>
              <w:t>Expropiaciones</w:t>
            </w:r>
          </w:p>
        </w:tc>
        <w:tc>
          <w:tcPr>
            <w:tcW w:w="85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c>
          <w:tcPr>
            <w:tcW w:w="87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p>
        </w:tc>
        <w:tc>
          <w:tcPr>
            <w:tcW w:w="873" w:type="dxa"/>
            <w:tcBorders>
              <w:top w:val="single" w:sz="2" w:space="0" w:color="auto"/>
              <w:left w:val="nil"/>
              <w:bottom w:val="single" w:sz="2"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436.837</w:t>
            </w:r>
          </w:p>
        </w:tc>
        <w:tc>
          <w:tcPr>
            <w:tcW w:w="1029"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4.336.906</w:t>
            </w:r>
          </w:p>
        </w:tc>
        <w:tc>
          <w:tcPr>
            <w:tcW w:w="1064"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3.098.573</w:t>
            </w:r>
          </w:p>
        </w:tc>
        <w:tc>
          <w:tcPr>
            <w:tcW w:w="1032"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t>222.012</w:t>
            </w:r>
          </w:p>
        </w:tc>
        <w:tc>
          <w:tcPr>
            <w:tcW w:w="1064" w:type="dxa"/>
            <w:tcBorders>
              <w:top w:val="single" w:sz="2" w:space="0" w:color="auto"/>
              <w:left w:val="nil"/>
              <w:bottom w:val="single" w:sz="2" w:space="0" w:color="auto"/>
              <w:right w:val="nil"/>
            </w:tcBorders>
            <w:vAlign w:val="center"/>
          </w:tcPr>
          <w:p w:rsidR="001B3767" w:rsidRPr="00327BAC" w:rsidRDefault="001B3767" w:rsidP="00327BAC">
            <w:pPr>
              <w:pStyle w:val="cuatexto"/>
              <w:jc w:val="right"/>
              <w:rPr>
                <w:sz w:val="18"/>
                <w:szCs w:val="18"/>
              </w:rPr>
            </w:pPr>
            <w:r w:rsidRPr="00327BAC">
              <w:rPr>
                <w:sz w:val="18"/>
                <w:szCs w:val="18"/>
              </w:rPr>
              <w:fldChar w:fldCharType="begin"/>
            </w:r>
            <w:r w:rsidRPr="00327BAC">
              <w:rPr>
                <w:sz w:val="18"/>
                <w:szCs w:val="18"/>
              </w:rPr>
              <w:instrText xml:space="preserve"> =SUM(left) </w:instrText>
            </w:r>
            <w:r w:rsidRPr="00327BAC">
              <w:rPr>
                <w:sz w:val="18"/>
                <w:szCs w:val="18"/>
              </w:rPr>
              <w:fldChar w:fldCharType="separate"/>
            </w:r>
            <w:r w:rsidRPr="00327BAC">
              <w:rPr>
                <w:sz w:val="18"/>
                <w:szCs w:val="18"/>
              </w:rPr>
              <w:t>8.094.328</w:t>
            </w:r>
            <w:r w:rsidRPr="00327BAC">
              <w:rPr>
                <w:sz w:val="18"/>
                <w:szCs w:val="18"/>
              </w:rPr>
              <w:fldChar w:fldCharType="end"/>
            </w:r>
          </w:p>
        </w:tc>
      </w:tr>
      <w:tr w:rsidR="001B3767" w:rsidRPr="00327BAC" w:rsidTr="00184D8F">
        <w:trPr>
          <w:trHeight w:val="255"/>
          <w:jc w:val="center"/>
        </w:trPr>
        <w:tc>
          <w:tcPr>
            <w:tcW w:w="2033" w:type="dxa"/>
            <w:tcBorders>
              <w:top w:val="single" w:sz="2" w:space="0" w:color="auto"/>
              <w:left w:val="nil"/>
              <w:bottom w:val="single" w:sz="4" w:space="0" w:color="auto"/>
              <w:right w:val="nil"/>
            </w:tcBorders>
            <w:noWrap/>
            <w:vAlign w:val="center"/>
          </w:tcPr>
          <w:p w:rsidR="001B3767" w:rsidRPr="00327BAC" w:rsidRDefault="001B3767" w:rsidP="00EF16C1">
            <w:pPr>
              <w:pStyle w:val="cuatexto"/>
              <w:jc w:val="left"/>
              <w:rPr>
                <w:sz w:val="18"/>
                <w:szCs w:val="18"/>
              </w:rPr>
            </w:pPr>
            <w:proofErr w:type="spellStart"/>
            <w:r w:rsidRPr="00327BAC">
              <w:rPr>
                <w:sz w:val="18"/>
                <w:szCs w:val="18"/>
              </w:rPr>
              <w:t>Pytos</w:t>
            </w:r>
            <w:proofErr w:type="spellEnd"/>
            <w:r w:rsidRPr="00327BAC">
              <w:rPr>
                <w:sz w:val="18"/>
                <w:szCs w:val="18"/>
              </w:rPr>
              <w:t>,</w:t>
            </w:r>
            <w:r w:rsidR="00586125">
              <w:rPr>
                <w:sz w:val="18"/>
                <w:szCs w:val="18"/>
              </w:rPr>
              <w:t xml:space="preserve"> </w:t>
            </w:r>
            <w:proofErr w:type="spellStart"/>
            <w:r w:rsidR="00586125">
              <w:rPr>
                <w:sz w:val="18"/>
                <w:szCs w:val="18"/>
              </w:rPr>
              <w:t>dción</w:t>
            </w:r>
            <w:proofErr w:type="spellEnd"/>
            <w:r w:rsidR="00586125">
              <w:rPr>
                <w:sz w:val="18"/>
                <w:szCs w:val="18"/>
              </w:rPr>
              <w:t xml:space="preserve"> obras y otras </w:t>
            </w:r>
            <w:proofErr w:type="spellStart"/>
            <w:r w:rsidR="00586125">
              <w:rPr>
                <w:sz w:val="18"/>
                <w:szCs w:val="18"/>
              </w:rPr>
              <w:t>asist</w:t>
            </w:r>
            <w:proofErr w:type="spellEnd"/>
            <w:r w:rsidR="00586125">
              <w:rPr>
                <w:sz w:val="18"/>
                <w:szCs w:val="18"/>
              </w:rPr>
              <w:t xml:space="preserve">. </w:t>
            </w:r>
            <w:proofErr w:type="spellStart"/>
            <w:r w:rsidR="00586125">
              <w:rPr>
                <w:sz w:val="18"/>
                <w:szCs w:val="18"/>
              </w:rPr>
              <w:t>tecnicas</w:t>
            </w:r>
            <w:proofErr w:type="spellEnd"/>
          </w:p>
        </w:tc>
        <w:tc>
          <w:tcPr>
            <w:tcW w:w="859"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228.100</w:t>
            </w:r>
          </w:p>
        </w:tc>
        <w:tc>
          <w:tcPr>
            <w:tcW w:w="879"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5.050.529</w:t>
            </w:r>
          </w:p>
        </w:tc>
        <w:tc>
          <w:tcPr>
            <w:tcW w:w="873" w:type="dxa"/>
            <w:tcBorders>
              <w:top w:val="single" w:sz="2" w:space="0" w:color="auto"/>
              <w:left w:val="nil"/>
              <w:bottom w:val="single" w:sz="4" w:space="0" w:color="auto"/>
              <w:right w:val="nil"/>
            </w:tcBorders>
            <w:noWrap/>
            <w:vAlign w:val="center"/>
          </w:tcPr>
          <w:p w:rsidR="001B3767" w:rsidRPr="00327BAC" w:rsidRDefault="001B3767" w:rsidP="00327BAC">
            <w:pPr>
              <w:pStyle w:val="cuatexto"/>
              <w:jc w:val="right"/>
              <w:rPr>
                <w:sz w:val="18"/>
                <w:szCs w:val="18"/>
              </w:rPr>
            </w:pPr>
            <w:r w:rsidRPr="00327BAC">
              <w:rPr>
                <w:sz w:val="18"/>
                <w:szCs w:val="18"/>
              </w:rPr>
              <w:t>757.468</w:t>
            </w:r>
          </w:p>
        </w:tc>
        <w:tc>
          <w:tcPr>
            <w:tcW w:w="1029"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1.061.831</w:t>
            </w:r>
          </w:p>
        </w:tc>
        <w:tc>
          <w:tcPr>
            <w:tcW w:w="1064"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883.020</w:t>
            </w:r>
          </w:p>
        </w:tc>
        <w:tc>
          <w:tcPr>
            <w:tcW w:w="1032"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665.294</w:t>
            </w:r>
          </w:p>
        </w:tc>
        <w:tc>
          <w:tcPr>
            <w:tcW w:w="1064" w:type="dxa"/>
            <w:tcBorders>
              <w:top w:val="single" w:sz="2"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fldChar w:fldCharType="begin"/>
            </w:r>
            <w:r w:rsidRPr="00327BAC">
              <w:rPr>
                <w:sz w:val="18"/>
                <w:szCs w:val="18"/>
              </w:rPr>
              <w:instrText xml:space="preserve"> =SUM(left) </w:instrText>
            </w:r>
            <w:r w:rsidRPr="00327BAC">
              <w:rPr>
                <w:sz w:val="18"/>
                <w:szCs w:val="18"/>
              </w:rPr>
              <w:fldChar w:fldCharType="separate"/>
            </w:r>
            <w:r w:rsidRPr="00327BAC">
              <w:rPr>
                <w:sz w:val="18"/>
                <w:szCs w:val="18"/>
              </w:rPr>
              <w:t>8.646.242</w:t>
            </w:r>
            <w:r w:rsidRPr="00327BAC">
              <w:rPr>
                <w:sz w:val="18"/>
                <w:szCs w:val="18"/>
              </w:rPr>
              <w:fldChar w:fldCharType="end"/>
            </w:r>
          </w:p>
        </w:tc>
      </w:tr>
      <w:tr w:rsidR="001B3767" w:rsidRPr="00327BAC" w:rsidTr="00184D8F">
        <w:trPr>
          <w:trHeight w:val="312"/>
          <w:jc w:val="center"/>
        </w:trPr>
        <w:tc>
          <w:tcPr>
            <w:tcW w:w="2033" w:type="dxa"/>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EF16C1">
            <w:pPr>
              <w:pStyle w:val="cuatexto"/>
              <w:jc w:val="left"/>
              <w:rPr>
                <w:sz w:val="18"/>
                <w:szCs w:val="18"/>
              </w:rPr>
            </w:pPr>
            <w:r w:rsidRPr="00327BAC">
              <w:rPr>
                <w:sz w:val="18"/>
                <w:szCs w:val="18"/>
              </w:rPr>
              <w:t>Total</w:t>
            </w:r>
          </w:p>
        </w:tc>
        <w:tc>
          <w:tcPr>
            <w:tcW w:w="859"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228.100</w:t>
            </w:r>
          </w:p>
        </w:tc>
        <w:tc>
          <w:tcPr>
            <w:tcW w:w="879"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5.050.529</w:t>
            </w:r>
          </w:p>
        </w:tc>
        <w:tc>
          <w:tcPr>
            <w:tcW w:w="873" w:type="dxa"/>
            <w:tcBorders>
              <w:top w:val="single" w:sz="4" w:space="0" w:color="auto"/>
              <w:left w:val="nil"/>
              <w:bottom w:val="single" w:sz="4" w:space="0" w:color="auto"/>
              <w:right w:val="nil"/>
            </w:tcBorders>
            <w:shd w:val="clear" w:color="auto" w:fill="8DB3E2" w:themeFill="text2" w:themeFillTint="66"/>
            <w:noWrap/>
            <w:vAlign w:val="center"/>
          </w:tcPr>
          <w:p w:rsidR="001B3767" w:rsidRPr="00327BAC" w:rsidRDefault="001B3767" w:rsidP="00327BAC">
            <w:pPr>
              <w:pStyle w:val="cuatexto"/>
              <w:jc w:val="right"/>
              <w:rPr>
                <w:sz w:val="18"/>
                <w:szCs w:val="18"/>
              </w:rPr>
            </w:pPr>
            <w:r w:rsidRPr="00327BAC">
              <w:rPr>
                <w:sz w:val="18"/>
                <w:szCs w:val="18"/>
              </w:rPr>
              <w:t>1.355.539</w:t>
            </w:r>
          </w:p>
        </w:tc>
        <w:tc>
          <w:tcPr>
            <w:tcW w:w="1029"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17.286.620</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29.324.042</w:t>
            </w:r>
          </w:p>
        </w:tc>
        <w:tc>
          <w:tcPr>
            <w:tcW w:w="1032"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19.220.712</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1B3767" w:rsidRPr="00327BAC" w:rsidRDefault="001B3767" w:rsidP="00327BAC">
            <w:pPr>
              <w:pStyle w:val="cuatexto"/>
              <w:jc w:val="right"/>
              <w:rPr>
                <w:sz w:val="18"/>
                <w:szCs w:val="18"/>
              </w:rPr>
            </w:pPr>
            <w:r w:rsidRPr="00327BAC">
              <w:rPr>
                <w:sz w:val="18"/>
                <w:szCs w:val="18"/>
              </w:rPr>
              <w:t>72.465.542</w:t>
            </w:r>
          </w:p>
        </w:tc>
      </w:tr>
      <w:tr w:rsidR="001B3767" w:rsidRPr="00327BAC" w:rsidTr="00184D8F">
        <w:trPr>
          <w:trHeight w:val="255"/>
          <w:jc w:val="center"/>
        </w:trPr>
        <w:tc>
          <w:tcPr>
            <w:tcW w:w="2033" w:type="dxa"/>
            <w:tcBorders>
              <w:top w:val="single" w:sz="4" w:space="0" w:color="auto"/>
              <w:left w:val="nil"/>
              <w:bottom w:val="single" w:sz="4" w:space="0" w:color="auto"/>
              <w:right w:val="nil"/>
            </w:tcBorders>
            <w:noWrap/>
            <w:vAlign w:val="center"/>
          </w:tcPr>
          <w:p w:rsidR="001B3767" w:rsidRPr="00327BAC" w:rsidRDefault="001B3767" w:rsidP="00EF16C1">
            <w:pPr>
              <w:pStyle w:val="cuatexto"/>
              <w:jc w:val="left"/>
              <w:rPr>
                <w:sz w:val="18"/>
                <w:szCs w:val="18"/>
              </w:rPr>
            </w:pPr>
            <w:r w:rsidRPr="00327BAC">
              <w:rPr>
                <w:sz w:val="18"/>
                <w:szCs w:val="18"/>
              </w:rPr>
              <w:t>Reintegrado por el Estado</w:t>
            </w:r>
          </w:p>
        </w:tc>
        <w:tc>
          <w:tcPr>
            <w:tcW w:w="85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87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873" w:type="dxa"/>
            <w:tcBorders>
              <w:top w:val="single" w:sz="4" w:space="0" w:color="auto"/>
              <w:left w:val="nil"/>
              <w:bottom w:val="single" w:sz="4" w:space="0" w:color="auto"/>
              <w:right w:val="nil"/>
            </w:tcBorders>
            <w:noWrap/>
            <w:vAlign w:val="center"/>
          </w:tcPr>
          <w:p w:rsidR="001B3767" w:rsidRPr="00327BAC" w:rsidRDefault="001B3767" w:rsidP="00327BAC">
            <w:pPr>
              <w:pStyle w:val="cuatexto"/>
              <w:jc w:val="right"/>
              <w:rPr>
                <w:sz w:val="18"/>
                <w:szCs w:val="18"/>
              </w:rPr>
            </w:pPr>
          </w:p>
        </w:tc>
        <w:tc>
          <w:tcPr>
            <w:tcW w:w="102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1064"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1032"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35.650.000</w:t>
            </w:r>
          </w:p>
        </w:tc>
        <w:tc>
          <w:tcPr>
            <w:tcW w:w="1064"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35.650.000</w:t>
            </w:r>
          </w:p>
        </w:tc>
      </w:tr>
      <w:tr w:rsidR="001B3767" w:rsidRPr="00327BAC" w:rsidTr="00184D8F">
        <w:trPr>
          <w:trHeight w:val="255"/>
          <w:jc w:val="center"/>
        </w:trPr>
        <w:tc>
          <w:tcPr>
            <w:tcW w:w="2033" w:type="dxa"/>
            <w:tcBorders>
              <w:top w:val="single" w:sz="4" w:space="0" w:color="auto"/>
              <w:left w:val="nil"/>
              <w:bottom w:val="single" w:sz="4" w:space="0" w:color="auto"/>
              <w:right w:val="nil"/>
            </w:tcBorders>
            <w:noWrap/>
            <w:vAlign w:val="center"/>
          </w:tcPr>
          <w:p w:rsidR="001B3767" w:rsidRPr="00327BAC" w:rsidRDefault="001B3767" w:rsidP="00EF16C1">
            <w:pPr>
              <w:pStyle w:val="cuatexto"/>
              <w:jc w:val="left"/>
              <w:rPr>
                <w:sz w:val="18"/>
                <w:szCs w:val="18"/>
              </w:rPr>
            </w:pPr>
            <w:r w:rsidRPr="00327BAC">
              <w:rPr>
                <w:sz w:val="18"/>
                <w:szCs w:val="18"/>
              </w:rPr>
              <w:t>Pendiente de reintegro</w:t>
            </w:r>
          </w:p>
        </w:tc>
        <w:tc>
          <w:tcPr>
            <w:tcW w:w="85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87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873" w:type="dxa"/>
            <w:tcBorders>
              <w:top w:val="single" w:sz="4" w:space="0" w:color="auto"/>
              <w:left w:val="nil"/>
              <w:bottom w:val="single" w:sz="4" w:space="0" w:color="auto"/>
              <w:right w:val="nil"/>
            </w:tcBorders>
            <w:noWrap/>
            <w:vAlign w:val="center"/>
          </w:tcPr>
          <w:p w:rsidR="001B3767" w:rsidRPr="00327BAC" w:rsidRDefault="001B3767" w:rsidP="00327BAC">
            <w:pPr>
              <w:pStyle w:val="cuatexto"/>
              <w:jc w:val="right"/>
              <w:rPr>
                <w:sz w:val="18"/>
                <w:szCs w:val="18"/>
              </w:rPr>
            </w:pPr>
          </w:p>
        </w:tc>
        <w:tc>
          <w:tcPr>
            <w:tcW w:w="1029"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1064"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1032"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p>
        </w:tc>
        <w:tc>
          <w:tcPr>
            <w:tcW w:w="1064" w:type="dxa"/>
            <w:tcBorders>
              <w:top w:val="single" w:sz="4" w:space="0" w:color="auto"/>
              <w:left w:val="nil"/>
              <w:bottom w:val="single" w:sz="4" w:space="0" w:color="auto"/>
              <w:right w:val="nil"/>
            </w:tcBorders>
            <w:vAlign w:val="center"/>
          </w:tcPr>
          <w:p w:rsidR="001B3767" w:rsidRPr="00327BAC" w:rsidRDefault="001B3767" w:rsidP="00327BAC">
            <w:pPr>
              <w:pStyle w:val="cuatexto"/>
              <w:jc w:val="right"/>
              <w:rPr>
                <w:sz w:val="18"/>
                <w:szCs w:val="18"/>
              </w:rPr>
            </w:pPr>
            <w:r w:rsidRPr="00327BAC">
              <w:rPr>
                <w:sz w:val="18"/>
                <w:szCs w:val="18"/>
              </w:rPr>
              <w:t>36.815.542</w:t>
            </w:r>
          </w:p>
        </w:tc>
      </w:tr>
    </w:tbl>
    <w:p w:rsidR="001B3767" w:rsidRPr="006D43A7" w:rsidRDefault="001B3767" w:rsidP="00F733CB">
      <w:pPr>
        <w:pStyle w:val="texto"/>
        <w:spacing w:before="260" w:after="180"/>
        <w:rPr>
          <w:lang w:val="es-ES"/>
        </w:rPr>
      </w:pPr>
      <w:r w:rsidRPr="006D43A7">
        <w:rPr>
          <w:lang w:val="es-ES"/>
        </w:rPr>
        <w:t>Las actuaciones programadas en el convenio firmado el 9 de abril de 2010 no se han ejecutado conforme al calendario previsto, con desviaciones significat</w:t>
      </w:r>
      <w:r w:rsidRPr="006D43A7">
        <w:rPr>
          <w:lang w:val="es-ES"/>
        </w:rPr>
        <w:t>i</w:t>
      </w:r>
      <w:r w:rsidRPr="006D43A7">
        <w:rPr>
          <w:lang w:val="es-ES"/>
        </w:rPr>
        <w:t>vas de los plazos de ejecución convenidos. No se ha modificado el convenio en relación con la nueva programación de las actuaciones de ejecución de las obras y actualización de los costes de construcción.</w:t>
      </w:r>
    </w:p>
    <w:p w:rsidR="001B3767" w:rsidRPr="006D43A7" w:rsidRDefault="001B3767" w:rsidP="00F733CB">
      <w:pPr>
        <w:pStyle w:val="texto"/>
        <w:spacing w:after="180"/>
        <w:rPr>
          <w:lang w:val="es-ES"/>
        </w:rPr>
      </w:pPr>
      <w:r w:rsidRPr="006D43A7">
        <w:rPr>
          <w:lang w:val="es-ES"/>
        </w:rPr>
        <w:t xml:space="preserve">El tramo 1 Castejón-Villafranca, dividido en dos </w:t>
      </w:r>
      <w:proofErr w:type="spellStart"/>
      <w:r w:rsidRPr="006D43A7">
        <w:rPr>
          <w:lang w:val="es-ES"/>
        </w:rPr>
        <w:t>subtramos</w:t>
      </w:r>
      <w:proofErr w:type="spellEnd"/>
      <w:r w:rsidRPr="006D43A7">
        <w:rPr>
          <w:lang w:val="es-ES"/>
        </w:rPr>
        <w:t>: 1.1 Castejón-</w:t>
      </w:r>
      <w:proofErr w:type="spellStart"/>
      <w:r w:rsidRPr="006D43A7">
        <w:rPr>
          <w:lang w:val="es-ES"/>
        </w:rPr>
        <w:t>Cadreita</w:t>
      </w:r>
      <w:proofErr w:type="spellEnd"/>
      <w:r w:rsidRPr="006D43A7">
        <w:rPr>
          <w:lang w:val="es-ES"/>
        </w:rPr>
        <w:t xml:space="preserve"> y 1.2 </w:t>
      </w:r>
      <w:proofErr w:type="spellStart"/>
      <w:r w:rsidRPr="006D43A7">
        <w:rPr>
          <w:lang w:val="es-ES"/>
        </w:rPr>
        <w:t>Cadreita</w:t>
      </w:r>
      <w:proofErr w:type="spellEnd"/>
      <w:r w:rsidRPr="006D43A7">
        <w:rPr>
          <w:lang w:val="es-ES"/>
        </w:rPr>
        <w:t>-Villafranca ya se ha finalizado. Están pendientes de r</w:t>
      </w:r>
      <w:r w:rsidRPr="006D43A7">
        <w:rPr>
          <w:lang w:val="es-ES"/>
        </w:rPr>
        <w:t>e</w:t>
      </w:r>
      <w:r w:rsidRPr="006D43A7">
        <w:rPr>
          <w:lang w:val="es-ES"/>
        </w:rPr>
        <w:t xml:space="preserve">cepción las obras del </w:t>
      </w:r>
      <w:proofErr w:type="spellStart"/>
      <w:r w:rsidRPr="006D43A7">
        <w:rPr>
          <w:lang w:val="es-ES"/>
        </w:rPr>
        <w:t>subtramo</w:t>
      </w:r>
      <w:proofErr w:type="spellEnd"/>
      <w:r w:rsidRPr="006D43A7">
        <w:rPr>
          <w:lang w:val="es-ES"/>
        </w:rPr>
        <w:t xml:space="preserve"> 1.1.</w:t>
      </w:r>
    </w:p>
    <w:p w:rsidR="001B3767" w:rsidRPr="006D43A7" w:rsidRDefault="001B3767" w:rsidP="00F733CB">
      <w:pPr>
        <w:pStyle w:val="texto"/>
        <w:spacing w:after="180"/>
        <w:rPr>
          <w:lang w:val="es-ES"/>
        </w:rPr>
      </w:pPr>
      <w:r w:rsidRPr="006D43A7">
        <w:rPr>
          <w:lang w:val="es-ES"/>
        </w:rPr>
        <w:t xml:space="preserve">El gasto en 2014 ascendió a 19,22 millones de euros. El crédito inicial de las partidas del presupuesto de 2014 correspondientes al corredor navarro del TAV era de 102,48 millones de euros. </w:t>
      </w:r>
    </w:p>
    <w:p w:rsidR="001B3767" w:rsidRPr="00F1779A" w:rsidRDefault="001B3767" w:rsidP="00F733CB">
      <w:pPr>
        <w:pStyle w:val="texto"/>
        <w:spacing w:after="180"/>
        <w:rPr>
          <w:lang w:val="es-ES"/>
        </w:rPr>
      </w:pPr>
      <w:r w:rsidRPr="006D43A7">
        <w:rPr>
          <w:lang w:val="es-ES"/>
        </w:rPr>
        <w:t>A 31 de diciembre de 2014 la Administración Foral había gastado 72,47 m</w:t>
      </w:r>
      <w:r w:rsidRPr="006D43A7">
        <w:rPr>
          <w:lang w:val="es-ES"/>
        </w:rPr>
        <w:t>i</w:t>
      </w:r>
      <w:r w:rsidRPr="006D43A7">
        <w:rPr>
          <w:lang w:val="es-ES"/>
        </w:rPr>
        <w:t>llones frente a los 387,65 millones previstos, el 19 por ciento. Del gasto de 72,47 millones, el Estado, a través de ADIF, había reintegrado 35,65 millones</w:t>
      </w:r>
      <w:r w:rsidR="00B16BC8">
        <w:rPr>
          <w:lang w:val="es-ES"/>
        </w:rPr>
        <w:t xml:space="preserve">, </w:t>
      </w:r>
      <w:r w:rsidR="00B16BC8" w:rsidRPr="00F1779A">
        <w:rPr>
          <w:lang w:val="es-ES"/>
        </w:rPr>
        <w:t>respetando el calendario establecido en el convenio para la financiación</w:t>
      </w:r>
      <w:r w:rsidRPr="00F1779A">
        <w:rPr>
          <w:lang w:val="es-ES"/>
        </w:rPr>
        <w:t xml:space="preserve">. </w:t>
      </w:r>
    </w:p>
    <w:p w:rsidR="00B16BC8" w:rsidRDefault="00B16BC8" w:rsidP="00F733CB">
      <w:pPr>
        <w:pStyle w:val="texto"/>
        <w:spacing w:after="180"/>
      </w:pPr>
      <w:r w:rsidRPr="00B35CD7">
        <w:rPr>
          <w:spacing w:val="3"/>
        </w:rPr>
        <w:t xml:space="preserve"> </w:t>
      </w:r>
      <w:r w:rsidRPr="00B35CD7">
        <w:t xml:space="preserve">En el ejercicio 2014 se dotó una provisión de 858.059 euros en el grupo de inversiones financieras permanentes en concepto de gasto no </w:t>
      </w:r>
      <w:r w:rsidR="00B766A2">
        <w:t xml:space="preserve">conformado </w:t>
      </w:r>
      <w:r w:rsidRPr="00B16BC8">
        <w:t>y c</w:t>
      </w:r>
      <w:r w:rsidRPr="00B16BC8">
        <w:t>o</w:t>
      </w:r>
      <w:r w:rsidRPr="00B16BC8">
        <w:t>rresponde a gastos relacionados con las expropiaciones</w:t>
      </w:r>
      <w:r w:rsidR="00B766A2">
        <w:t xml:space="preserve">, pendientes de reintegro hasta su conformación por la </w:t>
      </w:r>
      <w:r w:rsidR="00B766A2" w:rsidRPr="008C725C">
        <w:rPr>
          <w:spacing w:val="3"/>
        </w:rPr>
        <w:t xml:space="preserve">Subcomisión </w:t>
      </w:r>
      <w:r w:rsidR="00B766A2" w:rsidRPr="00B35CD7">
        <w:rPr>
          <w:spacing w:val="3"/>
        </w:rPr>
        <w:t>Técnica constituida para el segu</w:t>
      </w:r>
      <w:r w:rsidR="00B766A2" w:rsidRPr="00B35CD7">
        <w:rPr>
          <w:spacing w:val="3"/>
        </w:rPr>
        <w:t>i</w:t>
      </w:r>
      <w:r w:rsidR="00B766A2" w:rsidRPr="00B35CD7">
        <w:rPr>
          <w:spacing w:val="3"/>
        </w:rPr>
        <w:t>miento del Convenio</w:t>
      </w:r>
      <w:r w:rsidRPr="00B16BC8">
        <w:t>.</w:t>
      </w:r>
    </w:p>
    <w:p w:rsidR="00B16BC8" w:rsidRPr="006D43A7" w:rsidRDefault="00B16BC8" w:rsidP="00F733CB">
      <w:pPr>
        <w:pStyle w:val="texto"/>
        <w:spacing w:after="180"/>
        <w:rPr>
          <w:lang w:val="es-ES"/>
        </w:rPr>
      </w:pPr>
      <w:r w:rsidRPr="00295316">
        <w:rPr>
          <w:spacing w:val="3"/>
        </w:rPr>
        <w:t>Las principales actuaciones</w:t>
      </w:r>
      <w:r>
        <w:rPr>
          <w:spacing w:val="3"/>
        </w:rPr>
        <w:t xml:space="preserve"> que la Administración Foral </w:t>
      </w:r>
      <w:r w:rsidR="00466A28">
        <w:rPr>
          <w:spacing w:val="3"/>
        </w:rPr>
        <w:t xml:space="preserve">ha </w:t>
      </w:r>
      <w:r>
        <w:rPr>
          <w:spacing w:val="3"/>
        </w:rPr>
        <w:t xml:space="preserve">contratado hasta 31 de </w:t>
      </w:r>
      <w:r w:rsidRPr="006D43A7">
        <w:rPr>
          <w:lang w:val="es-ES"/>
        </w:rPr>
        <w:t>diciembre de 2014 han sido las siguientes:</w:t>
      </w:r>
    </w:p>
    <w:p w:rsidR="00FB4BAF" w:rsidRDefault="00FB4BAF" w:rsidP="00847F8E">
      <w:pPr>
        <w:pStyle w:val="texto"/>
        <w:spacing w:after="300"/>
        <w:rPr>
          <w:rFonts w:ascii="Arial" w:hAnsi="Arial" w:cs="Arial"/>
          <w:sz w:val="24"/>
          <w:lang w:val="es-ES"/>
        </w:rPr>
      </w:pPr>
    </w:p>
    <w:p w:rsidR="00B16BC8" w:rsidRPr="00847F8E" w:rsidRDefault="00B16BC8" w:rsidP="00847F8E">
      <w:pPr>
        <w:pStyle w:val="texto"/>
        <w:spacing w:after="300"/>
        <w:rPr>
          <w:rFonts w:ascii="Arial" w:hAnsi="Arial" w:cs="Arial"/>
          <w:sz w:val="24"/>
          <w:lang w:val="es-ES"/>
        </w:rPr>
      </w:pPr>
      <w:r w:rsidRPr="00847F8E">
        <w:rPr>
          <w:rFonts w:ascii="Arial" w:hAnsi="Arial" w:cs="Arial"/>
          <w:sz w:val="24"/>
          <w:lang w:val="es-ES"/>
        </w:rPr>
        <w:lastRenderedPageBreak/>
        <w:t>Asistencia técnica</w:t>
      </w:r>
    </w:p>
    <w:tbl>
      <w:tblPr>
        <w:tblW w:w="875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518"/>
        <w:gridCol w:w="770"/>
        <w:gridCol w:w="1398"/>
        <w:gridCol w:w="1064"/>
      </w:tblGrid>
      <w:tr w:rsidR="00B16BC8" w:rsidRPr="000B3FA6" w:rsidTr="002E470E">
        <w:trPr>
          <w:trHeight w:val="255"/>
          <w:jc w:val="center"/>
        </w:trPr>
        <w:tc>
          <w:tcPr>
            <w:tcW w:w="5518"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left"/>
            </w:pPr>
            <w:r w:rsidRPr="00F154C5">
              <w:t>Asistencia técnica</w:t>
            </w:r>
          </w:p>
        </w:tc>
        <w:tc>
          <w:tcPr>
            <w:tcW w:w="770"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right"/>
            </w:pPr>
            <w:r w:rsidRPr="00F154C5">
              <w:t>Año</w:t>
            </w:r>
          </w:p>
        </w:tc>
        <w:tc>
          <w:tcPr>
            <w:tcW w:w="1398"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Precio </w:t>
            </w:r>
          </w:p>
          <w:p w:rsidR="00B16BC8" w:rsidRPr="00F154C5" w:rsidRDefault="00B16BC8" w:rsidP="002E470E">
            <w:pPr>
              <w:pStyle w:val="cuadroCabe"/>
              <w:jc w:val="right"/>
            </w:pPr>
            <w:r w:rsidRPr="00F154C5">
              <w:t xml:space="preserve">adjudicación </w:t>
            </w: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Gasto </w:t>
            </w:r>
          </w:p>
          <w:p w:rsidR="00B16BC8" w:rsidRPr="00F154C5" w:rsidRDefault="00B16BC8" w:rsidP="002E470E">
            <w:pPr>
              <w:pStyle w:val="cuadroCabe"/>
              <w:jc w:val="right"/>
            </w:pPr>
            <w:r w:rsidRPr="00F154C5">
              <w:t xml:space="preserve">total </w:t>
            </w:r>
          </w:p>
        </w:tc>
      </w:tr>
      <w:tr w:rsidR="00B16BC8" w:rsidRPr="00F154C5" w:rsidTr="00F733CB">
        <w:trPr>
          <w:trHeight w:val="255"/>
          <w:jc w:val="center"/>
        </w:trPr>
        <w:tc>
          <w:tcPr>
            <w:tcW w:w="5518" w:type="dxa"/>
            <w:tcBorders>
              <w:top w:val="single" w:sz="4" w:space="0" w:color="auto"/>
              <w:left w:val="nil"/>
              <w:bottom w:val="single" w:sz="2" w:space="0" w:color="auto"/>
              <w:right w:val="nil"/>
            </w:tcBorders>
            <w:noWrap/>
            <w:vAlign w:val="center"/>
          </w:tcPr>
          <w:p w:rsidR="00B16BC8" w:rsidRPr="00F154C5" w:rsidRDefault="00B16BC8" w:rsidP="002E470E">
            <w:pPr>
              <w:pStyle w:val="cuatexto"/>
              <w:jc w:val="left"/>
              <w:rPr>
                <w:sz w:val="19"/>
                <w:szCs w:val="19"/>
              </w:rPr>
            </w:pPr>
            <w:r w:rsidRPr="00F154C5">
              <w:rPr>
                <w:sz w:val="19"/>
                <w:szCs w:val="19"/>
              </w:rPr>
              <w:t xml:space="preserve">Apoyo a la dirección y coordinación de los proyectos de construcción </w:t>
            </w:r>
          </w:p>
        </w:tc>
        <w:tc>
          <w:tcPr>
            <w:tcW w:w="770" w:type="dxa"/>
            <w:tcBorders>
              <w:top w:val="single" w:sz="4" w:space="0" w:color="auto"/>
              <w:left w:val="nil"/>
              <w:bottom w:val="single" w:sz="2" w:space="0" w:color="auto"/>
              <w:right w:val="nil"/>
            </w:tcBorders>
            <w:noWrap/>
            <w:vAlign w:val="center"/>
          </w:tcPr>
          <w:p w:rsidR="00B16BC8" w:rsidRPr="00F154C5" w:rsidRDefault="00B16BC8" w:rsidP="002E470E">
            <w:pPr>
              <w:pStyle w:val="cuatexto"/>
              <w:jc w:val="right"/>
              <w:rPr>
                <w:sz w:val="19"/>
                <w:szCs w:val="19"/>
              </w:rPr>
            </w:pPr>
            <w:r w:rsidRPr="00F154C5">
              <w:rPr>
                <w:sz w:val="19"/>
                <w:szCs w:val="19"/>
              </w:rPr>
              <w:t>2009</w:t>
            </w:r>
          </w:p>
        </w:tc>
        <w:tc>
          <w:tcPr>
            <w:tcW w:w="1398"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774.000</w:t>
            </w:r>
          </w:p>
        </w:tc>
        <w:tc>
          <w:tcPr>
            <w:tcW w:w="1064"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719.172</w:t>
            </w:r>
          </w:p>
        </w:tc>
      </w:tr>
      <w:tr w:rsidR="00B16BC8" w:rsidRPr="00F154C5"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F154C5" w:rsidRDefault="00B16BC8" w:rsidP="002E470E">
            <w:pPr>
              <w:pStyle w:val="cuatexto"/>
              <w:jc w:val="left"/>
              <w:rPr>
                <w:sz w:val="19"/>
                <w:szCs w:val="19"/>
              </w:rPr>
            </w:pPr>
            <w:r w:rsidRPr="00F154C5">
              <w:rPr>
                <w:sz w:val="19"/>
                <w:szCs w:val="19"/>
              </w:rPr>
              <w:t>Proyectos de los 5 tramos</w:t>
            </w:r>
          </w:p>
        </w:tc>
        <w:tc>
          <w:tcPr>
            <w:tcW w:w="770" w:type="dxa"/>
            <w:tcBorders>
              <w:top w:val="single" w:sz="2" w:space="0" w:color="auto"/>
              <w:left w:val="nil"/>
              <w:bottom w:val="single" w:sz="2" w:space="0" w:color="auto"/>
              <w:right w:val="nil"/>
            </w:tcBorders>
            <w:noWrap/>
            <w:vAlign w:val="center"/>
          </w:tcPr>
          <w:p w:rsidR="00B16BC8" w:rsidRPr="00F154C5" w:rsidRDefault="00B16BC8" w:rsidP="002E470E">
            <w:pPr>
              <w:pStyle w:val="cuatexto"/>
              <w:jc w:val="right"/>
              <w:rPr>
                <w:sz w:val="19"/>
                <w:szCs w:val="19"/>
              </w:rPr>
            </w:pPr>
            <w:r w:rsidRPr="00F154C5">
              <w:rPr>
                <w:sz w:val="19"/>
                <w:szCs w:val="19"/>
              </w:rPr>
              <w:t>2009</w:t>
            </w:r>
          </w:p>
        </w:tc>
        <w:tc>
          <w:tcPr>
            <w:tcW w:w="1398"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3.874.100</w:t>
            </w:r>
          </w:p>
        </w:tc>
        <w:tc>
          <w:tcPr>
            <w:tcW w:w="1064"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3.268.626</w:t>
            </w:r>
          </w:p>
        </w:tc>
      </w:tr>
      <w:tr w:rsidR="00B16BC8" w:rsidRPr="00F154C5"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F154C5" w:rsidRDefault="00B16BC8" w:rsidP="002E470E">
            <w:pPr>
              <w:pStyle w:val="cuatexto"/>
              <w:jc w:val="left"/>
              <w:rPr>
                <w:sz w:val="19"/>
                <w:szCs w:val="19"/>
              </w:rPr>
            </w:pPr>
            <w:r w:rsidRPr="00F154C5">
              <w:rPr>
                <w:sz w:val="19"/>
                <w:szCs w:val="19"/>
              </w:rPr>
              <w:t>Sondeos y ensayos</w:t>
            </w:r>
          </w:p>
        </w:tc>
        <w:tc>
          <w:tcPr>
            <w:tcW w:w="770" w:type="dxa"/>
            <w:tcBorders>
              <w:top w:val="single" w:sz="2" w:space="0" w:color="auto"/>
              <w:left w:val="nil"/>
              <w:bottom w:val="single" w:sz="2" w:space="0" w:color="auto"/>
              <w:right w:val="nil"/>
            </w:tcBorders>
            <w:noWrap/>
            <w:vAlign w:val="center"/>
          </w:tcPr>
          <w:p w:rsidR="00B16BC8" w:rsidRPr="00F154C5" w:rsidRDefault="00B16BC8" w:rsidP="002E470E">
            <w:pPr>
              <w:pStyle w:val="cuatexto"/>
              <w:jc w:val="right"/>
              <w:rPr>
                <w:sz w:val="19"/>
                <w:szCs w:val="19"/>
              </w:rPr>
            </w:pPr>
            <w:r w:rsidRPr="00F154C5">
              <w:rPr>
                <w:sz w:val="19"/>
                <w:szCs w:val="19"/>
              </w:rPr>
              <w:t>2010</w:t>
            </w:r>
          </w:p>
        </w:tc>
        <w:tc>
          <w:tcPr>
            <w:tcW w:w="1398"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1.673.982</w:t>
            </w:r>
          </w:p>
        </w:tc>
        <w:tc>
          <w:tcPr>
            <w:tcW w:w="1064"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2.024.942</w:t>
            </w:r>
          </w:p>
        </w:tc>
      </w:tr>
      <w:tr w:rsidR="00B16BC8" w:rsidRPr="00F154C5" w:rsidTr="00F733CB">
        <w:trPr>
          <w:trHeight w:val="255"/>
          <w:jc w:val="center"/>
        </w:trPr>
        <w:tc>
          <w:tcPr>
            <w:tcW w:w="5518" w:type="dxa"/>
            <w:tcBorders>
              <w:top w:val="single" w:sz="2" w:space="0" w:color="auto"/>
              <w:left w:val="nil"/>
              <w:bottom w:val="single" w:sz="2" w:space="0" w:color="auto"/>
              <w:right w:val="nil"/>
            </w:tcBorders>
            <w:noWrap/>
            <w:vAlign w:val="center"/>
          </w:tcPr>
          <w:p w:rsidR="00B16BC8" w:rsidRPr="00F154C5" w:rsidRDefault="00B16BC8" w:rsidP="000F4EC6">
            <w:pPr>
              <w:pStyle w:val="cuatexto"/>
              <w:jc w:val="left"/>
              <w:rPr>
                <w:sz w:val="19"/>
                <w:szCs w:val="19"/>
              </w:rPr>
            </w:pPr>
            <w:r w:rsidRPr="00F154C5">
              <w:rPr>
                <w:sz w:val="19"/>
                <w:szCs w:val="19"/>
              </w:rPr>
              <w:t xml:space="preserve">Dirección obra </w:t>
            </w:r>
            <w:proofErr w:type="spellStart"/>
            <w:r w:rsidRPr="00F154C5">
              <w:rPr>
                <w:sz w:val="19"/>
                <w:szCs w:val="19"/>
              </w:rPr>
              <w:t>C</w:t>
            </w:r>
            <w:r w:rsidR="000F4EC6">
              <w:rPr>
                <w:sz w:val="19"/>
                <w:szCs w:val="19"/>
              </w:rPr>
              <w:t>a</w:t>
            </w:r>
            <w:r w:rsidRPr="00F154C5">
              <w:rPr>
                <w:sz w:val="19"/>
                <w:szCs w:val="19"/>
              </w:rPr>
              <w:t>dreita</w:t>
            </w:r>
            <w:proofErr w:type="spellEnd"/>
            <w:r w:rsidRPr="00F154C5">
              <w:rPr>
                <w:sz w:val="19"/>
                <w:szCs w:val="19"/>
              </w:rPr>
              <w:t>-Villafranca</w:t>
            </w:r>
          </w:p>
        </w:tc>
        <w:tc>
          <w:tcPr>
            <w:tcW w:w="770" w:type="dxa"/>
            <w:tcBorders>
              <w:top w:val="single" w:sz="2" w:space="0" w:color="auto"/>
              <w:left w:val="nil"/>
              <w:bottom w:val="single" w:sz="2" w:space="0" w:color="auto"/>
              <w:right w:val="nil"/>
            </w:tcBorders>
            <w:noWrap/>
            <w:vAlign w:val="center"/>
          </w:tcPr>
          <w:p w:rsidR="00B16BC8" w:rsidRPr="00F154C5" w:rsidRDefault="00B16BC8" w:rsidP="002E470E">
            <w:pPr>
              <w:pStyle w:val="cuatexto"/>
              <w:jc w:val="right"/>
              <w:rPr>
                <w:sz w:val="19"/>
                <w:szCs w:val="19"/>
              </w:rPr>
            </w:pPr>
            <w:r w:rsidRPr="00F154C5">
              <w:rPr>
                <w:sz w:val="19"/>
                <w:szCs w:val="19"/>
              </w:rPr>
              <w:t>2011</w:t>
            </w:r>
          </w:p>
        </w:tc>
        <w:tc>
          <w:tcPr>
            <w:tcW w:w="1398"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643.100</w:t>
            </w:r>
          </w:p>
        </w:tc>
        <w:tc>
          <w:tcPr>
            <w:tcW w:w="1064" w:type="dxa"/>
            <w:tcBorders>
              <w:top w:val="single" w:sz="2"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655.595</w:t>
            </w:r>
          </w:p>
        </w:tc>
      </w:tr>
      <w:tr w:rsidR="00B16BC8" w:rsidRPr="00F154C5" w:rsidTr="00F733CB">
        <w:trPr>
          <w:trHeight w:val="255"/>
          <w:jc w:val="center"/>
        </w:trPr>
        <w:tc>
          <w:tcPr>
            <w:tcW w:w="5518" w:type="dxa"/>
            <w:tcBorders>
              <w:top w:val="single" w:sz="2" w:space="0" w:color="auto"/>
              <w:left w:val="nil"/>
              <w:bottom w:val="single" w:sz="4" w:space="0" w:color="auto"/>
              <w:right w:val="nil"/>
            </w:tcBorders>
            <w:noWrap/>
            <w:vAlign w:val="center"/>
          </w:tcPr>
          <w:p w:rsidR="00B16BC8" w:rsidRPr="00F154C5" w:rsidRDefault="00B16BC8" w:rsidP="002E470E">
            <w:pPr>
              <w:pStyle w:val="cuatexto"/>
              <w:jc w:val="left"/>
              <w:rPr>
                <w:sz w:val="19"/>
                <w:szCs w:val="19"/>
              </w:rPr>
            </w:pPr>
            <w:r w:rsidRPr="00F154C5">
              <w:rPr>
                <w:sz w:val="19"/>
                <w:szCs w:val="19"/>
              </w:rPr>
              <w:t>Dirección obra Castejón-</w:t>
            </w:r>
            <w:proofErr w:type="spellStart"/>
            <w:r w:rsidRPr="00F154C5">
              <w:rPr>
                <w:sz w:val="19"/>
                <w:szCs w:val="19"/>
              </w:rPr>
              <w:t>Cadreita</w:t>
            </w:r>
            <w:proofErr w:type="spellEnd"/>
          </w:p>
        </w:tc>
        <w:tc>
          <w:tcPr>
            <w:tcW w:w="770" w:type="dxa"/>
            <w:tcBorders>
              <w:top w:val="single" w:sz="2" w:space="0" w:color="auto"/>
              <w:left w:val="nil"/>
              <w:bottom w:val="single" w:sz="4" w:space="0" w:color="auto"/>
              <w:right w:val="nil"/>
            </w:tcBorders>
            <w:noWrap/>
            <w:vAlign w:val="center"/>
          </w:tcPr>
          <w:p w:rsidR="00B16BC8" w:rsidRPr="00F154C5" w:rsidRDefault="00B16BC8" w:rsidP="002E470E">
            <w:pPr>
              <w:pStyle w:val="cuatexto"/>
              <w:jc w:val="right"/>
              <w:rPr>
                <w:sz w:val="19"/>
                <w:szCs w:val="19"/>
              </w:rPr>
            </w:pPr>
            <w:r w:rsidRPr="00F154C5">
              <w:rPr>
                <w:sz w:val="19"/>
                <w:szCs w:val="19"/>
              </w:rPr>
              <w:t>2012</w:t>
            </w:r>
          </w:p>
        </w:tc>
        <w:tc>
          <w:tcPr>
            <w:tcW w:w="1398"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646.600</w:t>
            </w:r>
          </w:p>
        </w:tc>
        <w:tc>
          <w:tcPr>
            <w:tcW w:w="1064"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606.718</w:t>
            </w:r>
          </w:p>
        </w:tc>
      </w:tr>
      <w:tr w:rsidR="00B16BC8" w:rsidRPr="00E1657E" w:rsidTr="002E470E">
        <w:trPr>
          <w:trHeight w:val="312"/>
          <w:jc w:val="center"/>
        </w:trPr>
        <w:tc>
          <w:tcPr>
            <w:tcW w:w="5518"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left"/>
            </w:pPr>
            <w:r w:rsidRPr="00F154C5">
              <w:t>Total</w:t>
            </w:r>
          </w:p>
        </w:tc>
        <w:tc>
          <w:tcPr>
            <w:tcW w:w="770"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right"/>
            </w:pPr>
          </w:p>
        </w:tc>
        <w:tc>
          <w:tcPr>
            <w:tcW w:w="1398"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p>
        </w:tc>
        <w:tc>
          <w:tcPr>
            <w:tcW w:w="106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fldChar w:fldCharType="begin"/>
            </w:r>
            <w:r w:rsidRPr="00F154C5">
              <w:instrText xml:space="preserve"> =SUM(ABOVE) </w:instrText>
            </w:r>
            <w:r w:rsidRPr="00F154C5">
              <w:fldChar w:fldCharType="separate"/>
            </w:r>
            <w:r w:rsidRPr="00F154C5">
              <w:t>7.275.053</w:t>
            </w:r>
            <w:r w:rsidRPr="00F154C5">
              <w:fldChar w:fldCharType="end"/>
            </w:r>
          </w:p>
        </w:tc>
      </w:tr>
    </w:tbl>
    <w:p w:rsidR="00B16BC8" w:rsidRPr="0014549B" w:rsidRDefault="00B16BC8" w:rsidP="00CC7E60">
      <w:pPr>
        <w:pStyle w:val="texto"/>
        <w:spacing w:before="280" w:after="220"/>
        <w:rPr>
          <w:rFonts w:ascii="Arial" w:hAnsi="Arial" w:cs="Arial"/>
          <w:sz w:val="24"/>
          <w:lang w:val="es-ES"/>
        </w:rPr>
      </w:pPr>
      <w:r w:rsidRPr="0014549B">
        <w:rPr>
          <w:rFonts w:ascii="Arial" w:hAnsi="Arial" w:cs="Arial"/>
          <w:sz w:val="24"/>
          <w:lang w:val="es-ES"/>
        </w:rPr>
        <w:t>Obras</w:t>
      </w:r>
    </w:p>
    <w:tbl>
      <w:tblPr>
        <w:tblW w:w="879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076"/>
        <w:gridCol w:w="1124"/>
        <w:gridCol w:w="1274"/>
        <w:gridCol w:w="1274"/>
        <w:gridCol w:w="809"/>
        <w:gridCol w:w="1239"/>
      </w:tblGrid>
      <w:tr w:rsidR="00B16BC8" w:rsidRPr="000B3FA6" w:rsidTr="002E470E">
        <w:trPr>
          <w:trHeight w:val="255"/>
          <w:jc w:val="center"/>
        </w:trPr>
        <w:tc>
          <w:tcPr>
            <w:tcW w:w="3076"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left"/>
            </w:pPr>
            <w:r w:rsidRPr="00F154C5">
              <w:t>Obra Castejón-Villafranca</w:t>
            </w:r>
          </w:p>
        </w:tc>
        <w:tc>
          <w:tcPr>
            <w:tcW w:w="1124" w:type="dxa"/>
            <w:tcBorders>
              <w:top w:val="single" w:sz="4" w:space="0" w:color="auto"/>
              <w:left w:val="nil"/>
              <w:bottom w:val="single" w:sz="4" w:space="0" w:color="auto"/>
              <w:right w:val="nil"/>
            </w:tcBorders>
            <w:shd w:val="clear" w:color="auto" w:fill="8DB3E2" w:themeFill="text2" w:themeFillTint="66"/>
            <w:vAlign w:val="center"/>
          </w:tcPr>
          <w:p w:rsidR="00B16BC8" w:rsidRDefault="00B16BC8" w:rsidP="002E470E">
            <w:pPr>
              <w:pStyle w:val="cuadroCabe"/>
              <w:jc w:val="right"/>
            </w:pPr>
            <w:r w:rsidRPr="00F154C5">
              <w:t>Precio</w:t>
            </w:r>
          </w:p>
          <w:p w:rsidR="00B16BC8" w:rsidRPr="00F154C5" w:rsidRDefault="00B16BC8" w:rsidP="002E470E">
            <w:pPr>
              <w:pStyle w:val="cuadroCabe"/>
              <w:jc w:val="right"/>
            </w:pPr>
            <w:r w:rsidRPr="00F154C5">
              <w:t xml:space="preserve"> licitaci</w:t>
            </w:r>
            <w:r>
              <w:t>ó</w:t>
            </w:r>
            <w:r w:rsidRPr="00F154C5">
              <w:t>n</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Año </w:t>
            </w:r>
          </w:p>
          <w:p w:rsidR="00B16BC8" w:rsidRPr="00F154C5" w:rsidRDefault="00B16BC8" w:rsidP="002E470E">
            <w:pPr>
              <w:pStyle w:val="cuadroCabe"/>
              <w:jc w:val="right"/>
            </w:pPr>
            <w:r w:rsidRPr="00F154C5">
              <w:t>adjudicación</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Precio </w:t>
            </w:r>
          </w:p>
          <w:p w:rsidR="00B16BC8" w:rsidRPr="00F154C5" w:rsidRDefault="00B16BC8" w:rsidP="002E470E">
            <w:pPr>
              <w:pStyle w:val="cuadroCabe"/>
              <w:jc w:val="right"/>
            </w:pPr>
            <w:r w:rsidRPr="00F154C5">
              <w:t xml:space="preserve">adjudicación </w:t>
            </w:r>
          </w:p>
        </w:tc>
        <w:tc>
          <w:tcPr>
            <w:tcW w:w="809"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 </w:t>
            </w:r>
            <w:r w:rsidR="000F4EC6" w:rsidRPr="00F154C5">
              <w:t xml:space="preserve">Baja </w:t>
            </w:r>
            <w:proofErr w:type="spellStart"/>
            <w:r w:rsidRPr="00F154C5">
              <w:t>adjudic</w:t>
            </w:r>
            <w:proofErr w:type="spellEnd"/>
            <w:r w:rsidRPr="00F154C5">
              <w:t>.</w:t>
            </w:r>
          </w:p>
        </w:tc>
        <w:tc>
          <w:tcPr>
            <w:tcW w:w="1239"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t xml:space="preserve">Gasto total </w:t>
            </w:r>
          </w:p>
        </w:tc>
      </w:tr>
      <w:tr w:rsidR="00B16BC8" w:rsidRPr="00F154C5" w:rsidTr="002E470E">
        <w:trPr>
          <w:trHeight w:val="260"/>
          <w:jc w:val="center"/>
        </w:trPr>
        <w:tc>
          <w:tcPr>
            <w:tcW w:w="3076" w:type="dxa"/>
            <w:tcBorders>
              <w:top w:val="single" w:sz="4" w:space="0" w:color="auto"/>
              <w:left w:val="nil"/>
              <w:bottom w:val="single" w:sz="2" w:space="0" w:color="auto"/>
              <w:right w:val="nil"/>
            </w:tcBorders>
            <w:noWrap/>
            <w:vAlign w:val="center"/>
          </w:tcPr>
          <w:p w:rsidR="00B16BC8" w:rsidRPr="00F154C5" w:rsidRDefault="00B16BC8" w:rsidP="002E470E">
            <w:pPr>
              <w:pStyle w:val="cuatexto"/>
              <w:jc w:val="left"/>
              <w:rPr>
                <w:sz w:val="19"/>
                <w:szCs w:val="19"/>
              </w:rPr>
            </w:pPr>
            <w:proofErr w:type="spellStart"/>
            <w:r w:rsidRPr="00F154C5">
              <w:rPr>
                <w:sz w:val="19"/>
                <w:szCs w:val="19"/>
              </w:rPr>
              <w:t>Subtramo</w:t>
            </w:r>
            <w:proofErr w:type="spellEnd"/>
            <w:r w:rsidRPr="00F154C5">
              <w:rPr>
                <w:sz w:val="19"/>
                <w:szCs w:val="19"/>
              </w:rPr>
              <w:t xml:space="preserve"> </w:t>
            </w:r>
            <w:proofErr w:type="spellStart"/>
            <w:r w:rsidRPr="00F154C5">
              <w:rPr>
                <w:sz w:val="19"/>
                <w:szCs w:val="19"/>
              </w:rPr>
              <w:t>Cadreita-Viillafranca</w:t>
            </w:r>
            <w:proofErr w:type="spellEnd"/>
          </w:p>
        </w:tc>
        <w:tc>
          <w:tcPr>
            <w:tcW w:w="1124"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42.426.854</w:t>
            </w:r>
          </w:p>
        </w:tc>
        <w:tc>
          <w:tcPr>
            <w:tcW w:w="1274"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2011</w:t>
            </w:r>
          </w:p>
        </w:tc>
        <w:tc>
          <w:tcPr>
            <w:tcW w:w="1274"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29.703.040</w:t>
            </w:r>
          </w:p>
        </w:tc>
        <w:tc>
          <w:tcPr>
            <w:tcW w:w="809"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30%</w:t>
            </w:r>
          </w:p>
        </w:tc>
        <w:tc>
          <w:tcPr>
            <w:tcW w:w="1239" w:type="dxa"/>
            <w:tcBorders>
              <w:top w:val="single" w:sz="4" w:space="0" w:color="auto"/>
              <w:left w:val="nil"/>
              <w:bottom w:val="single" w:sz="2" w:space="0" w:color="auto"/>
              <w:right w:val="nil"/>
            </w:tcBorders>
            <w:vAlign w:val="center"/>
          </w:tcPr>
          <w:p w:rsidR="00B16BC8" w:rsidRPr="00F154C5" w:rsidRDefault="00B16BC8" w:rsidP="002E470E">
            <w:pPr>
              <w:pStyle w:val="cuatexto"/>
              <w:jc w:val="right"/>
              <w:rPr>
                <w:sz w:val="19"/>
                <w:szCs w:val="19"/>
              </w:rPr>
            </w:pPr>
            <w:r w:rsidRPr="00F154C5">
              <w:rPr>
                <w:sz w:val="19"/>
                <w:szCs w:val="19"/>
              </w:rPr>
              <w:t>31.862.306</w:t>
            </w:r>
          </w:p>
        </w:tc>
      </w:tr>
      <w:tr w:rsidR="00B16BC8" w:rsidRPr="00F154C5" w:rsidTr="002E470E">
        <w:trPr>
          <w:trHeight w:val="260"/>
          <w:jc w:val="center"/>
        </w:trPr>
        <w:tc>
          <w:tcPr>
            <w:tcW w:w="3076" w:type="dxa"/>
            <w:tcBorders>
              <w:top w:val="single" w:sz="2" w:space="0" w:color="auto"/>
              <w:left w:val="nil"/>
              <w:bottom w:val="single" w:sz="4" w:space="0" w:color="auto"/>
              <w:right w:val="nil"/>
            </w:tcBorders>
            <w:noWrap/>
            <w:vAlign w:val="center"/>
          </w:tcPr>
          <w:p w:rsidR="00B16BC8" w:rsidRPr="00F154C5" w:rsidRDefault="00B16BC8" w:rsidP="002E470E">
            <w:pPr>
              <w:pStyle w:val="cuatexto"/>
              <w:jc w:val="left"/>
              <w:rPr>
                <w:sz w:val="19"/>
                <w:szCs w:val="19"/>
              </w:rPr>
            </w:pPr>
            <w:proofErr w:type="spellStart"/>
            <w:r w:rsidRPr="00F154C5">
              <w:rPr>
                <w:sz w:val="19"/>
                <w:szCs w:val="19"/>
              </w:rPr>
              <w:t>Subtramo</w:t>
            </w:r>
            <w:proofErr w:type="spellEnd"/>
            <w:r w:rsidRPr="00F154C5">
              <w:rPr>
                <w:sz w:val="19"/>
                <w:szCs w:val="19"/>
              </w:rPr>
              <w:t xml:space="preserve"> Castejón-</w:t>
            </w:r>
            <w:proofErr w:type="spellStart"/>
            <w:r w:rsidRPr="00F154C5">
              <w:rPr>
                <w:sz w:val="19"/>
                <w:szCs w:val="19"/>
              </w:rPr>
              <w:t>Cadreita</w:t>
            </w:r>
            <w:proofErr w:type="spellEnd"/>
          </w:p>
        </w:tc>
        <w:tc>
          <w:tcPr>
            <w:tcW w:w="1124"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40.659.170</w:t>
            </w:r>
          </w:p>
        </w:tc>
        <w:tc>
          <w:tcPr>
            <w:tcW w:w="1274"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2012</w:t>
            </w:r>
          </w:p>
        </w:tc>
        <w:tc>
          <w:tcPr>
            <w:tcW w:w="1274"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28.461.419</w:t>
            </w:r>
          </w:p>
        </w:tc>
        <w:tc>
          <w:tcPr>
            <w:tcW w:w="809"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30%</w:t>
            </w:r>
          </w:p>
        </w:tc>
        <w:tc>
          <w:tcPr>
            <w:tcW w:w="1239" w:type="dxa"/>
            <w:tcBorders>
              <w:top w:val="single" w:sz="2" w:space="0" w:color="auto"/>
              <w:left w:val="nil"/>
              <w:bottom w:val="single" w:sz="4" w:space="0" w:color="auto"/>
              <w:right w:val="nil"/>
            </w:tcBorders>
            <w:vAlign w:val="center"/>
          </w:tcPr>
          <w:p w:rsidR="00B16BC8" w:rsidRPr="00F154C5" w:rsidRDefault="00B16BC8" w:rsidP="002E470E">
            <w:pPr>
              <w:pStyle w:val="cuatexto"/>
              <w:jc w:val="right"/>
              <w:rPr>
                <w:sz w:val="19"/>
                <w:szCs w:val="19"/>
              </w:rPr>
            </w:pPr>
            <w:r w:rsidRPr="00F154C5">
              <w:rPr>
                <w:sz w:val="19"/>
                <w:szCs w:val="19"/>
              </w:rPr>
              <w:t>20.723.739</w:t>
            </w:r>
          </w:p>
        </w:tc>
      </w:tr>
      <w:tr w:rsidR="00B16BC8" w:rsidRPr="00E1657E" w:rsidTr="002E470E">
        <w:trPr>
          <w:trHeight w:val="312"/>
          <w:jc w:val="center"/>
        </w:trPr>
        <w:tc>
          <w:tcPr>
            <w:tcW w:w="3076" w:type="dxa"/>
            <w:tcBorders>
              <w:top w:val="single" w:sz="4" w:space="0" w:color="auto"/>
              <w:left w:val="nil"/>
              <w:bottom w:val="single" w:sz="4" w:space="0" w:color="auto"/>
              <w:right w:val="nil"/>
            </w:tcBorders>
            <w:shd w:val="clear" w:color="auto" w:fill="8DB3E2" w:themeFill="text2" w:themeFillTint="66"/>
            <w:noWrap/>
            <w:vAlign w:val="center"/>
          </w:tcPr>
          <w:p w:rsidR="00B16BC8" w:rsidRPr="00F154C5" w:rsidRDefault="00B16BC8" w:rsidP="002E470E">
            <w:pPr>
              <w:pStyle w:val="cuadroCabe"/>
              <w:jc w:val="left"/>
            </w:pPr>
            <w:r w:rsidRPr="00F154C5">
              <w:t>Total</w:t>
            </w:r>
          </w:p>
        </w:tc>
        <w:tc>
          <w:tcPr>
            <w:tcW w:w="112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p>
        </w:tc>
        <w:tc>
          <w:tcPr>
            <w:tcW w:w="809"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p>
        </w:tc>
        <w:tc>
          <w:tcPr>
            <w:tcW w:w="1239" w:type="dxa"/>
            <w:tcBorders>
              <w:top w:val="single" w:sz="4" w:space="0" w:color="auto"/>
              <w:left w:val="nil"/>
              <w:bottom w:val="single" w:sz="4" w:space="0" w:color="auto"/>
              <w:right w:val="nil"/>
            </w:tcBorders>
            <w:shd w:val="clear" w:color="auto" w:fill="8DB3E2" w:themeFill="text2" w:themeFillTint="66"/>
            <w:vAlign w:val="center"/>
          </w:tcPr>
          <w:p w:rsidR="00B16BC8" w:rsidRPr="00F154C5" w:rsidRDefault="00B16BC8" w:rsidP="002E470E">
            <w:pPr>
              <w:pStyle w:val="cuadroCabe"/>
              <w:jc w:val="right"/>
            </w:pPr>
            <w:r w:rsidRPr="00F154C5">
              <w:fldChar w:fldCharType="begin"/>
            </w:r>
            <w:r w:rsidRPr="00F154C5">
              <w:instrText xml:space="preserve"> =SUM(ABOVE) </w:instrText>
            </w:r>
            <w:r w:rsidRPr="00F154C5">
              <w:fldChar w:fldCharType="separate"/>
            </w:r>
            <w:r w:rsidRPr="00F154C5">
              <w:t>52.586.045</w:t>
            </w:r>
            <w:r w:rsidRPr="00F154C5">
              <w:fldChar w:fldCharType="end"/>
            </w:r>
          </w:p>
        </w:tc>
      </w:tr>
    </w:tbl>
    <w:p w:rsidR="00B16BC8" w:rsidRPr="00870AAA" w:rsidRDefault="00B16BC8" w:rsidP="00F733CB">
      <w:pPr>
        <w:pStyle w:val="texto"/>
        <w:spacing w:before="300" w:after="180"/>
        <w:rPr>
          <w:lang w:val="es-ES"/>
        </w:rPr>
      </w:pPr>
      <w:r w:rsidRPr="006D43A7">
        <w:rPr>
          <w:lang w:val="es-ES"/>
        </w:rPr>
        <w:t>La asistencia técnica medioambiental se encarga a la sociedad pública G</w:t>
      </w:r>
      <w:r w:rsidRPr="006D43A7">
        <w:rPr>
          <w:lang w:val="es-ES"/>
        </w:rPr>
        <w:t>A</w:t>
      </w:r>
      <w:r w:rsidRPr="006D43A7">
        <w:rPr>
          <w:lang w:val="es-ES"/>
        </w:rPr>
        <w:t xml:space="preserve">NASA y la asistencia técnica para </w:t>
      </w:r>
      <w:r w:rsidRPr="00870AAA">
        <w:rPr>
          <w:lang w:val="es-ES"/>
        </w:rPr>
        <w:t xml:space="preserve">expropiaciones a </w:t>
      </w:r>
      <w:r w:rsidR="00466A28">
        <w:rPr>
          <w:lang w:val="es-ES"/>
        </w:rPr>
        <w:t xml:space="preserve">la sociedad pública </w:t>
      </w:r>
      <w:r w:rsidRPr="00870AAA">
        <w:rPr>
          <w:lang w:val="es-ES"/>
        </w:rPr>
        <w:t>TR</w:t>
      </w:r>
      <w:r w:rsidRPr="00870AAA">
        <w:rPr>
          <w:lang w:val="es-ES"/>
        </w:rPr>
        <w:t>A</w:t>
      </w:r>
      <w:r w:rsidRPr="00870AAA">
        <w:rPr>
          <w:lang w:val="es-ES"/>
        </w:rPr>
        <w:t xml:space="preserve">CASA. </w:t>
      </w:r>
    </w:p>
    <w:p w:rsidR="001B3767" w:rsidRPr="006D43A7" w:rsidRDefault="001B3767" w:rsidP="00184D8F">
      <w:pPr>
        <w:pStyle w:val="texto"/>
        <w:spacing w:after="180"/>
        <w:rPr>
          <w:lang w:val="es-ES"/>
        </w:rPr>
      </w:pPr>
      <w:r w:rsidRPr="006D43A7">
        <w:rPr>
          <w:lang w:val="es-ES"/>
        </w:rPr>
        <w:t>En el Plan económico-financiero de reequilibrio presupuestario para la C</w:t>
      </w:r>
      <w:r w:rsidRPr="006D43A7">
        <w:rPr>
          <w:lang w:val="es-ES"/>
        </w:rPr>
        <w:t>o</w:t>
      </w:r>
      <w:r w:rsidRPr="006D43A7">
        <w:rPr>
          <w:lang w:val="es-ES"/>
        </w:rPr>
        <w:t>munidad Foral 2012-2014, se indicaba que el endeudamiento neto temporal de Navarra se corresponde con el saldo de las inversiones realizadas que no han sido financiadas por el Estado. Conforme a esta premisa, el endeudamiento de</w:t>
      </w:r>
      <w:r w:rsidRPr="006D43A7">
        <w:rPr>
          <w:lang w:val="es-ES"/>
        </w:rPr>
        <w:t>s</w:t>
      </w:r>
      <w:r w:rsidRPr="006D43A7">
        <w:rPr>
          <w:lang w:val="es-ES"/>
        </w:rPr>
        <w:t>tinado a la financiación del TAV a 31 de diciembre de 2014 ascendería a 36.815.542 euros, saldo pendiente de reintegro por ADIF a dicha fecha. Los i</w:t>
      </w:r>
      <w:r w:rsidRPr="006D43A7">
        <w:rPr>
          <w:lang w:val="es-ES"/>
        </w:rPr>
        <w:t>n</w:t>
      </w:r>
      <w:r w:rsidRPr="006D43A7">
        <w:rPr>
          <w:lang w:val="es-ES"/>
        </w:rPr>
        <w:t>tereses del endeudamiento son a cargo de la Administración Foral.</w:t>
      </w:r>
    </w:p>
    <w:p w:rsidR="001B3767" w:rsidRDefault="001B3767" w:rsidP="00F733CB">
      <w:pPr>
        <w:pStyle w:val="texto"/>
        <w:spacing w:after="360"/>
        <w:rPr>
          <w:lang w:val="es-ES"/>
        </w:rPr>
      </w:pPr>
      <w:r w:rsidRPr="006D43A7">
        <w:rPr>
          <w:lang w:val="es-ES"/>
        </w:rPr>
        <w:t>La inversión en el TAV, que hasta el ejercicio 2013 se registraba en la cue</w:t>
      </w:r>
      <w:r w:rsidRPr="006D43A7">
        <w:rPr>
          <w:lang w:val="es-ES"/>
        </w:rPr>
        <w:t>n</w:t>
      </w:r>
      <w:r w:rsidRPr="006D43A7">
        <w:rPr>
          <w:lang w:val="es-ES"/>
        </w:rPr>
        <w:t>ta de inmovilizado de “infraestructuras en curso del corredor navarro del tren de alta velocidad”, a partir de 2014 se recoge en cuentas deudoras con ADIF, entidad estatal por cuenta de la que se realizan los pagos de la inversión. El saldo deudor con ADIF contabilizado es 50.000 euro</w:t>
      </w:r>
      <w:r w:rsidR="00466A28">
        <w:rPr>
          <w:lang w:val="es-ES"/>
        </w:rPr>
        <w:t>s</w:t>
      </w:r>
      <w:r w:rsidRPr="006D43A7">
        <w:rPr>
          <w:lang w:val="es-ES"/>
        </w:rPr>
        <w:t xml:space="preserve"> superior al que realmente corresponde a 31 de diciembre de 2014.</w:t>
      </w:r>
      <w:r w:rsidR="00B16BC8">
        <w:rPr>
          <w:lang w:val="es-ES"/>
        </w:rPr>
        <w:t xml:space="preserve"> </w:t>
      </w:r>
    </w:p>
    <w:p w:rsidR="001B3767" w:rsidRPr="0014549B" w:rsidRDefault="001B3767" w:rsidP="00F733CB">
      <w:pPr>
        <w:pStyle w:val="texto"/>
        <w:tabs>
          <w:tab w:val="num" w:pos="300"/>
        </w:tabs>
        <w:spacing w:before="280" w:after="220"/>
        <w:rPr>
          <w:rFonts w:ascii="Arial" w:hAnsi="Arial" w:cs="Arial"/>
          <w:i/>
          <w:sz w:val="24"/>
        </w:rPr>
      </w:pPr>
      <w:r w:rsidRPr="0014549B">
        <w:rPr>
          <w:rFonts w:ascii="Arial" w:hAnsi="Arial" w:cs="Arial"/>
          <w:i/>
          <w:sz w:val="24"/>
        </w:rPr>
        <w:t>Red ferroviaria en la Comarca de Pamplona</w:t>
      </w:r>
    </w:p>
    <w:p w:rsidR="001B3767" w:rsidRDefault="001B3767" w:rsidP="006B7B89">
      <w:pPr>
        <w:pStyle w:val="texto"/>
        <w:spacing w:after="240"/>
        <w:rPr>
          <w:lang w:val="es-ES"/>
        </w:rPr>
      </w:pPr>
      <w:r w:rsidRPr="006D43A7">
        <w:rPr>
          <w:lang w:val="es-ES"/>
        </w:rPr>
        <w:t>En la comarca de Pamplona, las actuaciones relativas a la nueva Línea de A</w:t>
      </w:r>
      <w:r w:rsidRPr="006D43A7">
        <w:rPr>
          <w:lang w:val="es-ES"/>
        </w:rPr>
        <w:t>l</w:t>
      </w:r>
      <w:r w:rsidRPr="006D43A7">
        <w:rPr>
          <w:lang w:val="es-ES"/>
        </w:rPr>
        <w:t>ta Velocidad se llevarán a cabo de forma coordinada según el Protocolo Gen</w:t>
      </w:r>
      <w:r w:rsidRPr="006D43A7">
        <w:rPr>
          <w:lang w:val="es-ES"/>
        </w:rPr>
        <w:t>e</w:t>
      </w:r>
      <w:r w:rsidRPr="006D43A7">
        <w:rPr>
          <w:lang w:val="es-ES"/>
        </w:rPr>
        <w:t xml:space="preserve">ral firmado en 2009 entre el Ministerio de Fomento, ADIF, la Administración de la Comunidad Foral de Navarra y el Consorcio “Alta Velocidad – Comarca de Pamplona” (integrado por la Administración Foral y los Ayuntamientos de </w:t>
      </w:r>
      <w:r w:rsidRPr="006D43A7">
        <w:rPr>
          <w:lang w:val="es-ES"/>
        </w:rPr>
        <w:lastRenderedPageBreak/>
        <w:t xml:space="preserve">Pamplona, </w:t>
      </w:r>
      <w:proofErr w:type="spellStart"/>
      <w:r w:rsidRPr="006D43A7">
        <w:rPr>
          <w:lang w:val="es-ES"/>
        </w:rPr>
        <w:t>Zizur</w:t>
      </w:r>
      <w:proofErr w:type="spellEnd"/>
      <w:r w:rsidRPr="006D43A7">
        <w:rPr>
          <w:lang w:val="es-ES"/>
        </w:rPr>
        <w:t xml:space="preserve"> Mayor y </w:t>
      </w:r>
      <w:proofErr w:type="spellStart"/>
      <w:r w:rsidRPr="006D43A7">
        <w:rPr>
          <w:lang w:val="es-ES"/>
        </w:rPr>
        <w:t>Cendea</w:t>
      </w:r>
      <w:proofErr w:type="spellEnd"/>
      <w:r w:rsidRPr="006D43A7">
        <w:rPr>
          <w:lang w:val="es-ES"/>
        </w:rPr>
        <w:t xml:space="preserve"> de </w:t>
      </w:r>
      <w:proofErr w:type="spellStart"/>
      <w:r w:rsidRPr="006D43A7">
        <w:rPr>
          <w:lang w:val="es-ES"/>
        </w:rPr>
        <w:t>Cizur</w:t>
      </w:r>
      <w:proofErr w:type="spellEnd"/>
      <w:r w:rsidRPr="006D43A7">
        <w:rPr>
          <w:lang w:val="es-ES"/>
        </w:rPr>
        <w:t>). El coste previsto total era de 110 millones y correspondía a las siguientes actuaciones:</w:t>
      </w:r>
    </w:p>
    <w:p w:rsidR="006B7B89" w:rsidRPr="00E05116" w:rsidRDefault="006B7B89" w:rsidP="006B7B89">
      <w:pPr>
        <w:pStyle w:val="texto"/>
        <w:spacing w:after="80"/>
        <w:jc w:val="right"/>
        <w:rPr>
          <w:rFonts w:ascii="Arial" w:hAnsi="Arial" w:cs="Arial"/>
          <w:sz w:val="16"/>
          <w:szCs w:val="16"/>
          <w:lang w:val="es-ES" w:eastAsia="es-ES"/>
        </w:rPr>
      </w:pPr>
      <w:r w:rsidRPr="00E05116">
        <w:rPr>
          <w:rFonts w:ascii="Arial" w:hAnsi="Arial" w:cs="Arial"/>
          <w:sz w:val="16"/>
          <w:szCs w:val="16"/>
          <w:lang w:val="es-ES" w:eastAsia="es-ES"/>
        </w:rPr>
        <w:t>(</w:t>
      </w:r>
      <w:proofErr w:type="gramStart"/>
      <w:r w:rsidRPr="00E05116">
        <w:rPr>
          <w:rFonts w:ascii="Arial" w:hAnsi="Arial" w:cs="Arial"/>
          <w:sz w:val="16"/>
          <w:szCs w:val="16"/>
          <w:lang w:val="es-ES" w:eastAsia="es-ES"/>
        </w:rPr>
        <w:t>millones</w:t>
      </w:r>
      <w:proofErr w:type="gramEnd"/>
      <w:r w:rsidRPr="00E05116">
        <w:rPr>
          <w:rFonts w:ascii="Arial" w:hAnsi="Arial" w:cs="Arial"/>
          <w:sz w:val="16"/>
          <w:szCs w:val="16"/>
          <w:lang w:val="es-ES" w:eastAsia="es-ES"/>
        </w:rPr>
        <w:t>)</w:t>
      </w:r>
    </w:p>
    <w:tbl>
      <w:tblPr>
        <w:tblW w:w="881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880"/>
        <w:gridCol w:w="2934"/>
      </w:tblGrid>
      <w:tr w:rsidR="000E740F" w:rsidRPr="000B3FA6" w:rsidTr="00A02534">
        <w:trPr>
          <w:trHeight w:val="340"/>
          <w:jc w:val="center"/>
        </w:trPr>
        <w:tc>
          <w:tcPr>
            <w:tcW w:w="5880" w:type="dxa"/>
            <w:tcBorders>
              <w:top w:val="single" w:sz="4" w:space="0" w:color="auto"/>
              <w:left w:val="nil"/>
              <w:bottom w:val="single" w:sz="4" w:space="0" w:color="auto"/>
              <w:right w:val="nil"/>
            </w:tcBorders>
            <w:shd w:val="clear" w:color="auto" w:fill="8DB3E2" w:themeFill="text2" w:themeFillTint="66"/>
            <w:noWrap/>
            <w:vAlign w:val="center"/>
          </w:tcPr>
          <w:p w:rsidR="000E740F" w:rsidRPr="000E740F" w:rsidRDefault="000E740F" w:rsidP="007A01AC">
            <w:pPr>
              <w:pStyle w:val="cuadroCabe"/>
              <w:jc w:val="left"/>
            </w:pPr>
            <w:r>
              <w:t>Red ferroviaria Comarca Pamplona</w:t>
            </w:r>
          </w:p>
        </w:tc>
        <w:tc>
          <w:tcPr>
            <w:tcW w:w="2934" w:type="dxa"/>
            <w:tcBorders>
              <w:top w:val="single" w:sz="4" w:space="0" w:color="auto"/>
              <w:left w:val="nil"/>
              <w:bottom w:val="single" w:sz="4" w:space="0" w:color="auto"/>
              <w:right w:val="nil"/>
            </w:tcBorders>
            <w:shd w:val="clear" w:color="auto" w:fill="8DB3E2" w:themeFill="text2" w:themeFillTint="66"/>
            <w:noWrap/>
            <w:vAlign w:val="center"/>
          </w:tcPr>
          <w:p w:rsidR="000E740F" w:rsidRPr="000E740F" w:rsidRDefault="000E740F" w:rsidP="007A01AC">
            <w:pPr>
              <w:pStyle w:val="cuadroCabe"/>
              <w:jc w:val="right"/>
            </w:pPr>
            <w:r>
              <w:t>Coste previsto</w:t>
            </w:r>
          </w:p>
        </w:tc>
      </w:tr>
      <w:tr w:rsidR="001B3767" w:rsidRPr="000E740F" w:rsidTr="00A02534">
        <w:trPr>
          <w:trHeight w:val="255"/>
          <w:jc w:val="center"/>
        </w:trPr>
        <w:tc>
          <w:tcPr>
            <w:tcW w:w="5880" w:type="dxa"/>
            <w:tcBorders>
              <w:top w:val="single" w:sz="4" w:space="0" w:color="auto"/>
              <w:left w:val="nil"/>
              <w:bottom w:val="single" w:sz="2" w:space="0" w:color="auto"/>
              <w:right w:val="nil"/>
            </w:tcBorders>
            <w:noWrap/>
            <w:vAlign w:val="center"/>
          </w:tcPr>
          <w:p w:rsidR="001B3767" w:rsidRPr="000E740F" w:rsidRDefault="000E740F" w:rsidP="000E740F">
            <w:pPr>
              <w:pStyle w:val="cuatexto"/>
              <w:jc w:val="left"/>
              <w:rPr>
                <w:szCs w:val="20"/>
              </w:rPr>
            </w:pPr>
            <w:r>
              <w:rPr>
                <w:szCs w:val="20"/>
              </w:rPr>
              <w:t>P</w:t>
            </w:r>
            <w:r w:rsidR="001B3767" w:rsidRPr="000E740F">
              <w:rPr>
                <w:szCs w:val="20"/>
              </w:rPr>
              <w:t>lataforma nueva red ferroviaria</w:t>
            </w:r>
          </w:p>
        </w:tc>
        <w:tc>
          <w:tcPr>
            <w:tcW w:w="2934" w:type="dxa"/>
            <w:tcBorders>
              <w:top w:val="single" w:sz="4" w:space="0" w:color="auto"/>
              <w:left w:val="nil"/>
              <w:bottom w:val="single" w:sz="2" w:space="0" w:color="auto"/>
              <w:right w:val="nil"/>
            </w:tcBorders>
            <w:noWrap/>
            <w:vAlign w:val="center"/>
          </w:tcPr>
          <w:p w:rsidR="001B3767" w:rsidRPr="000E740F" w:rsidRDefault="001B3767" w:rsidP="000E740F">
            <w:pPr>
              <w:pStyle w:val="cuatexto"/>
              <w:jc w:val="right"/>
              <w:rPr>
                <w:szCs w:val="20"/>
              </w:rPr>
            </w:pPr>
            <w:r w:rsidRPr="000E740F">
              <w:rPr>
                <w:szCs w:val="20"/>
              </w:rPr>
              <w:t>52,40</w:t>
            </w:r>
          </w:p>
        </w:tc>
      </w:tr>
      <w:tr w:rsidR="001B3767" w:rsidRPr="000E740F"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left"/>
              <w:rPr>
                <w:szCs w:val="20"/>
              </w:rPr>
            </w:pPr>
            <w:r w:rsidRPr="000E740F">
              <w:rPr>
                <w:szCs w:val="20"/>
              </w:rPr>
              <w:t>Superestructura ferroviaria</w:t>
            </w:r>
          </w:p>
        </w:tc>
        <w:tc>
          <w:tcPr>
            <w:tcW w:w="2934"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right"/>
              <w:rPr>
                <w:szCs w:val="20"/>
              </w:rPr>
            </w:pPr>
            <w:r w:rsidRPr="000E740F">
              <w:rPr>
                <w:szCs w:val="20"/>
              </w:rPr>
              <w:t>20,20</w:t>
            </w:r>
          </w:p>
        </w:tc>
      </w:tr>
      <w:tr w:rsidR="001B3767" w:rsidRPr="000E740F"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left"/>
              <w:rPr>
                <w:szCs w:val="20"/>
              </w:rPr>
            </w:pPr>
            <w:r w:rsidRPr="000E740F">
              <w:rPr>
                <w:szCs w:val="20"/>
              </w:rPr>
              <w:t>Nueva estación</w:t>
            </w:r>
          </w:p>
        </w:tc>
        <w:tc>
          <w:tcPr>
            <w:tcW w:w="2934"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right"/>
              <w:rPr>
                <w:szCs w:val="20"/>
              </w:rPr>
            </w:pPr>
            <w:r w:rsidRPr="000E740F">
              <w:rPr>
                <w:szCs w:val="20"/>
              </w:rPr>
              <w:t>26,00</w:t>
            </w:r>
          </w:p>
        </w:tc>
      </w:tr>
      <w:tr w:rsidR="001B3767" w:rsidRPr="000E740F"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left"/>
              <w:rPr>
                <w:szCs w:val="20"/>
              </w:rPr>
            </w:pPr>
            <w:r w:rsidRPr="000E740F">
              <w:rPr>
                <w:szCs w:val="20"/>
              </w:rPr>
              <w:t>Reposición de servicios afectados</w:t>
            </w:r>
          </w:p>
        </w:tc>
        <w:tc>
          <w:tcPr>
            <w:tcW w:w="2934"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right"/>
              <w:rPr>
                <w:szCs w:val="20"/>
              </w:rPr>
            </w:pPr>
            <w:r w:rsidRPr="000E740F">
              <w:rPr>
                <w:szCs w:val="20"/>
              </w:rPr>
              <w:t>3,90</w:t>
            </w:r>
          </w:p>
        </w:tc>
      </w:tr>
      <w:tr w:rsidR="001B3767" w:rsidRPr="000E740F" w:rsidTr="00A02534">
        <w:trPr>
          <w:trHeight w:val="255"/>
          <w:jc w:val="center"/>
        </w:trPr>
        <w:tc>
          <w:tcPr>
            <w:tcW w:w="5880"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left"/>
              <w:rPr>
                <w:szCs w:val="20"/>
              </w:rPr>
            </w:pPr>
            <w:r w:rsidRPr="000E740F">
              <w:rPr>
                <w:szCs w:val="20"/>
              </w:rPr>
              <w:t>Control calidad y asistencia técnica</w:t>
            </w:r>
          </w:p>
        </w:tc>
        <w:tc>
          <w:tcPr>
            <w:tcW w:w="2934" w:type="dxa"/>
            <w:tcBorders>
              <w:top w:val="single" w:sz="2" w:space="0" w:color="auto"/>
              <w:left w:val="nil"/>
              <w:bottom w:val="single" w:sz="2" w:space="0" w:color="auto"/>
              <w:right w:val="nil"/>
            </w:tcBorders>
            <w:noWrap/>
            <w:vAlign w:val="center"/>
          </w:tcPr>
          <w:p w:rsidR="001B3767" w:rsidRPr="000E740F" w:rsidRDefault="001B3767" w:rsidP="000E740F">
            <w:pPr>
              <w:pStyle w:val="cuatexto"/>
              <w:jc w:val="right"/>
              <w:rPr>
                <w:szCs w:val="20"/>
              </w:rPr>
            </w:pPr>
            <w:r w:rsidRPr="000E740F">
              <w:rPr>
                <w:szCs w:val="20"/>
              </w:rPr>
              <w:t>2,50</w:t>
            </w:r>
          </w:p>
        </w:tc>
      </w:tr>
      <w:tr w:rsidR="001B3767" w:rsidRPr="000E740F" w:rsidTr="00A02534">
        <w:trPr>
          <w:trHeight w:val="255"/>
          <w:jc w:val="center"/>
        </w:trPr>
        <w:tc>
          <w:tcPr>
            <w:tcW w:w="5880" w:type="dxa"/>
            <w:tcBorders>
              <w:top w:val="single" w:sz="2" w:space="0" w:color="auto"/>
              <w:left w:val="nil"/>
              <w:bottom w:val="single" w:sz="4" w:space="0" w:color="auto"/>
              <w:right w:val="nil"/>
            </w:tcBorders>
            <w:noWrap/>
            <w:vAlign w:val="center"/>
          </w:tcPr>
          <w:p w:rsidR="001B3767" w:rsidRPr="000E740F" w:rsidRDefault="001B3767" w:rsidP="000E740F">
            <w:pPr>
              <w:pStyle w:val="cuatexto"/>
              <w:jc w:val="left"/>
              <w:rPr>
                <w:szCs w:val="20"/>
              </w:rPr>
            </w:pPr>
            <w:r w:rsidRPr="000E740F">
              <w:rPr>
                <w:szCs w:val="20"/>
              </w:rPr>
              <w:t>Terrenos</w:t>
            </w:r>
          </w:p>
        </w:tc>
        <w:tc>
          <w:tcPr>
            <w:tcW w:w="2934" w:type="dxa"/>
            <w:tcBorders>
              <w:top w:val="single" w:sz="2" w:space="0" w:color="auto"/>
              <w:left w:val="nil"/>
              <w:bottom w:val="single" w:sz="4" w:space="0" w:color="auto"/>
              <w:right w:val="nil"/>
            </w:tcBorders>
            <w:noWrap/>
            <w:vAlign w:val="center"/>
          </w:tcPr>
          <w:p w:rsidR="001B3767" w:rsidRPr="000E740F" w:rsidRDefault="001B3767" w:rsidP="000E740F">
            <w:pPr>
              <w:pStyle w:val="cuatexto"/>
              <w:jc w:val="right"/>
              <w:rPr>
                <w:szCs w:val="20"/>
              </w:rPr>
            </w:pPr>
            <w:r w:rsidRPr="000E740F">
              <w:rPr>
                <w:szCs w:val="20"/>
              </w:rPr>
              <w:t>5,00</w:t>
            </w:r>
          </w:p>
        </w:tc>
      </w:tr>
      <w:tr w:rsidR="001B3767" w:rsidRPr="000B3FA6" w:rsidTr="00A02534">
        <w:trPr>
          <w:trHeight w:val="312"/>
          <w:jc w:val="center"/>
        </w:trPr>
        <w:tc>
          <w:tcPr>
            <w:tcW w:w="5880" w:type="dxa"/>
            <w:tcBorders>
              <w:top w:val="single" w:sz="4" w:space="0" w:color="auto"/>
              <w:left w:val="nil"/>
              <w:bottom w:val="single" w:sz="4" w:space="0" w:color="auto"/>
              <w:right w:val="nil"/>
            </w:tcBorders>
            <w:shd w:val="clear" w:color="auto" w:fill="8DB3E2" w:themeFill="text2" w:themeFillTint="66"/>
            <w:noWrap/>
            <w:vAlign w:val="center"/>
          </w:tcPr>
          <w:p w:rsidR="001B3767" w:rsidRPr="000E740F" w:rsidRDefault="001B3767" w:rsidP="000E740F">
            <w:pPr>
              <w:pStyle w:val="cuadroCabe"/>
              <w:jc w:val="left"/>
            </w:pPr>
            <w:r w:rsidRPr="000E740F">
              <w:t>Total coste previsto</w:t>
            </w:r>
          </w:p>
        </w:tc>
        <w:tc>
          <w:tcPr>
            <w:tcW w:w="2934" w:type="dxa"/>
            <w:tcBorders>
              <w:top w:val="single" w:sz="4" w:space="0" w:color="auto"/>
              <w:left w:val="nil"/>
              <w:bottom w:val="single" w:sz="4" w:space="0" w:color="auto"/>
              <w:right w:val="nil"/>
            </w:tcBorders>
            <w:shd w:val="clear" w:color="auto" w:fill="8DB3E2" w:themeFill="text2" w:themeFillTint="66"/>
            <w:noWrap/>
            <w:vAlign w:val="center"/>
          </w:tcPr>
          <w:p w:rsidR="001B3767" w:rsidRPr="000E740F" w:rsidRDefault="001B3767" w:rsidP="000E740F">
            <w:pPr>
              <w:pStyle w:val="cuadroCabe"/>
              <w:jc w:val="right"/>
            </w:pPr>
            <w:r w:rsidRPr="000E740F">
              <w:fldChar w:fldCharType="begin"/>
            </w:r>
            <w:r w:rsidRPr="000E740F">
              <w:instrText xml:space="preserve"> =SUM(ABOVE) </w:instrText>
            </w:r>
            <w:r w:rsidRPr="000E740F">
              <w:fldChar w:fldCharType="separate"/>
            </w:r>
            <w:r w:rsidRPr="000E740F">
              <w:t>110</w:t>
            </w:r>
            <w:r w:rsidRPr="000E740F">
              <w:fldChar w:fldCharType="end"/>
            </w:r>
          </w:p>
        </w:tc>
      </w:tr>
    </w:tbl>
    <w:p w:rsidR="001B3767" w:rsidRPr="006D43A7" w:rsidRDefault="00B16BC8" w:rsidP="006B7B89">
      <w:pPr>
        <w:pStyle w:val="texto"/>
        <w:spacing w:before="280" w:after="180"/>
        <w:rPr>
          <w:lang w:val="es-ES"/>
        </w:rPr>
      </w:pPr>
      <w:r>
        <w:rPr>
          <w:lang w:val="es-ES"/>
        </w:rPr>
        <w:t>E</w:t>
      </w:r>
      <w:r w:rsidR="001B3767" w:rsidRPr="006D43A7">
        <w:rPr>
          <w:lang w:val="es-ES"/>
        </w:rPr>
        <w:t>l Plan Sectorial de Incidencia Supramunicipal (PSIS) de desarrollo del Área de la Nueva Estación de Alta Velocidad y el Área de la Antigua Estación del Tren en Pamplona</w:t>
      </w:r>
      <w:r>
        <w:rPr>
          <w:lang w:val="es-ES"/>
        </w:rPr>
        <w:t xml:space="preserve"> se aprobó</w:t>
      </w:r>
      <w:r w:rsidR="001B3767" w:rsidRPr="006D43A7">
        <w:rPr>
          <w:lang w:val="es-ES"/>
        </w:rPr>
        <w:t xml:space="preserve"> definitivamente en 2010. El coste previsto de este desarrollo</w:t>
      </w:r>
      <w:r>
        <w:rPr>
          <w:lang w:val="es-ES"/>
        </w:rPr>
        <w:t>, a cuenta del Consorcio,</w:t>
      </w:r>
      <w:r w:rsidR="001B3767" w:rsidRPr="006D43A7">
        <w:rPr>
          <w:lang w:val="es-ES"/>
        </w:rPr>
        <w:t xml:space="preserve"> asciende a 296,76 millones.</w:t>
      </w:r>
    </w:p>
    <w:p w:rsidR="001B3767" w:rsidRPr="006D43A7" w:rsidRDefault="001B3767" w:rsidP="006B7B89">
      <w:pPr>
        <w:pStyle w:val="texto"/>
        <w:spacing w:after="180"/>
        <w:rPr>
          <w:lang w:val="es-ES"/>
        </w:rPr>
      </w:pPr>
      <w:r w:rsidRPr="006D43A7">
        <w:rPr>
          <w:lang w:val="es-ES"/>
        </w:rPr>
        <w:t>El Consorcio dispondrá de los aprovechamientos y derechos indemnizatorios de los terrenos que serán transmitidos por ADIF e incluidos en el ámbito del correspondiente PSIS. Como contraprestación, el Consorcio abonará a ADIF los costes de la infraestructura ferroviaria hasta 105 millones. Las obras de la nueva variante ferroviaria y de la nueva estación serán ejecutadas por ADIF.</w:t>
      </w:r>
    </w:p>
    <w:p w:rsidR="001B3767" w:rsidRPr="006D43A7" w:rsidRDefault="001B3767" w:rsidP="006B7B89">
      <w:pPr>
        <w:pStyle w:val="texto"/>
        <w:spacing w:after="180"/>
        <w:rPr>
          <w:lang w:val="es-ES"/>
        </w:rPr>
      </w:pPr>
      <w:r w:rsidRPr="006D43A7">
        <w:rPr>
          <w:lang w:val="es-ES"/>
        </w:rPr>
        <w:t>En febrero 2014 se inició el expediente de redacción del Proyecto de Repa</w:t>
      </w:r>
      <w:r w:rsidRPr="006D43A7">
        <w:rPr>
          <w:lang w:val="es-ES"/>
        </w:rPr>
        <w:t>r</w:t>
      </w:r>
      <w:r w:rsidRPr="006D43A7">
        <w:rPr>
          <w:lang w:val="es-ES"/>
        </w:rPr>
        <w:t>celación del PSIS, actualmente en fase de alegaciones.</w:t>
      </w:r>
    </w:p>
    <w:p w:rsidR="001B3767" w:rsidRPr="006D43A7" w:rsidRDefault="001B3767" w:rsidP="006B7B89">
      <w:pPr>
        <w:pStyle w:val="texto"/>
        <w:spacing w:after="180"/>
        <w:rPr>
          <w:lang w:val="es-ES"/>
        </w:rPr>
      </w:pPr>
      <w:r w:rsidRPr="006D43A7">
        <w:rPr>
          <w:lang w:val="es-ES"/>
        </w:rPr>
        <w:t xml:space="preserve">El Protocolo firmado en 2009 no se ha desarrollado mediante la firma de los convenios correspondientes entre las </w:t>
      </w:r>
      <w:r w:rsidR="00B749EB" w:rsidRPr="006D43A7">
        <w:rPr>
          <w:lang w:val="es-ES"/>
        </w:rPr>
        <w:t xml:space="preserve">administraciones </w:t>
      </w:r>
      <w:r w:rsidRPr="006D43A7">
        <w:rPr>
          <w:lang w:val="es-ES"/>
        </w:rPr>
        <w:t xml:space="preserve">implicadas. </w:t>
      </w:r>
    </w:p>
    <w:p w:rsidR="001B3767" w:rsidRPr="005C1416" w:rsidRDefault="005C1416" w:rsidP="006B7B89">
      <w:pPr>
        <w:pStyle w:val="texto"/>
        <w:spacing w:after="180"/>
        <w:rPr>
          <w:spacing w:val="3"/>
        </w:rPr>
      </w:pPr>
      <w:r w:rsidRPr="005C1416">
        <w:rPr>
          <w:spacing w:val="3"/>
        </w:rPr>
        <w:t>Est</w:t>
      </w:r>
      <w:r w:rsidR="00B16BC8" w:rsidRPr="005C1416">
        <w:rPr>
          <w:spacing w:val="3"/>
        </w:rPr>
        <w:t xml:space="preserve">á pendiente de resolución un recurso ante el Tribunal Supremo en relación con </w:t>
      </w:r>
      <w:r w:rsidRPr="005C1416">
        <w:rPr>
          <w:spacing w:val="3"/>
        </w:rPr>
        <w:t xml:space="preserve">la </w:t>
      </w:r>
      <w:r w:rsidR="00B16BC8" w:rsidRPr="005C1416">
        <w:rPr>
          <w:spacing w:val="3"/>
        </w:rPr>
        <w:t>anulación de la vigencia de la Declaración de Impacto Ambiental elabor</w:t>
      </w:r>
      <w:r w:rsidR="00B16BC8" w:rsidRPr="005C1416">
        <w:rPr>
          <w:spacing w:val="3"/>
        </w:rPr>
        <w:t>a</w:t>
      </w:r>
      <w:r w:rsidR="00B16BC8" w:rsidRPr="005C1416">
        <w:rPr>
          <w:spacing w:val="3"/>
        </w:rPr>
        <w:t>da por el Ministerio de Fomento relativa al tramo Pamplona-Castejón y al Bucle de Pamplona</w:t>
      </w:r>
      <w:r w:rsidRPr="005C1416">
        <w:rPr>
          <w:spacing w:val="3"/>
        </w:rPr>
        <w:t>.</w:t>
      </w:r>
    </w:p>
    <w:p w:rsidR="001B3767" w:rsidRPr="006D43A7" w:rsidRDefault="001B3767" w:rsidP="006B7B89">
      <w:pPr>
        <w:pStyle w:val="texto"/>
        <w:spacing w:after="180"/>
        <w:rPr>
          <w:lang w:val="es-ES"/>
        </w:rPr>
      </w:pPr>
      <w:r w:rsidRPr="006D43A7">
        <w:rPr>
          <w:lang w:val="es-ES"/>
        </w:rPr>
        <w:t>En conclusión, la inversión del Tren de Alta Velocidad correspondiente al Estado pero cuyas actuaciones en territorio navarro se</w:t>
      </w:r>
      <w:r w:rsidR="00A26C7F">
        <w:rPr>
          <w:lang w:val="es-ES"/>
        </w:rPr>
        <w:t xml:space="preserve"> </w:t>
      </w:r>
      <w:proofErr w:type="gramStart"/>
      <w:r w:rsidR="00A26C7F">
        <w:rPr>
          <w:lang w:val="es-ES"/>
        </w:rPr>
        <w:t>ejecutan</w:t>
      </w:r>
      <w:proofErr w:type="gramEnd"/>
      <w:r w:rsidRPr="006D43A7">
        <w:rPr>
          <w:lang w:val="es-ES"/>
        </w:rPr>
        <w:t xml:space="preserve"> por la Admini</w:t>
      </w:r>
      <w:r w:rsidRPr="006D43A7">
        <w:rPr>
          <w:lang w:val="es-ES"/>
        </w:rPr>
        <w:t>s</w:t>
      </w:r>
      <w:r w:rsidRPr="006D43A7">
        <w:rPr>
          <w:lang w:val="es-ES"/>
        </w:rPr>
        <w:t>tración Foral en coordinación y a cuenta del Estado, acumula significativos r</w:t>
      </w:r>
      <w:r w:rsidRPr="006D43A7">
        <w:rPr>
          <w:lang w:val="es-ES"/>
        </w:rPr>
        <w:t>e</w:t>
      </w:r>
      <w:r w:rsidR="002C08C9">
        <w:rPr>
          <w:lang w:val="es-ES"/>
        </w:rPr>
        <w:t xml:space="preserve">trasos en su ejecución e incertidumbre sobre el diseño y materialización futura. </w:t>
      </w:r>
      <w:r w:rsidRPr="006D43A7">
        <w:rPr>
          <w:lang w:val="es-ES"/>
        </w:rPr>
        <w:t xml:space="preserve">El convenio firmado entre ambas Administraciones no está actualizado en, al menos, la nueva programación de actuaciones y costes asociados a las mismas. </w:t>
      </w:r>
    </w:p>
    <w:p w:rsidR="00FB4BAF" w:rsidRDefault="00FB4BAF" w:rsidP="00FB4BAF">
      <w:pPr>
        <w:pStyle w:val="texto"/>
        <w:spacing w:after="180"/>
        <w:rPr>
          <w:spacing w:val="3"/>
        </w:rPr>
      </w:pPr>
    </w:p>
    <w:p w:rsidR="00FB4BAF" w:rsidRPr="00FB4BAF" w:rsidRDefault="00FB4BAF" w:rsidP="00FB4BAF">
      <w:pPr>
        <w:pStyle w:val="texto"/>
        <w:spacing w:after="180"/>
        <w:rPr>
          <w:spacing w:val="3"/>
        </w:rPr>
      </w:pPr>
    </w:p>
    <w:p w:rsidR="0080281D" w:rsidRPr="00E26A4B" w:rsidRDefault="0080281D" w:rsidP="00553052">
      <w:pPr>
        <w:pStyle w:val="atitulo3"/>
        <w:spacing w:before="320" w:after="200"/>
        <w:rPr>
          <w:rFonts w:cs="Arial"/>
        </w:rPr>
      </w:pPr>
      <w:r w:rsidRPr="00E26A4B">
        <w:rPr>
          <w:rFonts w:cs="Arial"/>
        </w:rPr>
        <w:lastRenderedPageBreak/>
        <w:t>VII.</w:t>
      </w:r>
      <w:r>
        <w:rPr>
          <w:rFonts w:cs="Arial"/>
        </w:rPr>
        <w:t>6</w:t>
      </w:r>
      <w:r w:rsidRPr="00E26A4B">
        <w:rPr>
          <w:rFonts w:cs="Arial"/>
        </w:rPr>
        <w:t>.</w:t>
      </w:r>
      <w:r>
        <w:rPr>
          <w:rFonts w:cs="Arial"/>
        </w:rPr>
        <w:t>2</w:t>
      </w:r>
      <w:r w:rsidRPr="00E26A4B">
        <w:rPr>
          <w:rFonts w:cs="Arial"/>
        </w:rPr>
        <w:t xml:space="preserve"> </w:t>
      </w:r>
      <w:r>
        <w:rPr>
          <w:rFonts w:cs="Arial"/>
        </w:rPr>
        <w:t>Muestra de contratos revisados</w:t>
      </w:r>
    </w:p>
    <w:p w:rsidR="001B3767" w:rsidRPr="006D43A7" w:rsidRDefault="001B3767" w:rsidP="00553052">
      <w:pPr>
        <w:pStyle w:val="texto"/>
        <w:spacing w:after="200"/>
        <w:rPr>
          <w:lang w:val="es-ES"/>
        </w:rPr>
      </w:pPr>
      <w:r w:rsidRPr="006D43A7">
        <w:rPr>
          <w:lang w:val="es-ES"/>
        </w:rPr>
        <w:t>Se han fiscalizado los siguientes contratos adjudicados en 2014:</w:t>
      </w:r>
    </w:p>
    <w:tbl>
      <w:tblPr>
        <w:tblW w:w="8725" w:type="dxa"/>
        <w:jc w:val="center"/>
        <w:tblBorders>
          <w:top w:val="single" w:sz="4" w:space="0" w:color="auto"/>
          <w:bottom w:val="single" w:sz="4" w:space="0" w:color="auto"/>
        </w:tblBorders>
        <w:tblLayout w:type="fixed"/>
        <w:tblLook w:val="01E0" w:firstRow="1" w:lastRow="1" w:firstColumn="1" w:lastColumn="1" w:noHBand="0" w:noVBand="0"/>
      </w:tblPr>
      <w:tblGrid>
        <w:gridCol w:w="1327"/>
        <w:gridCol w:w="2248"/>
        <w:gridCol w:w="1219"/>
        <w:gridCol w:w="1651"/>
        <w:gridCol w:w="1111"/>
        <w:gridCol w:w="1169"/>
      </w:tblGrid>
      <w:tr w:rsidR="001B3767" w:rsidRPr="007A01AC" w:rsidTr="00553052">
        <w:trPr>
          <w:trHeight w:val="340"/>
          <w:jc w:val="center"/>
        </w:trPr>
        <w:tc>
          <w:tcPr>
            <w:tcW w:w="1327"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left"/>
              <w:rPr>
                <w:sz w:val="16"/>
                <w:szCs w:val="16"/>
              </w:rPr>
            </w:pPr>
            <w:r w:rsidRPr="007A01AC">
              <w:rPr>
                <w:sz w:val="16"/>
                <w:szCs w:val="16"/>
              </w:rPr>
              <w:t xml:space="preserve">Organismo </w:t>
            </w:r>
          </w:p>
          <w:p w:rsidR="001B3767" w:rsidRPr="007A01AC" w:rsidRDefault="001B3767" w:rsidP="007A01AC">
            <w:pPr>
              <w:pStyle w:val="cuadroCabe"/>
              <w:jc w:val="left"/>
              <w:rPr>
                <w:sz w:val="16"/>
                <w:szCs w:val="16"/>
              </w:rPr>
            </w:pPr>
            <w:r w:rsidRPr="007A01AC">
              <w:rPr>
                <w:sz w:val="16"/>
                <w:szCs w:val="16"/>
              </w:rPr>
              <w:t>contratante</w:t>
            </w:r>
          </w:p>
        </w:tc>
        <w:tc>
          <w:tcPr>
            <w:tcW w:w="2248"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left"/>
              <w:rPr>
                <w:sz w:val="16"/>
                <w:szCs w:val="16"/>
              </w:rPr>
            </w:pPr>
            <w:r w:rsidRPr="007A01AC">
              <w:rPr>
                <w:sz w:val="16"/>
                <w:szCs w:val="16"/>
              </w:rPr>
              <w:t>Objeto</w:t>
            </w:r>
          </w:p>
        </w:tc>
        <w:tc>
          <w:tcPr>
            <w:tcW w:w="1219"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left"/>
              <w:rPr>
                <w:sz w:val="16"/>
                <w:szCs w:val="16"/>
              </w:rPr>
            </w:pPr>
            <w:r w:rsidRPr="007A01AC">
              <w:rPr>
                <w:sz w:val="16"/>
                <w:szCs w:val="16"/>
              </w:rPr>
              <w:t>Tipo</w:t>
            </w:r>
          </w:p>
        </w:tc>
        <w:tc>
          <w:tcPr>
            <w:tcW w:w="1651"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left"/>
              <w:rPr>
                <w:sz w:val="16"/>
                <w:szCs w:val="16"/>
              </w:rPr>
            </w:pPr>
            <w:r w:rsidRPr="007A01AC">
              <w:rPr>
                <w:sz w:val="16"/>
                <w:szCs w:val="16"/>
              </w:rPr>
              <w:t>Procedimiento</w:t>
            </w:r>
          </w:p>
        </w:tc>
        <w:tc>
          <w:tcPr>
            <w:tcW w:w="1111"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right"/>
              <w:rPr>
                <w:sz w:val="16"/>
                <w:szCs w:val="16"/>
              </w:rPr>
            </w:pPr>
            <w:r w:rsidRPr="007A01AC">
              <w:rPr>
                <w:sz w:val="16"/>
                <w:szCs w:val="16"/>
              </w:rPr>
              <w:t xml:space="preserve">Precio licitación </w:t>
            </w:r>
          </w:p>
        </w:tc>
        <w:tc>
          <w:tcPr>
            <w:tcW w:w="1169" w:type="dxa"/>
            <w:tcBorders>
              <w:top w:val="single" w:sz="4" w:space="0" w:color="auto"/>
              <w:bottom w:val="single" w:sz="4" w:space="0" w:color="auto"/>
            </w:tcBorders>
            <w:shd w:val="clear" w:color="auto" w:fill="8DB3E2" w:themeFill="text2" w:themeFillTint="66"/>
            <w:vAlign w:val="center"/>
            <w:hideMark/>
          </w:tcPr>
          <w:p w:rsidR="001B3767" w:rsidRPr="007A01AC" w:rsidRDefault="001B3767" w:rsidP="007A01AC">
            <w:pPr>
              <w:pStyle w:val="cuadroCabe"/>
              <w:jc w:val="right"/>
              <w:rPr>
                <w:sz w:val="16"/>
                <w:szCs w:val="16"/>
              </w:rPr>
            </w:pPr>
            <w:r w:rsidRPr="007A01AC">
              <w:rPr>
                <w:sz w:val="16"/>
                <w:szCs w:val="16"/>
              </w:rPr>
              <w:t xml:space="preserve">Importe </w:t>
            </w:r>
          </w:p>
          <w:p w:rsidR="001B3767" w:rsidRPr="007A01AC" w:rsidRDefault="001B3767" w:rsidP="007A01AC">
            <w:pPr>
              <w:pStyle w:val="cuadroCabe"/>
              <w:jc w:val="right"/>
              <w:rPr>
                <w:sz w:val="16"/>
                <w:szCs w:val="16"/>
              </w:rPr>
            </w:pPr>
            <w:proofErr w:type="spellStart"/>
            <w:proofErr w:type="gramStart"/>
            <w:r w:rsidRPr="007A01AC">
              <w:rPr>
                <w:sz w:val="16"/>
                <w:szCs w:val="16"/>
              </w:rPr>
              <w:t>adjudic</w:t>
            </w:r>
            <w:proofErr w:type="spellEnd"/>
            <w:proofErr w:type="gramEnd"/>
            <w:r w:rsidRPr="007A01AC">
              <w:rPr>
                <w:sz w:val="16"/>
                <w:szCs w:val="16"/>
              </w:rPr>
              <w:t xml:space="preserve">. </w:t>
            </w:r>
          </w:p>
        </w:tc>
      </w:tr>
      <w:tr w:rsidR="001B3767" w:rsidRPr="007A01AC" w:rsidTr="00553052">
        <w:trPr>
          <w:trHeight w:val="227"/>
          <w:jc w:val="center"/>
        </w:trPr>
        <w:tc>
          <w:tcPr>
            <w:tcW w:w="1327" w:type="dxa"/>
            <w:vMerge w:val="restart"/>
            <w:tcBorders>
              <w:top w:val="single" w:sz="4" w:space="0" w:color="auto"/>
            </w:tcBorders>
            <w:vAlign w:val="center"/>
          </w:tcPr>
          <w:p w:rsidR="001B3767" w:rsidRPr="007A01AC" w:rsidRDefault="001B3767" w:rsidP="007A01AC">
            <w:pPr>
              <w:pStyle w:val="cuatexto"/>
              <w:jc w:val="left"/>
              <w:rPr>
                <w:sz w:val="18"/>
                <w:szCs w:val="18"/>
              </w:rPr>
            </w:pPr>
            <w:r w:rsidRPr="007A01AC">
              <w:rPr>
                <w:sz w:val="18"/>
                <w:szCs w:val="18"/>
              </w:rPr>
              <w:t>SNS-O</w:t>
            </w:r>
          </w:p>
        </w:tc>
        <w:tc>
          <w:tcPr>
            <w:tcW w:w="2248" w:type="dxa"/>
            <w:tcBorders>
              <w:top w:val="single" w:sz="4" w:space="0" w:color="auto"/>
              <w:bottom w:val="single" w:sz="2" w:space="0" w:color="auto"/>
            </w:tcBorders>
            <w:vAlign w:val="center"/>
          </w:tcPr>
          <w:p w:rsidR="001B3767" w:rsidRPr="007A01AC" w:rsidRDefault="001B3767" w:rsidP="007A01AC">
            <w:pPr>
              <w:pStyle w:val="cuatexto"/>
              <w:jc w:val="left"/>
              <w:rPr>
                <w:sz w:val="18"/>
                <w:szCs w:val="18"/>
              </w:rPr>
            </w:pPr>
            <w:r w:rsidRPr="007A01AC">
              <w:rPr>
                <w:sz w:val="18"/>
                <w:szCs w:val="18"/>
              </w:rPr>
              <w:t>Equipamiento médico</w:t>
            </w:r>
          </w:p>
        </w:tc>
        <w:tc>
          <w:tcPr>
            <w:tcW w:w="1219" w:type="dxa"/>
            <w:tcBorders>
              <w:top w:val="single" w:sz="4" w:space="0" w:color="auto"/>
              <w:bottom w:val="single" w:sz="2" w:space="0" w:color="auto"/>
            </w:tcBorders>
            <w:vAlign w:val="center"/>
          </w:tcPr>
          <w:p w:rsidR="001B3767" w:rsidRPr="007A01AC" w:rsidRDefault="001B3767" w:rsidP="007A01AC">
            <w:pPr>
              <w:pStyle w:val="cuatexto"/>
              <w:jc w:val="left"/>
              <w:rPr>
                <w:sz w:val="18"/>
                <w:szCs w:val="18"/>
              </w:rPr>
            </w:pPr>
            <w:r w:rsidRPr="007A01AC">
              <w:rPr>
                <w:sz w:val="18"/>
                <w:szCs w:val="18"/>
              </w:rPr>
              <w:t>Suministro</w:t>
            </w:r>
          </w:p>
        </w:tc>
        <w:tc>
          <w:tcPr>
            <w:tcW w:w="1651" w:type="dxa"/>
            <w:tcBorders>
              <w:top w:val="single" w:sz="4" w:space="0" w:color="auto"/>
              <w:bottom w:val="single" w:sz="2" w:space="0" w:color="auto"/>
            </w:tcBorders>
            <w:vAlign w:val="center"/>
          </w:tcPr>
          <w:p w:rsidR="001B3767" w:rsidRPr="007A01AC" w:rsidRDefault="001B3767" w:rsidP="007A01AC">
            <w:pPr>
              <w:pStyle w:val="cuatexto"/>
              <w:jc w:val="left"/>
              <w:rPr>
                <w:sz w:val="18"/>
                <w:szCs w:val="18"/>
              </w:rPr>
            </w:pPr>
            <w:r w:rsidRPr="007A01AC">
              <w:rPr>
                <w:sz w:val="18"/>
                <w:szCs w:val="18"/>
              </w:rPr>
              <w:t>Negociado sin p</w:t>
            </w:r>
            <w:r w:rsidRPr="007A01AC">
              <w:rPr>
                <w:sz w:val="18"/>
                <w:szCs w:val="18"/>
              </w:rPr>
              <w:t>u</w:t>
            </w:r>
            <w:r w:rsidRPr="007A01AC">
              <w:rPr>
                <w:sz w:val="18"/>
                <w:szCs w:val="18"/>
              </w:rPr>
              <w:t>blicidad comunitaria</w:t>
            </w:r>
          </w:p>
        </w:tc>
        <w:tc>
          <w:tcPr>
            <w:tcW w:w="1111" w:type="dxa"/>
            <w:tcBorders>
              <w:top w:val="single" w:sz="4" w:space="0" w:color="auto"/>
              <w:bottom w:val="single" w:sz="2" w:space="0" w:color="auto"/>
            </w:tcBorders>
            <w:vAlign w:val="center"/>
          </w:tcPr>
          <w:p w:rsidR="001B3767" w:rsidRPr="007A01AC" w:rsidRDefault="001B3767" w:rsidP="007A01AC">
            <w:pPr>
              <w:pStyle w:val="cuatexto"/>
              <w:jc w:val="right"/>
              <w:rPr>
                <w:sz w:val="18"/>
                <w:szCs w:val="18"/>
              </w:rPr>
            </w:pPr>
            <w:r w:rsidRPr="007A01AC">
              <w:rPr>
                <w:sz w:val="18"/>
                <w:szCs w:val="18"/>
              </w:rPr>
              <w:t>183.400</w:t>
            </w:r>
          </w:p>
        </w:tc>
        <w:tc>
          <w:tcPr>
            <w:tcW w:w="1169" w:type="dxa"/>
            <w:tcBorders>
              <w:top w:val="single" w:sz="4" w:space="0" w:color="auto"/>
              <w:bottom w:val="single" w:sz="2" w:space="0" w:color="auto"/>
            </w:tcBorders>
            <w:vAlign w:val="center"/>
          </w:tcPr>
          <w:p w:rsidR="001B3767" w:rsidRPr="007A01AC" w:rsidRDefault="001B3767" w:rsidP="007A01AC">
            <w:pPr>
              <w:pStyle w:val="cuatexto"/>
              <w:jc w:val="right"/>
              <w:rPr>
                <w:sz w:val="18"/>
                <w:szCs w:val="18"/>
              </w:rPr>
            </w:pPr>
            <w:r w:rsidRPr="007A01AC">
              <w:rPr>
                <w:sz w:val="18"/>
                <w:szCs w:val="18"/>
              </w:rPr>
              <w:t>171.489</w:t>
            </w:r>
          </w:p>
        </w:tc>
      </w:tr>
      <w:tr w:rsidR="001B3767" w:rsidRPr="007A01AC" w:rsidTr="00553052">
        <w:trPr>
          <w:trHeight w:val="227"/>
          <w:jc w:val="center"/>
        </w:trPr>
        <w:tc>
          <w:tcPr>
            <w:tcW w:w="1327" w:type="dxa"/>
            <w:vMerge/>
          </w:tcPr>
          <w:p w:rsidR="001B3767" w:rsidRPr="007A01AC" w:rsidRDefault="001B3767" w:rsidP="007A01AC">
            <w:pPr>
              <w:pStyle w:val="cuatexto"/>
              <w:jc w:val="left"/>
              <w:rPr>
                <w:sz w:val="18"/>
                <w:szCs w:val="18"/>
              </w:rPr>
            </w:pPr>
          </w:p>
        </w:tc>
        <w:tc>
          <w:tcPr>
            <w:tcW w:w="2248" w:type="dxa"/>
            <w:tcBorders>
              <w:top w:val="single" w:sz="2" w:space="0" w:color="auto"/>
              <w:bottom w:val="single" w:sz="4" w:space="0" w:color="auto"/>
            </w:tcBorders>
            <w:vAlign w:val="center"/>
            <w:hideMark/>
          </w:tcPr>
          <w:p w:rsidR="001B3767" w:rsidRPr="007A01AC" w:rsidRDefault="001B3767" w:rsidP="007A01AC">
            <w:pPr>
              <w:pStyle w:val="cuatexto"/>
              <w:jc w:val="left"/>
              <w:rPr>
                <w:sz w:val="18"/>
                <w:szCs w:val="18"/>
              </w:rPr>
            </w:pPr>
            <w:r w:rsidRPr="007A01AC">
              <w:rPr>
                <w:sz w:val="18"/>
                <w:szCs w:val="18"/>
              </w:rPr>
              <w:t xml:space="preserve">Centro </w:t>
            </w:r>
            <w:proofErr w:type="spellStart"/>
            <w:r w:rsidRPr="007A01AC">
              <w:rPr>
                <w:sz w:val="18"/>
                <w:szCs w:val="18"/>
              </w:rPr>
              <w:t>psicogeriátrico</w:t>
            </w:r>
            <w:proofErr w:type="spellEnd"/>
          </w:p>
        </w:tc>
        <w:tc>
          <w:tcPr>
            <w:tcW w:w="1219" w:type="dxa"/>
            <w:tcBorders>
              <w:top w:val="single" w:sz="2" w:space="0" w:color="auto"/>
              <w:bottom w:val="single" w:sz="4" w:space="0" w:color="auto"/>
            </w:tcBorders>
            <w:vAlign w:val="center"/>
            <w:hideMark/>
          </w:tcPr>
          <w:p w:rsidR="001B3767" w:rsidRPr="007A01AC" w:rsidRDefault="001B3767" w:rsidP="007A01AC">
            <w:pPr>
              <w:pStyle w:val="cuatexto"/>
              <w:jc w:val="left"/>
              <w:rPr>
                <w:sz w:val="18"/>
                <w:szCs w:val="18"/>
              </w:rPr>
            </w:pPr>
            <w:r w:rsidRPr="007A01AC">
              <w:rPr>
                <w:sz w:val="18"/>
                <w:szCs w:val="18"/>
              </w:rPr>
              <w:t>Obras</w:t>
            </w:r>
          </w:p>
        </w:tc>
        <w:tc>
          <w:tcPr>
            <w:tcW w:w="1651" w:type="dxa"/>
            <w:tcBorders>
              <w:top w:val="single" w:sz="2" w:space="0" w:color="auto"/>
              <w:bottom w:val="single" w:sz="4" w:space="0" w:color="auto"/>
            </w:tcBorders>
            <w:vAlign w:val="center"/>
            <w:hideMark/>
          </w:tcPr>
          <w:p w:rsidR="001B3767" w:rsidRPr="007A01AC" w:rsidRDefault="001B3767" w:rsidP="007A01AC">
            <w:pPr>
              <w:pStyle w:val="cuatexto"/>
              <w:jc w:val="left"/>
              <w:rPr>
                <w:sz w:val="18"/>
                <w:szCs w:val="18"/>
              </w:rPr>
            </w:pPr>
            <w:r w:rsidRPr="007A01AC">
              <w:rPr>
                <w:sz w:val="18"/>
                <w:szCs w:val="18"/>
              </w:rPr>
              <w:t>Abierto</w:t>
            </w:r>
          </w:p>
        </w:tc>
        <w:tc>
          <w:tcPr>
            <w:tcW w:w="1111" w:type="dxa"/>
            <w:tcBorders>
              <w:top w:val="single" w:sz="2" w:space="0" w:color="auto"/>
              <w:bottom w:val="single" w:sz="4" w:space="0" w:color="auto"/>
            </w:tcBorders>
            <w:vAlign w:val="center"/>
            <w:hideMark/>
          </w:tcPr>
          <w:p w:rsidR="001B3767" w:rsidRPr="007A01AC" w:rsidRDefault="001B3767" w:rsidP="007A01AC">
            <w:pPr>
              <w:pStyle w:val="cuatexto"/>
              <w:jc w:val="right"/>
              <w:rPr>
                <w:sz w:val="18"/>
                <w:szCs w:val="18"/>
              </w:rPr>
            </w:pPr>
            <w:r w:rsidRPr="007A01AC">
              <w:rPr>
                <w:sz w:val="18"/>
                <w:szCs w:val="18"/>
              </w:rPr>
              <w:t>12.683.939</w:t>
            </w:r>
          </w:p>
        </w:tc>
        <w:tc>
          <w:tcPr>
            <w:tcW w:w="1169" w:type="dxa"/>
            <w:tcBorders>
              <w:top w:val="single" w:sz="2" w:space="0" w:color="auto"/>
              <w:bottom w:val="single" w:sz="4" w:space="0" w:color="auto"/>
            </w:tcBorders>
            <w:vAlign w:val="center"/>
            <w:hideMark/>
          </w:tcPr>
          <w:p w:rsidR="001B3767" w:rsidRPr="007A01AC" w:rsidRDefault="001B3767" w:rsidP="007A01AC">
            <w:pPr>
              <w:pStyle w:val="cuatexto"/>
              <w:jc w:val="right"/>
              <w:rPr>
                <w:sz w:val="18"/>
                <w:szCs w:val="18"/>
              </w:rPr>
            </w:pPr>
            <w:r w:rsidRPr="007A01AC">
              <w:rPr>
                <w:sz w:val="18"/>
                <w:szCs w:val="18"/>
              </w:rPr>
              <w:t>11.035.027</w:t>
            </w:r>
          </w:p>
        </w:tc>
      </w:tr>
    </w:tbl>
    <w:p w:rsidR="001B3767" w:rsidRPr="006D43A7" w:rsidRDefault="001B3767" w:rsidP="00553052">
      <w:pPr>
        <w:pStyle w:val="texto"/>
        <w:spacing w:before="240" w:after="120"/>
        <w:rPr>
          <w:lang w:val="es-ES"/>
        </w:rPr>
      </w:pPr>
      <w:r w:rsidRPr="006D43A7">
        <w:rPr>
          <w:lang w:val="es-ES"/>
        </w:rPr>
        <w:t>En general, los expedientes de contratación tramitados en 2014</w:t>
      </w:r>
      <w:r w:rsidR="00B766A2">
        <w:rPr>
          <w:lang w:val="es-ES"/>
        </w:rPr>
        <w:t xml:space="preserve"> </w:t>
      </w:r>
      <w:r w:rsidRPr="006D43A7">
        <w:rPr>
          <w:lang w:val="es-ES"/>
        </w:rPr>
        <w:t>se adjudic</w:t>
      </w:r>
      <w:r w:rsidRPr="006D43A7">
        <w:rPr>
          <w:lang w:val="es-ES"/>
        </w:rPr>
        <w:t>a</w:t>
      </w:r>
      <w:r w:rsidRPr="006D43A7">
        <w:rPr>
          <w:lang w:val="es-ES"/>
        </w:rPr>
        <w:t>ron y ejecutaron conforme a la legislación contractual y los gastos derivados de los mismos están aprobados, fiscalizados, justificados y correctamente contab</w:t>
      </w:r>
      <w:r w:rsidRPr="006D43A7">
        <w:rPr>
          <w:lang w:val="es-ES"/>
        </w:rPr>
        <w:t>i</w:t>
      </w:r>
      <w:r w:rsidRPr="006D43A7">
        <w:rPr>
          <w:lang w:val="es-ES"/>
        </w:rPr>
        <w:t xml:space="preserve">lizados. </w:t>
      </w:r>
    </w:p>
    <w:p w:rsidR="001B3767" w:rsidRPr="006D43A7" w:rsidRDefault="001B3767" w:rsidP="00553052">
      <w:pPr>
        <w:pStyle w:val="texto"/>
        <w:spacing w:after="120"/>
        <w:rPr>
          <w:lang w:val="es-ES"/>
        </w:rPr>
      </w:pPr>
      <w:r w:rsidRPr="006D43A7">
        <w:rPr>
          <w:lang w:val="es-ES"/>
        </w:rPr>
        <w:t>De su análisis, destacamos:</w:t>
      </w:r>
    </w:p>
    <w:p w:rsidR="001B3767" w:rsidRPr="00846868" w:rsidRDefault="001B3767" w:rsidP="00553052">
      <w:pPr>
        <w:pStyle w:val="texto"/>
        <w:numPr>
          <w:ilvl w:val="0"/>
          <w:numId w:val="11"/>
        </w:numPr>
        <w:tabs>
          <w:tab w:val="clear" w:pos="2835"/>
          <w:tab w:val="clear" w:pos="3969"/>
          <w:tab w:val="clear" w:pos="5103"/>
          <w:tab w:val="clear" w:pos="6237"/>
          <w:tab w:val="clear" w:pos="7371"/>
          <w:tab w:val="left" w:pos="480"/>
          <w:tab w:val="num" w:pos="600"/>
          <w:tab w:val="num" w:pos="720"/>
        </w:tabs>
        <w:spacing w:after="120"/>
        <w:ind w:left="0" w:firstLine="290"/>
        <w:rPr>
          <w:rFonts w:cs="Arial"/>
        </w:rPr>
      </w:pPr>
      <w:r w:rsidRPr="00846868">
        <w:rPr>
          <w:rFonts w:cs="Arial"/>
        </w:rPr>
        <w:t xml:space="preserve">Centro </w:t>
      </w:r>
      <w:proofErr w:type="spellStart"/>
      <w:r w:rsidRPr="00846868">
        <w:rPr>
          <w:rFonts w:cs="Arial"/>
        </w:rPr>
        <w:t>Psicogeriátrico</w:t>
      </w:r>
      <w:proofErr w:type="spellEnd"/>
      <w:r w:rsidRPr="00846868">
        <w:rPr>
          <w:rFonts w:cs="Arial"/>
        </w:rPr>
        <w:t xml:space="preserve"> San Francisco Javier</w:t>
      </w:r>
      <w:r w:rsidR="00CB6F69">
        <w:rPr>
          <w:rFonts w:cs="Arial"/>
        </w:rPr>
        <w:t>.</w:t>
      </w:r>
    </w:p>
    <w:p w:rsidR="001B3767" w:rsidRPr="006D43A7" w:rsidRDefault="001B3767" w:rsidP="00553052">
      <w:pPr>
        <w:pStyle w:val="texto"/>
        <w:spacing w:after="120"/>
        <w:rPr>
          <w:lang w:val="es-ES"/>
        </w:rPr>
      </w:pPr>
      <w:r w:rsidRPr="006D43A7">
        <w:rPr>
          <w:lang w:val="es-ES"/>
        </w:rPr>
        <w:t xml:space="preserve">Esta obra estaba incluida en el Plan Navarra 2012. </w:t>
      </w:r>
    </w:p>
    <w:p w:rsidR="005659F7" w:rsidRPr="006D43A7" w:rsidRDefault="005C1416" w:rsidP="00553052">
      <w:pPr>
        <w:pStyle w:val="texto"/>
        <w:spacing w:after="120"/>
        <w:rPr>
          <w:lang w:val="es-ES"/>
        </w:rPr>
      </w:pPr>
      <w:r>
        <w:rPr>
          <w:lang w:val="es-ES"/>
        </w:rPr>
        <w:t xml:space="preserve">Es destacable el retraso en la tramitación de la adjudicación y ejecución de esta obra. Así, </w:t>
      </w:r>
      <w:r w:rsidR="005659F7">
        <w:rPr>
          <w:lang w:val="es-ES"/>
        </w:rPr>
        <w:t xml:space="preserve">en mayo de 2013 </w:t>
      </w:r>
      <w:r w:rsidR="005659F7" w:rsidRPr="006D43A7">
        <w:rPr>
          <w:lang w:val="es-ES"/>
        </w:rPr>
        <w:t xml:space="preserve">se autorizó un gasto de 12.683.939 y se aprobó el expediente de contratación y en mayo del ejercicio siguiente, se adjudicó la obra por un precio de 11.035.027 euros y un plazo de ejecución de 22 meses, con una baja del 13 por ciento sobre el precio de licitación. </w:t>
      </w:r>
    </w:p>
    <w:p w:rsidR="001B3767" w:rsidRPr="006D43A7" w:rsidRDefault="001B3767" w:rsidP="00553052">
      <w:pPr>
        <w:pStyle w:val="texto"/>
        <w:spacing w:after="120"/>
        <w:rPr>
          <w:lang w:val="es-ES"/>
        </w:rPr>
      </w:pPr>
      <w:r w:rsidRPr="006D43A7">
        <w:rPr>
          <w:lang w:val="es-ES"/>
        </w:rPr>
        <w:t xml:space="preserve"> </w:t>
      </w:r>
      <w:r w:rsidR="005C1416" w:rsidRPr="006D43A7">
        <w:rPr>
          <w:lang w:val="es-ES"/>
        </w:rPr>
        <w:t>En el plazo de un mes desde la formalización del contrato se debió proceder a la comprobación del replanteo e inicio de las obras. Las obras se iniciaron c</w:t>
      </w:r>
      <w:r w:rsidR="005C1416" w:rsidRPr="006D43A7">
        <w:rPr>
          <w:lang w:val="es-ES"/>
        </w:rPr>
        <w:t>a</w:t>
      </w:r>
      <w:r w:rsidR="005C1416" w:rsidRPr="006D43A7">
        <w:rPr>
          <w:lang w:val="es-ES"/>
        </w:rPr>
        <w:t>si cuatro meses después de la firma del contrato.</w:t>
      </w:r>
      <w:r w:rsidR="005C1416">
        <w:rPr>
          <w:lang w:val="es-ES"/>
        </w:rPr>
        <w:t xml:space="preserve"> </w:t>
      </w:r>
      <w:r w:rsidRPr="006D43A7">
        <w:rPr>
          <w:lang w:val="es-ES"/>
        </w:rPr>
        <w:t>En el año 2014 se había ejec</w:t>
      </w:r>
      <w:r w:rsidRPr="006D43A7">
        <w:rPr>
          <w:lang w:val="es-ES"/>
        </w:rPr>
        <w:t>u</w:t>
      </w:r>
      <w:r w:rsidRPr="006D43A7">
        <w:rPr>
          <w:lang w:val="es-ES"/>
        </w:rPr>
        <w:t>tado el 10,5 por ciento previsto.</w:t>
      </w:r>
    </w:p>
    <w:p w:rsidR="00586125" w:rsidRPr="00553052" w:rsidRDefault="00586125" w:rsidP="00586125">
      <w:pPr>
        <w:pStyle w:val="texto"/>
        <w:spacing w:after="180"/>
        <w:rPr>
          <w:lang w:val="es-ES"/>
        </w:rPr>
      </w:pPr>
      <w:bookmarkStart w:id="74" w:name="tm_385745019"/>
      <w:bookmarkEnd w:id="74"/>
      <w:r w:rsidRPr="00553052">
        <w:rPr>
          <w:lang w:val="es-ES"/>
        </w:rPr>
        <w:t xml:space="preserve">Recomendamos: </w:t>
      </w:r>
    </w:p>
    <w:p w:rsidR="00586125"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i/>
        </w:rPr>
      </w:pPr>
      <w:r w:rsidRPr="00846868">
        <w:rPr>
          <w:rFonts w:cs="Arial"/>
          <w:i/>
        </w:rPr>
        <w:t>Analizar la política de inversiones dentro del actual contexto económico, incentivando inversiones productivas</w:t>
      </w:r>
      <w:r w:rsidR="00323A29">
        <w:rPr>
          <w:rFonts w:cs="Arial"/>
          <w:i/>
        </w:rPr>
        <w:t>, prioritarias y viables</w:t>
      </w:r>
      <w:r w:rsidRPr="00846868">
        <w:rPr>
          <w:rFonts w:cs="Arial"/>
          <w:i/>
        </w:rPr>
        <w:t xml:space="preserve">. </w:t>
      </w:r>
    </w:p>
    <w:p w:rsidR="00586125" w:rsidRPr="00EA5371" w:rsidRDefault="00466A28"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i/>
        </w:rPr>
      </w:pPr>
      <w:r>
        <w:rPr>
          <w:rFonts w:cs="Arial"/>
          <w:i/>
        </w:rPr>
        <w:t>Actualizar</w:t>
      </w:r>
      <w:r w:rsidR="00586125" w:rsidRPr="00EA5371">
        <w:rPr>
          <w:rFonts w:cs="Arial"/>
          <w:i/>
        </w:rPr>
        <w:t xml:space="preserve"> el convenio del Tren de Alta Velocidad para adaptarlo a la nueva programación de actuaciones y a los costes asociados a las mismas.</w:t>
      </w:r>
    </w:p>
    <w:p w:rsidR="00586125" w:rsidRPr="00846868"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i/>
        </w:rPr>
      </w:pPr>
      <w:r w:rsidRPr="00846868">
        <w:rPr>
          <w:rFonts w:cs="Arial"/>
          <w:i/>
        </w:rPr>
        <w:t xml:space="preserve">Dotar anualmente la amortización que corresponda a la depreciación de los bienes de inmovilizado. </w:t>
      </w:r>
    </w:p>
    <w:p w:rsidR="00586125" w:rsidRPr="00846868"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i/>
        </w:rPr>
      </w:pPr>
      <w:r w:rsidRPr="00846868">
        <w:rPr>
          <w:rFonts w:cs="Arial"/>
          <w:i/>
        </w:rPr>
        <w:t>Reflejar en la cuenta de infraestructuras del inmovilizado material aqu</w:t>
      </w:r>
      <w:r w:rsidRPr="00846868">
        <w:rPr>
          <w:rFonts w:cs="Arial"/>
          <w:i/>
        </w:rPr>
        <w:t>e</w:t>
      </w:r>
      <w:r w:rsidRPr="00846868">
        <w:rPr>
          <w:rFonts w:cs="Arial"/>
          <w:i/>
        </w:rPr>
        <w:t>llas inversiones de uso o servicio público que cumplan los requisitos establec</w:t>
      </w:r>
      <w:r w:rsidRPr="00846868">
        <w:rPr>
          <w:rFonts w:cs="Arial"/>
          <w:i/>
        </w:rPr>
        <w:t>i</w:t>
      </w:r>
      <w:r w:rsidRPr="00846868">
        <w:rPr>
          <w:rFonts w:cs="Arial"/>
          <w:i/>
        </w:rPr>
        <w:t>dos en el Plan General de Contabilidad Pública.</w:t>
      </w:r>
    </w:p>
    <w:p w:rsidR="00586125" w:rsidRDefault="00586125" w:rsidP="00586125">
      <w:pPr>
        <w:pStyle w:val="texto"/>
        <w:numPr>
          <w:ilvl w:val="0"/>
          <w:numId w:val="11"/>
        </w:numPr>
        <w:tabs>
          <w:tab w:val="clear" w:pos="2835"/>
          <w:tab w:val="clear" w:pos="3969"/>
          <w:tab w:val="clear" w:pos="5103"/>
          <w:tab w:val="clear" w:pos="6237"/>
          <w:tab w:val="clear" w:pos="7371"/>
          <w:tab w:val="left" w:pos="490"/>
          <w:tab w:val="num" w:pos="600"/>
          <w:tab w:val="num" w:pos="720"/>
        </w:tabs>
        <w:spacing w:after="180"/>
        <w:ind w:left="0" w:firstLine="290"/>
        <w:rPr>
          <w:rFonts w:cs="Arial"/>
          <w:i/>
        </w:rPr>
      </w:pPr>
      <w:r w:rsidRPr="00846868">
        <w:rPr>
          <w:rFonts w:cs="Arial"/>
          <w:i/>
        </w:rPr>
        <w:t>Registrar en el inmovilizado intangible aquellas inversiones que cumplan los requisitos establecidos en el Plan General de Contabilidad Pública.</w:t>
      </w:r>
    </w:p>
    <w:p w:rsidR="001B3767" w:rsidRPr="00AE151C" w:rsidRDefault="001B3767" w:rsidP="00F5660F">
      <w:pPr>
        <w:pStyle w:val="atitulo2"/>
        <w:spacing w:before="320"/>
      </w:pPr>
      <w:bookmarkStart w:id="75" w:name="_Toc434399408"/>
      <w:r w:rsidRPr="00AE151C">
        <w:lastRenderedPageBreak/>
        <w:t>VII.</w:t>
      </w:r>
      <w:r w:rsidR="0080281D">
        <w:t>7</w:t>
      </w:r>
      <w:r w:rsidRPr="00AE151C">
        <w:t>. Impuestos</w:t>
      </w:r>
      <w:r>
        <w:t>, tasas, precios públicos y otros ingresos</w:t>
      </w:r>
      <w:bookmarkEnd w:id="75"/>
      <w:r w:rsidRPr="00AE151C">
        <w:t xml:space="preserve"> </w:t>
      </w:r>
    </w:p>
    <w:p w:rsidR="001B3767" w:rsidRPr="004A6FDC" w:rsidRDefault="001B3767" w:rsidP="00F5660F">
      <w:pPr>
        <w:pStyle w:val="texto"/>
        <w:spacing w:before="240" w:after="180"/>
        <w:rPr>
          <w:rFonts w:ascii="Arial" w:hAnsi="Arial" w:cs="Arial"/>
          <w:i/>
          <w:sz w:val="24"/>
        </w:rPr>
      </w:pPr>
      <w:r w:rsidRPr="004A6FDC">
        <w:rPr>
          <w:rFonts w:ascii="Arial" w:hAnsi="Arial" w:cs="Arial"/>
          <w:i/>
          <w:sz w:val="24"/>
        </w:rPr>
        <w:t>Impuestos</w:t>
      </w:r>
    </w:p>
    <w:p w:rsidR="001B3767" w:rsidRPr="006D43A7" w:rsidRDefault="001B3767" w:rsidP="00F5660F">
      <w:pPr>
        <w:pStyle w:val="texto"/>
        <w:spacing w:after="180"/>
        <w:rPr>
          <w:lang w:val="es-ES"/>
        </w:rPr>
      </w:pPr>
      <w:r w:rsidRPr="006D43A7">
        <w:rPr>
          <w:lang w:val="es-ES"/>
        </w:rPr>
        <w:t>Los derechos reconocidos netos por impuestos en el ejercicio 2014 ascendi</w:t>
      </w:r>
      <w:r w:rsidRPr="006D43A7">
        <w:rPr>
          <w:lang w:val="es-ES"/>
        </w:rPr>
        <w:t>e</w:t>
      </w:r>
      <w:r w:rsidRPr="006D43A7">
        <w:rPr>
          <w:lang w:val="es-ES"/>
        </w:rPr>
        <w:t>ron a 3.014,48 millones de euros, un dos por ciento más que en 2013, y sup</w:t>
      </w:r>
      <w:r w:rsidRPr="006D43A7">
        <w:rPr>
          <w:lang w:val="es-ES"/>
        </w:rPr>
        <w:t>o</w:t>
      </w:r>
      <w:r w:rsidRPr="006D43A7">
        <w:rPr>
          <w:lang w:val="es-ES"/>
        </w:rPr>
        <w:t>nen el 78 por ciento del total de derechos de 2014. Destacan por su cuantía el IVA con 1.111,94 millones de euros y el IRPF con 1.09</w:t>
      </w:r>
      <w:r w:rsidR="001E7D6E">
        <w:rPr>
          <w:lang w:val="es-ES"/>
        </w:rPr>
        <w:t>6,88</w:t>
      </w:r>
      <w:r w:rsidRPr="006D43A7">
        <w:rPr>
          <w:lang w:val="es-ES"/>
        </w:rPr>
        <w:t xml:space="preserve"> millones. </w:t>
      </w:r>
    </w:p>
    <w:p w:rsidR="001B3767" w:rsidRPr="006D43A7" w:rsidRDefault="001B3767" w:rsidP="00801987">
      <w:pPr>
        <w:pStyle w:val="texto"/>
        <w:spacing w:after="260"/>
        <w:rPr>
          <w:lang w:val="es-ES"/>
        </w:rPr>
      </w:pPr>
      <w:r w:rsidRPr="006D43A7">
        <w:rPr>
          <w:lang w:val="es-ES"/>
        </w:rPr>
        <w:t>A continuación se muestra los derechos reconocidos en el 2014 y su comp</w:t>
      </w:r>
      <w:r w:rsidRPr="006D43A7">
        <w:rPr>
          <w:lang w:val="es-ES"/>
        </w:rPr>
        <w:t>a</w:t>
      </w:r>
      <w:r w:rsidRPr="006D43A7">
        <w:rPr>
          <w:lang w:val="es-ES"/>
        </w:rPr>
        <w:t>ración con los del ejercicio anterior para las distintas figuras impositivas:</w:t>
      </w:r>
    </w:p>
    <w:p w:rsidR="001B3767" w:rsidRPr="00801987" w:rsidRDefault="001B3767" w:rsidP="006D10E0">
      <w:pPr>
        <w:pStyle w:val="texto"/>
        <w:spacing w:after="80"/>
        <w:ind w:right="12"/>
        <w:jc w:val="right"/>
        <w:rPr>
          <w:rFonts w:ascii="Arial" w:hAnsi="Arial" w:cs="Arial"/>
          <w:sz w:val="16"/>
          <w:szCs w:val="16"/>
          <w:lang w:val="es-ES" w:eastAsia="es-ES"/>
        </w:rPr>
      </w:pPr>
      <w:r w:rsidRPr="00801987">
        <w:rPr>
          <w:rFonts w:ascii="Arial" w:hAnsi="Arial" w:cs="Arial"/>
          <w:sz w:val="16"/>
          <w:szCs w:val="16"/>
          <w:lang w:val="es-ES" w:eastAsia="es-ES"/>
        </w:rPr>
        <w:t xml:space="preserve">                                   </w:t>
      </w:r>
      <w:r w:rsidR="00801987">
        <w:rPr>
          <w:rFonts w:ascii="Arial" w:hAnsi="Arial" w:cs="Arial"/>
          <w:sz w:val="16"/>
          <w:szCs w:val="16"/>
          <w:lang w:val="es-ES" w:eastAsia="es-ES"/>
        </w:rPr>
        <w:t>(</w:t>
      </w:r>
      <w:proofErr w:type="gramStart"/>
      <w:r w:rsidR="00801987">
        <w:rPr>
          <w:rFonts w:ascii="Arial" w:hAnsi="Arial" w:cs="Arial"/>
          <w:sz w:val="16"/>
          <w:szCs w:val="16"/>
          <w:lang w:val="es-ES" w:eastAsia="es-ES"/>
        </w:rPr>
        <w:t>e</w:t>
      </w:r>
      <w:r w:rsidRPr="00801987">
        <w:rPr>
          <w:rFonts w:ascii="Arial" w:hAnsi="Arial" w:cs="Arial"/>
          <w:sz w:val="16"/>
          <w:szCs w:val="16"/>
          <w:lang w:val="es-ES" w:eastAsia="es-ES"/>
        </w:rPr>
        <w:t>n</w:t>
      </w:r>
      <w:proofErr w:type="gramEnd"/>
      <w:r w:rsidRPr="00801987">
        <w:rPr>
          <w:rFonts w:ascii="Arial" w:hAnsi="Arial" w:cs="Arial"/>
          <w:sz w:val="16"/>
          <w:szCs w:val="16"/>
          <w:lang w:val="es-ES" w:eastAsia="es-ES"/>
        </w:rPr>
        <w:t xml:space="preserve"> miles de euros</w:t>
      </w:r>
      <w:r w:rsidR="00801987">
        <w:rPr>
          <w:rFonts w:ascii="Arial" w:hAnsi="Arial" w:cs="Arial"/>
          <w:sz w:val="16"/>
          <w:szCs w:val="16"/>
          <w:lang w:val="es-ES" w:eastAsia="es-ES"/>
        </w:rPr>
        <w:t>)</w:t>
      </w:r>
    </w:p>
    <w:tbl>
      <w:tblPr>
        <w:tblW w:w="8811" w:type="dxa"/>
        <w:jc w:val="center"/>
        <w:tblCellMar>
          <w:left w:w="70" w:type="dxa"/>
          <w:right w:w="70" w:type="dxa"/>
        </w:tblCellMar>
        <w:tblLook w:val="04A0" w:firstRow="1" w:lastRow="0" w:firstColumn="1" w:lastColumn="0" w:noHBand="0" w:noVBand="1"/>
      </w:tblPr>
      <w:tblGrid>
        <w:gridCol w:w="3388"/>
        <w:gridCol w:w="995"/>
        <w:gridCol w:w="1257"/>
        <w:gridCol w:w="985"/>
        <w:gridCol w:w="995"/>
        <w:gridCol w:w="146"/>
        <w:gridCol w:w="1045"/>
      </w:tblGrid>
      <w:tr w:rsidR="001B3767" w:rsidRPr="00801987" w:rsidTr="00801987">
        <w:trPr>
          <w:trHeight w:val="255"/>
          <w:jc w:val="center"/>
        </w:trPr>
        <w:tc>
          <w:tcPr>
            <w:tcW w:w="3388"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0E2288">
            <w:pPr>
              <w:pStyle w:val="cuadroCabe"/>
              <w:jc w:val="left"/>
              <w:rPr>
                <w:rFonts w:cs="Arial"/>
                <w:sz w:val="16"/>
                <w:szCs w:val="16"/>
              </w:rPr>
            </w:pPr>
            <w:r w:rsidRPr="00801987">
              <w:rPr>
                <w:rFonts w:cs="Arial"/>
                <w:sz w:val="16"/>
                <w:szCs w:val="16"/>
              </w:rPr>
              <w:t>Impuestos</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rFonts w:cs="Arial"/>
                <w:sz w:val="16"/>
                <w:szCs w:val="16"/>
              </w:rPr>
            </w:pPr>
            <w:proofErr w:type="spellStart"/>
            <w:r w:rsidRPr="00801987">
              <w:rPr>
                <w:rFonts w:cs="Arial"/>
                <w:sz w:val="16"/>
                <w:szCs w:val="16"/>
              </w:rPr>
              <w:t>Dchos</w:t>
            </w:r>
            <w:proofErr w:type="spellEnd"/>
            <w:r w:rsidRPr="00801987">
              <w:rPr>
                <w:rFonts w:cs="Arial"/>
                <w:sz w:val="16"/>
                <w:szCs w:val="16"/>
              </w:rPr>
              <w:t>.</w:t>
            </w:r>
          </w:p>
          <w:p w:rsidR="001B3767" w:rsidRPr="00801987" w:rsidRDefault="00347AA0" w:rsidP="00801987">
            <w:pPr>
              <w:pStyle w:val="cuadroCabe"/>
              <w:jc w:val="right"/>
              <w:rPr>
                <w:rFonts w:cs="Arial"/>
                <w:sz w:val="16"/>
                <w:szCs w:val="16"/>
              </w:rPr>
            </w:pPr>
            <w:r w:rsidRPr="00801987">
              <w:rPr>
                <w:rFonts w:cs="Arial"/>
                <w:sz w:val="16"/>
                <w:szCs w:val="16"/>
              </w:rPr>
              <w:t xml:space="preserve">netos </w:t>
            </w:r>
            <w:r w:rsidR="001B3767" w:rsidRPr="00801987">
              <w:rPr>
                <w:rFonts w:cs="Arial"/>
                <w:sz w:val="16"/>
                <w:szCs w:val="16"/>
              </w:rPr>
              <w:t>2014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rFonts w:cs="Arial"/>
                <w:sz w:val="16"/>
                <w:szCs w:val="16"/>
              </w:rPr>
            </w:pPr>
            <w:r w:rsidRPr="00801987">
              <w:rPr>
                <w:rFonts w:cs="Arial"/>
                <w:sz w:val="16"/>
                <w:szCs w:val="16"/>
              </w:rPr>
              <w:t>Recaudación neta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801987" w:rsidRDefault="001B3767" w:rsidP="00801987">
            <w:pPr>
              <w:pStyle w:val="cuadroCabe"/>
              <w:jc w:val="right"/>
              <w:rPr>
                <w:rFonts w:cs="Arial"/>
                <w:sz w:val="16"/>
                <w:szCs w:val="16"/>
              </w:rPr>
            </w:pPr>
            <w:r w:rsidRPr="00801987">
              <w:rPr>
                <w:rFonts w:cs="Arial"/>
                <w:sz w:val="16"/>
                <w:szCs w:val="16"/>
              </w:rPr>
              <w:t xml:space="preserve">% </w:t>
            </w:r>
          </w:p>
          <w:p w:rsidR="001B3767" w:rsidRPr="00801987" w:rsidRDefault="001B3767" w:rsidP="00801987">
            <w:pPr>
              <w:pStyle w:val="cuadroCabe"/>
              <w:jc w:val="right"/>
              <w:rPr>
                <w:rFonts w:cs="Arial"/>
                <w:sz w:val="16"/>
                <w:szCs w:val="16"/>
              </w:rPr>
            </w:pPr>
            <w:proofErr w:type="spellStart"/>
            <w:proofErr w:type="gramStart"/>
            <w:r w:rsidRPr="00801987">
              <w:rPr>
                <w:rFonts w:cs="Arial"/>
                <w:sz w:val="16"/>
                <w:szCs w:val="16"/>
              </w:rPr>
              <w:t>recaudac</w:t>
            </w:r>
            <w:proofErr w:type="spellEnd"/>
            <w:proofErr w:type="gramEnd"/>
            <w:r w:rsidRPr="00801987">
              <w:rPr>
                <w:rFonts w:cs="Arial"/>
                <w:sz w:val="16"/>
                <w:szCs w:val="16"/>
              </w:rPr>
              <w:t>.</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rFonts w:cs="Arial"/>
                <w:sz w:val="16"/>
                <w:szCs w:val="16"/>
              </w:rPr>
            </w:pPr>
            <w:r w:rsidRPr="00801987">
              <w:rPr>
                <w:rFonts w:cs="Arial"/>
                <w:sz w:val="16"/>
                <w:szCs w:val="16"/>
              </w:rPr>
              <w:t xml:space="preserve">Derechos </w:t>
            </w:r>
          </w:p>
          <w:p w:rsidR="001B3767" w:rsidRPr="00801987" w:rsidRDefault="00347AA0" w:rsidP="00801987">
            <w:pPr>
              <w:pStyle w:val="cuadroCabe"/>
              <w:jc w:val="right"/>
              <w:rPr>
                <w:rFonts w:cs="Arial"/>
                <w:sz w:val="16"/>
                <w:szCs w:val="16"/>
              </w:rPr>
            </w:pPr>
            <w:r w:rsidRPr="00801987">
              <w:rPr>
                <w:rFonts w:cs="Arial"/>
                <w:sz w:val="16"/>
                <w:szCs w:val="16"/>
              </w:rPr>
              <w:t xml:space="preserve">netos </w:t>
            </w:r>
            <w:r w:rsidR="001B3767" w:rsidRPr="00801987">
              <w:rPr>
                <w:rFonts w:cs="Arial"/>
                <w:sz w:val="16"/>
                <w:szCs w:val="16"/>
              </w:rPr>
              <w:t>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801987" w:rsidRDefault="001B3767" w:rsidP="00801987">
            <w:pPr>
              <w:pStyle w:val="cuadroCabe"/>
              <w:jc w:val="right"/>
              <w:rPr>
                <w:rFonts w:cs="Arial"/>
                <w:sz w:val="16"/>
                <w:szCs w:val="16"/>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rFonts w:cs="Arial"/>
                <w:sz w:val="16"/>
                <w:szCs w:val="16"/>
              </w:rPr>
            </w:pPr>
            <w:r w:rsidRPr="00801987">
              <w:rPr>
                <w:rFonts w:cs="Arial"/>
                <w:sz w:val="16"/>
                <w:szCs w:val="16"/>
              </w:rPr>
              <w:t xml:space="preserve">% </w:t>
            </w:r>
            <w:proofErr w:type="spellStart"/>
            <w:r w:rsidR="000F4EC6" w:rsidRPr="00801987">
              <w:rPr>
                <w:rFonts w:cs="Arial"/>
                <w:sz w:val="16"/>
                <w:szCs w:val="16"/>
              </w:rPr>
              <w:t>Variac</w:t>
            </w:r>
            <w:proofErr w:type="spellEnd"/>
            <w:r w:rsidR="000F4EC6" w:rsidRPr="00801987">
              <w:rPr>
                <w:rFonts w:cs="Arial"/>
                <w:sz w:val="16"/>
                <w:szCs w:val="16"/>
              </w:rPr>
              <w:t xml:space="preserve"> </w:t>
            </w:r>
            <w:r w:rsidRPr="00801987">
              <w:rPr>
                <w:rFonts w:cs="Arial"/>
                <w:sz w:val="16"/>
                <w:szCs w:val="16"/>
              </w:rPr>
              <w:t xml:space="preserve">derechos. </w:t>
            </w:r>
          </w:p>
          <w:p w:rsidR="001B3767" w:rsidRPr="00801987" w:rsidRDefault="001B3767" w:rsidP="00801987">
            <w:pPr>
              <w:pStyle w:val="cuadroCabe"/>
              <w:jc w:val="right"/>
              <w:rPr>
                <w:rFonts w:cs="Arial"/>
                <w:sz w:val="16"/>
                <w:szCs w:val="16"/>
              </w:rPr>
            </w:pPr>
            <w:r w:rsidRPr="00801987">
              <w:rPr>
                <w:rFonts w:cs="Arial"/>
                <w:sz w:val="16"/>
                <w:szCs w:val="16"/>
              </w:rPr>
              <w:t>2014/2013</w:t>
            </w:r>
          </w:p>
        </w:tc>
      </w:tr>
      <w:tr w:rsidR="001B3767" w:rsidRPr="00FA3B66" w:rsidTr="00801987">
        <w:trPr>
          <w:trHeight w:val="227"/>
          <w:jc w:val="center"/>
        </w:trPr>
        <w:tc>
          <w:tcPr>
            <w:tcW w:w="3388" w:type="dxa"/>
            <w:tcBorders>
              <w:top w:val="single" w:sz="4"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IRPF</w:t>
            </w:r>
          </w:p>
        </w:tc>
        <w:tc>
          <w:tcPr>
            <w:tcW w:w="995" w:type="dxa"/>
            <w:tcBorders>
              <w:top w:val="single" w:sz="4"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1.096.882</w:t>
            </w:r>
          </w:p>
        </w:tc>
        <w:tc>
          <w:tcPr>
            <w:tcW w:w="1257" w:type="dxa"/>
            <w:tcBorders>
              <w:top w:val="single" w:sz="4"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1.065.999</w:t>
            </w:r>
          </w:p>
        </w:tc>
        <w:tc>
          <w:tcPr>
            <w:tcW w:w="985" w:type="dxa"/>
            <w:tcBorders>
              <w:top w:val="single" w:sz="4"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97</w:t>
            </w:r>
          </w:p>
        </w:tc>
        <w:tc>
          <w:tcPr>
            <w:tcW w:w="995" w:type="dxa"/>
            <w:tcBorders>
              <w:top w:val="single" w:sz="4"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1.079.890</w:t>
            </w:r>
          </w:p>
        </w:tc>
        <w:tc>
          <w:tcPr>
            <w:tcW w:w="146" w:type="dxa"/>
            <w:tcBorders>
              <w:top w:val="single" w:sz="4"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4"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1,5</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Sociedades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208.878</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199.900</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96</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166.734</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25</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Renta de no residentes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5.906</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5.685</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96</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6.739</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-12</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Patrimonio</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48.627</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47.574</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98</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54.528</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-11</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Sucesiones y donaciones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53.050</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51.122</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96</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90.662</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-41</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Grandes establecimientos comerciales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1.318</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877</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67</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1.298</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1,5</w:t>
            </w:r>
          </w:p>
        </w:tc>
      </w:tr>
      <w:tr w:rsidR="001B3767" w:rsidRPr="00FA3B66" w:rsidTr="00801987">
        <w:trPr>
          <w:trHeight w:val="227"/>
          <w:jc w:val="center"/>
        </w:trPr>
        <w:tc>
          <w:tcPr>
            <w:tcW w:w="3388" w:type="dxa"/>
            <w:tcBorders>
              <w:top w:val="single" w:sz="2" w:space="0" w:color="auto"/>
              <w:left w:val="nil"/>
              <w:bottom w:val="single" w:sz="4"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Producción de energía eléctrica</w:t>
            </w:r>
          </w:p>
        </w:tc>
        <w:tc>
          <w:tcPr>
            <w:tcW w:w="99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13.315</w:t>
            </w:r>
          </w:p>
        </w:tc>
        <w:tc>
          <w:tcPr>
            <w:tcW w:w="1257"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12.928</w:t>
            </w:r>
          </w:p>
        </w:tc>
        <w:tc>
          <w:tcPr>
            <w:tcW w:w="98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97</w:t>
            </w:r>
          </w:p>
        </w:tc>
        <w:tc>
          <w:tcPr>
            <w:tcW w:w="99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23.249</w:t>
            </w:r>
          </w:p>
        </w:tc>
        <w:tc>
          <w:tcPr>
            <w:tcW w:w="146" w:type="dxa"/>
            <w:tcBorders>
              <w:top w:val="single" w:sz="2" w:space="0" w:color="auto"/>
              <w:left w:val="nil"/>
              <w:bottom w:val="single" w:sz="4"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-43</w:t>
            </w:r>
          </w:p>
        </w:tc>
      </w:tr>
      <w:tr w:rsidR="001B3767" w:rsidRPr="00801987" w:rsidTr="00801987">
        <w:trPr>
          <w:trHeight w:val="227"/>
          <w:jc w:val="center"/>
        </w:trPr>
        <w:tc>
          <w:tcPr>
            <w:tcW w:w="3388" w:type="dxa"/>
            <w:tcBorders>
              <w:top w:val="single" w:sz="4" w:space="0" w:color="auto"/>
              <w:left w:val="nil"/>
              <w:bottom w:val="single" w:sz="4" w:space="0" w:color="auto"/>
              <w:right w:val="nil"/>
            </w:tcBorders>
            <w:noWrap/>
            <w:vAlign w:val="center"/>
            <w:hideMark/>
          </w:tcPr>
          <w:p w:rsidR="001B3767" w:rsidRPr="00801987" w:rsidRDefault="001B3767" w:rsidP="00801987">
            <w:pPr>
              <w:pStyle w:val="cuatexto"/>
              <w:jc w:val="left"/>
              <w:rPr>
                <w:b/>
                <w:sz w:val="18"/>
                <w:szCs w:val="18"/>
              </w:rPr>
            </w:pPr>
            <w:r w:rsidRPr="00801987">
              <w:rPr>
                <w:b/>
                <w:sz w:val="18"/>
                <w:szCs w:val="18"/>
              </w:rPr>
              <w:t>1. Impuestos directos</w:t>
            </w:r>
          </w:p>
        </w:tc>
        <w:tc>
          <w:tcPr>
            <w:tcW w:w="99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fldChar w:fldCharType="begin"/>
            </w:r>
            <w:r w:rsidRPr="00801987">
              <w:rPr>
                <w:b/>
                <w:sz w:val="18"/>
                <w:szCs w:val="18"/>
              </w:rPr>
              <w:instrText xml:space="preserve"> =SUM(ABOVE) </w:instrText>
            </w:r>
            <w:r w:rsidRPr="00801987">
              <w:rPr>
                <w:b/>
                <w:sz w:val="18"/>
                <w:szCs w:val="18"/>
              </w:rPr>
              <w:fldChar w:fldCharType="separate"/>
            </w:r>
            <w:r w:rsidRPr="00801987">
              <w:rPr>
                <w:b/>
                <w:sz w:val="18"/>
                <w:szCs w:val="18"/>
              </w:rPr>
              <w:t>1.427.976</w:t>
            </w:r>
            <w:r w:rsidRPr="00801987">
              <w:rPr>
                <w:b/>
                <w:sz w:val="18"/>
                <w:szCs w:val="18"/>
              </w:rPr>
              <w:fldChar w:fldCharType="end"/>
            </w:r>
          </w:p>
        </w:tc>
        <w:tc>
          <w:tcPr>
            <w:tcW w:w="1257"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fldChar w:fldCharType="begin"/>
            </w:r>
            <w:r w:rsidRPr="00801987">
              <w:rPr>
                <w:b/>
                <w:sz w:val="18"/>
                <w:szCs w:val="18"/>
              </w:rPr>
              <w:instrText xml:space="preserve"> =SUM(ABOVE) </w:instrText>
            </w:r>
            <w:r w:rsidRPr="00801987">
              <w:rPr>
                <w:b/>
                <w:sz w:val="18"/>
                <w:szCs w:val="18"/>
              </w:rPr>
              <w:fldChar w:fldCharType="separate"/>
            </w:r>
            <w:r w:rsidRPr="00801987">
              <w:rPr>
                <w:b/>
                <w:sz w:val="18"/>
                <w:szCs w:val="18"/>
              </w:rPr>
              <w:t>1.384.084</w:t>
            </w:r>
            <w:r w:rsidRPr="00801987">
              <w:rPr>
                <w:b/>
                <w:sz w:val="18"/>
                <w:szCs w:val="18"/>
              </w:rPr>
              <w:fldChar w:fldCharType="end"/>
            </w:r>
          </w:p>
        </w:tc>
        <w:tc>
          <w:tcPr>
            <w:tcW w:w="98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97</w:t>
            </w:r>
          </w:p>
        </w:tc>
        <w:tc>
          <w:tcPr>
            <w:tcW w:w="99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1.423.100</w:t>
            </w:r>
          </w:p>
        </w:tc>
        <w:tc>
          <w:tcPr>
            <w:tcW w:w="146" w:type="dxa"/>
            <w:tcBorders>
              <w:top w:val="single" w:sz="4" w:space="0" w:color="auto"/>
              <w:left w:val="nil"/>
              <w:bottom w:val="single" w:sz="4" w:space="0" w:color="auto"/>
              <w:right w:val="nil"/>
            </w:tcBorders>
            <w:vAlign w:val="center"/>
          </w:tcPr>
          <w:p w:rsidR="001B3767" w:rsidRPr="00801987" w:rsidRDefault="001B3767" w:rsidP="00801987">
            <w:pPr>
              <w:pStyle w:val="cuatexto"/>
              <w:jc w:val="right"/>
              <w:rPr>
                <w:b/>
                <w:sz w:val="18"/>
                <w:szCs w:val="18"/>
              </w:rPr>
            </w:pPr>
          </w:p>
        </w:tc>
        <w:tc>
          <w:tcPr>
            <w:tcW w:w="104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0,34</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IVA</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1.111.943</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1.053.057</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95</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985.663</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13</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Sobre consumos específicos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411.634</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410.258</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100</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476.212</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-14</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Impuesto sobre las primas de seguros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19.453</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19.453</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100</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20.386</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-4.5</w:t>
            </w:r>
          </w:p>
        </w:tc>
      </w:tr>
      <w:tr w:rsidR="001B3767" w:rsidRPr="00FA3B66" w:rsidTr="00801987">
        <w:trPr>
          <w:trHeight w:val="227"/>
          <w:jc w:val="center"/>
        </w:trPr>
        <w:tc>
          <w:tcPr>
            <w:tcW w:w="3388" w:type="dxa"/>
            <w:tcBorders>
              <w:top w:val="single" w:sz="2" w:space="0" w:color="auto"/>
              <w:left w:val="nil"/>
              <w:bottom w:val="single" w:sz="2"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Transmisiones patrimoniales.</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33.301</w:t>
            </w:r>
          </w:p>
        </w:tc>
        <w:tc>
          <w:tcPr>
            <w:tcW w:w="1257"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31.083</w:t>
            </w:r>
          </w:p>
        </w:tc>
        <w:tc>
          <w:tcPr>
            <w:tcW w:w="98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93</w:t>
            </w:r>
          </w:p>
        </w:tc>
        <w:tc>
          <w:tcPr>
            <w:tcW w:w="99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27.679</w:t>
            </w:r>
          </w:p>
        </w:tc>
        <w:tc>
          <w:tcPr>
            <w:tcW w:w="146" w:type="dxa"/>
            <w:tcBorders>
              <w:top w:val="single" w:sz="2" w:space="0" w:color="auto"/>
              <w:left w:val="nil"/>
              <w:bottom w:val="single" w:sz="2"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2"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20</w:t>
            </w:r>
          </w:p>
        </w:tc>
      </w:tr>
      <w:tr w:rsidR="001B3767" w:rsidRPr="00FA3B66" w:rsidTr="00801987">
        <w:trPr>
          <w:trHeight w:val="227"/>
          <w:jc w:val="center"/>
        </w:trPr>
        <w:tc>
          <w:tcPr>
            <w:tcW w:w="3388" w:type="dxa"/>
            <w:tcBorders>
              <w:top w:val="single" w:sz="2" w:space="0" w:color="auto"/>
              <w:left w:val="nil"/>
              <w:bottom w:val="single" w:sz="4" w:space="0" w:color="auto"/>
              <w:right w:val="nil"/>
            </w:tcBorders>
            <w:noWrap/>
            <w:vAlign w:val="center"/>
            <w:hideMark/>
          </w:tcPr>
          <w:p w:rsidR="001B3767" w:rsidRPr="00FA3B66" w:rsidRDefault="001B3767" w:rsidP="00FA3B66">
            <w:pPr>
              <w:pStyle w:val="cuatexto"/>
              <w:jc w:val="left"/>
              <w:rPr>
                <w:sz w:val="18"/>
                <w:szCs w:val="18"/>
              </w:rPr>
            </w:pPr>
            <w:r w:rsidRPr="00FA3B66">
              <w:rPr>
                <w:sz w:val="18"/>
                <w:szCs w:val="18"/>
              </w:rPr>
              <w:t>Actos jurídicos documentados</w:t>
            </w:r>
          </w:p>
        </w:tc>
        <w:tc>
          <w:tcPr>
            <w:tcW w:w="99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10.176</w:t>
            </w:r>
          </w:p>
        </w:tc>
        <w:tc>
          <w:tcPr>
            <w:tcW w:w="1257"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9.890</w:t>
            </w:r>
          </w:p>
        </w:tc>
        <w:tc>
          <w:tcPr>
            <w:tcW w:w="98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97</w:t>
            </w:r>
          </w:p>
        </w:tc>
        <w:tc>
          <w:tcPr>
            <w:tcW w:w="99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12.128</w:t>
            </w:r>
          </w:p>
        </w:tc>
        <w:tc>
          <w:tcPr>
            <w:tcW w:w="146" w:type="dxa"/>
            <w:tcBorders>
              <w:top w:val="single" w:sz="2" w:space="0" w:color="auto"/>
              <w:left w:val="nil"/>
              <w:bottom w:val="single" w:sz="4" w:space="0" w:color="auto"/>
              <w:right w:val="nil"/>
            </w:tcBorders>
            <w:vAlign w:val="center"/>
          </w:tcPr>
          <w:p w:rsidR="001B3767" w:rsidRPr="00FA3B66" w:rsidRDefault="001B3767" w:rsidP="00801987">
            <w:pPr>
              <w:pStyle w:val="cuatexto"/>
              <w:jc w:val="right"/>
              <w:rPr>
                <w:sz w:val="18"/>
                <w:szCs w:val="18"/>
              </w:rPr>
            </w:pPr>
          </w:p>
        </w:tc>
        <w:tc>
          <w:tcPr>
            <w:tcW w:w="1045" w:type="dxa"/>
            <w:tcBorders>
              <w:top w:val="single" w:sz="2" w:space="0" w:color="auto"/>
              <w:left w:val="nil"/>
              <w:bottom w:val="single" w:sz="4" w:space="0" w:color="auto"/>
              <w:right w:val="nil"/>
            </w:tcBorders>
            <w:vAlign w:val="center"/>
            <w:hideMark/>
          </w:tcPr>
          <w:p w:rsidR="001B3767" w:rsidRPr="00FA3B66" w:rsidRDefault="001B3767" w:rsidP="00801987">
            <w:pPr>
              <w:pStyle w:val="cuatexto"/>
              <w:jc w:val="right"/>
              <w:rPr>
                <w:sz w:val="18"/>
                <w:szCs w:val="18"/>
              </w:rPr>
            </w:pPr>
            <w:r w:rsidRPr="00FA3B66">
              <w:rPr>
                <w:sz w:val="18"/>
                <w:szCs w:val="18"/>
              </w:rPr>
              <w:t>-16</w:t>
            </w:r>
          </w:p>
        </w:tc>
      </w:tr>
      <w:tr w:rsidR="001B3767" w:rsidRPr="00801987" w:rsidTr="00801987">
        <w:trPr>
          <w:trHeight w:val="227"/>
          <w:jc w:val="center"/>
        </w:trPr>
        <w:tc>
          <w:tcPr>
            <w:tcW w:w="3388" w:type="dxa"/>
            <w:tcBorders>
              <w:top w:val="single" w:sz="4" w:space="0" w:color="auto"/>
              <w:left w:val="nil"/>
              <w:bottom w:val="single" w:sz="4" w:space="0" w:color="auto"/>
              <w:right w:val="nil"/>
            </w:tcBorders>
            <w:noWrap/>
            <w:vAlign w:val="center"/>
            <w:hideMark/>
          </w:tcPr>
          <w:p w:rsidR="001B3767" w:rsidRPr="00801987" w:rsidRDefault="001B3767" w:rsidP="00801987">
            <w:pPr>
              <w:pStyle w:val="cuatexto"/>
              <w:jc w:val="left"/>
              <w:rPr>
                <w:b/>
                <w:sz w:val="18"/>
                <w:szCs w:val="18"/>
              </w:rPr>
            </w:pPr>
            <w:r w:rsidRPr="00801987">
              <w:rPr>
                <w:b/>
                <w:sz w:val="18"/>
                <w:szCs w:val="18"/>
              </w:rPr>
              <w:t>2. Impuestos indirectos</w:t>
            </w:r>
          </w:p>
        </w:tc>
        <w:tc>
          <w:tcPr>
            <w:tcW w:w="99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1.586.507</w:t>
            </w:r>
          </w:p>
        </w:tc>
        <w:tc>
          <w:tcPr>
            <w:tcW w:w="1257"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fldChar w:fldCharType="begin"/>
            </w:r>
            <w:r w:rsidRPr="00801987">
              <w:rPr>
                <w:b/>
                <w:sz w:val="18"/>
                <w:szCs w:val="18"/>
              </w:rPr>
              <w:instrText xml:space="preserve"> =SUM(ABOVE) </w:instrText>
            </w:r>
            <w:r w:rsidRPr="00801987">
              <w:rPr>
                <w:b/>
                <w:sz w:val="18"/>
                <w:szCs w:val="18"/>
              </w:rPr>
              <w:fldChar w:fldCharType="separate"/>
            </w:r>
            <w:r w:rsidRPr="00801987">
              <w:rPr>
                <w:b/>
                <w:sz w:val="18"/>
                <w:szCs w:val="18"/>
              </w:rPr>
              <w:t>1.523.741</w:t>
            </w:r>
            <w:r w:rsidRPr="00801987">
              <w:rPr>
                <w:b/>
                <w:sz w:val="18"/>
                <w:szCs w:val="18"/>
              </w:rPr>
              <w:fldChar w:fldCharType="end"/>
            </w:r>
          </w:p>
        </w:tc>
        <w:tc>
          <w:tcPr>
            <w:tcW w:w="98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96</w:t>
            </w:r>
          </w:p>
        </w:tc>
        <w:tc>
          <w:tcPr>
            <w:tcW w:w="99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1.522.068</w:t>
            </w:r>
          </w:p>
        </w:tc>
        <w:tc>
          <w:tcPr>
            <w:tcW w:w="146" w:type="dxa"/>
            <w:tcBorders>
              <w:top w:val="single" w:sz="4" w:space="0" w:color="auto"/>
              <w:left w:val="nil"/>
              <w:bottom w:val="single" w:sz="4" w:space="0" w:color="auto"/>
              <w:right w:val="nil"/>
            </w:tcBorders>
            <w:vAlign w:val="center"/>
          </w:tcPr>
          <w:p w:rsidR="001B3767" w:rsidRPr="00801987" w:rsidRDefault="001B3767" w:rsidP="00801987">
            <w:pPr>
              <w:pStyle w:val="cuatexto"/>
              <w:jc w:val="right"/>
              <w:rPr>
                <w:b/>
                <w:sz w:val="18"/>
                <w:szCs w:val="18"/>
              </w:rPr>
            </w:pPr>
          </w:p>
        </w:tc>
        <w:tc>
          <w:tcPr>
            <w:tcW w:w="1045" w:type="dxa"/>
            <w:tcBorders>
              <w:top w:val="single" w:sz="4" w:space="0" w:color="auto"/>
              <w:left w:val="nil"/>
              <w:bottom w:val="single" w:sz="4" w:space="0" w:color="auto"/>
              <w:right w:val="nil"/>
            </w:tcBorders>
            <w:vAlign w:val="center"/>
            <w:hideMark/>
          </w:tcPr>
          <w:p w:rsidR="001B3767" w:rsidRPr="00801987" w:rsidRDefault="001B3767" w:rsidP="00801987">
            <w:pPr>
              <w:pStyle w:val="cuatexto"/>
              <w:jc w:val="right"/>
              <w:rPr>
                <w:b/>
                <w:sz w:val="18"/>
                <w:szCs w:val="18"/>
              </w:rPr>
            </w:pPr>
            <w:r w:rsidRPr="00801987">
              <w:rPr>
                <w:b/>
                <w:sz w:val="18"/>
                <w:szCs w:val="18"/>
              </w:rPr>
              <w:t>4</w:t>
            </w:r>
          </w:p>
        </w:tc>
      </w:tr>
      <w:tr w:rsidR="001B3767" w:rsidRPr="00801987" w:rsidTr="00801987">
        <w:trPr>
          <w:trHeight w:val="312"/>
          <w:jc w:val="center"/>
        </w:trPr>
        <w:tc>
          <w:tcPr>
            <w:tcW w:w="3388"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801987" w:rsidRDefault="001B3767" w:rsidP="00801987">
            <w:pPr>
              <w:pStyle w:val="cuadroCabe"/>
              <w:jc w:val="left"/>
              <w:rPr>
                <w:sz w:val="17"/>
                <w:szCs w:val="17"/>
              </w:rPr>
            </w:pPr>
            <w:r w:rsidRPr="00801987">
              <w:rPr>
                <w:sz w:val="17"/>
                <w:szCs w:val="17"/>
              </w:rPr>
              <w:t>Total impuestos</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sz w:val="17"/>
                <w:szCs w:val="17"/>
              </w:rPr>
            </w:pPr>
            <w:r w:rsidRPr="00801987">
              <w:rPr>
                <w:sz w:val="17"/>
                <w:szCs w:val="17"/>
              </w:rPr>
              <w:t>3.014.483</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sz w:val="17"/>
                <w:szCs w:val="17"/>
              </w:rPr>
            </w:pPr>
            <w:r w:rsidRPr="00801987">
              <w:rPr>
                <w:sz w:val="17"/>
                <w:szCs w:val="17"/>
              </w:rPr>
              <w:t>2.907.825</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sz w:val="17"/>
                <w:szCs w:val="17"/>
              </w:rPr>
            </w:pPr>
            <w:r w:rsidRPr="00801987">
              <w:rPr>
                <w:sz w:val="17"/>
                <w:szCs w:val="17"/>
              </w:rPr>
              <w:t>96</w:t>
            </w:r>
          </w:p>
        </w:tc>
        <w:tc>
          <w:tcPr>
            <w:tcW w:w="99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sz w:val="17"/>
                <w:szCs w:val="17"/>
              </w:rPr>
            </w:pPr>
            <w:r w:rsidRPr="00801987">
              <w:rPr>
                <w:sz w:val="17"/>
                <w:szCs w:val="17"/>
              </w:rPr>
              <w:t>2.945.168</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801987" w:rsidRDefault="001B3767" w:rsidP="00801987">
            <w:pPr>
              <w:pStyle w:val="cuadroCabe"/>
              <w:jc w:val="right"/>
              <w:rPr>
                <w:sz w:val="17"/>
                <w:szCs w:val="17"/>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801987" w:rsidRDefault="001B3767" w:rsidP="00801987">
            <w:pPr>
              <w:pStyle w:val="cuadroCabe"/>
              <w:jc w:val="right"/>
              <w:rPr>
                <w:sz w:val="17"/>
                <w:szCs w:val="17"/>
              </w:rPr>
            </w:pPr>
            <w:r w:rsidRPr="00801987">
              <w:rPr>
                <w:sz w:val="17"/>
                <w:szCs w:val="17"/>
              </w:rPr>
              <w:t>2</w:t>
            </w:r>
          </w:p>
        </w:tc>
      </w:tr>
    </w:tbl>
    <w:p w:rsidR="001B3767" w:rsidRPr="009F79CC" w:rsidRDefault="001B3767" w:rsidP="001B3767">
      <w:pPr>
        <w:pStyle w:val="texto"/>
        <w:spacing w:after="0"/>
        <w:rPr>
          <w:spacing w:val="-3"/>
        </w:rPr>
      </w:pPr>
    </w:p>
    <w:p w:rsidR="001B3767" w:rsidRPr="006D43A7" w:rsidRDefault="001B3767" w:rsidP="001B3767">
      <w:pPr>
        <w:pStyle w:val="texto"/>
        <w:rPr>
          <w:lang w:val="es-ES"/>
        </w:rPr>
      </w:pPr>
      <w:r w:rsidRPr="006D43A7">
        <w:rPr>
          <w:lang w:val="es-ES"/>
        </w:rPr>
        <w:t>Los impuestos directos ascendieron a 1.427,98 millones de euros, suponie</w:t>
      </w:r>
      <w:r w:rsidRPr="006D43A7">
        <w:rPr>
          <w:lang w:val="es-ES"/>
        </w:rPr>
        <w:t>n</w:t>
      </w:r>
      <w:r w:rsidRPr="006D43A7">
        <w:rPr>
          <w:lang w:val="es-ES"/>
        </w:rPr>
        <w:t>do el 37 por ciento del total de ingresos y 4</w:t>
      </w:r>
      <w:r w:rsidR="001E7D6E">
        <w:rPr>
          <w:lang w:val="es-ES"/>
        </w:rPr>
        <w:t>,</w:t>
      </w:r>
      <w:r w:rsidRPr="006D43A7">
        <w:rPr>
          <w:lang w:val="es-ES"/>
        </w:rPr>
        <w:t>87 millones más que en 2013. De</w:t>
      </w:r>
      <w:r w:rsidRPr="006D43A7">
        <w:rPr>
          <w:lang w:val="es-ES"/>
        </w:rPr>
        <w:t>s</w:t>
      </w:r>
      <w:r w:rsidRPr="006D43A7">
        <w:rPr>
          <w:lang w:val="es-ES"/>
        </w:rPr>
        <w:t>taca el incremento del impuesto de sociedades en un 25 por ciento y la dism</w:t>
      </w:r>
      <w:r w:rsidRPr="006D43A7">
        <w:rPr>
          <w:lang w:val="es-ES"/>
        </w:rPr>
        <w:t>i</w:t>
      </w:r>
      <w:r w:rsidRPr="006D43A7">
        <w:rPr>
          <w:lang w:val="es-ES"/>
        </w:rPr>
        <w:t>nución del impuesto de sucesiones en un 41 por ciento.</w:t>
      </w:r>
    </w:p>
    <w:p w:rsidR="001B3767" w:rsidRPr="006D43A7" w:rsidRDefault="00123989" w:rsidP="001B3767">
      <w:pPr>
        <w:pStyle w:val="texto"/>
        <w:rPr>
          <w:lang w:val="es-ES"/>
        </w:rPr>
      </w:pPr>
      <w:r>
        <w:rPr>
          <w:lang w:val="es-ES"/>
        </w:rPr>
        <w:t>A 31 de diciembre de 2014, el</w:t>
      </w:r>
      <w:r w:rsidR="001B3767" w:rsidRPr="006D43A7">
        <w:rPr>
          <w:lang w:val="es-ES"/>
        </w:rPr>
        <w:t xml:space="preserve"> 97 por ciento de los impuestos directos </w:t>
      </w:r>
      <w:r>
        <w:rPr>
          <w:lang w:val="es-ES"/>
        </w:rPr>
        <w:t>est</w:t>
      </w:r>
      <w:r>
        <w:rPr>
          <w:lang w:val="es-ES"/>
        </w:rPr>
        <w:t>a</w:t>
      </w:r>
      <w:r>
        <w:rPr>
          <w:lang w:val="es-ES"/>
        </w:rPr>
        <w:t>ban</w:t>
      </w:r>
      <w:r w:rsidR="001B3767" w:rsidRPr="006D43A7">
        <w:rPr>
          <w:lang w:val="es-ES"/>
        </w:rPr>
        <w:t xml:space="preserve"> recaudados, alejándose de este porcentaje la recaudación del impuesto de grandes establecimientos comerciales que fue del 67 por ciento.</w:t>
      </w:r>
    </w:p>
    <w:p w:rsidR="001B3767" w:rsidRPr="006D43A7" w:rsidRDefault="001B3767" w:rsidP="001B3767">
      <w:pPr>
        <w:pStyle w:val="texto"/>
        <w:rPr>
          <w:lang w:val="es-ES"/>
        </w:rPr>
      </w:pPr>
      <w:r w:rsidRPr="006D43A7">
        <w:rPr>
          <w:lang w:val="es-ES"/>
        </w:rPr>
        <w:t>Los impuestos indirectos ascendieron a 1.586,51 millones de euros y repr</w:t>
      </w:r>
      <w:r w:rsidRPr="006D43A7">
        <w:rPr>
          <w:lang w:val="es-ES"/>
        </w:rPr>
        <w:t>e</w:t>
      </w:r>
      <w:r w:rsidRPr="006D43A7">
        <w:rPr>
          <w:lang w:val="es-ES"/>
        </w:rPr>
        <w:t>sentan el 41 por ciento del total de ingresos. Fueron un cuatro por ciento más que los reconocidos en el ejercicio 2013, esto es, 64,44 millones más. Esta v</w:t>
      </w:r>
      <w:r w:rsidRPr="006D43A7">
        <w:rPr>
          <w:lang w:val="es-ES"/>
        </w:rPr>
        <w:t>a</w:t>
      </w:r>
      <w:r w:rsidRPr="006D43A7">
        <w:rPr>
          <w:lang w:val="es-ES"/>
        </w:rPr>
        <w:t>riación se explica principalmente por el incremento del IVA en un 13 por cie</w:t>
      </w:r>
      <w:r w:rsidRPr="006D43A7">
        <w:rPr>
          <w:lang w:val="es-ES"/>
        </w:rPr>
        <w:t>n</w:t>
      </w:r>
      <w:r w:rsidRPr="006D43A7">
        <w:rPr>
          <w:lang w:val="es-ES"/>
        </w:rPr>
        <w:t>to y la disminución de los impuestos sobre hidrocarburos y sobre el alcohol y bebidas derivadas en un 18 y 122 por ciento respectivamente.</w:t>
      </w:r>
    </w:p>
    <w:p w:rsidR="001B3767" w:rsidRPr="006D43A7" w:rsidRDefault="00123989" w:rsidP="001B3767">
      <w:pPr>
        <w:pStyle w:val="texto"/>
        <w:rPr>
          <w:lang w:val="es-ES"/>
        </w:rPr>
      </w:pPr>
      <w:r>
        <w:rPr>
          <w:lang w:val="es-ES"/>
        </w:rPr>
        <w:t>Al cierre del ejercicio 2014, e</w:t>
      </w:r>
      <w:r w:rsidR="001B3767" w:rsidRPr="006D43A7">
        <w:rPr>
          <w:lang w:val="es-ES"/>
        </w:rPr>
        <w:t>l 96 por ciento del total de impuestos indire</w:t>
      </w:r>
      <w:r w:rsidR="001B3767" w:rsidRPr="006D43A7">
        <w:rPr>
          <w:lang w:val="es-ES"/>
        </w:rPr>
        <w:t>c</w:t>
      </w:r>
      <w:r w:rsidR="001B3767" w:rsidRPr="006D43A7">
        <w:rPr>
          <w:lang w:val="es-ES"/>
        </w:rPr>
        <w:t xml:space="preserve">tos habían sido recaudados. </w:t>
      </w:r>
    </w:p>
    <w:p w:rsidR="001B3767" w:rsidRPr="006D43A7" w:rsidRDefault="001B3767" w:rsidP="001B3767">
      <w:pPr>
        <w:pStyle w:val="texto"/>
        <w:rPr>
          <w:lang w:val="es-ES"/>
        </w:rPr>
      </w:pPr>
      <w:r w:rsidRPr="006D43A7">
        <w:rPr>
          <w:lang w:val="es-ES"/>
        </w:rPr>
        <w:lastRenderedPageBreak/>
        <w:t>De los 1.111,94 millones de euros de IVA devengado en 2014, 750,87 mill</w:t>
      </w:r>
      <w:r w:rsidRPr="006D43A7">
        <w:rPr>
          <w:lang w:val="es-ES"/>
        </w:rPr>
        <w:t>o</w:t>
      </w:r>
      <w:r w:rsidRPr="006D43A7">
        <w:rPr>
          <w:lang w:val="es-ES"/>
        </w:rPr>
        <w:t>nes proceden de la aplicación de los ajustes establecidos en el convenio ec</w:t>
      </w:r>
      <w:r w:rsidRPr="006D43A7">
        <w:rPr>
          <w:lang w:val="es-ES"/>
        </w:rPr>
        <w:t>o</w:t>
      </w:r>
      <w:r w:rsidR="001E124B">
        <w:rPr>
          <w:lang w:val="es-ES"/>
        </w:rPr>
        <w:t>nómico, representando la recaudación directa el 32 por ciento.</w:t>
      </w:r>
    </w:p>
    <w:p w:rsidR="009C4CE1" w:rsidRDefault="001B3767" w:rsidP="001B3767">
      <w:pPr>
        <w:pStyle w:val="texto"/>
        <w:rPr>
          <w:lang w:val="es-ES"/>
        </w:rPr>
      </w:pPr>
      <w:r w:rsidRPr="006D43A7">
        <w:rPr>
          <w:lang w:val="es-ES"/>
        </w:rPr>
        <w:t>El IVA a compensar al cierre del ejercicio 2014 y cuya devolución puede s</w:t>
      </w:r>
      <w:r w:rsidRPr="006D43A7">
        <w:rPr>
          <w:lang w:val="es-ES"/>
        </w:rPr>
        <w:t>o</w:t>
      </w:r>
      <w:r w:rsidRPr="006D43A7">
        <w:rPr>
          <w:lang w:val="es-ES"/>
        </w:rPr>
        <w:t xml:space="preserve">licitarse </w:t>
      </w:r>
      <w:r w:rsidR="001E124B">
        <w:rPr>
          <w:lang w:val="es-ES"/>
        </w:rPr>
        <w:t>a partir de</w:t>
      </w:r>
      <w:r w:rsidRPr="006D43A7">
        <w:rPr>
          <w:lang w:val="es-ES"/>
        </w:rPr>
        <w:t xml:space="preserve"> enero del ejercicio siguiente, ascendía a 149,17 millones. </w:t>
      </w:r>
      <w:r w:rsidR="001E7D6E">
        <w:rPr>
          <w:lang w:val="es-ES"/>
        </w:rPr>
        <w:t>De este saldo, se solicitó en 2015 la devolución de 71 millones. E</w:t>
      </w:r>
      <w:r w:rsidR="001E124B" w:rsidRPr="00870AAA">
        <w:rPr>
          <w:lang w:val="es-ES"/>
        </w:rPr>
        <w:t>l derecho a solicitar la devolución o efectuar la compensación</w:t>
      </w:r>
      <w:r w:rsidR="001E7D6E">
        <w:rPr>
          <w:lang w:val="es-ES"/>
        </w:rPr>
        <w:t xml:space="preserve"> caduca a los cinco años</w:t>
      </w:r>
      <w:r w:rsidR="001E124B" w:rsidRPr="00870AAA">
        <w:rPr>
          <w:lang w:val="es-ES"/>
        </w:rPr>
        <w:t xml:space="preserve">. </w:t>
      </w:r>
      <w:r w:rsidR="001E7D6E">
        <w:rPr>
          <w:lang w:val="es-ES"/>
        </w:rPr>
        <w:t>El</w:t>
      </w:r>
      <w:r w:rsidRPr="00870AAA">
        <w:rPr>
          <w:lang w:val="es-ES"/>
        </w:rPr>
        <w:t xml:space="preserve"> IVA </w:t>
      </w:r>
      <w:r w:rsidR="001E7D6E">
        <w:rPr>
          <w:lang w:val="es-ES"/>
        </w:rPr>
        <w:t xml:space="preserve">a compensar </w:t>
      </w:r>
      <w:r w:rsidRPr="00870AAA">
        <w:rPr>
          <w:lang w:val="es-ES"/>
        </w:rPr>
        <w:t xml:space="preserve">se recoge </w:t>
      </w:r>
      <w:r w:rsidRPr="006D43A7">
        <w:rPr>
          <w:lang w:val="es-ES"/>
        </w:rPr>
        <w:t>en una cuenta de la Contabilidad auxiliar de terc</w:t>
      </w:r>
      <w:r w:rsidRPr="006D43A7">
        <w:rPr>
          <w:lang w:val="es-ES"/>
        </w:rPr>
        <w:t>e</w:t>
      </w:r>
      <w:r w:rsidRPr="006D43A7">
        <w:rPr>
          <w:lang w:val="es-ES"/>
        </w:rPr>
        <w:t xml:space="preserve">ros </w:t>
      </w:r>
      <w:r w:rsidR="009C4CE1">
        <w:rPr>
          <w:lang w:val="es-ES"/>
        </w:rPr>
        <w:t xml:space="preserve">(CAT) </w:t>
      </w:r>
      <w:r w:rsidRPr="006D43A7">
        <w:rPr>
          <w:lang w:val="es-ES"/>
        </w:rPr>
        <w:t xml:space="preserve">denominada “IVA global” y no </w:t>
      </w:r>
      <w:r w:rsidR="001E124B">
        <w:rPr>
          <w:lang w:val="es-ES"/>
        </w:rPr>
        <w:t>tiene reflejo en la contabilidad gen</w:t>
      </w:r>
      <w:r w:rsidR="001E124B">
        <w:rPr>
          <w:lang w:val="es-ES"/>
        </w:rPr>
        <w:t>e</w:t>
      </w:r>
      <w:r w:rsidR="001E124B">
        <w:rPr>
          <w:lang w:val="es-ES"/>
        </w:rPr>
        <w:t xml:space="preserve">ral. Se imputa al presupuesto cuando se devuelve o se compensa siempre que de la compensación resulte un saldo </w:t>
      </w:r>
      <w:r w:rsidR="001E7D6E">
        <w:rPr>
          <w:lang w:val="es-ES"/>
        </w:rPr>
        <w:t>a pagar a</w:t>
      </w:r>
      <w:r w:rsidR="001E124B">
        <w:rPr>
          <w:lang w:val="es-ES"/>
        </w:rPr>
        <w:t xml:space="preserve"> la Hacienda Tributaria. </w:t>
      </w:r>
    </w:p>
    <w:p w:rsidR="001B3767" w:rsidRPr="006D43A7" w:rsidRDefault="001B3767" w:rsidP="001B3767">
      <w:pPr>
        <w:pStyle w:val="texto"/>
        <w:rPr>
          <w:lang w:val="es-ES"/>
        </w:rPr>
      </w:pPr>
      <w:r w:rsidRPr="006D43A7">
        <w:rPr>
          <w:lang w:val="es-ES"/>
        </w:rPr>
        <w:t>El 27 de febrero de 2014 una sentencia del Tribunal de Justicia de la Unión Europea declaró ilegal el impuesto sobre ventas minoristas de determinados h</w:t>
      </w:r>
      <w:r w:rsidRPr="006D43A7">
        <w:rPr>
          <w:lang w:val="es-ES"/>
        </w:rPr>
        <w:t>i</w:t>
      </w:r>
      <w:r w:rsidRPr="006D43A7">
        <w:rPr>
          <w:lang w:val="es-ES"/>
        </w:rPr>
        <w:t>drocarburos (IVMDH), popularmente conocido como el “céntimo sanitario”. Este impuesto entró en vigor el 1 de enero de 2002. La sentencia es aplicable a las cuotas recaudada</w:t>
      </w:r>
      <w:r w:rsidR="00572EE5">
        <w:rPr>
          <w:lang w:val="es-ES"/>
        </w:rPr>
        <w:t xml:space="preserve">s </w:t>
      </w:r>
      <w:r w:rsidR="001E7D6E">
        <w:rPr>
          <w:lang w:val="es-ES"/>
        </w:rPr>
        <w:t xml:space="preserve">en los años no prescritos, desde 2010 </w:t>
      </w:r>
      <w:r w:rsidR="00572EE5">
        <w:rPr>
          <w:lang w:val="es-ES"/>
        </w:rPr>
        <w:t>hasta 31 de dicie</w:t>
      </w:r>
      <w:r w:rsidR="00572EE5">
        <w:rPr>
          <w:lang w:val="es-ES"/>
        </w:rPr>
        <w:t>m</w:t>
      </w:r>
      <w:r w:rsidR="00572EE5">
        <w:rPr>
          <w:lang w:val="es-ES"/>
        </w:rPr>
        <w:t>bre de 2012</w:t>
      </w:r>
      <w:r w:rsidR="00B749EB">
        <w:rPr>
          <w:lang w:val="es-ES"/>
        </w:rPr>
        <w:t>,</w:t>
      </w:r>
      <w:r w:rsidR="00572EE5">
        <w:rPr>
          <w:lang w:val="es-ES"/>
        </w:rPr>
        <w:t xml:space="preserve"> porque a partir del 1 de enero de 2013, el IVMDH se integr</w:t>
      </w:r>
      <w:r w:rsidR="001E7D6E">
        <w:rPr>
          <w:lang w:val="es-ES"/>
        </w:rPr>
        <w:t>ó</w:t>
      </w:r>
      <w:r w:rsidR="00572EE5">
        <w:rPr>
          <w:lang w:val="es-ES"/>
        </w:rPr>
        <w:t xml:space="preserve"> en el impuesto de hidrocarburos.</w:t>
      </w:r>
    </w:p>
    <w:p w:rsidR="001B3767" w:rsidRPr="006D43A7" w:rsidRDefault="001B3767" w:rsidP="001B3767">
      <w:pPr>
        <w:pStyle w:val="texto"/>
        <w:rPr>
          <w:lang w:val="es-ES"/>
        </w:rPr>
      </w:pPr>
      <w:r w:rsidRPr="006D43A7">
        <w:rPr>
          <w:lang w:val="es-ES"/>
        </w:rPr>
        <w:t>En el año 2014 se reconocieron derechos negativos en concepto de devol</w:t>
      </w:r>
      <w:r w:rsidRPr="006D43A7">
        <w:rPr>
          <w:lang w:val="es-ES"/>
        </w:rPr>
        <w:t>u</w:t>
      </w:r>
      <w:r w:rsidRPr="006D43A7">
        <w:rPr>
          <w:lang w:val="es-ES"/>
        </w:rPr>
        <w:t>ción del impuesto por 2,16 millones de euros.</w:t>
      </w:r>
    </w:p>
    <w:p w:rsidR="001B3767" w:rsidRPr="006D43A7" w:rsidRDefault="001E7D6E" w:rsidP="001B3767">
      <w:pPr>
        <w:pStyle w:val="texto"/>
        <w:rPr>
          <w:lang w:val="es-ES"/>
        </w:rPr>
      </w:pPr>
      <w:r>
        <w:rPr>
          <w:lang w:val="es-ES"/>
        </w:rPr>
        <w:t>La Hacienda Tributaria estimó</w:t>
      </w:r>
      <w:r w:rsidR="001B3767" w:rsidRPr="006D43A7">
        <w:rPr>
          <w:lang w:val="es-ES"/>
        </w:rPr>
        <w:t xml:space="preserve"> en 20 millones de euros el importe que deberá devolver por cuotas c</w:t>
      </w:r>
      <w:r w:rsidR="00123989">
        <w:rPr>
          <w:lang w:val="es-ES"/>
        </w:rPr>
        <w:t>obradas en el periodo 2010-2012</w:t>
      </w:r>
      <w:r w:rsidR="001B3767" w:rsidRPr="006D43A7">
        <w:rPr>
          <w:lang w:val="es-ES"/>
        </w:rPr>
        <w:t>.</w:t>
      </w:r>
    </w:p>
    <w:p w:rsidR="001B3767" w:rsidRPr="006D43A7" w:rsidRDefault="001B3767" w:rsidP="001B3767">
      <w:pPr>
        <w:pStyle w:val="texto"/>
        <w:rPr>
          <w:lang w:val="es-ES"/>
        </w:rPr>
      </w:pPr>
      <w:r w:rsidRPr="006D43A7">
        <w:rPr>
          <w:lang w:val="es-ES"/>
        </w:rPr>
        <w:t>No se ha dotado la correspondiente provisión por devolución de impuestos.</w:t>
      </w:r>
    </w:p>
    <w:p w:rsidR="001B3767" w:rsidRPr="006D43A7" w:rsidRDefault="001B3767" w:rsidP="001B3767">
      <w:pPr>
        <w:pStyle w:val="texto"/>
        <w:rPr>
          <w:lang w:val="es-ES"/>
        </w:rPr>
      </w:pPr>
      <w:r w:rsidRPr="006D43A7">
        <w:rPr>
          <w:lang w:val="es-ES"/>
        </w:rPr>
        <w:t>El presupuesto de beneficios fiscales en los presupuestos generales de Nav</w:t>
      </w:r>
      <w:r w:rsidRPr="006D43A7">
        <w:rPr>
          <w:lang w:val="es-ES"/>
        </w:rPr>
        <w:t>a</w:t>
      </w:r>
      <w:r w:rsidRPr="006D43A7">
        <w:rPr>
          <w:lang w:val="es-ES"/>
        </w:rPr>
        <w:t>rra del ejercicio 2012, prorrogado para 2014, preveía un total de 1.441,5 mill</w:t>
      </w:r>
      <w:r w:rsidRPr="006D43A7">
        <w:rPr>
          <w:lang w:val="es-ES"/>
        </w:rPr>
        <w:t>o</w:t>
      </w:r>
      <w:r w:rsidRPr="006D43A7">
        <w:rPr>
          <w:lang w:val="es-ES"/>
        </w:rPr>
        <w:t>nes de euros de beneficios fiscales, de los cuales 613,68 millones correspo</w:t>
      </w:r>
      <w:r w:rsidRPr="006D43A7">
        <w:rPr>
          <w:lang w:val="es-ES"/>
        </w:rPr>
        <w:t>n</w:t>
      </w:r>
      <w:r w:rsidRPr="006D43A7">
        <w:rPr>
          <w:lang w:val="es-ES"/>
        </w:rPr>
        <w:t>dían a impuestos directos y 827,82 a impuestos indirectos.</w:t>
      </w:r>
    </w:p>
    <w:p w:rsidR="001B3767" w:rsidRDefault="001B3767" w:rsidP="001B3767">
      <w:pPr>
        <w:pStyle w:val="texto"/>
        <w:rPr>
          <w:lang w:val="es-ES"/>
        </w:rPr>
      </w:pPr>
      <w:r w:rsidRPr="006D43A7">
        <w:rPr>
          <w:lang w:val="es-ES"/>
        </w:rPr>
        <w:t>No se informa en los estados contables de la Cuenta General sobre la ejec</w:t>
      </w:r>
      <w:r w:rsidRPr="006D43A7">
        <w:rPr>
          <w:lang w:val="es-ES"/>
        </w:rPr>
        <w:t>u</w:t>
      </w:r>
      <w:r w:rsidR="00123989">
        <w:rPr>
          <w:lang w:val="es-ES"/>
        </w:rPr>
        <w:t>ción de los beneficios fiscales.</w:t>
      </w:r>
    </w:p>
    <w:p w:rsidR="001B3767" w:rsidRPr="006D43A7" w:rsidRDefault="001B3767" w:rsidP="00513E98">
      <w:pPr>
        <w:pStyle w:val="texto"/>
        <w:spacing w:after="180"/>
        <w:rPr>
          <w:lang w:val="es-ES"/>
        </w:rPr>
      </w:pPr>
      <w:r w:rsidRPr="006D43A7">
        <w:rPr>
          <w:lang w:val="es-ES"/>
        </w:rPr>
        <w:t xml:space="preserve">Se han revisado los siguientes impuestos: </w:t>
      </w:r>
    </w:p>
    <w:p w:rsidR="0091514E" w:rsidRPr="00801987" w:rsidRDefault="001B3767" w:rsidP="0091514E">
      <w:pPr>
        <w:pStyle w:val="texto"/>
        <w:spacing w:after="80"/>
        <w:ind w:right="12"/>
        <w:jc w:val="right"/>
        <w:rPr>
          <w:rFonts w:ascii="Arial" w:hAnsi="Arial" w:cs="Arial"/>
          <w:sz w:val="16"/>
          <w:szCs w:val="16"/>
          <w:lang w:val="es-ES" w:eastAsia="es-ES"/>
        </w:rPr>
      </w:pPr>
      <w:r>
        <w:t xml:space="preserve">                                                                                              </w:t>
      </w:r>
      <w:r w:rsidR="0091514E">
        <w:rPr>
          <w:rFonts w:ascii="Arial" w:hAnsi="Arial" w:cs="Arial"/>
          <w:sz w:val="16"/>
          <w:szCs w:val="16"/>
          <w:lang w:val="es-ES" w:eastAsia="es-ES"/>
        </w:rPr>
        <w:t>(</w:t>
      </w:r>
      <w:proofErr w:type="gramStart"/>
      <w:r w:rsidR="0091514E">
        <w:rPr>
          <w:rFonts w:ascii="Arial" w:hAnsi="Arial" w:cs="Arial"/>
          <w:sz w:val="16"/>
          <w:szCs w:val="16"/>
          <w:lang w:val="es-ES" w:eastAsia="es-ES"/>
        </w:rPr>
        <w:t>e</w:t>
      </w:r>
      <w:r w:rsidR="0091514E" w:rsidRPr="00801987">
        <w:rPr>
          <w:rFonts w:ascii="Arial" w:hAnsi="Arial" w:cs="Arial"/>
          <w:sz w:val="16"/>
          <w:szCs w:val="16"/>
          <w:lang w:val="es-ES" w:eastAsia="es-ES"/>
        </w:rPr>
        <w:t>n</w:t>
      </w:r>
      <w:proofErr w:type="gramEnd"/>
      <w:r w:rsidR="0091514E" w:rsidRPr="00801987">
        <w:rPr>
          <w:rFonts w:ascii="Arial" w:hAnsi="Arial" w:cs="Arial"/>
          <w:sz w:val="16"/>
          <w:szCs w:val="16"/>
          <w:lang w:val="es-ES" w:eastAsia="es-ES"/>
        </w:rPr>
        <w:t xml:space="preserve"> miles de euros</w:t>
      </w:r>
      <w:r w:rsidR="0091514E">
        <w:rPr>
          <w:rFonts w:ascii="Arial" w:hAnsi="Arial" w:cs="Arial"/>
          <w:sz w:val="16"/>
          <w:szCs w:val="16"/>
          <w:lang w:val="es-ES" w:eastAsia="es-ES"/>
        </w:rPr>
        <w:t>)</w:t>
      </w:r>
    </w:p>
    <w:tbl>
      <w:tblPr>
        <w:tblW w:w="8719" w:type="dxa"/>
        <w:jc w:val="center"/>
        <w:tblCellMar>
          <w:left w:w="70" w:type="dxa"/>
          <w:right w:w="70" w:type="dxa"/>
        </w:tblCellMar>
        <w:tblLook w:val="04A0" w:firstRow="1" w:lastRow="0" w:firstColumn="1" w:lastColumn="0" w:noHBand="0" w:noVBand="1"/>
      </w:tblPr>
      <w:tblGrid>
        <w:gridCol w:w="3454"/>
        <w:gridCol w:w="873"/>
        <w:gridCol w:w="1257"/>
        <w:gridCol w:w="985"/>
        <w:gridCol w:w="959"/>
        <w:gridCol w:w="146"/>
        <w:gridCol w:w="1045"/>
      </w:tblGrid>
      <w:tr w:rsidR="001B3767" w:rsidRPr="00A81E2A" w:rsidTr="00873C3C">
        <w:trPr>
          <w:trHeight w:val="255"/>
          <w:jc w:val="center"/>
        </w:trPr>
        <w:tc>
          <w:tcPr>
            <w:tcW w:w="3454" w:type="dxa"/>
            <w:tcBorders>
              <w:top w:val="single" w:sz="4" w:space="0" w:color="auto"/>
              <w:left w:val="nil"/>
              <w:bottom w:val="single" w:sz="4" w:space="0" w:color="auto"/>
              <w:right w:val="nil"/>
            </w:tcBorders>
            <w:shd w:val="clear" w:color="auto" w:fill="8DB3E2" w:themeFill="text2" w:themeFillTint="66"/>
            <w:vAlign w:val="center"/>
            <w:hideMark/>
          </w:tcPr>
          <w:p w:rsidR="001B3767" w:rsidRPr="00A81E2A" w:rsidRDefault="001B3767" w:rsidP="000E2288">
            <w:pPr>
              <w:pStyle w:val="cuadroCabe"/>
              <w:jc w:val="left"/>
              <w:rPr>
                <w:sz w:val="16"/>
                <w:szCs w:val="16"/>
              </w:rPr>
            </w:pPr>
            <w:r w:rsidRPr="00A81E2A">
              <w:rPr>
                <w:sz w:val="16"/>
                <w:szCs w:val="16"/>
              </w:rPr>
              <w:t>Impuestos</w:t>
            </w:r>
          </w:p>
        </w:tc>
        <w:tc>
          <w:tcPr>
            <w:tcW w:w="873" w:type="dxa"/>
            <w:tcBorders>
              <w:top w:val="single" w:sz="4" w:space="0" w:color="auto"/>
              <w:left w:val="nil"/>
              <w:bottom w:val="single" w:sz="4" w:space="0" w:color="auto"/>
              <w:right w:val="nil"/>
            </w:tcBorders>
            <w:shd w:val="clear" w:color="auto" w:fill="8DB3E2" w:themeFill="text2" w:themeFillTint="66"/>
            <w:vAlign w:val="center"/>
            <w:hideMark/>
          </w:tcPr>
          <w:p w:rsidR="001B3767" w:rsidRPr="00A81E2A" w:rsidRDefault="001B3767" w:rsidP="0091514E">
            <w:pPr>
              <w:pStyle w:val="cuadroCabe"/>
              <w:jc w:val="right"/>
              <w:rPr>
                <w:sz w:val="16"/>
                <w:szCs w:val="16"/>
              </w:rPr>
            </w:pPr>
            <w:proofErr w:type="spellStart"/>
            <w:r w:rsidRPr="00A81E2A">
              <w:rPr>
                <w:sz w:val="16"/>
                <w:szCs w:val="16"/>
              </w:rPr>
              <w:t>Dchos</w:t>
            </w:r>
            <w:proofErr w:type="spellEnd"/>
            <w:r w:rsidRPr="00A81E2A">
              <w:rPr>
                <w:sz w:val="16"/>
                <w:szCs w:val="16"/>
              </w:rPr>
              <w:t>.</w:t>
            </w:r>
          </w:p>
          <w:p w:rsidR="001B3767" w:rsidRPr="00A81E2A" w:rsidRDefault="00873C3C" w:rsidP="0091514E">
            <w:pPr>
              <w:pStyle w:val="cuadroCabe"/>
              <w:jc w:val="right"/>
              <w:rPr>
                <w:sz w:val="16"/>
                <w:szCs w:val="16"/>
              </w:rPr>
            </w:pPr>
            <w:r w:rsidRPr="00A81E2A">
              <w:rPr>
                <w:sz w:val="16"/>
                <w:szCs w:val="16"/>
              </w:rPr>
              <w:t xml:space="preserve">netos </w:t>
            </w:r>
            <w:r w:rsidR="001B3767" w:rsidRPr="00A81E2A">
              <w:rPr>
                <w:sz w:val="16"/>
                <w:szCs w:val="16"/>
              </w:rPr>
              <w:t>2014</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1B3767" w:rsidRPr="00A81E2A" w:rsidRDefault="001B3767" w:rsidP="0091514E">
            <w:pPr>
              <w:pStyle w:val="cuadroCabe"/>
              <w:jc w:val="right"/>
              <w:rPr>
                <w:sz w:val="16"/>
                <w:szCs w:val="16"/>
              </w:rPr>
            </w:pPr>
            <w:r w:rsidRPr="00A81E2A">
              <w:rPr>
                <w:sz w:val="16"/>
                <w:szCs w:val="16"/>
              </w:rPr>
              <w:t>Recaudación neta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91514E" w:rsidRPr="00A81E2A" w:rsidRDefault="001B3767" w:rsidP="0091514E">
            <w:pPr>
              <w:pStyle w:val="cuadroCabe"/>
              <w:jc w:val="right"/>
              <w:rPr>
                <w:sz w:val="16"/>
                <w:szCs w:val="16"/>
              </w:rPr>
            </w:pPr>
            <w:r w:rsidRPr="00A81E2A">
              <w:rPr>
                <w:sz w:val="16"/>
                <w:szCs w:val="16"/>
              </w:rPr>
              <w:t xml:space="preserve">% </w:t>
            </w:r>
          </w:p>
          <w:p w:rsidR="001B3767" w:rsidRPr="00A81E2A" w:rsidRDefault="00873C3C" w:rsidP="0091514E">
            <w:pPr>
              <w:pStyle w:val="cuadroCabe"/>
              <w:jc w:val="right"/>
              <w:rPr>
                <w:sz w:val="16"/>
                <w:szCs w:val="16"/>
              </w:rPr>
            </w:pPr>
            <w:proofErr w:type="spellStart"/>
            <w:proofErr w:type="gramStart"/>
            <w:r w:rsidRPr="00A81E2A">
              <w:rPr>
                <w:sz w:val="16"/>
                <w:szCs w:val="16"/>
              </w:rPr>
              <w:t>recaudac</w:t>
            </w:r>
            <w:proofErr w:type="spellEnd"/>
            <w:proofErr w:type="gramEnd"/>
            <w:r w:rsidR="001B3767" w:rsidRPr="00A81E2A">
              <w:rPr>
                <w:sz w:val="16"/>
                <w:szCs w:val="16"/>
              </w:rPr>
              <w:t>.</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A81E2A" w:rsidRDefault="001B3767" w:rsidP="0091514E">
            <w:pPr>
              <w:pStyle w:val="cuadroCabe"/>
              <w:jc w:val="right"/>
              <w:rPr>
                <w:sz w:val="16"/>
                <w:szCs w:val="16"/>
              </w:rPr>
            </w:pPr>
            <w:r w:rsidRPr="00A81E2A">
              <w:rPr>
                <w:sz w:val="16"/>
                <w:szCs w:val="16"/>
              </w:rPr>
              <w:t xml:space="preserve">Derechos </w:t>
            </w:r>
          </w:p>
          <w:p w:rsidR="001B3767" w:rsidRPr="00A81E2A" w:rsidRDefault="00347AA0" w:rsidP="0091514E">
            <w:pPr>
              <w:pStyle w:val="cuadroCabe"/>
              <w:jc w:val="right"/>
              <w:rPr>
                <w:sz w:val="16"/>
                <w:szCs w:val="16"/>
              </w:rPr>
            </w:pPr>
            <w:r w:rsidRPr="00A81E2A">
              <w:rPr>
                <w:sz w:val="16"/>
                <w:szCs w:val="16"/>
              </w:rPr>
              <w:t xml:space="preserve">netos </w:t>
            </w:r>
            <w:r w:rsidR="001B3767" w:rsidRPr="00A81E2A">
              <w:rPr>
                <w:sz w:val="16"/>
                <w:szCs w:val="16"/>
              </w:rPr>
              <w:t>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A81E2A" w:rsidRDefault="001B3767" w:rsidP="0091514E">
            <w:pPr>
              <w:pStyle w:val="cuadroCabe"/>
              <w:jc w:val="right"/>
              <w:rPr>
                <w:sz w:val="16"/>
                <w:szCs w:val="16"/>
              </w:rPr>
            </w:pPr>
          </w:p>
        </w:tc>
        <w:tc>
          <w:tcPr>
            <w:tcW w:w="1045" w:type="dxa"/>
            <w:tcBorders>
              <w:top w:val="single" w:sz="4" w:space="0" w:color="auto"/>
              <w:left w:val="nil"/>
              <w:bottom w:val="single" w:sz="4" w:space="0" w:color="auto"/>
              <w:right w:val="nil"/>
            </w:tcBorders>
            <w:shd w:val="clear" w:color="auto" w:fill="8DB3E2" w:themeFill="text2" w:themeFillTint="66"/>
            <w:vAlign w:val="center"/>
            <w:hideMark/>
          </w:tcPr>
          <w:p w:rsidR="001B3767" w:rsidRPr="00A81E2A" w:rsidRDefault="001B3767" w:rsidP="0091514E">
            <w:pPr>
              <w:pStyle w:val="cuadroCabe"/>
              <w:jc w:val="right"/>
              <w:rPr>
                <w:sz w:val="16"/>
                <w:szCs w:val="16"/>
              </w:rPr>
            </w:pPr>
            <w:r w:rsidRPr="00A81E2A">
              <w:rPr>
                <w:sz w:val="16"/>
                <w:szCs w:val="16"/>
              </w:rPr>
              <w:t xml:space="preserve">% </w:t>
            </w:r>
            <w:proofErr w:type="spellStart"/>
            <w:r w:rsidR="000F4EC6" w:rsidRPr="00A81E2A">
              <w:rPr>
                <w:sz w:val="16"/>
                <w:szCs w:val="16"/>
              </w:rPr>
              <w:t>Variac</w:t>
            </w:r>
            <w:proofErr w:type="spellEnd"/>
            <w:r w:rsidR="000F4EC6" w:rsidRPr="00A81E2A">
              <w:rPr>
                <w:sz w:val="16"/>
                <w:szCs w:val="16"/>
              </w:rPr>
              <w:t xml:space="preserve"> </w:t>
            </w:r>
            <w:r w:rsidRPr="00A81E2A">
              <w:rPr>
                <w:sz w:val="16"/>
                <w:szCs w:val="16"/>
              </w:rPr>
              <w:t xml:space="preserve">derechos. </w:t>
            </w:r>
          </w:p>
          <w:p w:rsidR="001B3767" w:rsidRPr="00A81E2A" w:rsidRDefault="001B3767" w:rsidP="0091514E">
            <w:pPr>
              <w:pStyle w:val="cuadroCabe"/>
              <w:jc w:val="right"/>
              <w:rPr>
                <w:sz w:val="16"/>
                <w:szCs w:val="16"/>
              </w:rPr>
            </w:pPr>
            <w:r w:rsidRPr="00A81E2A">
              <w:rPr>
                <w:sz w:val="16"/>
                <w:szCs w:val="16"/>
              </w:rPr>
              <w:t>2014/2013</w:t>
            </w:r>
          </w:p>
        </w:tc>
      </w:tr>
      <w:tr w:rsidR="001B3767" w:rsidRPr="00A81E2A" w:rsidTr="00873C3C">
        <w:trPr>
          <w:trHeight w:val="255"/>
          <w:jc w:val="center"/>
        </w:trPr>
        <w:tc>
          <w:tcPr>
            <w:tcW w:w="3454" w:type="dxa"/>
            <w:tcBorders>
              <w:top w:val="single" w:sz="4" w:space="0" w:color="auto"/>
              <w:left w:val="nil"/>
              <w:bottom w:val="single" w:sz="2" w:space="0" w:color="auto"/>
              <w:right w:val="nil"/>
            </w:tcBorders>
            <w:noWrap/>
            <w:vAlign w:val="center"/>
            <w:hideMark/>
          </w:tcPr>
          <w:p w:rsidR="001B3767" w:rsidRPr="00A81E2A" w:rsidRDefault="001B3767" w:rsidP="0091514E">
            <w:pPr>
              <w:pStyle w:val="cuatexto"/>
              <w:jc w:val="left"/>
              <w:rPr>
                <w:sz w:val="18"/>
                <w:szCs w:val="18"/>
              </w:rPr>
            </w:pPr>
            <w:r w:rsidRPr="00A81E2A">
              <w:rPr>
                <w:sz w:val="18"/>
                <w:szCs w:val="18"/>
              </w:rPr>
              <w:t>Producción de energía eléctrica</w:t>
            </w:r>
          </w:p>
        </w:tc>
        <w:tc>
          <w:tcPr>
            <w:tcW w:w="873" w:type="dxa"/>
            <w:tcBorders>
              <w:top w:val="single" w:sz="4" w:space="0" w:color="auto"/>
              <w:left w:val="nil"/>
              <w:bottom w:val="single" w:sz="2"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13.315</w:t>
            </w:r>
          </w:p>
        </w:tc>
        <w:tc>
          <w:tcPr>
            <w:tcW w:w="1257" w:type="dxa"/>
            <w:tcBorders>
              <w:top w:val="single" w:sz="4" w:space="0" w:color="auto"/>
              <w:left w:val="nil"/>
              <w:bottom w:val="single" w:sz="2"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12.928</w:t>
            </w:r>
          </w:p>
        </w:tc>
        <w:tc>
          <w:tcPr>
            <w:tcW w:w="985" w:type="dxa"/>
            <w:tcBorders>
              <w:top w:val="single" w:sz="4" w:space="0" w:color="auto"/>
              <w:left w:val="nil"/>
              <w:bottom w:val="single" w:sz="2"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97</w:t>
            </w:r>
          </w:p>
        </w:tc>
        <w:tc>
          <w:tcPr>
            <w:tcW w:w="959" w:type="dxa"/>
            <w:tcBorders>
              <w:top w:val="single" w:sz="4" w:space="0" w:color="auto"/>
              <w:left w:val="nil"/>
              <w:bottom w:val="single" w:sz="2"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23.249</w:t>
            </w:r>
          </w:p>
        </w:tc>
        <w:tc>
          <w:tcPr>
            <w:tcW w:w="146" w:type="dxa"/>
            <w:tcBorders>
              <w:top w:val="single" w:sz="4" w:space="0" w:color="auto"/>
              <w:left w:val="nil"/>
              <w:bottom w:val="single" w:sz="2" w:space="0" w:color="auto"/>
              <w:right w:val="nil"/>
            </w:tcBorders>
            <w:vAlign w:val="center"/>
          </w:tcPr>
          <w:p w:rsidR="001B3767" w:rsidRPr="00A81E2A" w:rsidRDefault="001B3767" w:rsidP="0091514E">
            <w:pPr>
              <w:pStyle w:val="cuatexto"/>
              <w:jc w:val="right"/>
              <w:rPr>
                <w:sz w:val="18"/>
                <w:szCs w:val="18"/>
              </w:rPr>
            </w:pPr>
          </w:p>
        </w:tc>
        <w:tc>
          <w:tcPr>
            <w:tcW w:w="1045" w:type="dxa"/>
            <w:tcBorders>
              <w:top w:val="single" w:sz="4" w:space="0" w:color="auto"/>
              <w:left w:val="nil"/>
              <w:bottom w:val="single" w:sz="2"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-43</w:t>
            </w:r>
          </w:p>
        </w:tc>
      </w:tr>
      <w:tr w:rsidR="001B3767" w:rsidRPr="00A81E2A" w:rsidTr="00873C3C">
        <w:trPr>
          <w:trHeight w:val="255"/>
          <w:jc w:val="center"/>
        </w:trPr>
        <w:tc>
          <w:tcPr>
            <w:tcW w:w="3454" w:type="dxa"/>
            <w:tcBorders>
              <w:top w:val="single" w:sz="2" w:space="0" w:color="auto"/>
              <w:left w:val="nil"/>
              <w:bottom w:val="single" w:sz="4" w:space="0" w:color="auto"/>
              <w:right w:val="nil"/>
            </w:tcBorders>
            <w:noWrap/>
            <w:vAlign w:val="center"/>
            <w:hideMark/>
          </w:tcPr>
          <w:p w:rsidR="001B3767" w:rsidRPr="00A81E2A" w:rsidRDefault="001B3767" w:rsidP="0091514E">
            <w:pPr>
              <w:pStyle w:val="cuatexto"/>
              <w:jc w:val="left"/>
              <w:rPr>
                <w:sz w:val="18"/>
                <w:szCs w:val="18"/>
              </w:rPr>
            </w:pPr>
            <w:r w:rsidRPr="00A81E2A">
              <w:rPr>
                <w:sz w:val="18"/>
                <w:szCs w:val="18"/>
              </w:rPr>
              <w:t>Transmisiones patrimoniales</w:t>
            </w:r>
          </w:p>
        </w:tc>
        <w:tc>
          <w:tcPr>
            <w:tcW w:w="873" w:type="dxa"/>
            <w:tcBorders>
              <w:top w:val="single" w:sz="2" w:space="0" w:color="auto"/>
              <w:left w:val="nil"/>
              <w:bottom w:val="single" w:sz="4"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33.301</w:t>
            </w:r>
          </w:p>
        </w:tc>
        <w:tc>
          <w:tcPr>
            <w:tcW w:w="1257" w:type="dxa"/>
            <w:tcBorders>
              <w:top w:val="single" w:sz="2" w:space="0" w:color="auto"/>
              <w:left w:val="nil"/>
              <w:bottom w:val="single" w:sz="4"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31.083</w:t>
            </w:r>
          </w:p>
        </w:tc>
        <w:tc>
          <w:tcPr>
            <w:tcW w:w="985" w:type="dxa"/>
            <w:tcBorders>
              <w:top w:val="single" w:sz="2" w:space="0" w:color="auto"/>
              <w:left w:val="nil"/>
              <w:bottom w:val="single" w:sz="4"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93</w:t>
            </w:r>
          </w:p>
        </w:tc>
        <w:tc>
          <w:tcPr>
            <w:tcW w:w="959" w:type="dxa"/>
            <w:tcBorders>
              <w:top w:val="single" w:sz="2" w:space="0" w:color="auto"/>
              <w:left w:val="nil"/>
              <w:bottom w:val="single" w:sz="4"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27.679</w:t>
            </w:r>
          </w:p>
        </w:tc>
        <w:tc>
          <w:tcPr>
            <w:tcW w:w="146" w:type="dxa"/>
            <w:tcBorders>
              <w:top w:val="single" w:sz="2" w:space="0" w:color="auto"/>
              <w:left w:val="nil"/>
              <w:bottom w:val="single" w:sz="4" w:space="0" w:color="auto"/>
              <w:right w:val="nil"/>
            </w:tcBorders>
            <w:vAlign w:val="center"/>
          </w:tcPr>
          <w:p w:rsidR="001B3767" w:rsidRPr="00A81E2A" w:rsidRDefault="001B3767" w:rsidP="0091514E">
            <w:pPr>
              <w:pStyle w:val="cuatexto"/>
              <w:jc w:val="right"/>
              <w:rPr>
                <w:sz w:val="18"/>
                <w:szCs w:val="18"/>
              </w:rPr>
            </w:pPr>
          </w:p>
        </w:tc>
        <w:tc>
          <w:tcPr>
            <w:tcW w:w="1045" w:type="dxa"/>
            <w:tcBorders>
              <w:top w:val="single" w:sz="2" w:space="0" w:color="auto"/>
              <w:left w:val="nil"/>
              <w:bottom w:val="single" w:sz="4" w:space="0" w:color="auto"/>
              <w:right w:val="nil"/>
            </w:tcBorders>
            <w:vAlign w:val="center"/>
            <w:hideMark/>
          </w:tcPr>
          <w:p w:rsidR="001B3767" w:rsidRPr="00A81E2A" w:rsidRDefault="001B3767" w:rsidP="0091514E">
            <w:pPr>
              <w:pStyle w:val="cuatexto"/>
              <w:jc w:val="right"/>
              <w:rPr>
                <w:sz w:val="18"/>
                <w:szCs w:val="18"/>
              </w:rPr>
            </w:pPr>
            <w:r w:rsidRPr="00A81E2A">
              <w:rPr>
                <w:sz w:val="18"/>
                <w:szCs w:val="18"/>
              </w:rPr>
              <w:t>20</w:t>
            </w:r>
          </w:p>
        </w:tc>
      </w:tr>
    </w:tbl>
    <w:p w:rsidR="001B3767" w:rsidRPr="00846868" w:rsidRDefault="001B3767" w:rsidP="00513E98">
      <w:pPr>
        <w:pStyle w:val="texto"/>
        <w:numPr>
          <w:ilvl w:val="0"/>
          <w:numId w:val="11"/>
        </w:numPr>
        <w:tabs>
          <w:tab w:val="clear" w:pos="2835"/>
          <w:tab w:val="clear" w:pos="3969"/>
          <w:tab w:val="clear" w:pos="5103"/>
          <w:tab w:val="clear" w:pos="6237"/>
          <w:tab w:val="clear" w:pos="7371"/>
          <w:tab w:val="left" w:pos="480"/>
          <w:tab w:val="num" w:pos="600"/>
          <w:tab w:val="num" w:pos="720"/>
        </w:tabs>
        <w:spacing w:before="300"/>
        <w:ind w:left="0" w:firstLine="289"/>
        <w:rPr>
          <w:rFonts w:cs="Arial"/>
        </w:rPr>
      </w:pPr>
      <w:bookmarkStart w:id="76" w:name="_Toc418853788"/>
      <w:r w:rsidRPr="00846868">
        <w:rPr>
          <w:rFonts w:cs="Arial"/>
        </w:rPr>
        <w:t>Impuesto sobre el valor de la producción de energía eléctrica</w:t>
      </w:r>
      <w:r w:rsidR="00D965E3">
        <w:rPr>
          <w:rFonts w:cs="Arial"/>
        </w:rPr>
        <w:t>.</w:t>
      </w:r>
    </w:p>
    <w:p w:rsidR="001B3767" w:rsidRPr="006D43A7" w:rsidRDefault="001B3767" w:rsidP="006D43A7">
      <w:pPr>
        <w:pStyle w:val="texto"/>
        <w:rPr>
          <w:lang w:val="es-ES"/>
        </w:rPr>
      </w:pPr>
      <w:r w:rsidRPr="006D43A7">
        <w:rPr>
          <w:lang w:val="es-ES"/>
        </w:rPr>
        <w:t xml:space="preserve">Los derechos reconocidos por el impuesto sobre el valor de la producción de energía eléctrica (IPVEE) en 2014 ascendieron a 13,32 millones, un 43 por </w:t>
      </w:r>
      <w:r w:rsidRPr="006D43A7">
        <w:rPr>
          <w:lang w:val="es-ES"/>
        </w:rPr>
        <w:lastRenderedPageBreak/>
        <w:t>ciento menos que en 2013. Al cierre del ejercicio se habían cobrado 12,93 m</w:t>
      </w:r>
      <w:r w:rsidRPr="006D43A7">
        <w:rPr>
          <w:lang w:val="es-ES"/>
        </w:rPr>
        <w:t>i</w:t>
      </w:r>
      <w:r w:rsidRPr="006D43A7">
        <w:rPr>
          <w:lang w:val="es-ES"/>
        </w:rPr>
        <w:t>llones.</w:t>
      </w:r>
    </w:p>
    <w:p w:rsidR="001B3767" w:rsidRPr="006D43A7" w:rsidRDefault="001B3767" w:rsidP="001B3767">
      <w:pPr>
        <w:pStyle w:val="texto"/>
        <w:rPr>
          <w:lang w:val="es-ES"/>
        </w:rPr>
      </w:pPr>
      <w:r w:rsidRPr="006D43A7">
        <w:rPr>
          <w:lang w:val="es-ES"/>
        </w:rPr>
        <w:t>El impuesto sobre el valor de la producción de energía eléctrica es un i</w:t>
      </w:r>
      <w:r w:rsidRPr="006D43A7">
        <w:rPr>
          <w:lang w:val="es-ES"/>
        </w:rPr>
        <w:t>m</w:t>
      </w:r>
      <w:r w:rsidRPr="006D43A7">
        <w:rPr>
          <w:lang w:val="es-ES"/>
        </w:rPr>
        <w:t xml:space="preserve">puesto directo creado en el Estado con efectos </w:t>
      </w:r>
      <w:r w:rsidR="001E7D6E">
        <w:rPr>
          <w:lang w:val="es-ES"/>
        </w:rPr>
        <w:t>desde el</w:t>
      </w:r>
      <w:r w:rsidRPr="006D43A7">
        <w:rPr>
          <w:lang w:val="es-ES"/>
        </w:rPr>
        <w:t xml:space="preserve"> 1 de enero de 2013</w:t>
      </w:r>
      <w:r w:rsidR="00B749EB">
        <w:rPr>
          <w:lang w:val="es-ES"/>
        </w:rPr>
        <w:t>,</w:t>
      </w:r>
      <w:r w:rsidRPr="006D43A7">
        <w:rPr>
          <w:lang w:val="es-ES"/>
        </w:rPr>
        <w:t xml:space="preserve"> que grava la realización de actividades de producción e incorporación al sistema eléctrico de energía eléctrica.</w:t>
      </w:r>
    </w:p>
    <w:p w:rsidR="001B3767" w:rsidRPr="006D43A7" w:rsidRDefault="001B3767" w:rsidP="001B3767">
      <w:pPr>
        <w:pStyle w:val="texto"/>
        <w:rPr>
          <w:lang w:val="es-ES"/>
        </w:rPr>
      </w:pPr>
      <w:r w:rsidRPr="006D43A7">
        <w:rPr>
          <w:lang w:val="es-ES"/>
        </w:rPr>
        <w:t>En Navarra, la Ley Foral 24/2012, de 26 de diciembre, reguladora del i</w:t>
      </w:r>
      <w:r w:rsidRPr="006D43A7">
        <w:rPr>
          <w:lang w:val="es-ES"/>
        </w:rPr>
        <w:t>m</w:t>
      </w:r>
      <w:r w:rsidRPr="006D43A7">
        <w:rPr>
          <w:lang w:val="es-ES"/>
        </w:rPr>
        <w:t>puesto estableció la exención de tributación para los titulares o cotitulares de instalaciones de producción de energía eléctrica, de carácter renovable, cuya potencia instalada nominal no supere los 100 kW, por instalación y, durante cinco años, para los que renueven los equipos de producción actuales por otros nuevos que incrementen la producción. Esta ley Foral fue declarada inconstit</w:t>
      </w:r>
      <w:r w:rsidRPr="006D43A7">
        <w:rPr>
          <w:lang w:val="es-ES"/>
        </w:rPr>
        <w:t>u</w:t>
      </w:r>
      <w:r w:rsidRPr="006D43A7">
        <w:rPr>
          <w:lang w:val="es-ES"/>
        </w:rPr>
        <w:t>cional y nula por Sentencia del Tribunal Constitucional de 26 de junio de 2014.</w:t>
      </w:r>
    </w:p>
    <w:p w:rsidR="001B3767" w:rsidRPr="006D43A7" w:rsidRDefault="001B3767" w:rsidP="001B3767">
      <w:pPr>
        <w:pStyle w:val="texto"/>
        <w:rPr>
          <w:lang w:val="es-ES"/>
        </w:rPr>
      </w:pPr>
      <w:r w:rsidRPr="006D43A7">
        <w:rPr>
          <w:lang w:val="es-ES"/>
        </w:rPr>
        <w:t xml:space="preserve">Desde </w:t>
      </w:r>
      <w:r w:rsidR="00296EB4">
        <w:rPr>
          <w:lang w:val="es-ES"/>
        </w:rPr>
        <w:t xml:space="preserve">el segundo trimestre </w:t>
      </w:r>
      <w:r w:rsidRPr="006D43A7">
        <w:rPr>
          <w:lang w:val="es-ES"/>
        </w:rPr>
        <w:t>de 2014 a</w:t>
      </w:r>
      <w:r w:rsidR="00296EB4">
        <w:rPr>
          <w:lang w:val="es-ES"/>
        </w:rPr>
        <w:t>l segundo trimestre, incluido,</w:t>
      </w:r>
      <w:r w:rsidRPr="006D43A7">
        <w:rPr>
          <w:lang w:val="es-ES"/>
        </w:rPr>
        <w:t xml:space="preserve"> de 2015, el impuesto lo gestionó la Agencia Tributaria del Estado. </w:t>
      </w:r>
    </w:p>
    <w:p w:rsidR="001B3767" w:rsidRPr="003C40DF" w:rsidRDefault="001B3767" w:rsidP="00A81E2A">
      <w:pPr>
        <w:pStyle w:val="texto"/>
        <w:rPr>
          <w:color w:val="FF0000"/>
        </w:rPr>
      </w:pPr>
      <w:r>
        <w:t xml:space="preserve">En 2015, la </w:t>
      </w:r>
      <w:r w:rsidRPr="00A822FD">
        <w:t>ley 14/2015, de 24 de junio, por la que se modifica el Convenio Económico entre el Estado y la C</w:t>
      </w:r>
      <w:r>
        <w:t xml:space="preserve">omunidad Foral establece que </w:t>
      </w:r>
      <w:r w:rsidRPr="00A822FD">
        <w:t xml:space="preserve">la Comunidad Foral de Navarra </w:t>
      </w:r>
      <w:proofErr w:type="spellStart"/>
      <w:r>
        <w:t>exaccionará</w:t>
      </w:r>
      <w:proofErr w:type="spellEnd"/>
      <w:r>
        <w:t xml:space="preserve"> el impuesto, cuando la instalación productora de energía eléctrica esté situada en su territorio, aplicando l</w:t>
      </w:r>
      <w:r w:rsidRPr="00A822FD">
        <w:t>as mismas normas su</w:t>
      </w:r>
      <w:r w:rsidRPr="00A822FD">
        <w:t>s</w:t>
      </w:r>
      <w:r w:rsidRPr="00A822FD">
        <w:t>tantivas y formales establecidas por el Estado</w:t>
      </w:r>
      <w:r>
        <w:t xml:space="preserve">. </w:t>
      </w:r>
    </w:p>
    <w:p w:rsidR="001B3767" w:rsidRDefault="001B3767" w:rsidP="001B3767">
      <w:pPr>
        <w:pStyle w:val="texto"/>
        <w:rPr>
          <w:lang w:val="es-ES"/>
        </w:rPr>
      </w:pPr>
      <w:r w:rsidRPr="006D43A7">
        <w:rPr>
          <w:lang w:val="es-ES"/>
        </w:rPr>
        <w:t>La Ley Foral 11/2015, de 18 de marzo, establece que los titulares de las in</w:t>
      </w:r>
      <w:r w:rsidRPr="006D43A7">
        <w:rPr>
          <w:lang w:val="es-ES"/>
        </w:rPr>
        <w:t>s</w:t>
      </w:r>
      <w:r w:rsidRPr="006D43A7">
        <w:rPr>
          <w:lang w:val="es-ES"/>
        </w:rPr>
        <w:t xml:space="preserve">talaciones de producción de energía eléctrica con una potencia nominal inferior a 100 </w:t>
      </w:r>
      <w:proofErr w:type="spellStart"/>
      <w:r w:rsidRPr="006D43A7">
        <w:rPr>
          <w:lang w:val="es-ES"/>
        </w:rPr>
        <w:t>kw</w:t>
      </w:r>
      <w:proofErr w:type="spellEnd"/>
      <w:r w:rsidRPr="006D43A7">
        <w:rPr>
          <w:lang w:val="es-ES"/>
        </w:rPr>
        <w:t>, podrán beneficiarse de deducciones, equivalentes a la cuantía del impuesto abonado, en los impuestos de renta y sociedades de 2016.</w:t>
      </w:r>
    </w:p>
    <w:p w:rsidR="00296EB4" w:rsidRPr="00296EB4" w:rsidRDefault="00296EB4" w:rsidP="00296EB4">
      <w:pPr>
        <w:pStyle w:val="texto"/>
        <w:spacing w:after="180"/>
        <w:rPr>
          <w:lang w:val="es-ES"/>
        </w:rPr>
      </w:pPr>
      <w:r w:rsidRPr="00296EB4">
        <w:rPr>
          <w:lang w:val="es-ES"/>
        </w:rPr>
        <w:t xml:space="preserve">En la revisión de una muestra del impuesto sobre </w:t>
      </w:r>
      <w:r w:rsidRPr="006D43A7">
        <w:rPr>
          <w:lang w:val="es-ES"/>
        </w:rPr>
        <w:t xml:space="preserve">el valor de la producción de energía eléctrica </w:t>
      </w:r>
      <w:r w:rsidRPr="00296EB4">
        <w:rPr>
          <w:lang w:val="es-ES"/>
        </w:rPr>
        <w:t>hemos comprobado que,</w:t>
      </w:r>
      <w:r>
        <w:rPr>
          <w:lang w:val="es-ES"/>
        </w:rPr>
        <w:t xml:space="preserve"> e</w:t>
      </w:r>
      <w:r w:rsidRPr="00296EB4">
        <w:rPr>
          <w:lang w:val="es-ES"/>
        </w:rPr>
        <w:t xml:space="preserve">n general, </w:t>
      </w:r>
      <w:r>
        <w:rPr>
          <w:lang w:val="es-ES"/>
        </w:rPr>
        <w:t xml:space="preserve">el impuesto se liquidó y recaudó de conformidad </w:t>
      </w:r>
      <w:r w:rsidRPr="00296EB4">
        <w:rPr>
          <w:lang w:val="es-ES"/>
        </w:rPr>
        <w:t>con su normativa reguladora</w:t>
      </w:r>
      <w:r>
        <w:rPr>
          <w:lang w:val="es-ES"/>
        </w:rPr>
        <w:t>.</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t>Impuesto de Transmisiones Patrimoniales (I.T.P.)</w:t>
      </w:r>
    </w:p>
    <w:p w:rsidR="001B3767" w:rsidRPr="006D43A7" w:rsidRDefault="001B3767" w:rsidP="001B3767">
      <w:pPr>
        <w:pStyle w:val="texto"/>
        <w:rPr>
          <w:lang w:val="es-ES"/>
        </w:rPr>
      </w:pPr>
      <w:r w:rsidRPr="006D43A7">
        <w:rPr>
          <w:lang w:val="es-ES"/>
        </w:rPr>
        <w:t>El I.T.P. es un tributo de naturaleza indirecta que grava las transmisiones p</w:t>
      </w:r>
      <w:r w:rsidRPr="006D43A7">
        <w:rPr>
          <w:lang w:val="es-ES"/>
        </w:rPr>
        <w:t>a</w:t>
      </w:r>
      <w:r w:rsidRPr="006D43A7">
        <w:rPr>
          <w:lang w:val="es-ES"/>
        </w:rPr>
        <w:t>trimoniales onerosas y operaciones societarias.</w:t>
      </w:r>
    </w:p>
    <w:p w:rsidR="001B3767" w:rsidRPr="006D43A7" w:rsidRDefault="001B3767" w:rsidP="00F54983">
      <w:pPr>
        <w:pStyle w:val="texto"/>
        <w:spacing w:after="120"/>
        <w:rPr>
          <w:lang w:val="es-ES"/>
        </w:rPr>
      </w:pPr>
      <w:r w:rsidRPr="006D43A7">
        <w:rPr>
          <w:lang w:val="es-ES"/>
        </w:rPr>
        <w:t>En el año 2014 se reconocieron derechos por 33,30 millones de euros, un 20 por ciento más que en 2013. Al cierre del ejercicio se habían cobrado 31,08 m</w:t>
      </w:r>
      <w:r w:rsidRPr="006D43A7">
        <w:rPr>
          <w:lang w:val="es-ES"/>
        </w:rPr>
        <w:t>i</w:t>
      </w:r>
      <w:r w:rsidRPr="006D43A7">
        <w:rPr>
          <w:lang w:val="es-ES"/>
        </w:rPr>
        <w:t>llones.</w:t>
      </w:r>
    </w:p>
    <w:p w:rsidR="001B3767" w:rsidRPr="006D43A7" w:rsidRDefault="001B3767" w:rsidP="00F54983">
      <w:pPr>
        <w:pStyle w:val="texto"/>
        <w:spacing w:after="120"/>
        <w:rPr>
          <w:lang w:val="es-ES"/>
        </w:rPr>
      </w:pPr>
      <w:r w:rsidRPr="006D43A7">
        <w:rPr>
          <w:lang w:val="es-ES"/>
        </w:rPr>
        <w:t>La base imponible del impuesto es el valor real de los bienes</w:t>
      </w:r>
      <w:r w:rsidR="00FF6D0B">
        <w:rPr>
          <w:lang w:val="es-ES"/>
        </w:rPr>
        <w:t>, esto es, el v</w:t>
      </w:r>
      <w:r w:rsidR="00FF6D0B">
        <w:rPr>
          <w:lang w:val="es-ES"/>
        </w:rPr>
        <w:t>a</w:t>
      </w:r>
      <w:r w:rsidR="00FF6D0B">
        <w:rPr>
          <w:lang w:val="es-ES"/>
        </w:rPr>
        <w:t>lor declarado o el superior comprobado por la Administración</w:t>
      </w:r>
      <w:r w:rsidRPr="006D43A7">
        <w:rPr>
          <w:lang w:val="es-ES"/>
        </w:rPr>
        <w:t>. Al respecto, el Servicio de Riqueza Territorial emite un informe sobre la conformidad o no con el valor declarado por el sujeto pasivo.</w:t>
      </w:r>
    </w:p>
    <w:p w:rsidR="001B3767" w:rsidRPr="006D43A7" w:rsidRDefault="001B3767" w:rsidP="00F54983">
      <w:pPr>
        <w:pStyle w:val="texto"/>
        <w:spacing w:after="120"/>
        <w:rPr>
          <w:lang w:val="es-ES"/>
        </w:rPr>
      </w:pPr>
      <w:r w:rsidRPr="006D43A7">
        <w:rPr>
          <w:lang w:val="es-ES"/>
        </w:rPr>
        <w:lastRenderedPageBreak/>
        <w:t>El procedimiento de valoración de determinados bienes inmuebles se aprobó por Decreto Foral 334/2001 mediante la aplicación del método de comprob</w:t>
      </w:r>
      <w:r w:rsidRPr="006D43A7">
        <w:rPr>
          <w:lang w:val="es-ES"/>
        </w:rPr>
        <w:t>a</w:t>
      </w:r>
      <w:r w:rsidRPr="006D43A7">
        <w:rPr>
          <w:lang w:val="es-ES"/>
        </w:rPr>
        <w:t>ción de los precios medios en el mercado, a efectos del I.T.P., entre otros i</w:t>
      </w:r>
      <w:r w:rsidRPr="006D43A7">
        <w:rPr>
          <w:lang w:val="es-ES"/>
        </w:rPr>
        <w:t>m</w:t>
      </w:r>
      <w:r w:rsidRPr="006D43A7">
        <w:rPr>
          <w:lang w:val="es-ES"/>
        </w:rPr>
        <w:t>puestos. La última actualización de los parámetros contenidos en dicho Decreto Foral se aprobó en 2005 (Decreto Foral 236/2005).</w:t>
      </w:r>
    </w:p>
    <w:p w:rsidR="001B3767" w:rsidRPr="006D43A7" w:rsidRDefault="001B3767" w:rsidP="00F54983">
      <w:pPr>
        <w:pStyle w:val="texto"/>
        <w:spacing w:after="120"/>
        <w:rPr>
          <w:lang w:val="es-ES"/>
        </w:rPr>
      </w:pPr>
      <w:r w:rsidRPr="006D43A7">
        <w:rPr>
          <w:lang w:val="es-ES"/>
        </w:rPr>
        <w:t>En el ejercicio 2014 no se aplicó</w:t>
      </w:r>
      <w:r w:rsidR="001E7D6E">
        <w:rPr>
          <w:lang w:val="es-ES"/>
        </w:rPr>
        <w:t>, en general,</w:t>
      </w:r>
      <w:r w:rsidRPr="006D43A7">
        <w:rPr>
          <w:lang w:val="es-ES"/>
        </w:rPr>
        <w:t xml:space="preserve"> el Decreto Foral de 2005 v</w:t>
      </w:r>
      <w:r w:rsidRPr="006D43A7">
        <w:rPr>
          <w:lang w:val="es-ES"/>
        </w:rPr>
        <w:t>i</w:t>
      </w:r>
      <w:r w:rsidRPr="006D43A7">
        <w:rPr>
          <w:lang w:val="es-ES"/>
        </w:rPr>
        <w:t>gente en 2014</w:t>
      </w:r>
      <w:r w:rsidR="001E7D6E">
        <w:rPr>
          <w:lang w:val="es-ES"/>
        </w:rPr>
        <w:t>,</w:t>
      </w:r>
      <w:r w:rsidRPr="006D43A7">
        <w:rPr>
          <w:lang w:val="es-ES"/>
        </w:rPr>
        <w:t xml:space="preserve"> </w:t>
      </w:r>
      <w:r w:rsidR="001E7D6E">
        <w:rPr>
          <w:lang w:val="es-ES"/>
        </w:rPr>
        <w:t>en la</w:t>
      </w:r>
      <w:r w:rsidRPr="006D43A7">
        <w:rPr>
          <w:lang w:val="es-ES"/>
        </w:rPr>
        <w:t xml:space="preserve"> valoración de viviendas, garajes y trasteros, dado que se consideró que los valores estimados de los inmuebles, utilizando el método v</w:t>
      </w:r>
      <w:r w:rsidRPr="006D43A7">
        <w:rPr>
          <w:lang w:val="es-ES"/>
        </w:rPr>
        <w:t>i</w:t>
      </w:r>
      <w:r w:rsidRPr="006D43A7">
        <w:rPr>
          <w:lang w:val="es-ES"/>
        </w:rPr>
        <w:t>gente, resultaban superiores a los valores de mercado de los mismos. El 17 de junio de 2015 se aprobó</w:t>
      </w:r>
      <w:r w:rsidR="00FF6D0B">
        <w:rPr>
          <w:lang w:val="es-ES"/>
        </w:rPr>
        <w:t xml:space="preserve">, mediante Decreto Foral 39/2015, </w:t>
      </w:r>
      <w:r w:rsidRPr="006D43A7">
        <w:rPr>
          <w:lang w:val="es-ES"/>
        </w:rPr>
        <w:t xml:space="preserve"> una actualización </w:t>
      </w:r>
      <w:r w:rsidR="00FF6D0B">
        <w:rPr>
          <w:lang w:val="es-ES"/>
        </w:rPr>
        <w:t xml:space="preserve">a la baja </w:t>
      </w:r>
      <w:r w:rsidRPr="006D43A7">
        <w:rPr>
          <w:lang w:val="es-ES"/>
        </w:rPr>
        <w:t>de los parámetros</w:t>
      </w:r>
      <w:r w:rsidR="001E7D6E">
        <w:rPr>
          <w:lang w:val="es-ES"/>
        </w:rPr>
        <w:t xml:space="preserve"> del Decreto Foral</w:t>
      </w:r>
      <w:r w:rsidR="00FF6D0B">
        <w:rPr>
          <w:lang w:val="es-ES"/>
        </w:rPr>
        <w:t xml:space="preserve"> 236/2005, con efectos retroactivos a 1 de enero de 2011</w:t>
      </w:r>
      <w:r w:rsidRPr="006D43A7">
        <w:rPr>
          <w:lang w:val="es-ES"/>
        </w:rPr>
        <w:t>.</w:t>
      </w:r>
    </w:p>
    <w:p w:rsidR="001B3767" w:rsidRPr="006D43A7" w:rsidRDefault="001B3767" w:rsidP="00F733CB">
      <w:pPr>
        <w:pStyle w:val="texto"/>
        <w:spacing w:after="120"/>
        <w:rPr>
          <w:lang w:val="es-ES"/>
        </w:rPr>
      </w:pPr>
      <w:r w:rsidRPr="006D43A7">
        <w:rPr>
          <w:lang w:val="es-ES"/>
        </w:rPr>
        <w:t xml:space="preserve">El impuesto se gestiona por autoliquidación. En 2014, </w:t>
      </w:r>
      <w:r w:rsidR="00572EE5">
        <w:rPr>
          <w:lang w:val="es-ES"/>
        </w:rPr>
        <w:t>en torno al 50</w:t>
      </w:r>
      <w:r w:rsidRPr="006D43A7">
        <w:rPr>
          <w:lang w:val="es-ES"/>
        </w:rPr>
        <w:t xml:space="preserve"> por ciento de las declaraciones se presentaron vía telemática. La grabación de las declaraciones se encarga a la sociedad pública TRACASA.</w:t>
      </w:r>
    </w:p>
    <w:p w:rsidR="001B3767" w:rsidRPr="003A5D65" w:rsidRDefault="001B3767" w:rsidP="00F733CB">
      <w:pPr>
        <w:pStyle w:val="texto"/>
        <w:spacing w:after="120"/>
        <w:rPr>
          <w:lang w:val="es-ES"/>
        </w:rPr>
      </w:pPr>
      <w:r>
        <w:rPr>
          <w:lang w:val="es-ES"/>
        </w:rPr>
        <w:t xml:space="preserve">En diciembre de 2013 se firmó un </w:t>
      </w:r>
      <w:r w:rsidRPr="006D43A7">
        <w:rPr>
          <w:lang w:val="es-ES"/>
        </w:rPr>
        <w:t>convenio de colaboración entre la Hacie</w:t>
      </w:r>
      <w:r w:rsidRPr="006D43A7">
        <w:rPr>
          <w:lang w:val="es-ES"/>
        </w:rPr>
        <w:t>n</w:t>
      </w:r>
      <w:r w:rsidRPr="006D43A7">
        <w:rPr>
          <w:lang w:val="es-ES"/>
        </w:rPr>
        <w:t>da Tributaria de Navarra y el Consejo General del Notariado y el Colegio Not</w:t>
      </w:r>
      <w:r w:rsidRPr="006D43A7">
        <w:rPr>
          <w:lang w:val="es-ES"/>
        </w:rPr>
        <w:t>a</w:t>
      </w:r>
      <w:r w:rsidRPr="006D43A7">
        <w:rPr>
          <w:lang w:val="es-ES"/>
        </w:rPr>
        <w:t>rial de Navarra, que regula la transmisión de la información que tenga tran</w:t>
      </w:r>
      <w:r w:rsidRPr="006D43A7">
        <w:rPr>
          <w:lang w:val="es-ES"/>
        </w:rPr>
        <w:t>s</w:t>
      </w:r>
      <w:r w:rsidRPr="006D43A7">
        <w:rPr>
          <w:lang w:val="es-ES"/>
        </w:rPr>
        <w:t xml:space="preserve">cendencia tributaria, así como la presentación telemática de declaraciones de determinados impuestos, entre ellos el de Transmisiones Patrimoniales, por parte de los notarios en representación de los contribuyentes. </w:t>
      </w:r>
      <w:r w:rsidRPr="003A5D65">
        <w:rPr>
          <w:lang w:val="es-ES"/>
        </w:rPr>
        <w:t>El convenio a día de hoy todavía está en proceso de desarrollo.</w:t>
      </w:r>
    </w:p>
    <w:p w:rsidR="001B3767" w:rsidRPr="00296EB4" w:rsidRDefault="00770DE4" w:rsidP="00F733CB">
      <w:pPr>
        <w:pStyle w:val="texto"/>
        <w:spacing w:after="120"/>
        <w:rPr>
          <w:lang w:val="es-ES"/>
        </w:rPr>
      </w:pPr>
      <w:r w:rsidRPr="00296EB4">
        <w:rPr>
          <w:lang w:val="es-ES"/>
        </w:rPr>
        <w:t>En la revisión de una muestra del impuesto sobre transmisiones patrimoni</w:t>
      </w:r>
      <w:r w:rsidRPr="00296EB4">
        <w:rPr>
          <w:lang w:val="es-ES"/>
        </w:rPr>
        <w:t>a</w:t>
      </w:r>
      <w:r w:rsidRPr="00296EB4">
        <w:rPr>
          <w:lang w:val="es-ES"/>
        </w:rPr>
        <w:t>les hemos comprobado que,</w:t>
      </w:r>
      <w:r w:rsidR="00296EB4">
        <w:rPr>
          <w:lang w:val="es-ES"/>
        </w:rPr>
        <w:t xml:space="preserve"> e</w:t>
      </w:r>
      <w:r w:rsidRPr="00296EB4">
        <w:rPr>
          <w:lang w:val="es-ES"/>
        </w:rPr>
        <w:t>n general, la liquidación y recaudación del i</w:t>
      </w:r>
      <w:r w:rsidRPr="00296EB4">
        <w:rPr>
          <w:lang w:val="es-ES"/>
        </w:rPr>
        <w:t>m</w:t>
      </w:r>
      <w:r w:rsidRPr="00296EB4">
        <w:rPr>
          <w:lang w:val="es-ES"/>
        </w:rPr>
        <w:t>puesto es conforme con su normativa reguladora</w:t>
      </w:r>
      <w:r w:rsidR="00296EB4">
        <w:rPr>
          <w:lang w:val="es-ES"/>
        </w:rPr>
        <w:t>.</w:t>
      </w:r>
    </w:p>
    <w:p w:rsidR="001B3767" w:rsidRPr="00D965E3" w:rsidRDefault="001B3767" w:rsidP="00F54983">
      <w:pPr>
        <w:pStyle w:val="texto"/>
        <w:spacing w:before="180"/>
        <w:rPr>
          <w:rFonts w:ascii="Arial" w:hAnsi="Arial" w:cs="Arial"/>
          <w:i/>
          <w:sz w:val="24"/>
        </w:rPr>
      </w:pPr>
      <w:r w:rsidRPr="00D965E3">
        <w:rPr>
          <w:rFonts w:ascii="Arial" w:hAnsi="Arial" w:cs="Arial"/>
          <w:i/>
          <w:sz w:val="24"/>
        </w:rPr>
        <w:t>Tasas, precios públicos y otros ingresos</w:t>
      </w:r>
      <w:bookmarkEnd w:id="76"/>
    </w:p>
    <w:p w:rsidR="001B3767" w:rsidRPr="006D43A7" w:rsidRDefault="001B3767" w:rsidP="00B8162C">
      <w:pPr>
        <w:pStyle w:val="texto"/>
        <w:spacing w:after="160"/>
        <w:rPr>
          <w:lang w:val="es-ES"/>
        </w:rPr>
      </w:pPr>
      <w:r w:rsidRPr="006D43A7">
        <w:rPr>
          <w:lang w:val="es-ES"/>
        </w:rPr>
        <w:t>Las tasas, precios públicos y otros ingresos reconocidos netos en el año 2014 ascendieron a 138,68 millones de euros. Representan el cuatro por ciento del total de derechos del ejercicio 2014. Corresponden a los siguientes conceptos:</w:t>
      </w:r>
    </w:p>
    <w:p w:rsidR="00E604EB" w:rsidRPr="00801987" w:rsidRDefault="00E604EB" w:rsidP="00E604EB">
      <w:pPr>
        <w:pStyle w:val="texto"/>
        <w:spacing w:after="80"/>
        <w:ind w:right="11"/>
        <w:jc w:val="right"/>
        <w:rPr>
          <w:rFonts w:ascii="Arial" w:hAnsi="Arial" w:cs="Arial"/>
          <w:sz w:val="16"/>
          <w:szCs w:val="16"/>
          <w:lang w:val="es-ES" w:eastAsia="es-ES"/>
        </w:rPr>
      </w:pPr>
      <w:r>
        <w:t xml:space="preserve"> </w:t>
      </w:r>
      <w:r>
        <w:rPr>
          <w:rFonts w:ascii="Arial" w:hAnsi="Arial" w:cs="Arial"/>
          <w:sz w:val="16"/>
          <w:szCs w:val="16"/>
          <w:lang w:val="es-ES" w:eastAsia="es-ES"/>
        </w:rPr>
        <w:t>(</w:t>
      </w:r>
      <w:proofErr w:type="gramStart"/>
      <w:r>
        <w:rPr>
          <w:rFonts w:ascii="Arial" w:hAnsi="Arial" w:cs="Arial"/>
          <w:sz w:val="16"/>
          <w:szCs w:val="16"/>
          <w:lang w:val="es-ES" w:eastAsia="es-ES"/>
        </w:rPr>
        <w:t>e</w:t>
      </w:r>
      <w:r w:rsidRPr="00801987">
        <w:rPr>
          <w:rFonts w:ascii="Arial" w:hAnsi="Arial" w:cs="Arial"/>
          <w:sz w:val="16"/>
          <w:szCs w:val="16"/>
          <w:lang w:val="es-ES" w:eastAsia="es-ES"/>
        </w:rPr>
        <w:t>n</w:t>
      </w:r>
      <w:proofErr w:type="gramEnd"/>
      <w:r w:rsidRPr="00801987">
        <w:rPr>
          <w:rFonts w:ascii="Arial" w:hAnsi="Arial" w:cs="Arial"/>
          <w:sz w:val="16"/>
          <w:szCs w:val="16"/>
          <w:lang w:val="es-ES" w:eastAsia="es-ES"/>
        </w:rPr>
        <w:t xml:space="preserve"> miles de euros</w:t>
      </w:r>
      <w:r>
        <w:rPr>
          <w:rFonts w:ascii="Arial" w:hAnsi="Arial" w:cs="Arial"/>
          <w:sz w:val="16"/>
          <w:szCs w:val="16"/>
          <w:lang w:val="es-ES" w:eastAsia="es-ES"/>
        </w:rPr>
        <w:t>)</w:t>
      </w:r>
    </w:p>
    <w:tbl>
      <w:tblPr>
        <w:tblW w:w="8832" w:type="dxa"/>
        <w:jc w:val="center"/>
        <w:tblCellMar>
          <w:left w:w="70" w:type="dxa"/>
          <w:right w:w="70" w:type="dxa"/>
        </w:tblCellMar>
        <w:tblLook w:val="04A0" w:firstRow="1" w:lastRow="0" w:firstColumn="1" w:lastColumn="0" w:noHBand="0" w:noVBand="1"/>
      </w:tblPr>
      <w:tblGrid>
        <w:gridCol w:w="3625"/>
        <w:gridCol w:w="959"/>
        <w:gridCol w:w="1179"/>
        <w:gridCol w:w="985"/>
        <w:gridCol w:w="959"/>
        <w:gridCol w:w="146"/>
        <w:gridCol w:w="979"/>
      </w:tblGrid>
      <w:tr w:rsidR="001B3767" w:rsidRPr="00E604EB" w:rsidTr="00B8162C">
        <w:trPr>
          <w:trHeight w:val="227"/>
          <w:jc w:val="center"/>
        </w:trPr>
        <w:tc>
          <w:tcPr>
            <w:tcW w:w="3625"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0E2288">
            <w:pPr>
              <w:pStyle w:val="cuadroCabe"/>
              <w:jc w:val="left"/>
              <w:rPr>
                <w:sz w:val="16"/>
                <w:szCs w:val="16"/>
              </w:rPr>
            </w:pPr>
            <w:r w:rsidRPr="00E604EB">
              <w:rPr>
                <w:sz w:val="16"/>
                <w:szCs w:val="16"/>
              </w:rPr>
              <w:t>Tasas, precios públicos y otros ingresos</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proofErr w:type="spellStart"/>
            <w:r w:rsidRPr="00E604EB">
              <w:rPr>
                <w:sz w:val="16"/>
                <w:szCs w:val="16"/>
              </w:rPr>
              <w:t>Dchos</w:t>
            </w:r>
            <w:proofErr w:type="spellEnd"/>
            <w:r w:rsidRPr="00E604EB">
              <w:rPr>
                <w:sz w:val="16"/>
                <w:szCs w:val="16"/>
              </w:rPr>
              <w:t>.</w:t>
            </w:r>
          </w:p>
          <w:p w:rsidR="001B3767" w:rsidRPr="00E604EB" w:rsidRDefault="00347AA0" w:rsidP="00E604EB">
            <w:pPr>
              <w:pStyle w:val="cuadroCabe"/>
              <w:jc w:val="right"/>
              <w:rPr>
                <w:sz w:val="16"/>
                <w:szCs w:val="16"/>
              </w:rPr>
            </w:pPr>
            <w:r w:rsidRPr="00E604EB">
              <w:rPr>
                <w:sz w:val="16"/>
                <w:szCs w:val="16"/>
              </w:rPr>
              <w:t xml:space="preserve">netos </w:t>
            </w:r>
            <w:r w:rsidR="001B3767" w:rsidRPr="00E604EB">
              <w:rPr>
                <w:sz w:val="16"/>
                <w:szCs w:val="16"/>
              </w:rPr>
              <w:t>2014</w:t>
            </w:r>
          </w:p>
        </w:tc>
        <w:tc>
          <w:tcPr>
            <w:tcW w:w="11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t>Recaudación neta</w:t>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C2626D" w:rsidRDefault="001B3767" w:rsidP="00E604EB">
            <w:pPr>
              <w:pStyle w:val="cuadroCabe"/>
              <w:jc w:val="right"/>
              <w:rPr>
                <w:sz w:val="16"/>
                <w:szCs w:val="16"/>
              </w:rPr>
            </w:pPr>
            <w:r w:rsidRPr="00E604EB">
              <w:rPr>
                <w:sz w:val="16"/>
                <w:szCs w:val="16"/>
              </w:rPr>
              <w:t xml:space="preserve">% </w:t>
            </w:r>
          </w:p>
          <w:p w:rsidR="001B3767" w:rsidRPr="00E604EB" w:rsidRDefault="000F4EC6" w:rsidP="00E604EB">
            <w:pPr>
              <w:pStyle w:val="cuadroCabe"/>
              <w:jc w:val="right"/>
              <w:rPr>
                <w:sz w:val="16"/>
                <w:szCs w:val="16"/>
              </w:rPr>
            </w:pPr>
            <w:proofErr w:type="spellStart"/>
            <w:r w:rsidRPr="00E604EB">
              <w:rPr>
                <w:sz w:val="16"/>
                <w:szCs w:val="16"/>
              </w:rPr>
              <w:t>Recaudac</w:t>
            </w:r>
            <w:proofErr w:type="spellEnd"/>
            <w:r w:rsidR="001B3767" w:rsidRPr="00E604EB">
              <w:rPr>
                <w:sz w:val="16"/>
                <w:szCs w:val="16"/>
              </w:rPr>
              <w:t>.</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t xml:space="preserve">Derechos </w:t>
            </w:r>
          </w:p>
          <w:p w:rsidR="001B3767" w:rsidRPr="00E604EB" w:rsidRDefault="00347AA0" w:rsidP="00E604EB">
            <w:pPr>
              <w:pStyle w:val="cuadroCabe"/>
              <w:jc w:val="right"/>
              <w:rPr>
                <w:sz w:val="16"/>
                <w:szCs w:val="16"/>
              </w:rPr>
            </w:pPr>
            <w:r w:rsidRPr="00E604EB">
              <w:rPr>
                <w:sz w:val="16"/>
                <w:szCs w:val="16"/>
              </w:rPr>
              <w:t xml:space="preserve">netos </w:t>
            </w:r>
            <w:r w:rsidR="001B3767" w:rsidRPr="00E604EB">
              <w:rPr>
                <w:sz w:val="16"/>
                <w:szCs w:val="16"/>
              </w:rPr>
              <w:t>2013</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E604EB" w:rsidRDefault="001B3767" w:rsidP="00E604EB">
            <w:pPr>
              <w:pStyle w:val="cuadroCabe"/>
              <w:jc w:val="right"/>
              <w:rPr>
                <w:sz w:val="16"/>
                <w:szCs w:val="16"/>
              </w:rPr>
            </w:pPr>
          </w:p>
        </w:tc>
        <w:tc>
          <w:tcPr>
            <w:tcW w:w="9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t xml:space="preserve">% </w:t>
            </w:r>
            <w:proofErr w:type="spellStart"/>
            <w:r w:rsidR="000F4EC6" w:rsidRPr="00E604EB">
              <w:rPr>
                <w:sz w:val="16"/>
                <w:szCs w:val="16"/>
              </w:rPr>
              <w:t>Variac</w:t>
            </w:r>
            <w:proofErr w:type="spellEnd"/>
            <w:r w:rsidR="000F4EC6" w:rsidRPr="00E604EB">
              <w:rPr>
                <w:sz w:val="16"/>
                <w:szCs w:val="16"/>
              </w:rPr>
              <w:t xml:space="preserve"> </w:t>
            </w:r>
            <w:r w:rsidRPr="00E604EB">
              <w:rPr>
                <w:sz w:val="16"/>
                <w:szCs w:val="16"/>
              </w:rPr>
              <w:t xml:space="preserve">derechos. </w:t>
            </w:r>
          </w:p>
          <w:p w:rsidR="001B3767" w:rsidRPr="00E604EB" w:rsidRDefault="001B3767" w:rsidP="00E604EB">
            <w:pPr>
              <w:pStyle w:val="cuadroCabe"/>
              <w:jc w:val="right"/>
              <w:rPr>
                <w:sz w:val="16"/>
                <w:szCs w:val="16"/>
              </w:rPr>
            </w:pPr>
            <w:r w:rsidRPr="00E604EB">
              <w:rPr>
                <w:sz w:val="16"/>
                <w:szCs w:val="16"/>
              </w:rPr>
              <w:t>2014/2013</w:t>
            </w:r>
          </w:p>
        </w:tc>
      </w:tr>
      <w:tr w:rsidR="001B3767" w:rsidRPr="00E604EB" w:rsidTr="00B8162C">
        <w:trPr>
          <w:trHeight w:val="227"/>
          <w:jc w:val="center"/>
        </w:trPr>
        <w:tc>
          <w:tcPr>
            <w:tcW w:w="3625" w:type="dxa"/>
            <w:tcBorders>
              <w:top w:val="single" w:sz="4" w:space="0" w:color="auto"/>
              <w:left w:val="nil"/>
              <w:bottom w:val="single" w:sz="2" w:space="0" w:color="auto"/>
              <w:right w:val="nil"/>
            </w:tcBorders>
            <w:noWrap/>
            <w:vAlign w:val="center"/>
            <w:hideMark/>
          </w:tcPr>
          <w:p w:rsidR="001B3767" w:rsidRPr="00E604EB" w:rsidRDefault="001B3767" w:rsidP="00E604EB">
            <w:pPr>
              <w:pStyle w:val="cuatexto"/>
              <w:jc w:val="left"/>
              <w:rPr>
                <w:sz w:val="18"/>
                <w:szCs w:val="18"/>
              </w:rPr>
            </w:pPr>
            <w:r w:rsidRPr="00E604EB">
              <w:rPr>
                <w:sz w:val="18"/>
                <w:szCs w:val="18"/>
              </w:rPr>
              <w:t xml:space="preserve">Tasas </w:t>
            </w:r>
          </w:p>
        </w:tc>
        <w:tc>
          <w:tcPr>
            <w:tcW w:w="959" w:type="dxa"/>
            <w:tcBorders>
              <w:top w:val="single" w:sz="4"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14.183</w:t>
            </w:r>
          </w:p>
        </w:tc>
        <w:tc>
          <w:tcPr>
            <w:tcW w:w="1179" w:type="dxa"/>
            <w:tcBorders>
              <w:top w:val="single" w:sz="4"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12.623</w:t>
            </w:r>
          </w:p>
        </w:tc>
        <w:tc>
          <w:tcPr>
            <w:tcW w:w="985" w:type="dxa"/>
            <w:tcBorders>
              <w:top w:val="single" w:sz="4"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89</w:t>
            </w:r>
          </w:p>
        </w:tc>
        <w:tc>
          <w:tcPr>
            <w:tcW w:w="959" w:type="dxa"/>
            <w:tcBorders>
              <w:top w:val="single" w:sz="4"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11.401</w:t>
            </w:r>
          </w:p>
        </w:tc>
        <w:tc>
          <w:tcPr>
            <w:tcW w:w="146" w:type="dxa"/>
            <w:tcBorders>
              <w:top w:val="single" w:sz="4" w:space="0" w:color="auto"/>
              <w:left w:val="nil"/>
              <w:bottom w:val="single" w:sz="2" w:space="0" w:color="auto"/>
              <w:right w:val="nil"/>
            </w:tcBorders>
            <w:vAlign w:val="center"/>
          </w:tcPr>
          <w:p w:rsidR="001B3767" w:rsidRPr="00E604EB" w:rsidRDefault="001B3767" w:rsidP="00E604EB">
            <w:pPr>
              <w:pStyle w:val="cuatexto"/>
              <w:jc w:val="right"/>
              <w:rPr>
                <w:sz w:val="18"/>
                <w:szCs w:val="18"/>
              </w:rPr>
            </w:pPr>
          </w:p>
        </w:tc>
        <w:tc>
          <w:tcPr>
            <w:tcW w:w="979" w:type="dxa"/>
            <w:tcBorders>
              <w:top w:val="single" w:sz="4"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24</w:t>
            </w:r>
          </w:p>
        </w:tc>
      </w:tr>
      <w:tr w:rsidR="001B3767" w:rsidRPr="00E604EB"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E604EB" w:rsidRDefault="001B3767" w:rsidP="00E604EB">
            <w:pPr>
              <w:pStyle w:val="cuatexto"/>
              <w:jc w:val="left"/>
              <w:rPr>
                <w:sz w:val="18"/>
                <w:szCs w:val="18"/>
              </w:rPr>
            </w:pPr>
            <w:r w:rsidRPr="00E604EB">
              <w:rPr>
                <w:sz w:val="18"/>
                <w:szCs w:val="18"/>
              </w:rPr>
              <w:t>Precios públicos</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47.469</w:t>
            </w:r>
          </w:p>
        </w:tc>
        <w:tc>
          <w:tcPr>
            <w:tcW w:w="11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41.865</w:t>
            </w:r>
          </w:p>
        </w:tc>
        <w:tc>
          <w:tcPr>
            <w:tcW w:w="985"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88</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48.192</w:t>
            </w:r>
          </w:p>
        </w:tc>
        <w:tc>
          <w:tcPr>
            <w:tcW w:w="146" w:type="dxa"/>
            <w:tcBorders>
              <w:top w:val="single" w:sz="2" w:space="0" w:color="auto"/>
              <w:left w:val="nil"/>
              <w:bottom w:val="single" w:sz="2" w:space="0" w:color="auto"/>
              <w:right w:val="nil"/>
            </w:tcBorders>
            <w:vAlign w:val="center"/>
          </w:tcPr>
          <w:p w:rsidR="001B3767" w:rsidRPr="00E604EB" w:rsidRDefault="001B3767" w:rsidP="00E604EB">
            <w:pPr>
              <w:pStyle w:val="cuatexto"/>
              <w:jc w:val="right"/>
              <w:rPr>
                <w:sz w:val="18"/>
                <w:szCs w:val="18"/>
              </w:rPr>
            </w:pPr>
          </w:p>
        </w:tc>
        <w:tc>
          <w:tcPr>
            <w:tcW w:w="9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-1,5</w:t>
            </w:r>
          </w:p>
        </w:tc>
      </w:tr>
      <w:tr w:rsidR="001B3767" w:rsidRPr="00E604EB"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E604EB" w:rsidRDefault="001B3767" w:rsidP="00E604EB">
            <w:pPr>
              <w:pStyle w:val="cuatexto"/>
              <w:jc w:val="left"/>
              <w:rPr>
                <w:sz w:val="18"/>
                <w:szCs w:val="18"/>
              </w:rPr>
            </w:pPr>
            <w:r w:rsidRPr="00E604EB">
              <w:rPr>
                <w:sz w:val="18"/>
                <w:szCs w:val="18"/>
              </w:rPr>
              <w:t>Venta de bienes</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1.700</w:t>
            </w:r>
          </w:p>
        </w:tc>
        <w:tc>
          <w:tcPr>
            <w:tcW w:w="11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1.681</w:t>
            </w:r>
          </w:p>
        </w:tc>
        <w:tc>
          <w:tcPr>
            <w:tcW w:w="985"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99</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1.786</w:t>
            </w:r>
          </w:p>
        </w:tc>
        <w:tc>
          <w:tcPr>
            <w:tcW w:w="146" w:type="dxa"/>
            <w:tcBorders>
              <w:top w:val="single" w:sz="2" w:space="0" w:color="auto"/>
              <w:left w:val="nil"/>
              <w:bottom w:val="single" w:sz="2" w:space="0" w:color="auto"/>
              <w:right w:val="nil"/>
            </w:tcBorders>
            <w:vAlign w:val="center"/>
          </w:tcPr>
          <w:p w:rsidR="001B3767" w:rsidRPr="00E604EB" w:rsidRDefault="001B3767" w:rsidP="00E604EB">
            <w:pPr>
              <w:pStyle w:val="cuatexto"/>
              <w:jc w:val="right"/>
              <w:rPr>
                <w:sz w:val="18"/>
                <w:szCs w:val="18"/>
              </w:rPr>
            </w:pPr>
          </w:p>
        </w:tc>
        <w:tc>
          <w:tcPr>
            <w:tcW w:w="9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-5</w:t>
            </w:r>
          </w:p>
        </w:tc>
      </w:tr>
      <w:tr w:rsidR="001B3767" w:rsidRPr="00E604EB" w:rsidTr="00B8162C">
        <w:trPr>
          <w:trHeight w:val="227"/>
          <w:jc w:val="center"/>
        </w:trPr>
        <w:tc>
          <w:tcPr>
            <w:tcW w:w="3625" w:type="dxa"/>
            <w:tcBorders>
              <w:top w:val="single" w:sz="2" w:space="0" w:color="auto"/>
              <w:left w:val="nil"/>
              <w:bottom w:val="single" w:sz="2" w:space="0" w:color="auto"/>
              <w:right w:val="nil"/>
            </w:tcBorders>
            <w:noWrap/>
            <w:vAlign w:val="center"/>
            <w:hideMark/>
          </w:tcPr>
          <w:p w:rsidR="001B3767" w:rsidRPr="00E604EB" w:rsidRDefault="001B3767" w:rsidP="00E604EB">
            <w:pPr>
              <w:pStyle w:val="cuatexto"/>
              <w:jc w:val="left"/>
              <w:rPr>
                <w:sz w:val="18"/>
                <w:szCs w:val="18"/>
              </w:rPr>
            </w:pPr>
            <w:r w:rsidRPr="00E604EB">
              <w:rPr>
                <w:sz w:val="18"/>
                <w:szCs w:val="18"/>
              </w:rPr>
              <w:t>Reintegro de operaciones</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22.214</w:t>
            </w:r>
          </w:p>
        </w:tc>
        <w:tc>
          <w:tcPr>
            <w:tcW w:w="11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15.923</w:t>
            </w:r>
          </w:p>
        </w:tc>
        <w:tc>
          <w:tcPr>
            <w:tcW w:w="985"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72</w:t>
            </w:r>
          </w:p>
        </w:tc>
        <w:tc>
          <w:tcPr>
            <w:tcW w:w="95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12.578</w:t>
            </w:r>
          </w:p>
        </w:tc>
        <w:tc>
          <w:tcPr>
            <w:tcW w:w="146" w:type="dxa"/>
            <w:tcBorders>
              <w:top w:val="single" w:sz="2" w:space="0" w:color="auto"/>
              <w:left w:val="nil"/>
              <w:bottom w:val="single" w:sz="2" w:space="0" w:color="auto"/>
              <w:right w:val="nil"/>
            </w:tcBorders>
            <w:vAlign w:val="center"/>
          </w:tcPr>
          <w:p w:rsidR="001B3767" w:rsidRPr="00E604EB" w:rsidRDefault="001B3767" w:rsidP="00E604EB">
            <w:pPr>
              <w:pStyle w:val="cuatexto"/>
              <w:jc w:val="right"/>
              <w:rPr>
                <w:sz w:val="18"/>
                <w:szCs w:val="18"/>
              </w:rPr>
            </w:pPr>
          </w:p>
        </w:tc>
        <w:tc>
          <w:tcPr>
            <w:tcW w:w="979" w:type="dxa"/>
            <w:tcBorders>
              <w:top w:val="single" w:sz="2" w:space="0" w:color="auto"/>
              <w:left w:val="nil"/>
              <w:bottom w:val="single" w:sz="2"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77</w:t>
            </w:r>
          </w:p>
        </w:tc>
      </w:tr>
      <w:tr w:rsidR="001B3767" w:rsidRPr="00E604EB" w:rsidTr="00B8162C">
        <w:trPr>
          <w:trHeight w:val="227"/>
          <w:jc w:val="center"/>
        </w:trPr>
        <w:tc>
          <w:tcPr>
            <w:tcW w:w="3625" w:type="dxa"/>
            <w:tcBorders>
              <w:top w:val="single" w:sz="2" w:space="0" w:color="auto"/>
              <w:left w:val="nil"/>
              <w:bottom w:val="single" w:sz="4" w:space="0" w:color="auto"/>
              <w:right w:val="nil"/>
            </w:tcBorders>
            <w:noWrap/>
            <w:vAlign w:val="center"/>
            <w:hideMark/>
          </w:tcPr>
          <w:p w:rsidR="001B3767" w:rsidRPr="00E604EB" w:rsidRDefault="001B3767" w:rsidP="00E604EB">
            <w:pPr>
              <w:pStyle w:val="cuatexto"/>
              <w:jc w:val="left"/>
              <w:rPr>
                <w:sz w:val="18"/>
                <w:szCs w:val="18"/>
              </w:rPr>
            </w:pPr>
            <w:r w:rsidRPr="00E604EB">
              <w:rPr>
                <w:sz w:val="18"/>
                <w:szCs w:val="18"/>
              </w:rPr>
              <w:t>Otros ingresos</w:t>
            </w:r>
          </w:p>
        </w:tc>
        <w:tc>
          <w:tcPr>
            <w:tcW w:w="959" w:type="dxa"/>
            <w:tcBorders>
              <w:top w:val="single" w:sz="2" w:space="0" w:color="auto"/>
              <w:left w:val="nil"/>
              <w:bottom w:val="single" w:sz="4"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53.112</w:t>
            </w:r>
          </w:p>
        </w:tc>
        <w:tc>
          <w:tcPr>
            <w:tcW w:w="1179" w:type="dxa"/>
            <w:tcBorders>
              <w:top w:val="single" w:sz="2" w:space="0" w:color="auto"/>
              <w:left w:val="nil"/>
              <w:bottom w:val="single" w:sz="4"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24.533</w:t>
            </w:r>
          </w:p>
        </w:tc>
        <w:tc>
          <w:tcPr>
            <w:tcW w:w="985" w:type="dxa"/>
            <w:tcBorders>
              <w:top w:val="single" w:sz="2" w:space="0" w:color="auto"/>
              <w:left w:val="nil"/>
              <w:bottom w:val="single" w:sz="4"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46</w:t>
            </w:r>
          </w:p>
        </w:tc>
        <w:tc>
          <w:tcPr>
            <w:tcW w:w="959" w:type="dxa"/>
            <w:tcBorders>
              <w:top w:val="single" w:sz="2" w:space="0" w:color="auto"/>
              <w:left w:val="nil"/>
              <w:bottom w:val="single" w:sz="4"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56.928</w:t>
            </w:r>
          </w:p>
        </w:tc>
        <w:tc>
          <w:tcPr>
            <w:tcW w:w="146" w:type="dxa"/>
            <w:tcBorders>
              <w:top w:val="single" w:sz="2" w:space="0" w:color="auto"/>
              <w:left w:val="nil"/>
              <w:bottom w:val="single" w:sz="4" w:space="0" w:color="auto"/>
              <w:right w:val="nil"/>
            </w:tcBorders>
            <w:vAlign w:val="center"/>
          </w:tcPr>
          <w:p w:rsidR="001B3767" w:rsidRPr="00E604EB" w:rsidRDefault="001B3767" w:rsidP="00E604EB">
            <w:pPr>
              <w:pStyle w:val="cuatexto"/>
              <w:jc w:val="right"/>
              <w:rPr>
                <w:sz w:val="18"/>
                <w:szCs w:val="18"/>
              </w:rPr>
            </w:pPr>
          </w:p>
        </w:tc>
        <w:tc>
          <w:tcPr>
            <w:tcW w:w="979" w:type="dxa"/>
            <w:tcBorders>
              <w:top w:val="single" w:sz="2" w:space="0" w:color="auto"/>
              <w:left w:val="nil"/>
              <w:bottom w:val="single" w:sz="4" w:space="0" w:color="auto"/>
              <w:right w:val="nil"/>
            </w:tcBorders>
            <w:vAlign w:val="center"/>
            <w:hideMark/>
          </w:tcPr>
          <w:p w:rsidR="001B3767" w:rsidRPr="00E604EB" w:rsidRDefault="001B3767" w:rsidP="00E604EB">
            <w:pPr>
              <w:pStyle w:val="cuatexto"/>
              <w:jc w:val="right"/>
              <w:rPr>
                <w:sz w:val="18"/>
                <w:szCs w:val="18"/>
              </w:rPr>
            </w:pPr>
            <w:r w:rsidRPr="00E604EB">
              <w:rPr>
                <w:sz w:val="18"/>
                <w:szCs w:val="18"/>
              </w:rPr>
              <w:t>-7</w:t>
            </w:r>
          </w:p>
        </w:tc>
      </w:tr>
      <w:tr w:rsidR="001B3767" w:rsidRPr="00E604EB" w:rsidTr="00B8162C">
        <w:trPr>
          <w:trHeight w:val="284"/>
          <w:jc w:val="center"/>
        </w:trPr>
        <w:tc>
          <w:tcPr>
            <w:tcW w:w="3625" w:type="dxa"/>
            <w:tcBorders>
              <w:top w:val="single" w:sz="4" w:space="0" w:color="auto"/>
              <w:left w:val="nil"/>
              <w:bottom w:val="single" w:sz="4" w:space="0" w:color="auto"/>
              <w:right w:val="nil"/>
            </w:tcBorders>
            <w:shd w:val="clear" w:color="auto" w:fill="8DB3E2" w:themeFill="text2" w:themeFillTint="66"/>
            <w:noWrap/>
            <w:vAlign w:val="center"/>
            <w:hideMark/>
          </w:tcPr>
          <w:p w:rsidR="001B3767" w:rsidRPr="00E604EB" w:rsidRDefault="001B3767" w:rsidP="00E604EB">
            <w:pPr>
              <w:pStyle w:val="cuadroCabe"/>
              <w:jc w:val="left"/>
              <w:rPr>
                <w:sz w:val="16"/>
                <w:szCs w:val="16"/>
              </w:rPr>
            </w:pPr>
            <w:r w:rsidRPr="00E604EB">
              <w:rPr>
                <w:sz w:val="16"/>
                <w:szCs w:val="16"/>
              </w:rPr>
              <w:t>Total tasas, precios públicos y otros ingresos</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fldChar w:fldCharType="begin"/>
            </w:r>
            <w:r w:rsidRPr="00E604EB">
              <w:rPr>
                <w:sz w:val="16"/>
                <w:szCs w:val="16"/>
              </w:rPr>
              <w:instrText xml:space="preserve"> =SUM(ABOVE) </w:instrText>
            </w:r>
            <w:r w:rsidRPr="00E604EB">
              <w:rPr>
                <w:sz w:val="16"/>
                <w:szCs w:val="16"/>
              </w:rPr>
              <w:fldChar w:fldCharType="separate"/>
            </w:r>
            <w:r w:rsidRPr="00E604EB">
              <w:rPr>
                <w:sz w:val="16"/>
                <w:szCs w:val="16"/>
              </w:rPr>
              <w:t>138.678</w:t>
            </w:r>
            <w:r w:rsidRPr="00E604EB">
              <w:rPr>
                <w:sz w:val="16"/>
                <w:szCs w:val="16"/>
              </w:rPr>
              <w:fldChar w:fldCharType="end"/>
            </w:r>
          </w:p>
        </w:tc>
        <w:tc>
          <w:tcPr>
            <w:tcW w:w="11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fldChar w:fldCharType="begin"/>
            </w:r>
            <w:r w:rsidRPr="00E604EB">
              <w:rPr>
                <w:sz w:val="16"/>
                <w:szCs w:val="16"/>
              </w:rPr>
              <w:instrText xml:space="preserve"> =SUM(ABOVE) </w:instrText>
            </w:r>
            <w:r w:rsidRPr="00E604EB">
              <w:rPr>
                <w:sz w:val="16"/>
                <w:szCs w:val="16"/>
              </w:rPr>
              <w:fldChar w:fldCharType="end"/>
            </w:r>
            <w:r w:rsidRPr="00E604EB">
              <w:rPr>
                <w:sz w:val="16"/>
                <w:szCs w:val="16"/>
              </w:rPr>
              <w:fldChar w:fldCharType="begin"/>
            </w:r>
            <w:r w:rsidRPr="00E604EB">
              <w:rPr>
                <w:sz w:val="16"/>
                <w:szCs w:val="16"/>
              </w:rPr>
              <w:instrText xml:space="preserve"> =SUM(ABOVE) </w:instrText>
            </w:r>
            <w:r w:rsidRPr="00E604EB">
              <w:rPr>
                <w:sz w:val="16"/>
                <w:szCs w:val="16"/>
              </w:rPr>
              <w:fldChar w:fldCharType="separate"/>
            </w:r>
            <w:r w:rsidRPr="00E604EB">
              <w:rPr>
                <w:sz w:val="16"/>
                <w:szCs w:val="16"/>
              </w:rPr>
              <w:t>96.625</w:t>
            </w:r>
            <w:r w:rsidRPr="00E604EB">
              <w:rPr>
                <w:sz w:val="16"/>
                <w:szCs w:val="16"/>
              </w:rPr>
              <w:fldChar w:fldCharType="end"/>
            </w:r>
          </w:p>
        </w:tc>
        <w:tc>
          <w:tcPr>
            <w:tcW w:w="985"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t>70</w:t>
            </w:r>
          </w:p>
        </w:tc>
        <w:tc>
          <w:tcPr>
            <w:tcW w:w="95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fldChar w:fldCharType="begin"/>
            </w:r>
            <w:r w:rsidRPr="00E604EB">
              <w:rPr>
                <w:sz w:val="16"/>
                <w:szCs w:val="16"/>
              </w:rPr>
              <w:instrText xml:space="preserve"> =SUM(ABOVE) </w:instrText>
            </w:r>
            <w:r w:rsidRPr="00E604EB">
              <w:rPr>
                <w:sz w:val="16"/>
                <w:szCs w:val="16"/>
              </w:rPr>
              <w:fldChar w:fldCharType="separate"/>
            </w:r>
            <w:r w:rsidRPr="00E604EB">
              <w:rPr>
                <w:sz w:val="16"/>
                <w:szCs w:val="16"/>
              </w:rPr>
              <w:t>130.885</w:t>
            </w:r>
            <w:r w:rsidRPr="00E604EB">
              <w:rPr>
                <w:sz w:val="16"/>
                <w:szCs w:val="16"/>
              </w:rPr>
              <w:fldChar w:fldCharType="end"/>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1B3767" w:rsidRPr="00E604EB" w:rsidRDefault="001B3767" w:rsidP="00E604EB">
            <w:pPr>
              <w:pStyle w:val="cuadroCabe"/>
              <w:jc w:val="right"/>
              <w:rPr>
                <w:sz w:val="16"/>
                <w:szCs w:val="16"/>
              </w:rPr>
            </w:pPr>
          </w:p>
        </w:tc>
        <w:tc>
          <w:tcPr>
            <w:tcW w:w="979" w:type="dxa"/>
            <w:tcBorders>
              <w:top w:val="single" w:sz="4" w:space="0" w:color="auto"/>
              <w:left w:val="nil"/>
              <w:bottom w:val="single" w:sz="4" w:space="0" w:color="auto"/>
              <w:right w:val="nil"/>
            </w:tcBorders>
            <w:shd w:val="clear" w:color="auto" w:fill="8DB3E2" w:themeFill="text2" w:themeFillTint="66"/>
            <w:vAlign w:val="center"/>
            <w:hideMark/>
          </w:tcPr>
          <w:p w:rsidR="001B3767" w:rsidRPr="00E604EB" w:rsidRDefault="001B3767" w:rsidP="00E604EB">
            <w:pPr>
              <w:pStyle w:val="cuadroCabe"/>
              <w:jc w:val="right"/>
              <w:rPr>
                <w:sz w:val="16"/>
                <w:szCs w:val="16"/>
              </w:rPr>
            </w:pPr>
            <w:r w:rsidRPr="00E604EB">
              <w:rPr>
                <w:sz w:val="16"/>
                <w:szCs w:val="16"/>
              </w:rPr>
              <w:t>6</w:t>
            </w:r>
          </w:p>
        </w:tc>
      </w:tr>
    </w:tbl>
    <w:p w:rsidR="001B3767" w:rsidRPr="006D43A7" w:rsidRDefault="001B3767" w:rsidP="0098080F">
      <w:pPr>
        <w:pStyle w:val="texto"/>
        <w:spacing w:before="200" w:after="180"/>
        <w:rPr>
          <w:lang w:val="es-ES"/>
        </w:rPr>
      </w:pPr>
      <w:r w:rsidRPr="006D43A7">
        <w:rPr>
          <w:lang w:val="es-ES"/>
        </w:rPr>
        <w:t xml:space="preserve">Los ingresos por tasas ascendieron a 14,18 millones de euros, de los cuales 10,79 millones corresponden a las tasas derivadas de la actividad del juego. Al cierre del ejercicio 2014 se habían recaudado en un 89 por ciento. Fueron un 24 </w:t>
      </w:r>
      <w:r w:rsidRPr="006D43A7">
        <w:rPr>
          <w:lang w:val="es-ES"/>
        </w:rPr>
        <w:lastRenderedPageBreak/>
        <w:t>por ciento superiores a las devengadas en 2013 debido principalmente al a</w:t>
      </w:r>
      <w:r w:rsidRPr="006D43A7">
        <w:rPr>
          <w:lang w:val="es-ES"/>
        </w:rPr>
        <w:t>u</w:t>
      </w:r>
      <w:r w:rsidRPr="006D43A7">
        <w:rPr>
          <w:lang w:val="es-ES"/>
        </w:rPr>
        <w:t>mento en un 35 por ciento de las citadas tasas del juego.</w:t>
      </w:r>
    </w:p>
    <w:p w:rsidR="001B3767" w:rsidRPr="006D43A7" w:rsidRDefault="001B3767" w:rsidP="0098080F">
      <w:pPr>
        <w:pStyle w:val="texto"/>
        <w:spacing w:after="180"/>
        <w:rPr>
          <w:lang w:val="es-ES"/>
        </w:rPr>
      </w:pPr>
      <w:r w:rsidRPr="006D43A7">
        <w:rPr>
          <w:lang w:val="es-ES"/>
        </w:rPr>
        <w:t>Los ingresos por precios públicos devengados en 2014 ascendieron a 47,47 millones de euros, entre los que destacan los ingresos por prestación de serv</w:t>
      </w:r>
      <w:r w:rsidRPr="006D43A7">
        <w:rPr>
          <w:lang w:val="es-ES"/>
        </w:rPr>
        <w:t>i</w:t>
      </w:r>
      <w:r w:rsidRPr="006D43A7">
        <w:rPr>
          <w:lang w:val="es-ES"/>
        </w:rPr>
        <w:t>cios sociales con 34,22 millones y los ingresos por conciertos con otras entid</w:t>
      </w:r>
      <w:r w:rsidRPr="006D43A7">
        <w:rPr>
          <w:lang w:val="es-ES"/>
        </w:rPr>
        <w:t>a</w:t>
      </w:r>
      <w:r w:rsidRPr="006D43A7">
        <w:rPr>
          <w:lang w:val="es-ES"/>
        </w:rPr>
        <w:t>des por asistencia médica con 9,56 millones. La recaudación de los precios p</w:t>
      </w:r>
      <w:r w:rsidRPr="006D43A7">
        <w:rPr>
          <w:lang w:val="es-ES"/>
        </w:rPr>
        <w:t>ú</w:t>
      </w:r>
      <w:r w:rsidRPr="006D43A7">
        <w:rPr>
          <w:lang w:val="es-ES"/>
        </w:rPr>
        <w:t>blicos al cierre de 2014 se situó en el 88 por ciento del total devengado por t</w:t>
      </w:r>
      <w:r w:rsidRPr="006D43A7">
        <w:rPr>
          <w:lang w:val="es-ES"/>
        </w:rPr>
        <w:t>a</w:t>
      </w:r>
      <w:r w:rsidRPr="006D43A7">
        <w:rPr>
          <w:lang w:val="es-ES"/>
        </w:rPr>
        <w:t>les ingresos.</w:t>
      </w:r>
    </w:p>
    <w:p w:rsidR="001B3767" w:rsidRPr="006D43A7" w:rsidRDefault="001B3767" w:rsidP="0098080F">
      <w:pPr>
        <w:pStyle w:val="texto"/>
        <w:spacing w:after="180"/>
        <w:rPr>
          <w:lang w:val="es-ES"/>
        </w:rPr>
      </w:pPr>
      <w:r w:rsidRPr="006D43A7">
        <w:rPr>
          <w:lang w:val="es-ES"/>
        </w:rPr>
        <w:t>Los reintegros de ejercicios cerrados ascendieron a 15,26 millones y corre</w:t>
      </w:r>
      <w:r w:rsidRPr="006D43A7">
        <w:rPr>
          <w:lang w:val="es-ES"/>
        </w:rPr>
        <w:t>s</w:t>
      </w:r>
      <w:r w:rsidRPr="006D43A7">
        <w:rPr>
          <w:lang w:val="es-ES"/>
        </w:rPr>
        <w:t>ponden principalmente a los siguientes conceptos: 8,83 millones proceden del instituto nacional de empleo, 2,21 corresponden a devolución del remanente del Parlamento y sus entes dependientes y 2,09 millones a reintegros de subvenci</w:t>
      </w:r>
      <w:r w:rsidRPr="006D43A7">
        <w:rPr>
          <w:lang w:val="es-ES"/>
        </w:rPr>
        <w:t>o</w:t>
      </w:r>
      <w:r w:rsidRPr="006D43A7">
        <w:rPr>
          <w:lang w:val="es-ES"/>
        </w:rPr>
        <w:t>nes para inversiones empresariales.</w:t>
      </w:r>
    </w:p>
    <w:p w:rsidR="001B3767" w:rsidRPr="00C2626D" w:rsidRDefault="001B3767" w:rsidP="0098080F">
      <w:pPr>
        <w:pStyle w:val="texto"/>
        <w:spacing w:after="180"/>
        <w:rPr>
          <w:rFonts w:cs="Arial"/>
        </w:rPr>
      </w:pPr>
      <w:r w:rsidRPr="006D43A7">
        <w:rPr>
          <w:lang w:val="es-ES"/>
        </w:rPr>
        <w:t>Los principales conceptos incluidos en la denominación de otros ingresos son los siguientes:</w:t>
      </w:r>
      <w:r w:rsidR="00123989">
        <w:rPr>
          <w:lang w:val="es-ES"/>
        </w:rPr>
        <w:t xml:space="preserve"> </w:t>
      </w:r>
      <w:r w:rsidR="00E81C1B">
        <w:rPr>
          <w:rFonts w:cs="Arial"/>
        </w:rPr>
        <w:t xml:space="preserve">multas </w:t>
      </w:r>
      <w:r w:rsidRPr="00C2626D">
        <w:rPr>
          <w:rFonts w:cs="Arial"/>
        </w:rPr>
        <w:t>y sanciones c</w:t>
      </w:r>
      <w:r w:rsidR="00123989">
        <w:rPr>
          <w:rFonts w:cs="Arial"/>
        </w:rPr>
        <w:t>on 21,13 millones, r</w:t>
      </w:r>
      <w:r w:rsidRPr="00C2626D">
        <w:rPr>
          <w:rFonts w:cs="Arial"/>
        </w:rPr>
        <w:t>ecargos con 14,88 millones</w:t>
      </w:r>
      <w:r w:rsidR="00587757">
        <w:rPr>
          <w:rFonts w:cs="Arial"/>
        </w:rPr>
        <w:t xml:space="preserve"> e</w:t>
      </w:r>
      <w:r w:rsidR="00123989">
        <w:rPr>
          <w:rFonts w:cs="Arial"/>
        </w:rPr>
        <w:t xml:space="preserve"> i</w:t>
      </w:r>
      <w:r w:rsidRPr="00C2626D">
        <w:rPr>
          <w:rFonts w:cs="Arial"/>
        </w:rPr>
        <w:t>ntereses de demora con 6,7 millones</w:t>
      </w:r>
      <w:r w:rsidR="00587757">
        <w:rPr>
          <w:rFonts w:cs="Arial"/>
        </w:rPr>
        <w:t>.</w:t>
      </w:r>
    </w:p>
    <w:p w:rsidR="001B3767" w:rsidRPr="00987E9F" w:rsidRDefault="001B3767" w:rsidP="0098080F">
      <w:pPr>
        <w:pStyle w:val="texto"/>
        <w:spacing w:after="260"/>
      </w:pPr>
      <w:r w:rsidRPr="00987E9F">
        <w:t xml:space="preserve">Se han revisado </w:t>
      </w:r>
      <w:r w:rsidR="00587757">
        <w:t>las tasas derivadas del juego cuya ejecución fue</w:t>
      </w:r>
      <w:r w:rsidRPr="00987E9F">
        <w:t>:</w:t>
      </w:r>
    </w:p>
    <w:tbl>
      <w:tblPr>
        <w:tblW w:w="872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048"/>
        <w:gridCol w:w="961"/>
        <w:gridCol w:w="1257"/>
        <w:gridCol w:w="1226"/>
        <w:gridCol w:w="959"/>
        <w:gridCol w:w="146"/>
        <w:gridCol w:w="1123"/>
      </w:tblGrid>
      <w:tr w:rsidR="001B3767" w:rsidRPr="00F73FED" w:rsidTr="009E7A9C">
        <w:trPr>
          <w:trHeight w:val="255"/>
          <w:jc w:val="center"/>
        </w:trPr>
        <w:tc>
          <w:tcPr>
            <w:tcW w:w="3048" w:type="dxa"/>
            <w:tcBorders>
              <w:bottom w:val="single" w:sz="4" w:space="0" w:color="auto"/>
            </w:tcBorders>
            <w:shd w:val="clear" w:color="auto" w:fill="8DB3E2" w:themeFill="text2" w:themeFillTint="66"/>
            <w:vAlign w:val="center"/>
            <w:hideMark/>
          </w:tcPr>
          <w:p w:rsidR="001B3767" w:rsidRPr="00F73FED" w:rsidRDefault="001B3767" w:rsidP="000E2288">
            <w:pPr>
              <w:pStyle w:val="cuadroCabe"/>
              <w:jc w:val="left"/>
              <w:rPr>
                <w:sz w:val="16"/>
                <w:szCs w:val="16"/>
              </w:rPr>
            </w:pPr>
            <w:r w:rsidRPr="00F73FED">
              <w:rPr>
                <w:sz w:val="16"/>
                <w:szCs w:val="16"/>
              </w:rPr>
              <w:t>Impuestos</w:t>
            </w:r>
          </w:p>
        </w:tc>
        <w:tc>
          <w:tcPr>
            <w:tcW w:w="961" w:type="dxa"/>
            <w:tcBorders>
              <w:bottom w:val="single" w:sz="4" w:space="0" w:color="auto"/>
            </w:tcBorders>
            <w:shd w:val="clear" w:color="auto" w:fill="8DB3E2" w:themeFill="text2" w:themeFillTint="66"/>
            <w:vAlign w:val="center"/>
            <w:hideMark/>
          </w:tcPr>
          <w:p w:rsidR="001B3767" w:rsidRPr="00F73FED" w:rsidRDefault="001B3767" w:rsidP="00F73FED">
            <w:pPr>
              <w:pStyle w:val="cuadroCabe"/>
              <w:jc w:val="right"/>
              <w:rPr>
                <w:sz w:val="16"/>
                <w:szCs w:val="16"/>
              </w:rPr>
            </w:pPr>
            <w:proofErr w:type="spellStart"/>
            <w:r w:rsidRPr="00F73FED">
              <w:rPr>
                <w:sz w:val="16"/>
                <w:szCs w:val="16"/>
              </w:rPr>
              <w:t>Dchos</w:t>
            </w:r>
            <w:proofErr w:type="spellEnd"/>
            <w:r w:rsidRPr="00F73FED">
              <w:rPr>
                <w:sz w:val="16"/>
                <w:szCs w:val="16"/>
              </w:rPr>
              <w:t>.</w:t>
            </w:r>
          </w:p>
          <w:p w:rsidR="001B3767" w:rsidRPr="00F73FED" w:rsidRDefault="009E7A9C" w:rsidP="00F73FED">
            <w:pPr>
              <w:pStyle w:val="cuadroCabe"/>
              <w:jc w:val="right"/>
              <w:rPr>
                <w:sz w:val="16"/>
                <w:szCs w:val="16"/>
              </w:rPr>
            </w:pPr>
            <w:r w:rsidRPr="00F73FED">
              <w:rPr>
                <w:sz w:val="16"/>
                <w:szCs w:val="16"/>
              </w:rPr>
              <w:t xml:space="preserve">netos </w:t>
            </w:r>
            <w:r w:rsidR="001B3767" w:rsidRPr="00F73FED">
              <w:rPr>
                <w:sz w:val="16"/>
                <w:szCs w:val="16"/>
              </w:rPr>
              <w:t>2014</w:t>
            </w:r>
          </w:p>
        </w:tc>
        <w:tc>
          <w:tcPr>
            <w:tcW w:w="1257" w:type="dxa"/>
            <w:tcBorders>
              <w:bottom w:val="single" w:sz="4" w:space="0" w:color="auto"/>
            </w:tcBorders>
            <w:shd w:val="clear" w:color="auto" w:fill="8DB3E2" w:themeFill="text2" w:themeFillTint="66"/>
            <w:vAlign w:val="center"/>
            <w:hideMark/>
          </w:tcPr>
          <w:p w:rsidR="001B3767" w:rsidRPr="00F73FED" w:rsidRDefault="001B3767" w:rsidP="00F73FED">
            <w:pPr>
              <w:pStyle w:val="cuadroCabe"/>
              <w:jc w:val="right"/>
              <w:rPr>
                <w:sz w:val="16"/>
                <w:szCs w:val="16"/>
              </w:rPr>
            </w:pPr>
            <w:r w:rsidRPr="00F73FED">
              <w:rPr>
                <w:sz w:val="16"/>
                <w:szCs w:val="16"/>
              </w:rPr>
              <w:t>Recaudación neta</w:t>
            </w:r>
          </w:p>
        </w:tc>
        <w:tc>
          <w:tcPr>
            <w:tcW w:w="1226" w:type="dxa"/>
            <w:tcBorders>
              <w:bottom w:val="single" w:sz="4" w:space="0" w:color="auto"/>
            </w:tcBorders>
            <w:shd w:val="clear" w:color="auto" w:fill="8DB3E2" w:themeFill="text2" w:themeFillTint="66"/>
            <w:vAlign w:val="center"/>
            <w:hideMark/>
          </w:tcPr>
          <w:p w:rsidR="00F73FED" w:rsidRDefault="001B3767" w:rsidP="00F73FED">
            <w:pPr>
              <w:pStyle w:val="cuadroCabe"/>
              <w:jc w:val="right"/>
              <w:rPr>
                <w:sz w:val="16"/>
                <w:szCs w:val="16"/>
              </w:rPr>
            </w:pPr>
            <w:r w:rsidRPr="00F73FED">
              <w:rPr>
                <w:sz w:val="16"/>
                <w:szCs w:val="16"/>
              </w:rPr>
              <w:t xml:space="preserve">% </w:t>
            </w:r>
          </w:p>
          <w:p w:rsidR="001B3767" w:rsidRPr="00F73FED" w:rsidRDefault="00373755" w:rsidP="00F73FED">
            <w:pPr>
              <w:pStyle w:val="cuadroCabe"/>
              <w:jc w:val="right"/>
              <w:rPr>
                <w:sz w:val="16"/>
                <w:szCs w:val="16"/>
              </w:rPr>
            </w:pPr>
            <w:proofErr w:type="spellStart"/>
            <w:r w:rsidRPr="00F73FED">
              <w:rPr>
                <w:sz w:val="16"/>
                <w:szCs w:val="16"/>
              </w:rPr>
              <w:t>Recaudac</w:t>
            </w:r>
            <w:proofErr w:type="spellEnd"/>
            <w:r w:rsidR="001B3767" w:rsidRPr="00F73FED">
              <w:rPr>
                <w:sz w:val="16"/>
                <w:szCs w:val="16"/>
              </w:rPr>
              <w:t>.</w:t>
            </w:r>
          </w:p>
        </w:tc>
        <w:tc>
          <w:tcPr>
            <w:tcW w:w="959" w:type="dxa"/>
            <w:tcBorders>
              <w:bottom w:val="single" w:sz="4" w:space="0" w:color="auto"/>
            </w:tcBorders>
            <w:shd w:val="clear" w:color="auto" w:fill="8DB3E2" w:themeFill="text2" w:themeFillTint="66"/>
            <w:vAlign w:val="center"/>
            <w:hideMark/>
          </w:tcPr>
          <w:p w:rsidR="001B3767" w:rsidRPr="00F73FED" w:rsidRDefault="001B3767" w:rsidP="00F73FED">
            <w:pPr>
              <w:pStyle w:val="cuadroCabe"/>
              <w:jc w:val="right"/>
              <w:rPr>
                <w:sz w:val="16"/>
                <w:szCs w:val="16"/>
              </w:rPr>
            </w:pPr>
            <w:r w:rsidRPr="00F73FED">
              <w:rPr>
                <w:sz w:val="16"/>
                <w:szCs w:val="16"/>
              </w:rPr>
              <w:t xml:space="preserve">Derechos </w:t>
            </w:r>
          </w:p>
          <w:p w:rsidR="001B3767" w:rsidRPr="00F73FED" w:rsidRDefault="009E7A9C" w:rsidP="00F73FED">
            <w:pPr>
              <w:pStyle w:val="cuadroCabe"/>
              <w:jc w:val="right"/>
              <w:rPr>
                <w:sz w:val="16"/>
                <w:szCs w:val="16"/>
              </w:rPr>
            </w:pPr>
            <w:r w:rsidRPr="00F73FED">
              <w:rPr>
                <w:sz w:val="16"/>
                <w:szCs w:val="16"/>
              </w:rPr>
              <w:t xml:space="preserve">netos </w:t>
            </w:r>
            <w:r w:rsidR="001B3767" w:rsidRPr="00F73FED">
              <w:rPr>
                <w:sz w:val="16"/>
                <w:szCs w:val="16"/>
              </w:rPr>
              <w:t>2013</w:t>
            </w:r>
          </w:p>
        </w:tc>
        <w:tc>
          <w:tcPr>
            <w:tcW w:w="146" w:type="dxa"/>
            <w:tcBorders>
              <w:bottom w:val="single" w:sz="4" w:space="0" w:color="auto"/>
            </w:tcBorders>
            <w:shd w:val="clear" w:color="auto" w:fill="8DB3E2" w:themeFill="text2" w:themeFillTint="66"/>
            <w:vAlign w:val="center"/>
          </w:tcPr>
          <w:p w:rsidR="001B3767" w:rsidRPr="00F73FED" w:rsidRDefault="001B3767" w:rsidP="00F73FED">
            <w:pPr>
              <w:pStyle w:val="cuadroCabe"/>
              <w:jc w:val="right"/>
              <w:rPr>
                <w:sz w:val="16"/>
                <w:szCs w:val="16"/>
              </w:rPr>
            </w:pPr>
          </w:p>
        </w:tc>
        <w:tc>
          <w:tcPr>
            <w:tcW w:w="1123" w:type="dxa"/>
            <w:tcBorders>
              <w:bottom w:val="single" w:sz="4" w:space="0" w:color="auto"/>
            </w:tcBorders>
            <w:shd w:val="clear" w:color="auto" w:fill="8DB3E2" w:themeFill="text2" w:themeFillTint="66"/>
            <w:vAlign w:val="center"/>
            <w:hideMark/>
          </w:tcPr>
          <w:p w:rsidR="001B3767" w:rsidRPr="00F73FED" w:rsidRDefault="001B3767" w:rsidP="00F73FED">
            <w:pPr>
              <w:pStyle w:val="cuadroCabe"/>
              <w:jc w:val="right"/>
              <w:rPr>
                <w:sz w:val="16"/>
                <w:szCs w:val="16"/>
              </w:rPr>
            </w:pPr>
            <w:r w:rsidRPr="00F73FED">
              <w:rPr>
                <w:sz w:val="16"/>
                <w:szCs w:val="16"/>
              </w:rPr>
              <w:t xml:space="preserve">% </w:t>
            </w:r>
            <w:proofErr w:type="spellStart"/>
            <w:r w:rsidR="000F4EC6" w:rsidRPr="00F73FED">
              <w:rPr>
                <w:sz w:val="16"/>
                <w:szCs w:val="16"/>
              </w:rPr>
              <w:t>Variac</w:t>
            </w:r>
            <w:proofErr w:type="spellEnd"/>
            <w:r w:rsidR="000F4EC6" w:rsidRPr="00F73FED">
              <w:rPr>
                <w:sz w:val="16"/>
                <w:szCs w:val="16"/>
              </w:rPr>
              <w:t xml:space="preserve"> </w:t>
            </w:r>
            <w:r w:rsidRPr="00F73FED">
              <w:rPr>
                <w:sz w:val="16"/>
                <w:szCs w:val="16"/>
              </w:rPr>
              <w:t xml:space="preserve">derechos. </w:t>
            </w:r>
          </w:p>
          <w:p w:rsidR="001B3767" w:rsidRPr="00F73FED" w:rsidRDefault="001B3767" w:rsidP="00F73FED">
            <w:pPr>
              <w:pStyle w:val="cuadroCabe"/>
              <w:jc w:val="right"/>
              <w:rPr>
                <w:sz w:val="16"/>
                <w:szCs w:val="16"/>
              </w:rPr>
            </w:pPr>
            <w:r w:rsidRPr="00F73FED">
              <w:rPr>
                <w:sz w:val="16"/>
                <w:szCs w:val="16"/>
              </w:rPr>
              <w:t>2014/2013</w:t>
            </w:r>
          </w:p>
        </w:tc>
      </w:tr>
      <w:tr w:rsidR="001B3767" w:rsidRPr="00F73FED" w:rsidTr="009E7A9C">
        <w:trPr>
          <w:trHeight w:val="284"/>
          <w:jc w:val="center"/>
        </w:trPr>
        <w:tc>
          <w:tcPr>
            <w:tcW w:w="3048" w:type="dxa"/>
            <w:noWrap/>
            <w:vAlign w:val="center"/>
            <w:hideMark/>
          </w:tcPr>
          <w:p w:rsidR="001B3767" w:rsidRPr="00F73FED" w:rsidRDefault="001B3767" w:rsidP="009E7A9C">
            <w:pPr>
              <w:pStyle w:val="cuatexto"/>
              <w:tabs>
                <w:tab w:val="clear" w:pos="6237"/>
                <w:tab w:val="right" w:pos="6330"/>
              </w:tabs>
              <w:jc w:val="left"/>
              <w:rPr>
                <w:sz w:val="18"/>
                <w:szCs w:val="18"/>
              </w:rPr>
            </w:pPr>
            <w:r w:rsidRPr="00F73FED">
              <w:rPr>
                <w:sz w:val="18"/>
                <w:szCs w:val="18"/>
              </w:rPr>
              <w:t>Tasas derivadas del juego</w:t>
            </w:r>
          </w:p>
        </w:tc>
        <w:tc>
          <w:tcPr>
            <w:tcW w:w="961" w:type="dxa"/>
            <w:vAlign w:val="center"/>
            <w:hideMark/>
          </w:tcPr>
          <w:p w:rsidR="001B3767" w:rsidRPr="00F73FED" w:rsidRDefault="001B3767" w:rsidP="00F73FED">
            <w:pPr>
              <w:pStyle w:val="cuatexto"/>
              <w:jc w:val="right"/>
              <w:rPr>
                <w:sz w:val="18"/>
                <w:szCs w:val="18"/>
              </w:rPr>
            </w:pPr>
            <w:r w:rsidRPr="00F73FED">
              <w:rPr>
                <w:sz w:val="18"/>
                <w:szCs w:val="18"/>
              </w:rPr>
              <w:t>10.791.594</w:t>
            </w:r>
          </w:p>
        </w:tc>
        <w:tc>
          <w:tcPr>
            <w:tcW w:w="1257" w:type="dxa"/>
            <w:vAlign w:val="center"/>
            <w:hideMark/>
          </w:tcPr>
          <w:p w:rsidR="001B3767" w:rsidRPr="00F73FED" w:rsidRDefault="001B3767" w:rsidP="00F73FED">
            <w:pPr>
              <w:pStyle w:val="cuatexto"/>
              <w:jc w:val="right"/>
              <w:rPr>
                <w:sz w:val="18"/>
                <w:szCs w:val="18"/>
              </w:rPr>
            </w:pPr>
            <w:r w:rsidRPr="00F73FED">
              <w:rPr>
                <w:sz w:val="18"/>
                <w:szCs w:val="18"/>
              </w:rPr>
              <w:t>9.270.410</w:t>
            </w:r>
          </w:p>
        </w:tc>
        <w:tc>
          <w:tcPr>
            <w:tcW w:w="1226" w:type="dxa"/>
            <w:vAlign w:val="center"/>
            <w:hideMark/>
          </w:tcPr>
          <w:p w:rsidR="001B3767" w:rsidRPr="00F73FED" w:rsidRDefault="001B3767" w:rsidP="00F73FED">
            <w:pPr>
              <w:pStyle w:val="cuatexto"/>
              <w:jc w:val="right"/>
              <w:rPr>
                <w:sz w:val="18"/>
                <w:szCs w:val="18"/>
              </w:rPr>
            </w:pPr>
            <w:r w:rsidRPr="00F73FED">
              <w:rPr>
                <w:sz w:val="18"/>
                <w:szCs w:val="18"/>
              </w:rPr>
              <w:t>86</w:t>
            </w:r>
          </w:p>
        </w:tc>
        <w:tc>
          <w:tcPr>
            <w:tcW w:w="959" w:type="dxa"/>
            <w:vAlign w:val="center"/>
            <w:hideMark/>
          </w:tcPr>
          <w:p w:rsidR="001B3767" w:rsidRPr="00F73FED" w:rsidRDefault="001B3767" w:rsidP="00F73FED">
            <w:pPr>
              <w:pStyle w:val="cuatexto"/>
              <w:jc w:val="right"/>
              <w:rPr>
                <w:sz w:val="18"/>
                <w:szCs w:val="18"/>
              </w:rPr>
            </w:pPr>
            <w:r w:rsidRPr="00F73FED">
              <w:rPr>
                <w:sz w:val="18"/>
                <w:szCs w:val="18"/>
              </w:rPr>
              <w:t>8.014.301</w:t>
            </w:r>
          </w:p>
        </w:tc>
        <w:tc>
          <w:tcPr>
            <w:tcW w:w="146" w:type="dxa"/>
            <w:vAlign w:val="center"/>
          </w:tcPr>
          <w:p w:rsidR="001B3767" w:rsidRPr="00F73FED" w:rsidRDefault="001B3767" w:rsidP="00F73FED">
            <w:pPr>
              <w:pStyle w:val="cuatexto"/>
              <w:jc w:val="right"/>
              <w:rPr>
                <w:sz w:val="18"/>
                <w:szCs w:val="18"/>
              </w:rPr>
            </w:pPr>
          </w:p>
        </w:tc>
        <w:tc>
          <w:tcPr>
            <w:tcW w:w="1123" w:type="dxa"/>
            <w:vAlign w:val="center"/>
            <w:hideMark/>
          </w:tcPr>
          <w:p w:rsidR="001B3767" w:rsidRPr="00F73FED" w:rsidRDefault="001B3767" w:rsidP="00F73FED">
            <w:pPr>
              <w:pStyle w:val="cuatexto"/>
              <w:jc w:val="right"/>
              <w:rPr>
                <w:sz w:val="18"/>
                <w:szCs w:val="18"/>
              </w:rPr>
            </w:pPr>
            <w:r w:rsidRPr="00F73FED">
              <w:rPr>
                <w:sz w:val="18"/>
                <w:szCs w:val="18"/>
              </w:rPr>
              <w:t>35</w:t>
            </w:r>
          </w:p>
        </w:tc>
      </w:tr>
    </w:tbl>
    <w:p w:rsidR="001B3767" w:rsidRPr="006D43A7" w:rsidRDefault="001B3767" w:rsidP="0098080F">
      <w:pPr>
        <w:pStyle w:val="texto"/>
        <w:spacing w:before="260" w:after="180"/>
        <w:rPr>
          <w:lang w:val="es-ES"/>
        </w:rPr>
      </w:pPr>
      <w:r w:rsidRPr="006D43A7">
        <w:rPr>
          <w:lang w:val="es-ES"/>
        </w:rPr>
        <w:t>Los derechos reconocidos en 2014 por tasas de juego fueron 10,79 millones de euros, un 35 por ciento más que en 2013, cobrándose 9,27 millones al cierre del ejercicio.</w:t>
      </w:r>
    </w:p>
    <w:p w:rsidR="001B3767" w:rsidRPr="006D43A7" w:rsidRDefault="001B3767" w:rsidP="0098080F">
      <w:pPr>
        <w:pStyle w:val="texto"/>
        <w:spacing w:after="180"/>
        <w:rPr>
          <w:lang w:val="es-ES"/>
        </w:rPr>
      </w:pPr>
      <w:r w:rsidRPr="006D43A7">
        <w:rPr>
          <w:lang w:val="es-ES"/>
        </w:rPr>
        <w:t>El 62 por ciento de las tasas de juego contabilizadas en 2014 corresponden a máquinas recreativas, un 29 por ciento al bingo y el resto a apuestas.</w:t>
      </w:r>
    </w:p>
    <w:p w:rsidR="00296EB4" w:rsidRPr="00296EB4" w:rsidRDefault="00296EB4" w:rsidP="0098080F">
      <w:pPr>
        <w:pStyle w:val="texto"/>
        <w:spacing w:after="180"/>
        <w:rPr>
          <w:lang w:val="es-ES"/>
        </w:rPr>
      </w:pPr>
      <w:r w:rsidRPr="00296EB4">
        <w:rPr>
          <w:lang w:val="es-ES"/>
        </w:rPr>
        <w:t>En la revisión de una muestra de</w:t>
      </w:r>
      <w:r>
        <w:rPr>
          <w:lang w:val="es-ES"/>
        </w:rPr>
        <w:t xml:space="preserve"> tasas del bingo y máquinas recreativas,</w:t>
      </w:r>
      <w:r w:rsidR="00E81C1B">
        <w:rPr>
          <w:lang w:val="es-ES"/>
        </w:rPr>
        <w:t xml:space="preserve"> h</w:t>
      </w:r>
      <w:r w:rsidR="00E81C1B">
        <w:rPr>
          <w:lang w:val="es-ES"/>
        </w:rPr>
        <w:t>e</w:t>
      </w:r>
      <w:r w:rsidR="00E81C1B">
        <w:rPr>
          <w:lang w:val="es-ES"/>
        </w:rPr>
        <w:t>mos</w:t>
      </w:r>
      <w:r w:rsidRPr="00296EB4">
        <w:rPr>
          <w:lang w:val="es-ES"/>
        </w:rPr>
        <w:t xml:space="preserve"> comprobado que,</w:t>
      </w:r>
      <w:r>
        <w:rPr>
          <w:lang w:val="es-ES"/>
        </w:rPr>
        <w:t xml:space="preserve"> e</w:t>
      </w:r>
      <w:r w:rsidRPr="00296EB4">
        <w:rPr>
          <w:lang w:val="es-ES"/>
        </w:rPr>
        <w:t xml:space="preserve">n general, </w:t>
      </w:r>
      <w:r>
        <w:rPr>
          <w:lang w:val="es-ES"/>
        </w:rPr>
        <w:t xml:space="preserve">se liquidaron y recaudaron de conformidad </w:t>
      </w:r>
      <w:r w:rsidRPr="00296EB4">
        <w:rPr>
          <w:lang w:val="es-ES"/>
        </w:rPr>
        <w:t>con su normativa reguladora</w:t>
      </w:r>
      <w:r>
        <w:rPr>
          <w:lang w:val="es-ES"/>
        </w:rPr>
        <w:t>.</w:t>
      </w:r>
    </w:p>
    <w:p w:rsidR="00123989" w:rsidRPr="00770DE4" w:rsidRDefault="00770DE4" w:rsidP="0098080F">
      <w:pPr>
        <w:pStyle w:val="texto"/>
        <w:spacing w:before="80" w:after="180"/>
        <w:rPr>
          <w:rFonts w:cs="Arial"/>
          <w:i/>
        </w:rPr>
      </w:pPr>
      <w:r w:rsidRPr="00463BF5">
        <w:rPr>
          <w:i/>
          <w:lang w:val="es-ES"/>
        </w:rPr>
        <w:t>Recomendamos</w:t>
      </w:r>
      <w:r w:rsidR="00463BF5" w:rsidRPr="00463BF5">
        <w:rPr>
          <w:i/>
          <w:lang w:val="es-ES"/>
        </w:rPr>
        <w:t xml:space="preserve"> </w:t>
      </w:r>
      <w:r w:rsidR="00463BF5">
        <w:rPr>
          <w:i/>
          <w:lang w:val="es-ES"/>
        </w:rPr>
        <w:t>dotar</w:t>
      </w:r>
      <w:r w:rsidR="00123989" w:rsidRPr="00770DE4">
        <w:rPr>
          <w:rFonts w:cs="Arial"/>
          <w:i/>
        </w:rPr>
        <w:t xml:space="preserve"> provisión por las devoluciones de impuestos que se espere realizar en el ejercicio siguiente con la finalidad de cubrir aquellas d</w:t>
      </w:r>
      <w:r w:rsidR="00123989" w:rsidRPr="00770DE4">
        <w:rPr>
          <w:rFonts w:cs="Arial"/>
          <w:i/>
        </w:rPr>
        <w:t>e</w:t>
      </w:r>
      <w:r w:rsidR="00123989" w:rsidRPr="00770DE4">
        <w:rPr>
          <w:rFonts w:cs="Arial"/>
          <w:i/>
        </w:rPr>
        <w:t>voluciones que no hayan sido reconocidas al final del ejercicio.</w:t>
      </w:r>
    </w:p>
    <w:p w:rsidR="00CF3D3B" w:rsidRPr="00CF3D3B" w:rsidRDefault="00CF3D3B" w:rsidP="00CF3D3B">
      <w:pPr>
        <w:pStyle w:val="texto"/>
        <w:spacing w:after="240"/>
        <w:rPr>
          <w:lang w:val="es-ES"/>
        </w:rPr>
      </w:pPr>
    </w:p>
    <w:p w:rsidR="00043899" w:rsidRDefault="00043899">
      <w:pPr>
        <w:spacing w:after="0"/>
        <w:ind w:firstLine="0"/>
        <w:jc w:val="left"/>
        <w:rPr>
          <w:rFonts w:ascii="Arial" w:hAnsi="Arial"/>
          <w:bCs/>
          <w:iCs/>
          <w:color w:val="000000"/>
          <w:spacing w:val="10"/>
          <w:kern w:val="28"/>
          <w:sz w:val="25"/>
          <w:szCs w:val="26"/>
        </w:rPr>
      </w:pPr>
      <w:r>
        <w:br w:type="page"/>
      </w:r>
    </w:p>
    <w:p w:rsidR="001B3767" w:rsidRPr="00AE151C" w:rsidRDefault="001B3767" w:rsidP="00463BF5">
      <w:pPr>
        <w:pStyle w:val="atitulo2"/>
        <w:spacing w:before="260" w:after="280"/>
      </w:pPr>
      <w:bookmarkStart w:id="77" w:name="_Toc434399409"/>
      <w:r w:rsidRPr="00AE151C">
        <w:lastRenderedPageBreak/>
        <w:t>VII.</w:t>
      </w:r>
      <w:r w:rsidR="0080281D">
        <w:t>8</w:t>
      </w:r>
      <w:r w:rsidRPr="00AE151C">
        <w:t xml:space="preserve">. </w:t>
      </w:r>
      <w:r>
        <w:t>Enajenación de inversiones reales</w:t>
      </w:r>
      <w:bookmarkEnd w:id="77"/>
      <w:r w:rsidRPr="00AE151C">
        <w:t xml:space="preserve"> </w:t>
      </w:r>
    </w:p>
    <w:p w:rsidR="001B3767" w:rsidRPr="006D43A7" w:rsidRDefault="001B3767" w:rsidP="00B72BEA">
      <w:pPr>
        <w:pStyle w:val="texto"/>
        <w:spacing w:after="180"/>
        <w:rPr>
          <w:lang w:val="es-ES"/>
        </w:rPr>
      </w:pPr>
      <w:r w:rsidRPr="006D43A7">
        <w:rPr>
          <w:lang w:val="es-ES"/>
        </w:rPr>
        <w:t>Los derechos reconocidos por enajenación de inversiones reales ascendieron a 2.016.923 euros, de los cuales el 52 por ciento corresponde a la venta de i</w:t>
      </w:r>
      <w:r w:rsidRPr="006D43A7">
        <w:rPr>
          <w:lang w:val="es-ES"/>
        </w:rPr>
        <w:t>n</w:t>
      </w:r>
      <w:r w:rsidRPr="006D43A7">
        <w:rPr>
          <w:lang w:val="es-ES"/>
        </w:rPr>
        <w:t>muebles, un 45 por ciento a venta de terrenos, principalmente parcelas en pol</w:t>
      </w:r>
      <w:r w:rsidRPr="006D43A7">
        <w:rPr>
          <w:lang w:val="es-ES"/>
        </w:rPr>
        <w:t>í</w:t>
      </w:r>
      <w:r w:rsidRPr="006D43A7">
        <w:rPr>
          <w:lang w:val="es-ES"/>
        </w:rPr>
        <w:t>gonos industriales, y el resto al reintegro de transferencias de capital conced</w:t>
      </w:r>
      <w:r w:rsidRPr="006D43A7">
        <w:rPr>
          <w:lang w:val="es-ES"/>
        </w:rPr>
        <w:t>i</w:t>
      </w:r>
      <w:r w:rsidRPr="006D43A7">
        <w:rPr>
          <w:lang w:val="es-ES"/>
        </w:rPr>
        <w:t>das a dos entes locales para financiar inversiones.</w:t>
      </w:r>
    </w:p>
    <w:p w:rsidR="001B3767" w:rsidRPr="006D43A7" w:rsidRDefault="001B3767" w:rsidP="00B72BEA">
      <w:pPr>
        <w:pStyle w:val="texto"/>
        <w:spacing w:after="180"/>
        <w:rPr>
          <w:lang w:val="es-ES"/>
        </w:rPr>
      </w:pPr>
      <w:r w:rsidRPr="006D43A7">
        <w:rPr>
          <w:lang w:val="es-ES"/>
        </w:rPr>
        <w:t xml:space="preserve">Hemos revisado la enajenación de la sede de la delegación de Navarra en Madrid, por un precio de 925.000 euros, adquirido en 2001 por 871.468 euros. En noviembre de 2012, el Gobierno de Navarra acordó cerrar dicha delegación </w:t>
      </w:r>
    </w:p>
    <w:p w:rsidR="001B3767" w:rsidRPr="006D43A7" w:rsidRDefault="001B3767" w:rsidP="00F733CB">
      <w:pPr>
        <w:pStyle w:val="texto"/>
        <w:spacing w:after="120"/>
        <w:rPr>
          <w:lang w:val="es-ES"/>
        </w:rPr>
      </w:pPr>
      <w:r w:rsidRPr="006D43A7">
        <w:rPr>
          <w:lang w:val="es-ES"/>
        </w:rPr>
        <w:t>En el informe de tasación del inmueble, realizado por Negociado de plane</w:t>
      </w:r>
      <w:r w:rsidRPr="006D43A7">
        <w:rPr>
          <w:lang w:val="es-ES"/>
        </w:rPr>
        <w:t>a</w:t>
      </w:r>
      <w:r w:rsidRPr="006D43A7">
        <w:rPr>
          <w:lang w:val="es-ES"/>
        </w:rPr>
        <w:t>miento y valoraciones del Departamento de Economía y Hacienda, se establ</w:t>
      </w:r>
      <w:r w:rsidRPr="006D43A7">
        <w:rPr>
          <w:lang w:val="es-ES"/>
        </w:rPr>
        <w:t>e</w:t>
      </w:r>
      <w:r w:rsidRPr="006D43A7">
        <w:rPr>
          <w:lang w:val="es-ES"/>
        </w:rPr>
        <w:t>ció un precio de 3.700 euros por metro cuadrado, según se indica, tomando de internet una muestra de seis pisos vendidos en el barrio donde se sitúa el i</w:t>
      </w:r>
      <w:r w:rsidRPr="006D43A7">
        <w:rPr>
          <w:lang w:val="es-ES"/>
        </w:rPr>
        <w:t>n</w:t>
      </w:r>
      <w:r w:rsidRPr="006D43A7">
        <w:rPr>
          <w:lang w:val="es-ES"/>
        </w:rPr>
        <w:t>mueble. Se presume, ya que no visitan el inmueble, que su estado es correcto debido a su uso continuado y a las obras de adecuación acometidas.</w:t>
      </w:r>
    </w:p>
    <w:p w:rsidR="001B3767" w:rsidRPr="006D43A7" w:rsidRDefault="001B3767" w:rsidP="00F733CB">
      <w:pPr>
        <w:pStyle w:val="texto"/>
        <w:spacing w:after="120"/>
        <w:rPr>
          <w:lang w:val="es-ES"/>
        </w:rPr>
      </w:pPr>
      <w:r w:rsidRPr="006D43A7">
        <w:rPr>
          <w:lang w:val="es-ES"/>
        </w:rPr>
        <w:t>Según un informe de esta Cámara sobre los gastos de la Delegación del G</w:t>
      </w:r>
      <w:r w:rsidRPr="006D43A7">
        <w:rPr>
          <w:lang w:val="es-ES"/>
        </w:rPr>
        <w:t>o</w:t>
      </w:r>
      <w:r w:rsidRPr="006D43A7">
        <w:rPr>
          <w:lang w:val="es-ES"/>
        </w:rPr>
        <w:t>bierno de Navarra en Madrid de 2001 a 2004, se acometieron obras de reforma de la sede por 298.459 euros y se adquirió equipamiento por 66.677 euros.</w:t>
      </w:r>
    </w:p>
    <w:p w:rsidR="001B3767" w:rsidRPr="006D43A7" w:rsidRDefault="001B3767" w:rsidP="00F733CB">
      <w:pPr>
        <w:pStyle w:val="texto"/>
        <w:spacing w:after="120"/>
        <w:rPr>
          <w:lang w:val="es-ES"/>
        </w:rPr>
      </w:pPr>
      <w:r w:rsidRPr="006D43A7">
        <w:rPr>
          <w:lang w:val="es-ES"/>
        </w:rPr>
        <w:t>La gestión de la venta se contrató con una empresa, seleccionada mediante procedimiento negociado sin publicidad, cursando invitación a tres licitadores. El departamento de Patrimonio justificó la necesidad de contratación en la c</w:t>
      </w:r>
      <w:r w:rsidRPr="006D43A7">
        <w:rPr>
          <w:lang w:val="es-ES"/>
        </w:rPr>
        <w:t>a</w:t>
      </w:r>
      <w:r w:rsidRPr="006D43A7">
        <w:rPr>
          <w:lang w:val="es-ES"/>
        </w:rPr>
        <w:t>rencia de medios para gestionar una subasta pública en Madrid. El precio del contrato se estableció en el cuatro por ciento del precio de venta del inmueble. Supuso un gasto de 44.770 euros.</w:t>
      </w:r>
    </w:p>
    <w:p w:rsidR="00A10E14" w:rsidRPr="006D43A7" w:rsidRDefault="001B3767" w:rsidP="00F733CB">
      <w:pPr>
        <w:pStyle w:val="texto"/>
        <w:spacing w:after="120"/>
        <w:rPr>
          <w:lang w:val="es-ES"/>
        </w:rPr>
      </w:pPr>
      <w:r w:rsidRPr="006D43A7">
        <w:rPr>
          <w:lang w:val="es-ES"/>
        </w:rPr>
        <w:t>Se realizó una subasta electrónica en la que se recibió una oferta que no ll</w:t>
      </w:r>
      <w:r w:rsidRPr="006D43A7">
        <w:rPr>
          <w:lang w:val="es-ES"/>
        </w:rPr>
        <w:t>e</w:t>
      </w:r>
      <w:r w:rsidRPr="006D43A7">
        <w:rPr>
          <w:lang w:val="es-ES"/>
        </w:rPr>
        <w:t>gó a materializarse. Se acordó la enajenación directa por 925.000 euros</w:t>
      </w:r>
      <w:r w:rsidR="00C8121E">
        <w:rPr>
          <w:lang w:val="es-ES"/>
        </w:rPr>
        <w:t>,</w:t>
      </w:r>
      <w:r w:rsidRPr="006D43A7">
        <w:rPr>
          <w:lang w:val="es-ES"/>
        </w:rPr>
        <w:t xml:space="preserve"> </w:t>
      </w:r>
      <w:r w:rsidR="00C8121E">
        <w:rPr>
          <w:lang w:val="es-ES"/>
        </w:rPr>
        <w:t xml:space="preserve">al mismo precio de licitación, </w:t>
      </w:r>
      <w:r w:rsidRPr="006D43A7">
        <w:rPr>
          <w:lang w:val="es-ES"/>
        </w:rPr>
        <w:t>a un tercero propuesto por la empresa contratada para la gestión de la enajenación</w:t>
      </w:r>
      <w:r w:rsidR="000F4EC6">
        <w:rPr>
          <w:lang w:val="es-ES"/>
        </w:rPr>
        <w:t xml:space="preserve"> y antes de que </w:t>
      </w:r>
      <w:r w:rsidR="001E7D6E">
        <w:rPr>
          <w:lang w:val="es-ES"/>
        </w:rPr>
        <w:t xml:space="preserve">hubiera </w:t>
      </w:r>
      <w:r w:rsidR="000F4EC6">
        <w:t xml:space="preserve">transcurrido </w:t>
      </w:r>
      <w:r w:rsidR="00A10E14">
        <w:t>más de un año desde la licitación.</w:t>
      </w:r>
    </w:p>
    <w:p w:rsidR="001B3767" w:rsidRDefault="001B3767" w:rsidP="00F733CB">
      <w:pPr>
        <w:pStyle w:val="texto"/>
        <w:spacing w:after="120"/>
        <w:rPr>
          <w:lang w:val="es-ES"/>
        </w:rPr>
      </w:pPr>
      <w:r w:rsidRPr="006D43A7">
        <w:rPr>
          <w:lang w:val="es-ES"/>
        </w:rPr>
        <w:t xml:space="preserve">Se ha comprobado que en la tramitación del expediente de enajenación se han cumplido, en general, los requisitos establecidos en la Ley Foral 14/2007, de 4 de abril, de Patrimonio de Navarra, se ha cobrado el precio y se ha dado de baja el inmueble en el inventario de bienes. </w:t>
      </w:r>
    </w:p>
    <w:p w:rsidR="00572EE5" w:rsidRPr="006D43A7" w:rsidRDefault="00572EE5" w:rsidP="00F733CB">
      <w:pPr>
        <w:pStyle w:val="texto"/>
        <w:spacing w:after="120"/>
        <w:rPr>
          <w:lang w:val="es-ES"/>
        </w:rPr>
      </w:pPr>
      <w:r>
        <w:rPr>
          <w:lang w:val="es-ES"/>
        </w:rPr>
        <w:t>Se contabilizó un beneficio de 53.532 euros correspondiente a la diferencia entre el precio de venta y el de compra. Las mejoras efectuadas en el inmueble, contabilizadas como inversiones</w:t>
      </w:r>
      <w:r w:rsidR="001E7D6E">
        <w:rPr>
          <w:lang w:val="es-ES"/>
        </w:rPr>
        <w:t xml:space="preserve"> presupuestarias</w:t>
      </w:r>
      <w:r>
        <w:rPr>
          <w:lang w:val="es-ES"/>
        </w:rPr>
        <w:t xml:space="preserve">, no se activaron como mayor valor del </w:t>
      </w:r>
      <w:r w:rsidR="001E7D6E">
        <w:rPr>
          <w:lang w:val="es-ES"/>
        </w:rPr>
        <w:t>inmovilizado</w:t>
      </w:r>
      <w:r>
        <w:rPr>
          <w:lang w:val="es-ES"/>
        </w:rPr>
        <w:t>.</w:t>
      </w:r>
    </w:p>
    <w:p w:rsidR="001B3767" w:rsidRPr="00AE151C" w:rsidRDefault="001B3767" w:rsidP="00F54983">
      <w:pPr>
        <w:pStyle w:val="atitulo2"/>
        <w:spacing w:before="240"/>
      </w:pPr>
      <w:bookmarkStart w:id="78" w:name="_Toc434399410"/>
      <w:r w:rsidRPr="00AE151C">
        <w:lastRenderedPageBreak/>
        <w:t>VII.</w:t>
      </w:r>
      <w:r w:rsidR="0080281D">
        <w:t>9</w:t>
      </w:r>
      <w:r w:rsidRPr="00AE151C">
        <w:t xml:space="preserve">. </w:t>
      </w:r>
      <w:r>
        <w:t>Deudores</w:t>
      </w:r>
      <w:bookmarkEnd w:id="78"/>
      <w:r w:rsidRPr="00AE151C">
        <w:t xml:space="preserve"> </w:t>
      </w:r>
    </w:p>
    <w:p w:rsidR="001B3767" w:rsidRPr="006D43A7" w:rsidRDefault="001B3767" w:rsidP="00F54983">
      <w:pPr>
        <w:pStyle w:val="texto"/>
        <w:spacing w:after="240"/>
        <w:rPr>
          <w:lang w:val="es-ES"/>
        </w:rPr>
      </w:pPr>
      <w:r w:rsidRPr="006D43A7">
        <w:rPr>
          <w:lang w:val="es-ES"/>
        </w:rPr>
        <w:t>El saldo de deudores a 31 de diciembre de 2014 asciende a 338,09 millones de euros y corresponde a:</w:t>
      </w:r>
    </w:p>
    <w:tbl>
      <w:tblPr>
        <w:tblW w:w="8861" w:type="dxa"/>
        <w:jc w:val="center"/>
        <w:tblCellMar>
          <w:left w:w="70" w:type="dxa"/>
          <w:right w:w="70" w:type="dxa"/>
        </w:tblCellMar>
        <w:tblLook w:val="0000" w:firstRow="0" w:lastRow="0" w:firstColumn="0" w:lastColumn="0" w:noHBand="0" w:noVBand="0"/>
      </w:tblPr>
      <w:tblGrid>
        <w:gridCol w:w="3452"/>
        <w:gridCol w:w="1560"/>
        <w:gridCol w:w="1810"/>
        <w:gridCol w:w="2039"/>
      </w:tblGrid>
      <w:tr w:rsidR="001B3767" w:rsidRPr="00E45B54" w:rsidTr="00F54983">
        <w:trPr>
          <w:trHeight w:val="255"/>
          <w:jc w:val="center"/>
        </w:trPr>
        <w:tc>
          <w:tcPr>
            <w:tcW w:w="3452" w:type="dxa"/>
            <w:tcBorders>
              <w:top w:val="single" w:sz="4" w:space="0" w:color="auto"/>
              <w:bottom w:val="single" w:sz="4" w:space="0" w:color="auto"/>
            </w:tcBorders>
            <w:shd w:val="clear" w:color="auto" w:fill="8DB3E2" w:themeFill="text2" w:themeFillTint="66"/>
            <w:noWrap/>
            <w:vAlign w:val="center"/>
          </w:tcPr>
          <w:p w:rsidR="001B3767" w:rsidRPr="00C57014" w:rsidRDefault="001B3767" w:rsidP="000E2288">
            <w:pPr>
              <w:pStyle w:val="cuadroCabe"/>
              <w:jc w:val="left"/>
            </w:pPr>
            <w:r w:rsidRPr="00C57014">
              <w:t xml:space="preserve">Deudores </w:t>
            </w:r>
          </w:p>
        </w:tc>
        <w:tc>
          <w:tcPr>
            <w:tcW w:w="1560" w:type="dxa"/>
            <w:tcBorders>
              <w:top w:val="single" w:sz="4" w:space="0" w:color="auto"/>
              <w:bottom w:val="single" w:sz="4" w:space="0" w:color="auto"/>
            </w:tcBorders>
            <w:shd w:val="clear" w:color="auto" w:fill="8DB3E2" w:themeFill="text2" w:themeFillTint="66"/>
            <w:vAlign w:val="center"/>
          </w:tcPr>
          <w:p w:rsidR="001B3767" w:rsidRPr="00C57014" w:rsidRDefault="001B3767" w:rsidP="00C57014">
            <w:pPr>
              <w:pStyle w:val="cuadroCabe"/>
              <w:jc w:val="right"/>
            </w:pPr>
            <w:r w:rsidRPr="00C57014">
              <w:t>2014</w:t>
            </w:r>
          </w:p>
        </w:tc>
        <w:tc>
          <w:tcPr>
            <w:tcW w:w="1810" w:type="dxa"/>
            <w:tcBorders>
              <w:top w:val="single" w:sz="4" w:space="0" w:color="auto"/>
              <w:bottom w:val="single" w:sz="4" w:space="0" w:color="auto"/>
            </w:tcBorders>
            <w:shd w:val="clear" w:color="auto" w:fill="8DB3E2" w:themeFill="text2" w:themeFillTint="66"/>
            <w:vAlign w:val="center"/>
          </w:tcPr>
          <w:p w:rsidR="001B3767" w:rsidRPr="00C57014" w:rsidRDefault="001B3767" w:rsidP="00C57014">
            <w:pPr>
              <w:pStyle w:val="cuadroCabe"/>
              <w:jc w:val="right"/>
            </w:pPr>
            <w:r w:rsidRPr="00C57014">
              <w:t>2013</w:t>
            </w:r>
          </w:p>
        </w:tc>
        <w:tc>
          <w:tcPr>
            <w:tcW w:w="2039" w:type="dxa"/>
            <w:tcBorders>
              <w:top w:val="single" w:sz="4" w:space="0" w:color="auto"/>
              <w:bottom w:val="single" w:sz="4" w:space="0" w:color="auto"/>
            </w:tcBorders>
            <w:shd w:val="clear" w:color="auto" w:fill="8DB3E2" w:themeFill="text2" w:themeFillTint="66"/>
            <w:vAlign w:val="center"/>
          </w:tcPr>
          <w:p w:rsidR="00F54983" w:rsidRDefault="001B3767" w:rsidP="00F733CB">
            <w:pPr>
              <w:pStyle w:val="cuadroCabe"/>
              <w:jc w:val="right"/>
            </w:pPr>
            <w:r w:rsidRPr="00C57014">
              <w:t>%Variación</w:t>
            </w:r>
            <w:r w:rsidR="00F733CB">
              <w:t xml:space="preserve"> </w:t>
            </w:r>
          </w:p>
          <w:p w:rsidR="001B3767" w:rsidRPr="00C57014" w:rsidRDefault="00F733CB" w:rsidP="00F733CB">
            <w:pPr>
              <w:pStyle w:val="cuadroCabe"/>
              <w:jc w:val="right"/>
            </w:pPr>
            <w:r>
              <w:t xml:space="preserve"> </w:t>
            </w:r>
            <w:r w:rsidR="001B3767" w:rsidRPr="00C57014">
              <w:t>14/13</w:t>
            </w:r>
          </w:p>
        </w:tc>
      </w:tr>
      <w:tr w:rsidR="001B3767" w:rsidRPr="00C57014" w:rsidTr="00F54983">
        <w:trPr>
          <w:trHeight w:val="227"/>
          <w:jc w:val="center"/>
        </w:trPr>
        <w:tc>
          <w:tcPr>
            <w:tcW w:w="3452" w:type="dxa"/>
            <w:tcBorders>
              <w:top w:val="single" w:sz="4"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Deudores en departamentos</w:t>
            </w:r>
          </w:p>
        </w:tc>
        <w:tc>
          <w:tcPr>
            <w:tcW w:w="1560" w:type="dxa"/>
            <w:tcBorders>
              <w:top w:val="single" w:sz="4"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8.637</w:t>
            </w:r>
          </w:p>
        </w:tc>
        <w:tc>
          <w:tcPr>
            <w:tcW w:w="1810" w:type="dxa"/>
            <w:tcBorders>
              <w:top w:val="single" w:sz="4"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11.213</w:t>
            </w:r>
          </w:p>
        </w:tc>
        <w:tc>
          <w:tcPr>
            <w:tcW w:w="2039" w:type="dxa"/>
            <w:tcBorders>
              <w:top w:val="single" w:sz="4"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-23</w:t>
            </w:r>
          </w:p>
        </w:tc>
      </w:tr>
      <w:tr w:rsidR="001B3767" w:rsidRPr="00C57014" w:rsidTr="00F54983">
        <w:trPr>
          <w:trHeight w:val="227"/>
          <w:jc w:val="center"/>
        </w:trPr>
        <w:tc>
          <w:tcPr>
            <w:tcW w:w="3452" w:type="dxa"/>
            <w:tcBorders>
              <w:top w:val="single" w:sz="2"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Deudores gestión ordinaria</w:t>
            </w:r>
          </w:p>
        </w:tc>
        <w:tc>
          <w:tcPr>
            <w:tcW w:w="156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158.220</w:t>
            </w:r>
          </w:p>
        </w:tc>
        <w:tc>
          <w:tcPr>
            <w:tcW w:w="181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125.286</w:t>
            </w:r>
          </w:p>
        </w:tc>
        <w:tc>
          <w:tcPr>
            <w:tcW w:w="2039"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26</w:t>
            </w:r>
          </w:p>
        </w:tc>
      </w:tr>
      <w:tr w:rsidR="001B3767" w:rsidRPr="00C57014" w:rsidTr="00F54983">
        <w:trPr>
          <w:trHeight w:val="227"/>
          <w:jc w:val="center"/>
        </w:trPr>
        <w:tc>
          <w:tcPr>
            <w:tcW w:w="3452" w:type="dxa"/>
            <w:tcBorders>
              <w:top w:val="single" w:sz="2"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Deudores con aplazamiento</w:t>
            </w:r>
          </w:p>
        </w:tc>
        <w:tc>
          <w:tcPr>
            <w:tcW w:w="156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172.628</w:t>
            </w:r>
          </w:p>
        </w:tc>
        <w:tc>
          <w:tcPr>
            <w:tcW w:w="181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259.083</w:t>
            </w:r>
          </w:p>
        </w:tc>
        <w:tc>
          <w:tcPr>
            <w:tcW w:w="2039"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-33</w:t>
            </w:r>
          </w:p>
        </w:tc>
      </w:tr>
      <w:tr w:rsidR="001B3767" w:rsidRPr="00C57014" w:rsidTr="00F54983">
        <w:trPr>
          <w:trHeight w:val="227"/>
          <w:jc w:val="center"/>
        </w:trPr>
        <w:tc>
          <w:tcPr>
            <w:tcW w:w="3452" w:type="dxa"/>
            <w:tcBorders>
              <w:top w:val="single" w:sz="2" w:space="0" w:color="auto"/>
              <w:bottom w:val="single" w:sz="2" w:space="0" w:color="auto"/>
            </w:tcBorders>
            <w:shd w:val="clear" w:color="auto" w:fill="auto"/>
            <w:noWrap/>
            <w:vAlign w:val="center"/>
          </w:tcPr>
          <w:p w:rsidR="001B3767" w:rsidRPr="00C57014" w:rsidRDefault="001B3767" w:rsidP="00C57014">
            <w:pPr>
              <w:pStyle w:val="cuatexto"/>
              <w:jc w:val="left"/>
              <w:rPr>
                <w:szCs w:val="20"/>
              </w:rPr>
            </w:pPr>
            <w:r w:rsidRPr="00C57014">
              <w:rPr>
                <w:szCs w:val="20"/>
              </w:rPr>
              <w:t>Deudores en vía de apremio</w:t>
            </w:r>
          </w:p>
        </w:tc>
        <w:tc>
          <w:tcPr>
            <w:tcW w:w="1560" w:type="dxa"/>
            <w:tcBorders>
              <w:top w:val="single" w:sz="2" w:space="0" w:color="auto"/>
              <w:bottom w:val="single" w:sz="2" w:space="0" w:color="auto"/>
            </w:tcBorders>
            <w:shd w:val="clear" w:color="auto" w:fill="auto"/>
            <w:noWrap/>
            <w:vAlign w:val="center"/>
          </w:tcPr>
          <w:p w:rsidR="001B3767" w:rsidRPr="00C57014" w:rsidRDefault="001B3767" w:rsidP="00C57014">
            <w:pPr>
              <w:pStyle w:val="cuatexto"/>
              <w:jc w:val="right"/>
              <w:rPr>
                <w:szCs w:val="20"/>
              </w:rPr>
            </w:pPr>
            <w:r w:rsidRPr="00C57014">
              <w:rPr>
                <w:szCs w:val="20"/>
              </w:rPr>
              <w:t>514.075</w:t>
            </w:r>
          </w:p>
        </w:tc>
        <w:tc>
          <w:tcPr>
            <w:tcW w:w="1810" w:type="dxa"/>
            <w:tcBorders>
              <w:top w:val="single" w:sz="2" w:space="0" w:color="auto"/>
              <w:bottom w:val="single" w:sz="2" w:space="0" w:color="auto"/>
            </w:tcBorders>
            <w:shd w:val="clear" w:color="auto" w:fill="auto"/>
            <w:noWrap/>
            <w:vAlign w:val="center"/>
          </w:tcPr>
          <w:p w:rsidR="001B3767" w:rsidRPr="00C57014" w:rsidRDefault="001B3767" w:rsidP="00C57014">
            <w:pPr>
              <w:pStyle w:val="cuatexto"/>
              <w:jc w:val="right"/>
              <w:rPr>
                <w:szCs w:val="20"/>
              </w:rPr>
            </w:pPr>
            <w:r w:rsidRPr="00C57014">
              <w:rPr>
                <w:szCs w:val="20"/>
              </w:rPr>
              <w:t>431.600</w:t>
            </w:r>
          </w:p>
        </w:tc>
        <w:tc>
          <w:tcPr>
            <w:tcW w:w="2039" w:type="dxa"/>
            <w:tcBorders>
              <w:top w:val="single" w:sz="2" w:space="0" w:color="auto"/>
              <w:bottom w:val="single" w:sz="2" w:space="0" w:color="auto"/>
            </w:tcBorders>
            <w:shd w:val="clear" w:color="auto" w:fill="auto"/>
            <w:noWrap/>
            <w:vAlign w:val="center"/>
          </w:tcPr>
          <w:p w:rsidR="001B3767" w:rsidRPr="00C57014" w:rsidRDefault="001B3767" w:rsidP="00C57014">
            <w:pPr>
              <w:pStyle w:val="cuatexto"/>
              <w:jc w:val="right"/>
              <w:rPr>
                <w:szCs w:val="20"/>
              </w:rPr>
            </w:pPr>
            <w:r w:rsidRPr="00C57014">
              <w:rPr>
                <w:szCs w:val="20"/>
              </w:rPr>
              <w:t>19</w:t>
            </w:r>
          </w:p>
        </w:tc>
      </w:tr>
      <w:tr w:rsidR="001B3767" w:rsidRPr="00C57014" w:rsidTr="00F54983">
        <w:trPr>
          <w:trHeight w:val="227"/>
          <w:jc w:val="center"/>
        </w:trPr>
        <w:tc>
          <w:tcPr>
            <w:tcW w:w="3452" w:type="dxa"/>
            <w:tcBorders>
              <w:top w:val="single" w:sz="2"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Deudores situaciones especiales</w:t>
            </w:r>
          </w:p>
        </w:tc>
        <w:tc>
          <w:tcPr>
            <w:tcW w:w="156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20.428</w:t>
            </w:r>
          </w:p>
        </w:tc>
        <w:tc>
          <w:tcPr>
            <w:tcW w:w="181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20.234</w:t>
            </w:r>
          </w:p>
        </w:tc>
        <w:tc>
          <w:tcPr>
            <w:tcW w:w="2039"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w:t>
            </w:r>
          </w:p>
        </w:tc>
      </w:tr>
      <w:tr w:rsidR="001B3767" w:rsidRPr="00C57014" w:rsidTr="00F54983">
        <w:trPr>
          <w:trHeight w:val="227"/>
          <w:jc w:val="center"/>
        </w:trPr>
        <w:tc>
          <w:tcPr>
            <w:tcW w:w="3452" w:type="dxa"/>
            <w:tcBorders>
              <w:top w:val="single" w:sz="2"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Intereses y recargos no devengados</w:t>
            </w:r>
          </w:p>
        </w:tc>
        <w:tc>
          <w:tcPr>
            <w:tcW w:w="1560"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-38.337</w:t>
            </w:r>
          </w:p>
        </w:tc>
        <w:tc>
          <w:tcPr>
            <w:tcW w:w="1810" w:type="dxa"/>
            <w:tcBorders>
              <w:top w:val="single" w:sz="2" w:space="0" w:color="auto"/>
              <w:bottom w:val="single" w:sz="2" w:space="0" w:color="auto"/>
            </w:tcBorders>
            <w:noWrap/>
            <w:vAlign w:val="center"/>
          </w:tcPr>
          <w:p w:rsidR="001B3767" w:rsidRPr="00C57014" w:rsidRDefault="000F7B19" w:rsidP="000F7B19">
            <w:pPr>
              <w:pStyle w:val="cuatexto"/>
              <w:jc w:val="right"/>
              <w:rPr>
                <w:szCs w:val="20"/>
              </w:rPr>
            </w:pPr>
            <w:r>
              <w:rPr>
                <w:szCs w:val="20"/>
              </w:rPr>
              <w:t>-</w:t>
            </w:r>
            <w:r w:rsidR="001B3767" w:rsidRPr="00C57014">
              <w:rPr>
                <w:szCs w:val="20"/>
              </w:rPr>
              <w:t>40.207</w:t>
            </w:r>
          </w:p>
        </w:tc>
        <w:tc>
          <w:tcPr>
            <w:tcW w:w="2039" w:type="dxa"/>
            <w:tcBorders>
              <w:top w:val="single" w:sz="2"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-5</w:t>
            </w:r>
          </w:p>
        </w:tc>
      </w:tr>
      <w:tr w:rsidR="001B3767" w:rsidRPr="00C57014" w:rsidTr="00F54983">
        <w:trPr>
          <w:trHeight w:val="227"/>
          <w:jc w:val="center"/>
        </w:trPr>
        <w:tc>
          <w:tcPr>
            <w:tcW w:w="3452" w:type="dxa"/>
            <w:tcBorders>
              <w:top w:val="single" w:sz="2" w:space="0" w:color="auto"/>
              <w:bottom w:val="single" w:sz="4" w:space="0" w:color="auto"/>
            </w:tcBorders>
            <w:noWrap/>
            <w:vAlign w:val="center"/>
          </w:tcPr>
          <w:p w:rsidR="001B3767" w:rsidRPr="00C57014" w:rsidRDefault="001B3767" w:rsidP="00C57014">
            <w:pPr>
              <w:pStyle w:val="cuatexto"/>
              <w:jc w:val="left"/>
              <w:rPr>
                <w:szCs w:val="20"/>
              </w:rPr>
            </w:pPr>
            <w:r w:rsidRPr="00C57014">
              <w:rPr>
                <w:szCs w:val="20"/>
              </w:rPr>
              <w:t>Cobros y remesas pendientes aplicación</w:t>
            </w:r>
          </w:p>
        </w:tc>
        <w:tc>
          <w:tcPr>
            <w:tcW w:w="1560" w:type="dxa"/>
            <w:tcBorders>
              <w:top w:val="single" w:sz="2" w:space="0" w:color="auto"/>
              <w:bottom w:val="single" w:sz="4" w:space="0" w:color="auto"/>
            </w:tcBorders>
            <w:noWrap/>
            <w:vAlign w:val="center"/>
          </w:tcPr>
          <w:p w:rsidR="001B3767" w:rsidRPr="00C57014" w:rsidRDefault="001B3767" w:rsidP="00C57014">
            <w:pPr>
              <w:pStyle w:val="cuatexto"/>
              <w:jc w:val="right"/>
              <w:rPr>
                <w:szCs w:val="20"/>
              </w:rPr>
            </w:pPr>
            <w:r w:rsidRPr="00C57014">
              <w:rPr>
                <w:szCs w:val="20"/>
              </w:rPr>
              <w:t>-1.120</w:t>
            </w:r>
          </w:p>
        </w:tc>
        <w:tc>
          <w:tcPr>
            <w:tcW w:w="1810" w:type="dxa"/>
            <w:tcBorders>
              <w:top w:val="single" w:sz="2" w:space="0" w:color="auto"/>
              <w:bottom w:val="single" w:sz="4" w:space="0" w:color="auto"/>
            </w:tcBorders>
            <w:noWrap/>
            <w:vAlign w:val="center"/>
          </w:tcPr>
          <w:p w:rsidR="001B3767" w:rsidRPr="00C57014" w:rsidRDefault="000F7B19" w:rsidP="00C57014">
            <w:pPr>
              <w:pStyle w:val="cuatexto"/>
              <w:jc w:val="right"/>
              <w:rPr>
                <w:szCs w:val="20"/>
              </w:rPr>
            </w:pPr>
            <w:r>
              <w:rPr>
                <w:szCs w:val="20"/>
              </w:rPr>
              <w:t>-1.064</w:t>
            </w:r>
          </w:p>
        </w:tc>
        <w:tc>
          <w:tcPr>
            <w:tcW w:w="2039" w:type="dxa"/>
            <w:tcBorders>
              <w:top w:val="single" w:sz="2" w:space="0" w:color="auto"/>
              <w:bottom w:val="single" w:sz="4" w:space="0" w:color="auto"/>
            </w:tcBorders>
            <w:noWrap/>
            <w:vAlign w:val="center"/>
          </w:tcPr>
          <w:p w:rsidR="001B3767" w:rsidRPr="00C57014" w:rsidRDefault="001B3767" w:rsidP="00C57014">
            <w:pPr>
              <w:pStyle w:val="cuatexto"/>
              <w:jc w:val="right"/>
              <w:rPr>
                <w:szCs w:val="20"/>
              </w:rPr>
            </w:pPr>
            <w:r w:rsidRPr="00C57014">
              <w:rPr>
                <w:szCs w:val="20"/>
              </w:rPr>
              <w:t>5</w:t>
            </w:r>
          </w:p>
        </w:tc>
      </w:tr>
      <w:tr w:rsidR="001B3767" w:rsidRPr="00C57014" w:rsidTr="00F54983">
        <w:trPr>
          <w:trHeight w:val="227"/>
          <w:jc w:val="center"/>
        </w:trPr>
        <w:tc>
          <w:tcPr>
            <w:tcW w:w="3452" w:type="dxa"/>
            <w:tcBorders>
              <w:top w:val="single" w:sz="4" w:space="0" w:color="auto"/>
              <w:bottom w:val="single" w:sz="4" w:space="0" w:color="auto"/>
            </w:tcBorders>
            <w:noWrap/>
            <w:vAlign w:val="center"/>
          </w:tcPr>
          <w:p w:rsidR="001B3767" w:rsidRPr="00C57014" w:rsidRDefault="001B3767" w:rsidP="00C57014">
            <w:pPr>
              <w:pStyle w:val="cuatexto"/>
              <w:jc w:val="left"/>
              <w:rPr>
                <w:b/>
                <w:szCs w:val="20"/>
              </w:rPr>
            </w:pPr>
            <w:r w:rsidRPr="00C57014">
              <w:rPr>
                <w:b/>
                <w:szCs w:val="20"/>
              </w:rPr>
              <w:t>Total deudores presupuestarios</w:t>
            </w:r>
          </w:p>
        </w:tc>
        <w:tc>
          <w:tcPr>
            <w:tcW w:w="1560" w:type="dxa"/>
            <w:tcBorders>
              <w:top w:val="single" w:sz="4" w:space="0" w:color="auto"/>
              <w:bottom w:val="single" w:sz="4" w:space="0" w:color="auto"/>
            </w:tcBorders>
            <w:noWrap/>
            <w:vAlign w:val="center"/>
          </w:tcPr>
          <w:p w:rsidR="001B3767" w:rsidRPr="00C57014" w:rsidRDefault="001B3767" w:rsidP="00C57014">
            <w:pPr>
              <w:pStyle w:val="cuatexto"/>
              <w:jc w:val="right"/>
              <w:rPr>
                <w:b/>
                <w:szCs w:val="20"/>
              </w:rPr>
            </w:pPr>
            <w:r w:rsidRPr="00C57014">
              <w:rPr>
                <w:b/>
                <w:szCs w:val="20"/>
              </w:rPr>
              <w:fldChar w:fldCharType="begin"/>
            </w:r>
            <w:r w:rsidRPr="00C57014">
              <w:rPr>
                <w:b/>
                <w:szCs w:val="20"/>
              </w:rPr>
              <w:instrText xml:space="preserve"> =SUM(ABOVE) </w:instrText>
            </w:r>
            <w:r w:rsidRPr="00C57014">
              <w:rPr>
                <w:b/>
                <w:szCs w:val="20"/>
              </w:rPr>
              <w:fldChar w:fldCharType="separate"/>
            </w:r>
            <w:r w:rsidRPr="00C57014">
              <w:rPr>
                <w:b/>
                <w:szCs w:val="20"/>
              </w:rPr>
              <w:t>834.531</w:t>
            </w:r>
            <w:r w:rsidRPr="00C57014">
              <w:rPr>
                <w:b/>
                <w:szCs w:val="20"/>
              </w:rPr>
              <w:fldChar w:fldCharType="end"/>
            </w:r>
          </w:p>
        </w:tc>
        <w:tc>
          <w:tcPr>
            <w:tcW w:w="1810" w:type="dxa"/>
            <w:tcBorders>
              <w:top w:val="single" w:sz="4" w:space="0" w:color="auto"/>
              <w:bottom w:val="single" w:sz="4" w:space="0" w:color="auto"/>
            </w:tcBorders>
            <w:noWrap/>
            <w:vAlign w:val="center"/>
          </w:tcPr>
          <w:p w:rsidR="001B3767" w:rsidRPr="00C57014" w:rsidRDefault="001B3767" w:rsidP="00C57014">
            <w:pPr>
              <w:pStyle w:val="cuatexto"/>
              <w:jc w:val="right"/>
              <w:rPr>
                <w:b/>
                <w:szCs w:val="20"/>
              </w:rPr>
            </w:pPr>
            <w:r w:rsidRPr="00C57014">
              <w:rPr>
                <w:b/>
                <w:szCs w:val="20"/>
              </w:rPr>
              <w:t>806.145</w:t>
            </w:r>
          </w:p>
        </w:tc>
        <w:tc>
          <w:tcPr>
            <w:tcW w:w="2039" w:type="dxa"/>
            <w:tcBorders>
              <w:top w:val="single" w:sz="4" w:space="0" w:color="auto"/>
              <w:bottom w:val="single" w:sz="4" w:space="0" w:color="auto"/>
            </w:tcBorders>
            <w:noWrap/>
            <w:vAlign w:val="center"/>
          </w:tcPr>
          <w:p w:rsidR="001B3767" w:rsidRPr="00C57014" w:rsidRDefault="001B3767" w:rsidP="00C57014">
            <w:pPr>
              <w:pStyle w:val="cuatexto"/>
              <w:jc w:val="right"/>
              <w:rPr>
                <w:b/>
                <w:szCs w:val="20"/>
              </w:rPr>
            </w:pPr>
            <w:r w:rsidRPr="00C57014">
              <w:rPr>
                <w:b/>
                <w:szCs w:val="20"/>
              </w:rPr>
              <w:t>4</w:t>
            </w:r>
          </w:p>
        </w:tc>
      </w:tr>
      <w:tr w:rsidR="001B3767" w:rsidRPr="00C57014" w:rsidTr="00F54983">
        <w:trPr>
          <w:trHeight w:val="227"/>
          <w:jc w:val="center"/>
        </w:trPr>
        <w:tc>
          <w:tcPr>
            <w:tcW w:w="3452" w:type="dxa"/>
            <w:tcBorders>
              <w:top w:val="single" w:sz="4" w:space="0" w:color="auto"/>
              <w:bottom w:val="single" w:sz="2" w:space="0" w:color="auto"/>
            </w:tcBorders>
            <w:noWrap/>
            <w:vAlign w:val="center"/>
          </w:tcPr>
          <w:p w:rsidR="001B3767" w:rsidRPr="00C57014" w:rsidRDefault="001B3767" w:rsidP="00C57014">
            <w:pPr>
              <w:pStyle w:val="cuatexto"/>
              <w:jc w:val="left"/>
              <w:rPr>
                <w:szCs w:val="20"/>
              </w:rPr>
            </w:pPr>
            <w:r w:rsidRPr="00C57014">
              <w:rPr>
                <w:szCs w:val="20"/>
              </w:rPr>
              <w:t>Otros deudores</w:t>
            </w:r>
          </w:p>
        </w:tc>
        <w:tc>
          <w:tcPr>
            <w:tcW w:w="1560" w:type="dxa"/>
            <w:tcBorders>
              <w:top w:val="single" w:sz="4" w:space="0" w:color="auto"/>
              <w:bottom w:val="single" w:sz="2" w:space="0" w:color="auto"/>
            </w:tcBorders>
            <w:noWrap/>
            <w:vAlign w:val="center"/>
          </w:tcPr>
          <w:p w:rsidR="001B3767" w:rsidRPr="00C57014" w:rsidRDefault="00E16050" w:rsidP="00C57014">
            <w:pPr>
              <w:pStyle w:val="cuatexto"/>
              <w:jc w:val="right"/>
              <w:rPr>
                <w:szCs w:val="20"/>
              </w:rPr>
            </w:pPr>
            <w:r>
              <w:rPr>
                <w:szCs w:val="20"/>
              </w:rPr>
              <w:t>32.314</w:t>
            </w:r>
          </w:p>
        </w:tc>
        <w:tc>
          <w:tcPr>
            <w:tcW w:w="1810" w:type="dxa"/>
            <w:tcBorders>
              <w:top w:val="single" w:sz="4" w:space="0" w:color="auto"/>
              <w:bottom w:val="single" w:sz="2" w:space="0" w:color="auto"/>
            </w:tcBorders>
            <w:noWrap/>
            <w:vAlign w:val="center"/>
          </w:tcPr>
          <w:p w:rsidR="001B3767" w:rsidRPr="00C57014" w:rsidRDefault="00E16050" w:rsidP="00C57014">
            <w:pPr>
              <w:pStyle w:val="cuatexto"/>
              <w:jc w:val="right"/>
              <w:rPr>
                <w:szCs w:val="20"/>
              </w:rPr>
            </w:pPr>
            <w:r>
              <w:rPr>
                <w:szCs w:val="20"/>
              </w:rPr>
              <w:t>19.760</w:t>
            </w:r>
          </w:p>
        </w:tc>
        <w:tc>
          <w:tcPr>
            <w:tcW w:w="2039" w:type="dxa"/>
            <w:tcBorders>
              <w:top w:val="single" w:sz="4" w:space="0" w:color="auto"/>
              <w:bottom w:val="single" w:sz="2" w:space="0" w:color="auto"/>
            </w:tcBorders>
            <w:noWrap/>
            <w:vAlign w:val="center"/>
          </w:tcPr>
          <w:p w:rsidR="001B3767" w:rsidRPr="00C57014" w:rsidRDefault="001B3767" w:rsidP="00C57014">
            <w:pPr>
              <w:pStyle w:val="cuatexto"/>
              <w:jc w:val="right"/>
              <w:rPr>
                <w:szCs w:val="20"/>
              </w:rPr>
            </w:pPr>
            <w:r w:rsidRPr="00C57014">
              <w:rPr>
                <w:szCs w:val="20"/>
              </w:rPr>
              <w:t>122</w:t>
            </w:r>
          </w:p>
        </w:tc>
      </w:tr>
      <w:tr w:rsidR="001B3767" w:rsidRPr="00C57014" w:rsidTr="00F54983">
        <w:trPr>
          <w:trHeight w:val="227"/>
          <w:jc w:val="center"/>
        </w:trPr>
        <w:tc>
          <w:tcPr>
            <w:tcW w:w="3452" w:type="dxa"/>
            <w:tcBorders>
              <w:top w:val="single" w:sz="2" w:space="0" w:color="auto"/>
              <w:bottom w:val="single" w:sz="4" w:space="0" w:color="auto"/>
            </w:tcBorders>
            <w:noWrap/>
            <w:vAlign w:val="center"/>
          </w:tcPr>
          <w:p w:rsidR="001B3767" w:rsidRPr="00C57014" w:rsidRDefault="001B3767" w:rsidP="00C57014">
            <w:pPr>
              <w:pStyle w:val="cuatexto"/>
              <w:jc w:val="left"/>
              <w:rPr>
                <w:szCs w:val="20"/>
              </w:rPr>
            </w:pPr>
            <w:r w:rsidRPr="00C57014">
              <w:rPr>
                <w:szCs w:val="20"/>
              </w:rPr>
              <w:t>Provisión para insolvencias</w:t>
            </w:r>
          </w:p>
        </w:tc>
        <w:tc>
          <w:tcPr>
            <w:tcW w:w="1560" w:type="dxa"/>
            <w:tcBorders>
              <w:top w:val="single" w:sz="2" w:space="0" w:color="auto"/>
              <w:bottom w:val="single" w:sz="4" w:space="0" w:color="auto"/>
            </w:tcBorders>
            <w:noWrap/>
            <w:vAlign w:val="center"/>
          </w:tcPr>
          <w:p w:rsidR="001B3767" w:rsidRPr="00C57014" w:rsidRDefault="001B3767" w:rsidP="00C57014">
            <w:pPr>
              <w:pStyle w:val="cuatexto"/>
              <w:jc w:val="right"/>
              <w:rPr>
                <w:szCs w:val="20"/>
              </w:rPr>
            </w:pPr>
            <w:r w:rsidRPr="00C57014">
              <w:rPr>
                <w:szCs w:val="20"/>
              </w:rPr>
              <w:t>-528.650</w:t>
            </w:r>
          </w:p>
        </w:tc>
        <w:tc>
          <w:tcPr>
            <w:tcW w:w="1810" w:type="dxa"/>
            <w:tcBorders>
              <w:top w:val="single" w:sz="2" w:space="0" w:color="auto"/>
              <w:bottom w:val="single" w:sz="4" w:space="0" w:color="auto"/>
            </w:tcBorders>
            <w:noWrap/>
            <w:vAlign w:val="center"/>
          </w:tcPr>
          <w:p w:rsidR="001B3767" w:rsidRPr="00C57014" w:rsidRDefault="000F7B19" w:rsidP="000F7B19">
            <w:pPr>
              <w:pStyle w:val="cuatexto"/>
              <w:jc w:val="right"/>
              <w:rPr>
                <w:szCs w:val="20"/>
              </w:rPr>
            </w:pPr>
            <w:r>
              <w:rPr>
                <w:szCs w:val="20"/>
              </w:rPr>
              <w:t>-</w:t>
            </w:r>
            <w:r w:rsidR="001B3767" w:rsidRPr="00C57014">
              <w:rPr>
                <w:szCs w:val="20"/>
              </w:rPr>
              <w:t>496.013</w:t>
            </w:r>
          </w:p>
        </w:tc>
        <w:tc>
          <w:tcPr>
            <w:tcW w:w="2039" w:type="dxa"/>
            <w:tcBorders>
              <w:top w:val="single" w:sz="2" w:space="0" w:color="auto"/>
              <w:bottom w:val="single" w:sz="4" w:space="0" w:color="auto"/>
            </w:tcBorders>
            <w:noWrap/>
            <w:vAlign w:val="center"/>
          </w:tcPr>
          <w:p w:rsidR="001B3767" w:rsidRPr="00C57014" w:rsidRDefault="001B3767" w:rsidP="00C57014">
            <w:pPr>
              <w:pStyle w:val="cuatexto"/>
              <w:jc w:val="right"/>
              <w:rPr>
                <w:szCs w:val="20"/>
              </w:rPr>
            </w:pPr>
            <w:r w:rsidRPr="00C57014">
              <w:rPr>
                <w:szCs w:val="20"/>
              </w:rPr>
              <w:t>7</w:t>
            </w:r>
          </w:p>
        </w:tc>
      </w:tr>
      <w:tr w:rsidR="001B3767" w:rsidRPr="001639F7" w:rsidTr="00F54983">
        <w:trPr>
          <w:trHeight w:val="284"/>
          <w:jc w:val="center"/>
        </w:trPr>
        <w:tc>
          <w:tcPr>
            <w:tcW w:w="3452" w:type="dxa"/>
            <w:tcBorders>
              <w:top w:val="single" w:sz="4" w:space="0" w:color="auto"/>
              <w:bottom w:val="single" w:sz="4" w:space="0" w:color="auto"/>
            </w:tcBorders>
            <w:shd w:val="clear" w:color="auto" w:fill="8DB3E2" w:themeFill="text2" w:themeFillTint="66"/>
            <w:noWrap/>
            <w:vAlign w:val="center"/>
          </w:tcPr>
          <w:p w:rsidR="001B3767" w:rsidRPr="00C57014" w:rsidRDefault="001B3767" w:rsidP="000E2288">
            <w:pPr>
              <w:pStyle w:val="cuadroCabe"/>
              <w:jc w:val="left"/>
            </w:pPr>
            <w:r w:rsidRPr="00C57014">
              <w:t>Total deudores</w:t>
            </w:r>
          </w:p>
        </w:tc>
        <w:tc>
          <w:tcPr>
            <w:tcW w:w="1560" w:type="dxa"/>
            <w:tcBorders>
              <w:top w:val="single" w:sz="4" w:space="0" w:color="auto"/>
              <w:bottom w:val="single" w:sz="4" w:space="0" w:color="auto"/>
            </w:tcBorders>
            <w:shd w:val="clear" w:color="auto" w:fill="8DB3E2" w:themeFill="text2" w:themeFillTint="66"/>
            <w:noWrap/>
            <w:vAlign w:val="center"/>
          </w:tcPr>
          <w:p w:rsidR="001B3767" w:rsidRPr="00C57014" w:rsidRDefault="000F7B19" w:rsidP="00E16050">
            <w:pPr>
              <w:pStyle w:val="cuadroCabe"/>
              <w:jc w:val="right"/>
            </w:pPr>
            <w:r>
              <w:t>338.195</w:t>
            </w:r>
          </w:p>
        </w:tc>
        <w:tc>
          <w:tcPr>
            <w:tcW w:w="1810" w:type="dxa"/>
            <w:tcBorders>
              <w:top w:val="single" w:sz="4" w:space="0" w:color="auto"/>
              <w:bottom w:val="single" w:sz="4" w:space="0" w:color="auto"/>
            </w:tcBorders>
            <w:shd w:val="clear" w:color="auto" w:fill="8DB3E2" w:themeFill="text2" w:themeFillTint="66"/>
            <w:noWrap/>
            <w:vAlign w:val="center"/>
          </w:tcPr>
          <w:p w:rsidR="001B3767" w:rsidRPr="00C57014" w:rsidRDefault="00E16050" w:rsidP="00C57014">
            <w:pPr>
              <w:pStyle w:val="cuadroCabe"/>
              <w:jc w:val="right"/>
            </w:pPr>
            <w:r>
              <w:t>329.892</w:t>
            </w:r>
          </w:p>
        </w:tc>
        <w:tc>
          <w:tcPr>
            <w:tcW w:w="2039" w:type="dxa"/>
            <w:tcBorders>
              <w:top w:val="single" w:sz="4" w:space="0" w:color="auto"/>
              <w:bottom w:val="single" w:sz="4" w:space="0" w:color="auto"/>
            </w:tcBorders>
            <w:shd w:val="clear" w:color="auto" w:fill="8DB3E2" w:themeFill="text2" w:themeFillTint="66"/>
            <w:noWrap/>
            <w:vAlign w:val="center"/>
          </w:tcPr>
          <w:p w:rsidR="001B3767" w:rsidRPr="00C57014" w:rsidRDefault="001B3767" w:rsidP="00C57014">
            <w:pPr>
              <w:pStyle w:val="cuadroCabe"/>
              <w:jc w:val="right"/>
            </w:pPr>
            <w:r w:rsidRPr="00C57014">
              <w:t>4</w:t>
            </w:r>
          </w:p>
        </w:tc>
      </w:tr>
    </w:tbl>
    <w:p w:rsidR="001B3767" w:rsidRPr="00334E6A" w:rsidRDefault="001B3767" w:rsidP="00C57014">
      <w:pPr>
        <w:pStyle w:val="texto"/>
        <w:spacing w:before="260"/>
      </w:pPr>
      <w:bookmarkStart w:id="79" w:name="_Toc305415966"/>
      <w:bookmarkStart w:id="80" w:name="_Toc305480484"/>
      <w:r w:rsidRPr="00334E6A">
        <w:t>En el ejercicio 2014 se contabilizó una pérdida de 21,01 millones de euros</w:t>
      </w:r>
      <w:r w:rsidR="005012B0">
        <w:t>,</w:t>
      </w:r>
      <w:r w:rsidRPr="00334E6A">
        <w:t xml:space="preserve"> que </w:t>
      </w:r>
      <w:r w:rsidRPr="00C8121E">
        <w:t>corresponde a derechos prescritos</w:t>
      </w:r>
      <w:r w:rsidR="005012B0">
        <w:t>,</w:t>
      </w:r>
      <w:r w:rsidR="000F7B19">
        <w:t xml:space="preserve"> en la cuenta de </w:t>
      </w:r>
      <w:r w:rsidR="000F7B19" w:rsidRPr="00334E6A">
        <w:t>beneficio por modific</w:t>
      </w:r>
      <w:r w:rsidR="000F7B19" w:rsidRPr="00334E6A">
        <w:t>a</w:t>
      </w:r>
      <w:r w:rsidR="000F7B19" w:rsidRPr="00334E6A">
        <w:t>ción de derechos presupuestarios de</w:t>
      </w:r>
      <w:r w:rsidR="000F7B19">
        <w:t xml:space="preserve"> ejercicios</w:t>
      </w:r>
      <w:r w:rsidR="000F7B19" w:rsidRPr="00334E6A">
        <w:t xml:space="preserve"> cerrados</w:t>
      </w:r>
    </w:p>
    <w:p w:rsidR="001B3767" w:rsidRPr="00A312C1" w:rsidRDefault="001B3767" w:rsidP="00EE77A7">
      <w:pPr>
        <w:pStyle w:val="texto"/>
        <w:spacing w:before="240" w:after="180"/>
        <w:rPr>
          <w:rFonts w:ascii="Arial" w:hAnsi="Arial" w:cs="Arial"/>
          <w:i/>
          <w:sz w:val="24"/>
        </w:rPr>
      </w:pPr>
      <w:r w:rsidRPr="00A312C1">
        <w:rPr>
          <w:rFonts w:ascii="Arial" w:hAnsi="Arial" w:cs="Arial"/>
          <w:i/>
          <w:sz w:val="24"/>
        </w:rPr>
        <w:t>Deudores presupuestarios</w:t>
      </w:r>
    </w:p>
    <w:p w:rsidR="001B3767" w:rsidRPr="006D43A7" w:rsidRDefault="001B3767" w:rsidP="001B3767">
      <w:pPr>
        <w:pStyle w:val="texto"/>
        <w:rPr>
          <w:lang w:val="es-ES"/>
        </w:rPr>
      </w:pPr>
      <w:r w:rsidRPr="006D43A7">
        <w:rPr>
          <w:lang w:val="es-ES"/>
        </w:rPr>
        <w:t>Los deudores presupuestarios corresponden a deudores tributarios en situ</w:t>
      </w:r>
      <w:r w:rsidRPr="006D43A7">
        <w:rPr>
          <w:lang w:val="es-ES"/>
        </w:rPr>
        <w:t>a</w:t>
      </w:r>
      <w:r w:rsidRPr="006D43A7">
        <w:rPr>
          <w:lang w:val="es-ES"/>
        </w:rPr>
        <w:t>ción de gestión ordinaria, en vía de apremio o con aplazamiento de su deuda tributaria, A 31 de diciembre de 2014 su saldo era de 834,53 millones de euros y el 63 por ciento del mismo estaba provisionado por insolvencias. La prov</w:t>
      </w:r>
      <w:r w:rsidRPr="006D43A7">
        <w:rPr>
          <w:lang w:val="es-ES"/>
        </w:rPr>
        <w:t>i</w:t>
      </w:r>
      <w:r w:rsidRPr="006D43A7">
        <w:rPr>
          <w:lang w:val="es-ES"/>
        </w:rPr>
        <w:t>sión se descuenta del remanente de tesorería.</w:t>
      </w:r>
    </w:p>
    <w:p w:rsidR="001B3767" w:rsidRPr="006D43A7" w:rsidRDefault="001B3767" w:rsidP="001B3767">
      <w:pPr>
        <w:pStyle w:val="texto"/>
        <w:rPr>
          <w:lang w:val="es-ES"/>
        </w:rPr>
      </w:pPr>
      <w:r w:rsidRPr="006D43A7">
        <w:rPr>
          <w:lang w:val="es-ES"/>
        </w:rPr>
        <w:t>La gestión de la liquidación, recaudación y devolución de los tributos y de algunos otros ingresos de derecho público, tales como intereses y recargos, se realiza a través de la aplicación informática de Contabilidad auxiliar de terceros (CAT), cuya información se traspasa a la aplicación informática de contabil</w:t>
      </w:r>
      <w:r w:rsidRPr="006D43A7">
        <w:rPr>
          <w:lang w:val="es-ES"/>
        </w:rPr>
        <w:t>i</w:t>
      </w:r>
      <w:r w:rsidRPr="006D43A7">
        <w:rPr>
          <w:lang w:val="es-ES"/>
        </w:rPr>
        <w:t xml:space="preserve">dad G-21. </w:t>
      </w:r>
    </w:p>
    <w:p w:rsidR="001B3767" w:rsidRPr="006D43A7" w:rsidRDefault="001B3767" w:rsidP="001B3767">
      <w:pPr>
        <w:pStyle w:val="texto"/>
        <w:rPr>
          <w:lang w:val="es-ES"/>
        </w:rPr>
      </w:pPr>
      <w:r w:rsidRPr="006D43A7">
        <w:rPr>
          <w:lang w:val="es-ES"/>
        </w:rPr>
        <w:t>La liquidación presupuestaria y el balance de situación no recogen correct</w:t>
      </w:r>
      <w:r w:rsidRPr="006D43A7">
        <w:rPr>
          <w:lang w:val="es-ES"/>
        </w:rPr>
        <w:t>a</w:t>
      </w:r>
      <w:r w:rsidRPr="006D43A7">
        <w:rPr>
          <w:lang w:val="es-ES"/>
        </w:rPr>
        <w:t>mente toda la información tributaria de CAT. Así, no se distingue entre deud</w:t>
      </w:r>
      <w:r w:rsidRPr="006D43A7">
        <w:rPr>
          <w:lang w:val="es-ES"/>
        </w:rPr>
        <w:t>o</w:t>
      </w:r>
      <w:r w:rsidRPr="006D43A7">
        <w:rPr>
          <w:lang w:val="es-ES"/>
        </w:rPr>
        <w:t>res de ejercicios corrientes y cerrados ni tampoco se anulan los derechos rec</w:t>
      </w:r>
      <w:r w:rsidRPr="006D43A7">
        <w:rPr>
          <w:lang w:val="es-ES"/>
        </w:rPr>
        <w:t>o</w:t>
      </w:r>
      <w:r w:rsidRPr="006D43A7">
        <w:rPr>
          <w:lang w:val="es-ES"/>
        </w:rPr>
        <w:t xml:space="preserve">nocidos correspondientes a los deudores a los que se concede aplazamiento de la deuda, contrariamente a los criterios establecidos en el Plan </w:t>
      </w:r>
      <w:r w:rsidR="00E16050">
        <w:rPr>
          <w:lang w:val="es-ES"/>
        </w:rPr>
        <w:t>General de Co</w:t>
      </w:r>
      <w:r w:rsidR="00E16050">
        <w:rPr>
          <w:lang w:val="es-ES"/>
        </w:rPr>
        <w:t>n</w:t>
      </w:r>
      <w:r w:rsidR="00E16050">
        <w:rPr>
          <w:lang w:val="es-ES"/>
        </w:rPr>
        <w:t>tabilidad Pública vigente.</w:t>
      </w:r>
    </w:p>
    <w:p w:rsidR="001B3767" w:rsidRPr="006D43A7" w:rsidRDefault="001B3767" w:rsidP="001B3767">
      <w:pPr>
        <w:pStyle w:val="texto"/>
        <w:rPr>
          <w:lang w:val="es-ES"/>
        </w:rPr>
      </w:pPr>
      <w:r w:rsidRPr="006D43A7">
        <w:rPr>
          <w:lang w:val="es-ES"/>
        </w:rPr>
        <w:t>Los deudores no se recogen en el balance conforme a la clasificación est</w:t>
      </w:r>
      <w:r w:rsidRPr="006D43A7">
        <w:rPr>
          <w:lang w:val="es-ES"/>
        </w:rPr>
        <w:t>a</w:t>
      </w:r>
      <w:r w:rsidRPr="006D43A7">
        <w:rPr>
          <w:lang w:val="es-ES"/>
        </w:rPr>
        <w:t xml:space="preserve">blecida en el Plan General de Contabilidad Pública, ni tampoco los intereses y recargos no </w:t>
      </w:r>
      <w:r w:rsidR="00DA7329">
        <w:rPr>
          <w:lang w:val="es-ES"/>
        </w:rPr>
        <w:t>liquidados</w:t>
      </w:r>
      <w:r w:rsidRPr="006D43A7">
        <w:rPr>
          <w:lang w:val="es-ES"/>
        </w:rPr>
        <w:t xml:space="preserve"> y los cobros pendientes de aplicación que se descuentan del saldo de deudores y debieran registrarse en el pasivo del balance como i</w:t>
      </w:r>
      <w:r w:rsidRPr="006D43A7">
        <w:rPr>
          <w:lang w:val="es-ES"/>
        </w:rPr>
        <w:t>n</w:t>
      </w:r>
      <w:r w:rsidRPr="006D43A7">
        <w:rPr>
          <w:lang w:val="es-ES"/>
        </w:rPr>
        <w:t>gresos anticipados y acreedores, respectivamente.</w:t>
      </w:r>
    </w:p>
    <w:p w:rsidR="001B3767" w:rsidRPr="006D43A7" w:rsidRDefault="001B3767" w:rsidP="006D43A7">
      <w:pPr>
        <w:pStyle w:val="texto"/>
        <w:rPr>
          <w:lang w:val="es-ES"/>
        </w:rPr>
      </w:pPr>
      <w:r w:rsidRPr="006D43A7">
        <w:rPr>
          <w:lang w:val="es-ES"/>
        </w:rPr>
        <w:lastRenderedPageBreak/>
        <w:t>En el pasivo del balance, dentro de los acreedores presupuestarios se regi</w:t>
      </w:r>
      <w:r w:rsidRPr="006D43A7">
        <w:rPr>
          <w:lang w:val="es-ES"/>
        </w:rPr>
        <w:t>s</w:t>
      </w:r>
      <w:r w:rsidRPr="006D43A7">
        <w:rPr>
          <w:lang w:val="es-ES"/>
        </w:rPr>
        <w:t>tran las devoluciones de tributos pendientes de ordenar el pago, el 93 por ciento de las cuales corresponde a devoluciones de impuestos de IVA, sociedades e IRPF. Este saldo está soportado en CAT y se incorpora con un apunte global al balance.</w:t>
      </w:r>
    </w:p>
    <w:p w:rsidR="001B3767" w:rsidRPr="006D43A7" w:rsidRDefault="001B3767" w:rsidP="001B3767">
      <w:pPr>
        <w:pStyle w:val="texto"/>
        <w:rPr>
          <w:lang w:val="es-ES"/>
        </w:rPr>
      </w:pPr>
      <w:r w:rsidRPr="006D43A7">
        <w:rPr>
          <w:lang w:val="es-ES"/>
        </w:rPr>
        <w:t xml:space="preserve">El balance de situación de la cuenta general se </w:t>
      </w:r>
      <w:r w:rsidR="00572EE5">
        <w:rPr>
          <w:lang w:val="es-ES"/>
        </w:rPr>
        <w:t>obtiene</w:t>
      </w:r>
      <w:r w:rsidRPr="006D43A7">
        <w:rPr>
          <w:lang w:val="es-ES"/>
        </w:rPr>
        <w:t xml:space="preserve"> a partir del balance de situación de la aplicación informática de contabilidad</w:t>
      </w:r>
      <w:r w:rsidR="00572EE5">
        <w:rPr>
          <w:lang w:val="es-ES"/>
        </w:rPr>
        <w:t xml:space="preserve">, </w:t>
      </w:r>
      <w:r w:rsidR="00737325">
        <w:rPr>
          <w:lang w:val="es-ES"/>
        </w:rPr>
        <w:t>practicando</w:t>
      </w:r>
      <w:r w:rsidR="00572EE5">
        <w:rPr>
          <w:lang w:val="es-ES"/>
        </w:rPr>
        <w:t xml:space="preserve"> un ajuste e</w:t>
      </w:r>
      <w:r w:rsidR="00572EE5">
        <w:rPr>
          <w:lang w:val="es-ES"/>
        </w:rPr>
        <w:t>x</w:t>
      </w:r>
      <w:r w:rsidR="00572EE5">
        <w:rPr>
          <w:lang w:val="es-ES"/>
        </w:rPr>
        <w:t>tracontable</w:t>
      </w:r>
      <w:r w:rsidR="00737325">
        <w:rPr>
          <w:lang w:val="es-ES"/>
        </w:rPr>
        <w:t xml:space="preserve"> con</w:t>
      </w:r>
      <w:r w:rsidRPr="006D43A7">
        <w:rPr>
          <w:lang w:val="es-ES"/>
        </w:rPr>
        <w:t xml:space="preserve"> la información tributaria de CAT sobre deudores y acreedores.</w:t>
      </w:r>
    </w:p>
    <w:p w:rsidR="001B3767" w:rsidRPr="00A312C1" w:rsidRDefault="001B3767" w:rsidP="00EE77A7">
      <w:pPr>
        <w:pStyle w:val="texto"/>
        <w:spacing w:before="240" w:after="180"/>
        <w:rPr>
          <w:rFonts w:ascii="Arial" w:hAnsi="Arial" w:cs="Arial"/>
          <w:i/>
          <w:sz w:val="24"/>
        </w:rPr>
      </w:pPr>
      <w:r w:rsidRPr="00A312C1">
        <w:rPr>
          <w:rFonts w:ascii="Arial" w:hAnsi="Arial" w:cs="Arial"/>
          <w:i/>
          <w:sz w:val="24"/>
        </w:rPr>
        <w:t>Otros deudores</w:t>
      </w:r>
    </w:p>
    <w:p w:rsidR="001B3767" w:rsidRPr="006D43A7" w:rsidRDefault="001B3767" w:rsidP="001B3767">
      <w:pPr>
        <w:pStyle w:val="texto"/>
        <w:rPr>
          <w:lang w:val="es-ES"/>
        </w:rPr>
      </w:pPr>
      <w:r w:rsidRPr="006D43A7">
        <w:rPr>
          <w:lang w:val="es-ES"/>
        </w:rPr>
        <w:t>En este grupo se incluyen 16,79 millones en concepto de deudores no pres</w:t>
      </w:r>
      <w:r w:rsidRPr="006D43A7">
        <w:rPr>
          <w:lang w:val="es-ES"/>
        </w:rPr>
        <w:t>u</w:t>
      </w:r>
      <w:r w:rsidRPr="006D43A7">
        <w:rPr>
          <w:lang w:val="es-ES"/>
        </w:rPr>
        <w:t xml:space="preserve">puestarios </w:t>
      </w:r>
      <w:r w:rsidR="000F7B19">
        <w:rPr>
          <w:lang w:val="es-ES"/>
        </w:rPr>
        <w:t xml:space="preserve">a corto plazo </w:t>
      </w:r>
      <w:r w:rsidRPr="006D43A7">
        <w:rPr>
          <w:lang w:val="es-ES"/>
        </w:rPr>
        <w:t>de la entidad pública estatal ADIF por las obras del Tren de alta velocidad.</w:t>
      </w:r>
    </w:p>
    <w:p w:rsidR="001B3767" w:rsidRPr="006D43A7" w:rsidRDefault="001B3767" w:rsidP="00EE77A7">
      <w:pPr>
        <w:pStyle w:val="texto"/>
        <w:spacing w:after="300"/>
        <w:rPr>
          <w:lang w:val="es-ES"/>
        </w:rPr>
      </w:pPr>
      <w:r w:rsidRPr="006D43A7">
        <w:rPr>
          <w:lang w:val="es-ES"/>
        </w:rPr>
        <w:t xml:space="preserve">El saldo de la cuenta de enlace entre CAT y contabilidad, registrado en otros deudores, asciende a 14,52 millones de euros y está totalmente provisionado dado que se </w:t>
      </w:r>
      <w:r w:rsidR="00737325">
        <w:rPr>
          <w:lang w:val="es-ES"/>
        </w:rPr>
        <w:t>no se encuentra debidamente soportado</w:t>
      </w:r>
      <w:r w:rsidRPr="006D43A7">
        <w:rPr>
          <w:lang w:val="es-ES"/>
        </w:rPr>
        <w:t>.</w:t>
      </w:r>
    </w:p>
    <w:p w:rsidR="001B3767" w:rsidRPr="006D43A7" w:rsidRDefault="00FA2831" w:rsidP="00FA2831">
      <w:pPr>
        <w:pStyle w:val="texto"/>
        <w:spacing w:before="80"/>
        <w:rPr>
          <w:lang w:val="es-ES"/>
        </w:rPr>
      </w:pPr>
      <w:r>
        <w:rPr>
          <w:lang w:val="es-ES"/>
        </w:rPr>
        <w:t>Recomendamos</w:t>
      </w:r>
      <w:r w:rsidR="001B3767" w:rsidRPr="006D43A7">
        <w:rPr>
          <w:lang w:val="es-ES"/>
        </w:rPr>
        <w:t>:</w:t>
      </w:r>
    </w:p>
    <w:p w:rsidR="001B3767" w:rsidRPr="006F1283" w:rsidRDefault="00DA7329" w:rsidP="003F752B">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rFonts w:cs="Arial"/>
          <w:i/>
        </w:rPr>
        <w:t>Llevar a cabo la integración completa en el sistema contable de los apu</w:t>
      </w:r>
      <w:r>
        <w:rPr>
          <w:rFonts w:cs="Arial"/>
          <w:i/>
        </w:rPr>
        <w:t>n</w:t>
      </w:r>
      <w:r>
        <w:rPr>
          <w:rFonts w:cs="Arial"/>
          <w:i/>
        </w:rPr>
        <w:t>tes y gestión de la contabilidad auxiliar de terceros.</w:t>
      </w:r>
    </w:p>
    <w:p w:rsidR="001B3767" w:rsidRPr="006F1283" w:rsidRDefault="001B3767"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6F1283">
        <w:rPr>
          <w:rFonts w:cs="Arial"/>
          <w:i/>
        </w:rPr>
        <w:t>Revisar los saldos de deudores tributarios no justificados y proceder, en su caso, a su regularización.</w:t>
      </w:r>
    </w:p>
    <w:p w:rsidR="001B3767" w:rsidRPr="00FE03F5" w:rsidRDefault="001B3767" w:rsidP="00EE77A7">
      <w:pPr>
        <w:pStyle w:val="atitulo2"/>
        <w:suppressAutoHyphens/>
        <w:spacing w:before="360"/>
        <w:ind w:right="28"/>
        <w:rPr>
          <w:color w:val="auto"/>
        </w:rPr>
      </w:pPr>
      <w:bookmarkStart w:id="81" w:name="_Toc434399411"/>
      <w:r w:rsidRPr="00FE03F5">
        <w:rPr>
          <w:color w:val="auto"/>
        </w:rPr>
        <w:t>VII.</w:t>
      </w:r>
      <w:r>
        <w:rPr>
          <w:color w:val="auto"/>
        </w:rPr>
        <w:t>1</w:t>
      </w:r>
      <w:r w:rsidR="0080281D">
        <w:rPr>
          <w:color w:val="auto"/>
        </w:rPr>
        <w:t>0</w:t>
      </w:r>
      <w:r w:rsidRPr="00FE03F5">
        <w:rPr>
          <w:color w:val="auto"/>
        </w:rPr>
        <w:t>. Tesorería</w:t>
      </w:r>
      <w:bookmarkEnd w:id="79"/>
      <w:bookmarkEnd w:id="80"/>
      <w:bookmarkEnd w:id="81"/>
    </w:p>
    <w:p w:rsidR="001B3767" w:rsidRPr="006D43A7" w:rsidRDefault="001B3767" w:rsidP="00EE77A7">
      <w:pPr>
        <w:pStyle w:val="texto"/>
        <w:spacing w:after="280"/>
        <w:rPr>
          <w:lang w:val="es-ES"/>
        </w:rPr>
      </w:pPr>
      <w:r w:rsidRPr="006D43A7">
        <w:rPr>
          <w:lang w:val="es-ES"/>
        </w:rPr>
        <w:t>La tesorería existente a 31 de diciembre de 2014 ascendía a 165,71 millones de euros y se encontraba en los siguientes tipos de cuentas:</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331"/>
        <w:gridCol w:w="1702"/>
        <w:gridCol w:w="1804"/>
        <w:gridCol w:w="1981"/>
      </w:tblGrid>
      <w:tr w:rsidR="001B3767" w:rsidRPr="00185C62" w:rsidTr="00122F33">
        <w:trPr>
          <w:trHeight w:hRule="exact" w:val="499"/>
          <w:jc w:val="center"/>
        </w:trPr>
        <w:tc>
          <w:tcPr>
            <w:tcW w:w="1889" w:type="pct"/>
            <w:tcBorders>
              <w:top w:val="single" w:sz="4" w:space="0" w:color="auto"/>
              <w:left w:val="nil"/>
              <w:bottom w:val="single" w:sz="4" w:space="0" w:color="auto"/>
              <w:right w:val="nil"/>
            </w:tcBorders>
            <w:shd w:val="clear" w:color="auto" w:fill="8DB3E2" w:themeFill="text2" w:themeFillTint="66"/>
            <w:vAlign w:val="center"/>
            <w:hideMark/>
          </w:tcPr>
          <w:p w:rsidR="001B3767" w:rsidRPr="00185C62" w:rsidRDefault="001B3767" w:rsidP="000E2288">
            <w:pPr>
              <w:pStyle w:val="cuadroCabe"/>
              <w:jc w:val="left"/>
              <w:rPr>
                <w:szCs w:val="18"/>
              </w:rPr>
            </w:pPr>
            <w:r w:rsidRPr="00185C62">
              <w:rPr>
                <w:szCs w:val="18"/>
              </w:rPr>
              <w:t>Concepto</w:t>
            </w:r>
          </w:p>
        </w:tc>
        <w:tc>
          <w:tcPr>
            <w:tcW w:w="965" w:type="pct"/>
            <w:tcBorders>
              <w:top w:val="single" w:sz="4" w:space="0" w:color="auto"/>
              <w:left w:val="nil"/>
              <w:bottom w:val="single" w:sz="4" w:space="0" w:color="auto"/>
              <w:right w:val="nil"/>
            </w:tcBorders>
            <w:shd w:val="clear" w:color="auto" w:fill="8DB3E2" w:themeFill="text2" w:themeFillTint="66"/>
            <w:vAlign w:val="center"/>
            <w:hideMark/>
          </w:tcPr>
          <w:p w:rsidR="001B3767" w:rsidRPr="00185C62" w:rsidRDefault="001B3767" w:rsidP="00122F33">
            <w:pPr>
              <w:pStyle w:val="cuadroCabe"/>
              <w:jc w:val="right"/>
              <w:rPr>
                <w:szCs w:val="18"/>
              </w:rPr>
            </w:pPr>
            <w:r w:rsidRPr="00185C62">
              <w:rPr>
                <w:szCs w:val="18"/>
              </w:rPr>
              <w:t>Saldo a 31/12/2014</w:t>
            </w:r>
          </w:p>
        </w:tc>
        <w:tc>
          <w:tcPr>
            <w:tcW w:w="1023" w:type="pct"/>
            <w:tcBorders>
              <w:top w:val="single" w:sz="4" w:space="0" w:color="auto"/>
              <w:left w:val="nil"/>
              <w:bottom w:val="single" w:sz="4" w:space="0" w:color="auto"/>
              <w:right w:val="nil"/>
            </w:tcBorders>
            <w:shd w:val="clear" w:color="auto" w:fill="8DB3E2" w:themeFill="text2" w:themeFillTint="66"/>
            <w:vAlign w:val="center"/>
            <w:hideMark/>
          </w:tcPr>
          <w:p w:rsidR="001B3767" w:rsidRPr="00185C62" w:rsidRDefault="001B3767" w:rsidP="00122F33">
            <w:pPr>
              <w:pStyle w:val="cuadroCabe"/>
              <w:jc w:val="right"/>
              <w:rPr>
                <w:szCs w:val="18"/>
              </w:rPr>
            </w:pPr>
            <w:r w:rsidRPr="00185C62">
              <w:rPr>
                <w:szCs w:val="18"/>
              </w:rPr>
              <w:t>Saldo a 31/12/2013</w:t>
            </w:r>
          </w:p>
        </w:tc>
        <w:tc>
          <w:tcPr>
            <w:tcW w:w="1123" w:type="pct"/>
            <w:tcBorders>
              <w:top w:val="single" w:sz="4" w:space="0" w:color="auto"/>
              <w:left w:val="nil"/>
              <w:bottom w:val="single" w:sz="4" w:space="0" w:color="auto"/>
              <w:right w:val="nil"/>
            </w:tcBorders>
            <w:shd w:val="clear" w:color="auto" w:fill="8DB3E2" w:themeFill="text2" w:themeFillTint="66"/>
            <w:vAlign w:val="center"/>
            <w:hideMark/>
          </w:tcPr>
          <w:p w:rsidR="001B3767" w:rsidRPr="00185C62" w:rsidRDefault="001B3767" w:rsidP="00122F33">
            <w:pPr>
              <w:pStyle w:val="cuadroCabe"/>
              <w:jc w:val="right"/>
              <w:rPr>
                <w:szCs w:val="18"/>
              </w:rPr>
            </w:pPr>
            <w:r w:rsidRPr="00185C62">
              <w:rPr>
                <w:szCs w:val="18"/>
              </w:rPr>
              <w:t>% variación</w:t>
            </w:r>
          </w:p>
        </w:tc>
      </w:tr>
      <w:tr w:rsidR="001B3767" w:rsidRPr="00185C62" w:rsidTr="00122F33">
        <w:trPr>
          <w:trHeight w:hRule="exact" w:val="255"/>
          <w:jc w:val="center"/>
        </w:trPr>
        <w:tc>
          <w:tcPr>
            <w:tcW w:w="1889" w:type="pct"/>
            <w:tcBorders>
              <w:top w:val="single" w:sz="4" w:space="0" w:color="auto"/>
              <w:left w:val="nil"/>
              <w:bottom w:val="single" w:sz="2" w:space="0" w:color="auto"/>
              <w:right w:val="nil"/>
            </w:tcBorders>
            <w:noWrap/>
            <w:vAlign w:val="center"/>
            <w:hideMark/>
          </w:tcPr>
          <w:p w:rsidR="001B3767" w:rsidRPr="00185C62" w:rsidRDefault="001B3767" w:rsidP="00185C62">
            <w:pPr>
              <w:pStyle w:val="cuatexto"/>
              <w:jc w:val="left"/>
              <w:rPr>
                <w:szCs w:val="20"/>
              </w:rPr>
            </w:pPr>
            <w:r w:rsidRPr="00185C62">
              <w:rPr>
                <w:szCs w:val="20"/>
              </w:rPr>
              <w:t>Cuentas corrientes operativas</w:t>
            </w:r>
          </w:p>
        </w:tc>
        <w:tc>
          <w:tcPr>
            <w:tcW w:w="965" w:type="pct"/>
            <w:tcBorders>
              <w:top w:val="single" w:sz="4"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10.037.105</w:t>
            </w:r>
          </w:p>
        </w:tc>
        <w:tc>
          <w:tcPr>
            <w:tcW w:w="1023" w:type="pct"/>
            <w:tcBorders>
              <w:top w:val="single" w:sz="4"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1.255.696</w:t>
            </w:r>
          </w:p>
        </w:tc>
        <w:tc>
          <w:tcPr>
            <w:tcW w:w="1123" w:type="pct"/>
            <w:tcBorders>
              <w:top w:val="single" w:sz="4"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700</w:t>
            </w:r>
          </w:p>
        </w:tc>
      </w:tr>
      <w:tr w:rsidR="001B3767" w:rsidRPr="00185C62" w:rsidTr="00122F33">
        <w:trPr>
          <w:trHeight w:hRule="exact" w:val="255"/>
          <w:jc w:val="center"/>
        </w:trPr>
        <w:tc>
          <w:tcPr>
            <w:tcW w:w="1889" w:type="pct"/>
            <w:tcBorders>
              <w:top w:val="single" w:sz="2" w:space="0" w:color="auto"/>
              <w:left w:val="nil"/>
              <w:bottom w:val="single" w:sz="2" w:space="0" w:color="auto"/>
              <w:right w:val="nil"/>
            </w:tcBorders>
            <w:noWrap/>
            <w:vAlign w:val="center"/>
            <w:hideMark/>
          </w:tcPr>
          <w:p w:rsidR="001B3767" w:rsidRPr="00185C62" w:rsidRDefault="001B3767" w:rsidP="00185C62">
            <w:pPr>
              <w:pStyle w:val="cuatexto"/>
              <w:jc w:val="left"/>
              <w:rPr>
                <w:szCs w:val="20"/>
              </w:rPr>
            </w:pPr>
            <w:r w:rsidRPr="00185C62">
              <w:rPr>
                <w:szCs w:val="20"/>
              </w:rPr>
              <w:t>Cuentas financieras de inversión</w:t>
            </w:r>
          </w:p>
        </w:tc>
        <w:tc>
          <w:tcPr>
            <w:tcW w:w="965" w:type="pct"/>
            <w:tcBorders>
              <w:top w:val="single" w:sz="2"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155.669.286</w:t>
            </w:r>
          </w:p>
        </w:tc>
        <w:tc>
          <w:tcPr>
            <w:tcW w:w="1023" w:type="pct"/>
            <w:tcBorders>
              <w:top w:val="single" w:sz="2"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121.113.768</w:t>
            </w:r>
          </w:p>
        </w:tc>
        <w:tc>
          <w:tcPr>
            <w:tcW w:w="1123" w:type="pct"/>
            <w:tcBorders>
              <w:top w:val="single" w:sz="2" w:space="0" w:color="auto"/>
              <w:left w:val="nil"/>
              <w:bottom w:val="single" w:sz="2" w:space="0" w:color="auto"/>
              <w:right w:val="nil"/>
            </w:tcBorders>
            <w:vAlign w:val="center"/>
            <w:hideMark/>
          </w:tcPr>
          <w:p w:rsidR="001B3767" w:rsidRPr="00185C62" w:rsidRDefault="001B3767" w:rsidP="00122F33">
            <w:pPr>
              <w:pStyle w:val="cuatexto"/>
              <w:jc w:val="right"/>
              <w:rPr>
                <w:szCs w:val="20"/>
              </w:rPr>
            </w:pPr>
            <w:r w:rsidRPr="00185C62">
              <w:rPr>
                <w:szCs w:val="20"/>
              </w:rPr>
              <w:t>28</w:t>
            </w:r>
          </w:p>
        </w:tc>
      </w:tr>
      <w:tr w:rsidR="001B3767" w:rsidRPr="00185C62" w:rsidTr="00122F33">
        <w:trPr>
          <w:trHeight w:hRule="exact" w:val="255"/>
          <w:jc w:val="center"/>
        </w:trPr>
        <w:tc>
          <w:tcPr>
            <w:tcW w:w="1889" w:type="pct"/>
            <w:tcBorders>
              <w:top w:val="single" w:sz="2" w:space="0" w:color="auto"/>
              <w:left w:val="nil"/>
              <w:bottom w:val="single" w:sz="4" w:space="0" w:color="auto"/>
              <w:right w:val="nil"/>
            </w:tcBorders>
            <w:noWrap/>
            <w:vAlign w:val="center"/>
          </w:tcPr>
          <w:p w:rsidR="001B3767" w:rsidRPr="00185C62" w:rsidRDefault="001B3767" w:rsidP="00185C62">
            <w:pPr>
              <w:pStyle w:val="cuatexto"/>
              <w:jc w:val="left"/>
              <w:rPr>
                <w:szCs w:val="20"/>
              </w:rPr>
            </w:pPr>
            <w:r w:rsidRPr="00185C62">
              <w:rPr>
                <w:szCs w:val="20"/>
              </w:rPr>
              <w:t>Cuentas de crédito</w:t>
            </w:r>
          </w:p>
        </w:tc>
        <w:tc>
          <w:tcPr>
            <w:tcW w:w="965" w:type="pct"/>
            <w:tcBorders>
              <w:top w:val="single" w:sz="2" w:space="0" w:color="auto"/>
              <w:left w:val="nil"/>
              <w:bottom w:val="single" w:sz="4" w:space="0" w:color="auto"/>
              <w:right w:val="nil"/>
            </w:tcBorders>
            <w:vAlign w:val="center"/>
          </w:tcPr>
          <w:p w:rsidR="001B3767" w:rsidRPr="00185C62" w:rsidRDefault="001B3767" w:rsidP="00122F33">
            <w:pPr>
              <w:pStyle w:val="cuatexto"/>
              <w:jc w:val="right"/>
              <w:rPr>
                <w:szCs w:val="20"/>
              </w:rPr>
            </w:pPr>
            <w:r w:rsidRPr="00185C62">
              <w:rPr>
                <w:szCs w:val="20"/>
              </w:rPr>
              <w:t>8.977</w:t>
            </w:r>
          </w:p>
        </w:tc>
        <w:tc>
          <w:tcPr>
            <w:tcW w:w="1023" w:type="pct"/>
            <w:tcBorders>
              <w:top w:val="single" w:sz="2" w:space="0" w:color="auto"/>
              <w:left w:val="nil"/>
              <w:bottom w:val="single" w:sz="4" w:space="0" w:color="auto"/>
              <w:right w:val="nil"/>
            </w:tcBorders>
            <w:vAlign w:val="center"/>
          </w:tcPr>
          <w:p w:rsidR="001B3767" w:rsidRPr="00185C62" w:rsidRDefault="001B3767" w:rsidP="00122F33">
            <w:pPr>
              <w:pStyle w:val="cuatexto"/>
              <w:jc w:val="right"/>
              <w:rPr>
                <w:szCs w:val="20"/>
              </w:rPr>
            </w:pPr>
            <w:r w:rsidRPr="00185C62">
              <w:rPr>
                <w:szCs w:val="20"/>
              </w:rPr>
              <w:t>783.467</w:t>
            </w:r>
          </w:p>
        </w:tc>
        <w:tc>
          <w:tcPr>
            <w:tcW w:w="1123" w:type="pct"/>
            <w:tcBorders>
              <w:top w:val="single" w:sz="2" w:space="0" w:color="auto"/>
              <w:left w:val="nil"/>
              <w:bottom w:val="single" w:sz="4" w:space="0" w:color="auto"/>
              <w:right w:val="nil"/>
            </w:tcBorders>
            <w:vAlign w:val="center"/>
          </w:tcPr>
          <w:p w:rsidR="001B3767" w:rsidRPr="00185C62" w:rsidRDefault="001B3767" w:rsidP="00122F33">
            <w:pPr>
              <w:pStyle w:val="cuatexto"/>
              <w:jc w:val="right"/>
              <w:rPr>
                <w:szCs w:val="20"/>
              </w:rPr>
            </w:pPr>
            <w:r w:rsidRPr="00185C62">
              <w:rPr>
                <w:szCs w:val="20"/>
              </w:rPr>
              <w:t>-99</w:t>
            </w:r>
          </w:p>
        </w:tc>
      </w:tr>
      <w:tr w:rsidR="001B3767" w:rsidRPr="00185C62" w:rsidTr="00122F33">
        <w:trPr>
          <w:trHeight w:hRule="exact" w:val="312"/>
          <w:jc w:val="center"/>
        </w:trPr>
        <w:tc>
          <w:tcPr>
            <w:tcW w:w="1889" w:type="pct"/>
            <w:tcBorders>
              <w:top w:val="single" w:sz="4" w:space="0" w:color="auto"/>
              <w:left w:val="nil"/>
              <w:bottom w:val="single" w:sz="4" w:space="0" w:color="auto"/>
              <w:right w:val="nil"/>
            </w:tcBorders>
            <w:shd w:val="clear" w:color="auto" w:fill="8DB3E2" w:themeFill="text2" w:themeFillTint="66"/>
            <w:noWrap/>
            <w:vAlign w:val="center"/>
            <w:hideMark/>
          </w:tcPr>
          <w:p w:rsidR="001B3767" w:rsidRPr="00185C62" w:rsidRDefault="001B3767" w:rsidP="00185C62">
            <w:pPr>
              <w:pStyle w:val="cuadroCabe"/>
              <w:jc w:val="left"/>
              <w:rPr>
                <w:szCs w:val="18"/>
              </w:rPr>
            </w:pPr>
            <w:r w:rsidRPr="00185C62">
              <w:rPr>
                <w:szCs w:val="18"/>
              </w:rPr>
              <w:t>Total</w:t>
            </w:r>
          </w:p>
        </w:tc>
        <w:tc>
          <w:tcPr>
            <w:tcW w:w="965" w:type="pct"/>
            <w:tcBorders>
              <w:top w:val="single" w:sz="4" w:space="0" w:color="auto"/>
              <w:left w:val="nil"/>
              <w:bottom w:val="single" w:sz="4" w:space="0" w:color="auto"/>
              <w:right w:val="nil"/>
            </w:tcBorders>
            <w:shd w:val="clear" w:color="auto" w:fill="8DB3E2" w:themeFill="text2" w:themeFillTint="66"/>
            <w:vAlign w:val="center"/>
          </w:tcPr>
          <w:p w:rsidR="001B3767" w:rsidRPr="00185C62" w:rsidRDefault="001B3767" w:rsidP="00122F33">
            <w:pPr>
              <w:pStyle w:val="cuadroCabe"/>
              <w:jc w:val="right"/>
              <w:rPr>
                <w:szCs w:val="18"/>
              </w:rPr>
            </w:pPr>
            <w:r w:rsidRPr="00185C62">
              <w:rPr>
                <w:szCs w:val="18"/>
              </w:rPr>
              <w:fldChar w:fldCharType="begin"/>
            </w:r>
            <w:r w:rsidRPr="00185C62">
              <w:rPr>
                <w:szCs w:val="18"/>
              </w:rPr>
              <w:instrText xml:space="preserve"> =SUM(ABOVE) </w:instrText>
            </w:r>
            <w:r w:rsidRPr="00185C62">
              <w:rPr>
                <w:szCs w:val="18"/>
              </w:rPr>
              <w:fldChar w:fldCharType="separate"/>
            </w:r>
            <w:r w:rsidRPr="00185C62">
              <w:rPr>
                <w:szCs w:val="18"/>
              </w:rPr>
              <w:t>165.715.368</w:t>
            </w:r>
            <w:r w:rsidRPr="00185C62">
              <w:rPr>
                <w:szCs w:val="18"/>
              </w:rPr>
              <w:fldChar w:fldCharType="end"/>
            </w:r>
          </w:p>
        </w:tc>
        <w:tc>
          <w:tcPr>
            <w:tcW w:w="1023" w:type="pct"/>
            <w:tcBorders>
              <w:top w:val="single" w:sz="4" w:space="0" w:color="auto"/>
              <w:left w:val="nil"/>
              <w:bottom w:val="single" w:sz="4" w:space="0" w:color="auto"/>
              <w:right w:val="nil"/>
            </w:tcBorders>
            <w:shd w:val="clear" w:color="auto" w:fill="8DB3E2" w:themeFill="text2" w:themeFillTint="66"/>
            <w:vAlign w:val="center"/>
          </w:tcPr>
          <w:p w:rsidR="001B3767" w:rsidRPr="00185C62" w:rsidRDefault="001B3767" w:rsidP="00122F33">
            <w:pPr>
              <w:pStyle w:val="cuadroCabe"/>
              <w:jc w:val="right"/>
              <w:rPr>
                <w:szCs w:val="18"/>
              </w:rPr>
            </w:pPr>
            <w:r w:rsidRPr="00185C62">
              <w:rPr>
                <w:szCs w:val="18"/>
              </w:rPr>
              <w:fldChar w:fldCharType="begin"/>
            </w:r>
            <w:r w:rsidRPr="00185C62">
              <w:rPr>
                <w:szCs w:val="18"/>
              </w:rPr>
              <w:instrText xml:space="preserve"> =SUM(ABOVE) </w:instrText>
            </w:r>
            <w:r w:rsidRPr="00185C62">
              <w:rPr>
                <w:szCs w:val="18"/>
              </w:rPr>
              <w:fldChar w:fldCharType="separate"/>
            </w:r>
            <w:r w:rsidRPr="00185C62">
              <w:rPr>
                <w:szCs w:val="18"/>
              </w:rPr>
              <w:t>123.152.931</w:t>
            </w:r>
            <w:r w:rsidRPr="00185C62">
              <w:rPr>
                <w:szCs w:val="18"/>
              </w:rPr>
              <w:fldChar w:fldCharType="end"/>
            </w:r>
          </w:p>
        </w:tc>
        <w:tc>
          <w:tcPr>
            <w:tcW w:w="1123" w:type="pct"/>
            <w:tcBorders>
              <w:top w:val="single" w:sz="4" w:space="0" w:color="auto"/>
              <w:left w:val="nil"/>
              <w:bottom w:val="single" w:sz="4" w:space="0" w:color="auto"/>
              <w:right w:val="nil"/>
            </w:tcBorders>
            <w:shd w:val="clear" w:color="auto" w:fill="8DB3E2" w:themeFill="text2" w:themeFillTint="66"/>
            <w:vAlign w:val="center"/>
          </w:tcPr>
          <w:p w:rsidR="001B3767" w:rsidRPr="00185C62" w:rsidRDefault="001B3767" w:rsidP="00122F33">
            <w:pPr>
              <w:pStyle w:val="cuadroCabe"/>
              <w:jc w:val="right"/>
              <w:rPr>
                <w:szCs w:val="18"/>
              </w:rPr>
            </w:pPr>
            <w:r w:rsidRPr="00185C62">
              <w:rPr>
                <w:szCs w:val="18"/>
              </w:rPr>
              <w:t>35</w:t>
            </w:r>
          </w:p>
        </w:tc>
      </w:tr>
    </w:tbl>
    <w:p w:rsidR="001B3767" w:rsidRPr="006D43A7" w:rsidRDefault="001B3767" w:rsidP="003F752B">
      <w:pPr>
        <w:pStyle w:val="texto"/>
        <w:spacing w:before="280" w:after="180"/>
        <w:rPr>
          <w:lang w:val="es-ES"/>
        </w:rPr>
      </w:pPr>
      <w:r w:rsidRPr="006D43A7">
        <w:rPr>
          <w:lang w:val="es-ES"/>
        </w:rPr>
        <w:t xml:space="preserve">En el ejercicio 2014 se han incluido entre las cuentas corrientes operativas, 9,76 millones correspondientes a cuentas especiales de ingresos y cuentas para la gestión y comedor de centros educativos. </w:t>
      </w:r>
    </w:p>
    <w:p w:rsidR="00F41598" w:rsidRDefault="001B3767" w:rsidP="003F752B">
      <w:pPr>
        <w:pStyle w:val="texto"/>
        <w:spacing w:after="180"/>
      </w:pPr>
      <w:r w:rsidRPr="006D43A7">
        <w:rPr>
          <w:lang w:val="es-ES"/>
        </w:rPr>
        <w:t xml:space="preserve">El saldo contabilizado de las cuentas corrientes de centros educativos es de 8,44 millones de euros y corresponde a </w:t>
      </w:r>
      <w:r w:rsidR="00737325">
        <w:rPr>
          <w:lang w:val="es-ES"/>
        </w:rPr>
        <w:t>410</w:t>
      </w:r>
      <w:r w:rsidRPr="006D43A7">
        <w:rPr>
          <w:lang w:val="es-ES"/>
        </w:rPr>
        <w:t xml:space="preserve"> cuentas. </w:t>
      </w:r>
      <w:r w:rsidR="00F41598">
        <w:t xml:space="preserve">Según la </w:t>
      </w:r>
      <w:proofErr w:type="spellStart"/>
      <w:r w:rsidR="00F41598">
        <w:t>circularización</w:t>
      </w:r>
      <w:proofErr w:type="spellEnd"/>
      <w:r w:rsidR="00F41598">
        <w:t xml:space="preserve"> bancaria remitida a las entidades financieras, el saldo de dichas cuentas al ci</w:t>
      </w:r>
      <w:r w:rsidR="00F41598">
        <w:t>e</w:t>
      </w:r>
      <w:r w:rsidR="00F41598">
        <w:lastRenderedPageBreak/>
        <w:t>rre del ejercicio es de 8,4</w:t>
      </w:r>
      <w:r w:rsidR="00DB38D2">
        <w:t>1</w:t>
      </w:r>
      <w:r w:rsidR="00F41598">
        <w:t xml:space="preserve"> millones, concretamente, </w:t>
      </w:r>
      <w:r w:rsidR="006D5C62">
        <w:t>28.799</w:t>
      </w:r>
      <w:r w:rsidR="00F41598">
        <w:t xml:space="preserve"> euros menos que en contabilidad.</w:t>
      </w:r>
    </w:p>
    <w:p w:rsidR="001B3767" w:rsidRPr="006D43A7" w:rsidRDefault="001B3767" w:rsidP="003F752B">
      <w:pPr>
        <w:pStyle w:val="texto"/>
        <w:spacing w:after="180"/>
        <w:rPr>
          <w:lang w:val="es-ES"/>
        </w:rPr>
      </w:pPr>
      <w:r w:rsidRPr="006D43A7">
        <w:rPr>
          <w:lang w:val="es-ES"/>
        </w:rPr>
        <w:t>Se exige firma conjunta o mancomunada para la disposición de fondos de las cuentas corrientes operativas excepto para dos cuentas, una del Departamento de Desarrollo Rural, Medio Ambiente y Administración Local para la devol</w:t>
      </w:r>
      <w:r w:rsidRPr="006D43A7">
        <w:rPr>
          <w:lang w:val="es-ES"/>
        </w:rPr>
        <w:t>u</w:t>
      </w:r>
      <w:r w:rsidRPr="006D43A7">
        <w:rPr>
          <w:lang w:val="es-ES"/>
        </w:rPr>
        <w:t>ción de ayudas cofinanciadas (PAC) y la otra en el Departamento de Economía y Hacienda para el proyecto ICT4EVE, cuentas que presentan un saldo de 176.878 y 100.888 euros, respectivamente, al cierre del ejercicio 2014.</w:t>
      </w:r>
    </w:p>
    <w:p w:rsidR="001B3767" w:rsidRPr="006D43A7" w:rsidRDefault="001B3767" w:rsidP="0038304D">
      <w:pPr>
        <w:pStyle w:val="texto"/>
        <w:spacing w:after="260"/>
        <w:rPr>
          <w:lang w:val="es-ES"/>
        </w:rPr>
      </w:pPr>
      <w:r w:rsidRPr="006D43A7">
        <w:rPr>
          <w:lang w:val="es-ES"/>
        </w:rPr>
        <w:t>Los intereses de las cuentas de tesorería contabilizados en 2014 ascendieron a 1,3 millones y corresponden a:</w:t>
      </w:r>
    </w:p>
    <w:tbl>
      <w:tblPr>
        <w:tblW w:w="488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101"/>
        <w:gridCol w:w="3615"/>
      </w:tblGrid>
      <w:tr w:rsidR="001B3767" w:rsidRPr="00C8444D" w:rsidTr="00C8444D">
        <w:trPr>
          <w:trHeight w:hRule="exact" w:val="499"/>
          <w:jc w:val="center"/>
        </w:trPr>
        <w:tc>
          <w:tcPr>
            <w:tcW w:w="2926" w:type="pct"/>
            <w:tcBorders>
              <w:top w:val="single" w:sz="4" w:space="0" w:color="auto"/>
              <w:left w:val="nil"/>
              <w:bottom w:val="single" w:sz="4" w:space="0" w:color="auto"/>
              <w:right w:val="nil"/>
            </w:tcBorders>
            <w:shd w:val="clear" w:color="auto" w:fill="8DB3E2" w:themeFill="text2" w:themeFillTint="66"/>
            <w:vAlign w:val="center"/>
            <w:hideMark/>
          </w:tcPr>
          <w:p w:rsidR="001B3767" w:rsidRPr="00C8444D" w:rsidRDefault="001B3767" w:rsidP="000E2288">
            <w:pPr>
              <w:pStyle w:val="cuadroCabe"/>
              <w:jc w:val="left"/>
              <w:rPr>
                <w:szCs w:val="18"/>
              </w:rPr>
            </w:pPr>
            <w:r w:rsidRPr="00C8444D">
              <w:rPr>
                <w:szCs w:val="18"/>
              </w:rPr>
              <w:t>Concepto</w:t>
            </w:r>
          </w:p>
        </w:tc>
        <w:tc>
          <w:tcPr>
            <w:tcW w:w="2074" w:type="pct"/>
            <w:tcBorders>
              <w:top w:val="single" w:sz="4" w:space="0" w:color="auto"/>
              <w:left w:val="nil"/>
              <w:bottom w:val="single" w:sz="4" w:space="0" w:color="auto"/>
              <w:right w:val="nil"/>
            </w:tcBorders>
            <w:shd w:val="clear" w:color="auto" w:fill="8DB3E2" w:themeFill="text2" w:themeFillTint="66"/>
            <w:vAlign w:val="center"/>
            <w:hideMark/>
          </w:tcPr>
          <w:p w:rsidR="001B3767" w:rsidRPr="00C8444D" w:rsidRDefault="001B3767" w:rsidP="00C8444D">
            <w:pPr>
              <w:pStyle w:val="cuadroCabe"/>
              <w:jc w:val="right"/>
              <w:rPr>
                <w:szCs w:val="18"/>
              </w:rPr>
            </w:pPr>
            <w:r w:rsidRPr="00C8444D">
              <w:rPr>
                <w:szCs w:val="18"/>
              </w:rPr>
              <w:t xml:space="preserve">Ingresos </w:t>
            </w:r>
          </w:p>
          <w:p w:rsidR="001B3767" w:rsidRPr="00C8444D" w:rsidRDefault="001B3767" w:rsidP="00C8444D">
            <w:pPr>
              <w:pStyle w:val="cuadroCabe"/>
              <w:jc w:val="right"/>
              <w:rPr>
                <w:szCs w:val="18"/>
              </w:rPr>
            </w:pPr>
            <w:r w:rsidRPr="00C8444D">
              <w:rPr>
                <w:szCs w:val="18"/>
              </w:rPr>
              <w:t>por intereses</w:t>
            </w:r>
          </w:p>
        </w:tc>
      </w:tr>
      <w:tr w:rsidR="001B3767" w:rsidRPr="00C8444D" w:rsidTr="00C8444D">
        <w:trPr>
          <w:trHeight w:hRule="exact" w:val="255"/>
          <w:jc w:val="center"/>
        </w:trPr>
        <w:tc>
          <w:tcPr>
            <w:tcW w:w="2926" w:type="pct"/>
            <w:tcBorders>
              <w:top w:val="single" w:sz="4" w:space="0" w:color="auto"/>
              <w:left w:val="nil"/>
              <w:bottom w:val="single" w:sz="2" w:space="0" w:color="auto"/>
              <w:right w:val="nil"/>
            </w:tcBorders>
            <w:noWrap/>
            <w:vAlign w:val="center"/>
            <w:hideMark/>
          </w:tcPr>
          <w:p w:rsidR="001B3767" w:rsidRPr="00C8444D" w:rsidRDefault="001B3767" w:rsidP="00C8444D">
            <w:pPr>
              <w:pStyle w:val="cuatexto"/>
              <w:jc w:val="left"/>
              <w:rPr>
                <w:szCs w:val="20"/>
              </w:rPr>
            </w:pPr>
            <w:r w:rsidRPr="00C8444D">
              <w:rPr>
                <w:szCs w:val="20"/>
              </w:rPr>
              <w:t>Cuentas corrientes operativas</w:t>
            </w:r>
          </w:p>
        </w:tc>
        <w:tc>
          <w:tcPr>
            <w:tcW w:w="2074" w:type="pct"/>
            <w:tcBorders>
              <w:top w:val="single" w:sz="4" w:space="0" w:color="auto"/>
              <w:left w:val="nil"/>
              <w:bottom w:val="single" w:sz="2" w:space="0" w:color="auto"/>
              <w:right w:val="nil"/>
            </w:tcBorders>
            <w:vAlign w:val="center"/>
          </w:tcPr>
          <w:p w:rsidR="001B3767" w:rsidRPr="00C8444D" w:rsidRDefault="001B3767" w:rsidP="00C8444D">
            <w:pPr>
              <w:pStyle w:val="cuatexto"/>
              <w:jc w:val="right"/>
              <w:rPr>
                <w:szCs w:val="20"/>
              </w:rPr>
            </w:pPr>
            <w:r w:rsidRPr="00C8444D">
              <w:rPr>
                <w:szCs w:val="20"/>
              </w:rPr>
              <w:t>4.942</w:t>
            </w:r>
          </w:p>
        </w:tc>
      </w:tr>
      <w:tr w:rsidR="001B3767" w:rsidRPr="00C8444D" w:rsidTr="00C8444D">
        <w:trPr>
          <w:trHeight w:hRule="exact" w:val="255"/>
          <w:jc w:val="center"/>
        </w:trPr>
        <w:tc>
          <w:tcPr>
            <w:tcW w:w="2926" w:type="pct"/>
            <w:tcBorders>
              <w:top w:val="single" w:sz="2" w:space="0" w:color="auto"/>
              <w:left w:val="nil"/>
              <w:bottom w:val="single" w:sz="2" w:space="0" w:color="auto"/>
              <w:right w:val="nil"/>
            </w:tcBorders>
            <w:noWrap/>
            <w:vAlign w:val="center"/>
            <w:hideMark/>
          </w:tcPr>
          <w:p w:rsidR="001B3767" w:rsidRPr="00C8444D" w:rsidRDefault="001B3767" w:rsidP="00C8444D">
            <w:pPr>
              <w:pStyle w:val="cuatexto"/>
              <w:jc w:val="left"/>
              <w:rPr>
                <w:szCs w:val="20"/>
              </w:rPr>
            </w:pPr>
            <w:r w:rsidRPr="00C8444D">
              <w:rPr>
                <w:szCs w:val="20"/>
              </w:rPr>
              <w:t>Cuentas financieras de inversión</w:t>
            </w:r>
          </w:p>
        </w:tc>
        <w:tc>
          <w:tcPr>
            <w:tcW w:w="2074" w:type="pct"/>
            <w:tcBorders>
              <w:top w:val="single" w:sz="2" w:space="0" w:color="auto"/>
              <w:left w:val="nil"/>
              <w:bottom w:val="single" w:sz="2" w:space="0" w:color="auto"/>
              <w:right w:val="nil"/>
            </w:tcBorders>
            <w:vAlign w:val="center"/>
          </w:tcPr>
          <w:p w:rsidR="001B3767" w:rsidRPr="00C8444D" w:rsidRDefault="001B3767" w:rsidP="00C8444D">
            <w:pPr>
              <w:pStyle w:val="cuatexto"/>
              <w:jc w:val="right"/>
              <w:rPr>
                <w:szCs w:val="20"/>
              </w:rPr>
            </w:pPr>
            <w:r w:rsidRPr="00C8444D">
              <w:rPr>
                <w:szCs w:val="20"/>
              </w:rPr>
              <w:t>291.210</w:t>
            </w:r>
          </w:p>
        </w:tc>
      </w:tr>
      <w:tr w:rsidR="001B3767" w:rsidRPr="00C8444D" w:rsidTr="00C8444D">
        <w:trPr>
          <w:trHeight w:hRule="exact" w:val="255"/>
          <w:jc w:val="center"/>
        </w:trPr>
        <w:tc>
          <w:tcPr>
            <w:tcW w:w="2926" w:type="pct"/>
            <w:tcBorders>
              <w:top w:val="single" w:sz="2" w:space="0" w:color="auto"/>
              <w:left w:val="nil"/>
              <w:bottom w:val="single" w:sz="4" w:space="0" w:color="auto"/>
              <w:right w:val="nil"/>
            </w:tcBorders>
            <w:noWrap/>
            <w:vAlign w:val="center"/>
          </w:tcPr>
          <w:p w:rsidR="001B3767" w:rsidRPr="00C8444D" w:rsidRDefault="001B3767" w:rsidP="00C8444D">
            <w:pPr>
              <w:pStyle w:val="cuatexto"/>
              <w:jc w:val="left"/>
              <w:rPr>
                <w:szCs w:val="20"/>
              </w:rPr>
            </w:pPr>
            <w:r w:rsidRPr="00C8444D">
              <w:rPr>
                <w:szCs w:val="20"/>
              </w:rPr>
              <w:t>Imposiciones a plazo fijo</w:t>
            </w:r>
            <w:r w:rsidR="00E16050">
              <w:rPr>
                <w:szCs w:val="20"/>
              </w:rPr>
              <w:t xml:space="preserve"> (1)</w:t>
            </w:r>
          </w:p>
        </w:tc>
        <w:tc>
          <w:tcPr>
            <w:tcW w:w="2074" w:type="pct"/>
            <w:tcBorders>
              <w:top w:val="single" w:sz="2" w:space="0" w:color="auto"/>
              <w:left w:val="nil"/>
              <w:bottom w:val="single" w:sz="4" w:space="0" w:color="auto"/>
              <w:right w:val="nil"/>
            </w:tcBorders>
            <w:vAlign w:val="center"/>
          </w:tcPr>
          <w:p w:rsidR="001B3767" w:rsidRPr="00C8444D" w:rsidRDefault="001B3767" w:rsidP="00C8444D">
            <w:pPr>
              <w:pStyle w:val="cuatexto"/>
              <w:jc w:val="right"/>
              <w:rPr>
                <w:szCs w:val="20"/>
              </w:rPr>
            </w:pPr>
            <w:r w:rsidRPr="00C8444D">
              <w:rPr>
                <w:szCs w:val="20"/>
              </w:rPr>
              <w:t>1.002.760</w:t>
            </w:r>
          </w:p>
        </w:tc>
      </w:tr>
      <w:tr w:rsidR="001B3767" w:rsidRPr="00C8444D" w:rsidTr="00C8444D">
        <w:trPr>
          <w:trHeight w:hRule="exact" w:val="312"/>
          <w:jc w:val="center"/>
        </w:trPr>
        <w:tc>
          <w:tcPr>
            <w:tcW w:w="2926" w:type="pct"/>
            <w:tcBorders>
              <w:top w:val="single" w:sz="4" w:space="0" w:color="auto"/>
              <w:left w:val="nil"/>
              <w:bottom w:val="single" w:sz="4" w:space="0" w:color="auto"/>
              <w:right w:val="nil"/>
            </w:tcBorders>
            <w:shd w:val="clear" w:color="auto" w:fill="8DB3E2" w:themeFill="text2" w:themeFillTint="66"/>
            <w:noWrap/>
            <w:vAlign w:val="center"/>
            <w:hideMark/>
          </w:tcPr>
          <w:p w:rsidR="001B3767" w:rsidRPr="00C8444D" w:rsidRDefault="001B3767" w:rsidP="00C8444D">
            <w:pPr>
              <w:pStyle w:val="cuadroCabe"/>
              <w:jc w:val="left"/>
              <w:rPr>
                <w:szCs w:val="18"/>
              </w:rPr>
            </w:pPr>
            <w:r w:rsidRPr="00C8444D">
              <w:rPr>
                <w:szCs w:val="18"/>
              </w:rPr>
              <w:t>Total</w:t>
            </w:r>
          </w:p>
        </w:tc>
        <w:tc>
          <w:tcPr>
            <w:tcW w:w="2074" w:type="pct"/>
            <w:tcBorders>
              <w:top w:val="single" w:sz="4" w:space="0" w:color="auto"/>
              <w:left w:val="nil"/>
              <w:bottom w:val="single" w:sz="4" w:space="0" w:color="auto"/>
              <w:right w:val="nil"/>
            </w:tcBorders>
            <w:shd w:val="clear" w:color="auto" w:fill="8DB3E2" w:themeFill="text2" w:themeFillTint="66"/>
            <w:vAlign w:val="center"/>
          </w:tcPr>
          <w:p w:rsidR="001B3767" w:rsidRPr="00C8444D" w:rsidRDefault="001B3767" w:rsidP="00C8444D">
            <w:pPr>
              <w:pStyle w:val="cuadroCabe"/>
              <w:jc w:val="right"/>
              <w:rPr>
                <w:szCs w:val="18"/>
              </w:rPr>
            </w:pPr>
            <w:r w:rsidRPr="00C8444D">
              <w:rPr>
                <w:szCs w:val="18"/>
              </w:rPr>
              <w:fldChar w:fldCharType="begin"/>
            </w:r>
            <w:r w:rsidRPr="00C8444D">
              <w:rPr>
                <w:szCs w:val="18"/>
              </w:rPr>
              <w:instrText xml:space="preserve"> =SUM(ABOVE) </w:instrText>
            </w:r>
            <w:r w:rsidRPr="00C8444D">
              <w:rPr>
                <w:szCs w:val="18"/>
              </w:rPr>
              <w:fldChar w:fldCharType="separate"/>
            </w:r>
            <w:r w:rsidRPr="00C8444D">
              <w:rPr>
                <w:szCs w:val="18"/>
              </w:rPr>
              <w:t>1.298.912</w:t>
            </w:r>
            <w:r w:rsidRPr="00C8444D">
              <w:rPr>
                <w:szCs w:val="18"/>
              </w:rPr>
              <w:fldChar w:fldCharType="end"/>
            </w:r>
          </w:p>
        </w:tc>
      </w:tr>
    </w:tbl>
    <w:p w:rsidR="00E16050" w:rsidRPr="00B72BEA" w:rsidRDefault="00E16050" w:rsidP="0038304D">
      <w:pPr>
        <w:pStyle w:val="texto"/>
        <w:numPr>
          <w:ilvl w:val="0"/>
          <w:numId w:val="19"/>
        </w:numPr>
        <w:spacing w:before="80" w:after="320"/>
        <w:ind w:left="437" w:hanging="295"/>
        <w:rPr>
          <w:rFonts w:ascii="Arial Narrow" w:hAnsi="Arial Narrow"/>
          <w:spacing w:val="2"/>
          <w:sz w:val="18"/>
          <w:szCs w:val="18"/>
        </w:rPr>
      </w:pPr>
      <w:r w:rsidRPr="00B72BEA">
        <w:rPr>
          <w:rFonts w:ascii="Arial Narrow" w:hAnsi="Arial Narrow"/>
          <w:spacing w:val="2"/>
          <w:sz w:val="18"/>
          <w:szCs w:val="18"/>
        </w:rPr>
        <w:t>El saldo de las imposiciones a plazo fijo a 31 de diciembre de 2014 es 0.</w:t>
      </w:r>
    </w:p>
    <w:p w:rsidR="00FE24EC" w:rsidRDefault="001B3767" w:rsidP="003F752B">
      <w:pPr>
        <w:pStyle w:val="texto"/>
        <w:spacing w:before="220" w:after="120"/>
        <w:rPr>
          <w:lang w:val="es-ES"/>
        </w:rPr>
      </w:pPr>
      <w:r w:rsidRPr="006D43A7">
        <w:rPr>
          <w:lang w:val="es-ES"/>
        </w:rPr>
        <w:t>Las cuentas financieras de inversión presentan un saldo de 155,67 millones al cierre del ejercicio y han devengado intereses por importe de 291</w:t>
      </w:r>
      <w:r w:rsidR="00E16050">
        <w:rPr>
          <w:lang w:val="es-ES"/>
        </w:rPr>
        <w:t>,</w:t>
      </w:r>
      <w:r w:rsidRPr="006D43A7">
        <w:rPr>
          <w:lang w:val="es-ES"/>
        </w:rPr>
        <w:t xml:space="preserve">21 </w:t>
      </w:r>
      <w:r w:rsidR="00FE24EC">
        <w:rPr>
          <w:lang w:val="es-ES"/>
        </w:rPr>
        <w:t>euros</w:t>
      </w:r>
      <w:r w:rsidRPr="006D43A7">
        <w:rPr>
          <w:lang w:val="es-ES"/>
        </w:rPr>
        <w:t xml:space="preserve">. </w:t>
      </w:r>
    </w:p>
    <w:p w:rsidR="001B3767" w:rsidRPr="006D43A7" w:rsidRDefault="001B3767" w:rsidP="0038304D">
      <w:pPr>
        <w:pStyle w:val="texto"/>
        <w:spacing w:after="180"/>
        <w:rPr>
          <w:lang w:val="es-ES"/>
        </w:rPr>
      </w:pPr>
      <w:r w:rsidRPr="006D43A7">
        <w:rPr>
          <w:lang w:val="es-ES"/>
        </w:rPr>
        <w:t xml:space="preserve">El saldo medio de </w:t>
      </w:r>
      <w:r w:rsidR="00FE24EC">
        <w:rPr>
          <w:lang w:val="es-ES"/>
        </w:rPr>
        <w:t>las</w:t>
      </w:r>
      <w:r w:rsidRPr="006D43A7">
        <w:rPr>
          <w:lang w:val="es-ES"/>
        </w:rPr>
        <w:t xml:space="preserve"> cuentas </w:t>
      </w:r>
      <w:r w:rsidR="00FE24EC">
        <w:rPr>
          <w:lang w:val="es-ES"/>
        </w:rPr>
        <w:t xml:space="preserve">corrientes, financieras e imposiciones a plazo </w:t>
      </w:r>
      <w:r w:rsidRPr="006D43A7">
        <w:rPr>
          <w:lang w:val="es-ES"/>
        </w:rPr>
        <w:t xml:space="preserve">durante 2014 ha sido de 92,44 millones y </w:t>
      </w:r>
      <w:r w:rsidR="00FE24EC">
        <w:rPr>
          <w:lang w:val="es-ES"/>
        </w:rPr>
        <w:t xml:space="preserve">el conjunto de estas cuentas </w:t>
      </w:r>
      <w:r w:rsidRPr="006D43A7">
        <w:rPr>
          <w:lang w:val="es-ES"/>
        </w:rPr>
        <w:t>han pr</w:t>
      </w:r>
      <w:r w:rsidRPr="006D43A7">
        <w:rPr>
          <w:lang w:val="es-ES"/>
        </w:rPr>
        <w:t>e</w:t>
      </w:r>
      <w:r w:rsidRPr="006D43A7">
        <w:rPr>
          <w:lang w:val="es-ES"/>
        </w:rPr>
        <w:t xml:space="preserve">sentado saldo negativo durante 111 días. En 2013, su saldo medio diario fue negativo de 36,95 millones. </w:t>
      </w:r>
    </w:p>
    <w:p w:rsidR="001B3767" w:rsidRPr="006D43A7" w:rsidRDefault="001B3767" w:rsidP="0038304D">
      <w:pPr>
        <w:pStyle w:val="texto"/>
        <w:spacing w:after="260"/>
        <w:rPr>
          <w:lang w:val="es-ES"/>
        </w:rPr>
      </w:pPr>
      <w:r w:rsidRPr="006D43A7">
        <w:rPr>
          <w:lang w:val="es-ES"/>
        </w:rPr>
        <w:t>Durante el ejercicio se concertaron las siguientes imposiciones a plazo fijo:</w:t>
      </w:r>
    </w:p>
    <w:tbl>
      <w:tblPr>
        <w:tblW w:w="4883"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73"/>
        <w:gridCol w:w="3533"/>
        <w:gridCol w:w="3614"/>
      </w:tblGrid>
      <w:tr w:rsidR="0054035B" w:rsidRPr="00C8444D" w:rsidTr="0054035B">
        <w:trPr>
          <w:trHeight w:hRule="exact" w:val="312"/>
          <w:jc w:val="center"/>
        </w:trPr>
        <w:tc>
          <w:tcPr>
            <w:tcW w:w="902" w:type="pct"/>
            <w:tcBorders>
              <w:top w:val="single" w:sz="4" w:space="0" w:color="auto"/>
              <w:left w:val="nil"/>
              <w:bottom w:val="single" w:sz="4" w:space="0" w:color="auto"/>
              <w:right w:val="nil"/>
            </w:tcBorders>
            <w:shd w:val="clear" w:color="auto" w:fill="8DB3E2" w:themeFill="text2" w:themeFillTint="66"/>
            <w:vAlign w:val="center"/>
          </w:tcPr>
          <w:p w:rsidR="001B3767" w:rsidRPr="00C8444D" w:rsidRDefault="001B3767" w:rsidP="000E2288">
            <w:pPr>
              <w:pStyle w:val="cuadroCabe"/>
              <w:jc w:val="left"/>
              <w:rPr>
                <w:szCs w:val="18"/>
              </w:rPr>
            </w:pPr>
            <w:r w:rsidRPr="00C8444D">
              <w:rPr>
                <w:szCs w:val="18"/>
              </w:rPr>
              <w:t>Importe</w:t>
            </w:r>
          </w:p>
        </w:tc>
        <w:tc>
          <w:tcPr>
            <w:tcW w:w="2026" w:type="pct"/>
            <w:tcBorders>
              <w:top w:val="single" w:sz="4" w:space="0" w:color="auto"/>
              <w:left w:val="nil"/>
              <w:bottom w:val="single" w:sz="4" w:space="0" w:color="auto"/>
              <w:right w:val="nil"/>
            </w:tcBorders>
            <w:shd w:val="clear" w:color="auto" w:fill="8DB3E2" w:themeFill="text2" w:themeFillTint="66"/>
            <w:vAlign w:val="center"/>
          </w:tcPr>
          <w:p w:rsidR="001B3767" w:rsidRPr="00C8444D" w:rsidRDefault="001B3767" w:rsidP="000A76D2">
            <w:pPr>
              <w:pStyle w:val="cuadroCabe"/>
              <w:jc w:val="right"/>
              <w:rPr>
                <w:szCs w:val="18"/>
              </w:rPr>
            </w:pPr>
            <w:r w:rsidRPr="00C8444D">
              <w:rPr>
                <w:szCs w:val="18"/>
              </w:rPr>
              <w:t>Plazo</w:t>
            </w:r>
          </w:p>
        </w:tc>
        <w:tc>
          <w:tcPr>
            <w:tcW w:w="2072" w:type="pct"/>
            <w:tcBorders>
              <w:top w:val="single" w:sz="4" w:space="0" w:color="auto"/>
              <w:left w:val="nil"/>
              <w:bottom w:val="single" w:sz="4" w:space="0" w:color="auto"/>
              <w:right w:val="nil"/>
            </w:tcBorders>
            <w:shd w:val="clear" w:color="auto" w:fill="8DB3E2" w:themeFill="text2" w:themeFillTint="66"/>
            <w:vAlign w:val="center"/>
          </w:tcPr>
          <w:p w:rsidR="001B3767" w:rsidRPr="00C8444D" w:rsidRDefault="001B3767" w:rsidP="000A76D2">
            <w:pPr>
              <w:pStyle w:val="cuadroCabe"/>
              <w:jc w:val="right"/>
              <w:rPr>
                <w:szCs w:val="18"/>
              </w:rPr>
            </w:pPr>
            <w:r w:rsidRPr="00C8444D">
              <w:rPr>
                <w:szCs w:val="18"/>
              </w:rPr>
              <w:t>Tipo interés</w:t>
            </w:r>
          </w:p>
        </w:tc>
      </w:tr>
      <w:tr w:rsidR="001B3767" w:rsidRPr="00C8444D" w:rsidTr="00B72BEA">
        <w:trPr>
          <w:trHeight w:hRule="exact" w:val="255"/>
          <w:jc w:val="center"/>
        </w:trPr>
        <w:tc>
          <w:tcPr>
            <w:tcW w:w="902" w:type="pct"/>
            <w:tcBorders>
              <w:top w:val="single" w:sz="4" w:space="0" w:color="auto"/>
              <w:left w:val="nil"/>
              <w:bottom w:val="single" w:sz="2" w:space="0" w:color="auto"/>
              <w:right w:val="nil"/>
            </w:tcBorders>
            <w:noWrap/>
            <w:vAlign w:val="center"/>
          </w:tcPr>
          <w:p w:rsidR="001B3767" w:rsidRPr="00C8444D" w:rsidRDefault="001B3767" w:rsidP="00C8444D">
            <w:pPr>
              <w:pStyle w:val="cuatexto"/>
              <w:jc w:val="left"/>
              <w:rPr>
                <w:szCs w:val="20"/>
              </w:rPr>
            </w:pPr>
            <w:r w:rsidRPr="00C8444D">
              <w:rPr>
                <w:szCs w:val="20"/>
              </w:rPr>
              <w:t>100.000.000</w:t>
            </w:r>
          </w:p>
        </w:tc>
        <w:tc>
          <w:tcPr>
            <w:tcW w:w="2026" w:type="pct"/>
            <w:tcBorders>
              <w:top w:val="single" w:sz="4" w:space="0" w:color="auto"/>
              <w:left w:val="nil"/>
              <w:bottom w:val="single" w:sz="2" w:space="0" w:color="auto"/>
              <w:right w:val="nil"/>
            </w:tcBorders>
            <w:vAlign w:val="center"/>
          </w:tcPr>
          <w:p w:rsidR="001B3767" w:rsidRPr="00C8444D" w:rsidRDefault="001B3767" w:rsidP="000A76D2">
            <w:pPr>
              <w:pStyle w:val="cuatexto"/>
              <w:jc w:val="right"/>
              <w:rPr>
                <w:szCs w:val="20"/>
              </w:rPr>
            </w:pPr>
            <w:r w:rsidRPr="00C8444D">
              <w:rPr>
                <w:szCs w:val="20"/>
              </w:rPr>
              <w:t>1 mes</w:t>
            </w:r>
          </w:p>
        </w:tc>
        <w:tc>
          <w:tcPr>
            <w:tcW w:w="2072" w:type="pct"/>
            <w:tcBorders>
              <w:top w:val="single" w:sz="4" w:space="0" w:color="auto"/>
              <w:left w:val="nil"/>
              <w:bottom w:val="single" w:sz="2" w:space="0" w:color="auto"/>
              <w:right w:val="nil"/>
            </w:tcBorders>
            <w:vAlign w:val="center"/>
          </w:tcPr>
          <w:p w:rsidR="001B3767" w:rsidRPr="00C8444D" w:rsidRDefault="001B3767" w:rsidP="000F7B19">
            <w:pPr>
              <w:pStyle w:val="cuatexto"/>
              <w:jc w:val="right"/>
              <w:rPr>
                <w:szCs w:val="20"/>
              </w:rPr>
            </w:pPr>
            <w:r w:rsidRPr="00C8444D">
              <w:rPr>
                <w:szCs w:val="20"/>
              </w:rPr>
              <w:t>1</w:t>
            </w:r>
            <w:r w:rsidR="000F7B19">
              <w:rPr>
                <w:szCs w:val="20"/>
              </w:rPr>
              <w:t>,</w:t>
            </w:r>
            <w:r w:rsidRPr="00C8444D">
              <w:rPr>
                <w:szCs w:val="20"/>
              </w:rPr>
              <w:t>450</w:t>
            </w:r>
          </w:p>
        </w:tc>
      </w:tr>
      <w:tr w:rsidR="001B3767" w:rsidRPr="00C8444D" w:rsidTr="00B72BEA">
        <w:trPr>
          <w:trHeight w:hRule="exact" w:val="255"/>
          <w:jc w:val="center"/>
        </w:trPr>
        <w:tc>
          <w:tcPr>
            <w:tcW w:w="902" w:type="pct"/>
            <w:tcBorders>
              <w:top w:val="single" w:sz="2" w:space="0" w:color="auto"/>
              <w:left w:val="nil"/>
              <w:bottom w:val="single" w:sz="2" w:space="0" w:color="auto"/>
              <w:right w:val="nil"/>
            </w:tcBorders>
            <w:noWrap/>
            <w:vAlign w:val="center"/>
          </w:tcPr>
          <w:p w:rsidR="001B3767" w:rsidRPr="00C8444D" w:rsidRDefault="001B3767" w:rsidP="00C8444D">
            <w:pPr>
              <w:pStyle w:val="cuatexto"/>
              <w:jc w:val="left"/>
              <w:rPr>
                <w:szCs w:val="20"/>
              </w:rPr>
            </w:pPr>
            <w:r w:rsidRPr="00C8444D">
              <w:rPr>
                <w:szCs w:val="20"/>
              </w:rPr>
              <w:t>125.000.000</w:t>
            </w:r>
          </w:p>
        </w:tc>
        <w:tc>
          <w:tcPr>
            <w:tcW w:w="2026" w:type="pct"/>
            <w:tcBorders>
              <w:top w:val="single" w:sz="2" w:space="0" w:color="auto"/>
              <w:left w:val="nil"/>
              <w:bottom w:val="single" w:sz="2" w:space="0" w:color="auto"/>
              <w:right w:val="nil"/>
            </w:tcBorders>
            <w:vAlign w:val="center"/>
          </w:tcPr>
          <w:p w:rsidR="001B3767" w:rsidRPr="00C8444D" w:rsidRDefault="001B3767" w:rsidP="000A76D2">
            <w:pPr>
              <w:pStyle w:val="cuatexto"/>
              <w:jc w:val="right"/>
              <w:rPr>
                <w:szCs w:val="20"/>
              </w:rPr>
            </w:pPr>
            <w:r w:rsidRPr="00C8444D">
              <w:rPr>
                <w:szCs w:val="20"/>
              </w:rPr>
              <w:t>2 meses</w:t>
            </w:r>
          </w:p>
        </w:tc>
        <w:tc>
          <w:tcPr>
            <w:tcW w:w="2072" w:type="pct"/>
            <w:tcBorders>
              <w:top w:val="single" w:sz="2" w:space="0" w:color="auto"/>
              <w:left w:val="nil"/>
              <w:bottom w:val="single" w:sz="2" w:space="0" w:color="auto"/>
              <w:right w:val="nil"/>
            </w:tcBorders>
            <w:vAlign w:val="center"/>
          </w:tcPr>
          <w:p w:rsidR="001B3767" w:rsidRPr="00C8444D" w:rsidRDefault="001B3767" w:rsidP="00737325">
            <w:pPr>
              <w:pStyle w:val="cuatexto"/>
              <w:jc w:val="right"/>
              <w:rPr>
                <w:szCs w:val="20"/>
              </w:rPr>
            </w:pPr>
            <w:r w:rsidRPr="00C8444D">
              <w:rPr>
                <w:szCs w:val="20"/>
              </w:rPr>
              <w:t>1,4</w:t>
            </w:r>
            <w:r w:rsidR="00737325">
              <w:rPr>
                <w:szCs w:val="20"/>
              </w:rPr>
              <w:t>60</w:t>
            </w:r>
          </w:p>
        </w:tc>
      </w:tr>
      <w:tr w:rsidR="001B3767" w:rsidRPr="00C8444D" w:rsidTr="00B72BEA">
        <w:trPr>
          <w:trHeight w:hRule="exact" w:val="255"/>
          <w:jc w:val="center"/>
        </w:trPr>
        <w:tc>
          <w:tcPr>
            <w:tcW w:w="902" w:type="pct"/>
            <w:tcBorders>
              <w:top w:val="single" w:sz="2" w:space="0" w:color="auto"/>
              <w:left w:val="nil"/>
              <w:bottom w:val="single" w:sz="2" w:space="0" w:color="auto"/>
              <w:right w:val="nil"/>
            </w:tcBorders>
            <w:noWrap/>
            <w:vAlign w:val="center"/>
          </w:tcPr>
          <w:p w:rsidR="001B3767" w:rsidRPr="00C8444D" w:rsidRDefault="001B3767" w:rsidP="00C8444D">
            <w:pPr>
              <w:pStyle w:val="cuatexto"/>
              <w:jc w:val="left"/>
              <w:rPr>
                <w:szCs w:val="20"/>
              </w:rPr>
            </w:pPr>
            <w:r w:rsidRPr="00C8444D">
              <w:rPr>
                <w:szCs w:val="20"/>
              </w:rPr>
              <w:t>100.000.000</w:t>
            </w:r>
          </w:p>
        </w:tc>
        <w:tc>
          <w:tcPr>
            <w:tcW w:w="2026" w:type="pct"/>
            <w:tcBorders>
              <w:top w:val="single" w:sz="2" w:space="0" w:color="auto"/>
              <w:left w:val="nil"/>
              <w:bottom w:val="single" w:sz="2" w:space="0" w:color="auto"/>
              <w:right w:val="nil"/>
            </w:tcBorders>
            <w:vAlign w:val="center"/>
          </w:tcPr>
          <w:p w:rsidR="001B3767" w:rsidRPr="00C8444D" w:rsidRDefault="001B3767" w:rsidP="000A76D2">
            <w:pPr>
              <w:pStyle w:val="cuatexto"/>
              <w:jc w:val="right"/>
              <w:rPr>
                <w:szCs w:val="20"/>
              </w:rPr>
            </w:pPr>
            <w:r w:rsidRPr="00C8444D">
              <w:rPr>
                <w:szCs w:val="20"/>
              </w:rPr>
              <w:t>4 meses</w:t>
            </w:r>
          </w:p>
        </w:tc>
        <w:tc>
          <w:tcPr>
            <w:tcW w:w="2072" w:type="pct"/>
            <w:tcBorders>
              <w:top w:val="single" w:sz="2" w:space="0" w:color="auto"/>
              <w:left w:val="nil"/>
              <w:bottom w:val="single" w:sz="2" w:space="0" w:color="auto"/>
              <w:right w:val="nil"/>
            </w:tcBorders>
            <w:vAlign w:val="center"/>
          </w:tcPr>
          <w:p w:rsidR="001B3767" w:rsidRPr="00C8444D" w:rsidRDefault="001B3767" w:rsidP="000A76D2">
            <w:pPr>
              <w:pStyle w:val="cuatexto"/>
              <w:jc w:val="right"/>
              <w:rPr>
                <w:szCs w:val="20"/>
              </w:rPr>
            </w:pPr>
            <w:r w:rsidRPr="00C8444D">
              <w:rPr>
                <w:szCs w:val="20"/>
              </w:rPr>
              <w:t>1,520</w:t>
            </w:r>
          </w:p>
        </w:tc>
      </w:tr>
      <w:tr w:rsidR="001B3767" w:rsidRPr="00C8444D" w:rsidTr="00B72BEA">
        <w:trPr>
          <w:trHeight w:hRule="exact" w:val="255"/>
          <w:jc w:val="center"/>
        </w:trPr>
        <w:tc>
          <w:tcPr>
            <w:tcW w:w="902" w:type="pct"/>
            <w:tcBorders>
              <w:top w:val="single" w:sz="2" w:space="0" w:color="auto"/>
              <w:left w:val="nil"/>
              <w:bottom w:val="single" w:sz="4" w:space="0" w:color="auto"/>
              <w:right w:val="nil"/>
            </w:tcBorders>
            <w:noWrap/>
            <w:vAlign w:val="center"/>
          </w:tcPr>
          <w:p w:rsidR="001B3767" w:rsidRPr="00C8444D" w:rsidRDefault="001B3767" w:rsidP="00C8444D">
            <w:pPr>
              <w:pStyle w:val="cuatexto"/>
              <w:jc w:val="left"/>
              <w:rPr>
                <w:szCs w:val="20"/>
              </w:rPr>
            </w:pPr>
            <w:r w:rsidRPr="00C8444D">
              <w:rPr>
                <w:szCs w:val="20"/>
              </w:rPr>
              <w:t>100.000.000</w:t>
            </w:r>
          </w:p>
        </w:tc>
        <w:tc>
          <w:tcPr>
            <w:tcW w:w="2026" w:type="pct"/>
            <w:tcBorders>
              <w:top w:val="single" w:sz="2" w:space="0" w:color="auto"/>
              <w:left w:val="nil"/>
              <w:bottom w:val="single" w:sz="4" w:space="0" w:color="auto"/>
              <w:right w:val="nil"/>
            </w:tcBorders>
            <w:vAlign w:val="center"/>
          </w:tcPr>
          <w:p w:rsidR="001B3767" w:rsidRPr="00C8444D" w:rsidRDefault="001B3767" w:rsidP="000A76D2">
            <w:pPr>
              <w:pStyle w:val="cuatexto"/>
              <w:jc w:val="right"/>
              <w:rPr>
                <w:szCs w:val="20"/>
              </w:rPr>
            </w:pPr>
            <w:r w:rsidRPr="00C8444D">
              <w:rPr>
                <w:szCs w:val="20"/>
              </w:rPr>
              <w:t>1 mes</w:t>
            </w:r>
          </w:p>
        </w:tc>
        <w:tc>
          <w:tcPr>
            <w:tcW w:w="2072" w:type="pct"/>
            <w:tcBorders>
              <w:top w:val="single" w:sz="2" w:space="0" w:color="auto"/>
              <w:left w:val="nil"/>
              <w:bottom w:val="single" w:sz="4" w:space="0" w:color="auto"/>
              <w:right w:val="nil"/>
            </w:tcBorders>
            <w:vAlign w:val="center"/>
          </w:tcPr>
          <w:p w:rsidR="001B3767" w:rsidRPr="00C8444D" w:rsidRDefault="001B3767" w:rsidP="000A76D2">
            <w:pPr>
              <w:pStyle w:val="cuatexto"/>
              <w:jc w:val="right"/>
              <w:rPr>
                <w:szCs w:val="20"/>
              </w:rPr>
            </w:pPr>
            <w:r w:rsidRPr="00C8444D">
              <w:rPr>
                <w:szCs w:val="20"/>
              </w:rPr>
              <w:t>1,246</w:t>
            </w:r>
          </w:p>
        </w:tc>
      </w:tr>
    </w:tbl>
    <w:p w:rsidR="001B3767" w:rsidRPr="006D43A7" w:rsidRDefault="001B3767" w:rsidP="0038304D">
      <w:pPr>
        <w:pStyle w:val="texto"/>
        <w:spacing w:before="260" w:after="180"/>
        <w:rPr>
          <w:lang w:val="es-ES"/>
        </w:rPr>
      </w:pPr>
      <w:bookmarkStart w:id="82" w:name="_Toc418853798"/>
      <w:r w:rsidRPr="006D43A7">
        <w:rPr>
          <w:lang w:val="es-ES"/>
        </w:rPr>
        <w:t xml:space="preserve">Durante el ejercicio 2014 se concertaron </w:t>
      </w:r>
      <w:r w:rsidR="004B2ABD">
        <w:rPr>
          <w:lang w:val="es-ES"/>
        </w:rPr>
        <w:t>tres</w:t>
      </w:r>
      <w:r w:rsidRPr="006D43A7">
        <w:rPr>
          <w:lang w:val="es-ES"/>
        </w:rPr>
        <w:t xml:space="preserve"> créditos de tesorería a 11 meses  por un importe total de </w:t>
      </w:r>
      <w:r w:rsidR="004B2ABD">
        <w:rPr>
          <w:lang w:val="es-ES"/>
        </w:rPr>
        <w:t>300</w:t>
      </w:r>
      <w:r w:rsidRPr="006D43A7">
        <w:rPr>
          <w:lang w:val="es-ES"/>
        </w:rPr>
        <w:t xml:space="preserve"> millones de euros, que tuvieron un coste de </w:t>
      </w:r>
      <w:r w:rsidR="00737325">
        <w:rPr>
          <w:lang w:val="es-ES"/>
        </w:rPr>
        <w:t>556.521</w:t>
      </w:r>
      <w:r w:rsidRPr="006D43A7">
        <w:rPr>
          <w:lang w:val="es-ES"/>
        </w:rPr>
        <w:t xml:space="preserve"> euros.</w:t>
      </w:r>
      <w:r w:rsidR="004B2ABD">
        <w:rPr>
          <w:lang w:val="es-ES"/>
        </w:rPr>
        <w:t xml:space="preserve"> Uno de los créditos, concertado por 50 millones, no se dispuso.</w:t>
      </w:r>
    </w:p>
    <w:p w:rsidR="001B3767" w:rsidRDefault="000A76D2" w:rsidP="003F752B">
      <w:pPr>
        <w:pStyle w:val="texto"/>
      </w:pPr>
      <w:r w:rsidRPr="000A76D2">
        <w:rPr>
          <w:i/>
          <w:lang w:val="es-ES"/>
        </w:rPr>
        <w:t>Recomendamos</w:t>
      </w:r>
      <w:r>
        <w:rPr>
          <w:lang w:val="es-ES"/>
        </w:rPr>
        <w:t xml:space="preserve"> </w:t>
      </w:r>
      <w:r w:rsidRPr="00905157">
        <w:rPr>
          <w:rFonts w:cs="Arial"/>
          <w:i/>
          <w:lang w:val="es-ES"/>
        </w:rPr>
        <w:t xml:space="preserve">exigir </w:t>
      </w:r>
      <w:r w:rsidR="001B3767" w:rsidRPr="00905157">
        <w:rPr>
          <w:rFonts w:cs="Arial"/>
          <w:i/>
          <w:lang w:val="es-ES"/>
        </w:rPr>
        <w:t>la firma conjunta o mancomunada para la disposición de efectivo de todas las cuentas corrientes operativas</w:t>
      </w:r>
      <w:r w:rsidR="001B3767">
        <w:t>.</w:t>
      </w:r>
    </w:p>
    <w:p w:rsidR="0001782F" w:rsidRPr="00BE0A03" w:rsidRDefault="0001782F" w:rsidP="003F752B">
      <w:pPr>
        <w:pStyle w:val="texto"/>
      </w:pPr>
    </w:p>
    <w:p w:rsidR="001B3767" w:rsidRDefault="001B3767" w:rsidP="000A76D2">
      <w:pPr>
        <w:pStyle w:val="atitulo2"/>
        <w:tabs>
          <w:tab w:val="left" w:pos="709"/>
        </w:tabs>
        <w:spacing w:before="320"/>
        <w:rPr>
          <w:color w:val="auto"/>
        </w:rPr>
      </w:pPr>
      <w:bookmarkStart w:id="83" w:name="_Toc434399412"/>
      <w:bookmarkEnd w:id="82"/>
      <w:r w:rsidRPr="0059004B">
        <w:rPr>
          <w:color w:val="auto"/>
        </w:rPr>
        <w:lastRenderedPageBreak/>
        <w:t>VII.</w:t>
      </w:r>
      <w:r>
        <w:rPr>
          <w:color w:val="auto"/>
        </w:rPr>
        <w:t>1</w:t>
      </w:r>
      <w:r w:rsidR="0080281D">
        <w:rPr>
          <w:color w:val="auto"/>
        </w:rPr>
        <w:t>1</w:t>
      </w:r>
      <w:r w:rsidRPr="0059004B">
        <w:rPr>
          <w:color w:val="auto"/>
        </w:rPr>
        <w:t xml:space="preserve">. </w:t>
      </w:r>
      <w:r>
        <w:rPr>
          <w:color w:val="auto"/>
        </w:rPr>
        <w:t>Operaciones financieras</w:t>
      </w:r>
      <w:bookmarkEnd w:id="83"/>
    </w:p>
    <w:p w:rsidR="001B3767" w:rsidRPr="00A312C1" w:rsidRDefault="001B3767" w:rsidP="000A76D2">
      <w:pPr>
        <w:pStyle w:val="texto"/>
        <w:spacing w:before="200"/>
        <w:rPr>
          <w:rFonts w:ascii="Arial" w:hAnsi="Arial" w:cs="Arial"/>
          <w:i/>
          <w:sz w:val="24"/>
        </w:rPr>
      </w:pPr>
      <w:r w:rsidRPr="00A312C1">
        <w:rPr>
          <w:rFonts w:ascii="Arial" w:hAnsi="Arial" w:cs="Arial"/>
          <w:i/>
          <w:sz w:val="24"/>
        </w:rPr>
        <w:t xml:space="preserve"> Endeudamiento</w:t>
      </w:r>
    </w:p>
    <w:p w:rsidR="001B3767" w:rsidRPr="006D43A7" w:rsidRDefault="001B3767" w:rsidP="003F752B">
      <w:pPr>
        <w:pStyle w:val="texto"/>
        <w:spacing w:after="20"/>
        <w:rPr>
          <w:lang w:val="es-ES"/>
        </w:rPr>
      </w:pPr>
      <w:r w:rsidRPr="006D43A7">
        <w:rPr>
          <w:lang w:val="es-ES"/>
        </w:rPr>
        <w:t xml:space="preserve">El endeudamiento de la Administración Foral y sus </w:t>
      </w:r>
      <w:r w:rsidR="009E36CD" w:rsidRPr="006D43A7">
        <w:rPr>
          <w:lang w:val="es-ES"/>
        </w:rPr>
        <w:t xml:space="preserve">organismos autónomos </w:t>
      </w:r>
      <w:r w:rsidRPr="006D43A7">
        <w:rPr>
          <w:lang w:val="es-ES"/>
        </w:rPr>
        <w:t>a 31 de diciembre de 2014 ascendía a 2.697,88 millones de euros y correspondía a las siguientes modalidades:</w:t>
      </w:r>
    </w:p>
    <w:p w:rsidR="000A76D2" w:rsidRDefault="000A76D2" w:rsidP="000A76D2">
      <w:pPr>
        <w:pStyle w:val="texto"/>
        <w:spacing w:after="80"/>
        <w:ind w:firstLine="7207"/>
        <w:jc w:val="center"/>
      </w:pPr>
      <w:r w:rsidRPr="00E05116">
        <w:rPr>
          <w:rFonts w:ascii="Arial" w:hAnsi="Arial" w:cs="Arial"/>
          <w:sz w:val="16"/>
          <w:szCs w:val="16"/>
          <w:lang w:val="es-ES" w:eastAsia="es-ES"/>
        </w:rPr>
        <w:t>(</w:t>
      </w:r>
      <w:proofErr w:type="gramStart"/>
      <w:r>
        <w:rPr>
          <w:rFonts w:ascii="Arial" w:hAnsi="Arial" w:cs="Arial"/>
          <w:sz w:val="16"/>
          <w:szCs w:val="16"/>
          <w:lang w:val="es-ES" w:eastAsia="es-ES"/>
        </w:rPr>
        <w:t>en</w:t>
      </w:r>
      <w:proofErr w:type="gramEnd"/>
      <w:r>
        <w:rPr>
          <w:rFonts w:ascii="Arial" w:hAnsi="Arial" w:cs="Arial"/>
          <w:sz w:val="16"/>
          <w:szCs w:val="16"/>
          <w:lang w:val="es-ES" w:eastAsia="es-ES"/>
        </w:rPr>
        <w:t xml:space="preserve"> miles</w:t>
      </w:r>
      <w:r w:rsidRPr="00E05116">
        <w:rPr>
          <w:rFonts w:ascii="Arial" w:hAnsi="Arial" w:cs="Arial"/>
          <w:sz w:val="16"/>
          <w:szCs w:val="16"/>
          <w:lang w:val="es-ES" w:eastAsia="es-ES"/>
        </w:rPr>
        <w:t xml:space="preserve"> de euros)</w:t>
      </w:r>
    </w:p>
    <w:tbl>
      <w:tblPr>
        <w:tblW w:w="8753" w:type="dxa"/>
        <w:jc w:val="center"/>
        <w:tblLayout w:type="fixed"/>
        <w:tblLook w:val="01E0" w:firstRow="1" w:lastRow="1" w:firstColumn="1" w:lastColumn="1" w:noHBand="0" w:noVBand="0"/>
      </w:tblPr>
      <w:tblGrid>
        <w:gridCol w:w="5018"/>
        <w:gridCol w:w="1134"/>
        <w:gridCol w:w="1079"/>
        <w:gridCol w:w="1522"/>
      </w:tblGrid>
      <w:tr w:rsidR="001B3767" w:rsidRPr="00D56713" w:rsidTr="000A76D2">
        <w:trPr>
          <w:trHeight w:val="331"/>
          <w:jc w:val="center"/>
        </w:trPr>
        <w:tc>
          <w:tcPr>
            <w:tcW w:w="5018"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E2288">
            <w:pPr>
              <w:pStyle w:val="cuadroCabe"/>
              <w:jc w:val="left"/>
              <w:rPr>
                <w:sz w:val="16"/>
                <w:szCs w:val="16"/>
              </w:rPr>
            </w:pPr>
            <w:r w:rsidRPr="00D56713">
              <w:rPr>
                <w:sz w:val="16"/>
                <w:szCs w:val="16"/>
              </w:rPr>
              <w:t>Endeudamiento</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t>2013</w:t>
            </w:r>
          </w:p>
        </w:tc>
        <w:tc>
          <w:tcPr>
            <w:tcW w:w="1079"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t>2014</w:t>
            </w:r>
          </w:p>
        </w:tc>
        <w:tc>
          <w:tcPr>
            <w:tcW w:w="1522"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t xml:space="preserve">Variación </w:t>
            </w:r>
            <w:r w:rsidR="00C2177C" w:rsidRPr="00D56713">
              <w:rPr>
                <w:sz w:val="16"/>
                <w:szCs w:val="16"/>
              </w:rPr>
              <w:t xml:space="preserve">neta </w:t>
            </w:r>
            <w:r w:rsidRPr="00D56713">
              <w:rPr>
                <w:sz w:val="16"/>
                <w:szCs w:val="16"/>
              </w:rPr>
              <w:t>2014//2013</w:t>
            </w:r>
          </w:p>
        </w:tc>
      </w:tr>
      <w:tr w:rsidR="001B3767" w:rsidRPr="00D56713" w:rsidTr="000A76D2">
        <w:trPr>
          <w:trHeight w:hRule="exact" w:val="227"/>
          <w:jc w:val="center"/>
        </w:trPr>
        <w:tc>
          <w:tcPr>
            <w:tcW w:w="5018" w:type="dxa"/>
            <w:tcBorders>
              <w:top w:val="single" w:sz="4" w:space="0" w:color="auto"/>
              <w:left w:val="nil"/>
              <w:bottom w:val="single" w:sz="2" w:space="0" w:color="auto"/>
              <w:right w:val="nil"/>
            </w:tcBorders>
            <w:vAlign w:val="center"/>
          </w:tcPr>
          <w:p w:rsidR="001B3767" w:rsidRPr="00D56713" w:rsidRDefault="001B3767" w:rsidP="000A76D2">
            <w:pPr>
              <w:pStyle w:val="cuatexto"/>
              <w:jc w:val="left"/>
              <w:rPr>
                <w:sz w:val="18"/>
                <w:szCs w:val="18"/>
              </w:rPr>
            </w:pPr>
            <w:r w:rsidRPr="00D56713">
              <w:rPr>
                <w:sz w:val="18"/>
                <w:szCs w:val="18"/>
              </w:rPr>
              <w:t>Deuda Pública (1)</w:t>
            </w:r>
          </w:p>
          <w:p w:rsidR="001B3767" w:rsidRPr="00D56713" w:rsidRDefault="001B3767" w:rsidP="000A76D2">
            <w:pPr>
              <w:pStyle w:val="cuatexto"/>
              <w:jc w:val="left"/>
              <w:rPr>
                <w:sz w:val="18"/>
                <w:szCs w:val="18"/>
              </w:rPr>
            </w:pPr>
          </w:p>
          <w:p w:rsidR="001B3767" w:rsidRPr="00D56713" w:rsidRDefault="001B3767" w:rsidP="000A76D2">
            <w:pPr>
              <w:pStyle w:val="cuatexto"/>
              <w:jc w:val="left"/>
              <w:rPr>
                <w:sz w:val="18"/>
                <w:szCs w:val="18"/>
              </w:rPr>
            </w:pPr>
            <w:r w:rsidRPr="00D56713">
              <w:rPr>
                <w:sz w:val="18"/>
                <w:szCs w:val="18"/>
              </w:rPr>
              <w:t>(1)</w:t>
            </w:r>
          </w:p>
        </w:tc>
        <w:tc>
          <w:tcPr>
            <w:tcW w:w="1134" w:type="dxa"/>
            <w:tcBorders>
              <w:top w:val="single" w:sz="4"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1.857.103</w:t>
            </w:r>
          </w:p>
        </w:tc>
        <w:tc>
          <w:tcPr>
            <w:tcW w:w="1079" w:type="dxa"/>
            <w:tcBorders>
              <w:top w:val="single" w:sz="4"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2.010.213</w:t>
            </w:r>
          </w:p>
        </w:tc>
        <w:tc>
          <w:tcPr>
            <w:tcW w:w="1522" w:type="dxa"/>
            <w:tcBorders>
              <w:top w:val="single" w:sz="4"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153.110</w:t>
            </w:r>
          </w:p>
        </w:tc>
      </w:tr>
      <w:tr w:rsidR="001B3767" w:rsidRPr="00D56713" w:rsidTr="000A76D2">
        <w:trPr>
          <w:trHeight w:hRule="exact" w:val="227"/>
          <w:jc w:val="center"/>
        </w:trPr>
        <w:tc>
          <w:tcPr>
            <w:tcW w:w="5018" w:type="dxa"/>
            <w:tcBorders>
              <w:top w:val="single" w:sz="2" w:space="0" w:color="auto"/>
              <w:left w:val="nil"/>
              <w:bottom w:val="single" w:sz="2" w:space="0" w:color="auto"/>
              <w:right w:val="nil"/>
            </w:tcBorders>
            <w:vAlign w:val="center"/>
          </w:tcPr>
          <w:p w:rsidR="001B3767" w:rsidRPr="00D56713" w:rsidRDefault="001B3767" w:rsidP="000A76D2">
            <w:pPr>
              <w:pStyle w:val="cuatexto"/>
              <w:jc w:val="left"/>
              <w:rPr>
                <w:sz w:val="18"/>
                <w:szCs w:val="18"/>
              </w:rPr>
            </w:pPr>
            <w:r w:rsidRPr="00D56713">
              <w:rPr>
                <w:sz w:val="18"/>
                <w:szCs w:val="18"/>
              </w:rPr>
              <w:t>Préstamos con el Banco Europeo Inversiones</w:t>
            </w:r>
          </w:p>
        </w:tc>
        <w:tc>
          <w:tcPr>
            <w:tcW w:w="1134"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300.000</w:t>
            </w:r>
          </w:p>
        </w:tc>
        <w:tc>
          <w:tcPr>
            <w:tcW w:w="1079"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300.000</w:t>
            </w:r>
          </w:p>
        </w:tc>
        <w:tc>
          <w:tcPr>
            <w:tcW w:w="1522"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0</w:t>
            </w:r>
          </w:p>
        </w:tc>
      </w:tr>
      <w:tr w:rsidR="001B3767" w:rsidRPr="00D56713" w:rsidTr="000A76D2">
        <w:trPr>
          <w:trHeight w:hRule="exact" w:val="227"/>
          <w:jc w:val="center"/>
        </w:trPr>
        <w:tc>
          <w:tcPr>
            <w:tcW w:w="5018" w:type="dxa"/>
            <w:tcBorders>
              <w:top w:val="single" w:sz="2" w:space="0" w:color="auto"/>
              <w:left w:val="nil"/>
              <w:bottom w:val="single" w:sz="2" w:space="0" w:color="auto"/>
              <w:right w:val="nil"/>
            </w:tcBorders>
            <w:vAlign w:val="center"/>
          </w:tcPr>
          <w:p w:rsidR="001B3767" w:rsidRPr="00D56713" w:rsidRDefault="001B3767" w:rsidP="000A76D2">
            <w:pPr>
              <w:pStyle w:val="cuatexto"/>
              <w:jc w:val="left"/>
              <w:rPr>
                <w:sz w:val="18"/>
                <w:szCs w:val="18"/>
              </w:rPr>
            </w:pPr>
            <w:r w:rsidRPr="00D56713">
              <w:rPr>
                <w:sz w:val="18"/>
                <w:szCs w:val="18"/>
              </w:rPr>
              <w:t xml:space="preserve">Préstamos con entidades financieras </w:t>
            </w:r>
          </w:p>
        </w:tc>
        <w:tc>
          <w:tcPr>
            <w:tcW w:w="1134"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306.600</w:t>
            </w:r>
          </w:p>
        </w:tc>
        <w:tc>
          <w:tcPr>
            <w:tcW w:w="1079"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365.400</w:t>
            </w:r>
          </w:p>
        </w:tc>
        <w:tc>
          <w:tcPr>
            <w:tcW w:w="1522"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58.800</w:t>
            </w:r>
          </w:p>
        </w:tc>
      </w:tr>
      <w:tr w:rsidR="001B3767" w:rsidRPr="00D56713" w:rsidTr="000A76D2">
        <w:trPr>
          <w:trHeight w:hRule="exact" w:val="227"/>
          <w:jc w:val="center"/>
        </w:trPr>
        <w:tc>
          <w:tcPr>
            <w:tcW w:w="5018" w:type="dxa"/>
            <w:tcBorders>
              <w:top w:val="single" w:sz="2" w:space="0" w:color="auto"/>
              <w:left w:val="nil"/>
              <w:bottom w:val="single" w:sz="2" w:space="0" w:color="auto"/>
              <w:right w:val="nil"/>
            </w:tcBorders>
            <w:vAlign w:val="center"/>
          </w:tcPr>
          <w:p w:rsidR="001B3767" w:rsidRPr="00D56713" w:rsidRDefault="001B3767" w:rsidP="000A76D2">
            <w:pPr>
              <w:pStyle w:val="cuatexto"/>
              <w:jc w:val="left"/>
              <w:rPr>
                <w:sz w:val="18"/>
                <w:szCs w:val="18"/>
              </w:rPr>
            </w:pPr>
            <w:r w:rsidRPr="00D56713">
              <w:rPr>
                <w:sz w:val="18"/>
                <w:szCs w:val="18"/>
              </w:rPr>
              <w:t xml:space="preserve">Préstamos con entidades privadas compra acciones </w:t>
            </w:r>
            <w:proofErr w:type="spellStart"/>
            <w:r w:rsidRPr="00D56713">
              <w:rPr>
                <w:sz w:val="18"/>
                <w:szCs w:val="18"/>
              </w:rPr>
              <w:t>Audenasa</w:t>
            </w:r>
            <w:proofErr w:type="spellEnd"/>
          </w:p>
        </w:tc>
        <w:tc>
          <w:tcPr>
            <w:tcW w:w="1134"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15.055</w:t>
            </w:r>
          </w:p>
        </w:tc>
        <w:tc>
          <w:tcPr>
            <w:tcW w:w="1079"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0</w:t>
            </w:r>
          </w:p>
        </w:tc>
        <w:tc>
          <w:tcPr>
            <w:tcW w:w="1522"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-15.055</w:t>
            </w:r>
          </w:p>
        </w:tc>
      </w:tr>
      <w:tr w:rsidR="001B3767" w:rsidRPr="00D56713" w:rsidTr="000A76D2">
        <w:trPr>
          <w:trHeight w:hRule="exact" w:val="227"/>
          <w:jc w:val="center"/>
        </w:trPr>
        <w:tc>
          <w:tcPr>
            <w:tcW w:w="5018" w:type="dxa"/>
            <w:tcBorders>
              <w:top w:val="single" w:sz="2" w:space="0" w:color="auto"/>
              <w:left w:val="nil"/>
              <w:bottom w:val="single" w:sz="2" w:space="0" w:color="auto"/>
              <w:right w:val="nil"/>
            </w:tcBorders>
            <w:vAlign w:val="center"/>
          </w:tcPr>
          <w:p w:rsidR="001B3767" w:rsidRPr="00D56713" w:rsidRDefault="001B3767" w:rsidP="000A76D2">
            <w:pPr>
              <w:pStyle w:val="cuatexto"/>
              <w:jc w:val="left"/>
              <w:rPr>
                <w:sz w:val="18"/>
                <w:szCs w:val="18"/>
              </w:rPr>
            </w:pPr>
            <w:r w:rsidRPr="00D56713">
              <w:rPr>
                <w:sz w:val="18"/>
                <w:szCs w:val="18"/>
              </w:rPr>
              <w:t>Préstamo con la seguridad social</w:t>
            </w:r>
          </w:p>
        </w:tc>
        <w:tc>
          <w:tcPr>
            <w:tcW w:w="1134"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9.783</w:t>
            </w:r>
          </w:p>
        </w:tc>
        <w:tc>
          <w:tcPr>
            <w:tcW w:w="1079"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9.686</w:t>
            </w:r>
          </w:p>
        </w:tc>
        <w:tc>
          <w:tcPr>
            <w:tcW w:w="1522" w:type="dxa"/>
            <w:tcBorders>
              <w:top w:val="single" w:sz="2" w:space="0" w:color="auto"/>
              <w:left w:val="nil"/>
              <w:bottom w:val="single" w:sz="2" w:space="0" w:color="auto"/>
              <w:right w:val="nil"/>
            </w:tcBorders>
            <w:vAlign w:val="center"/>
          </w:tcPr>
          <w:p w:rsidR="001B3767" w:rsidRPr="00D56713" w:rsidRDefault="001B3767" w:rsidP="000A76D2">
            <w:pPr>
              <w:pStyle w:val="cuatexto"/>
              <w:jc w:val="right"/>
              <w:rPr>
                <w:sz w:val="18"/>
                <w:szCs w:val="18"/>
              </w:rPr>
            </w:pPr>
            <w:r w:rsidRPr="00D56713">
              <w:rPr>
                <w:sz w:val="18"/>
                <w:szCs w:val="18"/>
              </w:rPr>
              <w:t>-97</w:t>
            </w:r>
          </w:p>
        </w:tc>
      </w:tr>
      <w:tr w:rsidR="001B3767" w:rsidRPr="00D56713" w:rsidTr="000A76D2">
        <w:trPr>
          <w:trHeight w:hRule="exact" w:val="227"/>
          <w:jc w:val="center"/>
        </w:trPr>
        <w:tc>
          <w:tcPr>
            <w:tcW w:w="5018" w:type="dxa"/>
            <w:tcBorders>
              <w:top w:val="single" w:sz="2" w:space="0" w:color="auto"/>
              <w:left w:val="nil"/>
              <w:bottom w:val="single" w:sz="4" w:space="0" w:color="auto"/>
              <w:right w:val="nil"/>
            </w:tcBorders>
            <w:vAlign w:val="center"/>
          </w:tcPr>
          <w:p w:rsidR="001B3767" w:rsidRPr="00D56713" w:rsidRDefault="001B3767" w:rsidP="000A76D2">
            <w:pPr>
              <w:pStyle w:val="cuatexto"/>
              <w:jc w:val="left"/>
              <w:rPr>
                <w:sz w:val="18"/>
                <w:szCs w:val="18"/>
              </w:rPr>
            </w:pPr>
            <w:r w:rsidRPr="00D56713">
              <w:rPr>
                <w:sz w:val="18"/>
                <w:szCs w:val="18"/>
              </w:rPr>
              <w:t>Préstamos con otro sector público</w:t>
            </w:r>
          </w:p>
        </w:tc>
        <w:tc>
          <w:tcPr>
            <w:tcW w:w="1134" w:type="dxa"/>
            <w:tcBorders>
              <w:top w:val="single" w:sz="2" w:space="0" w:color="auto"/>
              <w:left w:val="nil"/>
              <w:bottom w:val="single" w:sz="4" w:space="0" w:color="auto"/>
              <w:right w:val="nil"/>
            </w:tcBorders>
            <w:vAlign w:val="center"/>
          </w:tcPr>
          <w:p w:rsidR="001B3767" w:rsidRPr="00D56713" w:rsidRDefault="001B3767" w:rsidP="000A76D2">
            <w:pPr>
              <w:pStyle w:val="cuatexto"/>
              <w:jc w:val="right"/>
              <w:rPr>
                <w:sz w:val="18"/>
                <w:szCs w:val="18"/>
              </w:rPr>
            </w:pPr>
            <w:r w:rsidRPr="00D56713">
              <w:rPr>
                <w:sz w:val="18"/>
                <w:szCs w:val="18"/>
              </w:rPr>
              <w:t>13.087</w:t>
            </w:r>
          </w:p>
        </w:tc>
        <w:tc>
          <w:tcPr>
            <w:tcW w:w="1079" w:type="dxa"/>
            <w:tcBorders>
              <w:top w:val="single" w:sz="2" w:space="0" w:color="auto"/>
              <w:left w:val="nil"/>
              <w:bottom w:val="single" w:sz="4" w:space="0" w:color="auto"/>
              <w:right w:val="nil"/>
            </w:tcBorders>
            <w:vAlign w:val="center"/>
          </w:tcPr>
          <w:p w:rsidR="001B3767" w:rsidRPr="00D56713" w:rsidRDefault="001B3767" w:rsidP="000A76D2">
            <w:pPr>
              <w:pStyle w:val="cuatexto"/>
              <w:jc w:val="right"/>
              <w:rPr>
                <w:sz w:val="18"/>
                <w:szCs w:val="18"/>
              </w:rPr>
            </w:pPr>
            <w:r w:rsidRPr="00D56713">
              <w:rPr>
                <w:sz w:val="18"/>
                <w:szCs w:val="18"/>
              </w:rPr>
              <w:t>12.579</w:t>
            </w:r>
          </w:p>
        </w:tc>
        <w:tc>
          <w:tcPr>
            <w:tcW w:w="1522" w:type="dxa"/>
            <w:tcBorders>
              <w:top w:val="single" w:sz="2" w:space="0" w:color="auto"/>
              <w:left w:val="nil"/>
              <w:bottom w:val="single" w:sz="4" w:space="0" w:color="auto"/>
              <w:right w:val="nil"/>
            </w:tcBorders>
            <w:vAlign w:val="center"/>
          </w:tcPr>
          <w:p w:rsidR="001B3767" w:rsidRPr="00D56713" w:rsidRDefault="001B3767" w:rsidP="000A76D2">
            <w:pPr>
              <w:pStyle w:val="cuatexto"/>
              <w:jc w:val="right"/>
              <w:rPr>
                <w:sz w:val="18"/>
                <w:szCs w:val="18"/>
              </w:rPr>
            </w:pPr>
            <w:r w:rsidRPr="00D56713">
              <w:rPr>
                <w:sz w:val="18"/>
                <w:szCs w:val="18"/>
              </w:rPr>
              <w:t>-508</w:t>
            </w:r>
          </w:p>
        </w:tc>
      </w:tr>
      <w:tr w:rsidR="001B3767" w:rsidRPr="00D56713" w:rsidTr="000A76D2">
        <w:trPr>
          <w:trHeight w:hRule="exact" w:val="312"/>
          <w:jc w:val="center"/>
        </w:trPr>
        <w:tc>
          <w:tcPr>
            <w:tcW w:w="5018"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left"/>
              <w:rPr>
                <w:sz w:val="16"/>
                <w:szCs w:val="16"/>
              </w:rPr>
            </w:pPr>
            <w:r w:rsidRPr="00D56713">
              <w:rPr>
                <w:sz w:val="16"/>
                <w:szCs w:val="16"/>
              </w:rPr>
              <w:t>Total endeudamiento</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fldChar w:fldCharType="begin"/>
            </w:r>
            <w:r w:rsidRPr="00D56713">
              <w:rPr>
                <w:sz w:val="16"/>
                <w:szCs w:val="16"/>
              </w:rPr>
              <w:instrText xml:space="preserve"> =SUM(ABOVE) </w:instrText>
            </w:r>
            <w:r w:rsidRPr="00D56713">
              <w:rPr>
                <w:sz w:val="16"/>
                <w:szCs w:val="16"/>
              </w:rPr>
              <w:fldChar w:fldCharType="separate"/>
            </w:r>
            <w:r w:rsidRPr="00D56713">
              <w:rPr>
                <w:sz w:val="16"/>
                <w:szCs w:val="16"/>
              </w:rPr>
              <w:t>2.501.628</w:t>
            </w:r>
            <w:r w:rsidRPr="00D56713">
              <w:rPr>
                <w:sz w:val="16"/>
                <w:szCs w:val="16"/>
              </w:rPr>
              <w:fldChar w:fldCharType="end"/>
            </w:r>
          </w:p>
        </w:tc>
        <w:tc>
          <w:tcPr>
            <w:tcW w:w="1079"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fldChar w:fldCharType="begin"/>
            </w:r>
            <w:r w:rsidRPr="00D56713">
              <w:rPr>
                <w:sz w:val="16"/>
                <w:szCs w:val="16"/>
              </w:rPr>
              <w:instrText xml:space="preserve"> =SUM(ABOVE) </w:instrText>
            </w:r>
            <w:r w:rsidRPr="00D56713">
              <w:rPr>
                <w:sz w:val="16"/>
                <w:szCs w:val="16"/>
              </w:rPr>
              <w:fldChar w:fldCharType="separate"/>
            </w:r>
            <w:r w:rsidRPr="00D56713">
              <w:rPr>
                <w:sz w:val="16"/>
                <w:szCs w:val="16"/>
              </w:rPr>
              <w:t>2.697.878</w:t>
            </w:r>
            <w:r w:rsidRPr="00D56713">
              <w:rPr>
                <w:sz w:val="16"/>
                <w:szCs w:val="16"/>
              </w:rPr>
              <w:fldChar w:fldCharType="end"/>
            </w:r>
          </w:p>
        </w:tc>
        <w:tc>
          <w:tcPr>
            <w:tcW w:w="1522" w:type="dxa"/>
            <w:tcBorders>
              <w:top w:val="single" w:sz="4" w:space="0" w:color="auto"/>
              <w:left w:val="nil"/>
              <w:bottom w:val="single" w:sz="4" w:space="0" w:color="auto"/>
              <w:right w:val="nil"/>
            </w:tcBorders>
            <w:shd w:val="clear" w:color="auto" w:fill="8DB3E2" w:themeFill="text2" w:themeFillTint="66"/>
            <w:vAlign w:val="center"/>
          </w:tcPr>
          <w:p w:rsidR="001B3767" w:rsidRPr="00D56713" w:rsidRDefault="001B3767" w:rsidP="000A76D2">
            <w:pPr>
              <w:pStyle w:val="cuadroCabe"/>
              <w:jc w:val="right"/>
              <w:rPr>
                <w:sz w:val="16"/>
                <w:szCs w:val="16"/>
              </w:rPr>
            </w:pPr>
            <w:r w:rsidRPr="00D56713">
              <w:rPr>
                <w:sz w:val="16"/>
                <w:szCs w:val="16"/>
              </w:rPr>
              <w:fldChar w:fldCharType="begin"/>
            </w:r>
            <w:r w:rsidRPr="00D56713">
              <w:rPr>
                <w:sz w:val="16"/>
                <w:szCs w:val="16"/>
              </w:rPr>
              <w:instrText xml:space="preserve"> =SUM(ABOVE) </w:instrText>
            </w:r>
            <w:r w:rsidRPr="00D56713">
              <w:rPr>
                <w:sz w:val="16"/>
                <w:szCs w:val="16"/>
              </w:rPr>
              <w:fldChar w:fldCharType="separate"/>
            </w:r>
            <w:r w:rsidRPr="00D56713">
              <w:rPr>
                <w:sz w:val="16"/>
                <w:szCs w:val="16"/>
              </w:rPr>
              <w:t>196.250</w:t>
            </w:r>
            <w:r w:rsidRPr="00D56713">
              <w:rPr>
                <w:sz w:val="16"/>
                <w:szCs w:val="16"/>
              </w:rPr>
              <w:fldChar w:fldCharType="end"/>
            </w:r>
          </w:p>
        </w:tc>
      </w:tr>
    </w:tbl>
    <w:p w:rsidR="001B3767" w:rsidRPr="000C63A9" w:rsidRDefault="001B3767" w:rsidP="003170CD">
      <w:pPr>
        <w:pStyle w:val="texto"/>
        <w:numPr>
          <w:ilvl w:val="0"/>
          <w:numId w:val="7"/>
        </w:numPr>
        <w:tabs>
          <w:tab w:val="clear" w:pos="2835"/>
        </w:tabs>
        <w:spacing w:before="40" w:after="160"/>
        <w:ind w:left="448" w:hanging="357"/>
        <w:rPr>
          <w:rFonts w:ascii="Arial Narrow" w:hAnsi="Arial Narrow" w:cs="Arial"/>
          <w:sz w:val="18"/>
          <w:szCs w:val="18"/>
        </w:rPr>
      </w:pPr>
      <w:r w:rsidRPr="000C63A9">
        <w:rPr>
          <w:rFonts w:ascii="Arial Narrow" w:hAnsi="Arial Narrow" w:cs="Arial"/>
          <w:sz w:val="18"/>
          <w:szCs w:val="18"/>
        </w:rPr>
        <w:t>Valor a coste amortizado.</w:t>
      </w:r>
    </w:p>
    <w:p w:rsidR="001B3767" w:rsidRDefault="001B3767" w:rsidP="003170CD">
      <w:pPr>
        <w:pStyle w:val="texto"/>
        <w:spacing w:after="100"/>
        <w:rPr>
          <w:lang w:val="es-ES"/>
        </w:rPr>
      </w:pPr>
      <w:r w:rsidRPr="006D43A7">
        <w:rPr>
          <w:lang w:val="es-ES"/>
        </w:rPr>
        <w:t>La deuda pública representa el 75 por ciento del endeudamiento y los pré</w:t>
      </w:r>
      <w:r w:rsidRPr="006D43A7">
        <w:rPr>
          <w:lang w:val="es-ES"/>
        </w:rPr>
        <w:t>s</w:t>
      </w:r>
      <w:r w:rsidRPr="006D43A7">
        <w:rPr>
          <w:lang w:val="es-ES"/>
        </w:rPr>
        <w:t>tamos con entidades financieras un 24,5 por ciento. El 12 por ciento del ende</w:t>
      </w:r>
      <w:r w:rsidRPr="006D43A7">
        <w:rPr>
          <w:lang w:val="es-ES"/>
        </w:rPr>
        <w:t>u</w:t>
      </w:r>
      <w:r w:rsidRPr="006D43A7">
        <w:rPr>
          <w:lang w:val="es-ES"/>
        </w:rPr>
        <w:t xml:space="preserve">damiento vence en el ejercicio siguiente.  </w:t>
      </w:r>
    </w:p>
    <w:p w:rsidR="001B3767" w:rsidRPr="006D43A7" w:rsidRDefault="001B3767" w:rsidP="003170CD">
      <w:pPr>
        <w:pStyle w:val="texto"/>
        <w:spacing w:after="100"/>
        <w:rPr>
          <w:lang w:val="es-ES"/>
        </w:rPr>
      </w:pPr>
      <w:r w:rsidRPr="006D43A7">
        <w:rPr>
          <w:lang w:val="es-ES"/>
        </w:rPr>
        <w:t>En el Acuerdo del Gobierno de Navarra, de 30 de diciembre de 2013, por el que se dictan las normas de ejecución que regirán la prórroga de los Presupue</w:t>
      </w:r>
      <w:r w:rsidRPr="006D43A7">
        <w:rPr>
          <w:lang w:val="es-ES"/>
        </w:rPr>
        <w:t>s</w:t>
      </w:r>
      <w:r w:rsidRPr="006D43A7">
        <w:rPr>
          <w:lang w:val="es-ES"/>
        </w:rPr>
        <w:t>tos Generales de Navarra de 2012, para el ejercicio de 2014, se estableció que dentro del límite fijado en el artículo 13 de la Ley Foral 19/2011, de 28 de d</w:t>
      </w:r>
      <w:r w:rsidRPr="006D43A7">
        <w:rPr>
          <w:lang w:val="es-ES"/>
        </w:rPr>
        <w:t>i</w:t>
      </w:r>
      <w:r w:rsidRPr="006D43A7">
        <w:rPr>
          <w:lang w:val="es-ES"/>
        </w:rPr>
        <w:t>ciembre, de Presupuestos Generales de Navarra para el año 2012, se podrán formalizar operaciones de endeudamiento con la limitación de que el saldo vivo a 31 de diciembre de 2014 no supere en más de 282.957.085 euros el corre</w:t>
      </w:r>
      <w:r w:rsidRPr="006D43A7">
        <w:rPr>
          <w:lang w:val="es-ES"/>
        </w:rPr>
        <w:t>s</w:t>
      </w:r>
      <w:r w:rsidRPr="006D43A7">
        <w:rPr>
          <w:lang w:val="es-ES"/>
        </w:rPr>
        <w:t>pondiente saldo vivo a 1 de enero de 2014.</w:t>
      </w:r>
    </w:p>
    <w:p w:rsidR="001B3767" w:rsidRDefault="001B3767" w:rsidP="003170CD">
      <w:pPr>
        <w:pStyle w:val="texto"/>
        <w:spacing w:after="100"/>
        <w:rPr>
          <w:lang w:val="es-ES"/>
        </w:rPr>
      </w:pPr>
      <w:r w:rsidRPr="006D43A7">
        <w:rPr>
          <w:lang w:val="es-ES"/>
        </w:rPr>
        <w:t>El endeudamiento</w:t>
      </w:r>
      <w:r w:rsidR="00207E4F">
        <w:rPr>
          <w:lang w:val="es-ES"/>
        </w:rPr>
        <w:t xml:space="preserve"> neto</w:t>
      </w:r>
      <w:r w:rsidRPr="006D43A7">
        <w:rPr>
          <w:lang w:val="es-ES"/>
        </w:rPr>
        <w:t xml:space="preserve"> se incrementó</w:t>
      </w:r>
      <w:r w:rsidR="00207E4F">
        <w:rPr>
          <w:lang w:val="es-ES"/>
        </w:rPr>
        <w:t xml:space="preserve"> </w:t>
      </w:r>
      <w:r w:rsidRPr="006D43A7">
        <w:rPr>
          <w:lang w:val="es-ES"/>
        </w:rPr>
        <w:t>en un ocho por ciento, 196,25 millones de euros, del ejercicio 2013 al 2014.</w:t>
      </w:r>
    </w:p>
    <w:p w:rsidR="00207E4F" w:rsidRPr="006D43A7" w:rsidRDefault="00207E4F" w:rsidP="003170CD">
      <w:pPr>
        <w:pStyle w:val="texto"/>
        <w:spacing w:after="100"/>
        <w:rPr>
          <w:lang w:val="es-ES"/>
        </w:rPr>
      </w:pPr>
      <w:r>
        <w:rPr>
          <w:lang w:val="es-ES"/>
        </w:rPr>
        <w:t xml:space="preserve">En 2014 se amortizó el préstamo de 15,06 millones concertado con entidades privadas para la compra de acciones de </w:t>
      </w:r>
      <w:r w:rsidR="00323A29">
        <w:rPr>
          <w:lang w:val="es-ES"/>
        </w:rPr>
        <w:t xml:space="preserve">la empresa </w:t>
      </w:r>
      <w:proofErr w:type="spellStart"/>
      <w:r w:rsidR="00323A29">
        <w:rPr>
          <w:lang w:val="es-ES"/>
        </w:rPr>
        <w:t>A</w:t>
      </w:r>
      <w:r>
        <w:rPr>
          <w:lang w:val="es-ES"/>
        </w:rPr>
        <w:t>udenasa</w:t>
      </w:r>
      <w:proofErr w:type="spellEnd"/>
      <w:r w:rsidR="00323A29">
        <w:rPr>
          <w:lang w:val="es-ES"/>
        </w:rPr>
        <w:t>.</w:t>
      </w:r>
    </w:p>
    <w:p w:rsidR="001B3767" w:rsidRPr="006D43A7" w:rsidRDefault="001B3767" w:rsidP="003170CD">
      <w:pPr>
        <w:pStyle w:val="texto"/>
        <w:spacing w:after="60"/>
        <w:rPr>
          <w:lang w:val="es-ES"/>
        </w:rPr>
      </w:pPr>
      <w:r w:rsidRPr="006D43A7">
        <w:rPr>
          <w:lang w:val="es-ES"/>
        </w:rPr>
        <w:t>A continuación se muestra el tipo de interés medio del endeudamiento co</w:t>
      </w:r>
      <w:r w:rsidRPr="006D43A7">
        <w:rPr>
          <w:lang w:val="es-ES"/>
        </w:rPr>
        <w:t>n</w:t>
      </w:r>
      <w:r w:rsidRPr="006D43A7">
        <w:rPr>
          <w:lang w:val="es-ES"/>
        </w:rPr>
        <w:t xml:space="preserve">certado en 2014 y del endeudamiento total.                                                                                                                                                     </w:t>
      </w:r>
    </w:p>
    <w:p w:rsidR="002141E2" w:rsidRDefault="001B3767" w:rsidP="002141E2">
      <w:pPr>
        <w:pStyle w:val="texto"/>
        <w:spacing w:after="80"/>
        <w:ind w:left="6237" w:firstLine="970"/>
        <w:jc w:val="center"/>
      </w:pPr>
      <w:r>
        <w:rPr>
          <w:rFonts w:cs="Arial"/>
        </w:rPr>
        <w:t xml:space="preserve"> </w:t>
      </w:r>
      <w:r w:rsidR="002141E2" w:rsidRPr="00E05116">
        <w:rPr>
          <w:rFonts w:ascii="Arial" w:hAnsi="Arial" w:cs="Arial"/>
          <w:sz w:val="16"/>
          <w:szCs w:val="16"/>
          <w:lang w:val="es-ES" w:eastAsia="es-ES"/>
        </w:rPr>
        <w:t>(</w:t>
      </w:r>
      <w:proofErr w:type="gramStart"/>
      <w:r w:rsidR="002141E2">
        <w:rPr>
          <w:rFonts w:ascii="Arial" w:hAnsi="Arial" w:cs="Arial"/>
          <w:sz w:val="16"/>
          <w:szCs w:val="16"/>
          <w:lang w:val="es-ES" w:eastAsia="es-ES"/>
        </w:rPr>
        <w:t>en</w:t>
      </w:r>
      <w:proofErr w:type="gramEnd"/>
      <w:r w:rsidR="002141E2">
        <w:rPr>
          <w:rFonts w:ascii="Arial" w:hAnsi="Arial" w:cs="Arial"/>
          <w:sz w:val="16"/>
          <w:szCs w:val="16"/>
          <w:lang w:val="es-ES" w:eastAsia="es-ES"/>
        </w:rPr>
        <w:t xml:space="preserve"> miles</w:t>
      </w:r>
      <w:r w:rsidR="002141E2" w:rsidRPr="00E05116">
        <w:rPr>
          <w:rFonts w:ascii="Arial" w:hAnsi="Arial" w:cs="Arial"/>
          <w:sz w:val="16"/>
          <w:szCs w:val="16"/>
          <w:lang w:val="es-ES" w:eastAsia="es-ES"/>
        </w:rPr>
        <w:t xml:space="preserve"> de euros)</w:t>
      </w:r>
    </w:p>
    <w:tbl>
      <w:tblPr>
        <w:tblW w:w="8821" w:type="dxa"/>
        <w:jc w:val="center"/>
        <w:tblLayout w:type="fixed"/>
        <w:tblLook w:val="01E0" w:firstRow="1" w:lastRow="1" w:firstColumn="1" w:lastColumn="1" w:noHBand="0" w:noVBand="0"/>
      </w:tblPr>
      <w:tblGrid>
        <w:gridCol w:w="3804"/>
        <w:gridCol w:w="1592"/>
        <w:gridCol w:w="914"/>
        <w:gridCol w:w="1589"/>
        <w:gridCol w:w="922"/>
      </w:tblGrid>
      <w:tr w:rsidR="001B3767" w:rsidRPr="002141E2" w:rsidTr="002141E2">
        <w:trPr>
          <w:trHeight w:val="340"/>
          <w:jc w:val="center"/>
        </w:trPr>
        <w:tc>
          <w:tcPr>
            <w:tcW w:w="3804"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0E2288">
            <w:pPr>
              <w:pStyle w:val="cuadroCabe"/>
              <w:jc w:val="left"/>
              <w:rPr>
                <w:sz w:val="16"/>
                <w:szCs w:val="16"/>
              </w:rPr>
            </w:pPr>
            <w:r w:rsidRPr="002141E2">
              <w:rPr>
                <w:sz w:val="16"/>
                <w:szCs w:val="16"/>
              </w:rPr>
              <w:t>Modalidad de endeudamiento</w:t>
            </w:r>
          </w:p>
        </w:tc>
        <w:tc>
          <w:tcPr>
            <w:tcW w:w="1592"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t>Endeudamiento concertado en 2014</w:t>
            </w:r>
          </w:p>
        </w:tc>
        <w:tc>
          <w:tcPr>
            <w:tcW w:w="914"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t xml:space="preserve">Tipo </w:t>
            </w:r>
          </w:p>
          <w:p w:rsidR="001B3767" w:rsidRPr="002141E2" w:rsidRDefault="001B3767" w:rsidP="002141E2">
            <w:pPr>
              <w:pStyle w:val="cuadroCabe"/>
              <w:jc w:val="right"/>
              <w:rPr>
                <w:sz w:val="16"/>
                <w:szCs w:val="16"/>
              </w:rPr>
            </w:pPr>
            <w:r w:rsidRPr="002141E2">
              <w:rPr>
                <w:sz w:val="16"/>
                <w:szCs w:val="16"/>
              </w:rPr>
              <w:t xml:space="preserve">interés </w:t>
            </w:r>
          </w:p>
          <w:p w:rsidR="001B3767" w:rsidRPr="002141E2" w:rsidRDefault="001B3767" w:rsidP="002141E2">
            <w:pPr>
              <w:pStyle w:val="cuadroCabe"/>
              <w:jc w:val="right"/>
              <w:rPr>
                <w:sz w:val="16"/>
                <w:szCs w:val="16"/>
              </w:rPr>
            </w:pPr>
            <w:r w:rsidRPr="002141E2">
              <w:rPr>
                <w:sz w:val="16"/>
                <w:szCs w:val="16"/>
              </w:rPr>
              <w:t>medio</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2141E2" w:rsidRDefault="001B3767" w:rsidP="002141E2">
            <w:pPr>
              <w:pStyle w:val="cuadroCabe"/>
              <w:jc w:val="right"/>
              <w:rPr>
                <w:sz w:val="16"/>
                <w:szCs w:val="16"/>
              </w:rPr>
            </w:pPr>
            <w:r w:rsidRPr="002141E2">
              <w:rPr>
                <w:sz w:val="16"/>
                <w:szCs w:val="16"/>
              </w:rPr>
              <w:t xml:space="preserve">Total </w:t>
            </w:r>
          </w:p>
          <w:p w:rsidR="001B3767" w:rsidRPr="002141E2" w:rsidRDefault="001B3767" w:rsidP="002141E2">
            <w:pPr>
              <w:pStyle w:val="cuadroCabe"/>
              <w:jc w:val="right"/>
              <w:rPr>
                <w:sz w:val="16"/>
                <w:szCs w:val="16"/>
              </w:rPr>
            </w:pPr>
            <w:r w:rsidRPr="002141E2">
              <w:rPr>
                <w:sz w:val="16"/>
                <w:szCs w:val="16"/>
              </w:rPr>
              <w:t>endeudamiento a 31/12/2014</w:t>
            </w:r>
          </w:p>
        </w:tc>
        <w:tc>
          <w:tcPr>
            <w:tcW w:w="922" w:type="dxa"/>
            <w:tcBorders>
              <w:top w:val="single" w:sz="4" w:space="0" w:color="auto"/>
              <w:left w:val="nil"/>
              <w:bottom w:val="single" w:sz="4" w:space="0" w:color="auto"/>
              <w:right w:val="nil"/>
            </w:tcBorders>
            <w:shd w:val="clear" w:color="auto" w:fill="8DB3E2" w:themeFill="text2" w:themeFillTint="66"/>
            <w:vAlign w:val="center"/>
          </w:tcPr>
          <w:p w:rsidR="002141E2" w:rsidRDefault="001B3767" w:rsidP="002141E2">
            <w:pPr>
              <w:pStyle w:val="cuadroCabe"/>
              <w:jc w:val="right"/>
              <w:rPr>
                <w:sz w:val="16"/>
                <w:szCs w:val="16"/>
              </w:rPr>
            </w:pPr>
            <w:r w:rsidRPr="002141E2">
              <w:rPr>
                <w:sz w:val="16"/>
                <w:szCs w:val="16"/>
              </w:rPr>
              <w:t xml:space="preserve">Tipo </w:t>
            </w:r>
          </w:p>
          <w:p w:rsidR="001B3767" w:rsidRPr="002141E2" w:rsidRDefault="001B3767" w:rsidP="002141E2">
            <w:pPr>
              <w:pStyle w:val="cuadroCabe"/>
              <w:jc w:val="right"/>
              <w:rPr>
                <w:sz w:val="16"/>
                <w:szCs w:val="16"/>
              </w:rPr>
            </w:pPr>
            <w:r w:rsidRPr="002141E2">
              <w:rPr>
                <w:sz w:val="16"/>
                <w:szCs w:val="16"/>
              </w:rPr>
              <w:t>interés</w:t>
            </w:r>
          </w:p>
          <w:p w:rsidR="001B3767" w:rsidRPr="002141E2" w:rsidRDefault="001B3767" w:rsidP="002141E2">
            <w:pPr>
              <w:pStyle w:val="cuadroCabe"/>
              <w:jc w:val="right"/>
              <w:rPr>
                <w:sz w:val="16"/>
                <w:szCs w:val="16"/>
              </w:rPr>
            </w:pPr>
            <w:r w:rsidRPr="002141E2">
              <w:rPr>
                <w:sz w:val="16"/>
                <w:szCs w:val="16"/>
              </w:rPr>
              <w:t xml:space="preserve"> medio</w:t>
            </w:r>
          </w:p>
        </w:tc>
      </w:tr>
      <w:tr w:rsidR="001B3767" w:rsidRPr="002141E2" w:rsidTr="002141E2">
        <w:trPr>
          <w:trHeight w:val="227"/>
          <w:jc w:val="center"/>
        </w:trPr>
        <w:tc>
          <w:tcPr>
            <w:tcW w:w="3804" w:type="dxa"/>
            <w:tcBorders>
              <w:top w:val="single" w:sz="4" w:space="0" w:color="auto"/>
              <w:left w:val="nil"/>
              <w:bottom w:val="single" w:sz="2" w:space="0" w:color="auto"/>
              <w:right w:val="nil"/>
            </w:tcBorders>
            <w:vAlign w:val="center"/>
          </w:tcPr>
          <w:p w:rsidR="001B3767" w:rsidRPr="002141E2" w:rsidRDefault="001B3767" w:rsidP="002141E2">
            <w:pPr>
              <w:pStyle w:val="cuatexto"/>
              <w:jc w:val="left"/>
              <w:rPr>
                <w:sz w:val="18"/>
                <w:szCs w:val="18"/>
              </w:rPr>
            </w:pPr>
            <w:r w:rsidRPr="002141E2">
              <w:rPr>
                <w:sz w:val="18"/>
                <w:szCs w:val="18"/>
              </w:rPr>
              <w:t>Deuda Pública</w:t>
            </w:r>
          </w:p>
        </w:tc>
        <w:tc>
          <w:tcPr>
            <w:tcW w:w="1592" w:type="dxa"/>
            <w:tcBorders>
              <w:top w:val="single" w:sz="4"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349.800</w:t>
            </w:r>
          </w:p>
        </w:tc>
        <w:tc>
          <w:tcPr>
            <w:tcW w:w="914" w:type="dxa"/>
            <w:tcBorders>
              <w:top w:val="single" w:sz="4"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3,14</w:t>
            </w:r>
          </w:p>
        </w:tc>
        <w:tc>
          <w:tcPr>
            <w:tcW w:w="1589" w:type="dxa"/>
            <w:tcBorders>
              <w:top w:val="single" w:sz="4"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2.010.213</w:t>
            </w:r>
          </w:p>
        </w:tc>
        <w:tc>
          <w:tcPr>
            <w:tcW w:w="922" w:type="dxa"/>
            <w:tcBorders>
              <w:top w:val="single" w:sz="4"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4,30</w:t>
            </w:r>
          </w:p>
        </w:tc>
      </w:tr>
      <w:tr w:rsidR="001B3767" w:rsidRPr="002141E2"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2141E2" w:rsidRDefault="001B3767" w:rsidP="002141E2">
            <w:pPr>
              <w:pStyle w:val="cuatexto"/>
              <w:jc w:val="left"/>
              <w:rPr>
                <w:sz w:val="18"/>
                <w:szCs w:val="18"/>
              </w:rPr>
            </w:pPr>
            <w:r w:rsidRPr="002141E2">
              <w:rPr>
                <w:sz w:val="18"/>
                <w:szCs w:val="18"/>
              </w:rPr>
              <w:t>Préstamos con entidades financieras</w:t>
            </w:r>
          </w:p>
        </w:tc>
        <w:tc>
          <w:tcPr>
            <w:tcW w:w="159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143.000</w:t>
            </w:r>
          </w:p>
        </w:tc>
        <w:tc>
          <w:tcPr>
            <w:tcW w:w="914"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3,66</w:t>
            </w:r>
          </w:p>
        </w:tc>
        <w:tc>
          <w:tcPr>
            <w:tcW w:w="1589"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365.400</w:t>
            </w:r>
          </w:p>
        </w:tc>
        <w:tc>
          <w:tcPr>
            <w:tcW w:w="92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4,54</w:t>
            </w:r>
          </w:p>
        </w:tc>
      </w:tr>
      <w:tr w:rsidR="001B3767" w:rsidRPr="002141E2"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2141E2" w:rsidRDefault="001B3767" w:rsidP="002141E2">
            <w:pPr>
              <w:pStyle w:val="cuatexto"/>
              <w:jc w:val="left"/>
              <w:rPr>
                <w:sz w:val="18"/>
                <w:szCs w:val="18"/>
              </w:rPr>
            </w:pPr>
            <w:r w:rsidRPr="002141E2">
              <w:rPr>
                <w:sz w:val="18"/>
                <w:szCs w:val="18"/>
              </w:rPr>
              <w:t>Préstamos con el Banco Europeo de Inversiones</w:t>
            </w:r>
          </w:p>
        </w:tc>
        <w:tc>
          <w:tcPr>
            <w:tcW w:w="159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0</w:t>
            </w:r>
          </w:p>
        </w:tc>
        <w:tc>
          <w:tcPr>
            <w:tcW w:w="914"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p>
        </w:tc>
        <w:tc>
          <w:tcPr>
            <w:tcW w:w="1589"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300.000</w:t>
            </w:r>
          </w:p>
        </w:tc>
        <w:tc>
          <w:tcPr>
            <w:tcW w:w="92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1,82(1)</w:t>
            </w:r>
          </w:p>
        </w:tc>
      </w:tr>
      <w:tr w:rsidR="001B3767" w:rsidRPr="002141E2" w:rsidTr="002141E2">
        <w:trPr>
          <w:trHeight w:val="227"/>
          <w:jc w:val="center"/>
        </w:trPr>
        <w:tc>
          <w:tcPr>
            <w:tcW w:w="3804" w:type="dxa"/>
            <w:tcBorders>
              <w:top w:val="single" w:sz="2" w:space="0" w:color="auto"/>
              <w:left w:val="nil"/>
              <w:bottom w:val="single" w:sz="2" w:space="0" w:color="auto"/>
              <w:right w:val="nil"/>
            </w:tcBorders>
            <w:vAlign w:val="center"/>
          </w:tcPr>
          <w:p w:rsidR="001B3767" w:rsidRPr="002141E2" w:rsidRDefault="001B3767" w:rsidP="002141E2">
            <w:pPr>
              <w:pStyle w:val="cuatexto"/>
              <w:jc w:val="left"/>
              <w:rPr>
                <w:sz w:val="18"/>
                <w:szCs w:val="18"/>
              </w:rPr>
            </w:pPr>
            <w:r w:rsidRPr="002141E2">
              <w:rPr>
                <w:sz w:val="18"/>
                <w:szCs w:val="18"/>
              </w:rPr>
              <w:t>Préstamo con la Seguridad Social</w:t>
            </w:r>
          </w:p>
        </w:tc>
        <w:tc>
          <w:tcPr>
            <w:tcW w:w="159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0</w:t>
            </w:r>
          </w:p>
        </w:tc>
        <w:tc>
          <w:tcPr>
            <w:tcW w:w="914"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p>
        </w:tc>
        <w:tc>
          <w:tcPr>
            <w:tcW w:w="1589"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9.686</w:t>
            </w:r>
          </w:p>
        </w:tc>
        <w:tc>
          <w:tcPr>
            <w:tcW w:w="922" w:type="dxa"/>
            <w:tcBorders>
              <w:top w:val="single" w:sz="2" w:space="0" w:color="auto"/>
              <w:left w:val="nil"/>
              <w:bottom w:val="single" w:sz="2" w:space="0" w:color="auto"/>
              <w:right w:val="nil"/>
            </w:tcBorders>
            <w:vAlign w:val="center"/>
          </w:tcPr>
          <w:p w:rsidR="001B3767" w:rsidRPr="002141E2" w:rsidRDefault="001B3767" w:rsidP="002141E2">
            <w:pPr>
              <w:pStyle w:val="cuatexto"/>
              <w:jc w:val="right"/>
              <w:rPr>
                <w:sz w:val="18"/>
                <w:szCs w:val="18"/>
              </w:rPr>
            </w:pPr>
            <w:r w:rsidRPr="002141E2">
              <w:rPr>
                <w:sz w:val="18"/>
                <w:szCs w:val="18"/>
              </w:rPr>
              <w:t>0</w:t>
            </w:r>
          </w:p>
        </w:tc>
      </w:tr>
      <w:tr w:rsidR="001B3767" w:rsidRPr="002141E2" w:rsidTr="002141E2">
        <w:trPr>
          <w:trHeight w:val="227"/>
          <w:jc w:val="center"/>
        </w:trPr>
        <w:tc>
          <w:tcPr>
            <w:tcW w:w="3804" w:type="dxa"/>
            <w:tcBorders>
              <w:top w:val="single" w:sz="2" w:space="0" w:color="auto"/>
              <w:left w:val="nil"/>
              <w:bottom w:val="single" w:sz="4" w:space="0" w:color="auto"/>
              <w:right w:val="nil"/>
            </w:tcBorders>
            <w:vAlign w:val="center"/>
          </w:tcPr>
          <w:p w:rsidR="001B3767" w:rsidRPr="002141E2" w:rsidRDefault="001B3767" w:rsidP="002141E2">
            <w:pPr>
              <w:pStyle w:val="cuatexto"/>
              <w:jc w:val="left"/>
              <w:rPr>
                <w:sz w:val="18"/>
                <w:szCs w:val="18"/>
              </w:rPr>
            </w:pPr>
            <w:r w:rsidRPr="002141E2">
              <w:rPr>
                <w:sz w:val="18"/>
                <w:szCs w:val="18"/>
              </w:rPr>
              <w:t>Préstamos con otro Sector Público</w:t>
            </w:r>
          </w:p>
        </w:tc>
        <w:tc>
          <w:tcPr>
            <w:tcW w:w="1592" w:type="dxa"/>
            <w:tcBorders>
              <w:top w:val="single" w:sz="2" w:space="0" w:color="auto"/>
              <w:left w:val="nil"/>
              <w:bottom w:val="single" w:sz="4" w:space="0" w:color="auto"/>
              <w:right w:val="nil"/>
            </w:tcBorders>
            <w:vAlign w:val="center"/>
          </w:tcPr>
          <w:p w:rsidR="001B3767" w:rsidRPr="002141E2" w:rsidRDefault="001B3767" w:rsidP="002141E2">
            <w:pPr>
              <w:pStyle w:val="cuatexto"/>
              <w:jc w:val="right"/>
              <w:rPr>
                <w:sz w:val="18"/>
                <w:szCs w:val="18"/>
              </w:rPr>
            </w:pPr>
            <w:r w:rsidRPr="002141E2">
              <w:rPr>
                <w:sz w:val="18"/>
                <w:szCs w:val="18"/>
              </w:rPr>
              <w:t>269</w:t>
            </w:r>
          </w:p>
        </w:tc>
        <w:tc>
          <w:tcPr>
            <w:tcW w:w="914" w:type="dxa"/>
            <w:tcBorders>
              <w:top w:val="single" w:sz="2" w:space="0" w:color="auto"/>
              <w:left w:val="nil"/>
              <w:bottom w:val="single" w:sz="4" w:space="0" w:color="auto"/>
              <w:right w:val="nil"/>
            </w:tcBorders>
            <w:vAlign w:val="center"/>
          </w:tcPr>
          <w:p w:rsidR="001B3767" w:rsidRPr="002141E2" w:rsidRDefault="001B3767" w:rsidP="002141E2">
            <w:pPr>
              <w:pStyle w:val="cuatexto"/>
              <w:jc w:val="right"/>
              <w:rPr>
                <w:sz w:val="18"/>
                <w:szCs w:val="18"/>
              </w:rPr>
            </w:pPr>
            <w:r w:rsidRPr="002141E2">
              <w:rPr>
                <w:sz w:val="18"/>
                <w:szCs w:val="18"/>
              </w:rPr>
              <w:t>0</w:t>
            </w:r>
          </w:p>
        </w:tc>
        <w:tc>
          <w:tcPr>
            <w:tcW w:w="1589" w:type="dxa"/>
            <w:tcBorders>
              <w:top w:val="single" w:sz="2" w:space="0" w:color="auto"/>
              <w:left w:val="nil"/>
              <w:bottom w:val="single" w:sz="4" w:space="0" w:color="auto"/>
              <w:right w:val="nil"/>
            </w:tcBorders>
            <w:vAlign w:val="center"/>
          </w:tcPr>
          <w:p w:rsidR="001B3767" w:rsidRPr="002141E2" w:rsidRDefault="001B3767" w:rsidP="002141E2">
            <w:pPr>
              <w:pStyle w:val="cuatexto"/>
              <w:jc w:val="right"/>
              <w:rPr>
                <w:sz w:val="18"/>
                <w:szCs w:val="18"/>
              </w:rPr>
            </w:pPr>
            <w:r w:rsidRPr="002141E2">
              <w:rPr>
                <w:sz w:val="18"/>
                <w:szCs w:val="18"/>
              </w:rPr>
              <w:t>12.579</w:t>
            </w:r>
          </w:p>
        </w:tc>
        <w:tc>
          <w:tcPr>
            <w:tcW w:w="922" w:type="dxa"/>
            <w:tcBorders>
              <w:top w:val="single" w:sz="2" w:space="0" w:color="auto"/>
              <w:left w:val="nil"/>
              <w:bottom w:val="single" w:sz="4" w:space="0" w:color="auto"/>
              <w:right w:val="nil"/>
            </w:tcBorders>
            <w:vAlign w:val="center"/>
          </w:tcPr>
          <w:p w:rsidR="001B3767" w:rsidRPr="002141E2" w:rsidRDefault="001B3767" w:rsidP="002141E2">
            <w:pPr>
              <w:pStyle w:val="cuatexto"/>
              <w:jc w:val="right"/>
              <w:rPr>
                <w:sz w:val="18"/>
                <w:szCs w:val="18"/>
              </w:rPr>
            </w:pPr>
            <w:r w:rsidRPr="002141E2">
              <w:rPr>
                <w:sz w:val="18"/>
                <w:szCs w:val="18"/>
              </w:rPr>
              <w:t>0,09</w:t>
            </w:r>
          </w:p>
        </w:tc>
      </w:tr>
      <w:tr w:rsidR="001B3767" w:rsidRPr="002141E2" w:rsidTr="002141E2">
        <w:trPr>
          <w:trHeight w:val="312"/>
          <w:jc w:val="center"/>
        </w:trPr>
        <w:tc>
          <w:tcPr>
            <w:tcW w:w="3804"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left"/>
              <w:rPr>
                <w:sz w:val="16"/>
                <w:szCs w:val="16"/>
              </w:rPr>
            </w:pPr>
            <w:r w:rsidRPr="002141E2">
              <w:rPr>
                <w:sz w:val="16"/>
                <w:szCs w:val="16"/>
              </w:rPr>
              <w:t>Total endeudamiento</w:t>
            </w:r>
          </w:p>
        </w:tc>
        <w:tc>
          <w:tcPr>
            <w:tcW w:w="1592"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fldChar w:fldCharType="begin"/>
            </w:r>
            <w:r w:rsidRPr="002141E2">
              <w:rPr>
                <w:sz w:val="16"/>
                <w:szCs w:val="16"/>
              </w:rPr>
              <w:instrText xml:space="preserve"> =SUM(ABOVE) </w:instrText>
            </w:r>
            <w:r w:rsidRPr="002141E2">
              <w:rPr>
                <w:sz w:val="16"/>
                <w:szCs w:val="16"/>
              </w:rPr>
              <w:fldChar w:fldCharType="separate"/>
            </w:r>
            <w:r w:rsidRPr="002141E2">
              <w:rPr>
                <w:sz w:val="16"/>
                <w:szCs w:val="16"/>
              </w:rPr>
              <w:t>493.069</w:t>
            </w:r>
            <w:r w:rsidRPr="002141E2">
              <w:rPr>
                <w:sz w:val="16"/>
                <w:szCs w:val="16"/>
              </w:rPr>
              <w:fldChar w:fldCharType="end"/>
            </w:r>
          </w:p>
        </w:tc>
        <w:tc>
          <w:tcPr>
            <w:tcW w:w="914"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t>3,29</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fldChar w:fldCharType="begin"/>
            </w:r>
            <w:r w:rsidRPr="002141E2">
              <w:rPr>
                <w:sz w:val="16"/>
                <w:szCs w:val="16"/>
              </w:rPr>
              <w:instrText xml:space="preserve"> =SUM(ABOVE) </w:instrText>
            </w:r>
            <w:r w:rsidRPr="002141E2">
              <w:rPr>
                <w:sz w:val="16"/>
                <w:szCs w:val="16"/>
              </w:rPr>
              <w:fldChar w:fldCharType="separate"/>
            </w:r>
            <w:r w:rsidRPr="002141E2">
              <w:rPr>
                <w:sz w:val="16"/>
                <w:szCs w:val="16"/>
              </w:rPr>
              <w:t>2.697.878</w:t>
            </w:r>
            <w:r w:rsidRPr="002141E2">
              <w:rPr>
                <w:sz w:val="16"/>
                <w:szCs w:val="16"/>
              </w:rPr>
              <w:fldChar w:fldCharType="end"/>
            </w:r>
          </w:p>
        </w:tc>
        <w:tc>
          <w:tcPr>
            <w:tcW w:w="922" w:type="dxa"/>
            <w:tcBorders>
              <w:top w:val="single" w:sz="4" w:space="0" w:color="auto"/>
              <w:left w:val="nil"/>
              <w:bottom w:val="single" w:sz="4" w:space="0" w:color="auto"/>
              <w:right w:val="nil"/>
            </w:tcBorders>
            <w:shd w:val="clear" w:color="auto" w:fill="8DB3E2" w:themeFill="text2" w:themeFillTint="66"/>
            <w:vAlign w:val="center"/>
          </w:tcPr>
          <w:p w:rsidR="001B3767" w:rsidRPr="002141E2" w:rsidRDefault="001B3767" w:rsidP="002141E2">
            <w:pPr>
              <w:pStyle w:val="cuadroCabe"/>
              <w:jc w:val="right"/>
              <w:rPr>
                <w:sz w:val="16"/>
                <w:szCs w:val="16"/>
              </w:rPr>
            </w:pPr>
            <w:r w:rsidRPr="002141E2">
              <w:rPr>
                <w:sz w:val="16"/>
                <w:szCs w:val="16"/>
              </w:rPr>
              <w:t>4,02</w:t>
            </w:r>
          </w:p>
        </w:tc>
      </w:tr>
    </w:tbl>
    <w:p w:rsidR="001B3767" w:rsidRPr="009B12A8" w:rsidRDefault="001B3767" w:rsidP="000F7B19">
      <w:pPr>
        <w:pStyle w:val="texto"/>
        <w:numPr>
          <w:ilvl w:val="0"/>
          <w:numId w:val="20"/>
        </w:numPr>
        <w:tabs>
          <w:tab w:val="clear" w:pos="2835"/>
        </w:tabs>
        <w:spacing w:before="60" w:after="0"/>
        <w:rPr>
          <w:rFonts w:ascii="Arial Narrow" w:hAnsi="Arial Narrow" w:cs="Arial"/>
          <w:sz w:val="17"/>
          <w:szCs w:val="17"/>
        </w:rPr>
      </w:pPr>
      <w:r w:rsidRPr="009B12A8">
        <w:rPr>
          <w:rFonts w:ascii="Arial Narrow" w:hAnsi="Arial Narrow" w:cs="Arial"/>
          <w:sz w:val="17"/>
          <w:szCs w:val="17"/>
        </w:rPr>
        <w:t>En el préstamo de 110 millones con un interés variable de euríbor a 6 meses más un diferencial de 0,181 puntos se ha considerado el interés total de 0,575 pagado en 2014</w:t>
      </w:r>
    </w:p>
    <w:p w:rsidR="001B3767" w:rsidRPr="006D43A7" w:rsidRDefault="001B3767" w:rsidP="002141E2">
      <w:pPr>
        <w:pStyle w:val="texto"/>
        <w:spacing w:after="100"/>
        <w:rPr>
          <w:lang w:val="es-ES"/>
        </w:rPr>
      </w:pPr>
      <w:r w:rsidRPr="006D43A7">
        <w:rPr>
          <w:lang w:val="es-ES"/>
        </w:rPr>
        <w:lastRenderedPageBreak/>
        <w:t>En el ejercicio 2014 se emitió deuda pública por un valor nominal de 349,8 millones de euros y se amortizó 196,5 millones de euros que vencían en 2014.</w:t>
      </w:r>
    </w:p>
    <w:p w:rsidR="001B3767" w:rsidRPr="006D43A7" w:rsidRDefault="001B3767" w:rsidP="002141E2">
      <w:pPr>
        <w:pStyle w:val="texto"/>
        <w:spacing w:after="100"/>
        <w:rPr>
          <w:lang w:val="es-ES"/>
        </w:rPr>
      </w:pPr>
      <w:r w:rsidRPr="006D43A7">
        <w:rPr>
          <w:lang w:val="es-ES"/>
        </w:rPr>
        <w:t>En las emisiones de deuda pública bajo la par, el interés efectivo no se calc</w:t>
      </w:r>
      <w:r w:rsidRPr="006D43A7">
        <w:rPr>
          <w:lang w:val="es-ES"/>
        </w:rPr>
        <w:t>u</w:t>
      </w:r>
      <w:r w:rsidRPr="006D43A7">
        <w:rPr>
          <w:lang w:val="es-ES"/>
        </w:rPr>
        <w:t>la correctamente, ya que al establecer la equivalencia financiera entre el valor actual del pasivo financiero recibido y los flujos de efectivo futuros, en dichos flujos no se tienen en cuenta los intereses explícitos devengados en cada anu</w:t>
      </w:r>
      <w:r w:rsidRPr="006D43A7">
        <w:rPr>
          <w:lang w:val="es-ES"/>
        </w:rPr>
        <w:t>a</w:t>
      </w:r>
      <w:r w:rsidRPr="006D43A7">
        <w:rPr>
          <w:lang w:val="es-ES"/>
        </w:rPr>
        <w:t>lidad. Según nuestros cálculos, la deuda pública está contabilizada por 146.798 euros de más.</w:t>
      </w:r>
    </w:p>
    <w:p w:rsidR="001B3767" w:rsidRPr="006D43A7" w:rsidRDefault="001B3767" w:rsidP="002141E2">
      <w:pPr>
        <w:pStyle w:val="texto"/>
        <w:spacing w:after="100"/>
        <w:rPr>
          <w:lang w:val="es-ES"/>
        </w:rPr>
      </w:pPr>
      <w:r w:rsidRPr="006D43A7">
        <w:rPr>
          <w:lang w:val="es-ES"/>
        </w:rPr>
        <w:t>Según la Ley Foral de Hacienda Pública, las operaciones de endeudamiento tendrán como destino genérico financiar los gastos previstos en los presupue</w:t>
      </w:r>
      <w:r w:rsidRPr="006D43A7">
        <w:rPr>
          <w:lang w:val="es-ES"/>
        </w:rPr>
        <w:t>s</w:t>
      </w:r>
      <w:r w:rsidRPr="006D43A7">
        <w:rPr>
          <w:lang w:val="es-ES"/>
        </w:rPr>
        <w:t xml:space="preserve">tos. Según indica el Gobierno en la memoria sobre el endeudamiento, </w:t>
      </w:r>
      <w:r w:rsidR="000820BE">
        <w:rPr>
          <w:lang w:val="es-ES"/>
        </w:rPr>
        <w:t>d</w:t>
      </w:r>
      <w:r w:rsidRPr="006D43A7">
        <w:rPr>
          <w:lang w:val="es-ES"/>
        </w:rPr>
        <w:t>el e</w:t>
      </w:r>
      <w:r w:rsidRPr="006D43A7">
        <w:rPr>
          <w:lang w:val="es-ES"/>
        </w:rPr>
        <w:t>n</w:t>
      </w:r>
      <w:r w:rsidRPr="006D43A7">
        <w:rPr>
          <w:lang w:val="es-ES"/>
        </w:rPr>
        <w:t>deudamiento concertado en 2014, 493 millones, se destin</w:t>
      </w:r>
      <w:r w:rsidR="000820BE">
        <w:rPr>
          <w:lang w:val="es-ES"/>
        </w:rPr>
        <w:t>aron</w:t>
      </w:r>
      <w:r w:rsidRPr="006D43A7">
        <w:rPr>
          <w:lang w:val="es-ES"/>
        </w:rPr>
        <w:t xml:space="preserve"> a amortización de préstamos y deuda pública, 326,5 millones (en realidad fueron 296,5 mill</w:t>
      </w:r>
      <w:r w:rsidRPr="006D43A7">
        <w:rPr>
          <w:lang w:val="es-ES"/>
        </w:rPr>
        <w:t>o</w:t>
      </w:r>
      <w:r w:rsidRPr="006D43A7">
        <w:rPr>
          <w:lang w:val="es-ES"/>
        </w:rPr>
        <w:t xml:space="preserve">nes), y el resto a financiar el déficit previsto para 2014. </w:t>
      </w:r>
    </w:p>
    <w:p w:rsidR="002141E2" w:rsidRDefault="001B3767" w:rsidP="002141E2">
      <w:pPr>
        <w:pStyle w:val="texto"/>
        <w:spacing w:after="100"/>
        <w:rPr>
          <w:lang w:val="es-ES"/>
        </w:rPr>
      </w:pPr>
      <w:r w:rsidRPr="006D43A7">
        <w:rPr>
          <w:lang w:val="es-ES"/>
        </w:rPr>
        <w:t>El endeudamiento destinado a la financiación del Tren de Alta Velocidad a</w:t>
      </w:r>
      <w:r w:rsidRPr="006D43A7">
        <w:rPr>
          <w:lang w:val="es-ES"/>
        </w:rPr>
        <w:t>s</w:t>
      </w:r>
      <w:r w:rsidRPr="006D43A7">
        <w:rPr>
          <w:lang w:val="es-ES"/>
        </w:rPr>
        <w:t>cendería a 36,82 millones a 31 de diciembre de 2014.</w:t>
      </w:r>
    </w:p>
    <w:p w:rsidR="001B3767" w:rsidRPr="006D43A7" w:rsidRDefault="001B3767" w:rsidP="002141E2">
      <w:pPr>
        <w:pStyle w:val="texto"/>
        <w:spacing w:after="100"/>
        <w:rPr>
          <w:lang w:val="es-ES"/>
        </w:rPr>
      </w:pPr>
      <w:r w:rsidRPr="006D43A7">
        <w:rPr>
          <w:lang w:val="es-ES"/>
        </w:rPr>
        <w:t>El destino de los 300 millones de préstamos con el Banco Europeo de Inve</w:t>
      </w:r>
      <w:r w:rsidRPr="006D43A7">
        <w:rPr>
          <w:lang w:val="es-ES"/>
        </w:rPr>
        <w:t>r</w:t>
      </w:r>
      <w:r w:rsidRPr="006D43A7">
        <w:rPr>
          <w:lang w:val="es-ES"/>
        </w:rPr>
        <w:t xml:space="preserve">siones, según el contrato de financiación entre el BEI y la Comunidad Foral,  fue la financiación de infraestructuras del Plan Navarra 2012. </w:t>
      </w:r>
    </w:p>
    <w:p w:rsidR="001B3767" w:rsidRPr="006D43A7" w:rsidRDefault="001B3767" w:rsidP="005B0D44">
      <w:pPr>
        <w:pStyle w:val="texto"/>
        <w:spacing w:after="180"/>
        <w:rPr>
          <w:lang w:val="es-ES"/>
        </w:rPr>
      </w:pPr>
      <w:r w:rsidRPr="006D43A7">
        <w:rPr>
          <w:lang w:val="es-ES"/>
        </w:rPr>
        <w:t xml:space="preserve">La carga financiera del endeudamiento ascendió a 401,48 millones de euros en el ejercicio 2014, un 34 por ciento más que en 2013. En el siguiente cuadro se  muestra la carga financiera devengada en los ejercicios 2013 y 2014 y los compromisos para ejercicios futuros. </w:t>
      </w:r>
    </w:p>
    <w:p w:rsidR="001B3767" w:rsidRPr="00A72D37" w:rsidRDefault="001B3767" w:rsidP="00D31C2E">
      <w:pPr>
        <w:pStyle w:val="texto"/>
        <w:spacing w:after="80"/>
        <w:jc w:val="right"/>
        <w:rPr>
          <w:rFonts w:ascii="ITCCentury Book" w:hAnsi="ITCCentury Book" w:cs="Arial"/>
          <w:spacing w:val="0"/>
          <w:sz w:val="22"/>
          <w:szCs w:val="22"/>
        </w:rPr>
      </w:pPr>
      <w:r>
        <w:rPr>
          <w:rFonts w:cs="Arial"/>
        </w:rPr>
        <w:tab/>
      </w:r>
      <w:r>
        <w:rPr>
          <w:rFonts w:cs="Arial"/>
        </w:rPr>
        <w:tab/>
      </w:r>
      <w:r w:rsidRPr="00A72D37">
        <w:rPr>
          <w:rFonts w:cs="Arial"/>
          <w:sz w:val="22"/>
          <w:szCs w:val="22"/>
        </w:rPr>
        <w:t xml:space="preserve">                                </w:t>
      </w:r>
      <w:r>
        <w:rPr>
          <w:rFonts w:cs="Arial"/>
          <w:sz w:val="22"/>
          <w:szCs w:val="22"/>
        </w:rPr>
        <w:t xml:space="preserve">                               </w:t>
      </w:r>
      <w:r w:rsidR="005B0D44" w:rsidRPr="00E05116">
        <w:rPr>
          <w:rFonts w:ascii="Arial" w:hAnsi="Arial" w:cs="Arial"/>
          <w:sz w:val="16"/>
          <w:szCs w:val="16"/>
          <w:lang w:val="es-ES" w:eastAsia="es-ES"/>
        </w:rPr>
        <w:t>(</w:t>
      </w:r>
      <w:proofErr w:type="gramStart"/>
      <w:r w:rsidR="005B0D44">
        <w:rPr>
          <w:rFonts w:ascii="Arial" w:hAnsi="Arial" w:cs="Arial"/>
          <w:sz w:val="16"/>
          <w:szCs w:val="16"/>
          <w:lang w:val="es-ES" w:eastAsia="es-ES"/>
        </w:rPr>
        <w:t>en</w:t>
      </w:r>
      <w:proofErr w:type="gramEnd"/>
      <w:r w:rsidR="005B0D44">
        <w:rPr>
          <w:rFonts w:ascii="Arial" w:hAnsi="Arial" w:cs="Arial"/>
          <w:sz w:val="16"/>
          <w:szCs w:val="16"/>
          <w:lang w:val="es-ES" w:eastAsia="es-ES"/>
        </w:rPr>
        <w:t xml:space="preserve"> miles</w:t>
      </w:r>
      <w:r w:rsidR="005B0D44" w:rsidRPr="00E05116">
        <w:rPr>
          <w:rFonts w:ascii="Arial" w:hAnsi="Arial" w:cs="Arial"/>
          <w:sz w:val="16"/>
          <w:szCs w:val="16"/>
          <w:lang w:val="es-ES" w:eastAsia="es-ES"/>
        </w:rPr>
        <w:t xml:space="preserve"> de euros)</w:t>
      </w:r>
    </w:p>
    <w:tbl>
      <w:tblPr>
        <w:tblW w:w="879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743"/>
        <w:gridCol w:w="716"/>
        <w:gridCol w:w="716"/>
        <w:gridCol w:w="775"/>
        <w:gridCol w:w="716"/>
        <w:gridCol w:w="716"/>
        <w:gridCol w:w="716"/>
        <w:gridCol w:w="851"/>
        <w:gridCol w:w="848"/>
      </w:tblGrid>
      <w:tr w:rsidR="00737325" w:rsidRPr="009B12A8" w:rsidTr="009B12A8">
        <w:trPr>
          <w:trHeight w:hRule="exact" w:val="397"/>
          <w:jc w:val="center"/>
        </w:trPr>
        <w:tc>
          <w:tcPr>
            <w:tcW w:w="2743" w:type="dxa"/>
            <w:vMerge w:val="restart"/>
            <w:tcBorders>
              <w:top w:val="single" w:sz="4" w:space="0" w:color="auto"/>
              <w:left w:val="nil"/>
              <w:bottom w:val="single" w:sz="4" w:space="0" w:color="auto"/>
              <w:right w:val="nil"/>
            </w:tcBorders>
            <w:shd w:val="clear" w:color="auto" w:fill="8DB3E2" w:themeFill="text2" w:themeFillTint="66"/>
            <w:noWrap/>
            <w:vAlign w:val="center"/>
          </w:tcPr>
          <w:p w:rsidR="00737325" w:rsidRPr="009B12A8" w:rsidRDefault="00737325" w:rsidP="0023282C">
            <w:pPr>
              <w:pStyle w:val="cuadroCabe"/>
              <w:jc w:val="left"/>
              <w:rPr>
                <w:sz w:val="16"/>
                <w:szCs w:val="16"/>
              </w:rPr>
            </w:pPr>
          </w:p>
        </w:tc>
        <w:tc>
          <w:tcPr>
            <w:tcW w:w="2207" w:type="dxa"/>
            <w:gridSpan w:val="3"/>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737325">
            <w:pPr>
              <w:pStyle w:val="cuadroCabe"/>
              <w:rPr>
                <w:sz w:val="16"/>
                <w:szCs w:val="16"/>
              </w:rPr>
            </w:pPr>
            <w:r w:rsidRPr="009B12A8">
              <w:rPr>
                <w:sz w:val="16"/>
                <w:szCs w:val="16"/>
              </w:rPr>
              <w:t xml:space="preserve">       gastos</w:t>
            </w:r>
          </w:p>
        </w:tc>
        <w:tc>
          <w:tcPr>
            <w:tcW w:w="3847" w:type="dxa"/>
            <w:gridSpan w:val="5"/>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737325">
            <w:pPr>
              <w:pStyle w:val="cuadroCabe"/>
              <w:rPr>
                <w:sz w:val="16"/>
                <w:szCs w:val="16"/>
              </w:rPr>
            </w:pPr>
            <w:r w:rsidRPr="009B12A8">
              <w:rPr>
                <w:sz w:val="16"/>
                <w:szCs w:val="16"/>
              </w:rPr>
              <w:t xml:space="preserve">    Compromisos gastos futuros</w:t>
            </w:r>
          </w:p>
        </w:tc>
      </w:tr>
      <w:tr w:rsidR="00737325" w:rsidRPr="009B12A8" w:rsidTr="009B12A8">
        <w:trPr>
          <w:trHeight w:hRule="exact" w:val="397"/>
          <w:jc w:val="center"/>
        </w:trPr>
        <w:tc>
          <w:tcPr>
            <w:tcW w:w="2743" w:type="dxa"/>
            <w:vMerge/>
            <w:tcBorders>
              <w:top w:val="single" w:sz="4" w:space="0" w:color="auto"/>
              <w:left w:val="nil"/>
              <w:bottom w:val="single" w:sz="4" w:space="0" w:color="auto"/>
              <w:right w:val="nil"/>
            </w:tcBorders>
            <w:shd w:val="clear" w:color="auto" w:fill="8DB3E2" w:themeFill="text2" w:themeFillTint="66"/>
            <w:noWrap/>
            <w:vAlign w:val="center"/>
          </w:tcPr>
          <w:p w:rsidR="00737325" w:rsidRPr="009B12A8" w:rsidRDefault="00737325" w:rsidP="0023282C">
            <w:pPr>
              <w:pStyle w:val="cuadroCabe"/>
              <w:jc w:val="left"/>
              <w:rPr>
                <w:sz w:val="16"/>
                <w:szCs w:val="16"/>
              </w:rPr>
            </w:pPr>
          </w:p>
        </w:tc>
        <w:tc>
          <w:tcPr>
            <w:tcW w:w="716" w:type="dxa"/>
            <w:tcBorders>
              <w:top w:val="single" w:sz="4" w:space="0" w:color="auto"/>
              <w:left w:val="nil"/>
              <w:bottom w:val="single" w:sz="4" w:space="0" w:color="auto"/>
              <w:right w:val="nil"/>
            </w:tcBorders>
            <w:shd w:val="clear" w:color="auto" w:fill="8DB3E2" w:themeFill="text2" w:themeFillTint="66"/>
            <w:vAlign w:val="center"/>
            <w:hideMark/>
          </w:tcPr>
          <w:p w:rsidR="00737325" w:rsidRPr="009B12A8" w:rsidRDefault="00737325" w:rsidP="0023282C">
            <w:pPr>
              <w:pStyle w:val="cuadroCabe"/>
              <w:jc w:val="right"/>
              <w:rPr>
                <w:sz w:val="16"/>
                <w:szCs w:val="16"/>
              </w:rPr>
            </w:pPr>
            <w:r w:rsidRPr="009B12A8">
              <w:rPr>
                <w:sz w:val="16"/>
                <w:szCs w:val="16"/>
              </w:rPr>
              <w:t>2013</w:t>
            </w:r>
          </w:p>
        </w:tc>
        <w:tc>
          <w:tcPr>
            <w:tcW w:w="716" w:type="dxa"/>
            <w:tcBorders>
              <w:top w:val="single" w:sz="4" w:space="0" w:color="auto"/>
              <w:left w:val="nil"/>
              <w:bottom w:val="single" w:sz="4" w:space="0" w:color="auto"/>
              <w:right w:val="nil"/>
            </w:tcBorders>
            <w:shd w:val="clear" w:color="auto" w:fill="8DB3E2" w:themeFill="text2" w:themeFillTint="66"/>
            <w:vAlign w:val="center"/>
            <w:hideMark/>
          </w:tcPr>
          <w:p w:rsidR="00737325" w:rsidRPr="009B12A8" w:rsidRDefault="00737325" w:rsidP="0023282C">
            <w:pPr>
              <w:pStyle w:val="cuadroCabe"/>
              <w:jc w:val="right"/>
              <w:rPr>
                <w:sz w:val="16"/>
                <w:szCs w:val="16"/>
              </w:rPr>
            </w:pPr>
            <w:r w:rsidRPr="009B12A8">
              <w:rPr>
                <w:sz w:val="16"/>
                <w:szCs w:val="16"/>
              </w:rPr>
              <w:t>2014</w:t>
            </w:r>
          </w:p>
        </w:tc>
        <w:tc>
          <w:tcPr>
            <w:tcW w:w="775" w:type="dxa"/>
            <w:tcBorders>
              <w:top w:val="single" w:sz="4" w:space="0" w:color="auto"/>
              <w:left w:val="nil"/>
              <w:bottom w:val="single" w:sz="4" w:space="0" w:color="auto"/>
              <w:right w:val="nil"/>
            </w:tcBorders>
            <w:shd w:val="clear" w:color="auto" w:fill="8DB3E2" w:themeFill="text2" w:themeFillTint="66"/>
            <w:vAlign w:val="center"/>
            <w:hideMark/>
          </w:tcPr>
          <w:p w:rsidR="00737325" w:rsidRPr="009B12A8" w:rsidRDefault="00737325" w:rsidP="0023282C">
            <w:pPr>
              <w:pStyle w:val="cuadroCabe"/>
              <w:jc w:val="right"/>
              <w:rPr>
                <w:sz w:val="16"/>
                <w:szCs w:val="16"/>
              </w:rPr>
            </w:pPr>
            <w:r w:rsidRPr="009B12A8">
              <w:rPr>
                <w:sz w:val="16"/>
                <w:szCs w:val="16"/>
              </w:rPr>
              <w:t xml:space="preserve">% </w:t>
            </w:r>
          </w:p>
          <w:p w:rsidR="00737325" w:rsidRPr="009B12A8" w:rsidRDefault="009B12A8" w:rsidP="009B12A8">
            <w:pPr>
              <w:pStyle w:val="cuadroCabe"/>
              <w:jc w:val="right"/>
              <w:rPr>
                <w:sz w:val="16"/>
                <w:szCs w:val="16"/>
              </w:rPr>
            </w:pPr>
            <w:proofErr w:type="spellStart"/>
            <w:r w:rsidRPr="009B12A8">
              <w:rPr>
                <w:sz w:val="16"/>
                <w:szCs w:val="16"/>
              </w:rPr>
              <w:t>V</w:t>
            </w:r>
            <w:r w:rsidR="00737325" w:rsidRPr="009B12A8">
              <w:rPr>
                <w:sz w:val="16"/>
                <w:szCs w:val="16"/>
              </w:rPr>
              <w:t>ariac</w:t>
            </w:r>
            <w:proofErr w:type="spellEnd"/>
            <w:r>
              <w:rPr>
                <w:sz w:val="16"/>
                <w:szCs w:val="16"/>
              </w:rPr>
              <w:t>.</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23282C">
            <w:pPr>
              <w:pStyle w:val="cuadroCabe"/>
              <w:jc w:val="right"/>
              <w:rPr>
                <w:sz w:val="16"/>
                <w:szCs w:val="16"/>
              </w:rPr>
            </w:pPr>
            <w:r w:rsidRPr="009B12A8">
              <w:rPr>
                <w:sz w:val="16"/>
                <w:szCs w:val="16"/>
              </w:rPr>
              <w:t>2015</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23282C">
            <w:pPr>
              <w:pStyle w:val="cuadroCabe"/>
              <w:jc w:val="right"/>
              <w:rPr>
                <w:sz w:val="16"/>
                <w:szCs w:val="16"/>
              </w:rPr>
            </w:pPr>
            <w:r w:rsidRPr="009B12A8">
              <w:rPr>
                <w:sz w:val="16"/>
                <w:szCs w:val="16"/>
              </w:rPr>
              <w:t>2016</w:t>
            </w:r>
          </w:p>
        </w:tc>
        <w:tc>
          <w:tcPr>
            <w:tcW w:w="716" w:type="dxa"/>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23282C">
            <w:pPr>
              <w:pStyle w:val="cuadroCabe"/>
              <w:jc w:val="right"/>
              <w:rPr>
                <w:sz w:val="16"/>
                <w:szCs w:val="16"/>
              </w:rPr>
            </w:pPr>
            <w:r w:rsidRPr="009B12A8">
              <w:rPr>
                <w:sz w:val="16"/>
                <w:szCs w:val="16"/>
              </w:rPr>
              <w:t>2017</w:t>
            </w:r>
          </w:p>
        </w:tc>
        <w:tc>
          <w:tcPr>
            <w:tcW w:w="851" w:type="dxa"/>
            <w:tcBorders>
              <w:top w:val="single" w:sz="4" w:space="0" w:color="auto"/>
              <w:left w:val="nil"/>
              <w:bottom w:val="single" w:sz="4" w:space="0" w:color="auto"/>
              <w:right w:val="nil"/>
            </w:tcBorders>
            <w:shd w:val="clear" w:color="auto" w:fill="8DB3E2" w:themeFill="text2" w:themeFillTint="66"/>
            <w:vAlign w:val="center"/>
          </w:tcPr>
          <w:p w:rsidR="00737325" w:rsidRPr="009B12A8" w:rsidRDefault="00737325" w:rsidP="0023282C">
            <w:pPr>
              <w:pStyle w:val="cuadroCabe"/>
              <w:jc w:val="right"/>
              <w:rPr>
                <w:sz w:val="16"/>
                <w:szCs w:val="16"/>
              </w:rPr>
            </w:pPr>
            <w:r w:rsidRPr="009B12A8">
              <w:rPr>
                <w:sz w:val="16"/>
                <w:szCs w:val="16"/>
              </w:rPr>
              <w:t>2018-2025</w:t>
            </w:r>
          </w:p>
        </w:tc>
        <w:tc>
          <w:tcPr>
            <w:tcW w:w="848" w:type="dxa"/>
            <w:tcBorders>
              <w:top w:val="single" w:sz="4" w:space="0" w:color="auto"/>
              <w:left w:val="nil"/>
              <w:bottom w:val="single" w:sz="4" w:space="0" w:color="auto"/>
              <w:right w:val="nil"/>
            </w:tcBorders>
            <w:shd w:val="clear" w:color="auto" w:fill="8DB3E2" w:themeFill="text2" w:themeFillTint="66"/>
          </w:tcPr>
          <w:p w:rsidR="00737325" w:rsidRPr="009B12A8" w:rsidRDefault="00737325" w:rsidP="0023282C">
            <w:pPr>
              <w:pStyle w:val="cuadroCabe"/>
              <w:jc w:val="right"/>
              <w:rPr>
                <w:sz w:val="16"/>
                <w:szCs w:val="16"/>
              </w:rPr>
            </w:pPr>
            <w:r w:rsidRPr="009B12A8">
              <w:rPr>
                <w:sz w:val="16"/>
                <w:szCs w:val="16"/>
              </w:rPr>
              <w:t>Total</w:t>
            </w:r>
          </w:p>
        </w:tc>
      </w:tr>
      <w:tr w:rsidR="00737325" w:rsidRPr="009B12A8" w:rsidTr="009B12A8">
        <w:trPr>
          <w:trHeight w:hRule="exact" w:val="255"/>
          <w:jc w:val="center"/>
        </w:trPr>
        <w:tc>
          <w:tcPr>
            <w:tcW w:w="2743" w:type="dxa"/>
            <w:tcBorders>
              <w:top w:val="single" w:sz="4" w:space="0" w:color="auto"/>
              <w:left w:val="nil"/>
              <w:bottom w:val="single" w:sz="2" w:space="0" w:color="auto"/>
              <w:right w:val="nil"/>
            </w:tcBorders>
            <w:noWrap/>
            <w:vAlign w:val="center"/>
            <w:hideMark/>
          </w:tcPr>
          <w:p w:rsidR="00737325" w:rsidRPr="009B12A8" w:rsidRDefault="00737325" w:rsidP="0023282C">
            <w:pPr>
              <w:pStyle w:val="cuatexto"/>
              <w:jc w:val="left"/>
              <w:rPr>
                <w:sz w:val="17"/>
                <w:szCs w:val="17"/>
              </w:rPr>
            </w:pPr>
            <w:r w:rsidRPr="009B12A8">
              <w:rPr>
                <w:sz w:val="17"/>
                <w:szCs w:val="17"/>
              </w:rPr>
              <w:t>Intereses</w:t>
            </w:r>
          </w:p>
        </w:tc>
        <w:tc>
          <w:tcPr>
            <w:tcW w:w="716" w:type="dxa"/>
            <w:tcBorders>
              <w:top w:val="single" w:sz="4"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107.325</w:t>
            </w:r>
          </w:p>
        </w:tc>
        <w:tc>
          <w:tcPr>
            <w:tcW w:w="716" w:type="dxa"/>
            <w:tcBorders>
              <w:top w:val="single" w:sz="4"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104.945</w:t>
            </w:r>
          </w:p>
        </w:tc>
        <w:tc>
          <w:tcPr>
            <w:tcW w:w="775" w:type="dxa"/>
            <w:tcBorders>
              <w:top w:val="single" w:sz="4"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-2</w:t>
            </w:r>
          </w:p>
        </w:tc>
        <w:tc>
          <w:tcPr>
            <w:tcW w:w="716" w:type="dxa"/>
            <w:tcBorders>
              <w:top w:val="single" w:sz="4"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106.784</w:t>
            </w:r>
          </w:p>
        </w:tc>
        <w:tc>
          <w:tcPr>
            <w:tcW w:w="716" w:type="dxa"/>
            <w:tcBorders>
              <w:top w:val="single" w:sz="4"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90.680</w:t>
            </w:r>
          </w:p>
        </w:tc>
        <w:tc>
          <w:tcPr>
            <w:tcW w:w="716" w:type="dxa"/>
            <w:tcBorders>
              <w:top w:val="single" w:sz="4"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73.352</w:t>
            </w:r>
          </w:p>
        </w:tc>
        <w:tc>
          <w:tcPr>
            <w:tcW w:w="851" w:type="dxa"/>
            <w:tcBorders>
              <w:top w:val="single" w:sz="4"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216.711</w:t>
            </w:r>
          </w:p>
        </w:tc>
        <w:tc>
          <w:tcPr>
            <w:tcW w:w="848" w:type="dxa"/>
            <w:tcBorders>
              <w:top w:val="single" w:sz="4" w:space="0" w:color="auto"/>
              <w:left w:val="nil"/>
              <w:bottom w:val="single" w:sz="2" w:space="0" w:color="auto"/>
              <w:right w:val="nil"/>
            </w:tcBorders>
          </w:tcPr>
          <w:p w:rsidR="00737325" w:rsidRPr="009B12A8" w:rsidRDefault="004A26ED" w:rsidP="0023282C">
            <w:pPr>
              <w:pStyle w:val="cuatexto"/>
              <w:jc w:val="right"/>
              <w:rPr>
                <w:sz w:val="17"/>
                <w:szCs w:val="17"/>
              </w:rPr>
            </w:pPr>
            <w:r w:rsidRPr="009B12A8">
              <w:rPr>
                <w:sz w:val="17"/>
                <w:szCs w:val="17"/>
              </w:rPr>
              <w:t>487.527</w:t>
            </w:r>
          </w:p>
        </w:tc>
      </w:tr>
      <w:tr w:rsidR="00737325" w:rsidRPr="009B12A8" w:rsidTr="009B12A8">
        <w:trPr>
          <w:trHeight w:hRule="exact" w:val="255"/>
          <w:jc w:val="center"/>
        </w:trPr>
        <w:tc>
          <w:tcPr>
            <w:tcW w:w="2743" w:type="dxa"/>
            <w:tcBorders>
              <w:top w:val="single" w:sz="2" w:space="0" w:color="auto"/>
              <w:left w:val="nil"/>
              <w:bottom w:val="single" w:sz="2" w:space="0" w:color="auto"/>
              <w:right w:val="nil"/>
            </w:tcBorders>
            <w:noWrap/>
            <w:vAlign w:val="center"/>
            <w:hideMark/>
          </w:tcPr>
          <w:p w:rsidR="00737325" w:rsidRPr="009B12A8" w:rsidRDefault="00737325" w:rsidP="0023282C">
            <w:pPr>
              <w:pStyle w:val="cuatexto"/>
              <w:jc w:val="left"/>
              <w:rPr>
                <w:sz w:val="17"/>
                <w:szCs w:val="17"/>
              </w:rPr>
            </w:pPr>
            <w:r w:rsidRPr="009B12A8">
              <w:rPr>
                <w:sz w:val="17"/>
                <w:szCs w:val="17"/>
              </w:rPr>
              <w:t>Amortización</w:t>
            </w:r>
          </w:p>
        </w:tc>
        <w:tc>
          <w:tcPr>
            <w:tcW w:w="716"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193.210</w:t>
            </w:r>
          </w:p>
        </w:tc>
        <w:tc>
          <w:tcPr>
            <w:tcW w:w="716"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296.532</w:t>
            </w:r>
          </w:p>
        </w:tc>
        <w:tc>
          <w:tcPr>
            <w:tcW w:w="775"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53</w:t>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307.197</w:t>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346.048</w:t>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308.899</w:t>
            </w:r>
          </w:p>
        </w:tc>
        <w:tc>
          <w:tcPr>
            <w:tcW w:w="851"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t>1.733.886</w:t>
            </w:r>
          </w:p>
        </w:tc>
        <w:tc>
          <w:tcPr>
            <w:tcW w:w="848" w:type="dxa"/>
            <w:tcBorders>
              <w:top w:val="single" w:sz="2" w:space="0" w:color="auto"/>
              <w:left w:val="nil"/>
              <w:bottom w:val="single" w:sz="2" w:space="0" w:color="auto"/>
              <w:right w:val="nil"/>
            </w:tcBorders>
          </w:tcPr>
          <w:p w:rsidR="00737325" w:rsidRPr="009B12A8" w:rsidRDefault="004A26ED" w:rsidP="0023282C">
            <w:pPr>
              <w:pStyle w:val="cuatexto"/>
              <w:jc w:val="right"/>
              <w:rPr>
                <w:sz w:val="17"/>
                <w:szCs w:val="17"/>
              </w:rPr>
            </w:pPr>
            <w:r w:rsidRPr="009B12A8">
              <w:rPr>
                <w:sz w:val="17"/>
                <w:szCs w:val="17"/>
              </w:rPr>
              <w:t>2.696.030</w:t>
            </w:r>
          </w:p>
        </w:tc>
      </w:tr>
      <w:tr w:rsidR="00737325" w:rsidRPr="009B12A8" w:rsidTr="009B12A8">
        <w:trPr>
          <w:trHeight w:hRule="exact" w:val="255"/>
          <w:jc w:val="center"/>
        </w:trPr>
        <w:tc>
          <w:tcPr>
            <w:tcW w:w="2743" w:type="dxa"/>
            <w:tcBorders>
              <w:top w:val="single" w:sz="2" w:space="0" w:color="auto"/>
              <w:left w:val="nil"/>
              <w:bottom w:val="single" w:sz="2" w:space="0" w:color="auto"/>
              <w:right w:val="nil"/>
            </w:tcBorders>
            <w:noWrap/>
            <w:vAlign w:val="center"/>
            <w:hideMark/>
          </w:tcPr>
          <w:p w:rsidR="00737325" w:rsidRPr="009B12A8" w:rsidRDefault="00737325" w:rsidP="0023282C">
            <w:pPr>
              <w:pStyle w:val="cuatexto"/>
              <w:jc w:val="left"/>
              <w:rPr>
                <w:sz w:val="17"/>
                <w:szCs w:val="17"/>
              </w:rPr>
            </w:pPr>
            <w:r w:rsidRPr="009B12A8">
              <w:rPr>
                <w:sz w:val="17"/>
                <w:szCs w:val="17"/>
              </w:rPr>
              <w:t>Total carga financiera</w:t>
            </w:r>
          </w:p>
        </w:tc>
        <w:tc>
          <w:tcPr>
            <w:tcW w:w="716"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300.535</w:t>
            </w:r>
            <w:r w:rsidRPr="009B12A8">
              <w:rPr>
                <w:sz w:val="17"/>
                <w:szCs w:val="17"/>
              </w:rPr>
              <w:fldChar w:fldCharType="end"/>
            </w:r>
          </w:p>
        </w:tc>
        <w:tc>
          <w:tcPr>
            <w:tcW w:w="716"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401.476</w:t>
            </w:r>
            <w:r w:rsidRPr="009B12A8">
              <w:rPr>
                <w:sz w:val="17"/>
                <w:szCs w:val="17"/>
              </w:rPr>
              <w:fldChar w:fldCharType="end"/>
            </w:r>
          </w:p>
        </w:tc>
        <w:tc>
          <w:tcPr>
            <w:tcW w:w="775" w:type="dxa"/>
            <w:tcBorders>
              <w:top w:val="single" w:sz="2" w:space="0" w:color="auto"/>
              <w:left w:val="nil"/>
              <w:bottom w:val="single" w:sz="2"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34</w:t>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413.981</w:t>
            </w:r>
            <w:r w:rsidRPr="009B12A8">
              <w:rPr>
                <w:sz w:val="17"/>
                <w:szCs w:val="17"/>
              </w:rPr>
              <w:fldChar w:fldCharType="end"/>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436.728</w:t>
            </w:r>
            <w:r w:rsidRPr="009B12A8">
              <w:rPr>
                <w:sz w:val="17"/>
                <w:szCs w:val="17"/>
              </w:rPr>
              <w:fldChar w:fldCharType="end"/>
            </w:r>
          </w:p>
        </w:tc>
        <w:tc>
          <w:tcPr>
            <w:tcW w:w="716"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382.251</w:t>
            </w:r>
            <w:r w:rsidRPr="009B12A8">
              <w:rPr>
                <w:sz w:val="17"/>
                <w:szCs w:val="17"/>
              </w:rPr>
              <w:fldChar w:fldCharType="end"/>
            </w:r>
          </w:p>
        </w:tc>
        <w:tc>
          <w:tcPr>
            <w:tcW w:w="851" w:type="dxa"/>
            <w:tcBorders>
              <w:top w:val="single" w:sz="2" w:space="0" w:color="auto"/>
              <w:left w:val="nil"/>
              <w:bottom w:val="single" w:sz="2" w:space="0" w:color="auto"/>
              <w:right w:val="nil"/>
            </w:tcBorders>
            <w:vAlign w:val="center"/>
          </w:tcPr>
          <w:p w:rsidR="00737325" w:rsidRPr="009B12A8" w:rsidRDefault="00737325" w:rsidP="0023282C">
            <w:pPr>
              <w:pStyle w:val="cuatexto"/>
              <w:jc w:val="right"/>
              <w:rPr>
                <w:sz w:val="17"/>
                <w:szCs w:val="17"/>
              </w:rPr>
            </w:pPr>
            <w:r w:rsidRPr="009B12A8">
              <w:rPr>
                <w:sz w:val="17"/>
                <w:szCs w:val="17"/>
              </w:rPr>
              <w:fldChar w:fldCharType="begin"/>
            </w:r>
            <w:r w:rsidRPr="009B12A8">
              <w:rPr>
                <w:sz w:val="17"/>
                <w:szCs w:val="17"/>
              </w:rPr>
              <w:instrText xml:space="preserve"> =SUM(ABOVE) </w:instrText>
            </w:r>
            <w:r w:rsidRPr="009B12A8">
              <w:rPr>
                <w:sz w:val="17"/>
                <w:szCs w:val="17"/>
              </w:rPr>
              <w:fldChar w:fldCharType="separate"/>
            </w:r>
            <w:r w:rsidRPr="009B12A8">
              <w:rPr>
                <w:sz w:val="17"/>
                <w:szCs w:val="17"/>
              </w:rPr>
              <w:t>1.950.597</w:t>
            </w:r>
            <w:r w:rsidRPr="009B12A8">
              <w:rPr>
                <w:sz w:val="17"/>
                <w:szCs w:val="17"/>
              </w:rPr>
              <w:fldChar w:fldCharType="end"/>
            </w:r>
          </w:p>
        </w:tc>
        <w:tc>
          <w:tcPr>
            <w:tcW w:w="848" w:type="dxa"/>
            <w:tcBorders>
              <w:top w:val="single" w:sz="2" w:space="0" w:color="auto"/>
              <w:left w:val="nil"/>
              <w:bottom w:val="single" w:sz="2" w:space="0" w:color="auto"/>
              <w:right w:val="nil"/>
            </w:tcBorders>
          </w:tcPr>
          <w:p w:rsidR="00737325" w:rsidRPr="009B12A8" w:rsidRDefault="004A26ED" w:rsidP="0023282C">
            <w:pPr>
              <w:pStyle w:val="cuatexto"/>
              <w:jc w:val="right"/>
              <w:rPr>
                <w:sz w:val="17"/>
                <w:szCs w:val="17"/>
              </w:rPr>
            </w:pPr>
            <w:r w:rsidRPr="009B12A8">
              <w:rPr>
                <w:sz w:val="17"/>
                <w:szCs w:val="17"/>
              </w:rPr>
              <w:t>3.183.557</w:t>
            </w:r>
          </w:p>
        </w:tc>
      </w:tr>
      <w:tr w:rsidR="00737325" w:rsidRPr="009B12A8" w:rsidTr="009B12A8">
        <w:trPr>
          <w:trHeight w:hRule="exact" w:val="255"/>
          <w:jc w:val="center"/>
        </w:trPr>
        <w:tc>
          <w:tcPr>
            <w:tcW w:w="2743" w:type="dxa"/>
            <w:tcBorders>
              <w:top w:val="single" w:sz="2" w:space="0" w:color="auto"/>
              <w:left w:val="nil"/>
              <w:bottom w:val="single" w:sz="4" w:space="0" w:color="auto"/>
              <w:right w:val="nil"/>
            </w:tcBorders>
            <w:noWrap/>
            <w:vAlign w:val="center"/>
            <w:hideMark/>
          </w:tcPr>
          <w:p w:rsidR="00737325" w:rsidRPr="009B12A8" w:rsidRDefault="00737325" w:rsidP="0023282C">
            <w:pPr>
              <w:pStyle w:val="cuatexto"/>
              <w:jc w:val="left"/>
              <w:rPr>
                <w:sz w:val="17"/>
                <w:szCs w:val="17"/>
              </w:rPr>
            </w:pPr>
            <w:r w:rsidRPr="009B12A8">
              <w:rPr>
                <w:sz w:val="17"/>
                <w:szCs w:val="17"/>
              </w:rPr>
              <w:t>Porcentaje sobre ingresos corrientes</w:t>
            </w:r>
          </w:p>
        </w:tc>
        <w:tc>
          <w:tcPr>
            <w:tcW w:w="716" w:type="dxa"/>
            <w:tcBorders>
              <w:top w:val="single" w:sz="2" w:space="0" w:color="auto"/>
              <w:left w:val="nil"/>
              <w:bottom w:val="single" w:sz="4"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9,57</w:t>
            </w:r>
          </w:p>
        </w:tc>
        <w:tc>
          <w:tcPr>
            <w:tcW w:w="716" w:type="dxa"/>
            <w:tcBorders>
              <w:top w:val="single" w:sz="2" w:space="0" w:color="auto"/>
              <w:left w:val="nil"/>
              <w:bottom w:val="single" w:sz="4" w:space="0" w:color="auto"/>
              <w:right w:val="nil"/>
            </w:tcBorders>
            <w:vAlign w:val="center"/>
            <w:hideMark/>
          </w:tcPr>
          <w:p w:rsidR="00737325" w:rsidRPr="009B12A8" w:rsidRDefault="00737325" w:rsidP="0023282C">
            <w:pPr>
              <w:pStyle w:val="cuatexto"/>
              <w:jc w:val="right"/>
              <w:rPr>
                <w:sz w:val="17"/>
                <w:szCs w:val="17"/>
              </w:rPr>
            </w:pPr>
            <w:r w:rsidRPr="009B12A8">
              <w:rPr>
                <w:sz w:val="17"/>
                <w:szCs w:val="17"/>
              </w:rPr>
              <w:t>12,55</w:t>
            </w:r>
          </w:p>
        </w:tc>
        <w:tc>
          <w:tcPr>
            <w:tcW w:w="775" w:type="dxa"/>
            <w:tcBorders>
              <w:top w:val="single" w:sz="2" w:space="0" w:color="auto"/>
              <w:left w:val="nil"/>
              <w:bottom w:val="single" w:sz="4" w:space="0" w:color="auto"/>
              <w:right w:val="nil"/>
            </w:tcBorders>
            <w:vAlign w:val="center"/>
          </w:tcPr>
          <w:p w:rsidR="00737325" w:rsidRPr="009B12A8" w:rsidRDefault="00737325" w:rsidP="0023282C">
            <w:pPr>
              <w:pStyle w:val="cuatexto"/>
              <w:jc w:val="right"/>
              <w:rPr>
                <w:sz w:val="17"/>
                <w:szCs w:val="17"/>
              </w:rPr>
            </w:pPr>
          </w:p>
        </w:tc>
        <w:tc>
          <w:tcPr>
            <w:tcW w:w="716" w:type="dxa"/>
            <w:tcBorders>
              <w:top w:val="single" w:sz="2" w:space="0" w:color="auto"/>
              <w:left w:val="nil"/>
              <w:bottom w:val="single" w:sz="4" w:space="0" w:color="auto"/>
              <w:right w:val="nil"/>
            </w:tcBorders>
            <w:vAlign w:val="center"/>
          </w:tcPr>
          <w:p w:rsidR="00737325" w:rsidRPr="009B12A8" w:rsidRDefault="00737325" w:rsidP="0023282C">
            <w:pPr>
              <w:pStyle w:val="cuatexto"/>
              <w:jc w:val="right"/>
              <w:rPr>
                <w:sz w:val="17"/>
                <w:szCs w:val="17"/>
              </w:rPr>
            </w:pPr>
          </w:p>
        </w:tc>
        <w:tc>
          <w:tcPr>
            <w:tcW w:w="716" w:type="dxa"/>
            <w:tcBorders>
              <w:top w:val="single" w:sz="2" w:space="0" w:color="auto"/>
              <w:left w:val="nil"/>
              <w:bottom w:val="single" w:sz="4" w:space="0" w:color="auto"/>
              <w:right w:val="nil"/>
            </w:tcBorders>
            <w:vAlign w:val="center"/>
          </w:tcPr>
          <w:p w:rsidR="00737325" w:rsidRPr="009B12A8" w:rsidRDefault="00737325" w:rsidP="0023282C">
            <w:pPr>
              <w:pStyle w:val="cuatexto"/>
              <w:jc w:val="right"/>
              <w:rPr>
                <w:sz w:val="17"/>
                <w:szCs w:val="17"/>
              </w:rPr>
            </w:pPr>
          </w:p>
        </w:tc>
        <w:tc>
          <w:tcPr>
            <w:tcW w:w="716" w:type="dxa"/>
            <w:tcBorders>
              <w:top w:val="single" w:sz="2" w:space="0" w:color="auto"/>
              <w:left w:val="nil"/>
              <w:bottom w:val="single" w:sz="4" w:space="0" w:color="auto"/>
              <w:right w:val="nil"/>
            </w:tcBorders>
            <w:vAlign w:val="center"/>
          </w:tcPr>
          <w:p w:rsidR="00737325" w:rsidRPr="009B12A8" w:rsidRDefault="00737325" w:rsidP="0023282C">
            <w:pPr>
              <w:pStyle w:val="cuatexto"/>
              <w:jc w:val="right"/>
              <w:rPr>
                <w:sz w:val="17"/>
                <w:szCs w:val="17"/>
              </w:rPr>
            </w:pPr>
          </w:p>
        </w:tc>
        <w:tc>
          <w:tcPr>
            <w:tcW w:w="851" w:type="dxa"/>
            <w:tcBorders>
              <w:top w:val="single" w:sz="2" w:space="0" w:color="auto"/>
              <w:left w:val="nil"/>
              <w:bottom w:val="single" w:sz="4" w:space="0" w:color="auto"/>
              <w:right w:val="nil"/>
            </w:tcBorders>
            <w:vAlign w:val="center"/>
          </w:tcPr>
          <w:p w:rsidR="00737325" w:rsidRPr="009B12A8" w:rsidRDefault="00737325" w:rsidP="0023282C">
            <w:pPr>
              <w:pStyle w:val="cuatexto"/>
              <w:jc w:val="right"/>
              <w:rPr>
                <w:sz w:val="17"/>
                <w:szCs w:val="17"/>
              </w:rPr>
            </w:pPr>
          </w:p>
        </w:tc>
        <w:tc>
          <w:tcPr>
            <w:tcW w:w="848" w:type="dxa"/>
            <w:tcBorders>
              <w:top w:val="single" w:sz="2" w:space="0" w:color="auto"/>
              <w:left w:val="nil"/>
              <w:bottom w:val="single" w:sz="4" w:space="0" w:color="auto"/>
              <w:right w:val="nil"/>
            </w:tcBorders>
          </w:tcPr>
          <w:p w:rsidR="00737325" w:rsidRPr="009B12A8" w:rsidRDefault="00737325" w:rsidP="0023282C">
            <w:pPr>
              <w:pStyle w:val="cuatexto"/>
              <w:jc w:val="right"/>
              <w:rPr>
                <w:sz w:val="17"/>
                <w:szCs w:val="17"/>
              </w:rPr>
            </w:pPr>
          </w:p>
        </w:tc>
      </w:tr>
    </w:tbl>
    <w:p w:rsidR="001B3767" w:rsidRPr="006D43A7" w:rsidRDefault="001B3767" w:rsidP="0023282C">
      <w:pPr>
        <w:pStyle w:val="texto"/>
        <w:spacing w:before="280"/>
        <w:rPr>
          <w:lang w:val="es-ES"/>
        </w:rPr>
      </w:pPr>
      <w:r w:rsidRPr="006D43A7">
        <w:rPr>
          <w:lang w:val="es-ES"/>
        </w:rPr>
        <w:t>Los compromisos de carga financiera del endeudamiento previstos para los ejercicios 2015-2025 ascienden a 3.183,56 millones de euros y representan el 85 por ciento del total de compromisos de gastos presupuestarios para ejerc</w:t>
      </w:r>
      <w:r w:rsidRPr="006D43A7">
        <w:rPr>
          <w:lang w:val="es-ES"/>
        </w:rPr>
        <w:t>i</w:t>
      </w:r>
      <w:r w:rsidRPr="006D43A7">
        <w:rPr>
          <w:lang w:val="es-ES"/>
        </w:rPr>
        <w:t xml:space="preserve">cios futuros. </w:t>
      </w:r>
    </w:p>
    <w:p w:rsidR="001B3767" w:rsidRPr="006D43A7" w:rsidRDefault="001B3767" w:rsidP="001B3767">
      <w:pPr>
        <w:pStyle w:val="texto"/>
        <w:rPr>
          <w:lang w:val="es-ES"/>
        </w:rPr>
      </w:pPr>
      <w:r w:rsidRPr="006D43A7">
        <w:rPr>
          <w:lang w:val="es-ES"/>
        </w:rPr>
        <w:t>Como se observa, la carga financiera en los ejercicios 2015 a 2017 es similar a la soportada en 2014 y por tanto, si no aumentan los ingresos no financieros o disminuyen los gastos de igual naturaleza, es previsible que la deuda siga cr</w:t>
      </w:r>
      <w:r w:rsidRPr="006D43A7">
        <w:rPr>
          <w:lang w:val="es-ES"/>
        </w:rPr>
        <w:t>e</w:t>
      </w:r>
      <w:r w:rsidRPr="006D43A7">
        <w:rPr>
          <w:lang w:val="es-ES"/>
        </w:rPr>
        <w:t xml:space="preserve">ciendo en los próximos ejercicios debido, entre otras causas, a las necesidades de, por un lado, atender la carga financiera del endeudamiento vigente y, por otro, financiar el déficit no financiero. </w:t>
      </w:r>
    </w:p>
    <w:p w:rsidR="001B3767" w:rsidRDefault="001B3767" w:rsidP="001B3767">
      <w:pPr>
        <w:pStyle w:val="texto"/>
        <w:rPr>
          <w:rFonts w:cs="Arial"/>
        </w:rPr>
      </w:pPr>
      <w:r w:rsidRPr="00317B75">
        <w:rPr>
          <w:rFonts w:cs="Arial"/>
        </w:rPr>
        <w:lastRenderedPageBreak/>
        <w:t>No se ha</w:t>
      </w:r>
      <w:r>
        <w:rPr>
          <w:rFonts w:cs="Arial"/>
        </w:rPr>
        <w:t>n</w:t>
      </w:r>
      <w:r w:rsidRPr="00317B75">
        <w:rPr>
          <w:rFonts w:cs="Arial"/>
        </w:rPr>
        <w:t xml:space="preserve"> incluido entre los compromisos de gastos por carga financiera al </w:t>
      </w:r>
      <w:r w:rsidRPr="00737325">
        <w:rPr>
          <w:rFonts w:cs="Arial"/>
        </w:rPr>
        <w:t xml:space="preserve">menos </w:t>
      </w:r>
      <w:r w:rsidR="00C8121E">
        <w:rPr>
          <w:rFonts w:cs="Arial"/>
        </w:rPr>
        <w:t>40,4</w:t>
      </w:r>
      <w:r w:rsidRPr="00737325">
        <w:rPr>
          <w:rFonts w:cs="Arial"/>
        </w:rPr>
        <w:t xml:space="preserve"> millones </w:t>
      </w:r>
      <w:r w:rsidRPr="00317B75">
        <w:rPr>
          <w:rFonts w:cs="Arial"/>
        </w:rPr>
        <w:t>de euros</w:t>
      </w:r>
      <w:r w:rsidR="00C8121E">
        <w:rPr>
          <w:rFonts w:cs="Arial"/>
        </w:rPr>
        <w:t>, según nuestros cálculos,</w:t>
      </w:r>
      <w:r w:rsidRPr="00317B75">
        <w:rPr>
          <w:rFonts w:cs="Arial"/>
        </w:rPr>
        <w:t xml:space="preserve"> correspondientes a i</w:t>
      </w:r>
      <w:r w:rsidRPr="00317B75">
        <w:rPr>
          <w:rFonts w:cs="Arial"/>
        </w:rPr>
        <w:t>n</w:t>
      </w:r>
      <w:r w:rsidRPr="00317B75">
        <w:rPr>
          <w:rFonts w:cs="Arial"/>
        </w:rPr>
        <w:t xml:space="preserve">tereses de los préstamos concertados a </w:t>
      </w:r>
      <w:r>
        <w:rPr>
          <w:rFonts w:cs="Arial"/>
        </w:rPr>
        <w:t>tipos</w:t>
      </w:r>
      <w:r w:rsidRPr="00317B75">
        <w:rPr>
          <w:rFonts w:cs="Arial"/>
        </w:rPr>
        <w:t xml:space="preserve"> variable</w:t>
      </w:r>
      <w:r>
        <w:rPr>
          <w:rFonts w:cs="Arial"/>
        </w:rPr>
        <w:t>s</w:t>
      </w:r>
      <w:r w:rsidRPr="00317B75">
        <w:rPr>
          <w:rFonts w:cs="Arial"/>
        </w:rPr>
        <w:t>, los intereses de un pré</w:t>
      </w:r>
      <w:r w:rsidRPr="00317B75">
        <w:rPr>
          <w:rFonts w:cs="Arial"/>
        </w:rPr>
        <w:t>s</w:t>
      </w:r>
      <w:r w:rsidRPr="00317B75">
        <w:rPr>
          <w:rFonts w:cs="Arial"/>
        </w:rPr>
        <w:t>tamo de 100 millones de euros al 2,463 por ciento y la amortización de la de</w:t>
      </w:r>
      <w:r w:rsidRPr="00317B75">
        <w:rPr>
          <w:rFonts w:cs="Arial"/>
        </w:rPr>
        <w:t>u</w:t>
      </w:r>
      <w:r w:rsidRPr="00317B75">
        <w:rPr>
          <w:rFonts w:cs="Arial"/>
        </w:rPr>
        <w:t>da con la Seguridad Social.</w:t>
      </w:r>
    </w:p>
    <w:p w:rsidR="001B3767" w:rsidRPr="006D43A7" w:rsidRDefault="001B3767" w:rsidP="001B3767">
      <w:pPr>
        <w:pStyle w:val="texto"/>
        <w:rPr>
          <w:lang w:val="es-ES"/>
        </w:rPr>
      </w:pPr>
      <w:r w:rsidRPr="006D43A7">
        <w:rPr>
          <w:lang w:val="es-ES"/>
        </w:rPr>
        <w:t>En  mayo de 2014, debido a la rebaja en octubre de 2012 del rating de la Comunidad Foral, se produjo una novación de los préstamos con el Banco E</w:t>
      </w:r>
      <w:r w:rsidRPr="006D43A7">
        <w:rPr>
          <w:lang w:val="es-ES"/>
        </w:rPr>
        <w:t>u</w:t>
      </w:r>
      <w:r w:rsidRPr="006D43A7">
        <w:rPr>
          <w:lang w:val="es-ES"/>
        </w:rPr>
        <w:t>ropeo de Inversiones que supuso el incremento de los tipos de interés en 4 pu</w:t>
      </w:r>
      <w:r w:rsidRPr="006D43A7">
        <w:rPr>
          <w:lang w:val="es-ES"/>
        </w:rPr>
        <w:t>n</w:t>
      </w:r>
      <w:r w:rsidRPr="006D43A7">
        <w:rPr>
          <w:lang w:val="es-ES"/>
        </w:rPr>
        <w:t>tos básicos (0,04 por ciento).</w:t>
      </w:r>
    </w:p>
    <w:p w:rsidR="001B3767" w:rsidRPr="006D43A7" w:rsidRDefault="001B3767" w:rsidP="001B3767">
      <w:pPr>
        <w:pStyle w:val="texto"/>
        <w:rPr>
          <w:lang w:val="es-ES"/>
        </w:rPr>
      </w:pPr>
      <w:r w:rsidRPr="006D43A7">
        <w:rPr>
          <w:lang w:val="es-ES"/>
        </w:rPr>
        <w:t>En el contrato de financiación con el BEI se estableció para el caso de pérd</w:t>
      </w:r>
      <w:r w:rsidRPr="006D43A7">
        <w:rPr>
          <w:lang w:val="es-ES"/>
        </w:rPr>
        <w:t>i</w:t>
      </w:r>
      <w:r w:rsidRPr="006D43A7">
        <w:rPr>
          <w:lang w:val="es-ES"/>
        </w:rPr>
        <w:t>da de calificación que el Banco podrá solicitar al prestatario la constitución de una fianza u otra garantía y caso de no ser emitida, el Banco podrá solicitar el reembolso anticipado del préstamo. No se constituyó fianza ni otro tipo de g</w:t>
      </w:r>
      <w:r w:rsidRPr="006D43A7">
        <w:rPr>
          <w:lang w:val="es-ES"/>
        </w:rPr>
        <w:t>a</w:t>
      </w:r>
      <w:r w:rsidRPr="006D43A7">
        <w:rPr>
          <w:lang w:val="es-ES"/>
        </w:rPr>
        <w:t>rantía sino que se acordó con el Banco incrementar el tipo de interés.</w:t>
      </w:r>
    </w:p>
    <w:p w:rsidR="001B3767" w:rsidRDefault="001B3767" w:rsidP="001B3767">
      <w:pPr>
        <w:pStyle w:val="texto"/>
        <w:rPr>
          <w:lang w:val="es-ES"/>
        </w:rPr>
      </w:pPr>
      <w:r w:rsidRPr="006D43A7">
        <w:rPr>
          <w:lang w:val="es-ES"/>
        </w:rPr>
        <w:t xml:space="preserve">En </w:t>
      </w:r>
      <w:r w:rsidR="00140C68">
        <w:rPr>
          <w:lang w:val="es-ES"/>
        </w:rPr>
        <w:t xml:space="preserve">diciembre </w:t>
      </w:r>
      <w:r w:rsidRPr="006D43A7">
        <w:rPr>
          <w:lang w:val="es-ES"/>
        </w:rPr>
        <w:t xml:space="preserve">de 2014, la agencia de clasificación financiera Standard and </w:t>
      </w:r>
      <w:proofErr w:type="spellStart"/>
      <w:r w:rsidRPr="006D43A7">
        <w:rPr>
          <w:lang w:val="es-ES"/>
        </w:rPr>
        <w:t>Poor's</w:t>
      </w:r>
      <w:proofErr w:type="spellEnd"/>
      <w:r w:rsidRPr="006D43A7">
        <w:rPr>
          <w:lang w:val="es-ES"/>
        </w:rPr>
        <w:t xml:space="preserve"> (S&amp;P) mejoró la calificación crediticia de la deuda de la Comunidad F</w:t>
      </w:r>
      <w:r w:rsidRPr="006D43A7">
        <w:rPr>
          <w:lang w:val="es-ES"/>
        </w:rPr>
        <w:t>o</w:t>
      </w:r>
      <w:r w:rsidRPr="006D43A7">
        <w:rPr>
          <w:lang w:val="es-ES"/>
        </w:rPr>
        <w:t xml:space="preserve">ral de Navarra pasando de BBB+ a </w:t>
      </w:r>
      <w:proofErr w:type="spellStart"/>
      <w:r w:rsidRPr="006D43A7">
        <w:rPr>
          <w:lang w:val="es-ES"/>
        </w:rPr>
        <w:t>A</w:t>
      </w:r>
      <w:proofErr w:type="spellEnd"/>
      <w:r w:rsidRPr="006D43A7">
        <w:rPr>
          <w:lang w:val="es-ES"/>
        </w:rPr>
        <w:t>- con perspectiva estable, dos escalones por encima del rating de España.</w:t>
      </w:r>
    </w:p>
    <w:p w:rsidR="00207E4F" w:rsidRPr="00E979E8" w:rsidRDefault="00E979E8" w:rsidP="001B3767">
      <w:pPr>
        <w:pStyle w:val="texto"/>
        <w:rPr>
          <w:lang w:val="es-ES"/>
        </w:rPr>
      </w:pPr>
      <w:r>
        <w:rPr>
          <w:lang w:val="es-ES"/>
        </w:rPr>
        <w:t>Recomendamos</w:t>
      </w:r>
      <w:r w:rsidR="00207E4F" w:rsidRPr="00E979E8">
        <w:rPr>
          <w:lang w:val="es-ES"/>
        </w:rPr>
        <w:t>:</w:t>
      </w:r>
    </w:p>
    <w:p w:rsidR="00207E4F" w:rsidRPr="006F1283" w:rsidRDefault="00207E4F"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6F1283">
        <w:rPr>
          <w:rFonts w:cs="Arial"/>
          <w:i/>
        </w:rPr>
        <w:t>Incluir en los compromisos de gastos futuros la carga financiera de todo el endeudamiento.</w:t>
      </w:r>
    </w:p>
    <w:p w:rsidR="00207E4F" w:rsidRPr="006F1283" w:rsidRDefault="00207E4F"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6F1283">
        <w:rPr>
          <w:rFonts w:cs="Arial"/>
          <w:i/>
        </w:rPr>
        <w:t>Calcular el interés efectivo de la deuda pública teniendo en cuenta los i</w:t>
      </w:r>
      <w:r w:rsidRPr="006F1283">
        <w:rPr>
          <w:rFonts w:cs="Arial"/>
          <w:i/>
        </w:rPr>
        <w:t>n</w:t>
      </w:r>
      <w:r w:rsidRPr="006F1283">
        <w:rPr>
          <w:rFonts w:cs="Arial"/>
          <w:i/>
        </w:rPr>
        <w:t>tereses explícitos devengados en cada ejercicio.</w:t>
      </w:r>
    </w:p>
    <w:p w:rsidR="001B3767" w:rsidRPr="00F26C05" w:rsidRDefault="001B3767" w:rsidP="00F26C05">
      <w:pPr>
        <w:pStyle w:val="texto"/>
        <w:spacing w:before="200"/>
        <w:rPr>
          <w:rFonts w:ascii="Arial" w:hAnsi="Arial" w:cs="Arial"/>
          <w:i/>
          <w:sz w:val="23"/>
          <w:szCs w:val="23"/>
        </w:rPr>
      </w:pPr>
      <w:r w:rsidRPr="00F26C05">
        <w:rPr>
          <w:rFonts w:ascii="Arial" w:hAnsi="Arial" w:cs="Arial"/>
          <w:i/>
          <w:sz w:val="23"/>
          <w:szCs w:val="23"/>
        </w:rPr>
        <w:t>Avales y cartas de compromiso concedidas</w:t>
      </w:r>
    </w:p>
    <w:p w:rsidR="001B3767" w:rsidRPr="006D43A7" w:rsidRDefault="001B3767" w:rsidP="00F26C05">
      <w:pPr>
        <w:pStyle w:val="texto"/>
        <w:spacing w:after="280"/>
        <w:rPr>
          <w:lang w:val="es-ES"/>
        </w:rPr>
      </w:pPr>
      <w:r w:rsidRPr="006D43A7">
        <w:rPr>
          <w:lang w:val="es-ES"/>
        </w:rPr>
        <w:t xml:space="preserve">El saldo a 31 de diciembre de los avales concedidos por la Comunidad Foral ascendía a </w:t>
      </w:r>
      <w:r w:rsidR="00207E4F">
        <w:rPr>
          <w:lang w:val="es-ES"/>
        </w:rPr>
        <w:t>149,59</w:t>
      </w:r>
      <w:r w:rsidR="006F1283">
        <w:rPr>
          <w:lang w:val="es-ES"/>
        </w:rPr>
        <w:t xml:space="preserve"> millones de euros y corresponden a:</w:t>
      </w:r>
    </w:p>
    <w:tbl>
      <w:tblPr>
        <w:tblW w:w="8765" w:type="dxa"/>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225"/>
        <w:gridCol w:w="1213"/>
        <w:gridCol w:w="1573"/>
        <w:gridCol w:w="1754"/>
      </w:tblGrid>
      <w:tr w:rsidR="001B3767" w:rsidRPr="0078491A" w:rsidTr="00E0097F">
        <w:trPr>
          <w:trHeight w:val="255"/>
          <w:jc w:val="center"/>
        </w:trPr>
        <w:tc>
          <w:tcPr>
            <w:tcW w:w="4225" w:type="dxa"/>
            <w:tcBorders>
              <w:top w:val="single" w:sz="4" w:space="0" w:color="000000"/>
              <w:bottom w:val="single" w:sz="4" w:space="0" w:color="000000"/>
            </w:tcBorders>
            <w:shd w:val="clear" w:color="auto" w:fill="8DB3E2" w:themeFill="text2" w:themeFillTint="66"/>
            <w:noWrap/>
            <w:vAlign w:val="center"/>
          </w:tcPr>
          <w:p w:rsidR="001B3767" w:rsidRPr="00F26C05" w:rsidRDefault="001B3767" w:rsidP="006F1283">
            <w:pPr>
              <w:pStyle w:val="cuadroCabe"/>
              <w:jc w:val="left"/>
            </w:pPr>
            <w:r w:rsidRPr="00F26C05">
              <w:t xml:space="preserve">Avales </w:t>
            </w:r>
            <w:r w:rsidR="006F1283">
              <w:t>concedidos</w:t>
            </w:r>
            <w:r w:rsidRPr="00F26C05">
              <w:t> </w:t>
            </w:r>
          </w:p>
        </w:tc>
        <w:tc>
          <w:tcPr>
            <w:tcW w:w="1213" w:type="dxa"/>
            <w:tcBorders>
              <w:top w:val="single" w:sz="4" w:space="0" w:color="000000"/>
              <w:bottom w:val="single" w:sz="4" w:space="0" w:color="000000"/>
            </w:tcBorders>
            <w:shd w:val="clear" w:color="auto" w:fill="8DB3E2" w:themeFill="text2" w:themeFillTint="66"/>
            <w:vAlign w:val="center"/>
          </w:tcPr>
          <w:p w:rsidR="001B3767" w:rsidRPr="00F26C05" w:rsidRDefault="001B3767" w:rsidP="00A3751D">
            <w:pPr>
              <w:pStyle w:val="cuadroCabe"/>
              <w:jc w:val="right"/>
            </w:pPr>
            <w:r w:rsidRPr="00F26C05">
              <w:t>Saldo a 31.12.2013</w:t>
            </w:r>
          </w:p>
        </w:tc>
        <w:tc>
          <w:tcPr>
            <w:tcW w:w="1573" w:type="dxa"/>
            <w:tcBorders>
              <w:top w:val="single" w:sz="4" w:space="0" w:color="000000"/>
              <w:bottom w:val="single" w:sz="4" w:space="0" w:color="000000"/>
            </w:tcBorders>
            <w:shd w:val="clear" w:color="auto" w:fill="8DB3E2" w:themeFill="text2" w:themeFillTint="66"/>
            <w:vAlign w:val="center"/>
          </w:tcPr>
          <w:p w:rsidR="001B3767" w:rsidRPr="00F26C05" w:rsidRDefault="001B3767" w:rsidP="00A3751D">
            <w:pPr>
              <w:pStyle w:val="cuadroCabe"/>
              <w:jc w:val="right"/>
            </w:pPr>
            <w:r w:rsidRPr="00F26C05">
              <w:t>Saldo a 31.12.2014</w:t>
            </w:r>
          </w:p>
        </w:tc>
        <w:tc>
          <w:tcPr>
            <w:tcW w:w="1754" w:type="dxa"/>
            <w:tcBorders>
              <w:top w:val="single" w:sz="4" w:space="0" w:color="000000"/>
              <w:bottom w:val="single" w:sz="4" w:space="0" w:color="000000"/>
            </w:tcBorders>
            <w:shd w:val="clear" w:color="auto" w:fill="8DB3E2" w:themeFill="text2" w:themeFillTint="66"/>
            <w:noWrap/>
            <w:vAlign w:val="center"/>
          </w:tcPr>
          <w:p w:rsidR="001B3767" w:rsidRPr="00F26C05" w:rsidRDefault="001B3767" w:rsidP="00A3751D">
            <w:pPr>
              <w:pStyle w:val="cuadroCabe"/>
              <w:jc w:val="right"/>
            </w:pPr>
            <w:r w:rsidRPr="00F26C05">
              <w:t>Fallidos 2014</w:t>
            </w:r>
          </w:p>
        </w:tc>
      </w:tr>
      <w:tr w:rsidR="001B3767" w:rsidRPr="00F26C05" w:rsidTr="00A3751D">
        <w:trPr>
          <w:trHeight w:val="227"/>
          <w:jc w:val="center"/>
        </w:trPr>
        <w:tc>
          <w:tcPr>
            <w:tcW w:w="4225" w:type="dxa"/>
            <w:tcBorders>
              <w:top w:val="single" w:sz="4" w:space="0" w:color="000000"/>
              <w:bottom w:val="single" w:sz="2" w:space="0" w:color="000000"/>
            </w:tcBorders>
            <w:noWrap/>
            <w:vAlign w:val="center"/>
          </w:tcPr>
          <w:p w:rsidR="001B3767" w:rsidRPr="00F26C05" w:rsidRDefault="001B3767" w:rsidP="00F26C05">
            <w:pPr>
              <w:pStyle w:val="cuatexto"/>
              <w:jc w:val="left"/>
              <w:rPr>
                <w:szCs w:val="20"/>
              </w:rPr>
            </w:pPr>
            <w:r w:rsidRPr="00F26C05">
              <w:rPr>
                <w:szCs w:val="20"/>
              </w:rPr>
              <w:t>I+D</w:t>
            </w:r>
          </w:p>
        </w:tc>
        <w:tc>
          <w:tcPr>
            <w:tcW w:w="1213" w:type="dxa"/>
            <w:tcBorders>
              <w:top w:val="single" w:sz="4"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559.773</w:t>
            </w:r>
          </w:p>
        </w:tc>
        <w:tc>
          <w:tcPr>
            <w:tcW w:w="1573" w:type="dxa"/>
            <w:tcBorders>
              <w:top w:val="single" w:sz="4"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228.952</w:t>
            </w:r>
          </w:p>
        </w:tc>
        <w:tc>
          <w:tcPr>
            <w:tcW w:w="1754" w:type="dxa"/>
            <w:tcBorders>
              <w:top w:val="single" w:sz="4"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295.551</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r w:rsidRPr="00F26C05">
              <w:rPr>
                <w:szCs w:val="20"/>
              </w:rPr>
              <w:t>Empresas en dificultad y ayudas a la inversión</w:t>
            </w:r>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12.076.047</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8.593.177</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2.873.266</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r w:rsidRPr="00F26C05">
              <w:rPr>
                <w:szCs w:val="20"/>
              </w:rPr>
              <w:t>Aval Navarra (</w:t>
            </w:r>
            <w:proofErr w:type="spellStart"/>
            <w:r w:rsidRPr="00F26C05">
              <w:rPr>
                <w:szCs w:val="20"/>
              </w:rPr>
              <w:t>Subavales</w:t>
            </w:r>
            <w:proofErr w:type="spellEnd"/>
            <w:r w:rsidRPr="00F26C05">
              <w:rPr>
                <w:szCs w:val="20"/>
              </w:rPr>
              <w:t xml:space="preserve"> SONAGAR)</w:t>
            </w:r>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4.632.885</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3.858.771</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166.427</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r w:rsidRPr="00F26C05">
              <w:rPr>
                <w:szCs w:val="20"/>
              </w:rPr>
              <w:t xml:space="preserve">NDO. Circuito de los Arcos </w:t>
            </w:r>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28.269231</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25.576.923</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0</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r w:rsidRPr="00F26C05">
              <w:rPr>
                <w:szCs w:val="20"/>
              </w:rPr>
              <w:t>C.A. Osasuna</w:t>
            </w:r>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8.414.169</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7.212145</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0</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proofErr w:type="spellStart"/>
            <w:r w:rsidRPr="00F26C05">
              <w:rPr>
                <w:szCs w:val="20"/>
              </w:rPr>
              <w:t>Sodena</w:t>
            </w:r>
            <w:proofErr w:type="spellEnd"/>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102.921.778</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102.763.981</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0</w:t>
            </w:r>
          </w:p>
        </w:tc>
      </w:tr>
      <w:tr w:rsidR="001B3767" w:rsidRPr="00F26C05" w:rsidTr="00A3751D">
        <w:trPr>
          <w:trHeight w:val="227"/>
          <w:jc w:val="center"/>
        </w:trPr>
        <w:tc>
          <w:tcPr>
            <w:tcW w:w="4225" w:type="dxa"/>
            <w:tcBorders>
              <w:top w:val="single" w:sz="2" w:space="0" w:color="000000"/>
              <w:bottom w:val="single" w:sz="2" w:space="0" w:color="000000"/>
            </w:tcBorders>
            <w:noWrap/>
            <w:vAlign w:val="center"/>
          </w:tcPr>
          <w:p w:rsidR="001B3767" w:rsidRPr="00F26C05" w:rsidRDefault="001B3767" w:rsidP="00F26C05">
            <w:pPr>
              <w:pStyle w:val="cuatexto"/>
              <w:jc w:val="left"/>
              <w:rPr>
                <w:szCs w:val="20"/>
              </w:rPr>
            </w:pPr>
            <w:proofErr w:type="spellStart"/>
            <w:r w:rsidRPr="00F26C05">
              <w:rPr>
                <w:szCs w:val="20"/>
              </w:rPr>
              <w:t>UPNa</w:t>
            </w:r>
            <w:proofErr w:type="spellEnd"/>
            <w:r w:rsidRPr="00F26C05">
              <w:rPr>
                <w:szCs w:val="20"/>
              </w:rPr>
              <w:t>-Programa Iberus</w:t>
            </w:r>
          </w:p>
        </w:tc>
        <w:tc>
          <w:tcPr>
            <w:tcW w:w="121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931.961</w:t>
            </w:r>
          </w:p>
        </w:tc>
        <w:tc>
          <w:tcPr>
            <w:tcW w:w="1573" w:type="dxa"/>
            <w:tcBorders>
              <w:top w:val="single" w:sz="2" w:space="0" w:color="000000"/>
              <w:bottom w:val="single" w:sz="2" w:space="0" w:color="000000"/>
            </w:tcBorders>
            <w:vAlign w:val="center"/>
          </w:tcPr>
          <w:p w:rsidR="001B3767" w:rsidRPr="00F26C05" w:rsidRDefault="001B3767" w:rsidP="00A3751D">
            <w:pPr>
              <w:pStyle w:val="cuatexto"/>
              <w:jc w:val="right"/>
              <w:rPr>
                <w:szCs w:val="20"/>
              </w:rPr>
            </w:pPr>
            <w:r w:rsidRPr="00F26C05">
              <w:rPr>
                <w:szCs w:val="20"/>
              </w:rPr>
              <w:t>859.169</w:t>
            </w:r>
          </w:p>
        </w:tc>
        <w:tc>
          <w:tcPr>
            <w:tcW w:w="1754" w:type="dxa"/>
            <w:tcBorders>
              <w:top w:val="single" w:sz="2" w:space="0" w:color="000000"/>
              <w:bottom w:val="single" w:sz="2" w:space="0" w:color="000000"/>
            </w:tcBorders>
            <w:noWrap/>
            <w:vAlign w:val="center"/>
          </w:tcPr>
          <w:p w:rsidR="001B3767" w:rsidRPr="00F26C05" w:rsidRDefault="001B3767" w:rsidP="00A3751D">
            <w:pPr>
              <w:pStyle w:val="cuatexto"/>
              <w:jc w:val="right"/>
              <w:rPr>
                <w:szCs w:val="20"/>
              </w:rPr>
            </w:pPr>
            <w:r w:rsidRPr="00F26C05">
              <w:rPr>
                <w:szCs w:val="20"/>
              </w:rPr>
              <w:t>0</w:t>
            </w:r>
          </w:p>
        </w:tc>
      </w:tr>
      <w:tr w:rsidR="001B3767" w:rsidRPr="00F26C05" w:rsidTr="00A3751D">
        <w:trPr>
          <w:trHeight w:val="227"/>
          <w:jc w:val="center"/>
        </w:trPr>
        <w:tc>
          <w:tcPr>
            <w:tcW w:w="4225" w:type="dxa"/>
            <w:tcBorders>
              <w:top w:val="single" w:sz="2" w:space="0" w:color="000000"/>
              <w:bottom w:val="single" w:sz="4" w:space="0" w:color="000000"/>
            </w:tcBorders>
            <w:noWrap/>
            <w:vAlign w:val="center"/>
          </w:tcPr>
          <w:p w:rsidR="001B3767" w:rsidRPr="00F26C05" w:rsidRDefault="001B3767" w:rsidP="00F26C05">
            <w:pPr>
              <w:pStyle w:val="cuatexto"/>
              <w:jc w:val="left"/>
              <w:rPr>
                <w:szCs w:val="20"/>
              </w:rPr>
            </w:pPr>
            <w:r w:rsidRPr="00F26C05">
              <w:rPr>
                <w:szCs w:val="20"/>
              </w:rPr>
              <w:t>CRANA</w:t>
            </w:r>
          </w:p>
        </w:tc>
        <w:tc>
          <w:tcPr>
            <w:tcW w:w="1213" w:type="dxa"/>
            <w:tcBorders>
              <w:top w:val="single" w:sz="2" w:space="0" w:color="000000"/>
              <w:bottom w:val="single" w:sz="4" w:space="0" w:color="000000"/>
            </w:tcBorders>
            <w:vAlign w:val="center"/>
          </w:tcPr>
          <w:p w:rsidR="001B3767" w:rsidRPr="00F26C05" w:rsidRDefault="001B3767" w:rsidP="00A3751D">
            <w:pPr>
              <w:pStyle w:val="cuatexto"/>
              <w:jc w:val="right"/>
              <w:rPr>
                <w:szCs w:val="20"/>
              </w:rPr>
            </w:pPr>
            <w:r w:rsidRPr="00F26C05">
              <w:rPr>
                <w:szCs w:val="20"/>
              </w:rPr>
              <w:t>0</w:t>
            </w:r>
          </w:p>
        </w:tc>
        <w:tc>
          <w:tcPr>
            <w:tcW w:w="1573" w:type="dxa"/>
            <w:tcBorders>
              <w:top w:val="single" w:sz="2" w:space="0" w:color="000000"/>
              <w:bottom w:val="single" w:sz="4" w:space="0" w:color="000000"/>
            </w:tcBorders>
            <w:vAlign w:val="center"/>
          </w:tcPr>
          <w:p w:rsidR="001B3767" w:rsidRPr="00F26C05" w:rsidRDefault="001B3767" w:rsidP="00A3751D">
            <w:pPr>
              <w:pStyle w:val="cuatexto"/>
              <w:jc w:val="right"/>
              <w:rPr>
                <w:szCs w:val="20"/>
              </w:rPr>
            </w:pPr>
            <w:r w:rsidRPr="00F26C05">
              <w:rPr>
                <w:szCs w:val="20"/>
              </w:rPr>
              <w:t>500.000</w:t>
            </w:r>
          </w:p>
        </w:tc>
        <w:tc>
          <w:tcPr>
            <w:tcW w:w="1754" w:type="dxa"/>
            <w:tcBorders>
              <w:top w:val="single" w:sz="2" w:space="0" w:color="000000"/>
              <w:bottom w:val="single" w:sz="4" w:space="0" w:color="000000"/>
            </w:tcBorders>
            <w:noWrap/>
            <w:vAlign w:val="center"/>
          </w:tcPr>
          <w:p w:rsidR="001B3767" w:rsidRPr="00F26C05" w:rsidRDefault="001B3767" w:rsidP="00A3751D">
            <w:pPr>
              <w:pStyle w:val="cuatexto"/>
              <w:jc w:val="right"/>
              <w:rPr>
                <w:szCs w:val="20"/>
              </w:rPr>
            </w:pPr>
            <w:r w:rsidRPr="00F26C05">
              <w:rPr>
                <w:szCs w:val="20"/>
              </w:rPr>
              <w:t>0</w:t>
            </w:r>
          </w:p>
        </w:tc>
      </w:tr>
      <w:tr w:rsidR="001B3767" w:rsidRPr="0078491A" w:rsidTr="00A3751D">
        <w:trPr>
          <w:trHeight w:val="284"/>
          <w:jc w:val="center"/>
        </w:trPr>
        <w:tc>
          <w:tcPr>
            <w:tcW w:w="4225" w:type="dxa"/>
            <w:tcBorders>
              <w:top w:val="single" w:sz="4" w:space="0" w:color="000000"/>
              <w:bottom w:val="single" w:sz="4" w:space="0" w:color="000000"/>
            </w:tcBorders>
            <w:shd w:val="clear" w:color="auto" w:fill="8DB3E2" w:themeFill="text2" w:themeFillTint="66"/>
            <w:noWrap/>
            <w:vAlign w:val="center"/>
          </w:tcPr>
          <w:p w:rsidR="001B3767" w:rsidRPr="00F26C05" w:rsidRDefault="001B3767" w:rsidP="00F26C05">
            <w:pPr>
              <w:pStyle w:val="cuadroCabe"/>
              <w:jc w:val="left"/>
            </w:pPr>
            <w:r w:rsidRPr="00F26C05">
              <w:t>Total</w:t>
            </w:r>
          </w:p>
        </w:tc>
        <w:tc>
          <w:tcPr>
            <w:tcW w:w="1213" w:type="dxa"/>
            <w:tcBorders>
              <w:top w:val="single" w:sz="4" w:space="0" w:color="000000"/>
              <w:bottom w:val="single" w:sz="4" w:space="0" w:color="000000"/>
            </w:tcBorders>
            <w:shd w:val="clear" w:color="auto" w:fill="8DB3E2" w:themeFill="text2" w:themeFillTint="66"/>
            <w:vAlign w:val="center"/>
          </w:tcPr>
          <w:p w:rsidR="001B3767" w:rsidRPr="00F26C05" w:rsidRDefault="001B3767" w:rsidP="00A3751D">
            <w:pPr>
              <w:pStyle w:val="cuadroCabe"/>
              <w:jc w:val="right"/>
            </w:pPr>
            <w:r w:rsidRPr="00F26C05">
              <w:fldChar w:fldCharType="begin"/>
            </w:r>
            <w:r w:rsidRPr="00F26C05">
              <w:instrText xml:space="preserve"> =SUM(ABOVE) </w:instrText>
            </w:r>
            <w:r w:rsidRPr="00F26C05">
              <w:fldChar w:fldCharType="separate"/>
            </w:r>
            <w:r w:rsidRPr="00F26C05">
              <w:t>157.805.844</w:t>
            </w:r>
            <w:r w:rsidRPr="00F26C05">
              <w:fldChar w:fldCharType="end"/>
            </w:r>
          </w:p>
        </w:tc>
        <w:tc>
          <w:tcPr>
            <w:tcW w:w="1573" w:type="dxa"/>
            <w:tcBorders>
              <w:top w:val="single" w:sz="4" w:space="0" w:color="000000"/>
              <w:bottom w:val="single" w:sz="4" w:space="0" w:color="000000"/>
            </w:tcBorders>
            <w:shd w:val="clear" w:color="auto" w:fill="8DB3E2" w:themeFill="text2" w:themeFillTint="66"/>
            <w:vAlign w:val="center"/>
          </w:tcPr>
          <w:p w:rsidR="001B3767" w:rsidRPr="00F26C05" w:rsidRDefault="001B3767" w:rsidP="00A3751D">
            <w:pPr>
              <w:pStyle w:val="cuadroCabe"/>
              <w:jc w:val="right"/>
            </w:pPr>
            <w:r w:rsidRPr="00F26C05">
              <w:fldChar w:fldCharType="begin"/>
            </w:r>
            <w:r w:rsidRPr="00F26C05">
              <w:instrText xml:space="preserve"> =SUM(ABOVE) </w:instrText>
            </w:r>
            <w:r w:rsidRPr="00F26C05">
              <w:fldChar w:fldCharType="separate"/>
            </w:r>
            <w:r w:rsidRPr="00F26C05">
              <w:t>149.593.118</w:t>
            </w:r>
            <w:r w:rsidRPr="00F26C05">
              <w:fldChar w:fldCharType="end"/>
            </w:r>
          </w:p>
        </w:tc>
        <w:tc>
          <w:tcPr>
            <w:tcW w:w="1754" w:type="dxa"/>
            <w:tcBorders>
              <w:top w:val="single" w:sz="4" w:space="0" w:color="000000"/>
              <w:bottom w:val="single" w:sz="4" w:space="0" w:color="000000"/>
            </w:tcBorders>
            <w:shd w:val="clear" w:color="auto" w:fill="8DB3E2" w:themeFill="text2" w:themeFillTint="66"/>
            <w:noWrap/>
            <w:vAlign w:val="center"/>
          </w:tcPr>
          <w:p w:rsidR="001B3767" w:rsidRPr="00F26C05" w:rsidRDefault="001B3767" w:rsidP="00A3751D">
            <w:pPr>
              <w:pStyle w:val="cuadroCabe"/>
              <w:jc w:val="right"/>
            </w:pPr>
            <w:r w:rsidRPr="00F26C05">
              <w:fldChar w:fldCharType="begin"/>
            </w:r>
            <w:r w:rsidRPr="00F26C05">
              <w:instrText xml:space="preserve"> =SUM(ABOVE) </w:instrText>
            </w:r>
            <w:r w:rsidRPr="00F26C05">
              <w:fldChar w:fldCharType="separate"/>
            </w:r>
            <w:r w:rsidRPr="00F26C05">
              <w:t>3.335.244</w:t>
            </w:r>
            <w:r w:rsidRPr="00F26C05">
              <w:fldChar w:fldCharType="end"/>
            </w:r>
          </w:p>
        </w:tc>
      </w:tr>
    </w:tbl>
    <w:p w:rsidR="001B3767" w:rsidRPr="006D43A7" w:rsidRDefault="001B3767" w:rsidP="00F26C05">
      <w:pPr>
        <w:pStyle w:val="texto"/>
        <w:spacing w:before="260"/>
        <w:rPr>
          <w:lang w:val="es-ES"/>
        </w:rPr>
      </w:pPr>
      <w:r w:rsidRPr="006D43A7">
        <w:rPr>
          <w:lang w:val="es-ES"/>
        </w:rPr>
        <w:t xml:space="preserve">La Ley Foral de Hacienda Pública establece que el riesgo vivo máximo de los avales se referirá al principal de las operaciones avaladas salvo que la Ley Foral de Presupuestos o de concesión </w:t>
      </w:r>
      <w:proofErr w:type="gramStart"/>
      <w:r w:rsidRPr="006D43A7">
        <w:rPr>
          <w:lang w:val="es-ES"/>
        </w:rPr>
        <w:t>dispongan</w:t>
      </w:r>
      <w:proofErr w:type="gramEnd"/>
      <w:r w:rsidRPr="006D43A7">
        <w:rPr>
          <w:lang w:val="es-ES"/>
        </w:rPr>
        <w:t xml:space="preserve"> expresamente otra cosa. </w:t>
      </w:r>
    </w:p>
    <w:p w:rsidR="001B3767" w:rsidRPr="006D43A7" w:rsidRDefault="001B3767" w:rsidP="001B3767">
      <w:pPr>
        <w:pStyle w:val="texto"/>
        <w:rPr>
          <w:lang w:val="es-ES"/>
        </w:rPr>
      </w:pPr>
      <w:r w:rsidRPr="006D43A7">
        <w:rPr>
          <w:lang w:val="es-ES"/>
        </w:rPr>
        <w:lastRenderedPageBreak/>
        <w:t xml:space="preserve">El riesgo vivo a 31 de diciembre del aval concedido a </w:t>
      </w:r>
      <w:proofErr w:type="spellStart"/>
      <w:r w:rsidRPr="006D43A7">
        <w:rPr>
          <w:lang w:val="es-ES"/>
        </w:rPr>
        <w:t>Sodena</w:t>
      </w:r>
      <w:proofErr w:type="spellEnd"/>
      <w:r w:rsidRPr="006D43A7">
        <w:rPr>
          <w:lang w:val="es-ES"/>
        </w:rPr>
        <w:t xml:space="preserve"> es de 102.763.981 euros y garantiza el principal de un préstamo del BEI dispuesto en 100 millones </w:t>
      </w:r>
      <w:r w:rsidR="00737325">
        <w:rPr>
          <w:lang w:val="es-ES"/>
        </w:rPr>
        <w:t>y</w:t>
      </w:r>
      <w:r w:rsidRPr="006D43A7">
        <w:rPr>
          <w:lang w:val="es-ES"/>
        </w:rPr>
        <w:t xml:space="preserve"> sus intereses. Al respecto, la Ley Foral 19/2011, de 28 de d</w:t>
      </w:r>
      <w:r w:rsidRPr="006D43A7">
        <w:rPr>
          <w:lang w:val="es-ES"/>
        </w:rPr>
        <w:t>i</w:t>
      </w:r>
      <w:r w:rsidRPr="006D43A7">
        <w:rPr>
          <w:lang w:val="es-ES"/>
        </w:rPr>
        <w:t xml:space="preserve">ciembre, de Presupuestos de Navarra 2012 estableció un riesgo vivo máximo de avales de 150 millones para otorgar avales a </w:t>
      </w:r>
      <w:proofErr w:type="spellStart"/>
      <w:r w:rsidRPr="006D43A7">
        <w:rPr>
          <w:lang w:val="es-ES"/>
        </w:rPr>
        <w:t>Sodena</w:t>
      </w:r>
      <w:proofErr w:type="spellEnd"/>
      <w:r w:rsidRPr="006D43A7">
        <w:rPr>
          <w:lang w:val="es-ES"/>
        </w:rPr>
        <w:t xml:space="preserve"> en los términos pactados con el BEI. El Gobierno de Navarra acordó en enero de 2012 conceder un aval a </w:t>
      </w:r>
      <w:proofErr w:type="spellStart"/>
      <w:r w:rsidRPr="006D43A7">
        <w:rPr>
          <w:lang w:val="es-ES"/>
        </w:rPr>
        <w:t>Sodena</w:t>
      </w:r>
      <w:proofErr w:type="spellEnd"/>
      <w:r w:rsidRPr="006D43A7">
        <w:rPr>
          <w:lang w:val="es-ES"/>
        </w:rPr>
        <w:t xml:space="preserve"> para afianzar todas las obligaciones derivadas de un préstamo</w:t>
      </w:r>
      <w:r>
        <w:t xml:space="preserve"> </w:t>
      </w:r>
      <w:r w:rsidRPr="006D43A7">
        <w:rPr>
          <w:lang w:val="es-ES"/>
        </w:rPr>
        <w:t>de 100 millones con el BEI, tanto el principal como todos los intereses sin ninguna l</w:t>
      </w:r>
      <w:r w:rsidRPr="006D43A7">
        <w:rPr>
          <w:lang w:val="es-ES"/>
        </w:rPr>
        <w:t>i</w:t>
      </w:r>
      <w:r w:rsidRPr="006D43A7">
        <w:rPr>
          <w:lang w:val="es-ES"/>
        </w:rPr>
        <w:t>mitación, comisiones, cargas y demás gastos derivados del préstamo.</w:t>
      </w:r>
    </w:p>
    <w:p w:rsidR="001B3767" w:rsidRPr="006D43A7" w:rsidRDefault="001B3767" w:rsidP="001B3767">
      <w:pPr>
        <w:pStyle w:val="texto"/>
        <w:rPr>
          <w:lang w:val="es-ES"/>
        </w:rPr>
      </w:pPr>
      <w:r w:rsidRPr="006D43A7">
        <w:rPr>
          <w:lang w:val="es-ES"/>
        </w:rPr>
        <w:t>En el año 2014 se concedió a la Fundación “Centro de Recursos Ambientales de Navarra” (CRANA) un aval de 500.000 euros</w:t>
      </w:r>
      <w:r w:rsidR="00575654">
        <w:rPr>
          <w:lang w:val="es-ES"/>
        </w:rPr>
        <w:t xml:space="preserve"> por la contratación de un cr</w:t>
      </w:r>
      <w:r w:rsidR="00575654">
        <w:rPr>
          <w:lang w:val="es-ES"/>
        </w:rPr>
        <w:t>é</w:t>
      </w:r>
      <w:r w:rsidR="00575654">
        <w:rPr>
          <w:lang w:val="es-ES"/>
        </w:rPr>
        <w:t>dito para financiar las actuaciones necesarias para su extinción</w:t>
      </w:r>
      <w:r w:rsidRPr="006D43A7">
        <w:rPr>
          <w:lang w:val="es-ES"/>
        </w:rPr>
        <w:t>. Esta Fundación estaba considerada sector administración Pública, sector para el cual la Ley F</w:t>
      </w:r>
      <w:r w:rsidRPr="006D43A7">
        <w:rPr>
          <w:lang w:val="es-ES"/>
        </w:rPr>
        <w:t>o</w:t>
      </w:r>
      <w:r w:rsidRPr="006D43A7">
        <w:rPr>
          <w:lang w:val="es-ES"/>
        </w:rPr>
        <w:t>ral de Presupuestos de 2012 estableció  un riesgo máximo de avales de 1,5 m</w:t>
      </w:r>
      <w:r w:rsidRPr="006D43A7">
        <w:rPr>
          <w:lang w:val="es-ES"/>
        </w:rPr>
        <w:t>i</w:t>
      </w:r>
      <w:r w:rsidRPr="006D43A7">
        <w:rPr>
          <w:lang w:val="es-ES"/>
        </w:rPr>
        <w:t>llones.</w:t>
      </w:r>
    </w:p>
    <w:p w:rsidR="001B3767" w:rsidRPr="006D43A7" w:rsidRDefault="001B3767" w:rsidP="001B3767">
      <w:pPr>
        <w:pStyle w:val="texto"/>
        <w:rPr>
          <w:lang w:val="es-ES"/>
        </w:rPr>
      </w:pPr>
      <w:r w:rsidRPr="006D43A7">
        <w:rPr>
          <w:lang w:val="es-ES"/>
        </w:rPr>
        <w:t xml:space="preserve">No consta que se remita comunicación trimestral </w:t>
      </w:r>
      <w:r w:rsidR="004B2ABD">
        <w:rPr>
          <w:lang w:val="es-ES"/>
        </w:rPr>
        <w:t>a</w:t>
      </w:r>
      <w:r w:rsidRPr="006D43A7">
        <w:rPr>
          <w:lang w:val="es-ES"/>
        </w:rPr>
        <w:t>l Parlamento</w:t>
      </w:r>
      <w:r w:rsidR="004B2ABD">
        <w:rPr>
          <w:lang w:val="es-ES"/>
        </w:rPr>
        <w:t xml:space="preserve"> sobre los avales otorgados</w:t>
      </w:r>
      <w:r w:rsidRPr="006D43A7">
        <w:rPr>
          <w:lang w:val="es-ES"/>
        </w:rPr>
        <w:t>.</w:t>
      </w:r>
    </w:p>
    <w:p w:rsidR="001B3767" w:rsidRPr="00F24EF6" w:rsidRDefault="001B3767" w:rsidP="001B3767">
      <w:pPr>
        <w:pStyle w:val="texto"/>
        <w:rPr>
          <w:lang w:val="es-ES"/>
        </w:rPr>
      </w:pPr>
      <w:r w:rsidRPr="00F24EF6">
        <w:rPr>
          <w:lang w:val="es-ES"/>
        </w:rPr>
        <w:t>En 2014 el gasto soportado por la Administración Foral debido al incumpl</w:t>
      </w:r>
      <w:r w:rsidRPr="00F24EF6">
        <w:rPr>
          <w:lang w:val="es-ES"/>
        </w:rPr>
        <w:t>i</w:t>
      </w:r>
      <w:r w:rsidRPr="00F24EF6">
        <w:rPr>
          <w:lang w:val="es-ES"/>
        </w:rPr>
        <w:t xml:space="preserve">miento de operaciones avaladas por 13 entidades ha sido de 3.335.244 euros. </w:t>
      </w:r>
    </w:p>
    <w:p w:rsidR="001B3767" w:rsidRPr="00F24EF6" w:rsidRDefault="001B3767" w:rsidP="001B3767">
      <w:pPr>
        <w:pStyle w:val="texto"/>
        <w:rPr>
          <w:lang w:val="es-ES"/>
        </w:rPr>
      </w:pPr>
      <w:r w:rsidRPr="00F24EF6">
        <w:rPr>
          <w:lang w:val="es-ES"/>
        </w:rPr>
        <w:t xml:space="preserve">No están provisionados todos los riesgos derivados del incumplimiento de las obligaciones avaladas. </w:t>
      </w:r>
    </w:p>
    <w:p w:rsidR="001B3767" w:rsidRPr="00F24EF6" w:rsidRDefault="001B3767" w:rsidP="001B3767">
      <w:pPr>
        <w:pStyle w:val="texto"/>
        <w:rPr>
          <w:lang w:val="es-ES"/>
        </w:rPr>
      </w:pPr>
      <w:r w:rsidRPr="00F24EF6">
        <w:rPr>
          <w:lang w:val="es-ES"/>
        </w:rPr>
        <w:t>Además de los avales concedidos, la Administración Foral afianzó operaci</w:t>
      </w:r>
      <w:r w:rsidRPr="00F24EF6">
        <w:rPr>
          <w:lang w:val="es-ES"/>
        </w:rPr>
        <w:t>o</w:t>
      </w:r>
      <w:r w:rsidRPr="00F24EF6">
        <w:rPr>
          <w:lang w:val="es-ES"/>
        </w:rPr>
        <w:t>nes</w:t>
      </w:r>
      <w:r w:rsidR="000820BE">
        <w:rPr>
          <w:lang w:val="es-ES"/>
        </w:rPr>
        <w:t xml:space="preserve"> de </w:t>
      </w:r>
      <w:r w:rsidRPr="00F24EF6">
        <w:rPr>
          <w:lang w:val="es-ES"/>
        </w:rPr>
        <w:t>endeudamiento de sociedades públicas con entidades financieras m</w:t>
      </w:r>
      <w:r w:rsidRPr="00F24EF6">
        <w:rPr>
          <w:lang w:val="es-ES"/>
        </w:rPr>
        <w:t>e</w:t>
      </w:r>
      <w:r w:rsidRPr="00F24EF6">
        <w:rPr>
          <w:lang w:val="es-ES"/>
        </w:rPr>
        <w:t>diante la formalización de “cartas de compromiso”. Al respecto, el Gobierno acordó otorgar en el año 2014 cartas de compromiso  –figura no contemplada en la Ley Foral de la Hacienda Pública– por importe de 177 millones de euros.</w:t>
      </w:r>
    </w:p>
    <w:p w:rsidR="001B3767" w:rsidRPr="00F24EF6" w:rsidRDefault="001B3767" w:rsidP="00F24EF6">
      <w:pPr>
        <w:pStyle w:val="texto"/>
        <w:rPr>
          <w:lang w:val="es-ES"/>
        </w:rPr>
      </w:pPr>
      <w:r w:rsidRPr="00F24EF6">
        <w:rPr>
          <w:lang w:val="es-ES"/>
        </w:rPr>
        <w:t xml:space="preserve">Con las cartas de compromiso, la Administración se compromete a apoyar a las sociedades públicas en el cumplimiento de las obligaciones contraídas con entidades financieras por operaciones de crédito. </w:t>
      </w:r>
    </w:p>
    <w:p w:rsidR="001B3767" w:rsidRPr="00F24EF6" w:rsidRDefault="001B3767" w:rsidP="00F24EF6">
      <w:pPr>
        <w:pStyle w:val="texto"/>
        <w:rPr>
          <w:lang w:val="es-ES"/>
        </w:rPr>
      </w:pPr>
      <w:r w:rsidRPr="00F24EF6">
        <w:rPr>
          <w:lang w:val="es-ES"/>
        </w:rPr>
        <w:t>El otorgamiento de avales debe ser autorizado por Ley Foral y la Ley Foral de Presupuestos Generales de Navarra establece el riesgo máximo de avales y el volumen máximo que pueden emitirse en el ejercicio; Sin embargo, esta f</w:t>
      </w:r>
      <w:r w:rsidRPr="00F24EF6">
        <w:rPr>
          <w:lang w:val="es-ES"/>
        </w:rPr>
        <w:t>i</w:t>
      </w:r>
      <w:r w:rsidRPr="00F24EF6">
        <w:rPr>
          <w:lang w:val="es-ES"/>
        </w:rPr>
        <w:t>gura de la carta de compromiso no está sometida a los citados requisitos.</w:t>
      </w:r>
    </w:p>
    <w:p w:rsidR="001B3767" w:rsidRDefault="001B3767" w:rsidP="008D325C">
      <w:pPr>
        <w:pStyle w:val="texto"/>
        <w:spacing w:after="260"/>
      </w:pPr>
      <w:r w:rsidRPr="00F24EF6">
        <w:rPr>
          <w:lang w:val="es-ES"/>
        </w:rPr>
        <w:t>El saldo vivo de las cartas de compromiso a 31 de diciembre de 2014 ascie</w:t>
      </w:r>
      <w:r w:rsidRPr="00F24EF6">
        <w:rPr>
          <w:lang w:val="es-ES"/>
        </w:rPr>
        <w:t>n</w:t>
      </w:r>
      <w:r w:rsidRPr="00F24EF6">
        <w:rPr>
          <w:lang w:val="es-ES"/>
        </w:rPr>
        <w:t xml:space="preserve">de a </w:t>
      </w:r>
      <w:r w:rsidR="008D325C">
        <w:rPr>
          <w:lang w:val="es-ES"/>
        </w:rPr>
        <w:t>42</w:t>
      </w:r>
      <w:r w:rsidRPr="00F24EF6">
        <w:rPr>
          <w:lang w:val="es-ES"/>
        </w:rPr>
        <w:t xml:space="preserve"> millones y afianza las obligaciones de la</w:t>
      </w:r>
      <w:r w:rsidR="008D325C">
        <w:rPr>
          <w:lang w:val="es-ES"/>
        </w:rPr>
        <w:t xml:space="preserve"> s</w:t>
      </w:r>
      <w:r w:rsidRPr="00F24EF6">
        <w:rPr>
          <w:lang w:val="es-ES"/>
        </w:rPr>
        <w:t>ociedad pública</w:t>
      </w:r>
      <w:r w:rsidR="008D325C">
        <w:rPr>
          <w:lang w:val="es-ES"/>
        </w:rPr>
        <w:t xml:space="preserve"> Ciudad Agroalimentaria de Tudela. La </w:t>
      </w:r>
      <w:r>
        <w:t xml:space="preserve">deuda de </w:t>
      </w:r>
      <w:r w:rsidR="008D325C">
        <w:t xml:space="preserve">esta </w:t>
      </w:r>
      <w:r>
        <w:t xml:space="preserve">sociedad ha pasado de </w:t>
      </w:r>
      <w:r w:rsidRPr="00737325">
        <w:t>53,7 mill</w:t>
      </w:r>
      <w:r w:rsidRPr="00737325">
        <w:t>o</w:t>
      </w:r>
      <w:r w:rsidRPr="00737325">
        <w:t>nes a 31 de diciembre de 2013 a 42,5 millones al cierre de 2014, de</w:t>
      </w:r>
      <w:r>
        <w:t>bido a que en 2014 la CPEN le aportó 11 millones para amortizar créditos y refinanciar deuda.</w:t>
      </w:r>
    </w:p>
    <w:p w:rsidR="001B3767" w:rsidRPr="00F24EF6" w:rsidRDefault="001B3767" w:rsidP="001B3767">
      <w:pPr>
        <w:pStyle w:val="texto"/>
        <w:rPr>
          <w:lang w:val="es-ES"/>
        </w:rPr>
      </w:pPr>
      <w:r w:rsidRPr="00F24EF6">
        <w:rPr>
          <w:lang w:val="es-ES"/>
        </w:rPr>
        <w:lastRenderedPageBreak/>
        <w:t>No se incluye i</w:t>
      </w:r>
      <w:r w:rsidR="00737325">
        <w:rPr>
          <w:lang w:val="es-ES"/>
        </w:rPr>
        <w:t>nformación en la memoria sobre</w:t>
      </w:r>
      <w:r w:rsidRPr="00F24EF6">
        <w:rPr>
          <w:lang w:val="es-ES"/>
        </w:rPr>
        <w:t xml:space="preserve"> las cartas de confirmación.</w:t>
      </w:r>
    </w:p>
    <w:p w:rsidR="006F1283" w:rsidRPr="003B47A6" w:rsidRDefault="001B3767" w:rsidP="001B3767">
      <w:pPr>
        <w:pStyle w:val="texto"/>
        <w:rPr>
          <w:lang w:val="es-ES"/>
        </w:rPr>
      </w:pPr>
      <w:r w:rsidRPr="003B47A6">
        <w:rPr>
          <w:lang w:val="es-ES"/>
        </w:rPr>
        <w:t>Recomendamos</w:t>
      </w:r>
      <w:r w:rsidR="003B47A6">
        <w:rPr>
          <w:lang w:val="es-ES"/>
        </w:rPr>
        <w:t>:</w:t>
      </w:r>
    </w:p>
    <w:p w:rsidR="006F1283" w:rsidRPr="006F1283" w:rsidRDefault="004B2ABD"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Pr>
          <w:rFonts w:cs="Arial"/>
          <w:i/>
        </w:rPr>
        <w:t>R</w:t>
      </w:r>
      <w:r w:rsidR="006F1283" w:rsidRPr="006F1283">
        <w:rPr>
          <w:rFonts w:cs="Arial"/>
          <w:i/>
        </w:rPr>
        <w:t xml:space="preserve">emitir al Parlamento información sobre los </w:t>
      </w:r>
      <w:r>
        <w:rPr>
          <w:rFonts w:cs="Arial"/>
          <w:i/>
        </w:rPr>
        <w:t>avales otorgados</w:t>
      </w:r>
      <w:r w:rsidR="006F1283" w:rsidRPr="006F1283">
        <w:rPr>
          <w:rFonts w:cs="Arial"/>
          <w:i/>
        </w:rPr>
        <w:t>.</w:t>
      </w:r>
    </w:p>
    <w:p w:rsidR="006F1283" w:rsidRPr="006F1283" w:rsidRDefault="006F1283"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6F1283">
        <w:rPr>
          <w:rFonts w:cs="Arial"/>
          <w:i/>
        </w:rPr>
        <w:t>Provisionar todos los riesgos asociados al incumplimiento de las oblig</w:t>
      </w:r>
      <w:r w:rsidRPr="006F1283">
        <w:rPr>
          <w:rFonts w:cs="Arial"/>
          <w:i/>
        </w:rPr>
        <w:t>a</w:t>
      </w:r>
      <w:r w:rsidRPr="006F1283">
        <w:rPr>
          <w:rFonts w:cs="Arial"/>
          <w:i/>
        </w:rPr>
        <w:t>ciones avaladas.</w:t>
      </w:r>
    </w:p>
    <w:p w:rsidR="006F1283" w:rsidRPr="006F1283" w:rsidRDefault="006F1283" w:rsidP="006F1283">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6F1283">
        <w:rPr>
          <w:rFonts w:cs="Arial"/>
          <w:i/>
        </w:rPr>
        <w:t>En la concesión de cartas de compromiso, que implican la asunción de riesgos para la Administración al comprometerse a atender operaciones de e</w:t>
      </w:r>
      <w:r w:rsidRPr="006F1283">
        <w:rPr>
          <w:rFonts w:cs="Arial"/>
          <w:i/>
        </w:rPr>
        <w:t>n</w:t>
      </w:r>
      <w:r w:rsidRPr="006F1283">
        <w:rPr>
          <w:rFonts w:cs="Arial"/>
          <w:i/>
        </w:rPr>
        <w:t>deudamiento concertadas por las sociedades, en tanto no se regulan, aplicar la regulación establecida en la Ley de Hacienda Pública para la concesión de avales así como informar sobre las mismas en la memoria.</w:t>
      </w:r>
    </w:p>
    <w:p w:rsidR="001B3767" w:rsidRPr="00C97661" w:rsidRDefault="001B3767" w:rsidP="00CD6326">
      <w:pPr>
        <w:pStyle w:val="atitulo2"/>
        <w:suppressAutoHyphens/>
        <w:spacing w:before="280" w:after="200"/>
        <w:ind w:right="28"/>
        <w:rPr>
          <w:color w:val="auto"/>
        </w:rPr>
      </w:pPr>
      <w:bookmarkStart w:id="84" w:name="_Toc434399413"/>
      <w:r w:rsidRPr="00C97661">
        <w:rPr>
          <w:color w:val="auto"/>
        </w:rPr>
        <w:t>VII.</w:t>
      </w:r>
      <w:r>
        <w:rPr>
          <w:color w:val="auto"/>
        </w:rPr>
        <w:t>1</w:t>
      </w:r>
      <w:r w:rsidR="0080281D">
        <w:rPr>
          <w:color w:val="auto"/>
        </w:rPr>
        <w:t>2</w:t>
      </w:r>
      <w:r w:rsidRPr="00C97661">
        <w:rPr>
          <w:color w:val="auto"/>
        </w:rPr>
        <w:t>. Sociedades Públicas y Fundaciones Públicas</w:t>
      </w:r>
      <w:bookmarkEnd w:id="84"/>
    </w:p>
    <w:p w:rsidR="001B3767" w:rsidRPr="00A312C1" w:rsidRDefault="001B3767" w:rsidP="00CD6326">
      <w:pPr>
        <w:pStyle w:val="texto"/>
        <w:rPr>
          <w:rFonts w:ascii="Arial" w:hAnsi="Arial" w:cs="Arial"/>
          <w:i/>
          <w:sz w:val="24"/>
        </w:rPr>
      </w:pPr>
      <w:r w:rsidRPr="00A312C1">
        <w:rPr>
          <w:rFonts w:ascii="Arial" w:hAnsi="Arial" w:cs="Arial"/>
          <w:i/>
          <w:sz w:val="24"/>
        </w:rPr>
        <w:t>Sociedades Públicas</w:t>
      </w:r>
    </w:p>
    <w:p w:rsidR="006F1283" w:rsidRDefault="006F1283" w:rsidP="00F408D4">
      <w:pPr>
        <w:pStyle w:val="texto"/>
        <w:spacing w:after="240"/>
        <w:rPr>
          <w:lang w:val="es-ES"/>
        </w:rPr>
      </w:pPr>
      <w:r w:rsidRPr="006F1283">
        <w:rPr>
          <w:lang w:val="es-ES"/>
        </w:rPr>
        <w:t>A continuación se presentan datos sobre las sociedades públicas de la Com</w:t>
      </w:r>
      <w:r w:rsidRPr="006F1283">
        <w:rPr>
          <w:lang w:val="es-ES"/>
        </w:rPr>
        <w:t>u</w:t>
      </w:r>
      <w:r w:rsidRPr="006F1283">
        <w:rPr>
          <w:lang w:val="es-ES"/>
        </w:rPr>
        <w:t>nidad Foral</w:t>
      </w:r>
      <w:r w:rsidR="006C7069">
        <w:rPr>
          <w:lang w:val="es-ES"/>
        </w:rPr>
        <w:t xml:space="preserve">, según información </w:t>
      </w:r>
      <w:r w:rsidR="001E04F7">
        <w:rPr>
          <w:lang w:val="es-ES"/>
        </w:rPr>
        <w:t>de</w:t>
      </w:r>
      <w:r w:rsidR="006C7069">
        <w:rPr>
          <w:lang w:val="es-ES"/>
        </w:rPr>
        <w:t xml:space="preserve"> la memoria de la cuenta general</w:t>
      </w:r>
      <w:r w:rsidRPr="006F1283">
        <w:rPr>
          <w:lang w:val="es-ES"/>
        </w:rPr>
        <w:t>:</w:t>
      </w:r>
    </w:p>
    <w:p w:rsidR="00541133" w:rsidRPr="00A72D37" w:rsidRDefault="00541133" w:rsidP="00541133">
      <w:pPr>
        <w:pStyle w:val="texto"/>
        <w:spacing w:after="80"/>
        <w:jc w:val="right"/>
        <w:rPr>
          <w:rFonts w:ascii="ITCCentury Book" w:hAnsi="ITCCentury Book" w:cs="Arial"/>
          <w:spacing w:val="0"/>
          <w:sz w:val="22"/>
          <w:szCs w:val="22"/>
        </w:rPr>
      </w:pPr>
      <w:r>
        <w:rPr>
          <w:rFonts w:cs="Arial"/>
        </w:rPr>
        <w:tab/>
      </w:r>
      <w:r>
        <w:rPr>
          <w:rFonts w:cs="Arial"/>
        </w:rPr>
        <w:tab/>
      </w:r>
      <w:r w:rsidRPr="00A72D37">
        <w:rPr>
          <w:rFonts w:cs="Arial"/>
          <w:sz w:val="22"/>
          <w:szCs w:val="22"/>
        </w:rPr>
        <w:t xml:space="preserve">                                </w:t>
      </w:r>
      <w:r>
        <w:rPr>
          <w:rFonts w:cs="Arial"/>
          <w:sz w:val="22"/>
          <w:szCs w:val="22"/>
        </w:rPr>
        <w:t xml:space="preserve">                               </w:t>
      </w:r>
      <w:r w:rsidRPr="00E05116">
        <w:rPr>
          <w:rFonts w:ascii="Arial" w:hAnsi="Arial" w:cs="Arial"/>
          <w:sz w:val="16"/>
          <w:szCs w:val="16"/>
          <w:lang w:val="es-ES" w:eastAsia="es-ES"/>
        </w:rPr>
        <w:t>(</w:t>
      </w:r>
      <w:proofErr w:type="gramStart"/>
      <w:r>
        <w:rPr>
          <w:rFonts w:ascii="Arial" w:hAnsi="Arial" w:cs="Arial"/>
          <w:sz w:val="16"/>
          <w:szCs w:val="16"/>
          <w:lang w:val="es-ES" w:eastAsia="es-ES"/>
        </w:rPr>
        <w:t>en</w:t>
      </w:r>
      <w:proofErr w:type="gramEnd"/>
      <w:r>
        <w:rPr>
          <w:rFonts w:ascii="Arial" w:hAnsi="Arial" w:cs="Arial"/>
          <w:sz w:val="16"/>
          <w:szCs w:val="16"/>
          <w:lang w:val="es-ES" w:eastAsia="es-ES"/>
        </w:rPr>
        <w:t xml:space="preserve"> miles</w:t>
      </w:r>
      <w:r w:rsidRPr="00E05116">
        <w:rPr>
          <w:rFonts w:ascii="Arial" w:hAnsi="Arial" w:cs="Arial"/>
          <w:sz w:val="16"/>
          <w:szCs w:val="16"/>
          <w:lang w:val="es-ES" w:eastAsia="es-ES"/>
        </w:rPr>
        <w:t xml:space="preserve"> de euros)</w:t>
      </w:r>
    </w:p>
    <w:tbl>
      <w:tblPr>
        <w:tblW w:w="8709"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132"/>
      </w:tblGrid>
      <w:tr w:rsidR="00D53F05" w:rsidRPr="00A352CE" w:rsidTr="003B47A6">
        <w:trPr>
          <w:trHeight w:val="238"/>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D53F05" w:rsidRPr="00A352CE" w:rsidRDefault="00D53F05" w:rsidP="00D53F05">
            <w:pPr>
              <w:pStyle w:val="cuadroCabe"/>
              <w:jc w:val="left"/>
              <w:rPr>
                <w:rFonts w:cs="Arial"/>
                <w:sz w:val="16"/>
                <w:szCs w:val="16"/>
              </w:rPr>
            </w:pPr>
            <w:r w:rsidRPr="00A352CE">
              <w:rPr>
                <w:rFonts w:cs="Arial"/>
                <w:sz w:val="16"/>
                <w:szCs w:val="16"/>
              </w:rPr>
              <w:t>Sociedad</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D53F05" w:rsidRPr="00A352CE" w:rsidRDefault="00D53F05" w:rsidP="00D53F05">
            <w:pPr>
              <w:pStyle w:val="cuadroCabe"/>
              <w:jc w:val="right"/>
              <w:rPr>
                <w:rFonts w:cs="Arial"/>
                <w:sz w:val="16"/>
                <w:szCs w:val="16"/>
              </w:rPr>
            </w:pPr>
            <w:r w:rsidRPr="00A352CE">
              <w:rPr>
                <w:rFonts w:cs="Arial"/>
                <w:sz w:val="16"/>
                <w:szCs w:val="16"/>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D53F05" w:rsidRPr="00A352CE" w:rsidRDefault="00D53F05" w:rsidP="00D53F05">
            <w:pPr>
              <w:pStyle w:val="cuadroCabe"/>
              <w:jc w:val="right"/>
              <w:rPr>
                <w:rFonts w:cs="Arial"/>
                <w:sz w:val="16"/>
                <w:szCs w:val="16"/>
              </w:rPr>
            </w:pPr>
            <w:r w:rsidRPr="00A352CE">
              <w:rPr>
                <w:rFonts w:cs="Arial"/>
                <w:sz w:val="16"/>
                <w:szCs w:val="16"/>
              </w:rPr>
              <w:t xml:space="preserve">Subvenciones </w:t>
            </w:r>
          </w:p>
          <w:p w:rsidR="00D53F05" w:rsidRPr="00A352CE" w:rsidRDefault="00D53F05" w:rsidP="00D53F05">
            <w:pPr>
              <w:pStyle w:val="cuadroCabe"/>
              <w:jc w:val="right"/>
              <w:rPr>
                <w:rFonts w:cs="Arial"/>
                <w:sz w:val="16"/>
                <w:szCs w:val="16"/>
              </w:rPr>
            </w:pPr>
            <w:r w:rsidRPr="00A352CE">
              <w:rPr>
                <w:rFonts w:cs="Arial"/>
                <w:sz w:val="16"/>
                <w:szCs w:val="16"/>
              </w:rPr>
              <w:t>Adm</w:t>
            </w:r>
            <w:r>
              <w:rPr>
                <w:rFonts w:cs="Arial"/>
                <w:sz w:val="16"/>
                <w:szCs w:val="16"/>
              </w:rPr>
              <w:t>ó</w:t>
            </w:r>
            <w:r w:rsidRPr="00A352CE">
              <w:rPr>
                <w:rFonts w:cs="Arial"/>
                <w:sz w:val="16"/>
                <w:szCs w:val="16"/>
              </w:rPr>
              <w:t>n</w:t>
            </w:r>
            <w:r>
              <w:rPr>
                <w:rFonts w:cs="Arial"/>
                <w:sz w:val="16"/>
                <w:szCs w:val="16"/>
              </w:rPr>
              <w:t>.</w:t>
            </w:r>
            <w:r w:rsidRPr="00A352CE">
              <w:rPr>
                <w:rFonts w:cs="Arial"/>
                <w:sz w:val="16"/>
                <w:szCs w:val="16"/>
              </w:rPr>
              <w:t xml:space="preserve">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D53F05" w:rsidRPr="00A352CE" w:rsidRDefault="00D53F05" w:rsidP="00D53F05">
            <w:pPr>
              <w:pStyle w:val="cuadroCabe"/>
              <w:jc w:val="right"/>
              <w:rPr>
                <w:rFonts w:cs="Arial"/>
                <w:sz w:val="16"/>
                <w:szCs w:val="16"/>
              </w:rPr>
            </w:pPr>
            <w:r w:rsidRPr="00A352CE">
              <w:rPr>
                <w:rFonts w:cs="Arial"/>
                <w:sz w:val="16"/>
                <w:szCs w:val="16"/>
              </w:rPr>
              <w:t>Endeudamiento largo plazo</w:t>
            </w:r>
            <w:r>
              <w:rPr>
                <w:rFonts w:cs="Arial"/>
                <w:sz w:val="16"/>
                <w:szCs w:val="16"/>
              </w:rPr>
              <w:t xml:space="preserve"> </w:t>
            </w:r>
            <w:r w:rsidRPr="00A352CE">
              <w:rPr>
                <w:rFonts w:cs="Arial"/>
                <w:sz w:val="16"/>
                <w:szCs w:val="16"/>
              </w:rPr>
              <w:t>(2)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D53F05" w:rsidRPr="00A352CE" w:rsidRDefault="00D53F05" w:rsidP="00D53F05">
            <w:pPr>
              <w:pStyle w:val="cuadroCabe"/>
              <w:jc w:val="right"/>
              <w:rPr>
                <w:rFonts w:cs="Arial"/>
                <w:sz w:val="16"/>
                <w:szCs w:val="16"/>
              </w:rPr>
            </w:pPr>
            <w:r w:rsidRPr="00A352CE">
              <w:rPr>
                <w:rFonts w:cs="Arial"/>
                <w:sz w:val="16"/>
                <w:szCs w:val="16"/>
              </w:rPr>
              <w:t>Patrimonio</w:t>
            </w:r>
          </w:p>
          <w:p w:rsidR="00D53F05" w:rsidRPr="00A352CE" w:rsidRDefault="00D53F05" w:rsidP="00D53F05">
            <w:pPr>
              <w:pStyle w:val="cuadroCabe"/>
              <w:jc w:val="right"/>
              <w:rPr>
                <w:rFonts w:cs="Arial"/>
                <w:sz w:val="16"/>
                <w:szCs w:val="16"/>
              </w:rPr>
            </w:pPr>
            <w:r w:rsidRPr="00A352CE">
              <w:rPr>
                <w:rFonts w:cs="Arial"/>
                <w:sz w:val="16"/>
                <w:szCs w:val="16"/>
              </w:rPr>
              <w:t xml:space="preserve"> neto</w:t>
            </w:r>
          </w:p>
        </w:tc>
        <w:tc>
          <w:tcPr>
            <w:tcW w:w="1132" w:type="dxa"/>
            <w:tcBorders>
              <w:top w:val="single" w:sz="4" w:space="0" w:color="auto"/>
              <w:left w:val="nil"/>
              <w:bottom w:val="single" w:sz="4" w:space="0" w:color="auto"/>
              <w:right w:val="nil"/>
            </w:tcBorders>
            <w:shd w:val="clear" w:color="auto" w:fill="8DB3E2" w:themeFill="text2" w:themeFillTint="66"/>
            <w:vAlign w:val="center"/>
            <w:hideMark/>
          </w:tcPr>
          <w:p w:rsidR="00D53F05" w:rsidRPr="00A352CE" w:rsidRDefault="00D53F05" w:rsidP="00D53F05">
            <w:pPr>
              <w:pStyle w:val="cuadroCabe"/>
              <w:jc w:val="right"/>
              <w:rPr>
                <w:rFonts w:cs="Arial"/>
                <w:sz w:val="16"/>
                <w:szCs w:val="16"/>
              </w:rPr>
            </w:pPr>
            <w:r w:rsidRPr="00A352CE">
              <w:rPr>
                <w:rFonts w:cs="Arial"/>
                <w:sz w:val="16"/>
                <w:szCs w:val="16"/>
              </w:rPr>
              <w:t>Nº medio de empleados</w:t>
            </w:r>
          </w:p>
        </w:tc>
      </w:tr>
      <w:tr w:rsidR="00D53F05" w:rsidRPr="00A352CE" w:rsidTr="00D53F05">
        <w:trPr>
          <w:trHeight w:val="238"/>
          <w:jc w:val="center"/>
        </w:trPr>
        <w:tc>
          <w:tcPr>
            <w:tcW w:w="2314"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CEIN</w:t>
            </w:r>
          </w:p>
        </w:tc>
        <w:tc>
          <w:tcPr>
            <w:tcW w:w="1134"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-123,78</w:t>
            </w:r>
          </w:p>
        </w:tc>
        <w:tc>
          <w:tcPr>
            <w:tcW w:w="1396"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681,22</w:t>
            </w:r>
          </w:p>
        </w:tc>
        <w:tc>
          <w:tcPr>
            <w:tcW w:w="1519"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10,49</w:t>
            </w:r>
          </w:p>
        </w:tc>
        <w:tc>
          <w:tcPr>
            <w:tcW w:w="1214"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995,34</w:t>
            </w:r>
          </w:p>
        </w:tc>
        <w:tc>
          <w:tcPr>
            <w:tcW w:w="1132" w:type="dxa"/>
            <w:tcBorders>
              <w:top w:val="single" w:sz="4"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35</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CNAI</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-62,14</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9,19</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26</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CAT</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-2.556,58</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30.624,22</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14.646,11</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GAN</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50,27</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33,86</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7.371,63</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80</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INTIA</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7,21</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4.564,06</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8,60</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4.297,30</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202</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NASERTIC</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514,96</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2.687,73</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6.619,64</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86</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NASUVINSA</w:t>
            </w:r>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-4.477,21</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36.797,15</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217.926,64</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82</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 xml:space="preserve">Natural </w:t>
            </w:r>
            <w:proofErr w:type="spellStart"/>
            <w:r w:rsidRPr="00A352CE">
              <w:rPr>
                <w:rFonts w:ascii="Arial Narrow" w:hAnsi="Arial Narrow" w:cs="Arial"/>
                <w:sz w:val="18"/>
                <w:szCs w:val="18"/>
                <w:lang w:val="es-ES" w:eastAsia="es-ES"/>
              </w:rPr>
              <w:t>Climate</w:t>
            </w:r>
            <w:proofErr w:type="spellEnd"/>
            <w:r w:rsidRPr="00A352CE">
              <w:rPr>
                <w:rFonts w:ascii="Arial Narrow" w:hAnsi="Arial Narrow" w:cs="Arial"/>
                <w:sz w:val="18"/>
                <w:szCs w:val="18"/>
                <w:lang w:val="es-ES" w:eastAsia="es-ES"/>
              </w:rPr>
              <w:t xml:space="preserve"> </w:t>
            </w:r>
            <w:proofErr w:type="spellStart"/>
            <w:r w:rsidRPr="00A352CE">
              <w:rPr>
                <w:rFonts w:ascii="Arial Narrow" w:hAnsi="Arial Narrow" w:cs="Arial"/>
                <w:sz w:val="18"/>
                <w:szCs w:val="18"/>
                <w:lang w:val="es-ES" w:eastAsia="es-ES"/>
              </w:rPr>
              <w:t>Systems,SA</w:t>
            </w:r>
            <w:proofErr w:type="spellEnd"/>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-255,42</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2.625,62</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-602,41</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NICDO</w:t>
            </w:r>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-6.331,00</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412</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23.684,97</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65.683,78</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32</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NILSA</w:t>
            </w:r>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25.623,12</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901,93</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35</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 xml:space="preserve">Potasas de </w:t>
            </w:r>
            <w:proofErr w:type="spellStart"/>
            <w:r w:rsidRPr="00A352CE">
              <w:rPr>
                <w:rFonts w:ascii="Arial Narrow" w:hAnsi="Arial Narrow" w:cs="Arial"/>
                <w:sz w:val="18"/>
                <w:szCs w:val="18"/>
                <w:lang w:val="es-ES" w:eastAsia="es-ES"/>
              </w:rPr>
              <w:t>Subiza</w:t>
            </w:r>
            <w:proofErr w:type="spellEnd"/>
            <w:r w:rsidRPr="00A352CE">
              <w:rPr>
                <w:rFonts w:ascii="Arial Narrow" w:hAnsi="Arial Narrow" w:cs="Arial"/>
                <w:sz w:val="18"/>
                <w:szCs w:val="18"/>
                <w:lang w:val="es-ES" w:eastAsia="es-ES"/>
              </w:rPr>
              <w:t>, SA</w:t>
            </w:r>
            <w:r w:rsidR="000820BE">
              <w:rPr>
                <w:rFonts w:ascii="Arial Narrow" w:hAnsi="Arial Narrow" w:cs="Arial"/>
                <w:sz w:val="18"/>
                <w:szCs w:val="18"/>
                <w:lang w:val="es-ES" w:eastAsia="es-ES"/>
              </w:rPr>
              <w:t>U</w:t>
            </w:r>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74,33</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731,92</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Salinas de Navarra, SA</w:t>
            </w:r>
          </w:p>
        </w:tc>
        <w:tc>
          <w:tcPr>
            <w:tcW w:w="113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1.328,68</w:t>
            </w:r>
          </w:p>
        </w:tc>
        <w:tc>
          <w:tcPr>
            <w:tcW w:w="1396"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1.200,30</w:t>
            </w:r>
          </w:p>
        </w:tc>
        <w:tc>
          <w:tcPr>
            <w:tcW w:w="1214"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23.972,71</w:t>
            </w:r>
          </w:p>
        </w:tc>
        <w:tc>
          <w:tcPr>
            <w:tcW w:w="1132" w:type="dxa"/>
            <w:tcBorders>
              <w:top w:val="single" w:sz="2" w:space="0" w:color="auto"/>
              <w:left w:val="nil"/>
              <w:bottom w:val="single" w:sz="2" w:space="0" w:color="auto"/>
              <w:right w:val="nil"/>
            </w:tcBorders>
            <w:shd w:val="clear" w:color="auto" w:fill="auto"/>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55</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SODENA</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14.852,57</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100.002,62</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66,79</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19</w:t>
            </w:r>
          </w:p>
        </w:tc>
      </w:tr>
      <w:tr w:rsidR="00D53F05" w:rsidRPr="00A352CE" w:rsidTr="00D53F05">
        <w:trPr>
          <w:trHeight w:val="238"/>
          <w:jc w:val="center"/>
        </w:trPr>
        <w:tc>
          <w:tcPr>
            <w:tcW w:w="2314" w:type="dxa"/>
            <w:tcBorders>
              <w:top w:val="single" w:sz="2" w:space="0" w:color="auto"/>
              <w:left w:val="nil"/>
              <w:bottom w:val="single" w:sz="2" w:space="0" w:color="auto"/>
              <w:right w:val="nil"/>
            </w:tcBorders>
            <w:vAlign w:val="center"/>
          </w:tcPr>
          <w:p w:rsidR="00D53F05" w:rsidRPr="008C2656" w:rsidRDefault="00D53F05" w:rsidP="00D53F05">
            <w:pPr>
              <w:spacing w:after="0"/>
              <w:ind w:firstLine="0"/>
              <w:jc w:val="left"/>
              <w:rPr>
                <w:rFonts w:ascii="Arial Narrow" w:hAnsi="Arial Narrow" w:cs="Arial"/>
                <w:sz w:val="18"/>
                <w:szCs w:val="18"/>
                <w:lang w:val="en-US" w:eastAsia="es-ES"/>
              </w:rPr>
            </w:pPr>
            <w:r w:rsidRPr="008C2656">
              <w:rPr>
                <w:rFonts w:ascii="Arial Narrow" w:hAnsi="Arial Narrow" w:cs="Arial"/>
                <w:sz w:val="18"/>
                <w:szCs w:val="18"/>
                <w:lang w:val="en-US" w:eastAsia="es-ES"/>
              </w:rPr>
              <w:t xml:space="preserve"> Start Up </w:t>
            </w:r>
            <w:proofErr w:type="spellStart"/>
            <w:r w:rsidRPr="008C2656">
              <w:rPr>
                <w:rFonts w:ascii="Arial Narrow" w:hAnsi="Arial Narrow" w:cs="Arial"/>
                <w:sz w:val="18"/>
                <w:szCs w:val="18"/>
                <w:lang w:val="en-US" w:eastAsia="es-ES"/>
              </w:rPr>
              <w:t>Captial</w:t>
            </w:r>
            <w:proofErr w:type="spellEnd"/>
            <w:r w:rsidRPr="008C2656">
              <w:rPr>
                <w:rFonts w:ascii="Arial Narrow" w:hAnsi="Arial Narrow" w:cs="Arial"/>
                <w:sz w:val="18"/>
                <w:szCs w:val="18"/>
                <w:lang w:val="en-US" w:eastAsia="es-ES"/>
              </w:rPr>
              <w:t xml:space="preserve"> Navarra, SA</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-414,18</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1.523,53</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r>
      <w:tr w:rsidR="00D53F05" w:rsidRPr="00A352CE" w:rsidTr="003B47A6">
        <w:trPr>
          <w:trHeight w:val="238"/>
          <w:jc w:val="center"/>
        </w:trPr>
        <w:tc>
          <w:tcPr>
            <w:tcW w:w="23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TRACASA</w:t>
            </w:r>
          </w:p>
        </w:tc>
        <w:tc>
          <w:tcPr>
            <w:tcW w:w="113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828,92</w:t>
            </w:r>
          </w:p>
        </w:tc>
        <w:tc>
          <w:tcPr>
            <w:tcW w:w="1396"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56,85</w:t>
            </w:r>
          </w:p>
        </w:tc>
        <w:tc>
          <w:tcPr>
            <w:tcW w:w="1519"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1.351,07</w:t>
            </w:r>
          </w:p>
        </w:tc>
        <w:tc>
          <w:tcPr>
            <w:tcW w:w="1214"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29.366,82</w:t>
            </w:r>
          </w:p>
        </w:tc>
        <w:tc>
          <w:tcPr>
            <w:tcW w:w="1132" w:type="dxa"/>
            <w:tcBorders>
              <w:top w:val="single" w:sz="2" w:space="0" w:color="auto"/>
              <w:left w:val="nil"/>
              <w:bottom w:val="single" w:sz="2"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364</w:t>
            </w:r>
          </w:p>
        </w:tc>
      </w:tr>
      <w:tr w:rsidR="00D53F05" w:rsidRPr="00A352CE" w:rsidTr="00D53F05">
        <w:trPr>
          <w:trHeight w:val="238"/>
          <w:jc w:val="center"/>
        </w:trPr>
        <w:tc>
          <w:tcPr>
            <w:tcW w:w="2314"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left"/>
              <w:rPr>
                <w:rFonts w:ascii="Arial Narrow" w:hAnsi="Arial Narrow" w:cs="Arial"/>
                <w:sz w:val="18"/>
                <w:szCs w:val="18"/>
                <w:lang w:val="es-ES" w:eastAsia="es-ES"/>
              </w:rPr>
            </w:pPr>
            <w:r w:rsidRPr="00A352CE">
              <w:rPr>
                <w:rFonts w:ascii="Arial Narrow" w:hAnsi="Arial Narrow" w:cs="Arial"/>
                <w:sz w:val="18"/>
                <w:szCs w:val="18"/>
                <w:lang w:val="es-ES" w:eastAsia="es-ES"/>
              </w:rPr>
              <w:t>CPEN</w:t>
            </w:r>
          </w:p>
        </w:tc>
        <w:tc>
          <w:tcPr>
            <w:tcW w:w="1134"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-78,11</w:t>
            </w:r>
          </w:p>
        </w:tc>
        <w:tc>
          <w:tcPr>
            <w:tcW w:w="1396"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140</w:t>
            </w:r>
          </w:p>
        </w:tc>
        <w:tc>
          <w:tcPr>
            <w:tcW w:w="1519"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0</w:t>
            </w:r>
          </w:p>
        </w:tc>
        <w:tc>
          <w:tcPr>
            <w:tcW w:w="1214"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443.003,07</w:t>
            </w:r>
          </w:p>
        </w:tc>
        <w:tc>
          <w:tcPr>
            <w:tcW w:w="1132" w:type="dxa"/>
            <w:tcBorders>
              <w:top w:val="single" w:sz="2" w:space="0" w:color="auto"/>
              <w:left w:val="nil"/>
              <w:bottom w:val="single" w:sz="4" w:space="0" w:color="auto"/>
              <w:right w:val="nil"/>
            </w:tcBorders>
            <w:vAlign w:val="center"/>
          </w:tcPr>
          <w:p w:rsidR="00D53F05" w:rsidRPr="00A352CE" w:rsidRDefault="00D53F05" w:rsidP="00D53F05">
            <w:pPr>
              <w:spacing w:after="0"/>
              <w:ind w:firstLine="0"/>
              <w:jc w:val="right"/>
              <w:rPr>
                <w:rFonts w:ascii="Arial Narrow" w:hAnsi="Arial Narrow" w:cs="Arial"/>
                <w:sz w:val="18"/>
                <w:szCs w:val="18"/>
                <w:lang w:val="es-ES" w:eastAsia="es-ES"/>
              </w:rPr>
            </w:pPr>
            <w:r w:rsidRPr="00A352CE">
              <w:rPr>
                <w:rFonts w:ascii="Arial Narrow" w:hAnsi="Arial Narrow" w:cs="Arial"/>
                <w:sz w:val="18"/>
                <w:szCs w:val="18"/>
                <w:lang w:val="es-ES" w:eastAsia="es-ES"/>
              </w:rPr>
              <w:t>11</w:t>
            </w:r>
          </w:p>
        </w:tc>
      </w:tr>
      <w:tr w:rsidR="00D53F05" w:rsidRPr="003B47A6" w:rsidTr="003B47A6">
        <w:trPr>
          <w:trHeight w:val="312"/>
          <w:jc w:val="center"/>
        </w:trPr>
        <w:tc>
          <w:tcPr>
            <w:tcW w:w="2314"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left"/>
              <w:rPr>
                <w:rFonts w:ascii="Arial" w:hAnsi="Arial" w:cs="Arial"/>
                <w:sz w:val="16"/>
                <w:szCs w:val="16"/>
              </w:rPr>
            </w:pPr>
            <w:r w:rsidRPr="003B47A6">
              <w:rPr>
                <w:rFonts w:ascii="Arial" w:hAnsi="Arial" w:cs="Arial"/>
                <w:sz w:val="16"/>
                <w:szCs w:val="16"/>
              </w:rPr>
              <w:t>Total (1)</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right"/>
              <w:rPr>
                <w:rFonts w:ascii="Arial" w:hAnsi="Arial" w:cs="Arial"/>
                <w:sz w:val="16"/>
                <w:szCs w:val="16"/>
              </w:rPr>
            </w:pPr>
            <w:r w:rsidRPr="003B47A6">
              <w:rPr>
                <w:rFonts w:ascii="Arial" w:hAnsi="Arial" w:cs="Arial"/>
                <w:sz w:val="16"/>
                <w:szCs w:val="16"/>
              </w:rPr>
              <w:fldChar w:fldCharType="begin"/>
            </w:r>
            <w:r w:rsidRPr="003B47A6">
              <w:rPr>
                <w:rFonts w:ascii="Arial" w:hAnsi="Arial" w:cs="Arial"/>
                <w:sz w:val="16"/>
                <w:szCs w:val="16"/>
              </w:rPr>
              <w:instrText xml:space="preserve"> =SUM(ABOVE) </w:instrText>
            </w:r>
            <w:r w:rsidRPr="003B47A6">
              <w:rPr>
                <w:rFonts w:ascii="Arial" w:hAnsi="Arial" w:cs="Arial"/>
                <w:sz w:val="16"/>
                <w:szCs w:val="16"/>
              </w:rPr>
              <w:fldChar w:fldCharType="separate"/>
            </w:r>
            <w:r w:rsidRPr="003B47A6">
              <w:rPr>
                <w:rFonts w:ascii="Arial" w:hAnsi="Arial" w:cs="Arial"/>
                <w:noProof/>
                <w:sz w:val="16"/>
                <w:szCs w:val="16"/>
              </w:rPr>
              <w:t>3.358,52</w:t>
            </w:r>
            <w:r w:rsidRPr="003B47A6">
              <w:rPr>
                <w:rFonts w:ascii="Arial" w:hAnsi="Arial" w:cs="Arial"/>
                <w:sz w:val="16"/>
                <w:szCs w:val="16"/>
              </w:rPr>
              <w:fldChar w:fldCharType="end"/>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right"/>
              <w:rPr>
                <w:rFonts w:ascii="Arial" w:hAnsi="Arial" w:cs="Arial"/>
                <w:sz w:val="16"/>
                <w:szCs w:val="16"/>
              </w:rPr>
            </w:pPr>
            <w:r w:rsidRPr="003B47A6">
              <w:rPr>
                <w:rFonts w:ascii="Arial" w:hAnsi="Arial" w:cs="Arial"/>
                <w:sz w:val="16"/>
                <w:szCs w:val="16"/>
              </w:rPr>
              <w:fldChar w:fldCharType="begin"/>
            </w:r>
            <w:r w:rsidRPr="003B47A6">
              <w:rPr>
                <w:rFonts w:ascii="Arial" w:hAnsi="Arial" w:cs="Arial"/>
                <w:sz w:val="16"/>
                <w:szCs w:val="16"/>
              </w:rPr>
              <w:instrText xml:space="preserve"> =SUM(ABOVE) </w:instrText>
            </w:r>
            <w:r w:rsidRPr="003B47A6">
              <w:rPr>
                <w:rFonts w:ascii="Arial" w:hAnsi="Arial" w:cs="Arial"/>
                <w:sz w:val="16"/>
                <w:szCs w:val="16"/>
              </w:rPr>
              <w:fldChar w:fldCharType="separate"/>
            </w:r>
            <w:r w:rsidRPr="003B47A6">
              <w:rPr>
                <w:rFonts w:ascii="Arial" w:hAnsi="Arial" w:cs="Arial"/>
                <w:noProof/>
                <w:sz w:val="16"/>
                <w:szCs w:val="16"/>
              </w:rPr>
              <w:t>5.854,1</w:t>
            </w:r>
            <w:r w:rsidRPr="003B47A6">
              <w:rPr>
                <w:rFonts w:ascii="Arial" w:hAnsi="Arial" w:cs="Arial"/>
                <w:sz w:val="16"/>
                <w:szCs w:val="16"/>
              </w:rPr>
              <w:fldChar w:fldCharType="end"/>
            </w:r>
            <w:r w:rsidRPr="003B47A6">
              <w:rPr>
                <w:rFonts w:ascii="Arial" w:hAnsi="Arial" w:cs="Arial"/>
                <w:sz w:val="16"/>
                <w:szCs w:val="16"/>
              </w:rPr>
              <w:t>2</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right"/>
              <w:rPr>
                <w:rFonts w:ascii="Arial" w:hAnsi="Arial" w:cs="Arial"/>
                <w:sz w:val="16"/>
                <w:szCs w:val="16"/>
              </w:rPr>
            </w:pPr>
            <w:r w:rsidRPr="003B47A6">
              <w:rPr>
                <w:rFonts w:ascii="Arial" w:hAnsi="Arial" w:cs="Arial"/>
                <w:sz w:val="16"/>
                <w:szCs w:val="16"/>
              </w:rPr>
              <w:fldChar w:fldCharType="begin"/>
            </w:r>
            <w:r w:rsidRPr="003B47A6">
              <w:rPr>
                <w:rFonts w:ascii="Arial" w:hAnsi="Arial" w:cs="Arial"/>
                <w:sz w:val="16"/>
                <w:szCs w:val="16"/>
              </w:rPr>
              <w:instrText xml:space="preserve"> =SUM(ABOVE) </w:instrText>
            </w:r>
            <w:r w:rsidRPr="003B47A6">
              <w:rPr>
                <w:rFonts w:ascii="Arial" w:hAnsi="Arial" w:cs="Arial"/>
                <w:sz w:val="16"/>
                <w:szCs w:val="16"/>
              </w:rPr>
              <w:fldChar w:fldCharType="separate"/>
            </w:r>
            <w:r w:rsidRPr="003B47A6">
              <w:rPr>
                <w:rFonts w:ascii="Arial" w:hAnsi="Arial" w:cs="Arial"/>
                <w:noProof/>
                <w:sz w:val="16"/>
                <w:szCs w:val="16"/>
              </w:rPr>
              <w:t>224.649,7</w:t>
            </w:r>
            <w:r w:rsidRPr="003B47A6">
              <w:rPr>
                <w:rFonts w:ascii="Arial" w:hAnsi="Arial" w:cs="Arial"/>
                <w:sz w:val="16"/>
                <w:szCs w:val="16"/>
              </w:rPr>
              <w:fldChar w:fldCharType="end"/>
            </w:r>
            <w:r w:rsidRPr="003B47A6">
              <w:rPr>
                <w:rFonts w:ascii="Arial" w:hAnsi="Arial" w:cs="Arial"/>
                <w:sz w:val="16"/>
                <w:szCs w:val="16"/>
              </w:rPr>
              <w:t>4</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right"/>
              <w:rPr>
                <w:rFonts w:ascii="Arial" w:hAnsi="Arial" w:cs="Arial"/>
                <w:sz w:val="16"/>
                <w:szCs w:val="16"/>
              </w:rPr>
            </w:pPr>
            <w:r w:rsidRPr="003B47A6">
              <w:rPr>
                <w:rFonts w:ascii="Arial" w:hAnsi="Arial" w:cs="Arial"/>
                <w:sz w:val="16"/>
                <w:szCs w:val="16"/>
              </w:rPr>
              <w:fldChar w:fldCharType="begin"/>
            </w:r>
            <w:r w:rsidRPr="003B47A6">
              <w:rPr>
                <w:rFonts w:ascii="Arial" w:hAnsi="Arial" w:cs="Arial"/>
                <w:sz w:val="16"/>
                <w:szCs w:val="16"/>
              </w:rPr>
              <w:instrText xml:space="preserve"> =SUM(ABOVE) </w:instrText>
            </w:r>
            <w:r w:rsidRPr="003B47A6">
              <w:rPr>
                <w:rFonts w:ascii="Arial" w:hAnsi="Arial" w:cs="Arial"/>
                <w:sz w:val="16"/>
                <w:szCs w:val="16"/>
              </w:rPr>
              <w:fldChar w:fldCharType="separate"/>
            </w:r>
            <w:r w:rsidRPr="003B47A6">
              <w:rPr>
                <w:rFonts w:ascii="Arial" w:hAnsi="Arial" w:cs="Arial"/>
                <w:noProof/>
                <w:sz w:val="16"/>
                <w:szCs w:val="16"/>
              </w:rPr>
              <w:t>816.513,99</w:t>
            </w:r>
            <w:r w:rsidRPr="003B47A6">
              <w:rPr>
                <w:rFonts w:ascii="Arial" w:hAnsi="Arial" w:cs="Arial"/>
                <w:sz w:val="16"/>
                <w:szCs w:val="16"/>
              </w:rPr>
              <w:fldChar w:fldCharType="end"/>
            </w:r>
          </w:p>
        </w:tc>
        <w:tc>
          <w:tcPr>
            <w:tcW w:w="1132" w:type="dxa"/>
            <w:tcBorders>
              <w:top w:val="single" w:sz="4" w:space="0" w:color="auto"/>
              <w:left w:val="nil"/>
              <w:bottom w:val="single" w:sz="4" w:space="0" w:color="auto"/>
              <w:right w:val="nil"/>
            </w:tcBorders>
            <w:shd w:val="clear" w:color="auto" w:fill="8DB3E2" w:themeFill="text2" w:themeFillTint="66"/>
            <w:vAlign w:val="center"/>
          </w:tcPr>
          <w:p w:rsidR="00D53F05" w:rsidRPr="003B47A6" w:rsidRDefault="00D53F05" w:rsidP="00D53F05">
            <w:pPr>
              <w:pStyle w:val="cuatexto"/>
              <w:jc w:val="right"/>
              <w:rPr>
                <w:rFonts w:ascii="Arial" w:hAnsi="Arial" w:cs="Arial"/>
                <w:sz w:val="16"/>
                <w:szCs w:val="16"/>
              </w:rPr>
            </w:pPr>
            <w:r w:rsidRPr="003B47A6">
              <w:rPr>
                <w:rFonts w:ascii="Arial" w:hAnsi="Arial" w:cs="Arial"/>
                <w:sz w:val="16"/>
                <w:szCs w:val="16"/>
              </w:rPr>
              <w:t>1.038</w:t>
            </w:r>
            <w:r w:rsidRPr="003B47A6">
              <w:rPr>
                <w:rFonts w:ascii="Arial" w:hAnsi="Arial" w:cs="Arial"/>
                <w:sz w:val="16"/>
                <w:szCs w:val="16"/>
              </w:rPr>
              <w:fldChar w:fldCharType="begin"/>
            </w:r>
            <w:r w:rsidRPr="003B47A6">
              <w:rPr>
                <w:rFonts w:ascii="Arial" w:hAnsi="Arial" w:cs="Arial"/>
                <w:sz w:val="16"/>
                <w:szCs w:val="16"/>
              </w:rPr>
              <w:instrText xml:space="preserve"> =SUM(ABOVE) </w:instrText>
            </w:r>
            <w:r w:rsidRPr="003B47A6">
              <w:rPr>
                <w:rFonts w:ascii="Arial" w:hAnsi="Arial" w:cs="Arial"/>
                <w:sz w:val="16"/>
                <w:szCs w:val="16"/>
              </w:rPr>
              <w:fldChar w:fldCharType="end"/>
            </w:r>
          </w:p>
        </w:tc>
      </w:tr>
    </w:tbl>
    <w:p w:rsidR="00D53F05" w:rsidRPr="009C1B5A" w:rsidRDefault="00D53F05" w:rsidP="003B47A6">
      <w:pPr>
        <w:pStyle w:val="texto"/>
        <w:numPr>
          <w:ilvl w:val="0"/>
          <w:numId w:val="18"/>
        </w:numPr>
        <w:tabs>
          <w:tab w:val="clear" w:pos="2835"/>
          <w:tab w:val="clear" w:pos="3969"/>
          <w:tab w:val="left" w:pos="-426"/>
          <w:tab w:val="center" w:pos="392"/>
        </w:tabs>
        <w:spacing w:before="80" w:after="0"/>
        <w:ind w:left="544" w:right="28" w:hanging="391"/>
        <w:rPr>
          <w:rFonts w:ascii="Arial Narrow" w:hAnsi="Arial Narrow"/>
          <w:sz w:val="18"/>
          <w:szCs w:val="18"/>
        </w:rPr>
      </w:pPr>
      <w:r w:rsidRPr="009C1B5A">
        <w:rPr>
          <w:rFonts w:ascii="Arial Narrow" w:hAnsi="Arial Narrow"/>
          <w:sz w:val="18"/>
          <w:szCs w:val="18"/>
        </w:rPr>
        <w:t>Datos sin consolidar</w:t>
      </w:r>
    </w:p>
    <w:p w:rsidR="00D53F05" w:rsidRPr="009C1B5A" w:rsidRDefault="00D53F05" w:rsidP="00F408D4">
      <w:pPr>
        <w:pStyle w:val="texto"/>
        <w:numPr>
          <w:ilvl w:val="0"/>
          <w:numId w:val="18"/>
        </w:numPr>
        <w:tabs>
          <w:tab w:val="clear" w:pos="2835"/>
          <w:tab w:val="clear" w:pos="3969"/>
          <w:tab w:val="left" w:pos="-426"/>
          <w:tab w:val="center" w:pos="392"/>
        </w:tabs>
        <w:spacing w:before="80" w:after="280"/>
        <w:ind w:left="544" w:right="28" w:hanging="391"/>
        <w:rPr>
          <w:rFonts w:ascii="Arial Narrow" w:hAnsi="Arial Narrow"/>
          <w:sz w:val="18"/>
          <w:szCs w:val="18"/>
        </w:rPr>
      </w:pPr>
      <w:r w:rsidRPr="009C1B5A">
        <w:rPr>
          <w:rFonts w:ascii="Arial Narrow" w:hAnsi="Arial Narrow"/>
          <w:sz w:val="18"/>
          <w:szCs w:val="18"/>
        </w:rPr>
        <w:t>En el endeudamiento no se incluyen las deudas con empresas del grupo y asociadas</w:t>
      </w:r>
    </w:p>
    <w:p w:rsidR="001B3767" w:rsidRPr="00F24EF6" w:rsidRDefault="001B3767" w:rsidP="001B3767">
      <w:pPr>
        <w:pStyle w:val="texto"/>
        <w:rPr>
          <w:lang w:val="es-ES"/>
        </w:rPr>
      </w:pPr>
      <w:r w:rsidRPr="00F24EF6">
        <w:rPr>
          <w:lang w:val="es-ES"/>
        </w:rPr>
        <w:t>Las sociedades públicas presentan auditoría de cuentas anuales</w:t>
      </w:r>
      <w:r w:rsidR="00C737C5">
        <w:rPr>
          <w:lang w:val="es-ES"/>
        </w:rPr>
        <w:t>.</w:t>
      </w:r>
    </w:p>
    <w:p w:rsidR="001B3767" w:rsidRPr="00F24EF6" w:rsidRDefault="001B3767" w:rsidP="001B3767">
      <w:pPr>
        <w:pStyle w:val="texto"/>
        <w:rPr>
          <w:lang w:val="es-ES"/>
        </w:rPr>
      </w:pPr>
      <w:r w:rsidRPr="00F24EF6">
        <w:rPr>
          <w:lang w:val="es-ES"/>
        </w:rPr>
        <w:t xml:space="preserve">Las 16 sociedades públicas en las que la Administración Foral participa de forma mayoritaria presentan opinión favorable sobre sus cuentas, excepto las cuentas de la sociedad Potasas de </w:t>
      </w:r>
      <w:proofErr w:type="spellStart"/>
      <w:r w:rsidRPr="00F24EF6">
        <w:rPr>
          <w:lang w:val="es-ES"/>
        </w:rPr>
        <w:t>Subiza</w:t>
      </w:r>
      <w:proofErr w:type="spellEnd"/>
      <w:r w:rsidRPr="00F24EF6">
        <w:rPr>
          <w:lang w:val="es-ES"/>
        </w:rPr>
        <w:t>, SAU en las que se incluye la siguie</w:t>
      </w:r>
      <w:r w:rsidRPr="00F24EF6">
        <w:rPr>
          <w:lang w:val="es-ES"/>
        </w:rPr>
        <w:t>n</w:t>
      </w:r>
      <w:r w:rsidRPr="00F24EF6">
        <w:rPr>
          <w:lang w:val="es-ES"/>
        </w:rPr>
        <w:t>te salvedad:</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rPr>
      </w:pPr>
      <w:r w:rsidRPr="00846868">
        <w:rPr>
          <w:rFonts w:cs="Arial"/>
        </w:rPr>
        <w:lastRenderedPageBreak/>
        <w:t xml:space="preserve">Potasas de </w:t>
      </w:r>
      <w:proofErr w:type="spellStart"/>
      <w:r w:rsidRPr="00846868">
        <w:rPr>
          <w:rFonts w:cs="Arial"/>
        </w:rPr>
        <w:t>Subiza</w:t>
      </w:r>
      <w:proofErr w:type="spellEnd"/>
      <w:r w:rsidRPr="00846868">
        <w:rPr>
          <w:rFonts w:cs="Arial"/>
        </w:rPr>
        <w:t xml:space="preserve"> SAU: la opinión sobre las cuentas anuales es favorable con salvedades por no haber registrado</w:t>
      </w:r>
      <w:r w:rsidR="00CD1FEC">
        <w:rPr>
          <w:rFonts w:cs="Arial"/>
        </w:rPr>
        <w:t xml:space="preserve"> como</w:t>
      </w:r>
      <w:r w:rsidRPr="00846868">
        <w:rPr>
          <w:rFonts w:cs="Arial"/>
        </w:rPr>
        <w:t xml:space="preserve"> provisi</w:t>
      </w:r>
      <w:r w:rsidR="00CD1FEC">
        <w:rPr>
          <w:rFonts w:cs="Arial"/>
        </w:rPr>
        <w:t>ón</w:t>
      </w:r>
      <w:r w:rsidRPr="00846868">
        <w:rPr>
          <w:rFonts w:cs="Arial"/>
        </w:rPr>
        <w:t xml:space="preserve"> a largo plazo, el pasivo derivado del plan de recuperación medioambiental cuantificado en 3,05 mill</w:t>
      </w:r>
      <w:r w:rsidRPr="00846868">
        <w:rPr>
          <w:rFonts w:cs="Arial"/>
        </w:rPr>
        <w:t>o</w:t>
      </w:r>
      <w:r w:rsidRPr="00846868">
        <w:rPr>
          <w:rFonts w:cs="Arial"/>
        </w:rPr>
        <w:t>nes. Esta omisión afecta al resultado de ejercicios anteriores que debiera red</w:t>
      </w:r>
      <w:r w:rsidRPr="00846868">
        <w:rPr>
          <w:rFonts w:cs="Arial"/>
        </w:rPr>
        <w:t>u</w:t>
      </w:r>
      <w:r w:rsidRPr="00846868">
        <w:rPr>
          <w:rFonts w:cs="Arial"/>
        </w:rPr>
        <w:t>cirse en 8,60 millones y al resultado del ejercicio, infravalorado en 5,55 mill</w:t>
      </w:r>
      <w:r w:rsidRPr="00846868">
        <w:rPr>
          <w:rFonts w:cs="Arial"/>
        </w:rPr>
        <w:t>o</w:t>
      </w:r>
      <w:r w:rsidRPr="00846868">
        <w:rPr>
          <w:rFonts w:cs="Arial"/>
        </w:rPr>
        <w:t>nes.</w:t>
      </w:r>
    </w:p>
    <w:p w:rsidR="001B3767" w:rsidRPr="00F24EF6" w:rsidRDefault="001B3767" w:rsidP="001B3767">
      <w:pPr>
        <w:pStyle w:val="texto"/>
        <w:rPr>
          <w:lang w:val="es-ES"/>
        </w:rPr>
      </w:pPr>
      <w:r w:rsidRPr="00F24EF6">
        <w:rPr>
          <w:lang w:val="es-ES"/>
        </w:rPr>
        <w:t>Por otro lado, los auditores incluyen un párrafo de énfasis, que no afecta a la opinión, en las cinco sociedades siguientes:</w:t>
      </w:r>
    </w:p>
    <w:p w:rsidR="001B3767" w:rsidRPr="00CD1FEC" w:rsidRDefault="001B3767" w:rsidP="001B3767">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lang w:val="es-ES"/>
        </w:rPr>
      </w:pPr>
      <w:r w:rsidRPr="00CD1FEC">
        <w:rPr>
          <w:rFonts w:cs="Arial"/>
        </w:rPr>
        <w:t>Centro Navarro de Autoaprendizaje de Idiomas (CNAI): el patrimonio neto de la Sociedad se encuentra reducido a una cantidad inferior a la mitad del c</w:t>
      </w:r>
      <w:r w:rsidRPr="00CD1FEC">
        <w:rPr>
          <w:rFonts w:cs="Arial"/>
        </w:rPr>
        <w:t>a</w:t>
      </w:r>
      <w:r w:rsidRPr="00CD1FEC">
        <w:rPr>
          <w:rFonts w:cs="Arial"/>
        </w:rPr>
        <w:t xml:space="preserve">pital social, lo cual supone causa de disolución de acuerdo al art. 363 de la Ley de Sociedades de Capital a no ser que el capital social de la misma se aumente o reduzca en la medida suficiente. </w:t>
      </w:r>
      <w:r w:rsidRPr="00CD1FEC">
        <w:rPr>
          <w:lang w:val="es-ES"/>
        </w:rPr>
        <w:t>En 2014, el socio único CPEN aportó a la sociedad 60.000 euros.</w:t>
      </w:r>
    </w:p>
    <w:p w:rsidR="001B3767" w:rsidRPr="00F24EF6" w:rsidRDefault="00245CFB" w:rsidP="00EA2684">
      <w:pPr>
        <w:pStyle w:val="texto"/>
        <w:spacing w:after="160"/>
        <w:rPr>
          <w:lang w:val="es-ES"/>
        </w:rPr>
      </w:pPr>
      <w:r>
        <w:rPr>
          <w:lang w:val="es-ES"/>
        </w:rPr>
        <w:t>CPEN</w:t>
      </w:r>
      <w:r w:rsidR="001B3767" w:rsidRPr="00F24EF6">
        <w:rPr>
          <w:lang w:val="es-ES"/>
        </w:rPr>
        <w:t xml:space="preserve"> solicitó, el 29 de enero de 2014 autorización al Parlamento de Navarra para vender las acciones de CNAI a los trabajadores, tras haber alcanzado un acuerdo con ellos. Esta solicitud fue denegada. El 24 de junio, se solicitó nu</w:t>
      </w:r>
      <w:r w:rsidR="001B3767" w:rsidRPr="00F24EF6">
        <w:rPr>
          <w:lang w:val="es-ES"/>
        </w:rPr>
        <w:t>e</w:t>
      </w:r>
      <w:r w:rsidR="001B3767" w:rsidRPr="00F24EF6">
        <w:rPr>
          <w:lang w:val="es-ES"/>
        </w:rPr>
        <w:t>vamente autorización para iniciar un proceso de búsqueda de un socio para la venta de las acciones. La Comisión de Régimen Foral del Parlamento aprobó dicho proceso. A 31 de diciembre de 2014 todavía no se ha materializado ni</w:t>
      </w:r>
      <w:r w:rsidR="001B3767" w:rsidRPr="00F24EF6">
        <w:rPr>
          <w:lang w:val="es-ES"/>
        </w:rPr>
        <w:t>n</w:t>
      </w:r>
      <w:r w:rsidR="001B3767" w:rsidRPr="00F24EF6">
        <w:rPr>
          <w:lang w:val="es-ES"/>
        </w:rPr>
        <w:t>gún acuerdo.</w:t>
      </w:r>
    </w:p>
    <w:p w:rsidR="001B3767" w:rsidRPr="00846868" w:rsidRDefault="001B3767" w:rsidP="00EA2684">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Navarra de Infraestructuras Locales (NILSA): en el párrafo de énfasis, los auditores llaman la atención sobre el déficit de 27,5 millones del Plan Director de saneamiento de los ríos de Navarra, que se irá corrigiendo con el canon de saneamiento. Vinculado con esto, la Sociedad presenta en el Pasivo del Bala</w:t>
      </w:r>
      <w:r w:rsidRPr="00846868">
        <w:rPr>
          <w:rFonts w:cs="Arial"/>
        </w:rPr>
        <w:t>n</w:t>
      </w:r>
      <w:r w:rsidRPr="00846868">
        <w:rPr>
          <w:rFonts w:cs="Arial"/>
        </w:rPr>
        <w:t>ce, 21 millones de euros, detraído</w:t>
      </w:r>
      <w:r w:rsidR="00CD1FEC">
        <w:rPr>
          <w:rFonts w:cs="Arial"/>
        </w:rPr>
        <w:t>s</w:t>
      </w:r>
      <w:r w:rsidRPr="00846868">
        <w:rPr>
          <w:rFonts w:cs="Arial"/>
        </w:rPr>
        <w:t xml:space="preserve"> del Plan Director para hacer frente a ren</w:t>
      </w:r>
      <w:r w:rsidRPr="00846868">
        <w:rPr>
          <w:rFonts w:cs="Arial"/>
        </w:rPr>
        <w:t>o</w:t>
      </w:r>
      <w:r w:rsidRPr="00846868">
        <w:rPr>
          <w:rFonts w:cs="Arial"/>
        </w:rPr>
        <w:t xml:space="preserve">vaciones y reparaciones extraordinarias de las instalaciones de depuración en explotación cuya propiedad </w:t>
      </w:r>
      <w:r w:rsidR="00CD1FEC">
        <w:rPr>
          <w:rFonts w:cs="Arial"/>
        </w:rPr>
        <w:t>es</w:t>
      </w:r>
      <w:r w:rsidRPr="00846868">
        <w:rPr>
          <w:rFonts w:cs="Arial"/>
        </w:rPr>
        <w:t xml:space="preserve"> de las Entidades Locales. Por tanto, las cuentas anuales de la Sociedad deben ser analizadas junto </w:t>
      </w:r>
      <w:r w:rsidR="00CD1FEC">
        <w:rPr>
          <w:rFonts w:cs="Arial"/>
        </w:rPr>
        <w:t>con</w:t>
      </w:r>
      <w:r w:rsidRPr="00846868">
        <w:rPr>
          <w:rFonts w:cs="Arial"/>
        </w:rPr>
        <w:t xml:space="preserve"> el Plan Director.</w:t>
      </w:r>
    </w:p>
    <w:p w:rsidR="001B3767" w:rsidRPr="00846868" w:rsidRDefault="001B3767" w:rsidP="00EA2684">
      <w:pPr>
        <w:pStyle w:val="texto"/>
        <w:numPr>
          <w:ilvl w:val="0"/>
          <w:numId w:val="11"/>
        </w:numPr>
        <w:tabs>
          <w:tab w:val="clear" w:pos="2835"/>
          <w:tab w:val="clear" w:pos="3969"/>
          <w:tab w:val="clear" w:pos="5103"/>
          <w:tab w:val="clear" w:pos="6237"/>
          <w:tab w:val="clear" w:pos="7371"/>
          <w:tab w:val="left" w:pos="480"/>
          <w:tab w:val="num" w:pos="600"/>
          <w:tab w:val="num" w:pos="720"/>
        </w:tabs>
        <w:spacing w:after="160"/>
        <w:ind w:left="0" w:firstLine="290"/>
        <w:rPr>
          <w:rFonts w:cs="Arial"/>
        </w:rPr>
      </w:pPr>
      <w:r w:rsidRPr="00846868">
        <w:rPr>
          <w:rFonts w:cs="Arial"/>
        </w:rPr>
        <w:t xml:space="preserve">Natural </w:t>
      </w:r>
      <w:proofErr w:type="spellStart"/>
      <w:r w:rsidRPr="00846868">
        <w:rPr>
          <w:rFonts w:cs="Arial"/>
        </w:rPr>
        <w:t>Climate</w:t>
      </w:r>
      <w:proofErr w:type="spellEnd"/>
      <w:r w:rsidRPr="00846868">
        <w:rPr>
          <w:rFonts w:cs="Arial"/>
        </w:rPr>
        <w:t xml:space="preserve"> </w:t>
      </w:r>
      <w:proofErr w:type="spellStart"/>
      <w:r w:rsidRPr="00846868">
        <w:rPr>
          <w:rFonts w:cs="Arial"/>
        </w:rPr>
        <w:t>System</w:t>
      </w:r>
      <w:r w:rsidR="00737325">
        <w:rPr>
          <w:rFonts w:cs="Arial"/>
        </w:rPr>
        <w:t>s</w:t>
      </w:r>
      <w:proofErr w:type="spellEnd"/>
      <w:r w:rsidRPr="00846868">
        <w:rPr>
          <w:rFonts w:cs="Arial"/>
        </w:rPr>
        <w:t xml:space="preserve">-MIYABI: el párrafo de énfasis llama la atención sobre la situación de la sociedad incursa al cierre del ejercicio </w:t>
      </w:r>
      <w:r w:rsidR="00737325">
        <w:rPr>
          <w:rFonts w:cs="Arial"/>
        </w:rPr>
        <w:t xml:space="preserve">en </w:t>
      </w:r>
      <w:r w:rsidRPr="00846868">
        <w:rPr>
          <w:rFonts w:cs="Arial"/>
        </w:rPr>
        <w:t xml:space="preserve">uno de los supuestos de disolución contemplados en la legislación mercantil. </w:t>
      </w:r>
    </w:p>
    <w:p w:rsidR="001B3767" w:rsidRPr="00F24EF6" w:rsidRDefault="001B3767" w:rsidP="00EA2684">
      <w:pPr>
        <w:pStyle w:val="texto"/>
        <w:spacing w:after="160"/>
        <w:rPr>
          <w:lang w:val="es-ES"/>
        </w:rPr>
      </w:pPr>
      <w:r w:rsidRPr="00F24EF6">
        <w:rPr>
          <w:lang w:val="es-ES"/>
        </w:rPr>
        <w:t xml:space="preserve">Esta sociedad, que presenta un patrimonio </w:t>
      </w:r>
      <w:r w:rsidR="00737325">
        <w:rPr>
          <w:lang w:val="es-ES"/>
        </w:rPr>
        <w:t xml:space="preserve">neto </w:t>
      </w:r>
      <w:r w:rsidRPr="00F24EF6">
        <w:rPr>
          <w:lang w:val="es-ES"/>
        </w:rPr>
        <w:t>negativo de 602.413 euros a 31 de diciembre de 2014, ha contado en 2014 con el apoyo financiero únic</w:t>
      </w:r>
      <w:r w:rsidRPr="00F24EF6">
        <w:rPr>
          <w:lang w:val="es-ES"/>
        </w:rPr>
        <w:t>a</w:t>
      </w:r>
      <w:r w:rsidRPr="00F24EF6">
        <w:rPr>
          <w:lang w:val="es-ES"/>
        </w:rPr>
        <w:t xml:space="preserve">mente de los accionistas públicos, </w:t>
      </w:r>
      <w:proofErr w:type="spellStart"/>
      <w:r w:rsidRPr="00F24EF6">
        <w:rPr>
          <w:lang w:val="es-ES"/>
        </w:rPr>
        <w:t>Nasuvinsa</w:t>
      </w:r>
      <w:proofErr w:type="spellEnd"/>
      <w:r w:rsidRPr="00F24EF6">
        <w:rPr>
          <w:lang w:val="es-ES"/>
        </w:rPr>
        <w:t xml:space="preserve"> y </w:t>
      </w:r>
      <w:proofErr w:type="spellStart"/>
      <w:r w:rsidRPr="00F24EF6">
        <w:rPr>
          <w:lang w:val="es-ES"/>
        </w:rPr>
        <w:t>Sodena</w:t>
      </w:r>
      <w:proofErr w:type="spellEnd"/>
      <w:r w:rsidRPr="00F24EF6">
        <w:rPr>
          <w:lang w:val="es-ES"/>
        </w:rPr>
        <w:t xml:space="preserve"> que poseen un 34,5 y 31,5 por ciento, respectivamente del capital.</w:t>
      </w:r>
    </w:p>
    <w:p w:rsidR="001B3767" w:rsidRPr="00F24EF6" w:rsidRDefault="001B3767" w:rsidP="00EA2684">
      <w:pPr>
        <w:pStyle w:val="texto"/>
        <w:spacing w:after="160"/>
        <w:rPr>
          <w:lang w:val="es-ES"/>
        </w:rPr>
      </w:pPr>
      <w:r w:rsidRPr="00F24EF6">
        <w:rPr>
          <w:lang w:val="es-ES"/>
        </w:rPr>
        <w:t xml:space="preserve">Así, </w:t>
      </w:r>
      <w:proofErr w:type="spellStart"/>
      <w:r w:rsidRPr="00F24EF6">
        <w:rPr>
          <w:lang w:val="es-ES"/>
        </w:rPr>
        <w:t>Nasuvinsa</w:t>
      </w:r>
      <w:proofErr w:type="spellEnd"/>
      <w:r w:rsidRPr="00F24EF6">
        <w:rPr>
          <w:lang w:val="es-ES"/>
        </w:rPr>
        <w:t xml:space="preserve"> y </w:t>
      </w:r>
      <w:proofErr w:type="spellStart"/>
      <w:r w:rsidRPr="00F24EF6">
        <w:rPr>
          <w:lang w:val="es-ES"/>
        </w:rPr>
        <w:t>Sodena</w:t>
      </w:r>
      <w:proofErr w:type="spellEnd"/>
      <w:r w:rsidRPr="00F24EF6">
        <w:rPr>
          <w:lang w:val="es-ES"/>
        </w:rPr>
        <w:t xml:space="preserve"> transformaron préstamos otorgados durante 2013 y 2014 por importe de 490.880 euros, en préstamos participativos y realizaron una aportación de 80.000 euros.</w:t>
      </w:r>
    </w:p>
    <w:p w:rsidR="001B3767" w:rsidRPr="00846868"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846868">
        <w:rPr>
          <w:rFonts w:cs="Arial"/>
        </w:rPr>
        <w:lastRenderedPageBreak/>
        <w:t xml:space="preserve">Potasas de </w:t>
      </w:r>
      <w:proofErr w:type="spellStart"/>
      <w:r w:rsidRPr="00846868">
        <w:rPr>
          <w:rFonts w:cs="Arial"/>
        </w:rPr>
        <w:t>Subiza</w:t>
      </w:r>
      <w:proofErr w:type="spellEnd"/>
      <w:r w:rsidRPr="00846868">
        <w:rPr>
          <w:rFonts w:cs="Arial"/>
        </w:rPr>
        <w:t>, SAU: el párrafo de énfasis llama la atención sobre que la Sociedad no generan fondos suficientes y su viabilidad en el futuro está co</w:t>
      </w:r>
      <w:r w:rsidRPr="00846868">
        <w:rPr>
          <w:rFonts w:cs="Arial"/>
        </w:rPr>
        <w:t>n</w:t>
      </w:r>
      <w:r w:rsidRPr="00846868">
        <w:rPr>
          <w:rFonts w:cs="Arial"/>
        </w:rPr>
        <w:t>dicionada, en gran medida, a la obtención de recursos suficientes que le perm</w:t>
      </w:r>
      <w:r w:rsidRPr="00846868">
        <w:rPr>
          <w:rFonts w:cs="Arial"/>
        </w:rPr>
        <w:t>i</w:t>
      </w:r>
      <w:r w:rsidRPr="00846868">
        <w:rPr>
          <w:rFonts w:cs="Arial"/>
        </w:rPr>
        <w:t>tan financiar la continuidad de sus operaciones y hacer frente a sus obligaci</w:t>
      </w:r>
      <w:r w:rsidRPr="00846868">
        <w:rPr>
          <w:rFonts w:cs="Arial"/>
        </w:rPr>
        <w:t>o</w:t>
      </w:r>
      <w:r w:rsidRPr="00846868">
        <w:rPr>
          <w:rFonts w:cs="Arial"/>
        </w:rPr>
        <w:t xml:space="preserve">nes. </w:t>
      </w:r>
      <w:r w:rsidR="00CD1FEC">
        <w:rPr>
          <w:rFonts w:cs="Arial"/>
        </w:rPr>
        <w:t>E</w:t>
      </w:r>
      <w:r w:rsidRPr="00846868">
        <w:rPr>
          <w:rFonts w:cs="Arial"/>
        </w:rPr>
        <w:t xml:space="preserve">l accionista único, la sociedad pública </w:t>
      </w:r>
      <w:proofErr w:type="spellStart"/>
      <w:r w:rsidRPr="00846868">
        <w:rPr>
          <w:rFonts w:cs="Arial"/>
        </w:rPr>
        <w:t>Sodena</w:t>
      </w:r>
      <w:proofErr w:type="spellEnd"/>
      <w:r w:rsidRPr="00846868">
        <w:rPr>
          <w:rFonts w:cs="Arial"/>
        </w:rPr>
        <w:t xml:space="preserve">, adquirió, en virtud de un contrato firmado entre las partes, el compromiso de aportar al patrimonio de la Sociedad las cantidades necesarias para financiar sus déficits de tesorería. </w:t>
      </w:r>
    </w:p>
    <w:p w:rsidR="001B3767" w:rsidRPr="00846868"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280"/>
        <w:ind w:left="0" w:firstLine="289"/>
        <w:rPr>
          <w:rFonts w:cs="Arial"/>
        </w:rPr>
      </w:pPr>
      <w:r w:rsidRPr="00846868">
        <w:rPr>
          <w:rFonts w:cs="Arial"/>
        </w:rPr>
        <w:t>START UP: el párrafo de énfasis llama la atención sobre el patrimonio n</w:t>
      </w:r>
      <w:r w:rsidRPr="00846868">
        <w:rPr>
          <w:rFonts w:cs="Arial"/>
        </w:rPr>
        <w:t>e</w:t>
      </w:r>
      <w:r w:rsidRPr="00846868">
        <w:rPr>
          <w:rFonts w:cs="Arial"/>
        </w:rPr>
        <w:t>to de la sociedad</w:t>
      </w:r>
      <w:r w:rsidR="00CD1FEC">
        <w:rPr>
          <w:rFonts w:cs="Arial"/>
        </w:rPr>
        <w:t>,</w:t>
      </w:r>
      <w:r w:rsidRPr="00846868">
        <w:rPr>
          <w:rFonts w:cs="Arial"/>
        </w:rPr>
        <w:t xml:space="preserve"> reducido a una cantidad inferior a la mitad del capital social, situación que constituye causa de disolución de la Sociedad a no ser que el c</w:t>
      </w:r>
      <w:r w:rsidRPr="00846868">
        <w:rPr>
          <w:rFonts w:cs="Arial"/>
        </w:rPr>
        <w:t>a</w:t>
      </w:r>
      <w:r w:rsidRPr="00846868">
        <w:rPr>
          <w:rFonts w:cs="Arial"/>
        </w:rPr>
        <w:t xml:space="preserve">pital social de la misma aumente o reduzca en la medida suficiente. </w:t>
      </w:r>
    </w:p>
    <w:p w:rsidR="001B3767" w:rsidRPr="005F3780" w:rsidRDefault="001B3767" w:rsidP="00EA2684">
      <w:pPr>
        <w:pStyle w:val="texto"/>
        <w:spacing w:before="240" w:after="180"/>
        <w:rPr>
          <w:rFonts w:ascii="Arial" w:hAnsi="Arial" w:cs="Arial"/>
          <w:i/>
          <w:sz w:val="24"/>
        </w:rPr>
      </w:pPr>
      <w:r w:rsidRPr="005F3780">
        <w:rPr>
          <w:rFonts w:ascii="Arial" w:hAnsi="Arial" w:cs="Arial"/>
          <w:i/>
          <w:sz w:val="24"/>
        </w:rPr>
        <w:t>Fundaciones Públicas</w:t>
      </w:r>
    </w:p>
    <w:p w:rsidR="006F1283" w:rsidRDefault="006F1283" w:rsidP="00550C8E">
      <w:pPr>
        <w:pStyle w:val="texto"/>
        <w:spacing w:after="260"/>
        <w:rPr>
          <w:lang w:val="es-ES"/>
        </w:rPr>
      </w:pPr>
      <w:r w:rsidRPr="006F1283">
        <w:rPr>
          <w:lang w:val="es-ES"/>
        </w:rPr>
        <w:t>En el siguiente cuadro se muestran datos sobre las fundaciones púb</w:t>
      </w:r>
      <w:r>
        <w:rPr>
          <w:lang w:val="es-ES"/>
        </w:rPr>
        <w:t>l</w:t>
      </w:r>
      <w:r w:rsidRPr="006F1283">
        <w:rPr>
          <w:lang w:val="es-ES"/>
        </w:rPr>
        <w:t>icas</w:t>
      </w:r>
      <w:r w:rsidR="006C7069">
        <w:rPr>
          <w:lang w:val="es-ES"/>
        </w:rPr>
        <w:t>, s</w:t>
      </w:r>
      <w:r w:rsidR="006C7069">
        <w:rPr>
          <w:lang w:val="es-ES"/>
        </w:rPr>
        <w:t>e</w:t>
      </w:r>
      <w:r w:rsidR="006C7069">
        <w:rPr>
          <w:lang w:val="es-ES"/>
        </w:rPr>
        <w:t>gún información de la memoria de la cuenta general</w:t>
      </w:r>
      <w:r w:rsidRPr="006F1283">
        <w:rPr>
          <w:lang w:val="es-ES"/>
        </w:rPr>
        <w:t>:</w:t>
      </w:r>
    </w:p>
    <w:p w:rsidR="00991D54" w:rsidRPr="00A72D37" w:rsidRDefault="00991D54" w:rsidP="00991D54">
      <w:pPr>
        <w:pStyle w:val="texto"/>
        <w:spacing w:after="80"/>
        <w:jc w:val="right"/>
        <w:rPr>
          <w:rFonts w:ascii="ITCCentury Book" w:hAnsi="ITCCentury Book" w:cs="Arial"/>
          <w:spacing w:val="0"/>
          <w:sz w:val="22"/>
          <w:szCs w:val="22"/>
        </w:rPr>
      </w:pPr>
      <w:r>
        <w:rPr>
          <w:rFonts w:cs="Arial"/>
        </w:rPr>
        <w:tab/>
      </w:r>
      <w:r>
        <w:rPr>
          <w:rFonts w:cs="Arial"/>
        </w:rPr>
        <w:tab/>
      </w:r>
      <w:r w:rsidRPr="00A72D37">
        <w:rPr>
          <w:rFonts w:cs="Arial"/>
          <w:sz w:val="22"/>
          <w:szCs w:val="22"/>
        </w:rPr>
        <w:t xml:space="preserve">                                </w:t>
      </w:r>
      <w:r>
        <w:rPr>
          <w:rFonts w:cs="Arial"/>
          <w:sz w:val="22"/>
          <w:szCs w:val="22"/>
        </w:rPr>
        <w:t xml:space="preserve">                               </w:t>
      </w:r>
      <w:r w:rsidRPr="00E05116">
        <w:rPr>
          <w:rFonts w:ascii="Arial" w:hAnsi="Arial" w:cs="Arial"/>
          <w:sz w:val="16"/>
          <w:szCs w:val="16"/>
          <w:lang w:val="es-ES" w:eastAsia="es-ES"/>
        </w:rPr>
        <w:t>(</w:t>
      </w:r>
      <w:proofErr w:type="gramStart"/>
      <w:r>
        <w:rPr>
          <w:rFonts w:ascii="Arial" w:hAnsi="Arial" w:cs="Arial"/>
          <w:sz w:val="16"/>
          <w:szCs w:val="16"/>
          <w:lang w:val="es-ES" w:eastAsia="es-ES"/>
        </w:rPr>
        <w:t>en</w:t>
      </w:r>
      <w:proofErr w:type="gramEnd"/>
      <w:r>
        <w:rPr>
          <w:rFonts w:ascii="Arial" w:hAnsi="Arial" w:cs="Arial"/>
          <w:sz w:val="16"/>
          <w:szCs w:val="16"/>
          <w:lang w:val="es-ES" w:eastAsia="es-ES"/>
        </w:rPr>
        <w:t xml:space="preserve"> miles</w:t>
      </w:r>
      <w:r w:rsidRPr="00E05116">
        <w:rPr>
          <w:rFonts w:ascii="Arial" w:hAnsi="Arial" w:cs="Arial"/>
          <w:sz w:val="16"/>
          <w:szCs w:val="16"/>
          <w:lang w:val="es-ES" w:eastAsia="es-ES"/>
        </w:rPr>
        <w:t xml:space="preserve"> de euros)</w:t>
      </w:r>
    </w:p>
    <w:tbl>
      <w:tblPr>
        <w:tblW w:w="8804"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586"/>
      </w:tblGrid>
      <w:tr w:rsidR="00747994" w:rsidRPr="00D475E7" w:rsidTr="00DB386C">
        <w:trPr>
          <w:cantSplit/>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747994" w:rsidRPr="00D475E7" w:rsidRDefault="00747994" w:rsidP="00747994">
            <w:pPr>
              <w:pStyle w:val="cuadroCabe"/>
              <w:jc w:val="left"/>
              <w:rPr>
                <w:rFonts w:cs="Arial"/>
                <w:szCs w:val="18"/>
              </w:rPr>
            </w:pPr>
            <w:r w:rsidRPr="00D475E7">
              <w:rPr>
                <w:rFonts w:cs="Arial"/>
                <w:szCs w:val="18"/>
              </w:rPr>
              <w:t>Fundación</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747994" w:rsidRPr="00D475E7" w:rsidRDefault="00747994" w:rsidP="00747994">
            <w:pPr>
              <w:pStyle w:val="cuadroCabe"/>
              <w:jc w:val="right"/>
              <w:rPr>
                <w:rFonts w:cs="Arial"/>
                <w:szCs w:val="18"/>
              </w:rPr>
            </w:pPr>
            <w:r w:rsidRPr="00D475E7">
              <w:rPr>
                <w:rFonts w:cs="Arial"/>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747994" w:rsidRPr="00D475E7" w:rsidRDefault="00747994" w:rsidP="00747994">
            <w:pPr>
              <w:pStyle w:val="cuadroCabe"/>
              <w:jc w:val="right"/>
              <w:rPr>
                <w:rFonts w:cs="Arial"/>
                <w:szCs w:val="18"/>
              </w:rPr>
            </w:pPr>
            <w:r w:rsidRPr="00D475E7">
              <w:rPr>
                <w:rFonts w:cs="Arial"/>
                <w:szCs w:val="18"/>
              </w:rPr>
              <w:t>Patrimonio</w:t>
            </w:r>
          </w:p>
          <w:p w:rsidR="00747994" w:rsidRPr="00D475E7" w:rsidRDefault="00747994" w:rsidP="00747994">
            <w:pPr>
              <w:pStyle w:val="cuadroCabe"/>
              <w:jc w:val="right"/>
              <w:rPr>
                <w:rFonts w:cs="Arial"/>
                <w:szCs w:val="18"/>
              </w:rPr>
            </w:pPr>
            <w:r w:rsidRPr="00D475E7">
              <w:rPr>
                <w:rFonts w:cs="Arial"/>
                <w:szCs w:val="18"/>
              </w:rPr>
              <w:t xml:space="preserve"> neto</w:t>
            </w:r>
          </w:p>
        </w:tc>
        <w:tc>
          <w:tcPr>
            <w:tcW w:w="1586" w:type="dxa"/>
            <w:tcBorders>
              <w:top w:val="single" w:sz="4" w:space="0" w:color="auto"/>
              <w:left w:val="nil"/>
              <w:bottom w:val="single" w:sz="4" w:space="0" w:color="auto"/>
              <w:right w:val="nil"/>
            </w:tcBorders>
            <w:shd w:val="clear" w:color="auto" w:fill="8DB3E2" w:themeFill="text2" w:themeFillTint="66"/>
            <w:vAlign w:val="center"/>
            <w:hideMark/>
          </w:tcPr>
          <w:p w:rsidR="00747994" w:rsidRPr="00D475E7" w:rsidRDefault="00747994" w:rsidP="00747994">
            <w:pPr>
              <w:pStyle w:val="cuadroCabe"/>
              <w:jc w:val="right"/>
              <w:rPr>
                <w:rFonts w:cs="Arial"/>
                <w:szCs w:val="18"/>
              </w:rPr>
            </w:pPr>
            <w:r w:rsidRPr="00D475E7">
              <w:rPr>
                <w:rFonts w:cs="Arial"/>
                <w:szCs w:val="18"/>
              </w:rPr>
              <w:t xml:space="preserve">Nº medio de </w:t>
            </w:r>
          </w:p>
          <w:p w:rsidR="00747994" w:rsidRPr="00D475E7" w:rsidRDefault="00747994" w:rsidP="00747994">
            <w:pPr>
              <w:pStyle w:val="cuadroCabe"/>
              <w:jc w:val="right"/>
              <w:rPr>
                <w:rFonts w:cs="Arial"/>
                <w:szCs w:val="18"/>
              </w:rPr>
            </w:pPr>
            <w:r w:rsidRPr="00D475E7">
              <w:rPr>
                <w:rFonts w:cs="Arial"/>
                <w:szCs w:val="18"/>
              </w:rPr>
              <w:t>empleados</w:t>
            </w:r>
          </w:p>
        </w:tc>
      </w:tr>
      <w:tr w:rsidR="00747994" w:rsidRPr="00D475E7" w:rsidTr="00DB386C">
        <w:trPr>
          <w:trHeight w:val="227"/>
          <w:jc w:val="center"/>
        </w:trPr>
        <w:tc>
          <w:tcPr>
            <w:tcW w:w="4142" w:type="dxa"/>
            <w:tcBorders>
              <w:top w:val="single" w:sz="4"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Baluarte</w:t>
            </w:r>
          </w:p>
        </w:tc>
        <w:tc>
          <w:tcPr>
            <w:tcW w:w="1521" w:type="dxa"/>
            <w:tcBorders>
              <w:top w:val="single" w:sz="4"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-58,60</w:t>
            </w:r>
          </w:p>
        </w:tc>
        <w:tc>
          <w:tcPr>
            <w:tcW w:w="1555" w:type="dxa"/>
            <w:tcBorders>
              <w:top w:val="single" w:sz="4"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380,11</w:t>
            </w:r>
          </w:p>
        </w:tc>
        <w:tc>
          <w:tcPr>
            <w:tcW w:w="1586" w:type="dxa"/>
            <w:tcBorders>
              <w:top w:val="single" w:sz="4"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0</w:t>
            </w:r>
          </w:p>
        </w:tc>
      </w:tr>
      <w:tr w:rsidR="00747994" w:rsidRPr="00D475E7"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Conservación Patrimonio Histórico de Navarra</w:t>
            </w:r>
          </w:p>
        </w:tc>
        <w:tc>
          <w:tcPr>
            <w:tcW w:w="1521"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-257,78</w:t>
            </w:r>
          </w:p>
        </w:tc>
        <w:tc>
          <w:tcPr>
            <w:tcW w:w="1555"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0</w:t>
            </w:r>
          </w:p>
        </w:tc>
        <w:tc>
          <w:tcPr>
            <w:tcW w:w="1586"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1</w:t>
            </w:r>
          </w:p>
        </w:tc>
      </w:tr>
      <w:tr w:rsidR="00747994" w:rsidRPr="00D475E7"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Formación en Energías Renovables</w:t>
            </w:r>
          </w:p>
        </w:tc>
        <w:tc>
          <w:tcPr>
            <w:tcW w:w="1521"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-45,39</w:t>
            </w:r>
          </w:p>
        </w:tc>
        <w:tc>
          <w:tcPr>
            <w:tcW w:w="1555"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6.289,71</w:t>
            </w:r>
          </w:p>
        </w:tc>
        <w:tc>
          <w:tcPr>
            <w:tcW w:w="1586"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Sin datos</w:t>
            </w:r>
          </w:p>
        </w:tc>
      </w:tr>
      <w:tr w:rsidR="00747994" w:rsidRPr="00D475E7"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Inst. Navarro Artes Audiovisuales y Cinematografía</w:t>
            </w:r>
          </w:p>
        </w:tc>
        <w:tc>
          <w:tcPr>
            <w:tcW w:w="1521"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-9,04</w:t>
            </w:r>
          </w:p>
        </w:tc>
        <w:tc>
          <w:tcPr>
            <w:tcW w:w="1555"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59,98</w:t>
            </w:r>
          </w:p>
        </w:tc>
        <w:tc>
          <w:tcPr>
            <w:tcW w:w="1586"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3</w:t>
            </w:r>
          </w:p>
        </w:tc>
      </w:tr>
      <w:tr w:rsidR="00747994" w:rsidRPr="00D475E7"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Miguel Servet</w:t>
            </w:r>
          </w:p>
        </w:tc>
        <w:tc>
          <w:tcPr>
            <w:tcW w:w="1521"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5,22</w:t>
            </w:r>
          </w:p>
        </w:tc>
        <w:tc>
          <w:tcPr>
            <w:tcW w:w="1555"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1.540,50</w:t>
            </w:r>
          </w:p>
        </w:tc>
        <w:tc>
          <w:tcPr>
            <w:tcW w:w="1586"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63,51</w:t>
            </w:r>
          </w:p>
        </w:tc>
      </w:tr>
      <w:tr w:rsidR="00747994" w:rsidRPr="00D475E7" w:rsidTr="00DB386C">
        <w:trPr>
          <w:trHeight w:val="227"/>
          <w:jc w:val="center"/>
        </w:trPr>
        <w:tc>
          <w:tcPr>
            <w:tcW w:w="4142"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Navarra para la Excelencia</w:t>
            </w:r>
          </w:p>
        </w:tc>
        <w:tc>
          <w:tcPr>
            <w:tcW w:w="1521"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20,39</w:t>
            </w:r>
          </w:p>
        </w:tc>
        <w:tc>
          <w:tcPr>
            <w:tcW w:w="1555"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145,05</w:t>
            </w:r>
          </w:p>
        </w:tc>
        <w:tc>
          <w:tcPr>
            <w:tcW w:w="1586" w:type="dxa"/>
            <w:tcBorders>
              <w:top w:val="single" w:sz="2" w:space="0" w:color="auto"/>
              <w:left w:val="nil"/>
              <w:bottom w:val="single" w:sz="2"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3</w:t>
            </w:r>
          </w:p>
        </w:tc>
      </w:tr>
      <w:tr w:rsidR="00747994" w:rsidRPr="00D475E7" w:rsidTr="00DB386C">
        <w:trPr>
          <w:trHeight w:val="227"/>
          <w:jc w:val="center"/>
        </w:trPr>
        <w:tc>
          <w:tcPr>
            <w:tcW w:w="4142" w:type="dxa"/>
            <w:tcBorders>
              <w:top w:val="single" w:sz="2" w:space="0" w:color="auto"/>
              <w:left w:val="nil"/>
              <w:bottom w:val="single" w:sz="4" w:space="0" w:color="auto"/>
              <w:right w:val="nil"/>
            </w:tcBorders>
            <w:vAlign w:val="center"/>
          </w:tcPr>
          <w:p w:rsidR="00747994" w:rsidRPr="00D475E7" w:rsidRDefault="00747994" w:rsidP="00747994">
            <w:pPr>
              <w:spacing w:after="0"/>
              <w:ind w:firstLine="0"/>
              <w:jc w:val="left"/>
              <w:rPr>
                <w:rFonts w:ascii="Arial Narrow" w:hAnsi="Arial Narrow" w:cs="Arial"/>
                <w:lang w:val="es-ES" w:eastAsia="es-ES"/>
              </w:rPr>
            </w:pPr>
            <w:r w:rsidRPr="00D475E7">
              <w:rPr>
                <w:rFonts w:ascii="Arial Narrow" w:hAnsi="Arial Narrow" w:cs="Arial"/>
                <w:lang w:val="es-ES" w:eastAsia="es-ES"/>
              </w:rPr>
              <w:t>Tutela de las Personas Adultas</w:t>
            </w:r>
          </w:p>
        </w:tc>
        <w:tc>
          <w:tcPr>
            <w:tcW w:w="1521" w:type="dxa"/>
            <w:tcBorders>
              <w:top w:val="single" w:sz="2" w:space="0" w:color="auto"/>
              <w:left w:val="nil"/>
              <w:bottom w:val="single" w:sz="4"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-306,01</w:t>
            </w:r>
          </w:p>
        </w:tc>
        <w:tc>
          <w:tcPr>
            <w:tcW w:w="1555" w:type="dxa"/>
            <w:tcBorders>
              <w:top w:val="single" w:sz="2" w:space="0" w:color="auto"/>
              <w:left w:val="nil"/>
              <w:bottom w:val="single" w:sz="4"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104,28</w:t>
            </w:r>
          </w:p>
        </w:tc>
        <w:tc>
          <w:tcPr>
            <w:tcW w:w="1586" w:type="dxa"/>
            <w:tcBorders>
              <w:top w:val="single" w:sz="2" w:space="0" w:color="auto"/>
              <w:left w:val="nil"/>
              <w:bottom w:val="single" w:sz="4" w:space="0" w:color="auto"/>
              <w:right w:val="nil"/>
            </w:tcBorders>
            <w:vAlign w:val="center"/>
          </w:tcPr>
          <w:p w:rsidR="00747994" w:rsidRPr="00D475E7" w:rsidRDefault="00747994" w:rsidP="00747994">
            <w:pPr>
              <w:spacing w:after="0"/>
              <w:ind w:firstLine="0"/>
              <w:jc w:val="right"/>
              <w:rPr>
                <w:rFonts w:ascii="Arial Narrow" w:hAnsi="Arial Narrow" w:cs="Arial"/>
                <w:lang w:val="es-ES" w:eastAsia="es-ES"/>
              </w:rPr>
            </w:pPr>
            <w:r w:rsidRPr="00D475E7">
              <w:rPr>
                <w:rFonts w:ascii="Arial Narrow" w:hAnsi="Arial Narrow" w:cs="Arial"/>
                <w:lang w:val="es-ES" w:eastAsia="es-ES"/>
              </w:rPr>
              <w:t>10</w:t>
            </w:r>
          </w:p>
        </w:tc>
      </w:tr>
      <w:tr w:rsidR="00747994" w:rsidRPr="00D475E7" w:rsidTr="00DB386C">
        <w:trPr>
          <w:trHeight w:val="284"/>
          <w:jc w:val="center"/>
        </w:trPr>
        <w:tc>
          <w:tcPr>
            <w:tcW w:w="4142" w:type="dxa"/>
            <w:tcBorders>
              <w:top w:val="single" w:sz="4" w:space="0" w:color="auto"/>
              <w:left w:val="nil"/>
              <w:bottom w:val="single" w:sz="4" w:space="0" w:color="auto"/>
              <w:right w:val="nil"/>
            </w:tcBorders>
            <w:shd w:val="clear" w:color="auto" w:fill="8DB3E2" w:themeFill="text2" w:themeFillTint="66"/>
            <w:vAlign w:val="center"/>
          </w:tcPr>
          <w:p w:rsidR="00747994" w:rsidRPr="00D475E7" w:rsidRDefault="00747994" w:rsidP="00747994">
            <w:pPr>
              <w:spacing w:after="0"/>
              <w:ind w:firstLine="0"/>
              <w:jc w:val="left"/>
              <w:rPr>
                <w:rFonts w:ascii="Arial" w:hAnsi="Arial" w:cs="Arial"/>
                <w:sz w:val="18"/>
                <w:szCs w:val="18"/>
                <w:lang w:val="es-ES" w:eastAsia="es-ES"/>
              </w:rPr>
            </w:pPr>
            <w:r w:rsidRPr="00D475E7">
              <w:rPr>
                <w:rFonts w:ascii="Arial" w:hAnsi="Arial" w:cs="Arial"/>
                <w:sz w:val="18"/>
                <w:szCs w:val="18"/>
                <w:lang w:val="es-ES" w:eastAsia="es-ES"/>
              </w:rPr>
              <w:t>Total</w:t>
            </w:r>
          </w:p>
        </w:tc>
        <w:tc>
          <w:tcPr>
            <w:tcW w:w="1521" w:type="dxa"/>
            <w:tcBorders>
              <w:top w:val="single" w:sz="4" w:space="0" w:color="auto"/>
              <w:left w:val="nil"/>
              <w:bottom w:val="single" w:sz="4" w:space="0" w:color="auto"/>
              <w:right w:val="nil"/>
            </w:tcBorders>
            <w:shd w:val="clear" w:color="auto" w:fill="8DB3E2" w:themeFill="text2" w:themeFillTint="66"/>
            <w:vAlign w:val="center"/>
          </w:tcPr>
          <w:p w:rsidR="00747994" w:rsidRPr="00D475E7" w:rsidRDefault="00747994" w:rsidP="00747994">
            <w:pPr>
              <w:spacing w:after="0"/>
              <w:ind w:firstLine="0"/>
              <w:jc w:val="right"/>
              <w:rPr>
                <w:rFonts w:ascii="Arial" w:hAnsi="Arial" w:cs="Arial"/>
                <w:sz w:val="18"/>
                <w:szCs w:val="18"/>
                <w:lang w:val="es-ES" w:eastAsia="es-ES"/>
              </w:rPr>
            </w:pPr>
            <w:r w:rsidRPr="00D475E7">
              <w:rPr>
                <w:rFonts w:ascii="Arial" w:hAnsi="Arial" w:cs="Arial"/>
                <w:sz w:val="18"/>
                <w:szCs w:val="18"/>
                <w:lang w:val="es-ES" w:eastAsia="es-ES"/>
              </w:rPr>
              <w:fldChar w:fldCharType="begin"/>
            </w:r>
            <w:r w:rsidRPr="00D475E7">
              <w:rPr>
                <w:rFonts w:ascii="Arial" w:hAnsi="Arial" w:cs="Arial"/>
                <w:sz w:val="18"/>
                <w:szCs w:val="18"/>
                <w:lang w:val="es-ES" w:eastAsia="es-ES"/>
              </w:rPr>
              <w:instrText xml:space="preserve"> =SUM(ABOVE) </w:instrText>
            </w:r>
            <w:r w:rsidRPr="00D475E7">
              <w:rPr>
                <w:rFonts w:ascii="Arial" w:hAnsi="Arial" w:cs="Arial"/>
                <w:sz w:val="18"/>
                <w:szCs w:val="18"/>
                <w:lang w:val="es-ES" w:eastAsia="es-ES"/>
              </w:rPr>
              <w:fldChar w:fldCharType="separate"/>
            </w:r>
            <w:r w:rsidRPr="00D475E7">
              <w:rPr>
                <w:rFonts w:ascii="Arial" w:hAnsi="Arial" w:cs="Arial"/>
                <w:sz w:val="18"/>
                <w:szCs w:val="18"/>
                <w:lang w:val="es-ES" w:eastAsia="es-ES"/>
              </w:rPr>
              <w:t>-651,21</w:t>
            </w:r>
            <w:r w:rsidRPr="00D475E7">
              <w:rPr>
                <w:rFonts w:ascii="Arial" w:hAnsi="Arial" w:cs="Arial"/>
                <w:sz w:val="18"/>
                <w:szCs w:val="18"/>
                <w:lang w:val="es-ES" w:eastAsia="es-ES"/>
              </w:rPr>
              <w:fldChar w:fldCharType="end"/>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747994" w:rsidRPr="00D475E7" w:rsidRDefault="00747994" w:rsidP="00747994">
            <w:pPr>
              <w:spacing w:after="0"/>
              <w:ind w:firstLine="0"/>
              <w:jc w:val="right"/>
              <w:rPr>
                <w:rFonts w:ascii="Arial" w:hAnsi="Arial" w:cs="Arial"/>
                <w:sz w:val="18"/>
                <w:szCs w:val="18"/>
                <w:lang w:val="es-ES" w:eastAsia="es-ES"/>
              </w:rPr>
            </w:pPr>
            <w:r w:rsidRPr="00D475E7">
              <w:rPr>
                <w:rFonts w:ascii="Arial" w:hAnsi="Arial" w:cs="Arial"/>
                <w:sz w:val="18"/>
                <w:szCs w:val="18"/>
                <w:lang w:val="es-ES" w:eastAsia="es-ES"/>
              </w:rPr>
              <w:fldChar w:fldCharType="begin"/>
            </w:r>
            <w:r w:rsidRPr="00D475E7">
              <w:rPr>
                <w:rFonts w:ascii="Arial" w:hAnsi="Arial" w:cs="Arial"/>
                <w:sz w:val="18"/>
                <w:szCs w:val="18"/>
                <w:lang w:val="es-ES" w:eastAsia="es-ES"/>
              </w:rPr>
              <w:instrText xml:space="preserve"> =SUM(ABOVE) </w:instrText>
            </w:r>
            <w:r w:rsidRPr="00D475E7">
              <w:rPr>
                <w:rFonts w:ascii="Arial" w:hAnsi="Arial" w:cs="Arial"/>
                <w:sz w:val="18"/>
                <w:szCs w:val="18"/>
                <w:lang w:val="es-ES" w:eastAsia="es-ES"/>
              </w:rPr>
              <w:fldChar w:fldCharType="separate"/>
            </w:r>
            <w:r w:rsidRPr="00D475E7">
              <w:rPr>
                <w:rFonts w:ascii="Arial" w:hAnsi="Arial" w:cs="Arial"/>
                <w:sz w:val="18"/>
                <w:szCs w:val="18"/>
                <w:lang w:val="es-ES" w:eastAsia="es-ES"/>
              </w:rPr>
              <w:t>8.519,6</w:t>
            </w:r>
            <w:r w:rsidRPr="00D475E7">
              <w:rPr>
                <w:rFonts w:ascii="Arial" w:hAnsi="Arial" w:cs="Arial"/>
                <w:sz w:val="18"/>
                <w:szCs w:val="18"/>
                <w:lang w:val="es-ES" w:eastAsia="es-ES"/>
              </w:rPr>
              <w:fldChar w:fldCharType="end"/>
            </w:r>
            <w:r w:rsidRPr="00D475E7">
              <w:rPr>
                <w:rFonts w:ascii="Arial" w:hAnsi="Arial" w:cs="Arial"/>
                <w:sz w:val="18"/>
                <w:szCs w:val="18"/>
                <w:lang w:val="es-ES" w:eastAsia="es-ES"/>
              </w:rPr>
              <w:t>1</w:t>
            </w:r>
          </w:p>
        </w:tc>
        <w:tc>
          <w:tcPr>
            <w:tcW w:w="1586" w:type="dxa"/>
            <w:tcBorders>
              <w:top w:val="single" w:sz="4" w:space="0" w:color="auto"/>
              <w:left w:val="nil"/>
              <w:bottom w:val="single" w:sz="4" w:space="0" w:color="auto"/>
              <w:right w:val="nil"/>
            </w:tcBorders>
            <w:shd w:val="clear" w:color="auto" w:fill="8DB3E2" w:themeFill="text2" w:themeFillTint="66"/>
            <w:vAlign w:val="center"/>
          </w:tcPr>
          <w:p w:rsidR="00747994" w:rsidRPr="00D475E7" w:rsidRDefault="00747994" w:rsidP="00747994">
            <w:pPr>
              <w:spacing w:after="0"/>
              <w:ind w:firstLine="0"/>
              <w:jc w:val="right"/>
              <w:rPr>
                <w:rFonts w:ascii="Arial" w:hAnsi="Arial" w:cs="Arial"/>
                <w:sz w:val="18"/>
                <w:szCs w:val="18"/>
                <w:lang w:val="es-ES" w:eastAsia="es-ES"/>
              </w:rPr>
            </w:pPr>
            <w:r w:rsidRPr="00D475E7">
              <w:rPr>
                <w:rFonts w:ascii="Arial" w:hAnsi="Arial" w:cs="Arial"/>
                <w:sz w:val="18"/>
                <w:szCs w:val="18"/>
                <w:lang w:val="es-ES" w:eastAsia="es-ES"/>
              </w:rPr>
              <w:t>80,51</w:t>
            </w:r>
          </w:p>
        </w:tc>
      </w:tr>
    </w:tbl>
    <w:p w:rsidR="001B3767" w:rsidRPr="00F24EF6" w:rsidRDefault="001B3767" w:rsidP="00550C8E">
      <w:pPr>
        <w:pStyle w:val="texto"/>
        <w:spacing w:before="260" w:after="180"/>
        <w:rPr>
          <w:lang w:val="es-ES"/>
        </w:rPr>
      </w:pPr>
      <w:r w:rsidRPr="00F24EF6">
        <w:rPr>
          <w:lang w:val="es-ES"/>
        </w:rPr>
        <w:t>Seis de las siete fundaciones públicas presentan auditoría de cuentas anuales</w:t>
      </w:r>
      <w:r w:rsidR="00C737C5">
        <w:rPr>
          <w:lang w:val="es-ES"/>
        </w:rPr>
        <w:t>.</w:t>
      </w:r>
      <w:r w:rsidR="00737325">
        <w:rPr>
          <w:lang w:val="es-ES"/>
        </w:rPr>
        <w:t xml:space="preserve"> </w:t>
      </w:r>
      <w:r w:rsidRPr="00F24EF6">
        <w:rPr>
          <w:lang w:val="es-ES"/>
        </w:rPr>
        <w:t xml:space="preserve"> La Fundación para la Formación en Energías Renovables no presenta auditoría de cuentas anuales ni tampoco la memoria de cuentas del ejercicio 2014.</w:t>
      </w:r>
    </w:p>
    <w:p w:rsidR="001B3767" w:rsidRPr="00F24EF6" w:rsidRDefault="001B3767" w:rsidP="00550C8E">
      <w:pPr>
        <w:pStyle w:val="texto"/>
        <w:spacing w:after="180"/>
        <w:rPr>
          <w:lang w:val="es-ES"/>
        </w:rPr>
      </w:pPr>
      <w:r w:rsidRPr="00F24EF6">
        <w:rPr>
          <w:lang w:val="es-ES"/>
        </w:rPr>
        <w:t>Las seis fundaciones públicas presentan opinión favorable sobre sus cuentas. En dos de ellas, los auditores introducen un párrafo de énfasis, que no afecta a la opinión para llamar la atención sobre los siguientes aspectos:</w:t>
      </w:r>
    </w:p>
    <w:p w:rsidR="001B3767" w:rsidRPr="00846868" w:rsidRDefault="001B3767" w:rsidP="00550C8E">
      <w:pPr>
        <w:pStyle w:val="texto"/>
        <w:numPr>
          <w:ilvl w:val="0"/>
          <w:numId w:val="11"/>
        </w:numPr>
        <w:tabs>
          <w:tab w:val="clear" w:pos="2835"/>
          <w:tab w:val="clear" w:pos="3969"/>
          <w:tab w:val="clear" w:pos="5103"/>
          <w:tab w:val="clear" w:pos="6237"/>
          <w:tab w:val="clear" w:pos="7371"/>
          <w:tab w:val="left" w:pos="480"/>
          <w:tab w:val="num" w:pos="600"/>
          <w:tab w:val="num" w:pos="720"/>
        </w:tabs>
        <w:spacing w:after="180"/>
        <w:ind w:left="0" w:firstLine="290"/>
        <w:rPr>
          <w:rFonts w:cs="Arial"/>
        </w:rPr>
      </w:pPr>
      <w:r w:rsidRPr="00846868">
        <w:rPr>
          <w:rFonts w:cs="Arial"/>
        </w:rPr>
        <w:t>Instituto Navarro de Artes Audiovisuales y Cinematografía: el Gobierno de Navarra ha acordado el 28 de mayo de 2014 la extinción de la fundación y la adscripción de sus bienes y derechos a la dirección General de Cultura-Institución Príncipe de Viana.</w:t>
      </w:r>
    </w:p>
    <w:p w:rsidR="001B3767" w:rsidRPr="00846868" w:rsidRDefault="001B3767" w:rsidP="007D59CA">
      <w:pPr>
        <w:pStyle w:val="texto"/>
        <w:numPr>
          <w:ilvl w:val="0"/>
          <w:numId w:val="11"/>
        </w:numPr>
        <w:tabs>
          <w:tab w:val="clear" w:pos="2835"/>
          <w:tab w:val="clear" w:pos="3969"/>
          <w:tab w:val="clear" w:pos="5103"/>
          <w:tab w:val="clear" w:pos="6237"/>
          <w:tab w:val="clear" w:pos="7371"/>
          <w:tab w:val="left" w:pos="480"/>
          <w:tab w:val="num" w:pos="600"/>
          <w:tab w:val="num" w:pos="720"/>
        </w:tabs>
        <w:spacing w:after="500"/>
        <w:ind w:left="0" w:firstLine="289"/>
        <w:rPr>
          <w:rFonts w:cs="Arial"/>
        </w:rPr>
      </w:pPr>
      <w:r w:rsidRPr="00846868">
        <w:rPr>
          <w:rFonts w:cs="Arial"/>
        </w:rPr>
        <w:t>Fundación Navarra para la Excelencia: la fundación, debido a la reestruct</w:t>
      </w:r>
      <w:r w:rsidRPr="00846868">
        <w:rPr>
          <w:rFonts w:cs="Arial"/>
        </w:rPr>
        <w:t>u</w:t>
      </w:r>
      <w:r w:rsidRPr="00846868">
        <w:rPr>
          <w:rFonts w:cs="Arial"/>
        </w:rPr>
        <w:t>ración de la Administración Pública Foral ha perdido desde el 1 de enero de 2015 su estatus público.</w:t>
      </w:r>
    </w:p>
    <w:p w:rsidR="000842B7" w:rsidRDefault="000842B7" w:rsidP="00F24EF6">
      <w:pPr>
        <w:pStyle w:val="texto"/>
        <w:rPr>
          <w:lang w:val="es-ES"/>
        </w:rPr>
      </w:pPr>
    </w:p>
    <w:p w:rsidR="001B3767" w:rsidRPr="00550C8E" w:rsidRDefault="00B42B15" w:rsidP="00F24EF6">
      <w:pPr>
        <w:pStyle w:val="texto"/>
        <w:rPr>
          <w:lang w:val="es-ES"/>
        </w:rPr>
      </w:pPr>
      <w:r w:rsidRPr="00550C8E">
        <w:rPr>
          <w:lang w:val="es-ES"/>
        </w:rPr>
        <w:t>Recomendamos</w:t>
      </w:r>
      <w:r w:rsidR="001B3767" w:rsidRPr="00550C8E">
        <w:rPr>
          <w:lang w:val="es-ES"/>
        </w:rPr>
        <w:t xml:space="preserve">: </w:t>
      </w:r>
    </w:p>
    <w:p w:rsidR="001B3767" w:rsidRPr="00846868" w:rsidRDefault="001B3767" w:rsidP="00846868">
      <w:pPr>
        <w:pStyle w:val="texto"/>
        <w:numPr>
          <w:ilvl w:val="0"/>
          <w:numId w:val="11"/>
        </w:numPr>
        <w:tabs>
          <w:tab w:val="clear" w:pos="2835"/>
          <w:tab w:val="clear" w:pos="3969"/>
          <w:tab w:val="clear" w:pos="5103"/>
          <w:tab w:val="clear" w:pos="6237"/>
          <w:tab w:val="clear" w:pos="7371"/>
          <w:tab w:val="left" w:pos="480"/>
          <w:tab w:val="num" w:pos="600"/>
          <w:tab w:val="num" w:pos="720"/>
        </w:tabs>
        <w:ind w:left="0" w:firstLine="290"/>
        <w:rPr>
          <w:rFonts w:cs="Arial"/>
          <w:i/>
        </w:rPr>
      </w:pPr>
      <w:r w:rsidRPr="00846868">
        <w:rPr>
          <w:rFonts w:cs="Arial"/>
          <w:i/>
        </w:rPr>
        <w:t>Sobre las empresas públicas en las que se observan relevantes incertidu</w:t>
      </w:r>
      <w:r w:rsidRPr="00846868">
        <w:rPr>
          <w:rFonts w:cs="Arial"/>
          <w:i/>
        </w:rPr>
        <w:t>m</w:t>
      </w:r>
      <w:r w:rsidRPr="00846868">
        <w:rPr>
          <w:rFonts w:cs="Arial"/>
          <w:i/>
        </w:rPr>
        <w:t>bres sobre la capacidad para continuar con sus operaciones, analizar su viab</w:t>
      </w:r>
      <w:r w:rsidRPr="00846868">
        <w:rPr>
          <w:rFonts w:cs="Arial"/>
          <w:i/>
        </w:rPr>
        <w:t>i</w:t>
      </w:r>
      <w:r w:rsidRPr="00846868">
        <w:rPr>
          <w:rFonts w:cs="Arial"/>
          <w:i/>
        </w:rPr>
        <w:t>lidad tanto desde la vertiente económica como social, exigiendo el apoyo f</w:t>
      </w:r>
      <w:r w:rsidRPr="00846868">
        <w:rPr>
          <w:rFonts w:cs="Arial"/>
          <w:i/>
        </w:rPr>
        <w:t>i</w:t>
      </w:r>
      <w:r w:rsidRPr="00846868">
        <w:rPr>
          <w:rFonts w:cs="Arial"/>
          <w:i/>
        </w:rPr>
        <w:t>nanciero de todos los accionistas.</w:t>
      </w:r>
    </w:p>
    <w:p w:rsidR="001B3767" w:rsidRPr="00846868" w:rsidRDefault="001B3767" w:rsidP="00245E7C">
      <w:pPr>
        <w:pStyle w:val="texto"/>
        <w:numPr>
          <w:ilvl w:val="0"/>
          <w:numId w:val="11"/>
        </w:numPr>
        <w:tabs>
          <w:tab w:val="clear" w:pos="2835"/>
          <w:tab w:val="clear" w:pos="3969"/>
          <w:tab w:val="clear" w:pos="5103"/>
          <w:tab w:val="clear" w:pos="6237"/>
          <w:tab w:val="clear" w:pos="7371"/>
          <w:tab w:val="left" w:pos="480"/>
          <w:tab w:val="num" w:pos="600"/>
          <w:tab w:val="num" w:pos="720"/>
        </w:tabs>
        <w:spacing w:after="240"/>
        <w:ind w:left="0" w:firstLine="289"/>
        <w:rPr>
          <w:rFonts w:cs="Arial"/>
          <w:i/>
        </w:rPr>
      </w:pPr>
      <w:r w:rsidRPr="00846868">
        <w:rPr>
          <w:rFonts w:cs="Arial"/>
          <w:i/>
        </w:rPr>
        <w:t xml:space="preserve">Realizar desde la Intervención General </w:t>
      </w:r>
      <w:r w:rsidR="000820BE">
        <w:rPr>
          <w:rFonts w:cs="Arial"/>
          <w:i/>
        </w:rPr>
        <w:t>auditorías de cumplimiento de l</w:t>
      </w:r>
      <w:r w:rsidR="000820BE">
        <w:rPr>
          <w:rFonts w:cs="Arial"/>
          <w:i/>
        </w:rPr>
        <w:t>e</w:t>
      </w:r>
      <w:r w:rsidR="000820BE">
        <w:rPr>
          <w:rFonts w:cs="Arial"/>
          <w:i/>
        </w:rPr>
        <w:t xml:space="preserve">galidad en </w:t>
      </w:r>
      <w:r w:rsidRPr="00846868">
        <w:rPr>
          <w:rFonts w:cs="Arial"/>
          <w:i/>
        </w:rPr>
        <w:t xml:space="preserve"> las sociedades y fundaciones Públicas.</w:t>
      </w:r>
    </w:p>
    <w:p w:rsidR="00F63C21" w:rsidRPr="00F63C21" w:rsidRDefault="00F63C21" w:rsidP="00F63C21">
      <w:pPr>
        <w:tabs>
          <w:tab w:val="center" w:pos="2835"/>
          <w:tab w:val="center" w:pos="3969"/>
          <w:tab w:val="center" w:pos="5103"/>
          <w:tab w:val="center" w:pos="6237"/>
          <w:tab w:val="center" w:pos="7371"/>
        </w:tabs>
        <w:spacing w:before="140" w:after="300"/>
        <w:ind w:firstLine="284"/>
        <w:rPr>
          <w:spacing w:val="6"/>
          <w:sz w:val="26"/>
          <w:szCs w:val="24"/>
        </w:rPr>
      </w:pPr>
      <w:r w:rsidRPr="00F63C21">
        <w:rPr>
          <w:spacing w:val="6"/>
          <w:sz w:val="26"/>
          <w:szCs w:val="24"/>
        </w:rPr>
        <w:t xml:space="preserve">Informe que se emite a propuesta de la auditora Asunción Olaechea </w:t>
      </w:r>
      <w:proofErr w:type="spellStart"/>
      <w:r w:rsidRPr="00F63C21">
        <w:rPr>
          <w:spacing w:val="6"/>
          <w:sz w:val="26"/>
          <w:szCs w:val="24"/>
        </w:rPr>
        <w:t>Estanga</w:t>
      </w:r>
      <w:proofErr w:type="spellEnd"/>
      <w:r w:rsidRPr="00F63C21">
        <w:rPr>
          <w:spacing w:val="6"/>
          <w:sz w:val="26"/>
          <w:szCs w:val="24"/>
        </w:rPr>
        <w:t>, responsable de la realización de este trabajo, una vez cumplimentados los tr</w:t>
      </w:r>
      <w:r w:rsidRPr="00F63C21">
        <w:rPr>
          <w:spacing w:val="6"/>
          <w:sz w:val="26"/>
          <w:szCs w:val="24"/>
        </w:rPr>
        <w:t>á</w:t>
      </w:r>
      <w:r w:rsidRPr="00F63C21">
        <w:rPr>
          <w:spacing w:val="6"/>
          <w:sz w:val="26"/>
          <w:szCs w:val="24"/>
        </w:rPr>
        <w:t>mites previstos por la normativa vigente.</w:t>
      </w:r>
    </w:p>
    <w:p w:rsidR="00F63C21" w:rsidRPr="00F63C21" w:rsidRDefault="00F63C21" w:rsidP="00F63C21">
      <w:pPr>
        <w:tabs>
          <w:tab w:val="center" w:pos="2835"/>
          <w:tab w:val="center" w:pos="3969"/>
          <w:tab w:val="center" w:pos="5103"/>
          <w:tab w:val="center" w:pos="6237"/>
          <w:tab w:val="center" w:pos="7371"/>
        </w:tabs>
        <w:suppressAutoHyphens/>
        <w:spacing w:after="180"/>
        <w:ind w:firstLine="284"/>
        <w:jc w:val="center"/>
        <w:rPr>
          <w:color w:val="FF0000"/>
          <w:spacing w:val="6"/>
          <w:sz w:val="26"/>
          <w:szCs w:val="24"/>
        </w:rPr>
      </w:pPr>
      <w:r w:rsidRPr="002D6AF1">
        <w:rPr>
          <w:spacing w:val="6"/>
          <w:sz w:val="26"/>
          <w:szCs w:val="24"/>
        </w:rPr>
        <w:t>Pamplona</w:t>
      </w:r>
      <w:r w:rsidRPr="00E66A53">
        <w:rPr>
          <w:spacing w:val="6"/>
          <w:sz w:val="26"/>
          <w:szCs w:val="24"/>
        </w:rPr>
        <w:t xml:space="preserve">, </w:t>
      </w:r>
      <w:r w:rsidR="0043137C">
        <w:rPr>
          <w:spacing w:val="6"/>
          <w:sz w:val="26"/>
          <w:szCs w:val="24"/>
        </w:rPr>
        <w:t>4</w:t>
      </w:r>
      <w:r w:rsidRPr="00E66A53">
        <w:rPr>
          <w:spacing w:val="6"/>
          <w:sz w:val="26"/>
          <w:szCs w:val="24"/>
        </w:rPr>
        <w:t xml:space="preserve"> de </w:t>
      </w:r>
      <w:r w:rsidR="00CB2B9A">
        <w:rPr>
          <w:spacing w:val="6"/>
          <w:sz w:val="26"/>
          <w:szCs w:val="24"/>
        </w:rPr>
        <w:t>noviembre</w:t>
      </w:r>
      <w:r w:rsidRPr="00E66A53">
        <w:rPr>
          <w:spacing w:val="6"/>
          <w:sz w:val="26"/>
          <w:szCs w:val="24"/>
        </w:rPr>
        <w:t xml:space="preserve"> de 2015</w:t>
      </w:r>
    </w:p>
    <w:p w:rsidR="00E75430" w:rsidRPr="00F63C21" w:rsidRDefault="00F63C21" w:rsidP="00410771">
      <w:pPr>
        <w:tabs>
          <w:tab w:val="center" w:pos="2835"/>
          <w:tab w:val="center" w:pos="3969"/>
          <w:tab w:val="center" w:pos="5103"/>
          <w:tab w:val="center" w:pos="6237"/>
          <w:tab w:val="center" w:pos="7371"/>
        </w:tabs>
        <w:suppressAutoHyphens/>
        <w:ind w:firstLine="284"/>
        <w:jc w:val="center"/>
        <w:rPr>
          <w:i/>
        </w:rPr>
      </w:pPr>
      <w:r w:rsidRPr="002D6AF1">
        <w:rPr>
          <w:spacing w:val="6"/>
          <w:sz w:val="26"/>
          <w:szCs w:val="24"/>
        </w:rPr>
        <w:t xml:space="preserve">El presidente, </w:t>
      </w:r>
      <w:r w:rsidRPr="00410771">
        <w:rPr>
          <w:spacing w:val="6"/>
          <w:sz w:val="26"/>
          <w:szCs w:val="24"/>
        </w:rPr>
        <w:t>Helio Robleda Cabezas</w:t>
      </w:r>
    </w:p>
    <w:p w:rsidR="00E75430" w:rsidRDefault="00E75430">
      <w:pPr>
        <w:spacing w:after="0"/>
        <w:ind w:firstLine="0"/>
        <w:jc w:val="left"/>
        <w:rPr>
          <w:spacing w:val="6"/>
          <w:sz w:val="26"/>
          <w:szCs w:val="24"/>
          <w:lang w:val="es-ES"/>
        </w:rPr>
      </w:pPr>
      <w:r>
        <w:rPr>
          <w:i/>
        </w:rPr>
        <w:br w:type="page"/>
      </w:r>
    </w:p>
    <w:p w:rsidR="00FF6D0B" w:rsidRDefault="00FF6D0B" w:rsidP="00653DD1">
      <w:pPr>
        <w:pStyle w:val="atitulo1"/>
        <w:ind w:left="2324" w:firstLine="720"/>
        <w:rPr>
          <w:sz w:val="40"/>
          <w:szCs w:val="40"/>
        </w:rPr>
      </w:pPr>
      <w:bookmarkStart w:id="85" w:name="_Toc430590876"/>
    </w:p>
    <w:p w:rsidR="00E75430" w:rsidRDefault="00E75430" w:rsidP="00653DD1">
      <w:pPr>
        <w:pStyle w:val="atitulo1"/>
        <w:ind w:left="2324" w:firstLine="720"/>
        <w:rPr>
          <w:sz w:val="40"/>
          <w:szCs w:val="40"/>
        </w:rPr>
      </w:pPr>
    </w:p>
    <w:p w:rsidR="00FF6D0B" w:rsidRDefault="00FF6D0B" w:rsidP="00653DD1">
      <w:pPr>
        <w:pStyle w:val="atitulo1"/>
        <w:ind w:left="2324" w:firstLine="720"/>
        <w:rPr>
          <w:sz w:val="40"/>
          <w:szCs w:val="40"/>
        </w:rPr>
      </w:pPr>
    </w:p>
    <w:p w:rsidR="00FF6D0B" w:rsidRDefault="00FF6D0B" w:rsidP="00653DD1">
      <w:pPr>
        <w:pStyle w:val="atitulo1"/>
        <w:ind w:left="2324" w:firstLine="720"/>
        <w:rPr>
          <w:sz w:val="40"/>
          <w:szCs w:val="40"/>
        </w:rPr>
      </w:pPr>
    </w:p>
    <w:p w:rsidR="006F1283" w:rsidRDefault="006F1283" w:rsidP="00653DD1">
      <w:pPr>
        <w:pStyle w:val="atitulo1"/>
        <w:ind w:left="2324" w:firstLine="720"/>
        <w:rPr>
          <w:sz w:val="40"/>
          <w:szCs w:val="40"/>
        </w:rPr>
      </w:pPr>
    </w:p>
    <w:p w:rsidR="007E6AC4" w:rsidRPr="00653DD1" w:rsidRDefault="007E6AC4" w:rsidP="001E2995">
      <w:pPr>
        <w:pStyle w:val="atitulo1"/>
        <w:ind w:left="2324"/>
        <w:rPr>
          <w:sz w:val="40"/>
          <w:szCs w:val="40"/>
        </w:rPr>
      </w:pPr>
      <w:bookmarkStart w:id="86" w:name="_Toc434399414"/>
      <w:r w:rsidRPr="00653DD1">
        <w:rPr>
          <w:sz w:val="40"/>
          <w:szCs w:val="40"/>
        </w:rPr>
        <w:t>Apéndice</w:t>
      </w:r>
      <w:bookmarkEnd w:id="85"/>
      <w:r w:rsidR="00195F4A">
        <w:rPr>
          <w:sz w:val="40"/>
          <w:szCs w:val="40"/>
        </w:rPr>
        <w:t xml:space="preserve"> informativo</w:t>
      </w:r>
      <w:bookmarkEnd w:id="86"/>
    </w:p>
    <w:p w:rsidR="007E6AC4" w:rsidRPr="00653DD1" w:rsidRDefault="007E6AC4" w:rsidP="00653DD1">
      <w:pPr>
        <w:pStyle w:val="atitulo1"/>
        <w:ind w:left="2324"/>
        <w:rPr>
          <w:b w:val="0"/>
          <w:sz w:val="36"/>
          <w:szCs w:val="36"/>
        </w:rPr>
      </w:pPr>
      <w:bookmarkStart w:id="87" w:name="_Toc434399415"/>
      <w:r w:rsidRPr="00653DD1">
        <w:rPr>
          <w:b w:val="0"/>
          <w:sz w:val="36"/>
          <w:szCs w:val="36"/>
        </w:rPr>
        <w:t xml:space="preserve">Estado </w:t>
      </w:r>
      <w:r w:rsidR="0049160B">
        <w:rPr>
          <w:b w:val="0"/>
          <w:sz w:val="36"/>
          <w:szCs w:val="36"/>
        </w:rPr>
        <w:t xml:space="preserve">provisional </w:t>
      </w:r>
      <w:r w:rsidRPr="00653DD1">
        <w:rPr>
          <w:b w:val="0"/>
          <w:sz w:val="36"/>
          <w:szCs w:val="36"/>
        </w:rPr>
        <w:t>de la situación de las finanzas de la Administración de la C</w:t>
      </w:r>
      <w:r w:rsidRPr="00653DD1">
        <w:rPr>
          <w:b w:val="0"/>
          <w:sz w:val="36"/>
          <w:szCs w:val="36"/>
        </w:rPr>
        <w:t>o</w:t>
      </w:r>
      <w:r w:rsidRPr="00653DD1">
        <w:rPr>
          <w:b w:val="0"/>
          <w:sz w:val="36"/>
          <w:szCs w:val="36"/>
        </w:rPr>
        <w:t>munidad Foral a 31 de julio de 2015</w:t>
      </w:r>
      <w:bookmarkEnd w:id="87"/>
      <w:r w:rsidRPr="00653DD1">
        <w:rPr>
          <w:b w:val="0"/>
          <w:sz w:val="36"/>
          <w:szCs w:val="36"/>
        </w:rPr>
        <w:t xml:space="preserve"> </w:t>
      </w:r>
    </w:p>
    <w:p w:rsidR="007E6AC4" w:rsidRPr="00095FF0" w:rsidRDefault="007E6AC4" w:rsidP="007E6AC4">
      <w:pPr>
        <w:pStyle w:val="texto"/>
        <w:spacing w:after="120"/>
        <w:rPr>
          <w:sz w:val="24"/>
        </w:rPr>
      </w:pPr>
    </w:p>
    <w:p w:rsidR="007E6AC4" w:rsidRDefault="007E6AC4" w:rsidP="007E6AC4">
      <w:pPr>
        <w:pStyle w:val="texto"/>
        <w:spacing w:after="120"/>
      </w:pPr>
    </w:p>
    <w:p w:rsidR="007E6AC4" w:rsidRPr="00A70935" w:rsidRDefault="007E6AC4" w:rsidP="007E6AC4">
      <w:pPr>
        <w:pStyle w:val="atitulo1"/>
      </w:pPr>
      <w:r>
        <w:br w:type="page"/>
      </w:r>
      <w:bookmarkStart w:id="88" w:name="_Toc305415942"/>
      <w:bookmarkStart w:id="89" w:name="_Toc305480460"/>
      <w:bookmarkStart w:id="90" w:name="_Toc430590877"/>
      <w:bookmarkStart w:id="91" w:name="_Toc434399416"/>
      <w:r w:rsidRPr="00A70935">
        <w:lastRenderedPageBreak/>
        <w:t>Introducción</w:t>
      </w:r>
      <w:bookmarkEnd w:id="88"/>
      <w:bookmarkEnd w:id="89"/>
      <w:bookmarkEnd w:id="90"/>
      <w:bookmarkEnd w:id="91"/>
      <w:r w:rsidRPr="00A70935">
        <w:t xml:space="preserve"> </w:t>
      </w:r>
    </w:p>
    <w:p w:rsidR="007E6AC4" w:rsidRPr="002619AC" w:rsidRDefault="007E6AC4" w:rsidP="0004712E">
      <w:pPr>
        <w:pStyle w:val="texto"/>
        <w:spacing w:after="180"/>
        <w:rPr>
          <w:sz w:val="24"/>
        </w:rPr>
      </w:pPr>
      <w:r w:rsidRPr="002619AC">
        <w:rPr>
          <w:sz w:val="24"/>
          <w:lang w:val="es-ES"/>
        </w:rPr>
        <w:t>L</w:t>
      </w:r>
      <w:r w:rsidRPr="002619AC">
        <w:rPr>
          <w:sz w:val="24"/>
        </w:rPr>
        <w:t>a Cámara de Comptos ha considerado oportuno que, dentro del informe sobre las Cuentas Generales de Navarra correspondientes al ejercicio de 2014, se incluyera un apéndice informativo sobre “</w:t>
      </w:r>
      <w:r w:rsidRPr="002619AC">
        <w:rPr>
          <w:i/>
          <w:sz w:val="24"/>
        </w:rPr>
        <w:t>situación de las finanzas de la Administración de la C</w:t>
      </w:r>
      <w:r w:rsidRPr="002619AC">
        <w:rPr>
          <w:i/>
          <w:sz w:val="24"/>
        </w:rPr>
        <w:t>o</w:t>
      </w:r>
      <w:r w:rsidRPr="002619AC">
        <w:rPr>
          <w:i/>
          <w:sz w:val="24"/>
        </w:rPr>
        <w:t>munidad Foral a 31 de julio de 2015</w:t>
      </w:r>
      <w:r w:rsidRPr="002619AC">
        <w:rPr>
          <w:sz w:val="24"/>
        </w:rPr>
        <w:t>”.</w:t>
      </w:r>
    </w:p>
    <w:p w:rsidR="007E6AC4" w:rsidRPr="002619AC" w:rsidRDefault="007E6AC4" w:rsidP="0004712E">
      <w:pPr>
        <w:pStyle w:val="texto"/>
        <w:spacing w:after="180"/>
        <w:rPr>
          <w:sz w:val="24"/>
        </w:rPr>
      </w:pPr>
      <w:r w:rsidRPr="002619AC">
        <w:rPr>
          <w:sz w:val="24"/>
        </w:rPr>
        <w:t>La finalidad de este apéndice es aportar al nuevo Parlamento de Navarra, surgido de las elecciones celebradas en mayo, un avance de información tanto de ejecución presupuestaria como de la situación financiera del Gobierno de Navarra en el ejerc</w:t>
      </w:r>
      <w:r w:rsidRPr="002619AC">
        <w:rPr>
          <w:sz w:val="24"/>
        </w:rPr>
        <w:t>i</w:t>
      </w:r>
      <w:r w:rsidRPr="002619AC">
        <w:rPr>
          <w:sz w:val="24"/>
        </w:rPr>
        <w:t>cio de 2015 lo más cercana posible a la fecha de presentación del citado informe s</w:t>
      </w:r>
      <w:r w:rsidRPr="002619AC">
        <w:rPr>
          <w:sz w:val="24"/>
        </w:rPr>
        <w:t>o</w:t>
      </w:r>
      <w:r w:rsidRPr="002619AC">
        <w:rPr>
          <w:sz w:val="24"/>
        </w:rPr>
        <w:t>bre las cuentas generales de 2014.</w:t>
      </w:r>
    </w:p>
    <w:p w:rsidR="007E6AC4" w:rsidRPr="002619AC" w:rsidRDefault="007E6AC4" w:rsidP="0004712E">
      <w:pPr>
        <w:pStyle w:val="texto"/>
        <w:spacing w:after="180"/>
        <w:rPr>
          <w:sz w:val="24"/>
        </w:rPr>
      </w:pPr>
      <w:r w:rsidRPr="002619AC">
        <w:rPr>
          <w:sz w:val="24"/>
        </w:rPr>
        <w:t>Con carácter previo, conviene precisar las siguientes cuestiones:</w:t>
      </w:r>
    </w:p>
    <w:p w:rsidR="007E6AC4" w:rsidRPr="00095FF0"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r w:rsidRPr="00095FF0">
        <w:rPr>
          <w:sz w:val="24"/>
          <w:lang w:val="es-ES"/>
        </w:rPr>
        <w:t>La información y conclusiones que contiene este apéndice no ha sido objeto de revisión ni fiscalización ya que, como se ha indicado, su finalidad es meramente i</w:t>
      </w:r>
      <w:r w:rsidRPr="00095FF0">
        <w:rPr>
          <w:sz w:val="24"/>
          <w:lang w:val="es-ES"/>
        </w:rPr>
        <w:t>n</w:t>
      </w:r>
      <w:r w:rsidRPr="00095FF0">
        <w:rPr>
          <w:sz w:val="24"/>
          <w:lang w:val="es-ES"/>
        </w:rPr>
        <w:t>formativa.</w:t>
      </w:r>
    </w:p>
    <w:p w:rsidR="005D730E" w:rsidRPr="0004712E"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r>
        <w:rPr>
          <w:sz w:val="24"/>
          <w:lang w:val="es-ES"/>
        </w:rPr>
        <w:t>La fuente origen de la información analizada es básicamente la publicada por el Gobierno de Navarra en su página web referida a la ejecución presupuestaria acum</w:t>
      </w:r>
      <w:r>
        <w:rPr>
          <w:sz w:val="24"/>
          <w:lang w:val="es-ES"/>
        </w:rPr>
        <w:t>u</w:t>
      </w:r>
      <w:r>
        <w:rPr>
          <w:sz w:val="24"/>
          <w:lang w:val="es-ES"/>
        </w:rPr>
        <w:t>lada mensual del ejercicio corriente y su comparación con el ejercicio anterior</w:t>
      </w:r>
      <w:r w:rsidR="00E40A67">
        <w:rPr>
          <w:sz w:val="24"/>
          <w:lang w:val="es-ES"/>
        </w:rPr>
        <w:t>,</w:t>
      </w:r>
      <w:r>
        <w:rPr>
          <w:sz w:val="24"/>
          <w:lang w:val="es-ES"/>
        </w:rPr>
        <w:t xml:space="preserve"> así como la obtenida directamente de la contabilidad patrimonial del mismo</w:t>
      </w:r>
      <w:r w:rsidRPr="0004712E">
        <w:rPr>
          <w:sz w:val="24"/>
          <w:lang w:val="es-ES"/>
        </w:rPr>
        <w:t>. Para anal</w:t>
      </w:r>
      <w:r w:rsidRPr="0004712E">
        <w:rPr>
          <w:sz w:val="24"/>
          <w:lang w:val="es-ES"/>
        </w:rPr>
        <w:t>i</w:t>
      </w:r>
      <w:r w:rsidRPr="0004712E">
        <w:rPr>
          <w:sz w:val="24"/>
          <w:lang w:val="es-ES"/>
        </w:rPr>
        <w:t>zar los objetivos de estabilidad presupuestaria se ha</w:t>
      </w:r>
      <w:r w:rsidR="00E40A67">
        <w:rPr>
          <w:sz w:val="24"/>
          <w:lang w:val="es-ES"/>
        </w:rPr>
        <w:t>n</w:t>
      </w:r>
      <w:r w:rsidRPr="0004712E">
        <w:rPr>
          <w:sz w:val="24"/>
          <w:lang w:val="es-ES"/>
        </w:rPr>
        <w:t xml:space="preserve"> tomado como referencia los i</w:t>
      </w:r>
      <w:r w:rsidRPr="0004712E">
        <w:rPr>
          <w:sz w:val="24"/>
          <w:lang w:val="es-ES"/>
        </w:rPr>
        <w:t>n</w:t>
      </w:r>
      <w:r w:rsidRPr="0004712E">
        <w:rPr>
          <w:sz w:val="24"/>
          <w:lang w:val="es-ES"/>
        </w:rPr>
        <w:t>formes que, partiendo de la información que remite el Gobierno de Navarra, elaboran y publican tanto el Ministerio de Hacienda y Administraciones Públicas –con period</w:t>
      </w:r>
      <w:r w:rsidRPr="0004712E">
        <w:rPr>
          <w:sz w:val="24"/>
          <w:lang w:val="es-ES"/>
        </w:rPr>
        <w:t>i</w:t>
      </w:r>
      <w:r w:rsidRPr="0004712E">
        <w:rPr>
          <w:sz w:val="24"/>
          <w:lang w:val="es-ES"/>
        </w:rPr>
        <w:t xml:space="preserve">cidad mensual- como el Banco de España –trimestralmente-. </w:t>
      </w:r>
    </w:p>
    <w:p w:rsidR="005D730E" w:rsidRPr="0004712E"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r w:rsidRPr="0004712E">
        <w:rPr>
          <w:sz w:val="24"/>
          <w:lang w:val="es-ES"/>
        </w:rPr>
        <w:t>El periodo analizado alcanza hasta 31 de julio de 2015. No obstante, para la i</w:t>
      </w:r>
      <w:r w:rsidRPr="0004712E">
        <w:rPr>
          <w:sz w:val="24"/>
          <w:lang w:val="es-ES"/>
        </w:rPr>
        <w:t>n</w:t>
      </w:r>
      <w:r w:rsidRPr="0004712E">
        <w:rPr>
          <w:sz w:val="24"/>
          <w:lang w:val="es-ES"/>
        </w:rPr>
        <w:t xml:space="preserve">formación sobre el volumen de endeudamiento del sector “administración pública” a efectos de contabilidad nacional, se ha tomado la fecha de 30 de junio de 2015, dado que el Banco de España publica tal información con una periodicidad trimestral y el último informe disponible se refiere al segundo trimestre de 2015. </w:t>
      </w:r>
    </w:p>
    <w:p w:rsidR="005D730E"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r>
        <w:rPr>
          <w:sz w:val="24"/>
          <w:lang w:val="es-ES"/>
        </w:rPr>
        <w:t>La peculiaridad del régimen fiscal de Navarra incide en los cálculos de los obj</w:t>
      </w:r>
      <w:r>
        <w:rPr>
          <w:sz w:val="24"/>
          <w:lang w:val="es-ES"/>
        </w:rPr>
        <w:t>e</w:t>
      </w:r>
      <w:r>
        <w:rPr>
          <w:sz w:val="24"/>
          <w:lang w:val="es-ES"/>
        </w:rPr>
        <w:t xml:space="preserve">tivos de estabilidad presupuestaria, dado que es a final del ejercicio cuando se pone de manifiesto en su integridad los ajustes </w:t>
      </w:r>
      <w:r w:rsidRPr="0004712E">
        <w:rPr>
          <w:sz w:val="24"/>
          <w:lang w:val="es-ES"/>
        </w:rPr>
        <w:t xml:space="preserve">y liquidaciones </w:t>
      </w:r>
      <w:r>
        <w:rPr>
          <w:sz w:val="24"/>
          <w:lang w:val="es-ES"/>
        </w:rPr>
        <w:t>derivados del Convenio Económico.</w:t>
      </w:r>
    </w:p>
    <w:p w:rsidR="007E6AC4" w:rsidRPr="002619AC"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r w:rsidRPr="002619AC">
        <w:rPr>
          <w:sz w:val="24"/>
          <w:lang w:val="es-ES"/>
        </w:rPr>
        <w:t>Los presupuestos de 2014 y de 2015 son una prórroga del presupuesto de 2012.</w:t>
      </w:r>
    </w:p>
    <w:p w:rsidR="005D730E" w:rsidRPr="0004712E" w:rsidRDefault="005D730E"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80"/>
        <w:ind w:firstLine="289"/>
        <w:rPr>
          <w:sz w:val="24"/>
          <w:lang w:val="es-ES"/>
        </w:rPr>
      </w:pPr>
      <w:bookmarkStart w:id="92" w:name="_Toc430590878"/>
      <w:r w:rsidRPr="0004712E">
        <w:rPr>
          <w:sz w:val="24"/>
          <w:lang w:val="es-ES"/>
        </w:rPr>
        <w:t>A la fecha de redacción de este apéndice, el Gobierno de Navarra ha publicado los datos de ejecución presupuestaria correspondientes al mes de agosto de 2015. D</w:t>
      </w:r>
      <w:r w:rsidRPr="0004712E">
        <w:rPr>
          <w:sz w:val="24"/>
          <w:lang w:val="es-ES"/>
        </w:rPr>
        <w:t>a</w:t>
      </w:r>
      <w:r w:rsidRPr="0004712E">
        <w:rPr>
          <w:sz w:val="24"/>
          <w:lang w:val="es-ES"/>
        </w:rPr>
        <w:t>do que de estos datos se observa, en principio, un cambio en la tendencia de los resu</w:t>
      </w:r>
      <w:r w:rsidRPr="0004712E">
        <w:rPr>
          <w:sz w:val="24"/>
          <w:lang w:val="es-ES"/>
        </w:rPr>
        <w:t>l</w:t>
      </w:r>
      <w:r w:rsidRPr="0004712E">
        <w:rPr>
          <w:sz w:val="24"/>
          <w:lang w:val="es-ES"/>
        </w:rPr>
        <w:t>tados de la ejecución presupuestaria, se introduce unas conclusiones adicionales sobre tal ejecución.</w:t>
      </w:r>
    </w:p>
    <w:p w:rsidR="0004712E" w:rsidRPr="0004712E" w:rsidRDefault="0004712E" w:rsidP="0004712E">
      <w:pPr>
        <w:pStyle w:val="texto"/>
        <w:spacing w:after="180"/>
        <w:rPr>
          <w:sz w:val="24"/>
          <w:lang w:val="es-ES"/>
        </w:rPr>
      </w:pPr>
    </w:p>
    <w:p w:rsidR="007E6AC4" w:rsidRPr="001B0BF0" w:rsidRDefault="007E6AC4" w:rsidP="00856ED7">
      <w:pPr>
        <w:pStyle w:val="atitulo1"/>
        <w:spacing w:before="240"/>
      </w:pPr>
      <w:bookmarkStart w:id="93" w:name="_Toc434399417"/>
      <w:r w:rsidRPr="002619AC">
        <w:lastRenderedPageBreak/>
        <w:t>Conclusiones</w:t>
      </w:r>
      <w:bookmarkEnd w:id="92"/>
      <w:bookmarkEnd w:id="93"/>
    </w:p>
    <w:p w:rsidR="007E6AC4" w:rsidRPr="00277C55" w:rsidRDefault="007E6AC4" w:rsidP="00277C55">
      <w:pPr>
        <w:pStyle w:val="texto"/>
        <w:spacing w:after="180"/>
        <w:ind w:firstLine="0"/>
        <w:rPr>
          <w:rFonts w:ascii="Arial" w:hAnsi="Arial" w:cs="Arial"/>
          <w:i/>
          <w:spacing w:val="4"/>
          <w:sz w:val="23"/>
          <w:szCs w:val="23"/>
          <w:lang w:val="es-ES"/>
        </w:rPr>
      </w:pPr>
      <w:r w:rsidRPr="00277C55">
        <w:rPr>
          <w:rFonts w:ascii="Arial" w:hAnsi="Arial" w:cs="Arial"/>
          <w:i/>
          <w:spacing w:val="4"/>
          <w:sz w:val="23"/>
          <w:szCs w:val="23"/>
          <w:lang w:val="es-ES"/>
        </w:rPr>
        <w:t>A) Ejecución presupuestaria del Gobierno de Navarra hasta el 31 de julio de 2015</w:t>
      </w:r>
    </w:p>
    <w:p w:rsidR="007E6AC4" w:rsidRPr="002346D7" w:rsidRDefault="007E6AC4" w:rsidP="00277C55">
      <w:pPr>
        <w:pStyle w:val="texto"/>
        <w:rPr>
          <w:b/>
          <w:spacing w:val="0"/>
          <w:sz w:val="24"/>
          <w:lang w:val="es-ES" w:eastAsia="es-ES"/>
        </w:rPr>
      </w:pPr>
      <w:proofErr w:type="gramStart"/>
      <w:r w:rsidRPr="002346D7">
        <w:rPr>
          <w:b/>
          <w:spacing w:val="0"/>
          <w:sz w:val="24"/>
          <w:lang w:val="es-ES" w:eastAsia="es-ES"/>
        </w:rPr>
        <w:t>1</w:t>
      </w:r>
      <w:r w:rsidR="006F0F37">
        <w:rPr>
          <w:b/>
          <w:spacing w:val="0"/>
          <w:sz w:val="24"/>
          <w:lang w:val="es-ES" w:eastAsia="es-ES"/>
        </w:rPr>
        <w:t>.</w:t>
      </w:r>
      <w:r w:rsidRPr="002346D7">
        <w:rPr>
          <w:b/>
          <w:spacing w:val="0"/>
          <w:sz w:val="24"/>
          <w:lang w:val="es-ES" w:eastAsia="es-ES"/>
        </w:rPr>
        <w:t>ª</w:t>
      </w:r>
      <w:proofErr w:type="gramEnd"/>
      <w:r w:rsidRPr="002346D7">
        <w:rPr>
          <w:b/>
          <w:spacing w:val="0"/>
          <w:sz w:val="24"/>
          <w:lang w:val="es-ES" w:eastAsia="es-ES"/>
        </w:rPr>
        <w:t xml:space="preserve"> Análisis global de la ejecución presupuestaria hasta el 31 de julio de 2015. </w:t>
      </w:r>
    </w:p>
    <w:p w:rsidR="007E6AC4" w:rsidRPr="002619AC" w:rsidRDefault="007E6AC4" w:rsidP="00856ED7">
      <w:pPr>
        <w:pStyle w:val="texto"/>
        <w:spacing w:after="120"/>
        <w:rPr>
          <w:sz w:val="24"/>
        </w:rPr>
      </w:pPr>
      <w:r w:rsidRPr="002619AC">
        <w:rPr>
          <w:sz w:val="24"/>
        </w:rPr>
        <w:t>Los cuadros 1 y 2 siguientes reflejan la ejecución acumulada del presupuesto de gastos e ingresos del Gobierno de Navarra a 31 de julio de 2015. De su análisis, de</w:t>
      </w:r>
      <w:r w:rsidRPr="002619AC">
        <w:rPr>
          <w:sz w:val="24"/>
        </w:rPr>
        <w:t>s</w:t>
      </w:r>
      <w:r w:rsidRPr="002619AC">
        <w:rPr>
          <w:sz w:val="24"/>
        </w:rPr>
        <w:t>tacamos:</w:t>
      </w:r>
    </w:p>
    <w:p w:rsidR="007E6AC4" w:rsidRPr="002619AC" w:rsidRDefault="007E6AC4" w:rsidP="00856E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sz w:val="24"/>
          <w:lang w:val="es-ES"/>
        </w:rPr>
      </w:pPr>
      <w:r w:rsidRPr="002619AC">
        <w:rPr>
          <w:sz w:val="24"/>
          <w:lang w:val="es-ES"/>
        </w:rPr>
        <w:t>Los créditos iniciales ascienden a 3.838 millones; estos créditos corresponden al presupuesto de 2012 que se prorroga en 2015. Dentro del estado de gastos se conte</w:t>
      </w:r>
      <w:r w:rsidRPr="002619AC">
        <w:rPr>
          <w:sz w:val="24"/>
          <w:lang w:val="es-ES"/>
        </w:rPr>
        <w:t>m</w:t>
      </w:r>
      <w:r w:rsidRPr="002619AC">
        <w:rPr>
          <w:sz w:val="24"/>
          <w:lang w:val="es-ES"/>
        </w:rPr>
        <w:t>pla el “fondo de prorroga” por importe de 46 millones.</w:t>
      </w:r>
    </w:p>
    <w:p w:rsidR="007E6AC4" w:rsidRPr="00095FF0" w:rsidRDefault="007E6AC4" w:rsidP="0004712E">
      <w:pPr>
        <w:suppressAutoHyphens/>
        <w:spacing w:before="160" w:after="60"/>
        <w:ind w:right="-210" w:firstLine="0"/>
        <w:jc w:val="left"/>
        <w:rPr>
          <w:rFonts w:ascii="Arial Narrow" w:hAnsi="Arial Narrow"/>
          <w:b/>
          <w:sz w:val="22"/>
          <w:lang w:val="es-ES" w:eastAsia="es-ES"/>
        </w:rPr>
      </w:pPr>
      <w:r w:rsidRPr="00095FF0">
        <w:rPr>
          <w:rFonts w:ascii="Arial Narrow" w:hAnsi="Arial Narrow"/>
          <w:b/>
          <w:sz w:val="24"/>
          <w:szCs w:val="24"/>
          <w:lang w:val="es-ES" w:eastAsia="es-ES"/>
        </w:rPr>
        <w:t xml:space="preserve">Cuadro 1. Ejecución de gastos hasta el 31 de julio de 2015 </w:t>
      </w:r>
      <w:r w:rsidRPr="00095FF0">
        <w:rPr>
          <w:rFonts w:ascii="Arial Narrow" w:hAnsi="Arial Narrow"/>
          <w:sz w:val="22"/>
          <w:lang w:val="es-ES" w:eastAsia="es-ES"/>
        </w:rPr>
        <w:t>(importes en miles de euros)</w:t>
      </w:r>
    </w:p>
    <w:p w:rsidR="007E6AC4" w:rsidRPr="0004712E" w:rsidRDefault="007E6AC4" w:rsidP="007E6AC4">
      <w:pPr>
        <w:suppressAutoHyphens/>
        <w:spacing w:after="60"/>
        <w:ind w:right="-211" w:firstLine="0"/>
        <w:jc w:val="left"/>
        <w:rPr>
          <w:rFonts w:ascii="Arial Narrow" w:hAnsi="Arial Narrow"/>
          <w:sz w:val="16"/>
          <w:szCs w:val="16"/>
          <w:lang w:val="es-ES" w:eastAsia="es-ES"/>
        </w:rPr>
      </w:pPr>
    </w:p>
    <w:tbl>
      <w:tblPr>
        <w:tblW w:w="9213"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48"/>
        <w:gridCol w:w="1142"/>
        <w:gridCol w:w="796"/>
        <w:gridCol w:w="1113"/>
        <w:gridCol w:w="1054"/>
        <w:gridCol w:w="977"/>
        <w:gridCol w:w="818"/>
        <w:gridCol w:w="865"/>
      </w:tblGrid>
      <w:tr w:rsidR="007E6AC4" w:rsidRPr="00E03C3A" w:rsidTr="00195087">
        <w:trPr>
          <w:trHeight w:hRule="exact" w:val="380"/>
          <w:jc w:val="center"/>
        </w:trPr>
        <w:tc>
          <w:tcPr>
            <w:tcW w:w="2448"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7"/>
                <w:szCs w:val="17"/>
                <w:lang w:val="es-ES" w:eastAsia="es-ES"/>
              </w:rPr>
            </w:pPr>
            <w:r w:rsidRPr="00E03C3A">
              <w:rPr>
                <w:rFonts w:ascii="Arial" w:hAnsi="Arial"/>
                <w:spacing w:val="6"/>
                <w:sz w:val="17"/>
                <w:szCs w:val="17"/>
                <w:lang w:val="es-ES" w:eastAsia="es-ES"/>
              </w:rPr>
              <w:t>Capítulo económico</w:t>
            </w:r>
          </w:p>
        </w:tc>
        <w:tc>
          <w:tcPr>
            <w:tcW w:w="1142"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proofErr w:type="spellStart"/>
            <w:r w:rsidRPr="00E03C3A">
              <w:rPr>
                <w:rFonts w:ascii="Arial" w:hAnsi="Arial"/>
                <w:spacing w:val="6"/>
                <w:sz w:val="17"/>
                <w:szCs w:val="17"/>
                <w:lang w:val="es-ES" w:eastAsia="es-ES"/>
              </w:rPr>
              <w:t>Cto</w:t>
            </w:r>
            <w:proofErr w:type="spellEnd"/>
            <w:r w:rsidRPr="00E03C3A">
              <w:rPr>
                <w:rFonts w:ascii="Arial" w:hAnsi="Arial"/>
                <w:spacing w:val="6"/>
                <w:sz w:val="17"/>
                <w:szCs w:val="17"/>
                <w:lang w:val="es-ES" w:eastAsia="es-ES"/>
              </w:rPr>
              <w:t>. inicial</w:t>
            </w:r>
          </w:p>
        </w:tc>
        <w:tc>
          <w:tcPr>
            <w:tcW w:w="796"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proofErr w:type="spellStart"/>
            <w:r w:rsidRPr="00E03C3A">
              <w:rPr>
                <w:rFonts w:ascii="Arial" w:hAnsi="Arial"/>
                <w:spacing w:val="6"/>
                <w:sz w:val="17"/>
                <w:szCs w:val="17"/>
                <w:lang w:val="es-ES" w:eastAsia="es-ES"/>
              </w:rPr>
              <w:t>Modific</w:t>
            </w:r>
            <w:proofErr w:type="spellEnd"/>
            <w:r w:rsidRPr="00E03C3A">
              <w:rPr>
                <w:rFonts w:ascii="Arial" w:hAnsi="Arial"/>
                <w:spacing w:val="6"/>
                <w:sz w:val="17"/>
                <w:szCs w:val="17"/>
                <w:lang w:val="es-ES" w:eastAsia="es-ES"/>
              </w:rPr>
              <w:t>.</w:t>
            </w:r>
          </w:p>
        </w:tc>
        <w:tc>
          <w:tcPr>
            <w:tcW w:w="1113"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E03C3A">
              <w:rPr>
                <w:rFonts w:ascii="Arial" w:hAnsi="Arial"/>
                <w:spacing w:val="6"/>
                <w:sz w:val="17"/>
                <w:szCs w:val="17"/>
                <w:lang w:val="es-ES" w:eastAsia="es-ES"/>
              </w:rPr>
              <w:t>Consolidado</w:t>
            </w:r>
          </w:p>
        </w:tc>
        <w:tc>
          <w:tcPr>
            <w:tcW w:w="1054"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proofErr w:type="spellStart"/>
            <w:r w:rsidRPr="00E03C3A">
              <w:rPr>
                <w:rFonts w:ascii="Arial" w:hAnsi="Arial"/>
                <w:spacing w:val="6"/>
                <w:sz w:val="17"/>
                <w:szCs w:val="17"/>
                <w:lang w:val="es-ES" w:eastAsia="es-ES"/>
              </w:rPr>
              <w:t>Oblig.recon</w:t>
            </w:r>
            <w:proofErr w:type="spellEnd"/>
          </w:p>
        </w:tc>
        <w:tc>
          <w:tcPr>
            <w:tcW w:w="977"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center"/>
              <w:rPr>
                <w:rFonts w:ascii="Arial" w:hAnsi="Arial"/>
                <w:spacing w:val="6"/>
                <w:sz w:val="17"/>
                <w:szCs w:val="17"/>
                <w:lang w:val="es-ES" w:eastAsia="es-ES"/>
              </w:rPr>
            </w:pPr>
            <w:r w:rsidRPr="00E03C3A">
              <w:rPr>
                <w:rFonts w:ascii="Arial" w:hAnsi="Arial"/>
                <w:spacing w:val="6"/>
                <w:sz w:val="17"/>
                <w:szCs w:val="17"/>
                <w:lang w:val="es-ES" w:eastAsia="es-ES"/>
              </w:rPr>
              <w:t>%</w:t>
            </w:r>
            <w:r w:rsidR="00277C55">
              <w:rPr>
                <w:rFonts w:ascii="Arial" w:hAnsi="Arial"/>
                <w:spacing w:val="6"/>
                <w:sz w:val="17"/>
                <w:szCs w:val="17"/>
                <w:lang w:val="es-ES" w:eastAsia="es-ES"/>
              </w:rPr>
              <w:t xml:space="preserve"> </w:t>
            </w:r>
            <w:proofErr w:type="spellStart"/>
            <w:r w:rsidR="000F4EC6" w:rsidRPr="00E03C3A">
              <w:rPr>
                <w:rFonts w:ascii="Arial" w:hAnsi="Arial"/>
                <w:spacing w:val="6"/>
                <w:sz w:val="17"/>
                <w:szCs w:val="17"/>
                <w:lang w:val="es-ES" w:eastAsia="es-ES"/>
              </w:rPr>
              <w:t>Ejecuc</w:t>
            </w:r>
            <w:proofErr w:type="spellEnd"/>
            <w:r w:rsidRPr="00E03C3A">
              <w:rPr>
                <w:rFonts w:ascii="Arial" w:hAnsi="Arial"/>
                <w:spacing w:val="6"/>
                <w:sz w:val="17"/>
                <w:szCs w:val="17"/>
                <w:lang w:val="es-ES" w:eastAsia="es-ES"/>
              </w:rPr>
              <w:t>.</w:t>
            </w:r>
          </w:p>
        </w:tc>
        <w:tc>
          <w:tcPr>
            <w:tcW w:w="818"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E03C3A">
              <w:rPr>
                <w:rFonts w:ascii="Arial" w:hAnsi="Arial"/>
                <w:spacing w:val="6"/>
                <w:sz w:val="17"/>
                <w:szCs w:val="17"/>
                <w:lang w:val="es-ES" w:eastAsia="es-ES"/>
              </w:rPr>
              <w:t>Pagos</w:t>
            </w:r>
          </w:p>
        </w:tc>
        <w:tc>
          <w:tcPr>
            <w:tcW w:w="865" w:type="dxa"/>
            <w:tcBorders>
              <w:bottom w:val="single" w:sz="4" w:space="0" w:color="auto"/>
            </w:tcBorders>
            <w:shd w:val="clear" w:color="auto" w:fill="8DB3E2" w:themeFill="text2" w:themeFillTint="66"/>
            <w:vAlign w:val="center"/>
          </w:tcPr>
          <w:p w:rsidR="007E6AC4" w:rsidRPr="00E03C3A"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E03C3A">
              <w:rPr>
                <w:rFonts w:ascii="Arial" w:hAnsi="Arial"/>
                <w:spacing w:val="6"/>
                <w:sz w:val="17"/>
                <w:szCs w:val="17"/>
                <w:lang w:val="es-ES" w:eastAsia="es-ES"/>
              </w:rPr>
              <w:t>%</w:t>
            </w:r>
            <w:r w:rsidR="000F4EC6" w:rsidRPr="00E03C3A">
              <w:rPr>
                <w:rFonts w:ascii="Arial" w:hAnsi="Arial"/>
                <w:spacing w:val="6"/>
                <w:sz w:val="17"/>
                <w:szCs w:val="17"/>
                <w:lang w:val="es-ES" w:eastAsia="es-ES"/>
              </w:rPr>
              <w:t>Pagos</w:t>
            </w:r>
          </w:p>
        </w:tc>
      </w:tr>
      <w:tr w:rsidR="007E6AC4" w:rsidRPr="00095FF0" w:rsidTr="0004712E">
        <w:trPr>
          <w:trHeight w:hRule="exact" w:val="255"/>
          <w:jc w:val="center"/>
        </w:trPr>
        <w:tc>
          <w:tcPr>
            <w:tcW w:w="2448"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Gastos de personal</w:t>
            </w:r>
          </w:p>
        </w:tc>
        <w:tc>
          <w:tcPr>
            <w:tcW w:w="1142"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1.109.511</w:t>
            </w:r>
          </w:p>
        </w:tc>
        <w:tc>
          <w:tcPr>
            <w:tcW w:w="796"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18.711</w:t>
            </w:r>
          </w:p>
        </w:tc>
        <w:tc>
          <w:tcPr>
            <w:tcW w:w="1113"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1.128.222</w:t>
            </w:r>
          </w:p>
        </w:tc>
        <w:tc>
          <w:tcPr>
            <w:tcW w:w="1054"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658.395</w:t>
            </w:r>
          </w:p>
        </w:tc>
        <w:tc>
          <w:tcPr>
            <w:tcW w:w="977"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58</w:t>
            </w:r>
          </w:p>
        </w:tc>
        <w:tc>
          <w:tcPr>
            <w:tcW w:w="818"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657.411</w:t>
            </w:r>
          </w:p>
        </w:tc>
        <w:tc>
          <w:tcPr>
            <w:tcW w:w="865" w:type="dxa"/>
            <w:tcBorders>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proofErr w:type="spellStart"/>
            <w:r w:rsidRPr="00095FF0">
              <w:rPr>
                <w:rFonts w:ascii="Arial Narrow" w:hAnsi="Arial Narrow"/>
                <w:spacing w:val="6"/>
                <w:sz w:val="18"/>
                <w:szCs w:val="18"/>
                <w:lang w:val="es-ES" w:eastAsia="es-ES"/>
              </w:rPr>
              <w:t>Gtos</w:t>
            </w:r>
            <w:proofErr w:type="spellEnd"/>
            <w:r w:rsidRPr="00095FF0">
              <w:rPr>
                <w:rFonts w:ascii="Arial Narrow" w:hAnsi="Arial Narrow"/>
                <w:spacing w:val="6"/>
                <w:sz w:val="18"/>
                <w:szCs w:val="18"/>
                <w:lang w:val="es-ES" w:eastAsia="es-ES"/>
              </w:rPr>
              <w:t xml:space="preserve">. </w:t>
            </w:r>
            <w:proofErr w:type="spellStart"/>
            <w:r w:rsidRPr="00095FF0">
              <w:rPr>
                <w:rFonts w:ascii="Arial Narrow" w:hAnsi="Arial Narrow"/>
                <w:spacing w:val="6"/>
                <w:sz w:val="18"/>
                <w:szCs w:val="18"/>
                <w:lang w:val="es-ES" w:eastAsia="es-ES"/>
              </w:rPr>
              <w:t>Corr</w:t>
            </w:r>
            <w:proofErr w:type="spellEnd"/>
            <w:r w:rsidRPr="00095FF0">
              <w:rPr>
                <w:rFonts w:ascii="Arial Narrow" w:hAnsi="Arial Narrow"/>
                <w:spacing w:val="6"/>
                <w:sz w:val="18"/>
                <w:szCs w:val="18"/>
                <w:lang w:val="es-ES" w:eastAsia="es-ES"/>
              </w:rPr>
              <w:t xml:space="preserve">. </w:t>
            </w:r>
            <w:proofErr w:type="gramStart"/>
            <w:r w:rsidRPr="00095FF0">
              <w:rPr>
                <w:rFonts w:ascii="Arial Narrow" w:hAnsi="Arial Narrow"/>
                <w:spacing w:val="6"/>
                <w:sz w:val="18"/>
                <w:szCs w:val="18"/>
                <w:lang w:val="es-ES" w:eastAsia="es-ES"/>
              </w:rPr>
              <w:t>en</w:t>
            </w:r>
            <w:proofErr w:type="gramEnd"/>
            <w:r w:rsidRPr="00095FF0">
              <w:rPr>
                <w:rFonts w:ascii="Arial Narrow" w:hAnsi="Arial Narrow"/>
                <w:spacing w:val="6"/>
                <w:sz w:val="18"/>
                <w:szCs w:val="18"/>
                <w:lang w:val="es-ES" w:eastAsia="es-ES"/>
              </w:rPr>
              <w:t xml:space="preserve"> bienes y </w:t>
            </w:r>
            <w:proofErr w:type="spellStart"/>
            <w:r w:rsidRPr="00095FF0">
              <w:rPr>
                <w:rFonts w:ascii="Arial Narrow" w:hAnsi="Arial Narrow"/>
                <w:spacing w:val="6"/>
                <w:sz w:val="18"/>
                <w:szCs w:val="18"/>
                <w:lang w:val="es-ES" w:eastAsia="es-ES"/>
              </w:rPr>
              <w:t>serv</w:t>
            </w:r>
            <w:proofErr w:type="spellEnd"/>
            <w:r w:rsidRPr="00095FF0">
              <w:rPr>
                <w:rFonts w:ascii="Arial Narrow" w:hAnsi="Arial Narrow"/>
                <w:spacing w:val="6"/>
                <w:sz w:val="18"/>
                <w:szCs w:val="18"/>
                <w:lang w:val="es-ES" w:eastAsia="es-ES"/>
              </w:rPr>
              <w:t>.</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571.579</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-7.189</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564.390</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278.426</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49</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265.061</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95</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Gastos financieros</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121.583</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-11.116</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110.467</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78.710</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71</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78.499</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Transferencias corrientes</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1.334.559</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22.048</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1.356.607</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794.084</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59</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792.094</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Fondo de prórroga</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45.909</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-2.462</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43.447</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0</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0</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0</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w:t>
            </w:r>
            <w:r>
              <w:rPr>
                <w:rFonts w:ascii="Arial Narrow" w:hAnsi="Arial Narrow"/>
                <w:i/>
                <w:spacing w:val="6"/>
                <w:sz w:val="18"/>
                <w:szCs w:val="18"/>
                <w:lang w:val="es-ES" w:eastAsia="es-ES"/>
              </w:rPr>
              <w:t>gastos</w:t>
            </w:r>
            <w:r w:rsidRPr="00095FF0">
              <w:rPr>
                <w:rFonts w:ascii="Arial Narrow" w:hAnsi="Arial Narrow"/>
                <w:i/>
                <w:spacing w:val="6"/>
                <w:sz w:val="18"/>
                <w:szCs w:val="18"/>
                <w:lang w:val="es-ES" w:eastAsia="es-ES"/>
              </w:rPr>
              <w:t xml:space="preserve"> </w:t>
            </w:r>
            <w:r>
              <w:rPr>
                <w:rFonts w:ascii="Arial Narrow" w:hAnsi="Arial Narrow"/>
                <w:i/>
                <w:spacing w:val="6"/>
                <w:sz w:val="18"/>
                <w:szCs w:val="18"/>
                <w:lang w:val="es-ES" w:eastAsia="es-ES"/>
              </w:rPr>
              <w:t>C</w:t>
            </w:r>
            <w:r w:rsidRPr="00095FF0">
              <w:rPr>
                <w:rFonts w:ascii="Arial Narrow" w:hAnsi="Arial Narrow"/>
                <w:i/>
                <w:spacing w:val="6"/>
                <w:sz w:val="18"/>
                <w:szCs w:val="18"/>
                <w:lang w:val="es-ES" w:eastAsia="es-ES"/>
              </w:rPr>
              <w:t>orrientes</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3.183.141</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19.992</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3.203.133</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1.809.615</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56</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1.793.065</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99</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 xml:space="preserve">Inversiones </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131.499</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4.040</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135.539</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38.627</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28</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38.025</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98</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 xml:space="preserve">Transferencias de capital </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143.672</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3.702</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147.374</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33.081</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22</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32.924</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w:t>
            </w:r>
            <w:r>
              <w:rPr>
                <w:rFonts w:ascii="Arial Narrow" w:hAnsi="Arial Narrow"/>
                <w:i/>
                <w:spacing w:val="6"/>
                <w:sz w:val="18"/>
                <w:szCs w:val="18"/>
                <w:lang w:val="es-ES" w:eastAsia="es-ES"/>
              </w:rPr>
              <w:t>gastos</w:t>
            </w:r>
            <w:r w:rsidRPr="00095FF0">
              <w:rPr>
                <w:rFonts w:ascii="Arial Narrow" w:hAnsi="Arial Narrow"/>
                <w:i/>
                <w:spacing w:val="6"/>
                <w:sz w:val="18"/>
                <w:szCs w:val="18"/>
                <w:lang w:val="es-ES" w:eastAsia="es-ES"/>
              </w:rPr>
              <w:t xml:space="preserve"> </w:t>
            </w:r>
            <w:r>
              <w:rPr>
                <w:rFonts w:ascii="Arial Narrow" w:hAnsi="Arial Narrow"/>
                <w:i/>
                <w:spacing w:val="6"/>
                <w:sz w:val="18"/>
                <w:szCs w:val="18"/>
                <w:lang w:val="es-ES" w:eastAsia="es-ES"/>
              </w:rPr>
              <w:t>C</w:t>
            </w:r>
            <w:r w:rsidRPr="00095FF0">
              <w:rPr>
                <w:rFonts w:ascii="Arial Narrow" w:hAnsi="Arial Narrow"/>
                <w:i/>
                <w:spacing w:val="6"/>
                <w:sz w:val="18"/>
                <w:szCs w:val="18"/>
                <w:lang w:val="es-ES" w:eastAsia="es-ES"/>
              </w:rPr>
              <w:t>apital</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275.171</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7.742</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282.913</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71.708</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25</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70.949</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99</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Activos financieros</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61.561</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69.049</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130.610</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93.629</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72</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93.628</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Pasivos financieros</w:t>
            </w:r>
          </w:p>
        </w:tc>
        <w:tc>
          <w:tcPr>
            <w:tcW w:w="1142"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317.844</w:t>
            </w:r>
          </w:p>
        </w:tc>
        <w:tc>
          <w:tcPr>
            <w:tcW w:w="79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-10.616</w:t>
            </w:r>
          </w:p>
        </w:tc>
        <w:tc>
          <w:tcPr>
            <w:tcW w:w="1113"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307.228</w:t>
            </w:r>
          </w:p>
        </w:tc>
        <w:tc>
          <w:tcPr>
            <w:tcW w:w="1054"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220.700</w:t>
            </w:r>
          </w:p>
        </w:tc>
        <w:tc>
          <w:tcPr>
            <w:tcW w:w="977"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72</w:t>
            </w:r>
          </w:p>
        </w:tc>
        <w:tc>
          <w:tcPr>
            <w:tcW w:w="818"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220.700</w:t>
            </w:r>
          </w:p>
        </w:tc>
        <w:tc>
          <w:tcPr>
            <w:tcW w:w="86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spacing w:val="6"/>
                <w:sz w:val="17"/>
                <w:szCs w:val="17"/>
                <w:lang w:val="es-ES" w:eastAsia="es-ES"/>
              </w:rPr>
            </w:pPr>
            <w:r w:rsidRPr="00095FF0">
              <w:rPr>
                <w:rFonts w:ascii="Arial Narrow" w:hAnsi="Arial Narrow"/>
                <w:spacing w:val="6"/>
                <w:sz w:val="17"/>
                <w:szCs w:val="17"/>
                <w:lang w:val="es-ES" w:eastAsia="es-ES"/>
              </w:rPr>
              <w:t>100</w:t>
            </w:r>
          </w:p>
        </w:tc>
      </w:tr>
      <w:tr w:rsidR="007E6AC4" w:rsidRPr="00095FF0" w:rsidTr="0004712E">
        <w:trPr>
          <w:trHeight w:hRule="exact" w:val="255"/>
          <w:jc w:val="center"/>
        </w:trPr>
        <w:tc>
          <w:tcPr>
            <w:tcW w:w="2448"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Total operaciones</w:t>
            </w:r>
            <w:r>
              <w:rPr>
                <w:rFonts w:ascii="Arial Narrow" w:hAnsi="Arial Narrow"/>
                <w:i/>
                <w:spacing w:val="6"/>
                <w:sz w:val="18"/>
                <w:szCs w:val="18"/>
                <w:lang w:val="es-ES" w:eastAsia="es-ES"/>
              </w:rPr>
              <w:t xml:space="preserve"> F</w:t>
            </w:r>
            <w:r w:rsidRPr="00095FF0">
              <w:rPr>
                <w:rFonts w:ascii="Arial Narrow" w:hAnsi="Arial Narrow"/>
                <w:i/>
                <w:spacing w:val="6"/>
                <w:sz w:val="18"/>
                <w:szCs w:val="18"/>
                <w:lang w:val="es-ES" w:eastAsia="es-ES"/>
              </w:rPr>
              <w:t>inancieras</w:t>
            </w:r>
          </w:p>
        </w:tc>
        <w:tc>
          <w:tcPr>
            <w:tcW w:w="1142"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379.405</w:t>
            </w:r>
          </w:p>
        </w:tc>
        <w:tc>
          <w:tcPr>
            <w:tcW w:w="796"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58.433</w:t>
            </w:r>
          </w:p>
        </w:tc>
        <w:tc>
          <w:tcPr>
            <w:tcW w:w="1113"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437.838</w:t>
            </w:r>
          </w:p>
        </w:tc>
        <w:tc>
          <w:tcPr>
            <w:tcW w:w="1054"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314.329</w:t>
            </w:r>
          </w:p>
        </w:tc>
        <w:tc>
          <w:tcPr>
            <w:tcW w:w="977"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72</w:t>
            </w:r>
          </w:p>
        </w:tc>
        <w:tc>
          <w:tcPr>
            <w:tcW w:w="818"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314.328</w:t>
            </w:r>
          </w:p>
        </w:tc>
        <w:tc>
          <w:tcPr>
            <w:tcW w:w="865"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right"/>
              <w:rPr>
                <w:rFonts w:ascii="Arial Narrow" w:hAnsi="Arial Narrow"/>
                <w:i/>
                <w:spacing w:val="6"/>
                <w:sz w:val="17"/>
                <w:szCs w:val="17"/>
                <w:lang w:val="es-ES" w:eastAsia="es-ES"/>
              </w:rPr>
            </w:pPr>
            <w:r w:rsidRPr="00095FF0">
              <w:rPr>
                <w:rFonts w:ascii="Arial Narrow" w:hAnsi="Arial Narrow"/>
                <w:i/>
                <w:spacing w:val="6"/>
                <w:sz w:val="17"/>
                <w:szCs w:val="17"/>
                <w:lang w:val="es-ES" w:eastAsia="es-ES"/>
              </w:rPr>
              <w:t>100</w:t>
            </w:r>
          </w:p>
        </w:tc>
      </w:tr>
      <w:tr w:rsidR="007E6AC4" w:rsidRPr="00095FF0" w:rsidTr="00195087">
        <w:trPr>
          <w:trHeight w:hRule="exact" w:val="340"/>
          <w:jc w:val="center"/>
        </w:trPr>
        <w:tc>
          <w:tcPr>
            <w:tcW w:w="2448"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7"/>
                <w:szCs w:val="17"/>
                <w:lang w:val="es-ES" w:eastAsia="es-ES"/>
              </w:rPr>
            </w:pPr>
            <w:r w:rsidRPr="00095FF0">
              <w:rPr>
                <w:rFonts w:ascii="Arial" w:hAnsi="Arial"/>
                <w:spacing w:val="6"/>
                <w:sz w:val="17"/>
                <w:szCs w:val="17"/>
                <w:lang w:val="es-ES" w:eastAsia="es-ES"/>
              </w:rPr>
              <w:t>Total</w:t>
            </w:r>
          </w:p>
        </w:tc>
        <w:tc>
          <w:tcPr>
            <w:tcW w:w="1142"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3.837.717</w:t>
            </w:r>
          </w:p>
        </w:tc>
        <w:tc>
          <w:tcPr>
            <w:tcW w:w="796"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86.167</w:t>
            </w:r>
          </w:p>
        </w:tc>
        <w:tc>
          <w:tcPr>
            <w:tcW w:w="1113"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3.923.884</w:t>
            </w:r>
          </w:p>
        </w:tc>
        <w:tc>
          <w:tcPr>
            <w:tcW w:w="1054"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2.195.652</w:t>
            </w:r>
          </w:p>
        </w:tc>
        <w:tc>
          <w:tcPr>
            <w:tcW w:w="977"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56</w:t>
            </w:r>
          </w:p>
        </w:tc>
        <w:tc>
          <w:tcPr>
            <w:tcW w:w="818"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2.178.342</w:t>
            </w:r>
          </w:p>
        </w:tc>
        <w:tc>
          <w:tcPr>
            <w:tcW w:w="865" w:type="dxa"/>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7"/>
                <w:szCs w:val="17"/>
                <w:lang w:val="es-ES" w:eastAsia="es-ES"/>
              </w:rPr>
            </w:pPr>
            <w:r w:rsidRPr="00095FF0">
              <w:rPr>
                <w:rFonts w:ascii="Arial" w:hAnsi="Arial"/>
                <w:spacing w:val="6"/>
                <w:sz w:val="17"/>
                <w:szCs w:val="17"/>
                <w:lang w:val="es-ES" w:eastAsia="es-ES"/>
              </w:rPr>
              <w:t>99</w:t>
            </w:r>
          </w:p>
        </w:tc>
      </w:tr>
    </w:tbl>
    <w:p w:rsidR="007E6AC4" w:rsidRPr="00095FF0" w:rsidRDefault="007E6AC4" w:rsidP="007E6AC4">
      <w:pPr>
        <w:suppressAutoHyphens/>
        <w:spacing w:after="60"/>
        <w:ind w:right="29" w:firstLine="0"/>
        <w:jc w:val="center"/>
        <w:rPr>
          <w:rFonts w:ascii="GillSans" w:hAnsi="GillSans"/>
          <w:sz w:val="16"/>
          <w:szCs w:val="16"/>
          <w:lang w:val="es-ES" w:eastAsia="es-ES"/>
        </w:rPr>
      </w:pPr>
    </w:p>
    <w:p w:rsidR="007E6AC4" w:rsidRPr="00095FF0" w:rsidRDefault="007E6AC4" w:rsidP="0004712E">
      <w:pPr>
        <w:suppressAutoHyphens/>
        <w:spacing w:before="240" w:after="240"/>
        <w:ind w:right="-210" w:firstLine="0"/>
        <w:jc w:val="left"/>
        <w:rPr>
          <w:rFonts w:ascii="Arial Narrow" w:hAnsi="Arial Narrow"/>
          <w:b/>
          <w:sz w:val="22"/>
          <w:lang w:val="es-ES" w:eastAsia="es-ES"/>
        </w:rPr>
      </w:pPr>
      <w:r w:rsidRPr="00095FF0">
        <w:rPr>
          <w:rFonts w:ascii="Arial Narrow" w:hAnsi="Arial Narrow"/>
          <w:b/>
          <w:sz w:val="24"/>
          <w:szCs w:val="24"/>
          <w:lang w:val="es-ES" w:eastAsia="es-ES"/>
        </w:rPr>
        <w:t>Cuadro 2. Ejecución de ingresos hasta el 31 de julio de 2015</w:t>
      </w:r>
      <w:r w:rsidRPr="00095FF0">
        <w:rPr>
          <w:rFonts w:ascii="Arial Narrow" w:hAnsi="Arial Narrow"/>
          <w:b/>
          <w:sz w:val="22"/>
          <w:lang w:val="es-ES" w:eastAsia="es-ES"/>
        </w:rPr>
        <w:t xml:space="preserve"> </w:t>
      </w:r>
      <w:r w:rsidRPr="00095FF0">
        <w:rPr>
          <w:rFonts w:ascii="Arial Narrow" w:hAnsi="Arial Narrow"/>
          <w:sz w:val="22"/>
          <w:lang w:val="es-ES" w:eastAsia="es-ES"/>
        </w:rPr>
        <w:t>(importes en miles de euros)</w:t>
      </w:r>
    </w:p>
    <w:p w:rsidR="007E6AC4" w:rsidRPr="0004712E" w:rsidRDefault="007E6AC4" w:rsidP="007E6AC4">
      <w:pPr>
        <w:suppressAutoHyphens/>
        <w:spacing w:after="60"/>
        <w:ind w:right="-211" w:firstLine="0"/>
        <w:jc w:val="right"/>
        <w:rPr>
          <w:rFonts w:ascii="Arial Narrow" w:hAnsi="Arial Narrow"/>
          <w:sz w:val="16"/>
          <w:szCs w:val="16"/>
          <w:lang w:val="es-ES" w:eastAsia="es-ES"/>
        </w:rPr>
      </w:pPr>
    </w:p>
    <w:tbl>
      <w:tblPr>
        <w:tblW w:w="9246"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90"/>
        <w:gridCol w:w="1187"/>
        <w:gridCol w:w="1141"/>
        <w:gridCol w:w="1185"/>
        <w:gridCol w:w="898"/>
        <w:gridCol w:w="10"/>
        <w:gridCol w:w="1189"/>
        <w:gridCol w:w="1346"/>
      </w:tblGrid>
      <w:tr w:rsidR="007E6AC4" w:rsidRPr="00095FF0" w:rsidTr="00195087">
        <w:trPr>
          <w:trHeight w:hRule="exact" w:val="397"/>
          <w:jc w:val="center"/>
        </w:trPr>
        <w:tc>
          <w:tcPr>
            <w:tcW w:w="2290" w:type="dxa"/>
            <w:tcBorders>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6"/>
                <w:szCs w:val="24"/>
                <w:lang w:val="es-ES" w:eastAsia="es-ES"/>
              </w:rPr>
            </w:pPr>
            <w:r w:rsidRPr="00095FF0">
              <w:rPr>
                <w:rFonts w:ascii="Arial" w:hAnsi="Arial"/>
                <w:spacing w:val="6"/>
                <w:sz w:val="18"/>
                <w:szCs w:val="24"/>
                <w:lang w:val="es-ES" w:eastAsia="es-ES"/>
              </w:rPr>
              <w:t>Capítulo económico</w:t>
            </w:r>
          </w:p>
        </w:tc>
        <w:tc>
          <w:tcPr>
            <w:tcW w:w="1187" w:type="dxa"/>
            <w:tcBorders>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6"/>
                <w:szCs w:val="24"/>
                <w:lang w:val="es-ES" w:eastAsia="es-ES"/>
              </w:rPr>
            </w:pPr>
            <w:r w:rsidRPr="00095FF0">
              <w:rPr>
                <w:rFonts w:ascii="Arial" w:hAnsi="Arial"/>
                <w:spacing w:val="6"/>
                <w:sz w:val="16"/>
                <w:szCs w:val="24"/>
                <w:lang w:val="es-ES" w:eastAsia="es-ES"/>
              </w:rPr>
              <w:t>Crédito inicial</w:t>
            </w:r>
          </w:p>
        </w:tc>
        <w:tc>
          <w:tcPr>
            <w:tcW w:w="1141" w:type="dxa"/>
            <w:tcBorders>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6"/>
                <w:szCs w:val="24"/>
                <w:lang w:val="es-ES" w:eastAsia="es-ES"/>
              </w:rPr>
            </w:pPr>
            <w:r w:rsidRPr="00095FF0">
              <w:rPr>
                <w:rFonts w:ascii="Arial" w:hAnsi="Arial"/>
                <w:spacing w:val="6"/>
                <w:sz w:val="16"/>
                <w:szCs w:val="24"/>
                <w:lang w:val="es-ES" w:eastAsia="es-ES"/>
              </w:rPr>
              <w:t>Consolidado</w:t>
            </w:r>
          </w:p>
        </w:tc>
        <w:tc>
          <w:tcPr>
            <w:tcW w:w="1185" w:type="dxa"/>
            <w:tcBorders>
              <w:bottom w:val="single" w:sz="4" w:space="0" w:color="auto"/>
            </w:tcBorders>
            <w:shd w:val="clear" w:color="auto" w:fill="8DB3E2" w:themeFill="text2" w:themeFillTint="66"/>
            <w:vAlign w:val="center"/>
          </w:tcPr>
          <w:p w:rsidR="007E6AC4" w:rsidRPr="00095FF0" w:rsidRDefault="007E6AC4" w:rsidP="0050229A">
            <w:pPr>
              <w:keepLines/>
              <w:tabs>
                <w:tab w:val="right" w:pos="2835"/>
                <w:tab w:val="right" w:pos="3969"/>
                <w:tab w:val="right" w:pos="5103"/>
                <w:tab w:val="right" w:pos="6237"/>
                <w:tab w:val="right" w:pos="7371"/>
              </w:tabs>
              <w:spacing w:after="0"/>
              <w:ind w:left="-7" w:firstLine="0"/>
              <w:jc w:val="right"/>
              <w:rPr>
                <w:rFonts w:ascii="Arial Narrow" w:hAnsi="Arial Narrow"/>
                <w:spacing w:val="6"/>
                <w:sz w:val="18"/>
                <w:szCs w:val="18"/>
                <w:lang w:val="es-ES" w:eastAsia="es-ES"/>
              </w:rPr>
            </w:pPr>
            <w:r w:rsidRPr="00095FF0">
              <w:rPr>
                <w:rFonts w:ascii="Arial Narrow" w:hAnsi="Arial Narrow"/>
                <w:spacing w:val="6"/>
                <w:sz w:val="18"/>
                <w:szCs w:val="18"/>
                <w:lang w:val="es-ES" w:eastAsia="es-ES"/>
              </w:rPr>
              <w:t xml:space="preserve">Der. </w:t>
            </w:r>
            <w:proofErr w:type="spellStart"/>
            <w:r w:rsidR="0050229A" w:rsidRPr="00095FF0">
              <w:rPr>
                <w:rFonts w:ascii="Arial Narrow" w:hAnsi="Arial Narrow"/>
                <w:spacing w:val="6"/>
                <w:sz w:val="18"/>
                <w:szCs w:val="18"/>
                <w:lang w:val="es-ES" w:eastAsia="es-ES"/>
              </w:rPr>
              <w:t>Reconoc</w:t>
            </w:r>
            <w:proofErr w:type="spellEnd"/>
            <w:r w:rsidR="0050229A">
              <w:rPr>
                <w:rFonts w:ascii="Arial Narrow" w:hAnsi="Arial Narrow"/>
                <w:spacing w:val="6"/>
                <w:sz w:val="18"/>
                <w:szCs w:val="18"/>
                <w:lang w:val="es-ES" w:eastAsia="es-ES"/>
              </w:rPr>
              <w:t>.</w:t>
            </w:r>
          </w:p>
        </w:tc>
        <w:tc>
          <w:tcPr>
            <w:tcW w:w="908" w:type="dxa"/>
            <w:gridSpan w:val="2"/>
            <w:tcBorders>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6"/>
                <w:szCs w:val="24"/>
                <w:lang w:val="es-ES" w:eastAsia="es-ES"/>
              </w:rPr>
            </w:pPr>
            <w:r w:rsidRPr="00095FF0">
              <w:rPr>
                <w:rFonts w:ascii="Arial" w:hAnsi="Arial"/>
                <w:spacing w:val="6"/>
                <w:sz w:val="16"/>
                <w:szCs w:val="24"/>
                <w:lang w:val="es-ES" w:eastAsia="es-ES"/>
              </w:rPr>
              <w:t xml:space="preserve">% </w:t>
            </w:r>
            <w:proofErr w:type="spellStart"/>
            <w:r w:rsidR="0050229A" w:rsidRPr="00095FF0">
              <w:rPr>
                <w:rFonts w:ascii="Arial" w:hAnsi="Arial"/>
                <w:spacing w:val="6"/>
                <w:sz w:val="16"/>
                <w:szCs w:val="24"/>
                <w:lang w:val="es-ES" w:eastAsia="es-ES"/>
              </w:rPr>
              <w:t>Realiz</w:t>
            </w:r>
            <w:proofErr w:type="spellEnd"/>
            <w:r w:rsidRPr="00095FF0">
              <w:rPr>
                <w:rFonts w:ascii="Arial" w:hAnsi="Arial"/>
                <w:spacing w:val="6"/>
                <w:sz w:val="16"/>
                <w:szCs w:val="24"/>
                <w:lang w:val="es-ES" w:eastAsia="es-ES"/>
              </w:rPr>
              <w:t>.</w:t>
            </w:r>
          </w:p>
        </w:tc>
        <w:tc>
          <w:tcPr>
            <w:tcW w:w="1189" w:type="dxa"/>
            <w:tcBorders>
              <w:bottom w:val="single" w:sz="4" w:space="0" w:color="auto"/>
            </w:tcBorders>
            <w:shd w:val="clear" w:color="auto" w:fill="8DB3E2" w:themeFill="text2" w:themeFillTint="66"/>
            <w:vAlign w:val="center"/>
          </w:tcPr>
          <w:p w:rsidR="007E6AC4" w:rsidRPr="00095FF0" w:rsidRDefault="007E6AC4" w:rsidP="0050229A">
            <w:pPr>
              <w:keepLines/>
              <w:tabs>
                <w:tab w:val="right" w:pos="2835"/>
                <w:tab w:val="right" w:pos="3969"/>
                <w:tab w:val="right" w:pos="5103"/>
                <w:tab w:val="right" w:pos="6237"/>
                <w:tab w:val="right" w:pos="7371"/>
              </w:tabs>
              <w:spacing w:after="0"/>
              <w:ind w:firstLine="0"/>
              <w:jc w:val="right"/>
              <w:rPr>
                <w:rFonts w:ascii="Arial" w:hAnsi="Arial"/>
                <w:spacing w:val="6"/>
                <w:sz w:val="16"/>
                <w:szCs w:val="24"/>
                <w:lang w:val="es-ES" w:eastAsia="es-ES"/>
              </w:rPr>
            </w:pPr>
            <w:proofErr w:type="spellStart"/>
            <w:r w:rsidRPr="00095FF0">
              <w:rPr>
                <w:rFonts w:ascii="Arial" w:hAnsi="Arial"/>
                <w:spacing w:val="6"/>
                <w:sz w:val="16"/>
                <w:szCs w:val="24"/>
                <w:lang w:val="es-ES" w:eastAsia="es-ES"/>
              </w:rPr>
              <w:t>Recaud</w:t>
            </w:r>
            <w:proofErr w:type="spellEnd"/>
            <w:r w:rsidR="0050229A">
              <w:rPr>
                <w:rFonts w:ascii="Arial" w:hAnsi="Arial"/>
                <w:spacing w:val="6"/>
                <w:sz w:val="16"/>
                <w:szCs w:val="24"/>
                <w:lang w:val="es-ES" w:eastAsia="es-ES"/>
              </w:rPr>
              <w:t>.</w:t>
            </w:r>
            <w:r w:rsidRPr="00095FF0">
              <w:rPr>
                <w:rFonts w:ascii="Arial" w:hAnsi="Arial"/>
                <w:spacing w:val="6"/>
                <w:sz w:val="16"/>
                <w:szCs w:val="24"/>
                <w:lang w:val="es-ES" w:eastAsia="es-ES"/>
              </w:rPr>
              <w:t xml:space="preserve"> neta</w:t>
            </w:r>
          </w:p>
        </w:tc>
        <w:tc>
          <w:tcPr>
            <w:tcW w:w="1346" w:type="dxa"/>
            <w:tcBorders>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6"/>
                <w:szCs w:val="24"/>
                <w:lang w:val="es-ES" w:eastAsia="es-ES"/>
              </w:rPr>
            </w:pPr>
            <w:r w:rsidRPr="00095FF0">
              <w:rPr>
                <w:rFonts w:ascii="Arial" w:hAnsi="Arial"/>
                <w:spacing w:val="6"/>
                <w:sz w:val="16"/>
                <w:szCs w:val="24"/>
                <w:lang w:val="es-ES" w:eastAsia="es-ES"/>
              </w:rPr>
              <w:t xml:space="preserve">% </w:t>
            </w:r>
            <w:proofErr w:type="spellStart"/>
            <w:r w:rsidRPr="00095FF0">
              <w:rPr>
                <w:rFonts w:ascii="Arial" w:hAnsi="Arial"/>
                <w:spacing w:val="6"/>
                <w:sz w:val="16"/>
                <w:szCs w:val="24"/>
                <w:lang w:val="es-ES" w:eastAsia="es-ES"/>
              </w:rPr>
              <w:t>recaud</w:t>
            </w:r>
            <w:proofErr w:type="spellEnd"/>
            <w:r w:rsidRPr="00095FF0">
              <w:rPr>
                <w:rFonts w:ascii="Arial" w:hAnsi="Arial"/>
                <w:spacing w:val="6"/>
                <w:sz w:val="16"/>
                <w:szCs w:val="24"/>
                <w:lang w:val="es-ES" w:eastAsia="es-ES"/>
              </w:rPr>
              <w:t>. neta</w:t>
            </w:r>
          </w:p>
        </w:tc>
      </w:tr>
      <w:tr w:rsidR="007E6AC4" w:rsidRPr="00095FF0" w:rsidTr="00195087">
        <w:trPr>
          <w:trHeight w:hRule="exact" w:val="255"/>
          <w:jc w:val="center"/>
        </w:trPr>
        <w:tc>
          <w:tcPr>
            <w:tcW w:w="2290"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Impuestos directos</w:t>
            </w:r>
          </w:p>
        </w:tc>
        <w:tc>
          <w:tcPr>
            <w:tcW w:w="1187"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1.470.772</w:t>
            </w:r>
          </w:p>
        </w:tc>
        <w:tc>
          <w:tcPr>
            <w:tcW w:w="1141"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1.470.772</w:t>
            </w:r>
          </w:p>
        </w:tc>
        <w:tc>
          <w:tcPr>
            <w:tcW w:w="1185" w:type="dxa"/>
            <w:tcBorders>
              <w:top w:val="single" w:sz="4"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774.502</w:t>
            </w:r>
          </w:p>
        </w:tc>
        <w:tc>
          <w:tcPr>
            <w:tcW w:w="908" w:type="dxa"/>
            <w:gridSpan w:val="2"/>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53</w:t>
            </w:r>
          </w:p>
        </w:tc>
        <w:tc>
          <w:tcPr>
            <w:tcW w:w="1189"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571.078</w:t>
            </w:r>
          </w:p>
        </w:tc>
        <w:tc>
          <w:tcPr>
            <w:tcW w:w="1346"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74</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Impuestos indirectos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1.631.715</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1.631.715</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828.000</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51</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661.298</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80</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Tasas y precios públicos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109.719</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110.591</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68.167</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62</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46.366</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68</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Transferencias corrientes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43.302</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46969</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16.744</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36</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15.836</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95</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Ingresos patrimoniales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7.391</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7.396</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7.131</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96</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2.981</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42</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ingresos </w:t>
            </w:r>
            <w:r>
              <w:rPr>
                <w:rFonts w:ascii="Arial Narrow" w:hAnsi="Arial Narrow"/>
                <w:i/>
                <w:spacing w:val="6"/>
                <w:sz w:val="18"/>
                <w:szCs w:val="18"/>
                <w:lang w:val="es-ES" w:eastAsia="es-ES"/>
              </w:rPr>
              <w:t>C</w:t>
            </w:r>
            <w:r w:rsidRPr="00095FF0">
              <w:rPr>
                <w:rFonts w:ascii="Arial Narrow" w:hAnsi="Arial Narrow"/>
                <w:i/>
                <w:spacing w:val="6"/>
                <w:sz w:val="18"/>
                <w:szCs w:val="18"/>
                <w:lang w:val="es-ES" w:eastAsia="es-ES"/>
              </w:rPr>
              <w:t>orrientes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3.262.899</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3.267.443</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i/>
                <w:sz w:val="18"/>
                <w:szCs w:val="18"/>
                <w:lang w:val="es-ES" w:eastAsia="es-ES"/>
              </w:rPr>
            </w:pPr>
            <w:r w:rsidRPr="00095FF0">
              <w:rPr>
                <w:rFonts w:ascii="Arial Narrow" w:hAnsi="Arial Narrow"/>
                <w:i/>
                <w:sz w:val="18"/>
                <w:szCs w:val="18"/>
                <w:lang w:val="es-ES" w:eastAsia="es-ES"/>
              </w:rPr>
              <w:t>1.694.544</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52</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1.297.559</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77</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 xml:space="preserve">Enajenación inversiones </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1.810</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1.810</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287</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16</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215</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75</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Transferencias de capital</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45.456</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46.035</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34.830</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76</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4.431</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13</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ingresos de </w:t>
            </w:r>
            <w:r>
              <w:rPr>
                <w:rFonts w:ascii="Arial Narrow" w:hAnsi="Arial Narrow"/>
                <w:i/>
                <w:spacing w:val="6"/>
                <w:sz w:val="18"/>
                <w:szCs w:val="18"/>
                <w:lang w:val="es-ES" w:eastAsia="es-ES"/>
              </w:rPr>
              <w:t>C</w:t>
            </w:r>
            <w:r w:rsidRPr="00095FF0">
              <w:rPr>
                <w:rFonts w:ascii="Arial Narrow" w:hAnsi="Arial Narrow"/>
                <w:i/>
                <w:spacing w:val="6"/>
                <w:sz w:val="18"/>
                <w:szCs w:val="18"/>
                <w:lang w:val="es-ES" w:eastAsia="es-ES"/>
              </w:rPr>
              <w:t>apital</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47.266</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47.845</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i/>
                <w:sz w:val="18"/>
                <w:szCs w:val="18"/>
                <w:lang w:val="es-ES" w:eastAsia="es-ES"/>
              </w:rPr>
            </w:pPr>
            <w:r w:rsidRPr="00095FF0">
              <w:rPr>
                <w:rFonts w:ascii="Arial Narrow" w:hAnsi="Arial Narrow"/>
                <w:i/>
                <w:sz w:val="18"/>
                <w:szCs w:val="18"/>
                <w:lang w:val="es-ES" w:eastAsia="es-ES"/>
              </w:rPr>
              <w:t>35.117</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73</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4.646</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13</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Activos financieros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62.776</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142.918</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61.686</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43</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61.356</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99</w:t>
            </w:r>
          </w:p>
        </w:tc>
      </w:tr>
      <w:tr w:rsidR="007E6AC4" w:rsidRPr="00095FF0" w:rsidTr="00195087">
        <w:trPr>
          <w:trHeight w:hRule="exact" w:val="255"/>
          <w:jc w:val="center"/>
        </w:trPr>
        <w:tc>
          <w:tcPr>
            <w:tcW w:w="2290"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GillSans" w:hAnsi="GillSans"/>
                <w:spacing w:val="6"/>
                <w:sz w:val="18"/>
                <w:szCs w:val="18"/>
                <w:lang w:val="es-ES" w:eastAsia="es-ES"/>
              </w:rPr>
            </w:pPr>
            <w:r w:rsidRPr="00095FF0">
              <w:rPr>
                <w:rFonts w:ascii="Arial Narrow" w:hAnsi="Arial Narrow"/>
                <w:spacing w:val="6"/>
                <w:sz w:val="18"/>
                <w:szCs w:val="18"/>
                <w:lang w:val="es-ES" w:eastAsia="es-ES"/>
              </w:rPr>
              <w:t>Pasivos financieros</w:t>
            </w:r>
          </w:p>
        </w:tc>
        <w:tc>
          <w:tcPr>
            <w:tcW w:w="118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464.776</w:t>
            </w:r>
          </w:p>
        </w:tc>
        <w:tc>
          <w:tcPr>
            <w:tcW w:w="1141"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465.678</w:t>
            </w:r>
          </w:p>
        </w:tc>
        <w:tc>
          <w:tcPr>
            <w:tcW w:w="1185" w:type="dxa"/>
            <w:tcBorders>
              <w:top w:val="single" w:sz="2" w:space="0" w:color="auto"/>
              <w:bottom w:val="single" w:sz="2" w:space="0" w:color="auto"/>
            </w:tcBorders>
            <w:vAlign w:val="center"/>
          </w:tcPr>
          <w:p w:rsidR="007E6AC4" w:rsidRPr="00095FF0" w:rsidRDefault="007E6AC4" w:rsidP="009C1354">
            <w:pPr>
              <w:spacing w:after="0"/>
              <w:ind w:left="-7" w:firstLine="0"/>
              <w:jc w:val="right"/>
              <w:rPr>
                <w:rFonts w:ascii="Arial Narrow" w:hAnsi="Arial Narrow"/>
                <w:sz w:val="18"/>
                <w:szCs w:val="18"/>
                <w:lang w:val="es-ES" w:eastAsia="es-ES"/>
              </w:rPr>
            </w:pPr>
            <w:r w:rsidRPr="00095FF0">
              <w:rPr>
                <w:rFonts w:ascii="Arial Narrow" w:hAnsi="Arial Narrow"/>
                <w:sz w:val="18"/>
                <w:szCs w:val="18"/>
                <w:lang w:val="es-ES" w:eastAsia="es-ES"/>
              </w:rPr>
              <w:t>446.901</w:t>
            </w:r>
          </w:p>
        </w:tc>
        <w:tc>
          <w:tcPr>
            <w:tcW w:w="908" w:type="dxa"/>
            <w:gridSpan w:val="2"/>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96</w:t>
            </w:r>
          </w:p>
        </w:tc>
        <w:tc>
          <w:tcPr>
            <w:tcW w:w="1189"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446.000</w:t>
            </w:r>
          </w:p>
        </w:tc>
        <w:tc>
          <w:tcPr>
            <w:tcW w:w="134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100</w:t>
            </w:r>
          </w:p>
        </w:tc>
      </w:tr>
      <w:tr w:rsidR="007E6AC4" w:rsidRPr="00095FF0" w:rsidTr="00195087">
        <w:trPr>
          <w:trHeight w:hRule="exact" w:val="255"/>
          <w:jc w:val="center"/>
        </w:trPr>
        <w:tc>
          <w:tcPr>
            <w:tcW w:w="2290"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operaciones </w:t>
            </w:r>
            <w:r>
              <w:rPr>
                <w:rFonts w:ascii="Arial Narrow" w:hAnsi="Arial Narrow"/>
                <w:i/>
                <w:spacing w:val="6"/>
                <w:sz w:val="18"/>
                <w:szCs w:val="18"/>
                <w:lang w:val="es-ES" w:eastAsia="es-ES"/>
              </w:rPr>
              <w:t>F</w:t>
            </w:r>
            <w:r w:rsidRPr="00095FF0">
              <w:rPr>
                <w:rFonts w:ascii="Arial Narrow" w:hAnsi="Arial Narrow"/>
                <w:i/>
                <w:spacing w:val="6"/>
                <w:sz w:val="18"/>
                <w:szCs w:val="18"/>
                <w:lang w:val="es-ES" w:eastAsia="es-ES"/>
              </w:rPr>
              <w:t>inancieras</w:t>
            </w:r>
          </w:p>
        </w:tc>
        <w:tc>
          <w:tcPr>
            <w:tcW w:w="1187" w:type="dxa"/>
            <w:tcBorders>
              <w:top w:val="single" w:sz="2" w:space="0" w:color="auto"/>
              <w:bottom w:val="single" w:sz="4"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527.552</w:t>
            </w:r>
          </w:p>
        </w:tc>
        <w:tc>
          <w:tcPr>
            <w:tcW w:w="1141" w:type="dxa"/>
            <w:tcBorders>
              <w:top w:val="single" w:sz="2" w:space="0" w:color="auto"/>
              <w:bottom w:val="single" w:sz="4"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608.596</w:t>
            </w:r>
          </w:p>
        </w:tc>
        <w:tc>
          <w:tcPr>
            <w:tcW w:w="1185" w:type="dxa"/>
            <w:tcBorders>
              <w:top w:val="single" w:sz="2" w:space="0" w:color="auto"/>
              <w:bottom w:val="single" w:sz="4" w:space="0" w:color="auto"/>
            </w:tcBorders>
            <w:vAlign w:val="center"/>
          </w:tcPr>
          <w:p w:rsidR="007E6AC4" w:rsidRPr="00095FF0" w:rsidRDefault="007E6AC4" w:rsidP="009C1354">
            <w:pPr>
              <w:spacing w:after="0"/>
              <w:ind w:left="-7" w:firstLine="0"/>
              <w:jc w:val="right"/>
              <w:rPr>
                <w:rFonts w:ascii="Arial Narrow" w:hAnsi="Arial Narrow"/>
                <w:i/>
                <w:sz w:val="18"/>
                <w:szCs w:val="18"/>
                <w:lang w:val="es-ES" w:eastAsia="es-ES"/>
              </w:rPr>
            </w:pPr>
            <w:r w:rsidRPr="00095FF0">
              <w:rPr>
                <w:rFonts w:ascii="Arial Narrow" w:hAnsi="Arial Narrow"/>
                <w:i/>
                <w:sz w:val="18"/>
                <w:szCs w:val="18"/>
                <w:lang w:val="es-ES" w:eastAsia="es-ES"/>
              </w:rPr>
              <w:t>508.587</w:t>
            </w:r>
          </w:p>
        </w:tc>
        <w:tc>
          <w:tcPr>
            <w:tcW w:w="908" w:type="dxa"/>
            <w:gridSpan w:val="2"/>
            <w:tcBorders>
              <w:top w:val="single" w:sz="2" w:space="0" w:color="auto"/>
              <w:bottom w:val="single" w:sz="4"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84</w:t>
            </w:r>
          </w:p>
        </w:tc>
        <w:tc>
          <w:tcPr>
            <w:tcW w:w="1189" w:type="dxa"/>
            <w:tcBorders>
              <w:top w:val="single" w:sz="2" w:space="0" w:color="auto"/>
              <w:bottom w:val="single" w:sz="4"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507.356</w:t>
            </w:r>
          </w:p>
        </w:tc>
        <w:tc>
          <w:tcPr>
            <w:tcW w:w="1346" w:type="dxa"/>
            <w:tcBorders>
              <w:top w:val="single" w:sz="2" w:space="0" w:color="auto"/>
              <w:bottom w:val="single" w:sz="4"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100</w:t>
            </w:r>
          </w:p>
        </w:tc>
      </w:tr>
      <w:tr w:rsidR="007E6AC4" w:rsidRPr="00095FF0" w:rsidTr="00195087">
        <w:trPr>
          <w:trHeight w:hRule="exact" w:val="340"/>
          <w:jc w:val="center"/>
        </w:trPr>
        <w:tc>
          <w:tcPr>
            <w:tcW w:w="2290"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095FF0">
              <w:rPr>
                <w:rFonts w:ascii="Arial" w:hAnsi="Arial"/>
                <w:spacing w:val="6"/>
                <w:sz w:val="18"/>
                <w:szCs w:val="24"/>
                <w:lang w:val="es-ES" w:eastAsia="es-ES"/>
              </w:rPr>
              <w:t>Total</w:t>
            </w:r>
          </w:p>
        </w:tc>
        <w:tc>
          <w:tcPr>
            <w:tcW w:w="1187"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3.837.717</w:t>
            </w:r>
          </w:p>
        </w:tc>
        <w:tc>
          <w:tcPr>
            <w:tcW w:w="1141"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3.923.884</w:t>
            </w:r>
          </w:p>
        </w:tc>
        <w:tc>
          <w:tcPr>
            <w:tcW w:w="1185"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left="-7" w:firstLine="0"/>
              <w:jc w:val="right"/>
              <w:rPr>
                <w:rFonts w:ascii="Arial" w:hAnsi="Arial" w:cs="Arial"/>
                <w:sz w:val="18"/>
                <w:szCs w:val="18"/>
                <w:lang w:val="es-ES" w:eastAsia="es-ES"/>
              </w:rPr>
            </w:pPr>
            <w:r w:rsidRPr="00095FF0">
              <w:rPr>
                <w:rFonts w:ascii="Arial" w:hAnsi="Arial" w:cs="Arial"/>
                <w:sz w:val="18"/>
                <w:szCs w:val="18"/>
                <w:lang w:val="es-ES" w:eastAsia="es-ES"/>
              </w:rPr>
              <w:t>2.238.248</w:t>
            </w:r>
          </w:p>
        </w:tc>
        <w:tc>
          <w:tcPr>
            <w:tcW w:w="898"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57</w:t>
            </w:r>
          </w:p>
        </w:tc>
        <w:tc>
          <w:tcPr>
            <w:tcW w:w="1199" w:type="dxa"/>
            <w:gridSpan w:val="2"/>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1.809.561</w:t>
            </w:r>
          </w:p>
        </w:tc>
        <w:tc>
          <w:tcPr>
            <w:tcW w:w="1346" w:type="dxa"/>
            <w:tcBorders>
              <w:top w:val="single" w:sz="4"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81</w:t>
            </w:r>
          </w:p>
        </w:tc>
      </w:tr>
    </w:tbl>
    <w:p w:rsidR="007E6AC4" w:rsidRPr="00095FF0" w:rsidRDefault="007E6AC4" w:rsidP="007E6AC4">
      <w:pPr>
        <w:spacing w:after="0"/>
        <w:ind w:left="567" w:firstLine="0"/>
        <w:jc w:val="left"/>
        <w:rPr>
          <w:highlight w:val="yellow"/>
          <w:lang w:val="es-ES" w:eastAsia="es-ES"/>
        </w:rPr>
      </w:pPr>
    </w:p>
    <w:p w:rsidR="007E6AC4" w:rsidRPr="00095FF0"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ind w:firstLine="289"/>
        <w:rPr>
          <w:sz w:val="24"/>
          <w:lang w:val="es-ES"/>
        </w:rPr>
      </w:pPr>
      <w:r w:rsidRPr="00095FF0">
        <w:rPr>
          <w:sz w:val="24"/>
          <w:lang w:val="es-ES"/>
        </w:rPr>
        <w:lastRenderedPageBreak/>
        <w:t>Estos créditos, hasta el 31 de julio de 2015, han experimentado, vía modificaci</w:t>
      </w:r>
      <w:r w:rsidRPr="00095FF0">
        <w:rPr>
          <w:sz w:val="24"/>
          <w:lang w:val="es-ES"/>
        </w:rPr>
        <w:t>o</w:t>
      </w:r>
      <w:r w:rsidRPr="00095FF0">
        <w:rPr>
          <w:sz w:val="24"/>
          <w:lang w:val="es-ES"/>
        </w:rPr>
        <w:t>nes presupuestarias, un incremento del dos por ciento, es decir, 86 millones; estas modificaciones derivan fundamentalmente de créditos por generación de ingresos -74 millones- y de ampliaciones de crédito -12 millones-. Los créditos definitivos sup</w:t>
      </w:r>
      <w:r w:rsidRPr="00095FF0">
        <w:rPr>
          <w:sz w:val="24"/>
          <w:lang w:val="es-ES"/>
        </w:rPr>
        <w:t>o</w:t>
      </w:r>
      <w:r w:rsidRPr="00095FF0">
        <w:rPr>
          <w:sz w:val="24"/>
          <w:lang w:val="es-ES"/>
        </w:rPr>
        <w:t>nen un total de 3.924 millones.</w:t>
      </w:r>
    </w:p>
    <w:p w:rsidR="007E6AC4" w:rsidRPr="00095FF0"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ind w:firstLine="289"/>
        <w:rPr>
          <w:sz w:val="24"/>
          <w:lang w:val="es-ES"/>
        </w:rPr>
      </w:pPr>
      <w:r w:rsidRPr="00095FF0">
        <w:rPr>
          <w:sz w:val="24"/>
          <w:lang w:val="es-ES"/>
        </w:rPr>
        <w:t>Las obligaciones reconocidas hasta el 31 de julio de 2015 ascienden a 2.196 m</w:t>
      </w:r>
      <w:r w:rsidRPr="00095FF0">
        <w:rPr>
          <w:sz w:val="24"/>
          <w:lang w:val="es-ES"/>
        </w:rPr>
        <w:t>i</w:t>
      </w:r>
      <w:r w:rsidRPr="00095FF0">
        <w:rPr>
          <w:sz w:val="24"/>
          <w:lang w:val="es-ES"/>
        </w:rPr>
        <w:t xml:space="preserve">llones, presentado un grado de ejecución del 56 por ciento y un </w:t>
      </w:r>
      <w:proofErr w:type="gramStart"/>
      <w:r w:rsidRPr="00095FF0">
        <w:rPr>
          <w:sz w:val="24"/>
          <w:lang w:val="es-ES"/>
        </w:rPr>
        <w:t>porcentaje</w:t>
      </w:r>
      <w:proofErr w:type="gramEnd"/>
      <w:r w:rsidRPr="00095FF0">
        <w:rPr>
          <w:sz w:val="24"/>
          <w:lang w:val="es-ES"/>
        </w:rPr>
        <w:t xml:space="preserve"> de pagos del 99 por ciento. </w:t>
      </w:r>
    </w:p>
    <w:p w:rsidR="007E6AC4" w:rsidRPr="00095FF0"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40"/>
        <w:ind w:firstLine="289"/>
        <w:rPr>
          <w:sz w:val="24"/>
          <w:lang w:val="es-ES"/>
        </w:rPr>
      </w:pPr>
      <w:r w:rsidRPr="00095FF0">
        <w:rPr>
          <w:sz w:val="24"/>
          <w:lang w:val="es-ES"/>
        </w:rPr>
        <w:t>Los derechos reconocidos hasta el 31 de julio de 2015 suponen un total de 2.238 millones, con un grado de realización del 57 por ciento y con un grado de recaudación neta del 81 por ciento.</w:t>
      </w:r>
    </w:p>
    <w:p w:rsidR="007E6AC4" w:rsidRPr="00282F98" w:rsidRDefault="007E6AC4" w:rsidP="002346D7">
      <w:pPr>
        <w:tabs>
          <w:tab w:val="center" w:pos="2835"/>
          <w:tab w:val="center" w:pos="3969"/>
          <w:tab w:val="center" w:pos="5103"/>
          <w:tab w:val="center" w:pos="6237"/>
          <w:tab w:val="center" w:pos="7371"/>
        </w:tabs>
        <w:spacing w:after="180"/>
        <w:ind w:firstLine="284"/>
        <w:rPr>
          <w:b/>
          <w:sz w:val="24"/>
        </w:rPr>
      </w:pPr>
      <w:proofErr w:type="gramStart"/>
      <w:r w:rsidRPr="00282F98">
        <w:rPr>
          <w:b/>
          <w:sz w:val="24"/>
        </w:rPr>
        <w:t>2</w:t>
      </w:r>
      <w:r w:rsidR="006F0F37">
        <w:rPr>
          <w:b/>
          <w:sz w:val="24"/>
        </w:rPr>
        <w:t>.</w:t>
      </w:r>
      <w:r w:rsidRPr="00282F98">
        <w:rPr>
          <w:b/>
          <w:sz w:val="24"/>
        </w:rPr>
        <w:t>ª</w:t>
      </w:r>
      <w:proofErr w:type="gramEnd"/>
      <w:r w:rsidRPr="00282F98">
        <w:rPr>
          <w:b/>
          <w:sz w:val="24"/>
        </w:rPr>
        <w:t xml:space="preserve"> Ejecución presupuestaria del estado de gastos hasta el 31 de julio de 2015</w:t>
      </w:r>
    </w:p>
    <w:p w:rsidR="007E6AC4" w:rsidRPr="00282F98" w:rsidRDefault="007E6AC4" w:rsidP="002346D7">
      <w:pPr>
        <w:tabs>
          <w:tab w:val="center" w:pos="2835"/>
          <w:tab w:val="center" w:pos="3969"/>
          <w:tab w:val="center" w:pos="5103"/>
          <w:tab w:val="center" w:pos="6237"/>
          <w:tab w:val="center" w:pos="7371"/>
        </w:tabs>
        <w:spacing w:after="160"/>
        <w:ind w:firstLine="284"/>
        <w:rPr>
          <w:sz w:val="24"/>
        </w:rPr>
      </w:pPr>
      <w:r w:rsidRPr="00282F98">
        <w:rPr>
          <w:sz w:val="24"/>
        </w:rPr>
        <w:t>Del análisis específico del cuadro 1, destacamos los siguientes aspectos:</w:t>
      </w:r>
    </w:p>
    <w:p w:rsidR="007E6AC4" w:rsidRPr="00282F98"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60"/>
        <w:ind w:firstLine="289"/>
        <w:rPr>
          <w:sz w:val="24"/>
          <w:lang w:val="es-ES"/>
        </w:rPr>
      </w:pPr>
      <w:r w:rsidRPr="00282F98">
        <w:rPr>
          <w:sz w:val="24"/>
          <w:lang w:val="es-ES"/>
        </w:rPr>
        <w:t xml:space="preserve">Todos los capítulos experimentan modificaciones presupuestarias de sus créditos iniciales, que, en conjunto, suponen un incremento neto de 86 millones. Señalamos los aumentos de los capítulos de activos financieros </w:t>
      </w:r>
      <w:r>
        <w:rPr>
          <w:sz w:val="24"/>
          <w:lang w:val="es-ES"/>
        </w:rPr>
        <w:t>–</w:t>
      </w:r>
      <w:r w:rsidRPr="00282F98">
        <w:rPr>
          <w:sz w:val="24"/>
          <w:lang w:val="es-ES"/>
        </w:rPr>
        <w:t>69 millones</w:t>
      </w:r>
      <w:r>
        <w:rPr>
          <w:sz w:val="24"/>
          <w:lang w:val="es-ES"/>
        </w:rPr>
        <w:t>–</w:t>
      </w:r>
      <w:r w:rsidRPr="00282F98">
        <w:rPr>
          <w:sz w:val="24"/>
          <w:lang w:val="es-ES"/>
        </w:rPr>
        <w:t>, transferencias c</w:t>
      </w:r>
      <w:r w:rsidRPr="00282F98">
        <w:rPr>
          <w:sz w:val="24"/>
          <w:lang w:val="es-ES"/>
        </w:rPr>
        <w:t>o</w:t>
      </w:r>
      <w:r w:rsidRPr="00282F98">
        <w:rPr>
          <w:sz w:val="24"/>
          <w:lang w:val="es-ES"/>
        </w:rPr>
        <w:t xml:space="preserve">rrientes </w:t>
      </w:r>
      <w:r>
        <w:rPr>
          <w:sz w:val="24"/>
          <w:lang w:val="es-ES"/>
        </w:rPr>
        <w:t>–</w:t>
      </w:r>
      <w:r w:rsidRPr="00282F98">
        <w:rPr>
          <w:sz w:val="24"/>
          <w:lang w:val="es-ES"/>
        </w:rPr>
        <w:t>22 millones</w:t>
      </w:r>
      <w:r>
        <w:rPr>
          <w:sz w:val="24"/>
          <w:lang w:val="es-ES"/>
        </w:rPr>
        <w:t>–</w:t>
      </w:r>
      <w:r w:rsidRPr="00282F98">
        <w:rPr>
          <w:sz w:val="24"/>
          <w:lang w:val="es-ES"/>
        </w:rPr>
        <w:t xml:space="preserve"> y personal </w:t>
      </w:r>
      <w:r>
        <w:rPr>
          <w:sz w:val="24"/>
          <w:lang w:val="es-ES"/>
        </w:rPr>
        <w:t>–</w:t>
      </w:r>
      <w:r w:rsidRPr="00282F98">
        <w:rPr>
          <w:sz w:val="24"/>
          <w:lang w:val="es-ES"/>
        </w:rPr>
        <w:t>19 millones</w:t>
      </w:r>
      <w:r>
        <w:rPr>
          <w:sz w:val="24"/>
          <w:lang w:val="es-ES"/>
        </w:rPr>
        <w:t xml:space="preserve">–; </w:t>
      </w:r>
      <w:r w:rsidRPr="00282F98">
        <w:rPr>
          <w:sz w:val="24"/>
          <w:lang w:val="es-ES"/>
        </w:rPr>
        <w:t>disminuyen fundamentalmente los capítulos relacionados con la deuda, es decir, gastos financieros y amortizaciones, con 11 millones cada uno de ellos.</w:t>
      </w:r>
    </w:p>
    <w:p w:rsidR="007E6AC4" w:rsidRPr="00095FF0" w:rsidRDefault="007E6AC4" w:rsidP="002346D7">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60"/>
        <w:ind w:firstLine="289"/>
        <w:rPr>
          <w:sz w:val="24"/>
          <w:lang w:val="es-ES"/>
        </w:rPr>
      </w:pPr>
      <w:r w:rsidRPr="00095FF0">
        <w:rPr>
          <w:sz w:val="24"/>
          <w:lang w:val="es-ES"/>
        </w:rPr>
        <w:t xml:space="preserve">Superan al grado de ejecución presupuestaria global -56 por ciento- los capítulos de operaciones financieras </w:t>
      </w:r>
      <w:r>
        <w:rPr>
          <w:sz w:val="24"/>
          <w:lang w:val="es-ES"/>
        </w:rPr>
        <w:t>–</w:t>
      </w:r>
      <w:r w:rsidRPr="00095FF0">
        <w:rPr>
          <w:sz w:val="24"/>
          <w:lang w:val="es-ES"/>
        </w:rPr>
        <w:t>72 por ciento</w:t>
      </w:r>
      <w:r>
        <w:rPr>
          <w:sz w:val="24"/>
          <w:lang w:val="es-ES"/>
        </w:rPr>
        <w:t>–, transferencias corrientes –</w:t>
      </w:r>
      <w:r w:rsidRPr="00095FF0">
        <w:rPr>
          <w:sz w:val="24"/>
          <w:lang w:val="es-ES"/>
        </w:rPr>
        <w:t>59 por ciento</w:t>
      </w:r>
      <w:r>
        <w:rPr>
          <w:sz w:val="24"/>
          <w:lang w:val="es-ES"/>
        </w:rPr>
        <w:t>–</w:t>
      </w:r>
      <w:r w:rsidRPr="00095FF0">
        <w:rPr>
          <w:sz w:val="24"/>
          <w:lang w:val="es-ES"/>
        </w:rPr>
        <w:t xml:space="preserve"> y personal </w:t>
      </w:r>
      <w:r>
        <w:rPr>
          <w:sz w:val="24"/>
          <w:lang w:val="es-ES"/>
        </w:rPr>
        <w:t>–</w:t>
      </w:r>
      <w:r w:rsidRPr="00095FF0">
        <w:rPr>
          <w:sz w:val="24"/>
          <w:lang w:val="es-ES"/>
        </w:rPr>
        <w:t>58 por ciento</w:t>
      </w:r>
      <w:r>
        <w:rPr>
          <w:sz w:val="24"/>
          <w:lang w:val="es-ES"/>
        </w:rPr>
        <w:t>–</w:t>
      </w:r>
      <w:r w:rsidRPr="00095FF0">
        <w:rPr>
          <w:sz w:val="24"/>
          <w:lang w:val="es-ES"/>
        </w:rPr>
        <w:t>. Los menores grados de ejecución se observan en transf</w:t>
      </w:r>
      <w:r w:rsidRPr="00095FF0">
        <w:rPr>
          <w:sz w:val="24"/>
          <w:lang w:val="es-ES"/>
        </w:rPr>
        <w:t>e</w:t>
      </w:r>
      <w:r w:rsidRPr="00095FF0">
        <w:rPr>
          <w:sz w:val="24"/>
          <w:lang w:val="es-ES"/>
        </w:rPr>
        <w:t xml:space="preserve">rencias de capital </w:t>
      </w:r>
      <w:r>
        <w:rPr>
          <w:sz w:val="24"/>
          <w:lang w:val="es-ES"/>
        </w:rPr>
        <w:t>–</w:t>
      </w:r>
      <w:r w:rsidRPr="00095FF0">
        <w:rPr>
          <w:sz w:val="24"/>
          <w:lang w:val="es-ES"/>
        </w:rPr>
        <w:t>22 por ciento</w:t>
      </w:r>
      <w:r>
        <w:rPr>
          <w:sz w:val="24"/>
          <w:lang w:val="es-ES"/>
        </w:rPr>
        <w:t>–</w:t>
      </w:r>
      <w:r w:rsidRPr="00095FF0">
        <w:rPr>
          <w:sz w:val="24"/>
          <w:lang w:val="es-ES"/>
        </w:rPr>
        <w:t xml:space="preserve"> y en inversiones </w:t>
      </w:r>
      <w:r>
        <w:rPr>
          <w:sz w:val="24"/>
          <w:lang w:val="es-ES"/>
        </w:rPr>
        <w:t>–</w:t>
      </w:r>
      <w:r w:rsidRPr="00095FF0">
        <w:rPr>
          <w:sz w:val="24"/>
          <w:lang w:val="es-ES"/>
        </w:rPr>
        <w:t>28 por ciento</w:t>
      </w:r>
      <w:r>
        <w:rPr>
          <w:sz w:val="24"/>
          <w:lang w:val="es-ES"/>
        </w:rPr>
        <w:t>–</w:t>
      </w:r>
      <w:r w:rsidRPr="00095FF0">
        <w:rPr>
          <w:sz w:val="24"/>
          <w:lang w:val="es-ES"/>
        </w:rPr>
        <w:t>.</w:t>
      </w:r>
    </w:p>
    <w:p w:rsidR="007E6AC4" w:rsidRPr="00095FF0" w:rsidRDefault="007E6AC4" w:rsidP="007E6AC4">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40"/>
        <w:ind w:firstLine="289"/>
        <w:rPr>
          <w:sz w:val="24"/>
          <w:lang w:val="es-ES"/>
        </w:rPr>
      </w:pPr>
      <w:r w:rsidRPr="00095FF0">
        <w:rPr>
          <w:sz w:val="24"/>
          <w:lang w:val="es-ES"/>
        </w:rPr>
        <w:t>Por departamentos, el presupuesto se ha ejecutado según el siguiente cuadro</w:t>
      </w:r>
      <w:r>
        <w:rPr>
          <w:sz w:val="24"/>
          <w:lang w:val="es-ES"/>
        </w:rPr>
        <w:t>, en miles de euros.</w:t>
      </w:r>
    </w:p>
    <w:tbl>
      <w:tblPr>
        <w:tblW w:w="8832" w:type="dxa"/>
        <w:jc w:val="center"/>
        <w:tblCellMar>
          <w:left w:w="70" w:type="dxa"/>
          <w:right w:w="70" w:type="dxa"/>
        </w:tblCellMar>
        <w:tblLook w:val="04A0" w:firstRow="1" w:lastRow="0" w:firstColumn="1" w:lastColumn="0" w:noHBand="0" w:noVBand="1"/>
      </w:tblPr>
      <w:tblGrid>
        <w:gridCol w:w="4413"/>
        <w:gridCol w:w="1779"/>
        <w:gridCol w:w="1456"/>
        <w:gridCol w:w="1184"/>
      </w:tblGrid>
      <w:tr w:rsidR="007E6AC4" w:rsidRPr="00282F98" w:rsidTr="00195087">
        <w:trPr>
          <w:trHeight w:val="255"/>
          <w:jc w:val="center"/>
        </w:trPr>
        <w:tc>
          <w:tcPr>
            <w:tcW w:w="441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8"/>
                <w:szCs w:val="18"/>
                <w:lang w:val="es-ES" w:eastAsia="es-ES"/>
              </w:rPr>
            </w:pPr>
            <w:r w:rsidRPr="00282F98">
              <w:rPr>
                <w:rFonts w:ascii="Arial" w:hAnsi="Arial"/>
                <w:spacing w:val="6"/>
                <w:sz w:val="18"/>
                <w:szCs w:val="18"/>
                <w:lang w:val="es-ES" w:eastAsia="es-ES"/>
              </w:rPr>
              <w:t>Departamentos</w:t>
            </w:r>
            <w:r>
              <w:rPr>
                <w:rFonts w:ascii="Arial" w:hAnsi="Arial"/>
                <w:spacing w:val="6"/>
                <w:sz w:val="18"/>
                <w:szCs w:val="18"/>
                <w:lang w:val="es-ES" w:eastAsia="es-ES"/>
              </w:rPr>
              <w:t>,</w:t>
            </w:r>
            <w:r w:rsidRPr="00282F98">
              <w:rPr>
                <w:rFonts w:ascii="Arial" w:hAnsi="Arial"/>
                <w:spacing w:val="6"/>
                <w:sz w:val="18"/>
                <w:szCs w:val="18"/>
                <w:lang w:val="es-ES" w:eastAsia="es-ES"/>
              </w:rPr>
              <w:t xml:space="preserve"> hasta el 31 de julio 2015</w:t>
            </w:r>
          </w:p>
        </w:tc>
        <w:tc>
          <w:tcPr>
            <w:tcW w:w="177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82F98">
              <w:rPr>
                <w:rFonts w:ascii="Arial" w:hAnsi="Arial"/>
                <w:spacing w:val="6"/>
                <w:sz w:val="18"/>
                <w:szCs w:val="18"/>
                <w:lang w:val="es-ES" w:eastAsia="es-ES"/>
              </w:rPr>
              <w:t>Crédito</w:t>
            </w:r>
          </w:p>
          <w:p w:rsidR="007E6AC4" w:rsidRPr="00282F98"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82F98">
              <w:rPr>
                <w:rFonts w:ascii="Arial" w:hAnsi="Arial"/>
                <w:spacing w:val="6"/>
                <w:sz w:val="18"/>
                <w:szCs w:val="18"/>
                <w:lang w:val="es-ES" w:eastAsia="es-ES"/>
              </w:rPr>
              <w:t>definitivo</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82F98">
              <w:rPr>
                <w:rFonts w:ascii="Arial" w:hAnsi="Arial"/>
                <w:spacing w:val="6"/>
                <w:sz w:val="18"/>
                <w:szCs w:val="18"/>
                <w:lang w:val="es-ES" w:eastAsia="es-ES"/>
              </w:rPr>
              <w:t xml:space="preserve">Obligaciones </w:t>
            </w:r>
          </w:p>
          <w:p w:rsidR="007E6AC4" w:rsidRPr="00282F98"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82F98">
              <w:rPr>
                <w:rFonts w:ascii="Arial" w:hAnsi="Arial"/>
                <w:spacing w:val="6"/>
                <w:sz w:val="18"/>
                <w:szCs w:val="18"/>
                <w:lang w:val="es-ES" w:eastAsia="es-ES"/>
              </w:rPr>
              <w:t>reconocidas</w:t>
            </w:r>
          </w:p>
        </w:tc>
        <w:tc>
          <w:tcPr>
            <w:tcW w:w="118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282F98">
              <w:rPr>
                <w:rFonts w:ascii="Arial" w:hAnsi="Arial"/>
                <w:spacing w:val="6"/>
                <w:sz w:val="18"/>
                <w:szCs w:val="18"/>
                <w:lang w:val="es-ES" w:eastAsia="es-ES"/>
              </w:rPr>
              <w:t>% ejecución</w:t>
            </w:r>
          </w:p>
        </w:tc>
      </w:tr>
      <w:tr w:rsidR="007E6AC4" w:rsidRPr="00282F98" w:rsidTr="009C1354">
        <w:trPr>
          <w:trHeight w:val="255"/>
          <w:jc w:val="center"/>
        </w:trPr>
        <w:tc>
          <w:tcPr>
            <w:tcW w:w="4413" w:type="dxa"/>
            <w:tcBorders>
              <w:top w:val="single" w:sz="4"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Presidencia, Justicia e Interior</w:t>
            </w:r>
          </w:p>
        </w:tc>
        <w:tc>
          <w:tcPr>
            <w:tcW w:w="1779" w:type="dxa"/>
            <w:tcBorders>
              <w:top w:val="single" w:sz="4"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342.286</w:t>
            </w:r>
          </w:p>
        </w:tc>
        <w:tc>
          <w:tcPr>
            <w:tcW w:w="1456" w:type="dxa"/>
            <w:tcBorders>
              <w:top w:val="single" w:sz="4"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226.347</w:t>
            </w:r>
          </w:p>
        </w:tc>
        <w:tc>
          <w:tcPr>
            <w:tcW w:w="1184" w:type="dxa"/>
            <w:tcBorders>
              <w:top w:val="single" w:sz="4"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66</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Economía, Hacienda, Industria y Empleo</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1.198.108</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661.234</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55</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Educación</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584.213</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339.927</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58</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Salud</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940.272</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522.986</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56</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Fomento</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212.787</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92.313</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43</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Desarrollo Rural, Medio Ambiente y AL</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308.499</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183.639</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60</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Políticas Sociales</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277.515</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136.246</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49</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Cultura, Turismo y relaciones Institucionales</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43.740</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20.688</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47</w:t>
            </w:r>
          </w:p>
        </w:tc>
      </w:tr>
      <w:tr w:rsidR="007E6AC4" w:rsidRPr="00282F98" w:rsidTr="009C1354">
        <w:trPr>
          <w:trHeight w:val="255"/>
          <w:jc w:val="center"/>
        </w:trPr>
        <w:tc>
          <w:tcPr>
            <w:tcW w:w="4413"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Consejo de Navarra</w:t>
            </w:r>
          </w:p>
        </w:tc>
        <w:tc>
          <w:tcPr>
            <w:tcW w:w="1779"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446</w:t>
            </w:r>
          </w:p>
        </w:tc>
        <w:tc>
          <w:tcPr>
            <w:tcW w:w="1456"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258</w:t>
            </w:r>
          </w:p>
        </w:tc>
        <w:tc>
          <w:tcPr>
            <w:tcW w:w="1184" w:type="dxa"/>
            <w:tcBorders>
              <w:top w:val="single" w:sz="2" w:space="0" w:color="auto"/>
              <w:left w:val="nil"/>
              <w:bottom w:val="single" w:sz="2"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58</w:t>
            </w:r>
          </w:p>
        </w:tc>
      </w:tr>
      <w:tr w:rsidR="007E6AC4" w:rsidRPr="00282F98" w:rsidTr="009C1354">
        <w:trPr>
          <w:trHeight w:val="255"/>
          <w:jc w:val="center"/>
        </w:trPr>
        <w:tc>
          <w:tcPr>
            <w:tcW w:w="4413" w:type="dxa"/>
            <w:tcBorders>
              <w:top w:val="single" w:sz="2" w:space="0" w:color="auto"/>
              <w:left w:val="nil"/>
              <w:bottom w:val="single" w:sz="4" w:space="0" w:color="auto"/>
              <w:right w:val="nil"/>
            </w:tcBorders>
            <w:shd w:val="clear" w:color="auto" w:fill="auto"/>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lang w:val="es-ES" w:eastAsia="es-ES"/>
              </w:rPr>
            </w:pPr>
            <w:r w:rsidRPr="00282F98">
              <w:rPr>
                <w:rFonts w:ascii="Arial Narrow" w:hAnsi="Arial Narrow"/>
                <w:spacing w:val="6"/>
                <w:lang w:val="es-ES" w:eastAsia="es-ES"/>
              </w:rPr>
              <w:t>Parlamento de Navarra</w:t>
            </w:r>
          </w:p>
        </w:tc>
        <w:tc>
          <w:tcPr>
            <w:tcW w:w="1779" w:type="dxa"/>
            <w:tcBorders>
              <w:top w:val="single" w:sz="2" w:space="0" w:color="auto"/>
              <w:left w:val="nil"/>
              <w:bottom w:val="single" w:sz="4"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16.018</w:t>
            </w:r>
          </w:p>
        </w:tc>
        <w:tc>
          <w:tcPr>
            <w:tcW w:w="1456" w:type="dxa"/>
            <w:tcBorders>
              <w:top w:val="single" w:sz="2" w:space="0" w:color="auto"/>
              <w:left w:val="nil"/>
              <w:bottom w:val="single" w:sz="4"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12.013</w:t>
            </w:r>
          </w:p>
        </w:tc>
        <w:tc>
          <w:tcPr>
            <w:tcW w:w="1184" w:type="dxa"/>
            <w:tcBorders>
              <w:top w:val="single" w:sz="2" w:space="0" w:color="auto"/>
              <w:left w:val="nil"/>
              <w:bottom w:val="single" w:sz="4" w:space="0" w:color="auto"/>
              <w:right w:val="nil"/>
            </w:tcBorders>
            <w:shd w:val="clear" w:color="auto" w:fill="auto"/>
            <w:noWrap/>
            <w:vAlign w:val="center"/>
            <w:hideMark/>
          </w:tcPr>
          <w:p w:rsidR="007E6AC4" w:rsidRPr="00282F98" w:rsidRDefault="007E6AC4" w:rsidP="009C1354">
            <w:pPr>
              <w:spacing w:after="0"/>
              <w:ind w:firstLine="0"/>
              <w:jc w:val="right"/>
              <w:rPr>
                <w:rFonts w:ascii="Arial Narrow" w:hAnsi="Arial Narrow"/>
                <w:lang w:val="es-ES" w:eastAsia="es-ES"/>
              </w:rPr>
            </w:pPr>
            <w:r w:rsidRPr="00282F98">
              <w:rPr>
                <w:rFonts w:ascii="Arial Narrow" w:hAnsi="Arial Narrow"/>
                <w:lang w:val="es-ES" w:eastAsia="es-ES"/>
              </w:rPr>
              <w:t>75</w:t>
            </w:r>
          </w:p>
        </w:tc>
      </w:tr>
      <w:tr w:rsidR="007E6AC4" w:rsidRPr="00095FF0" w:rsidTr="00195087">
        <w:trPr>
          <w:trHeight w:val="255"/>
          <w:jc w:val="center"/>
        </w:trPr>
        <w:tc>
          <w:tcPr>
            <w:tcW w:w="441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r w:rsidRPr="00095FF0">
              <w:rPr>
                <w:rFonts w:ascii="Arial" w:hAnsi="Arial"/>
                <w:spacing w:val="6"/>
                <w:sz w:val="18"/>
                <w:szCs w:val="24"/>
                <w:lang w:val="es-ES" w:eastAsia="es-ES"/>
              </w:rPr>
              <w:t>Total</w:t>
            </w:r>
          </w:p>
        </w:tc>
        <w:tc>
          <w:tcPr>
            <w:tcW w:w="177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095FF0" w:rsidRDefault="007E6AC4" w:rsidP="009C1354">
            <w:pPr>
              <w:spacing w:after="0"/>
              <w:ind w:firstLine="0"/>
              <w:jc w:val="right"/>
              <w:rPr>
                <w:rFonts w:ascii="Arial" w:hAnsi="Arial"/>
                <w:spacing w:val="6"/>
                <w:sz w:val="18"/>
                <w:szCs w:val="24"/>
                <w:lang w:val="es-ES" w:eastAsia="es-ES"/>
              </w:rPr>
            </w:pPr>
            <w:r w:rsidRPr="00095FF0">
              <w:rPr>
                <w:rFonts w:ascii="Arial" w:hAnsi="Arial"/>
                <w:spacing w:val="6"/>
                <w:sz w:val="18"/>
                <w:szCs w:val="24"/>
                <w:lang w:val="es-ES" w:eastAsia="es-ES"/>
              </w:rPr>
              <w:t>3.923.884</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095FF0" w:rsidRDefault="007E6AC4" w:rsidP="009C1354">
            <w:pPr>
              <w:spacing w:after="0"/>
              <w:ind w:firstLine="0"/>
              <w:jc w:val="right"/>
              <w:rPr>
                <w:rFonts w:ascii="Arial" w:hAnsi="Arial"/>
                <w:spacing w:val="6"/>
                <w:sz w:val="18"/>
                <w:szCs w:val="24"/>
                <w:lang w:val="es-ES" w:eastAsia="es-ES"/>
              </w:rPr>
            </w:pPr>
            <w:r w:rsidRPr="00095FF0">
              <w:rPr>
                <w:rFonts w:ascii="Arial" w:hAnsi="Arial"/>
                <w:spacing w:val="6"/>
                <w:sz w:val="18"/>
                <w:szCs w:val="24"/>
                <w:lang w:val="es-ES" w:eastAsia="es-ES"/>
              </w:rPr>
              <w:t>2.195.651</w:t>
            </w:r>
          </w:p>
        </w:tc>
        <w:tc>
          <w:tcPr>
            <w:tcW w:w="118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095FF0" w:rsidRDefault="007E6AC4" w:rsidP="009C1354">
            <w:pPr>
              <w:spacing w:after="0"/>
              <w:ind w:firstLine="0"/>
              <w:jc w:val="right"/>
              <w:rPr>
                <w:rFonts w:ascii="Arial" w:hAnsi="Arial"/>
                <w:spacing w:val="6"/>
                <w:sz w:val="18"/>
                <w:szCs w:val="24"/>
                <w:lang w:val="es-ES" w:eastAsia="es-ES"/>
              </w:rPr>
            </w:pPr>
            <w:r w:rsidRPr="00095FF0">
              <w:rPr>
                <w:rFonts w:ascii="Arial" w:hAnsi="Arial"/>
                <w:spacing w:val="6"/>
                <w:sz w:val="18"/>
                <w:szCs w:val="24"/>
                <w:lang w:val="es-ES" w:eastAsia="es-ES"/>
              </w:rPr>
              <w:t>56</w:t>
            </w:r>
          </w:p>
        </w:tc>
      </w:tr>
    </w:tbl>
    <w:p w:rsidR="007E6AC4" w:rsidRPr="00282F98" w:rsidRDefault="007E6AC4" w:rsidP="002346D7">
      <w:pPr>
        <w:tabs>
          <w:tab w:val="center" w:pos="2835"/>
          <w:tab w:val="center" w:pos="3969"/>
          <w:tab w:val="center" w:pos="5103"/>
          <w:tab w:val="center" w:pos="6237"/>
          <w:tab w:val="center" w:pos="7371"/>
        </w:tabs>
        <w:spacing w:before="280"/>
        <w:ind w:firstLine="284"/>
        <w:rPr>
          <w:sz w:val="24"/>
          <w:lang w:val="es-ES"/>
        </w:rPr>
      </w:pPr>
      <w:r w:rsidRPr="00282F98">
        <w:rPr>
          <w:sz w:val="24"/>
          <w:lang w:val="es-ES"/>
        </w:rPr>
        <w:t>Los departamentos de Fomento, Cultura y de Políticas Sociales presentan el menor gr</w:t>
      </w:r>
      <w:r w:rsidRPr="00282F98">
        <w:rPr>
          <w:sz w:val="24"/>
          <w:lang w:val="es-ES"/>
        </w:rPr>
        <w:t>a</w:t>
      </w:r>
      <w:r w:rsidRPr="00282F98">
        <w:rPr>
          <w:sz w:val="24"/>
          <w:lang w:val="es-ES"/>
        </w:rPr>
        <w:t>do de ejecución de sus presupuestos -43, 47 y 49 por ciento, respectivamente-.</w:t>
      </w:r>
    </w:p>
    <w:p w:rsidR="007E6AC4" w:rsidRPr="00282F98" w:rsidRDefault="007E6AC4" w:rsidP="0004712E">
      <w:pPr>
        <w:tabs>
          <w:tab w:val="center" w:pos="2835"/>
          <w:tab w:val="center" w:pos="3969"/>
          <w:tab w:val="center" w:pos="5103"/>
          <w:tab w:val="center" w:pos="6237"/>
          <w:tab w:val="center" w:pos="7371"/>
        </w:tabs>
        <w:spacing w:after="120"/>
        <w:ind w:firstLine="284"/>
        <w:rPr>
          <w:sz w:val="24"/>
          <w:lang w:val="es-ES"/>
        </w:rPr>
      </w:pPr>
      <w:r w:rsidRPr="00282F98">
        <w:rPr>
          <w:sz w:val="24"/>
          <w:lang w:val="es-ES"/>
        </w:rPr>
        <w:lastRenderedPageBreak/>
        <w:t>Los departamentos de Salud, Educación y Políticas Sociales asumen el 46 por ciento del gasto hasta julio.</w:t>
      </w:r>
      <w:r w:rsidRPr="00282F98">
        <w:rPr>
          <w:sz w:val="24"/>
          <w:lang w:val="es-ES"/>
        </w:rPr>
        <w:fldChar w:fldCharType="begin"/>
      </w:r>
      <w:r w:rsidRPr="00282F98">
        <w:rPr>
          <w:sz w:val="24"/>
          <w:lang w:val="es-ES"/>
        </w:rPr>
        <w:instrText xml:space="preserve"> LINK </w:instrText>
      </w:r>
      <w:r>
        <w:rPr>
          <w:sz w:val="24"/>
          <w:lang w:val="es-ES"/>
        </w:rPr>
        <w:instrText xml:space="preserve">Excel.Sheet.12 "D:\\Nacho 2105\\Apendice Cuentas 2014\\Informe Apéndice\\Cuadros 31 de julio 2015.xlsx" "Gastos Departamento!F20C1:F31C4" </w:instrText>
      </w:r>
      <w:r w:rsidRPr="00282F98">
        <w:rPr>
          <w:sz w:val="24"/>
          <w:lang w:val="es-ES"/>
        </w:rPr>
        <w:instrText xml:space="preserve">\a \f 4 \h  \* MERGEFORMAT </w:instrText>
      </w:r>
      <w:r w:rsidRPr="00282F98">
        <w:rPr>
          <w:sz w:val="24"/>
          <w:lang w:val="es-ES"/>
        </w:rPr>
        <w:fldChar w:fldCharType="separate"/>
      </w:r>
    </w:p>
    <w:p w:rsidR="007E6AC4" w:rsidRPr="00282F98"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sz w:val="24"/>
          <w:lang w:val="es-ES"/>
        </w:rPr>
      </w:pPr>
      <w:r w:rsidRPr="00282F98">
        <w:rPr>
          <w:sz w:val="24"/>
          <w:lang w:val="es-ES"/>
        </w:rPr>
        <w:fldChar w:fldCharType="end"/>
      </w:r>
      <w:r w:rsidRPr="00282F98">
        <w:rPr>
          <w:sz w:val="24"/>
          <w:lang w:val="es-ES"/>
        </w:rPr>
        <w:t>Por la naturaleza del gasto, señalamos básicamente:</w:t>
      </w:r>
    </w:p>
    <w:p w:rsidR="007E6AC4" w:rsidRPr="00282F98" w:rsidRDefault="007E6AC4" w:rsidP="0004712E">
      <w:pPr>
        <w:tabs>
          <w:tab w:val="center" w:pos="2835"/>
          <w:tab w:val="center" w:pos="3969"/>
          <w:tab w:val="center" w:pos="5103"/>
          <w:tab w:val="center" w:pos="6237"/>
          <w:tab w:val="center" w:pos="7371"/>
        </w:tabs>
        <w:spacing w:after="120"/>
        <w:ind w:firstLine="284"/>
        <w:rPr>
          <w:sz w:val="24"/>
          <w:lang w:val="es-ES"/>
        </w:rPr>
      </w:pPr>
      <w:r w:rsidRPr="00282F98">
        <w:rPr>
          <w:sz w:val="24"/>
          <w:lang w:val="es-ES"/>
        </w:rPr>
        <w:t>a) Los gastos por transferencias son lo que presentan un mayor peso en el presupuesto ejecutado con el 38 por ciento, esto es, 827 millones.</w:t>
      </w:r>
    </w:p>
    <w:p w:rsidR="007E6AC4" w:rsidRPr="00095FF0" w:rsidRDefault="007E6AC4" w:rsidP="0004712E">
      <w:pPr>
        <w:tabs>
          <w:tab w:val="center" w:pos="2835"/>
          <w:tab w:val="center" w:pos="3969"/>
          <w:tab w:val="center" w:pos="5103"/>
          <w:tab w:val="center" w:pos="6237"/>
          <w:tab w:val="center" w:pos="7371"/>
        </w:tabs>
        <w:spacing w:after="120"/>
        <w:ind w:firstLine="284"/>
        <w:rPr>
          <w:rFonts w:ascii="Arial" w:hAnsi="Arial" w:cs="Arial"/>
          <w:sz w:val="24"/>
          <w:lang w:val="es-ES"/>
        </w:rPr>
      </w:pPr>
      <w:r w:rsidRPr="00282F98">
        <w:rPr>
          <w:sz w:val="24"/>
          <w:lang w:val="es-ES"/>
        </w:rPr>
        <w:t>b) Los gastos de personal son de 658 millones, es decir, el 30 por ciento del gasto ejec</w:t>
      </w:r>
      <w:r w:rsidRPr="00282F98">
        <w:rPr>
          <w:sz w:val="24"/>
          <w:lang w:val="es-ES"/>
        </w:rPr>
        <w:t>u</w:t>
      </w:r>
      <w:r w:rsidRPr="00282F98">
        <w:rPr>
          <w:sz w:val="24"/>
          <w:lang w:val="es-ES"/>
        </w:rPr>
        <w:t>tado hasta el 31 de julio.</w:t>
      </w:r>
    </w:p>
    <w:p w:rsidR="007E6AC4" w:rsidRPr="00282F98" w:rsidRDefault="007E6AC4" w:rsidP="0004712E">
      <w:pPr>
        <w:tabs>
          <w:tab w:val="center" w:pos="2835"/>
          <w:tab w:val="center" w:pos="3969"/>
          <w:tab w:val="center" w:pos="5103"/>
          <w:tab w:val="center" w:pos="6237"/>
          <w:tab w:val="center" w:pos="7371"/>
        </w:tabs>
        <w:spacing w:after="120"/>
        <w:ind w:firstLine="284"/>
        <w:rPr>
          <w:sz w:val="24"/>
          <w:lang w:val="es-ES"/>
        </w:rPr>
      </w:pPr>
      <w:r w:rsidRPr="00282F98">
        <w:rPr>
          <w:sz w:val="24"/>
          <w:lang w:val="es-ES"/>
        </w:rPr>
        <w:t>c) La carga financiera (intereses y amortización de deuda) asume el 13 por ciento del gasto, es decir, 299 millones.</w:t>
      </w:r>
    </w:p>
    <w:p w:rsidR="007E6AC4" w:rsidRPr="00514815" w:rsidRDefault="007E6AC4" w:rsidP="0004712E">
      <w:pPr>
        <w:tabs>
          <w:tab w:val="center" w:pos="2835"/>
          <w:tab w:val="center" w:pos="3969"/>
          <w:tab w:val="center" w:pos="5103"/>
          <w:tab w:val="center" w:pos="6237"/>
          <w:tab w:val="center" w:pos="7371"/>
        </w:tabs>
        <w:spacing w:after="120"/>
        <w:ind w:firstLine="284"/>
        <w:rPr>
          <w:w w:val="98"/>
          <w:sz w:val="24"/>
          <w:lang w:val="es-ES"/>
        </w:rPr>
      </w:pPr>
      <w:r w:rsidRPr="00514815">
        <w:rPr>
          <w:w w:val="98"/>
          <w:sz w:val="24"/>
          <w:lang w:val="es-ES"/>
        </w:rPr>
        <w:t>d) Las inversiones</w:t>
      </w:r>
      <w:r w:rsidR="00514815" w:rsidRPr="00514815">
        <w:rPr>
          <w:w w:val="98"/>
          <w:sz w:val="24"/>
          <w:lang w:val="es-ES"/>
        </w:rPr>
        <w:t>,</w:t>
      </w:r>
      <w:r w:rsidRPr="00514815">
        <w:rPr>
          <w:w w:val="98"/>
          <w:sz w:val="24"/>
          <w:lang w:val="es-ES"/>
        </w:rPr>
        <w:t xml:space="preserve"> con 39 millones, representan escasamente el dos por ciento del gasto.</w:t>
      </w:r>
    </w:p>
    <w:p w:rsidR="007E6AC4" w:rsidRPr="00282F98"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120"/>
        <w:ind w:firstLine="289"/>
        <w:rPr>
          <w:sz w:val="24"/>
          <w:lang w:val="es-ES"/>
        </w:rPr>
      </w:pPr>
      <w:r w:rsidRPr="00282F98">
        <w:rPr>
          <w:sz w:val="24"/>
          <w:lang w:val="es-ES"/>
        </w:rPr>
        <w:t>Prácticamente se han pagado la totalidad de las obligaciones reconocidas en el periodo analizado.</w:t>
      </w:r>
    </w:p>
    <w:p w:rsidR="007E6AC4" w:rsidRPr="00282F98" w:rsidRDefault="007E6AC4" w:rsidP="0004712E">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00"/>
        <w:ind w:firstLine="289"/>
        <w:rPr>
          <w:sz w:val="24"/>
          <w:lang w:val="es-ES"/>
        </w:rPr>
      </w:pPr>
      <w:r w:rsidRPr="00282F98">
        <w:rPr>
          <w:sz w:val="24"/>
          <w:lang w:val="es-ES"/>
        </w:rPr>
        <w:t>Los gastos comprometidos de naturaleza plurianual (de 2016 en adelante) a</w:t>
      </w:r>
      <w:r w:rsidRPr="00282F98">
        <w:rPr>
          <w:sz w:val="24"/>
          <w:lang w:val="es-ES"/>
        </w:rPr>
        <w:t>s</w:t>
      </w:r>
      <w:r w:rsidRPr="00282F98">
        <w:rPr>
          <w:sz w:val="24"/>
          <w:lang w:val="es-ES"/>
        </w:rPr>
        <w:t>cienden a 3.610 millones. De este importe, 3.317 millones se corresponden con co</w:t>
      </w:r>
      <w:r w:rsidRPr="00282F98">
        <w:rPr>
          <w:sz w:val="24"/>
          <w:lang w:val="es-ES"/>
        </w:rPr>
        <w:t>m</w:t>
      </w:r>
      <w:r w:rsidRPr="00282F98">
        <w:rPr>
          <w:sz w:val="24"/>
          <w:lang w:val="es-ES"/>
        </w:rPr>
        <w:t>promisos derivados del endeudamiento.</w:t>
      </w:r>
    </w:p>
    <w:p w:rsidR="007E6AC4" w:rsidRPr="002C7E80" w:rsidRDefault="007E6AC4" w:rsidP="007E6AC4">
      <w:pPr>
        <w:tabs>
          <w:tab w:val="center" w:pos="2835"/>
          <w:tab w:val="center" w:pos="3969"/>
          <w:tab w:val="center" w:pos="5103"/>
          <w:tab w:val="center" w:pos="6237"/>
          <w:tab w:val="center" w:pos="7371"/>
        </w:tabs>
        <w:ind w:firstLine="284"/>
        <w:rPr>
          <w:b/>
          <w:sz w:val="24"/>
        </w:rPr>
      </w:pPr>
      <w:proofErr w:type="gramStart"/>
      <w:r w:rsidRPr="002C7E80">
        <w:rPr>
          <w:b/>
          <w:sz w:val="24"/>
        </w:rPr>
        <w:t>3</w:t>
      </w:r>
      <w:r w:rsidR="006F0F37">
        <w:rPr>
          <w:b/>
          <w:sz w:val="24"/>
        </w:rPr>
        <w:t>.</w:t>
      </w:r>
      <w:r w:rsidRPr="002C7E80">
        <w:rPr>
          <w:b/>
          <w:sz w:val="24"/>
        </w:rPr>
        <w:t>ª</w:t>
      </w:r>
      <w:proofErr w:type="gramEnd"/>
      <w:r w:rsidRPr="002C7E80">
        <w:rPr>
          <w:b/>
          <w:sz w:val="24"/>
        </w:rPr>
        <w:t xml:space="preserve"> Ejecución presupuestaria del estado de gastos hasta el 31 de julio de 2015 y su comparación con el mismo periodo de 2014</w:t>
      </w:r>
    </w:p>
    <w:p w:rsidR="007E6AC4" w:rsidRPr="00282F98" w:rsidRDefault="007E6AC4" w:rsidP="007E6AC4">
      <w:pPr>
        <w:numPr>
          <w:ilvl w:val="0"/>
          <w:numId w:val="16"/>
        </w:numPr>
        <w:tabs>
          <w:tab w:val="num" w:pos="300"/>
          <w:tab w:val="left" w:pos="480"/>
        </w:tabs>
        <w:spacing w:after="0"/>
        <w:ind w:firstLine="290"/>
        <w:rPr>
          <w:rFonts w:ascii="Arial" w:hAnsi="Arial" w:cs="Arial"/>
          <w:sz w:val="24"/>
          <w:lang w:val="es-ES"/>
        </w:rPr>
      </w:pPr>
      <w:r w:rsidRPr="00095FF0">
        <w:rPr>
          <w:spacing w:val="6"/>
          <w:sz w:val="24"/>
          <w:szCs w:val="24"/>
          <w:lang w:val="es-ES"/>
        </w:rPr>
        <w:t>En ese periodo, los gastos ejecutados acumulados se han incrementado en un ocho por ciento, es decir, en 162 millones, de acuerdo con el siguiente detalle</w:t>
      </w:r>
      <w:r>
        <w:rPr>
          <w:spacing w:val="6"/>
          <w:sz w:val="24"/>
          <w:szCs w:val="24"/>
          <w:lang w:val="es-ES"/>
        </w:rPr>
        <w:t xml:space="preserve"> en m</w:t>
      </w:r>
      <w:r>
        <w:rPr>
          <w:spacing w:val="6"/>
          <w:sz w:val="24"/>
          <w:szCs w:val="24"/>
          <w:lang w:val="es-ES"/>
        </w:rPr>
        <w:t>i</w:t>
      </w:r>
      <w:r>
        <w:rPr>
          <w:spacing w:val="6"/>
          <w:sz w:val="24"/>
          <w:szCs w:val="24"/>
          <w:lang w:val="es-ES"/>
        </w:rPr>
        <w:t>les de euros.</w:t>
      </w:r>
    </w:p>
    <w:p w:rsidR="007E6AC4" w:rsidRPr="00095FF0" w:rsidRDefault="007E6AC4" w:rsidP="007E6AC4">
      <w:pPr>
        <w:tabs>
          <w:tab w:val="left" w:pos="480"/>
        </w:tabs>
        <w:spacing w:after="0"/>
        <w:ind w:left="290" w:firstLine="0"/>
        <w:jc w:val="left"/>
        <w:rPr>
          <w:rFonts w:ascii="Arial" w:hAnsi="Arial" w:cs="Arial"/>
          <w:sz w:val="24"/>
          <w:lang w:val="es-ES"/>
        </w:rPr>
      </w:pPr>
      <w:r w:rsidRPr="00095FF0">
        <w:rPr>
          <w:rFonts w:ascii="ITCCentury Book" w:hAnsi="ITCCentury Book"/>
          <w:sz w:val="24"/>
        </w:rPr>
        <w:fldChar w:fldCharType="begin"/>
      </w:r>
      <w:r w:rsidRPr="00095FF0">
        <w:rPr>
          <w:rFonts w:ascii="ITCCentury Book" w:hAnsi="ITCCentury Book"/>
          <w:sz w:val="24"/>
        </w:rPr>
        <w:instrText xml:space="preserve"> LINK </w:instrText>
      </w:r>
      <w:r>
        <w:rPr>
          <w:rFonts w:ascii="ITCCentury Book" w:hAnsi="ITCCentury Book"/>
          <w:sz w:val="24"/>
        </w:rPr>
        <w:instrText xml:space="preserve">Excel.Sheet.12 "D:\\Nacho 2105\\Apendice Cuentas 2014\\Informe Apéndice\\Cuadros 31 de julio 2015.xlsx" "Gastos Económico!F19C1:F32C6" </w:instrText>
      </w:r>
      <w:r w:rsidRPr="00095FF0">
        <w:rPr>
          <w:rFonts w:ascii="ITCCentury Book" w:hAnsi="ITCCentury Book"/>
          <w:sz w:val="24"/>
        </w:rPr>
        <w:instrText xml:space="preserve">\a \f 4 \h  \* MERGEFORMAT </w:instrText>
      </w:r>
      <w:r w:rsidRPr="00095FF0">
        <w:rPr>
          <w:rFonts w:ascii="ITCCentury Book" w:hAnsi="ITCCentury Book"/>
          <w:sz w:val="24"/>
        </w:rPr>
        <w:fldChar w:fldCharType="separate"/>
      </w:r>
    </w:p>
    <w:tbl>
      <w:tblPr>
        <w:tblW w:w="8878" w:type="dxa"/>
        <w:jc w:val="center"/>
        <w:tblInd w:w="-17" w:type="dxa"/>
        <w:tblCellMar>
          <w:left w:w="70" w:type="dxa"/>
          <w:right w:w="70" w:type="dxa"/>
        </w:tblCellMar>
        <w:tblLook w:val="04A0" w:firstRow="1" w:lastRow="0" w:firstColumn="1" w:lastColumn="0" w:noHBand="0" w:noVBand="1"/>
      </w:tblPr>
      <w:tblGrid>
        <w:gridCol w:w="2201"/>
        <w:gridCol w:w="1354"/>
        <w:gridCol w:w="1370"/>
        <w:gridCol w:w="1024"/>
        <w:gridCol w:w="1078"/>
        <w:gridCol w:w="811"/>
        <w:gridCol w:w="1040"/>
      </w:tblGrid>
      <w:tr w:rsidR="007E6AC4" w:rsidRPr="00282F98" w:rsidTr="00195087">
        <w:trPr>
          <w:trHeight w:val="300"/>
          <w:jc w:val="center"/>
        </w:trPr>
        <w:tc>
          <w:tcPr>
            <w:tcW w:w="22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6"/>
                <w:szCs w:val="16"/>
              </w:rPr>
            </w:pPr>
            <w:r w:rsidRPr="00282F98">
              <w:rPr>
                <w:rFonts w:ascii="Arial" w:hAnsi="Arial" w:cs="Arial"/>
                <w:sz w:val="16"/>
                <w:szCs w:val="16"/>
              </w:rPr>
              <w:t>Capítulos</w:t>
            </w:r>
          </w:p>
        </w:tc>
        <w:tc>
          <w:tcPr>
            <w:tcW w:w="135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Obligaciones reconocidas</w:t>
            </w:r>
          </w:p>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julio 2014</w:t>
            </w:r>
          </w:p>
        </w:tc>
        <w:tc>
          <w:tcPr>
            <w:tcW w:w="13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Obligaciones reconocidas</w:t>
            </w:r>
          </w:p>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julio 2015</w:t>
            </w:r>
          </w:p>
        </w:tc>
        <w:tc>
          <w:tcPr>
            <w:tcW w:w="1024" w:type="dxa"/>
            <w:tcBorders>
              <w:top w:val="single" w:sz="4" w:space="0" w:color="auto"/>
              <w:left w:val="nil"/>
              <w:bottom w:val="single" w:sz="4" w:space="0" w:color="auto"/>
              <w:right w:val="nil"/>
            </w:tcBorders>
            <w:shd w:val="clear" w:color="auto" w:fill="8DB3E2" w:themeFill="text2" w:themeFillTint="66"/>
            <w:vAlign w:val="center"/>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 oblig</w:t>
            </w:r>
            <w:r w:rsidRPr="00282F98">
              <w:rPr>
                <w:rFonts w:ascii="Arial" w:hAnsi="Arial" w:cs="Arial"/>
                <w:sz w:val="16"/>
                <w:szCs w:val="16"/>
              </w:rPr>
              <w:t>a</w:t>
            </w:r>
            <w:r w:rsidRPr="00282F98">
              <w:rPr>
                <w:rFonts w:ascii="Arial" w:hAnsi="Arial" w:cs="Arial"/>
                <w:sz w:val="16"/>
                <w:szCs w:val="16"/>
              </w:rPr>
              <w:t>ciones</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 variación obligaciones 15/14</w:t>
            </w:r>
          </w:p>
        </w:tc>
        <w:tc>
          <w:tcPr>
            <w:tcW w:w="81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 ejec</w:t>
            </w:r>
            <w:r w:rsidRPr="00282F98">
              <w:rPr>
                <w:rFonts w:ascii="Arial" w:hAnsi="Arial" w:cs="Arial"/>
                <w:sz w:val="16"/>
                <w:szCs w:val="16"/>
              </w:rPr>
              <w:t>u</w:t>
            </w:r>
            <w:r w:rsidRPr="00282F98">
              <w:rPr>
                <w:rFonts w:ascii="Arial" w:hAnsi="Arial" w:cs="Arial"/>
                <w:sz w:val="16"/>
                <w:szCs w:val="16"/>
              </w:rPr>
              <w:t>ción julio14</w:t>
            </w:r>
          </w:p>
        </w:tc>
        <w:tc>
          <w:tcPr>
            <w:tcW w:w="104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282F98">
              <w:rPr>
                <w:rFonts w:ascii="Arial" w:hAnsi="Arial" w:cs="Arial"/>
                <w:sz w:val="16"/>
                <w:szCs w:val="16"/>
              </w:rPr>
              <w:t>% ejecución julio 15</w:t>
            </w:r>
          </w:p>
        </w:tc>
      </w:tr>
      <w:tr w:rsidR="007E6AC4" w:rsidRPr="00815CC6" w:rsidTr="00815CC6">
        <w:trPr>
          <w:trHeight w:val="255"/>
          <w:jc w:val="center"/>
        </w:trPr>
        <w:tc>
          <w:tcPr>
            <w:tcW w:w="2201"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Personal</w:t>
            </w:r>
          </w:p>
        </w:tc>
        <w:tc>
          <w:tcPr>
            <w:tcW w:w="1354"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634.221</w:t>
            </w:r>
          </w:p>
        </w:tc>
        <w:tc>
          <w:tcPr>
            <w:tcW w:w="1370"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658.395</w:t>
            </w:r>
          </w:p>
        </w:tc>
        <w:tc>
          <w:tcPr>
            <w:tcW w:w="1024" w:type="dxa"/>
            <w:tcBorders>
              <w:top w:val="single" w:sz="4"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24.174</w:t>
            </w:r>
          </w:p>
        </w:tc>
        <w:tc>
          <w:tcPr>
            <w:tcW w:w="1078"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w:t>
            </w:r>
          </w:p>
        </w:tc>
        <w:tc>
          <w:tcPr>
            <w:tcW w:w="811"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58</w:t>
            </w:r>
          </w:p>
        </w:tc>
        <w:tc>
          <w:tcPr>
            <w:tcW w:w="1040" w:type="dxa"/>
            <w:tcBorders>
              <w:top w:val="single" w:sz="4"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58</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 xml:space="preserve">Bienes </w:t>
            </w:r>
            <w:proofErr w:type="spellStart"/>
            <w:r w:rsidRPr="00815CC6">
              <w:rPr>
                <w:rFonts w:ascii="Arial Narrow" w:hAnsi="Arial Narrow"/>
                <w:spacing w:val="6"/>
                <w:sz w:val="18"/>
                <w:szCs w:val="18"/>
              </w:rPr>
              <w:t>corr</w:t>
            </w:r>
            <w:proofErr w:type="spellEnd"/>
            <w:r w:rsidRPr="00815CC6">
              <w:rPr>
                <w:rFonts w:ascii="Arial Narrow" w:hAnsi="Arial Narrow"/>
                <w:spacing w:val="6"/>
                <w:sz w:val="18"/>
                <w:szCs w:val="18"/>
              </w:rPr>
              <w:t>. y servicios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256.118</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278.426</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22.308</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9</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48</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49</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Gastos financieros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67.356</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78.710</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11.354</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17</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58</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71</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Transferencias corrientes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765.938</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794.084</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28.146</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58</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59</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8"/>
                <w:szCs w:val="18"/>
              </w:rPr>
            </w:pPr>
            <w:r w:rsidRPr="00815CC6">
              <w:rPr>
                <w:rFonts w:ascii="Arial Narrow" w:hAnsi="Arial Narrow"/>
                <w:i/>
                <w:spacing w:val="6"/>
                <w:sz w:val="18"/>
                <w:szCs w:val="18"/>
              </w:rPr>
              <w:t xml:space="preserve">Total gastos </w:t>
            </w:r>
            <w:r w:rsidR="002346D7" w:rsidRPr="00815CC6">
              <w:rPr>
                <w:rFonts w:ascii="Arial Narrow" w:hAnsi="Arial Narrow"/>
                <w:i/>
                <w:spacing w:val="6"/>
                <w:sz w:val="18"/>
                <w:szCs w:val="18"/>
              </w:rPr>
              <w:t>corrientes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1.723.633</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1.809.615</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85.982</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5</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55</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56</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Inversiones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40.888</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38.627</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-2.261</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-6</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23</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28</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Transferencias de capital</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57.826</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33.081</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-24.745</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-43</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41</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22</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8"/>
                <w:szCs w:val="18"/>
              </w:rPr>
            </w:pPr>
            <w:r w:rsidRPr="00815CC6">
              <w:rPr>
                <w:rFonts w:ascii="Arial Narrow" w:hAnsi="Arial Narrow"/>
                <w:i/>
                <w:spacing w:val="6"/>
                <w:sz w:val="18"/>
                <w:szCs w:val="18"/>
              </w:rPr>
              <w:t>Total gastos Capital</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98.714</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71.708</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-27.006</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-27</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31</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25</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Activos financieros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130.126</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93.629</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-36.497</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-28</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85</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72</w:t>
            </w:r>
          </w:p>
        </w:tc>
      </w:tr>
      <w:tr w:rsidR="007E6AC4" w:rsidRPr="00815CC6" w:rsidTr="00815CC6">
        <w:trPr>
          <w:trHeight w:val="255"/>
          <w:jc w:val="center"/>
        </w:trPr>
        <w:tc>
          <w:tcPr>
            <w:tcW w:w="220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sidRPr="00815CC6">
              <w:rPr>
                <w:rFonts w:ascii="Arial Narrow" w:hAnsi="Arial Narrow"/>
                <w:spacing w:val="6"/>
                <w:sz w:val="18"/>
                <w:szCs w:val="18"/>
              </w:rPr>
              <w:t>Pasivos financieros</w:t>
            </w:r>
          </w:p>
        </w:tc>
        <w:tc>
          <w:tcPr>
            <w:tcW w:w="1354"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80.662</w:t>
            </w:r>
          </w:p>
        </w:tc>
        <w:tc>
          <w:tcPr>
            <w:tcW w:w="137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220.700</w:t>
            </w:r>
          </w:p>
        </w:tc>
        <w:tc>
          <w:tcPr>
            <w:tcW w:w="1024" w:type="dxa"/>
            <w:tcBorders>
              <w:top w:val="single" w:sz="2" w:space="0" w:color="auto"/>
              <w:left w:val="nil"/>
              <w:bottom w:val="single" w:sz="2"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140.038</w:t>
            </w:r>
          </w:p>
        </w:tc>
        <w:tc>
          <w:tcPr>
            <w:tcW w:w="1078"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174</w:t>
            </w:r>
          </w:p>
        </w:tc>
        <w:tc>
          <w:tcPr>
            <w:tcW w:w="811"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27</w:t>
            </w:r>
          </w:p>
        </w:tc>
        <w:tc>
          <w:tcPr>
            <w:tcW w:w="1040" w:type="dxa"/>
            <w:tcBorders>
              <w:top w:val="single" w:sz="2" w:space="0" w:color="auto"/>
              <w:left w:val="nil"/>
              <w:bottom w:val="single" w:sz="2"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815CC6">
              <w:rPr>
                <w:rFonts w:ascii="Arial Narrow" w:hAnsi="Arial Narrow"/>
                <w:spacing w:val="6"/>
                <w:sz w:val="18"/>
                <w:szCs w:val="18"/>
              </w:rPr>
              <w:t>72</w:t>
            </w:r>
          </w:p>
        </w:tc>
      </w:tr>
      <w:tr w:rsidR="007E6AC4" w:rsidRPr="00815CC6" w:rsidTr="00815CC6">
        <w:trPr>
          <w:trHeight w:val="255"/>
          <w:jc w:val="center"/>
        </w:trPr>
        <w:tc>
          <w:tcPr>
            <w:tcW w:w="2201"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8"/>
                <w:szCs w:val="18"/>
              </w:rPr>
            </w:pPr>
            <w:r w:rsidRPr="00815CC6">
              <w:rPr>
                <w:rFonts w:ascii="Arial Narrow" w:hAnsi="Arial Narrow"/>
                <w:i/>
                <w:spacing w:val="6"/>
                <w:sz w:val="18"/>
                <w:szCs w:val="18"/>
              </w:rPr>
              <w:t xml:space="preserve">Total </w:t>
            </w:r>
            <w:proofErr w:type="spellStart"/>
            <w:r w:rsidRPr="00815CC6">
              <w:rPr>
                <w:rFonts w:ascii="Arial Narrow" w:hAnsi="Arial Narrow"/>
                <w:i/>
                <w:spacing w:val="6"/>
                <w:sz w:val="18"/>
                <w:szCs w:val="18"/>
              </w:rPr>
              <w:t>operac</w:t>
            </w:r>
            <w:proofErr w:type="spellEnd"/>
            <w:r w:rsidRPr="00815CC6">
              <w:rPr>
                <w:rFonts w:ascii="Arial Narrow" w:hAnsi="Arial Narrow"/>
                <w:i/>
                <w:spacing w:val="6"/>
                <w:sz w:val="18"/>
                <w:szCs w:val="18"/>
              </w:rPr>
              <w:t>. Financieras</w:t>
            </w:r>
          </w:p>
        </w:tc>
        <w:tc>
          <w:tcPr>
            <w:tcW w:w="1354"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210.788</w:t>
            </w:r>
          </w:p>
        </w:tc>
        <w:tc>
          <w:tcPr>
            <w:tcW w:w="1370"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314.329</w:t>
            </w:r>
          </w:p>
        </w:tc>
        <w:tc>
          <w:tcPr>
            <w:tcW w:w="1024" w:type="dxa"/>
            <w:tcBorders>
              <w:top w:val="single" w:sz="2" w:space="0" w:color="auto"/>
              <w:left w:val="nil"/>
              <w:bottom w:val="single" w:sz="4" w:space="0" w:color="auto"/>
              <w:right w:val="nil"/>
            </w:tcBorders>
            <w:vAlign w:val="center"/>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103.541</w:t>
            </w:r>
          </w:p>
        </w:tc>
        <w:tc>
          <w:tcPr>
            <w:tcW w:w="1078"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49</w:t>
            </w:r>
          </w:p>
        </w:tc>
        <w:tc>
          <w:tcPr>
            <w:tcW w:w="811"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47</w:t>
            </w:r>
          </w:p>
        </w:tc>
        <w:tc>
          <w:tcPr>
            <w:tcW w:w="1040" w:type="dxa"/>
            <w:tcBorders>
              <w:top w:val="single" w:sz="2" w:space="0" w:color="auto"/>
              <w:left w:val="nil"/>
              <w:bottom w:val="single" w:sz="4" w:space="0" w:color="auto"/>
              <w:right w:val="nil"/>
            </w:tcBorders>
            <w:shd w:val="clear" w:color="auto" w:fill="auto"/>
            <w:noWrap/>
            <w:vAlign w:val="center"/>
            <w:hideMark/>
          </w:tcPr>
          <w:p w:rsidR="007E6AC4" w:rsidRPr="00815CC6" w:rsidRDefault="007E6AC4" w:rsidP="00815CC6">
            <w:pPr>
              <w:keepLines/>
              <w:tabs>
                <w:tab w:val="right" w:pos="2835"/>
                <w:tab w:val="right" w:pos="3969"/>
                <w:tab w:val="right" w:pos="5103"/>
                <w:tab w:val="right" w:pos="6237"/>
                <w:tab w:val="right" w:pos="7371"/>
              </w:tabs>
              <w:spacing w:after="0"/>
              <w:ind w:firstLine="0"/>
              <w:jc w:val="right"/>
              <w:rPr>
                <w:rFonts w:ascii="Arial Narrow" w:hAnsi="Arial Narrow"/>
                <w:i/>
                <w:spacing w:val="6"/>
                <w:sz w:val="18"/>
                <w:szCs w:val="18"/>
              </w:rPr>
            </w:pPr>
            <w:r w:rsidRPr="00815CC6">
              <w:rPr>
                <w:rFonts w:ascii="Arial Narrow" w:hAnsi="Arial Narrow"/>
                <w:i/>
                <w:spacing w:val="6"/>
                <w:sz w:val="18"/>
                <w:szCs w:val="18"/>
              </w:rPr>
              <w:t>72</w:t>
            </w:r>
          </w:p>
        </w:tc>
      </w:tr>
      <w:tr w:rsidR="007E6AC4" w:rsidRPr="00282F98" w:rsidTr="00195087">
        <w:trPr>
          <w:trHeight w:val="300"/>
          <w:jc w:val="center"/>
        </w:trPr>
        <w:tc>
          <w:tcPr>
            <w:tcW w:w="22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6"/>
                <w:szCs w:val="16"/>
              </w:rPr>
            </w:pPr>
            <w:r w:rsidRPr="00282F98">
              <w:rPr>
                <w:rFonts w:ascii="Arial" w:hAnsi="Arial" w:cs="Arial"/>
                <w:spacing w:val="6"/>
                <w:sz w:val="16"/>
                <w:szCs w:val="16"/>
              </w:rPr>
              <w:t>T</w:t>
            </w:r>
            <w:r>
              <w:rPr>
                <w:rFonts w:ascii="Arial" w:hAnsi="Arial" w:cs="Arial"/>
                <w:spacing w:val="6"/>
                <w:sz w:val="16"/>
                <w:szCs w:val="16"/>
              </w:rPr>
              <w:t>otal</w:t>
            </w:r>
          </w:p>
        </w:tc>
        <w:tc>
          <w:tcPr>
            <w:tcW w:w="135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2.033.135</w:t>
            </w:r>
          </w:p>
        </w:tc>
        <w:tc>
          <w:tcPr>
            <w:tcW w:w="13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2.195.652</w:t>
            </w:r>
          </w:p>
        </w:tc>
        <w:tc>
          <w:tcPr>
            <w:tcW w:w="1024" w:type="dxa"/>
            <w:tcBorders>
              <w:top w:val="single" w:sz="4" w:space="0" w:color="auto"/>
              <w:left w:val="nil"/>
              <w:bottom w:val="single" w:sz="4" w:space="0" w:color="auto"/>
              <w:right w:val="nil"/>
            </w:tcBorders>
            <w:shd w:val="clear" w:color="auto" w:fill="8DB3E2" w:themeFill="text2" w:themeFillTint="66"/>
            <w:vAlign w:val="center"/>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162.517</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8</w:t>
            </w:r>
          </w:p>
        </w:tc>
        <w:tc>
          <w:tcPr>
            <w:tcW w:w="81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52</w:t>
            </w:r>
          </w:p>
        </w:tc>
        <w:tc>
          <w:tcPr>
            <w:tcW w:w="104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282F98" w:rsidRDefault="007E6AC4" w:rsidP="00815CC6">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282F98">
              <w:rPr>
                <w:rFonts w:ascii="Arial" w:hAnsi="Arial" w:cs="Arial"/>
                <w:spacing w:val="6"/>
                <w:sz w:val="16"/>
                <w:szCs w:val="16"/>
              </w:rPr>
              <w:t>56</w:t>
            </w:r>
          </w:p>
        </w:tc>
      </w:tr>
    </w:tbl>
    <w:p w:rsidR="007E6AC4" w:rsidRPr="007771D4" w:rsidRDefault="007E6AC4" w:rsidP="0004712E">
      <w:pPr>
        <w:tabs>
          <w:tab w:val="center" w:pos="2835"/>
          <w:tab w:val="center" w:pos="3969"/>
          <w:tab w:val="center" w:pos="5103"/>
          <w:tab w:val="center" w:pos="6237"/>
          <w:tab w:val="center" w:pos="7371"/>
        </w:tabs>
        <w:spacing w:before="220" w:after="120"/>
        <w:ind w:firstLine="284"/>
        <w:rPr>
          <w:sz w:val="24"/>
          <w:lang w:val="es-ES"/>
        </w:rPr>
      </w:pPr>
      <w:r w:rsidRPr="00095FF0">
        <w:rPr>
          <w:rFonts w:ascii="Arial" w:hAnsi="Arial" w:cs="Arial"/>
          <w:sz w:val="24"/>
          <w:lang w:val="es-ES"/>
        </w:rPr>
        <w:fldChar w:fldCharType="end"/>
      </w:r>
      <w:r w:rsidRPr="007771D4">
        <w:rPr>
          <w:sz w:val="24"/>
          <w:lang w:val="es-ES"/>
        </w:rPr>
        <w:t>La ejecución global hasta julio de 2015 es superior en cuatro puntos al periodo anterior, lo que podría explicar en parte el incremento total del gasto. Este aumento de ejecución presupuestaria es especialmente relevante en los capítulos de operaciones financieras y en gastos financieros.</w:t>
      </w:r>
    </w:p>
    <w:p w:rsidR="007E6AC4" w:rsidRPr="007771D4" w:rsidRDefault="007E6AC4" w:rsidP="008C4B38">
      <w:pPr>
        <w:tabs>
          <w:tab w:val="center" w:pos="2835"/>
          <w:tab w:val="center" w:pos="3969"/>
          <w:tab w:val="center" w:pos="5103"/>
          <w:tab w:val="center" w:pos="6237"/>
          <w:tab w:val="center" w:pos="7371"/>
        </w:tabs>
        <w:spacing w:after="120"/>
        <w:ind w:firstLine="284"/>
        <w:rPr>
          <w:rFonts w:ascii="Times New (W1)" w:hAnsi="Times New (W1)"/>
          <w:spacing w:val="-2"/>
          <w:sz w:val="24"/>
          <w:lang w:val="es-ES"/>
        </w:rPr>
      </w:pPr>
      <w:r w:rsidRPr="007771D4">
        <w:rPr>
          <w:rFonts w:ascii="Times New (W1)" w:hAnsi="Times New (W1)"/>
          <w:spacing w:val="-2"/>
          <w:sz w:val="24"/>
          <w:lang w:val="es-ES"/>
        </w:rPr>
        <w:t xml:space="preserve">El capítulo que presenta un mayor incremento porcentual de gasto es pasivos financieros (amortización del endeudamiento) con un 174 por ciento, que supone un aumento de 140 millones; también se incrementan en un 17 por ciento los gastos por intereses, 11 millones. </w:t>
      </w:r>
    </w:p>
    <w:p w:rsidR="007E6AC4" w:rsidRPr="007771D4" w:rsidRDefault="007E6AC4" w:rsidP="008C4B38">
      <w:pPr>
        <w:tabs>
          <w:tab w:val="center" w:pos="2835"/>
          <w:tab w:val="center" w:pos="3969"/>
          <w:tab w:val="center" w:pos="5103"/>
          <w:tab w:val="center" w:pos="6237"/>
          <w:tab w:val="center" w:pos="7371"/>
        </w:tabs>
        <w:spacing w:after="120"/>
        <w:ind w:firstLine="284"/>
        <w:rPr>
          <w:sz w:val="24"/>
          <w:lang w:val="es-ES"/>
        </w:rPr>
      </w:pPr>
      <w:r w:rsidRPr="007771D4">
        <w:rPr>
          <w:sz w:val="24"/>
          <w:lang w:val="es-ES"/>
        </w:rPr>
        <w:lastRenderedPageBreak/>
        <w:t>Las transferencias de capital ofrecen una reducción del 43 por ciento –prácticamente 25 millones</w:t>
      </w:r>
      <w:r>
        <w:rPr>
          <w:sz w:val="24"/>
          <w:lang w:val="es-ES"/>
        </w:rPr>
        <w:t>–</w:t>
      </w:r>
      <w:r w:rsidRPr="007771D4">
        <w:rPr>
          <w:sz w:val="24"/>
          <w:lang w:val="es-ES"/>
        </w:rPr>
        <w:t>, disminución que en parte podría explicarse por su bajo grado de ejecución hasta julio de 2015.</w:t>
      </w:r>
    </w:p>
    <w:p w:rsidR="007E6AC4" w:rsidRPr="007771D4" w:rsidRDefault="007E6AC4" w:rsidP="008C4B38">
      <w:pPr>
        <w:tabs>
          <w:tab w:val="center" w:pos="2835"/>
          <w:tab w:val="center" w:pos="3969"/>
          <w:tab w:val="center" w:pos="5103"/>
          <w:tab w:val="center" w:pos="6237"/>
          <w:tab w:val="center" w:pos="7371"/>
        </w:tabs>
        <w:spacing w:after="120"/>
        <w:ind w:firstLine="284"/>
        <w:rPr>
          <w:sz w:val="24"/>
          <w:lang w:val="es-ES"/>
        </w:rPr>
      </w:pPr>
      <w:r w:rsidRPr="007771D4">
        <w:rPr>
          <w:sz w:val="24"/>
          <w:lang w:val="es-ES"/>
        </w:rPr>
        <w:t>Los gastos de personal, con el mismo grado de ejecución, se han incrementado en un cuatro por ciento, es decir, 24 millones. Este aumento podría explicarse, en su mayor parte, por la devolución a los empleados públicos del 25 por ciento de la paga extra de 2012 acontecida en marzo de 2015.</w:t>
      </w:r>
    </w:p>
    <w:p w:rsidR="007E6AC4" w:rsidRDefault="007E6AC4" w:rsidP="00815CC6">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80"/>
        <w:ind w:firstLine="289"/>
        <w:rPr>
          <w:sz w:val="24"/>
          <w:lang w:val="es-ES"/>
        </w:rPr>
      </w:pPr>
      <w:r w:rsidRPr="007771D4">
        <w:rPr>
          <w:sz w:val="24"/>
          <w:lang w:val="es-ES"/>
        </w:rPr>
        <w:t>La composición porcentual de los gastos presupuestarios hasta julio de 2015 con idéntico periodo del año anterior es la siguiente</w:t>
      </w:r>
    </w:p>
    <w:tbl>
      <w:tblPr>
        <w:tblW w:w="8770" w:type="dxa"/>
        <w:jc w:val="center"/>
        <w:tblCellMar>
          <w:left w:w="70" w:type="dxa"/>
          <w:right w:w="70" w:type="dxa"/>
        </w:tblCellMar>
        <w:tblLook w:val="0000" w:firstRow="0" w:lastRow="0" w:firstColumn="0" w:lastColumn="0" w:noHBand="0" w:noVBand="0"/>
      </w:tblPr>
      <w:tblGrid>
        <w:gridCol w:w="5341"/>
        <w:gridCol w:w="2044"/>
        <w:gridCol w:w="1385"/>
      </w:tblGrid>
      <w:tr w:rsidR="007E6AC4" w:rsidRPr="007771D4" w:rsidTr="00195087">
        <w:trPr>
          <w:trHeight w:val="255"/>
          <w:jc w:val="center"/>
        </w:trPr>
        <w:tc>
          <w:tcPr>
            <w:tcW w:w="5341" w:type="dxa"/>
            <w:tcBorders>
              <w:top w:val="single" w:sz="4" w:space="0" w:color="auto"/>
              <w:bottom w:val="single" w:sz="4" w:space="0" w:color="auto"/>
            </w:tcBorders>
            <w:shd w:val="clear" w:color="auto" w:fill="8DB3E2" w:themeFill="text2" w:themeFillTint="66"/>
            <w:noWrap/>
            <w:vAlign w:val="center"/>
          </w:tcPr>
          <w:p w:rsidR="007E6AC4" w:rsidRPr="007771D4"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7771D4">
              <w:rPr>
                <w:rFonts w:ascii="Arial" w:hAnsi="Arial" w:cs="Arial"/>
                <w:sz w:val="18"/>
                <w:szCs w:val="18"/>
              </w:rPr>
              <w:t>Naturaleza del Gasto</w:t>
            </w:r>
          </w:p>
        </w:tc>
        <w:tc>
          <w:tcPr>
            <w:tcW w:w="2044" w:type="dxa"/>
            <w:tcBorders>
              <w:top w:val="single" w:sz="4" w:space="0" w:color="auto"/>
              <w:bottom w:val="single" w:sz="4" w:space="0" w:color="auto"/>
            </w:tcBorders>
            <w:shd w:val="clear" w:color="auto" w:fill="8DB3E2" w:themeFill="text2" w:themeFillTint="66"/>
            <w:noWrap/>
            <w:vAlign w:val="center"/>
          </w:tcPr>
          <w:p w:rsidR="007E6AC4" w:rsidRPr="007771D4" w:rsidRDefault="007E6AC4" w:rsidP="009C1354">
            <w:pPr>
              <w:keepLines/>
              <w:tabs>
                <w:tab w:val="right" w:pos="2835"/>
                <w:tab w:val="right" w:pos="3395"/>
                <w:tab w:val="right" w:pos="5103"/>
                <w:tab w:val="right" w:pos="6237"/>
                <w:tab w:val="right" w:pos="7371"/>
              </w:tabs>
              <w:spacing w:after="0"/>
              <w:ind w:right="-6" w:firstLine="0"/>
              <w:jc w:val="right"/>
              <w:rPr>
                <w:rFonts w:ascii="Arial" w:hAnsi="Arial" w:cs="Arial"/>
                <w:sz w:val="18"/>
                <w:szCs w:val="18"/>
              </w:rPr>
            </w:pPr>
            <w:r w:rsidRPr="007771D4">
              <w:rPr>
                <w:rFonts w:ascii="Arial" w:hAnsi="Arial" w:cs="Arial"/>
                <w:sz w:val="18"/>
                <w:szCs w:val="18"/>
              </w:rPr>
              <w:t>Porcentaje</w:t>
            </w:r>
          </w:p>
          <w:p w:rsidR="007E6AC4" w:rsidRPr="007771D4" w:rsidRDefault="007E6AC4" w:rsidP="009C1354">
            <w:pPr>
              <w:keepLines/>
              <w:tabs>
                <w:tab w:val="right" w:pos="2835"/>
                <w:tab w:val="right" w:pos="3395"/>
                <w:tab w:val="right" w:pos="5103"/>
                <w:tab w:val="right" w:pos="6237"/>
                <w:tab w:val="right" w:pos="7371"/>
              </w:tabs>
              <w:spacing w:after="0"/>
              <w:ind w:right="-6" w:firstLine="0"/>
              <w:jc w:val="right"/>
              <w:rPr>
                <w:rFonts w:ascii="Arial" w:hAnsi="Arial" w:cs="Arial"/>
                <w:sz w:val="18"/>
                <w:szCs w:val="18"/>
              </w:rPr>
            </w:pPr>
            <w:r w:rsidRPr="007771D4">
              <w:rPr>
                <w:rFonts w:ascii="Arial" w:hAnsi="Arial" w:cs="Arial"/>
                <w:sz w:val="18"/>
                <w:szCs w:val="18"/>
              </w:rPr>
              <w:t>31-julio 2014</w:t>
            </w:r>
          </w:p>
        </w:tc>
        <w:tc>
          <w:tcPr>
            <w:tcW w:w="1385" w:type="dxa"/>
            <w:tcBorders>
              <w:top w:val="single" w:sz="4" w:space="0" w:color="auto"/>
              <w:bottom w:val="single" w:sz="4" w:space="0" w:color="auto"/>
            </w:tcBorders>
            <w:shd w:val="clear" w:color="auto" w:fill="8DB3E2" w:themeFill="text2" w:themeFillTint="66"/>
            <w:noWrap/>
            <w:vAlign w:val="center"/>
          </w:tcPr>
          <w:p w:rsidR="007E6AC4" w:rsidRPr="007771D4" w:rsidRDefault="007E6AC4" w:rsidP="009C1354">
            <w:pPr>
              <w:keepLines/>
              <w:tabs>
                <w:tab w:val="right" w:pos="2835"/>
                <w:tab w:val="right" w:pos="3395"/>
                <w:tab w:val="right" w:pos="5103"/>
                <w:tab w:val="right" w:pos="6237"/>
                <w:tab w:val="right" w:pos="7371"/>
              </w:tabs>
              <w:spacing w:after="0"/>
              <w:ind w:right="-6" w:firstLine="0"/>
              <w:jc w:val="right"/>
              <w:rPr>
                <w:rFonts w:ascii="Arial" w:hAnsi="Arial" w:cs="Arial"/>
                <w:sz w:val="18"/>
                <w:szCs w:val="18"/>
              </w:rPr>
            </w:pPr>
            <w:r w:rsidRPr="007771D4">
              <w:rPr>
                <w:rFonts w:ascii="Arial" w:hAnsi="Arial" w:cs="Arial"/>
                <w:sz w:val="18"/>
                <w:szCs w:val="18"/>
              </w:rPr>
              <w:t>Porcentaje</w:t>
            </w:r>
          </w:p>
          <w:p w:rsidR="007E6AC4" w:rsidRPr="007771D4" w:rsidRDefault="007E6AC4" w:rsidP="009C1354">
            <w:pPr>
              <w:keepLines/>
              <w:tabs>
                <w:tab w:val="right" w:pos="2835"/>
                <w:tab w:val="right" w:pos="3395"/>
                <w:tab w:val="right" w:pos="5103"/>
                <w:tab w:val="right" w:pos="6237"/>
                <w:tab w:val="right" w:pos="7371"/>
              </w:tabs>
              <w:spacing w:after="0"/>
              <w:ind w:right="-6" w:firstLine="0"/>
              <w:jc w:val="right"/>
              <w:rPr>
                <w:rFonts w:ascii="Arial" w:hAnsi="Arial" w:cs="Arial"/>
                <w:sz w:val="18"/>
                <w:szCs w:val="18"/>
              </w:rPr>
            </w:pPr>
            <w:r w:rsidRPr="007771D4">
              <w:rPr>
                <w:rFonts w:ascii="Arial" w:hAnsi="Arial" w:cs="Arial"/>
                <w:sz w:val="18"/>
                <w:szCs w:val="18"/>
              </w:rPr>
              <w:t>31-julio 2015</w:t>
            </w:r>
          </w:p>
        </w:tc>
      </w:tr>
      <w:tr w:rsidR="007E6AC4" w:rsidRPr="00A23456" w:rsidTr="00A23456">
        <w:trPr>
          <w:trHeight w:val="255"/>
          <w:jc w:val="center"/>
        </w:trPr>
        <w:tc>
          <w:tcPr>
            <w:tcW w:w="5341" w:type="dxa"/>
            <w:tcBorders>
              <w:top w:val="single" w:sz="4"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Personal</w:t>
            </w:r>
          </w:p>
        </w:tc>
        <w:tc>
          <w:tcPr>
            <w:tcW w:w="2044" w:type="dxa"/>
            <w:tcBorders>
              <w:top w:val="single" w:sz="4"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31</w:t>
            </w:r>
          </w:p>
        </w:tc>
        <w:tc>
          <w:tcPr>
            <w:tcW w:w="1385" w:type="dxa"/>
            <w:tcBorders>
              <w:top w:val="single" w:sz="4"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30</w:t>
            </w:r>
          </w:p>
        </w:tc>
      </w:tr>
      <w:tr w:rsidR="007E6AC4" w:rsidRPr="00A23456"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Bienes corrientes y servicios</w:t>
            </w:r>
          </w:p>
        </w:tc>
        <w:tc>
          <w:tcPr>
            <w:tcW w:w="2044"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w:t>
            </w:r>
          </w:p>
        </w:tc>
        <w:tc>
          <w:tcPr>
            <w:tcW w:w="1385"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w:t>
            </w:r>
          </w:p>
        </w:tc>
      </w:tr>
      <w:tr w:rsidR="007E6AC4" w:rsidRPr="00A23456"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Gastos Transferencias</w:t>
            </w:r>
          </w:p>
        </w:tc>
        <w:tc>
          <w:tcPr>
            <w:tcW w:w="2044"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41</w:t>
            </w:r>
          </w:p>
        </w:tc>
        <w:tc>
          <w:tcPr>
            <w:tcW w:w="1385"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38</w:t>
            </w:r>
          </w:p>
        </w:tc>
      </w:tr>
      <w:tr w:rsidR="007E6AC4" w:rsidRPr="00A23456"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Inversiones reales</w:t>
            </w:r>
          </w:p>
        </w:tc>
        <w:tc>
          <w:tcPr>
            <w:tcW w:w="2044"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w:t>
            </w:r>
          </w:p>
        </w:tc>
        <w:tc>
          <w:tcPr>
            <w:tcW w:w="1385"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w:t>
            </w:r>
          </w:p>
        </w:tc>
      </w:tr>
      <w:tr w:rsidR="007E6AC4" w:rsidRPr="00A23456" w:rsidTr="00A23456">
        <w:trPr>
          <w:trHeight w:val="255"/>
          <w:jc w:val="center"/>
        </w:trPr>
        <w:tc>
          <w:tcPr>
            <w:tcW w:w="5341"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Carga financiera</w:t>
            </w:r>
          </w:p>
        </w:tc>
        <w:tc>
          <w:tcPr>
            <w:tcW w:w="2044"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7</w:t>
            </w:r>
          </w:p>
        </w:tc>
        <w:tc>
          <w:tcPr>
            <w:tcW w:w="1385" w:type="dxa"/>
            <w:tcBorders>
              <w:top w:val="single" w:sz="2" w:space="0" w:color="auto"/>
              <w:bottom w:val="single" w:sz="2"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w:t>
            </w:r>
          </w:p>
        </w:tc>
      </w:tr>
      <w:tr w:rsidR="007E6AC4" w:rsidRPr="00A23456" w:rsidTr="004107FE">
        <w:trPr>
          <w:trHeight w:val="255"/>
          <w:jc w:val="center"/>
        </w:trPr>
        <w:tc>
          <w:tcPr>
            <w:tcW w:w="5341" w:type="dxa"/>
            <w:tcBorders>
              <w:top w:val="single" w:sz="2" w:space="0" w:color="auto"/>
              <w:bottom w:val="single" w:sz="4" w:space="0" w:color="auto"/>
            </w:tcBorders>
            <w:shd w:val="clear" w:color="auto" w:fill="auto"/>
            <w:noWrap/>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 xml:space="preserve">Activos financieros </w:t>
            </w:r>
          </w:p>
        </w:tc>
        <w:tc>
          <w:tcPr>
            <w:tcW w:w="2044" w:type="dxa"/>
            <w:tcBorders>
              <w:top w:val="single" w:sz="2" w:space="0" w:color="auto"/>
              <w:bottom w:val="single" w:sz="4"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6</w:t>
            </w:r>
          </w:p>
        </w:tc>
        <w:tc>
          <w:tcPr>
            <w:tcW w:w="1385" w:type="dxa"/>
            <w:tcBorders>
              <w:top w:val="single" w:sz="2" w:space="0" w:color="auto"/>
              <w:bottom w:val="single" w:sz="4" w:space="0" w:color="auto"/>
            </w:tcBorders>
            <w:shd w:val="clear" w:color="auto" w:fill="auto"/>
            <w:noWrap/>
            <w:vAlign w:val="center"/>
          </w:tcPr>
          <w:p w:rsidR="007E6AC4" w:rsidRPr="00A23456" w:rsidRDefault="007E6AC4" w:rsidP="009C1354">
            <w:pPr>
              <w:keepLines/>
              <w:tabs>
                <w:tab w:val="right" w:pos="2835"/>
                <w:tab w:val="right" w:pos="3395"/>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4</w:t>
            </w:r>
          </w:p>
        </w:tc>
      </w:tr>
      <w:tr w:rsidR="007E6AC4" w:rsidRPr="00D43DFF" w:rsidTr="004107FE">
        <w:trPr>
          <w:trHeight w:val="255"/>
          <w:jc w:val="center"/>
        </w:trPr>
        <w:tc>
          <w:tcPr>
            <w:tcW w:w="5341" w:type="dxa"/>
            <w:tcBorders>
              <w:top w:val="single" w:sz="4" w:space="0" w:color="auto"/>
              <w:bottom w:val="single" w:sz="4" w:space="0" w:color="auto"/>
            </w:tcBorders>
            <w:shd w:val="clear" w:color="auto" w:fill="8DB3E2" w:themeFill="text2" w:themeFillTint="66"/>
            <w:noWrap/>
            <w:vAlign w:val="center"/>
          </w:tcPr>
          <w:p w:rsidR="007E6AC4" w:rsidRPr="00D43DFF" w:rsidRDefault="00D43DFF"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43DFF">
              <w:rPr>
                <w:rFonts w:ascii="Arial" w:hAnsi="Arial" w:cs="Arial"/>
                <w:spacing w:val="6"/>
                <w:sz w:val="18"/>
                <w:szCs w:val="18"/>
              </w:rPr>
              <w:t>Total</w:t>
            </w:r>
          </w:p>
        </w:tc>
        <w:tc>
          <w:tcPr>
            <w:tcW w:w="2044" w:type="dxa"/>
            <w:tcBorders>
              <w:top w:val="single" w:sz="4" w:space="0" w:color="auto"/>
              <w:bottom w:val="single" w:sz="4" w:space="0" w:color="auto"/>
            </w:tcBorders>
            <w:shd w:val="clear" w:color="auto" w:fill="8DB3E2" w:themeFill="text2" w:themeFillTint="66"/>
            <w:noWrap/>
            <w:vAlign w:val="center"/>
          </w:tcPr>
          <w:p w:rsidR="007E6AC4" w:rsidRPr="00D43DFF" w:rsidRDefault="007E6AC4" w:rsidP="009C1354">
            <w:pPr>
              <w:keepLines/>
              <w:tabs>
                <w:tab w:val="right" w:pos="2835"/>
                <w:tab w:val="right" w:pos="3395"/>
                <w:tab w:val="right" w:pos="5103"/>
                <w:tab w:val="right" w:pos="6237"/>
                <w:tab w:val="right" w:pos="7371"/>
              </w:tabs>
              <w:spacing w:after="0"/>
              <w:ind w:firstLine="0"/>
              <w:jc w:val="right"/>
              <w:rPr>
                <w:rFonts w:ascii="Arial" w:hAnsi="Arial" w:cs="Arial"/>
                <w:spacing w:val="6"/>
                <w:sz w:val="18"/>
                <w:szCs w:val="18"/>
              </w:rPr>
            </w:pPr>
            <w:r w:rsidRPr="00D43DFF">
              <w:rPr>
                <w:rFonts w:ascii="Arial" w:hAnsi="Arial" w:cs="Arial"/>
                <w:spacing w:val="6"/>
                <w:sz w:val="18"/>
                <w:szCs w:val="18"/>
              </w:rPr>
              <w:t>100</w:t>
            </w:r>
          </w:p>
        </w:tc>
        <w:tc>
          <w:tcPr>
            <w:tcW w:w="1385" w:type="dxa"/>
            <w:tcBorders>
              <w:top w:val="single" w:sz="4" w:space="0" w:color="auto"/>
              <w:bottom w:val="single" w:sz="4" w:space="0" w:color="auto"/>
            </w:tcBorders>
            <w:shd w:val="clear" w:color="auto" w:fill="8DB3E2" w:themeFill="text2" w:themeFillTint="66"/>
            <w:noWrap/>
            <w:vAlign w:val="center"/>
          </w:tcPr>
          <w:p w:rsidR="007E6AC4" w:rsidRPr="00D43DFF" w:rsidRDefault="007E6AC4" w:rsidP="009C1354">
            <w:pPr>
              <w:keepLines/>
              <w:tabs>
                <w:tab w:val="right" w:pos="2835"/>
                <w:tab w:val="right" w:pos="3395"/>
                <w:tab w:val="right" w:pos="5103"/>
                <w:tab w:val="right" w:pos="6237"/>
                <w:tab w:val="right" w:pos="7371"/>
              </w:tabs>
              <w:spacing w:after="0"/>
              <w:ind w:firstLine="0"/>
              <w:jc w:val="right"/>
              <w:rPr>
                <w:rFonts w:ascii="Arial" w:hAnsi="Arial" w:cs="Arial"/>
                <w:spacing w:val="6"/>
                <w:sz w:val="18"/>
                <w:szCs w:val="18"/>
              </w:rPr>
            </w:pPr>
            <w:r w:rsidRPr="00D43DFF">
              <w:rPr>
                <w:rFonts w:ascii="Arial" w:hAnsi="Arial" w:cs="Arial"/>
                <w:spacing w:val="6"/>
                <w:sz w:val="18"/>
                <w:szCs w:val="18"/>
              </w:rPr>
              <w:t>100</w:t>
            </w:r>
          </w:p>
        </w:tc>
      </w:tr>
    </w:tbl>
    <w:p w:rsidR="007E6AC4" w:rsidRPr="007771D4" w:rsidRDefault="00244EDF" w:rsidP="00815CC6">
      <w:pPr>
        <w:tabs>
          <w:tab w:val="center" w:pos="2835"/>
          <w:tab w:val="center" w:pos="3969"/>
          <w:tab w:val="center" w:pos="5103"/>
          <w:tab w:val="center" w:pos="6237"/>
          <w:tab w:val="center" w:pos="7371"/>
        </w:tabs>
        <w:spacing w:before="260"/>
        <w:ind w:firstLine="284"/>
        <w:rPr>
          <w:sz w:val="24"/>
        </w:rPr>
      </w:pPr>
      <w:r>
        <w:rPr>
          <w:sz w:val="24"/>
          <w:lang w:val="es-ES"/>
        </w:rPr>
        <w:t>Se</w:t>
      </w:r>
      <w:r w:rsidR="007E6AC4" w:rsidRPr="007771D4">
        <w:rPr>
          <w:sz w:val="24"/>
        </w:rPr>
        <w:t xml:space="preserve"> observa cierta estabilidad de su composición porcentual, si bien la carga financiera (es decir, los intereses y amortización de deuda) se ha incrementado en un seis por ciento. Los capítulos que experimentan una mayor reducción son gastos por transferencias y act</w:t>
      </w:r>
      <w:r w:rsidR="007E6AC4" w:rsidRPr="007771D4">
        <w:rPr>
          <w:sz w:val="24"/>
        </w:rPr>
        <w:t>i</w:t>
      </w:r>
      <w:r w:rsidR="007E6AC4" w:rsidRPr="007771D4">
        <w:rPr>
          <w:sz w:val="24"/>
        </w:rPr>
        <w:t>vos financieros.</w:t>
      </w:r>
    </w:p>
    <w:p w:rsidR="007E6AC4" w:rsidRPr="00095FF0" w:rsidRDefault="007E6AC4" w:rsidP="00815CC6">
      <w:pPr>
        <w:pStyle w:val="texto"/>
        <w:numPr>
          <w:ilvl w:val="0"/>
          <w:numId w:val="16"/>
        </w:numPr>
        <w:tabs>
          <w:tab w:val="clear" w:pos="360"/>
          <w:tab w:val="clear" w:pos="2835"/>
          <w:tab w:val="clear" w:pos="3969"/>
          <w:tab w:val="clear" w:pos="5103"/>
          <w:tab w:val="clear" w:pos="6237"/>
          <w:tab w:val="clear" w:pos="7371"/>
          <w:tab w:val="num" w:pos="300"/>
          <w:tab w:val="left" w:pos="480"/>
          <w:tab w:val="num" w:pos="600"/>
        </w:tabs>
        <w:spacing w:after="280"/>
        <w:ind w:firstLine="289"/>
        <w:rPr>
          <w:sz w:val="24"/>
          <w:lang w:val="es-ES"/>
        </w:rPr>
      </w:pPr>
      <w:r w:rsidRPr="00095FF0">
        <w:rPr>
          <w:sz w:val="24"/>
          <w:lang w:val="es-ES"/>
        </w:rPr>
        <w:t>La comparación del gasto acumulado por departamentos se muestra en el cuadro siguiente</w:t>
      </w:r>
      <w:r>
        <w:rPr>
          <w:sz w:val="24"/>
          <w:lang w:val="es-ES"/>
        </w:rPr>
        <w:t>,</w:t>
      </w:r>
      <w:r w:rsidRPr="00095FF0">
        <w:rPr>
          <w:sz w:val="24"/>
          <w:lang w:val="es-ES"/>
        </w:rPr>
        <w:t xml:space="preserve"> en miles de euros</w:t>
      </w:r>
      <w:r>
        <w:rPr>
          <w:sz w:val="24"/>
          <w:lang w:val="es-ES"/>
        </w:rPr>
        <w:t>.</w:t>
      </w:r>
    </w:p>
    <w:tbl>
      <w:tblPr>
        <w:tblW w:w="8791" w:type="dxa"/>
        <w:jc w:val="center"/>
        <w:tblCellMar>
          <w:left w:w="70" w:type="dxa"/>
          <w:right w:w="70" w:type="dxa"/>
        </w:tblCellMar>
        <w:tblLook w:val="04A0" w:firstRow="1" w:lastRow="0" w:firstColumn="1" w:lastColumn="0" w:noHBand="0" w:noVBand="1"/>
      </w:tblPr>
      <w:tblGrid>
        <w:gridCol w:w="3710"/>
        <w:gridCol w:w="1470"/>
        <w:gridCol w:w="1385"/>
        <w:gridCol w:w="1092"/>
        <w:gridCol w:w="1134"/>
      </w:tblGrid>
      <w:tr w:rsidR="007E6AC4" w:rsidRPr="00F64FB5" w:rsidTr="00195087">
        <w:trPr>
          <w:trHeight w:val="227"/>
          <w:jc w:val="center"/>
        </w:trPr>
        <w:tc>
          <w:tcPr>
            <w:tcW w:w="371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F64FB5">
              <w:rPr>
                <w:rFonts w:ascii="Arial" w:hAnsi="Arial" w:cs="Arial"/>
                <w:sz w:val="18"/>
                <w:szCs w:val="18"/>
              </w:rPr>
              <w:t>Departamento</w:t>
            </w:r>
          </w:p>
        </w:tc>
        <w:tc>
          <w:tcPr>
            <w:tcW w:w="14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Obligaciones</w:t>
            </w:r>
          </w:p>
          <w:p w:rsidR="007E6AC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 xml:space="preserve"> reconocidas </w:t>
            </w:r>
          </w:p>
          <w:p w:rsidR="007E6AC4" w:rsidRPr="00F64FB5"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Julio 14</w:t>
            </w:r>
          </w:p>
        </w:tc>
        <w:tc>
          <w:tcPr>
            <w:tcW w:w="13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Obligaciones reconocidas</w:t>
            </w:r>
          </w:p>
          <w:p w:rsidR="007E6AC4" w:rsidRPr="00F64FB5"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Julio 15</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7E6AC4" w:rsidRPr="00F64FB5"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 xml:space="preserve">+/- </w:t>
            </w:r>
            <w:proofErr w:type="spellStart"/>
            <w:r w:rsidRPr="00F64FB5">
              <w:rPr>
                <w:rFonts w:ascii="Arial" w:hAnsi="Arial" w:cs="Arial"/>
                <w:sz w:val="18"/>
                <w:szCs w:val="18"/>
              </w:rPr>
              <w:t>oblig</w:t>
            </w:r>
            <w:proofErr w:type="spellEnd"/>
            <w:r>
              <w:rPr>
                <w:rFonts w:ascii="Arial" w:hAnsi="Arial" w:cs="Arial"/>
                <w:sz w:val="18"/>
                <w:szCs w:val="18"/>
              </w:rPr>
              <w:t>.</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64FB5">
              <w:rPr>
                <w:rFonts w:ascii="Arial" w:hAnsi="Arial" w:cs="Arial"/>
                <w:sz w:val="18"/>
                <w:szCs w:val="18"/>
              </w:rPr>
              <w:t>% variación 15/14</w:t>
            </w:r>
          </w:p>
        </w:tc>
      </w:tr>
      <w:tr w:rsidR="007E6AC4" w:rsidRPr="00A23456" w:rsidTr="0004712E">
        <w:trPr>
          <w:trHeight w:val="255"/>
          <w:jc w:val="center"/>
        </w:trPr>
        <w:tc>
          <w:tcPr>
            <w:tcW w:w="3710" w:type="dxa"/>
            <w:tcBorders>
              <w:top w:val="single" w:sz="4"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Presidencia, Justicia e Interior</w:t>
            </w:r>
          </w:p>
        </w:tc>
        <w:tc>
          <w:tcPr>
            <w:tcW w:w="1470" w:type="dxa"/>
            <w:tcBorders>
              <w:top w:val="single" w:sz="4"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226.327</w:t>
            </w:r>
          </w:p>
        </w:tc>
        <w:tc>
          <w:tcPr>
            <w:tcW w:w="1385" w:type="dxa"/>
            <w:tcBorders>
              <w:top w:val="single" w:sz="4"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226.347</w:t>
            </w:r>
          </w:p>
        </w:tc>
        <w:tc>
          <w:tcPr>
            <w:tcW w:w="1092" w:type="dxa"/>
            <w:tcBorders>
              <w:top w:val="single" w:sz="4"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20</w:t>
            </w:r>
          </w:p>
        </w:tc>
        <w:tc>
          <w:tcPr>
            <w:tcW w:w="1134" w:type="dxa"/>
            <w:tcBorders>
              <w:top w:val="single" w:sz="4"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0</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Economía, Hacienda, Industria y Empleo</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528.361</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661.234</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132.873</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25</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Educación</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334.679</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339.927</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5.248</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Salud</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494.265</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522.986</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28.721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6</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Fomento</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102.194</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92.313</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-9.881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-10</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Desarrollo Rural, M. Ambiente y AL</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190.363</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183.639</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-6.724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-4</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Políticas Sociales</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130.022</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136.246</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6.224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5</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Cultura, Turismo y relaciones Institucionales</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17.934</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20.688</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2.754</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15</w:t>
            </w:r>
          </w:p>
        </w:tc>
      </w:tr>
      <w:tr w:rsidR="007E6AC4" w:rsidRPr="00A23456" w:rsidTr="0004712E">
        <w:trPr>
          <w:trHeight w:val="255"/>
          <w:jc w:val="center"/>
        </w:trPr>
        <w:tc>
          <w:tcPr>
            <w:tcW w:w="371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Consejo de Navarra</w:t>
            </w:r>
          </w:p>
        </w:tc>
        <w:tc>
          <w:tcPr>
            <w:tcW w:w="1470"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256</w:t>
            </w:r>
          </w:p>
        </w:tc>
        <w:tc>
          <w:tcPr>
            <w:tcW w:w="1385"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258</w:t>
            </w:r>
          </w:p>
        </w:tc>
        <w:tc>
          <w:tcPr>
            <w:tcW w:w="1092" w:type="dxa"/>
            <w:tcBorders>
              <w:top w:val="single" w:sz="2" w:space="0" w:color="auto"/>
              <w:left w:val="nil"/>
              <w:bottom w:val="single" w:sz="2"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w:t>
            </w:r>
          </w:p>
        </w:tc>
      </w:tr>
      <w:tr w:rsidR="007E6AC4" w:rsidRPr="00A23456" w:rsidTr="0004712E">
        <w:trPr>
          <w:trHeight w:val="255"/>
          <w:jc w:val="center"/>
        </w:trPr>
        <w:tc>
          <w:tcPr>
            <w:tcW w:w="3710" w:type="dxa"/>
            <w:tcBorders>
              <w:top w:val="single" w:sz="2" w:space="0" w:color="auto"/>
              <w:left w:val="nil"/>
              <w:bottom w:val="single" w:sz="4"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A23456">
              <w:rPr>
                <w:rFonts w:ascii="Arial Narrow" w:hAnsi="Arial Narrow"/>
                <w:spacing w:val="6"/>
                <w:sz w:val="19"/>
                <w:szCs w:val="19"/>
              </w:rPr>
              <w:t>Parlamento de Navarra</w:t>
            </w:r>
          </w:p>
        </w:tc>
        <w:tc>
          <w:tcPr>
            <w:tcW w:w="1470" w:type="dxa"/>
            <w:tcBorders>
              <w:top w:val="single" w:sz="2" w:space="0" w:color="auto"/>
              <w:left w:val="nil"/>
              <w:bottom w:val="single" w:sz="4"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8.735</w:t>
            </w:r>
          </w:p>
        </w:tc>
        <w:tc>
          <w:tcPr>
            <w:tcW w:w="1385" w:type="dxa"/>
            <w:tcBorders>
              <w:top w:val="single" w:sz="2" w:space="0" w:color="auto"/>
              <w:left w:val="nil"/>
              <w:bottom w:val="single" w:sz="4"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12.013</w:t>
            </w:r>
          </w:p>
        </w:tc>
        <w:tc>
          <w:tcPr>
            <w:tcW w:w="1092" w:type="dxa"/>
            <w:tcBorders>
              <w:top w:val="single" w:sz="2" w:space="0" w:color="auto"/>
              <w:left w:val="nil"/>
              <w:bottom w:val="single" w:sz="4" w:space="0" w:color="auto"/>
              <w:right w:val="nil"/>
            </w:tcBorders>
            <w:vAlign w:val="center"/>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3.278</w:t>
            </w:r>
          </w:p>
        </w:tc>
        <w:tc>
          <w:tcPr>
            <w:tcW w:w="1134" w:type="dxa"/>
            <w:tcBorders>
              <w:top w:val="single" w:sz="2" w:space="0" w:color="auto"/>
              <w:left w:val="nil"/>
              <w:bottom w:val="single" w:sz="4" w:space="0" w:color="auto"/>
              <w:right w:val="nil"/>
            </w:tcBorders>
            <w:shd w:val="clear" w:color="auto" w:fill="auto"/>
            <w:noWrap/>
            <w:vAlign w:val="center"/>
            <w:hideMark/>
          </w:tcPr>
          <w:p w:rsidR="007E6AC4" w:rsidRPr="00A23456"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A23456">
              <w:rPr>
                <w:rFonts w:ascii="Arial Narrow" w:hAnsi="Arial Narrow"/>
                <w:spacing w:val="6"/>
                <w:sz w:val="19"/>
                <w:szCs w:val="19"/>
              </w:rPr>
              <w:t>38</w:t>
            </w:r>
          </w:p>
        </w:tc>
      </w:tr>
      <w:tr w:rsidR="007E6AC4" w:rsidRPr="00F64FB5" w:rsidTr="00195087">
        <w:trPr>
          <w:trHeight w:val="312"/>
          <w:jc w:val="center"/>
        </w:trPr>
        <w:tc>
          <w:tcPr>
            <w:tcW w:w="371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cs="Arial"/>
                <w:spacing w:val="6"/>
                <w:sz w:val="18"/>
                <w:szCs w:val="18"/>
              </w:rPr>
              <w:t>Total</w:t>
            </w:r>
          </w:p>
        </w:tc>
        <w:tc>
          <w:tcPr>
            <w:tcW w:w="147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4FB5">
              <w:rPr>
                <w:rFonts w:ascii="Arial" w:hAnsi="Arial" w:cs="Arial"/>
                <w:spacing w:val="6"/>
                <w:sz w:val="18"/>
                <w:szCs w:val="18"/>
              </w:rPr>
              <w:t>2.033.135</w:t>
            </w:r>
          </w:p>
        </w:tc>
        <w:tc>
          <w:tcPr>
            <w:tcW w:w="13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4FB5">
              <w:rPr>
                <w:rFonts w:ascii="Arial" w:hAnsi="Arial" w:cs="Arial"/>
                <w:spacing w:val="6"/>
                <w:sz w:val="18"/>
                <w:szCs w:val="18"/>
              </w:rPr>
              <w:t>2.195.652</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7E6AC4" w:rsidRPr="00F64FB5"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4FB5">
              <w:rPr>
                <w:rFonts w:ascii="Arial" w:hAnsi="Arial" w:cs="Arial"/>
                <w:spacing w:val="6"/>
                <w:sz w:val="18"/>
                <w:szCs w:val="18"/>
              </w:rPr>
              <w:t>162.517</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64FB5"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4FB5">
              <w:rPr>
                <w:rFonts w:ascii="Arial" w:hAnsi="Arial" w:cs="Arial"/>
                <w:spacing w:val="6"/>
                <w:sz w:val="18"/>
                <w:szCs w:val="18"/>
              </w:rPr>
              <w:t>8</w:t>
            </w:r>
          </w:p>
        </w:tc>
      </w:tr>
    </w:tbl>
    <w:p w:rsidR="007E6AC4" w:rsidRPr="00F64FB5" w:rsidRDefault="007E6AC4" w:rsidP="00815CC6">
      <w:pPr>
        <w:tabs>
          <w:tab w:val="center" w:pos="2835"/>
          <w:tab w:val="center" w:pos="3969"/>
          <w:tab w:val="center" w:pos="5103"/>
          <w:tab w:val="center" w:pos="6237"/>
          <w:tab w:val="center" w:pos="7371"/>
        </w:tabs>
        <w:spacing w:before="260"/>
        <w:ind w:firstLine="284"/>
        <w:rPr>
          <w:sz w:val="24"/>
          <w:szCs w:val="24"/>
          <w:lang w:val="es-ES"/>
        </w:rPr>
      </w:pPr>
      <w:r w:rsidRPr="00F64FB5">
        <w:rPr>
          <w:sz w:val="24"/>
          <w:szCs w:val="24"/>
          <w:lang w:val="es-ES"/>
        </w:rPr>
        <w:t xml:space="preserve">Los mayores aumentos de gasto se observan en Economía </w:t>
      </w:r>
      <w:r>
        <w:rPr>
          <w:sz w:val="24"/>
          <w:szCs w:val="24"/>
          <w:lang w:val="es-ES"/>
        </w:rPr>
        <w:t>–</w:t>
      </w:r>
      <w:r w:rsidRPr="00F64FB5">
        <w:rPr>
          <w:sz w:val="24"/>
          <w:szCs w:val="24"/>
          <w:lang w:val="es-ES"/>
        </w:rPr>
        <w:t>133 millones</w:t>
      </w:r>
      <w:r>
        <w:rPr>
          <w:sz w:val="24"/>
          <w:szCs w:val="24"/>
          <w:lang w:val="es-ES"/>
        </w:rPr>
        <w:t>–</w:t>
      </w:r>
      <w:r w:rsidRPr="00F64FB5">
        <w:rPr>
          <w:sz w:val="24"/>
          <w:szCs w:val="24"/>
          <w:lang w:val="es-ES"/>
        </w:rPr>
        <w:t xml:space="preserve">, Salud </w:t>
      </w:r>
      <w:r>
        <w:rPr>
          <w:sz w:val="24"/>
          <w:szCs w:val="24"/>
          <w:lang w:val="es-ES"/>
        </w:rPr>
        <w:t>–</w:t>
      </w:r>
      <w:r w:rsidRPr="00F64FB5">
        <w:rPr>
          <w:sz w:val="24"/>
          <w:szCs w:val="24"/>
          <w:lang w:val="es-ES"/>
        </w:rPr>
        <w:t>29 millones</w:t>
      </w:r>
      <w:r>
        <w:rPr>
          <w:sz w:val="24"/>
          <w:szCs w:val="24"/>
          <w:lang w:val="es-ES"/>
        </w:rPr>
        <w:t>–</w:t>
      </w:r>
      <w:r w:rsidRPr="00F64FB5">
        <w:rPr>
          <w:sz w:val="24"/>
          <w:szCs w:val="24"/>
          <w:lang w:val="es-ES"/>
        </w:rPr>
        <w:t xml:space="preserve"> y Políticas Sociales </w:t>
      </w:r>
      <w:r>
        <w:rPr>
          <w:sz w:val="24"/>
          <w:szCs w:val="24"/>
          <w:lang w:val="es-ES"/>
        </w:rPr>
        <w:t>–</w:t>
      </w:r>
      <w:r w:rsidRPr="00F64FB5">
        <w:rPr>
          <w:sz w:val="24"/>
          <w:szCs w:val="24"/>
          <w:lang w:val="es-ES"/>
        </w:rPr>
        <w:t>6 millones</w:t>
      </w:r>
      <w:r>
        <w:rPr>
          <w:sz w:val="24"/>
          <w:szCs w:val="24"/>
          <w:lang w:val="es-ES"/>
        </w:rPr>
        <w:t xml:space="preserve">–; </w:t>
      </w:r>
      <w:r w:rsidRPr="00F64FB5">
        <w:rPr>
          <w:sz w:val="24"/>
          <w:szCs w:val="24"/>
          <w:lang w:val="es-ES"/>
        </w:rPr>
        <w:t>porcentualmente</w:t>
      </w:r>
      <w:r>
        <w:rPr>
          <w:sz w:val="24"/>
          <w:szCs w:val="24"/>
          <w:lang w:val="es-ES"/>
        </w:rPr>
        <w:t>,</w:t>
      </w:r>
      <w:r w:rsidRPr="00F64FB5">
        <w:rPr>
          <w:sz w:val="24"/>
          <w:szCs w:val="24"/>
          <w:lang w:val="es-ES"/>
        </w:rPr>
        <w:t xml:space="preserve"> además</w:t>
      </w:r>
      <w:r>
        <w:rPr>
          <w:sz w:val="24"/>
          <w:szCs w:val="24"/>
          <w:lang w:val="es-ES"/>
        </w:rPr>
        <w:t>,</w:t>
      </w:r>
      <w:r w:rsidRPr="00F64FB5">
        <w:rPr>
          <w:sz w:val="24"/>
          <w:szCs w:val="24"/>
          <w:lang w:val="es-ES"/>
        </w:rPr>
        <w:t xml:space="preserve"> destaca Cultura con un aumento del gasto del 15 por ciento. Las reducciones más relevantes se aprecian en Fomento </w:t>
      </w:r>
      <w:r>
        <w:rPr>
          <w:sz w:val="24"/>
          <w:szCs w:val="24"/>
          <w:lang w:val="es-ES"/>
        </w:rPr>
        <w:t>–</w:t>
      </w:r>
      <w:r w:rsidRPr="00F64FB5">
        <w:rPr>
          <w:sz w:val="24"/>
          <w:szCs w:val="24"/>
          <w:lang w:val="es-ES"/>
        </w:rPr>
        <w:t>10 millones</w:t>
      </w:r>
      <w:r>
        <w:rPr>
          <w:sz w:val="24"/>
          <w:szCs w:val="24"/>
          <w:lang w:val="es-ES"/>
        </w:rPr>
        <w:t>–</w:t>
      </w:r>
      <w:r w:rsidRPr="00F64FB5">
        <w:rPr>
          <w:sz w:val="24"/>
          <w:szCs w:val="24"/>
          <w:lang w:val="es-ES"/>
        </w:rPr>
        <w:t xml:space="preserve"> y Desarrollo Rural</w:t>
      </w:r>
      <w:r>
        <w:rPr>
          <w:sz w:val="24"/>
          <w:szCs w:val="24"/>
          <w:lang w:val="es-ES"/>
        </w:rPr>
        <w:t xml:space="preserve"> –</w:t>
      </w:r>
      <w:r w:rsidRPr="00F64FB5">
        <w:rPr>
          <w:sz w:val="24"/>
          <w:szCs w:val="24"/>
          <w:lang w:val="es-ES"/>
        </w:rPr>
        <w:t>7 millones</w:t>
      </w:r>
      <w:r>
        <w:rPr>
          <w:sz w:val="24"/>
          <w:szCs w:val="24"/>
          <w:lang w:val="es-ES"/>
        </w:rPr>
        <w:t>–</w:t>
      </w:r>
      <w:r w:rsidRPr="00F64FB5">
        <w:rPr>
          <w:sz w:val="24"/>
          <w:szCs w:val="24"/>
          <w:lang w:val="es-ES"/>
        </w:rPr>
        <w:t>.</w:t>
      </w:r>
    </w:p>
    <w:p w:rsidR="007E6AC4" w:rsidRPr="00F64FB5" w:rsidRDefault="007E6AC4" w:rsidP="00A23456">
      <w:pPr>
        <w:tabs>
          <w:tab w:val="center" w:pos="2835"/>
          <w:tab w:val="center" w:pos="3969"/>
          <w:tab w:val="center" w:pos="5103"/>
          <w:tab w:val="center" w:pos="6237"/>
          <w:tab w:val="center" w:pos="7371"/>
        </w:tabs>
        <w:spacing w:after="240"/>
        <w:ind w:firstLine="284"/>
        <w:rPr>
          <w:sz w:val="24"/>
          <w:szCs w:val="24"/>
        </w:rPr>
      </w:pPr>
      <w:r w:rsidRPr="00F64FB5">
        <w:rPr>
          <w:sz w:val="24"/>
          <w:szCs w:val="24"/>
          <w:lang w:val="es-ES"/>
        </w:rPr>
        <w:lastRenderedPageBreak/>
        <w:t>Los departamentos de Salud, Educación y Políticas Sociales han incrementado su gasto en un dos, seis y cinco por ciento, respectivamente.</w:t>
      </w:r>
    </w:p>
    <w:p w:rsidR="007E6AC4" w:rsidRPr="00F64FB5" w:rsidRDefault="007E6AC4" w:rsidP="007E6AC4">
      <w:pPr>
        <w:tabs>
          <w:tab w:val="center" w:pos="2835"/>
          <w:tab w:val="center" w:pos="3969"/>
          <w:tab w:val="center" w:pos="5103"/>
          <w:tab w:val="center" w:pos="6237"/>
          <w:tab w:val="center" w:pos="7371"/>
        </w:tabs>
        <w:ind w:firstLine="284"/>
        <w:rPr>
          <w:sz w:val="24"/>
          <w:szCs w:val="24"/>
        </w:rPr>
      </w:pPr>
      <w:proofErr w:type="gramStart"/>
      <w:r w:rsidRPr="00E27FFE">
        <w:rPr>
          <w:b/>
          <w:sz w:val="24"/>
          <w:szCs w:val="24"/>
        </w:rPr>
        <w:t>4</w:t>
      </w:r>
      <w:r w:rsidR="00B70868">
        <w:rPr>
          <w:b/>
          <w:sz w:val="24"/>
          <w:szCs w:val="24"/>
        </w:rPr>
        <w:t>.</w:t>
      </w:r>
      <w:r w:rsidRPr="00E27FFE">
        <w:rPr>
          <w:b/>
          <w:sz w:val="24"/>
          <w:szCs w:val="24"/>
        </w:rPr>
        <w:t>ª</w:t>
      </w:r>
      <w:proofErr w:type="gramEnd"/>
      <w:r w:rsidRPr="00F64FB5">
        <w:rPr>
          <w:sz w:val="24"/>
          <w:szCs w:val="24"/>
        </w:rPr>
        <w:t xml:space="preserve"> </w:t>
      </w:r>
      <w:r w:rsidRPr="00F64FB5">
        <w:rPr>
          <w:b/>
          <w:sz w:val="24"/>
          <w:szCs w:val="24"/>
        </w:rPr>
        <w:t>Ejecución presupuestaria del estado de ingresos</w:t>
      </w:r>
      <w:r w:rsidRPr="00F64FB5">
        <w:rPr>
          <w:sz w:val="24"/>
          <w:szCs w:val="24"/>
        </w:rPr>
        <w:t xml:space="preserve"> </w:t>
      </w:r>
      <w:r w:rsidRPr="00F64FB5">
        <w:rPr>
          <w:b/>
          <w:sz w:val="24"/>
          <w:szCs w:val="24"/>
        </w:rPr>
        <w:t>hasta el 31 de julio de 2015</w:t>
      </w:r>
      <w:r w:rsidRPr="00F64FB5">
        <w:rPr>
          <w:sz w:val="24"/>
          <w:szCs w:val="24"/>
        </w:rPr>
        <w:t>.</w:t>
      </w:r>
    </w:p>
    <w:p w:rsidR="007E6AC4" w:rsidRPr="00F64FB5" w:rsidRDefault="007E6AC4" w:rsidP="007E6AC4">
      <w:pPr>
        <w:tabs>
          <w:tab w:val="center" w:pos="2835"/>
          <w:tab w:val="center" w:pos="3969"/>
          <w:tab w:val="center" w:pos="5103"/>
          <w:tab w:val="center" w:pos="6237"/>
          <w:tab w:val="center" w:pos="7371"/>
        </w:tabs>
        <w:ind w:firstLine="284"/>
        <w:rPr>
          <w:sz w:val="24"/>
          <w:szCs w:val="24"/>
        </w:rPr>
      </w:pPr>
      <w:r w:rsidRPr="00F64FB5">
        <w:rPr>
          <w:sz w:val="24"/>
          <w:szCs w:val="24"/>
        </w:rPr>
        <w:t>Del análisis específico del cuadro 2, destacamos los siguientes aspectos</w:t>
      </w:r>
    </w:p>
    <w:p w:rsidR="007E6AC4" w:rsidRPr="00F64FB5" w:rsidRDefault="007E6AC4" w:rsidP="007E6AC4">
      <w:pPr>
        <w:numPr>
          <w:ilvl w:val="0"/>
          <w:numId w:val="16"/>
        </w:numPr>
        <w:tabs>
          <w:tab w:val="num" w:pos="300"/>
          <w:tab w:val="left" w:pos="480"/>
        </w:tabs>
        <w:spacing w:after="240"/>
        <w:ind w:firstLine="289"/>
        <w:rPr>
          <w:sz w:val="24"/>
          <w:szCs w:val="24"/>
          <w:lang w:val="es-ES"/>
        </w:rPr>
      </w:pPr>
      <w:r w:rsidRPr="00F64FB5">
        <w:rPr>
          <w:sz w:val="24"/>
          <w:szCs w:val="24"/>
          <w:lang w:val="es-ES"/>
        </w:rPr>
        <w:t xml:space="preserve">Respecto al grado realización global acumulado de ingresos </w:t>
      </w:r>
      <w:r>
        <w:rPr>
          <w:sz w:val="24"/>
          <w:szCs w:val="24"/>
          <w:lang w:val="es-ES"/>
        </w:rPr>
        <w:t>–</w:t>
      </w:r>
      <w:r w:rsidRPr="00F64FB5">
        <w:rPr>
          <w:sz w:val="24"/>
          <w:szCs w:val="24"/>
          <w:lang w:val="es-ES"/>
        </w:rPr>
        <w:t>57 por ciento</w:t>
      </w:r>
      <w:r>
        <w:rPr>
          <w:sz w:val="24"/>
          <w:szCs w:val="24"/>
          <w:lang w:val="es-ES"/>
        </w:rPr>
        <w:t>–</w:t>
      </w:r>
      <w:r w:rsidRPr="00F64FB5">
        <w:rPr>
          <w:sz w:val="24"/>
          <w:szCs w:val="24"/>
          <w:lang w:val="es-ES"/>
        </w:rPr>
        <w:t>, el cap</w:t>
      </w:r>
      <w:r w:rsidRPr="00F64FB5">
        <w:rPr>
          <w:sz w:val="24"/>
          <w:szCs w:val="24"/>
          <w:lang w:val="es-ES"/>
        </w:rPr>
        <w:t>í</w:t>
      </w:r>
      <w:r w:rsidRPr="00F64FB5">
        <w:rPr>
          <w:sz w:val="24"/>
          <w:szCs w:val="24"/>
          <w:lang w:val="es-ES"/>
        </w:rPr>
        <w:t>tulo que presenta un mayor porcentaje es el de pasivos financieros (nuevo endeudamiento) con el 96 por ciento; en consecuencia, dentro del periodo analizado se ha captado práct</w:t>
      </w:r>
      <w:r w:rsidRPr="00F64FB5">
        <w:rPr>
          <w:sz w:val="24"/>
          <w:szCs w:val="24"/>
          <w:lang w:val="es-ES"/>
        </w:rPr>
        <w:t>i</w:t>
      </w:r>
      <w:r w:rsidRPr="00F64FB5">
        <w:rPr>
          <w:sz w:val="24"/>
          <w:szCs w:val="24"/>
          <w:lang w:val="es-ES"/>
        </w:rPr>
        <w:t>camente la totalidad de recursos externos que contemplaba el presupuesto.</w:t>
      </w:r>
    </w:p>
    <w:p w:rsidR="007E6AC4" w:rsidRPr="00F64FB5" w:rsidRDefault="007E6AC4" w:rsidP="007E6AC4">
      <w:pPr>
        <w:tabs>
          <w:tab w:val="center" w:pos="2835"/>
          <w:tab w:val="center" w:pos="3969"/>
          <w:tab w:val="center" w:pos="5103"/>
          <w:tab w:val="center" w:pos="6237"/>
          <w:tab w:val="center" w:pos="7371"/>
        </w:tabs>
        <w:ind w:firstLine="284"/>
        <w:rPr>
          <w:sz w:val="24"/>
          <w:szCs w:val="24"/>
          <w:lang w:val="es-ES"/>
        </w:rPr>
      </w:pPr>
      <w:r w:rsidRPr="00F64FB5">
        <w:rPr>
          <w:sz w:val="24"/>
          <w:szCs w:val="24"/>
          <w:lang w:val="es-ES"/>
        </w:rPr>
        <w:t>Los capítulos de impuestos directos e indirectos ofrecen un valor de realización inferior al global, con un 53 y 51 por ciento, respectivamente.</w:t>
      </w:r>
    </w:p>
    <w:p w:rsidR="007E6AC4" w:rsidRDefault="007E6AC4" w:rsidP="007E6AC4">
      <w:pPr>
        <w:numPr>
          <w:ilvl w:val="0"/>
          <w:numId w:val="16"/>
        </w:numPr>
        <w:tabs>
          <w:tab w:val="num" w:pos="300"/>
          <w:tab w:val="left" w:pos="480"/>
        </w:tabs>
        <w:spacing w:after="0"/>
        <w:ind w:firstLine="290"/>
        <w:jc w:val="left"/>
        <w:rPr>
          <w:sz w:val="24"/>
          <w:szCs w:val="24"/>
          <w:lang w:val="es-ES"/>
        </w:rPr>
      </w:pPr>
      <w:r w:rsidRPr="00F64FB5">
        <w:rPr>
          <w:sz w:val="24"/>
          <w:szCs w:val="24"/>
          <w:lang w:val="es-ES"/>
        </w:rPr>
        <w:t>Por la naturaleza del ingresos, señalamos fundamentalmente:</w:t>
      </w:r>
    </w:p>
    <w:p w:rsidR="007E6AC4" w:rsidRPr="00F64FB5" w:rsidRDefault="007E6AC4" w:rsidP="007E6AC4">
      <w:pPr>
        <w:tabs>
          <w:tab w:val="left" w:pos="480"/>
        </w:tabs>
        <w:spacing w:after="0"/>
        <w:ind w:left="290" w:firstLine="0"/>
        <w:jc w:val="left"/>
        <w:rPr>
          <w:sz w:val="24"/>
          <w:szCs w:val="24"/>
          <w:lang w:val="es-ES"/>
        </w:rPr>
      </w:pPr>
    </w:p>
    <w:p w:rsidR="007E6AC4" w:rsidRPr="00F64FB5" w:rsidRDefault="007E6AC4" w:rsidP="007E6AC4">
      <w:pPr>
        <w:tabs>
          <w:tab w:val="center" w:pos="2835"/>
          <w:tab w:val="center" w:pos="3969"/>
          <w:tab w:val="center" w:pos="5103"/>
          <w:tab w:val="center" w:pos="6237"/>
          <w:tab w:val="center" w:pos="7371"/>
        </w:tabs>
        <w:ind w:firstLine="284"/>
        <w:rPr>
          <w:sz w:val="24"/>
          <w:szCs w:val="24"/>
          <w:lang w:val="es-ES"/>
        </w:rPr>
      </w:pPr>
      <w:r w:rsidRPr="00F64FB5">
        <w:rPr>
          <w:sz w:val="24"/>
          <w:szCs w:val="24"/>
          <w:lang w:val="es-ES"/>
        </w:rPr>
        <w:t>a) Los ingresos acumulados de naturaleza tributaria ascienden a 1.671 millones, lo que representa el 75 por ciento de</w:t>
      </w:r>
      <w:r>
        <w:rPr>
          <w:sz w:val="24"/>
          <w:szCs w:val="24"/>
          <w:lang w:val="es-ES"/>
        </w:rPr>
        <w:t>l</w:t>
      </w:r>
      <w:r w:rsidRPr="00F64FB5">
        <w:rPr>
          <w:sz w:val="24"/>
          <w:szCs w:val="24"/>
          <w:lang w:val="es-ES"/>
        </w:rPr>
        <w:t xml:space="preserve"> total del periodo.</w:t>
      </w:r>
    </w:p>
    <w:p w:rsidR="007E6AC4" w:rsidRPr="00F64FB5" w:rsidRDefault="007E6AC4" w:rsidP="007E6AC4">
      <w:pPr>
        <w:tabs>
          <w:tab w:val="center" w:pos="2835"/>
          <w:tab w:val="center" w:pos="3969"/>
          <w:tab w:val="center" w:pos="5103"/>
          <w:tab w:val="center" w:pos="6237"/>
          <w:tab w:val="center" w:pos="7371"/>
        </w:tabs>
        <w:ind w:firstLine="284"/>
        <w:rPr>
          <w:sz w:val="24"/>
          <w:szCs w:val="24"/>
          <w:lang w:val="es-ES"/>
        </w:rPr>
      </w:pPr>
      <w:r w:rsidRPr="00F64FB5">
        <w:rPr>
          <w:sz w:val="24"/>
          <w:szCs w:val="24"/>
          <w:lang w:val="es-ES"/>
        </w:rPr>
        <w:t>b) Los derechos por captación de nuevo endeudamiento ascienden a 446 millones, es decir, el 20 por ciento de los ingresos del periodo.</w:t>
      </w:r>
    </w:p>
    <w:p w:rsidR="007E6AC4" w:rsidRPr="00E27FFE" w:rsidRDefault="007E6AC4" w:rsidP="008217A0">
      <w:pPr>
        <w:numPr>
          <w:ilvl w:val="0"/>
          <w:numId w:val="16"/>
        </w:numPr>
        <w:tabs>
          <w:tab w:val="num" w:pos="300"/>
          <w:tab w:val="left" w:pos="480"/>
        </w:tabs>
        <w:spacing w:after="280"/>
        <w:ind w:firstLine="289"/>
        <w:rPr>
          <w:sz w:val="24"/>
          <w:szCs w:val="24"/>
          <w:lang w:val="es-ES"/>
        </w:rPr>
      </w:pPr>
      <w:r w:rsidRPr="00F64FB5">
        <w:rPr>
          <w:sz w:val="24"/>
          <w:szCs w:val="24"/>
          <w:lang w:val="es-ES"/>
        </w:rPr>
        <w:t>Ejecución de impuestos. En el cuadro siguiente se muestra</w:t>
      </w:r>
      <w:r>
        <w:rPr>
          <w:sz w:val="24"/>
          <w:szCs w:val="24"/>
          <w:lang w:val="es-ES"/>
        </w:rPr>
        <w:t>n</w:t>
      </w:r>
      <w:r w:rsidRPr="00F64FB5">
        <w:rPr>
          <w:sz w:val="24"/>
          <w:szCs w:val="24"/>
          <w:lang w:val="es-ES"/>
        </w:rPr>
        <w:t xml:space="preserve"> los derechos reconocidos acumulados por impuestos directos e indirectos</w:t>
      </w:r>
      <w:r>
        <w:rPr>
          <w:sz w:val="24"/>
          <w:szCs w:val="24"/>
          <w:lang w:val="es-ES"/>
        </w:rPr>
        <w:t>,</w:t>
      </w:r>
      <w:r w:rsidRPr="00F64FB5">
        <w:rPr>
          <w:sz w:val="24"/>
          <w:szCs w:val="24"/>
        </w:rPr>
        <w:t xml:space="preserve"> en miles de euros</w:t>
      </w:r>
      <w:r>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3545"/>
      </w:tblGrid>
      <w:tr w:rsidR="007E6AC4" w:rsidRPr="00800736" w:rsidTr="00195087">
        <w:trPr>
          <w:trHeight w:val="340"/>
          <w:jc w:val="center"/>
        </w:trPr>
        <w:tc>
          <w:tcPr>
            <w:tcW w:w="5145" w:type="dxa"/>
            <w:tcBorders>
              <w:left w:val="nil"/>
              <w:bottom w:val="single" w:sz="4" w:space="0" w:color="auto"/>
              <w:right w:val="nil"/>
            </w:tcBorders>
            <w:shd w:val="clear" w:color="auto" w:fill="8DB3E2" w:themeFill="text2" w:themeFillTint="66"/>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right="-6" w:firstLine="0"/>
              <w:jc w:val="left"/>
              <w:rPr>
                <w:rFonts w:ascii="Arial" w:eastAsia="Calibri" w:hAnsi="Arial" w:cs="Arial"/>
                <w:sz w:val="18"/>
                <w:szCs w:val="18"/>
              </w:rPr>
            </w:pPr>
            <w:r w:rsidRPr="00800736">
              <w:rPr>
                <w:rFonts w:ascii="Arial" w:eastAsia="Calibri" w:hAnsi="Arial" w:cs="Arial"/>
                <w:sz w:val="18"/>
                <w:szCs w:val="18"/>
              </w:rPr>
              <w:t>Impuestos</w:t>
            </w:r>
          </w:p>
        </w:tc>
        <w:tc>
          <w:tcPr>
            <w:tcW w:w="3545" w:type="dxa"/>
            <w:tcBorders>
              <w:left w:val="nil"/>
              <w:bottom w:val="single" w:sz="4" w:space="0" w:color="auto"/>
              <w:right w:val="nil"/>
            </w:tcBorders>
            <w:shd w:val="clear" w:color="auto" w:fill="8DB3E2" w:themeFill="text2" w:themeFillTint="66"/>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right="-6" w:firstLine="0"/>
              <w:jc w:val="right"/>
              <w:rPr>
                <w:rFonts w:ascii="Arial" w:eastAsia="Calibri" w:hAnsi="Arial" w:cs="Arial"/>
                <w:sz w:val="18"/>
                <w:szCs w:val="18"/>
              </w:rPr>
            </w:pPr>
            <w:r w:rsidRPr="00800736">
              <w:rPr>
                <w:rFonts w:ascii="Arial" w:eastAsia="Calibri" w:hAnsi="Arial" w:cs="Arial"/>
                <w:sz w:val="18"/>
                <w:szCs w:val="18"/>
              </w:rPr>
              <w:t>Derechos reconocidos julio 15</w:t>
            </w:r>
          </w:p>
        </w:tc>
      </w:tr>
      <w:tr w:rsidR="007E6AC4" w:rsidRPr="00800736" w:rsidTr="009C1354">
        <w:trPr>
          <w:trHeight w:val="255"/>
          <w:jc w:val="center"/>
        </w:trPr>
        <w:tc>
          <w:tcPr>
            <w:tcW w:w="5145" w:type="dxa"/>
            <w:tcBorders>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IRPF</w:t>
            </w:r>
          </w:p>
        </w:tc>
        <w:tc>
          <w:tcPr>
            <w:tcW w:w="3545" w:type="dxa"/>
            <w:tcBorders>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627.984</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No residentes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4.874</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Sociedades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62.759</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Patrimonio</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41.613</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Sucesiones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37.252</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Otros y extinguidos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20</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i/>
                <w:spacing w:val="6"/>
                <w:szCs w:val="24"/>
              </w:rPr>
            </w:pPr>
            <w:r w:rsidRPr="00800736">
              <w:rPr>
                <w:rFonts w:ascii="Arial Narrow" w:eastAsia="Calibri" w:hAnsi="Arial Narrow"/>
                <w:i/>
                <w:spacing w:val="6"/>
                <w:szCs w:val="24"/>
              </w:rPr>
              <w:t xml:space="preserve">Total </w:t>
            </w:r>
            <w:r>
              <w:rPr>
                <w:rFonts w:ascii="Arial Narrow" w:eastAsia="Calibri" w:hAnsi="Arial Narrow"/>
                <w:i/>
                <w:spacing w:val="6"/>
                <w:szCs w:val="24"/>
              </w:rPr>
              <w:t xml:space="preserve">Impuestos </w:t>
            </w:r>
            <w:r w:rsidRPr="00800736">
              <w:rPr>
                <w:rFonts w:ascii="Arial Narrow" w:eastAsia="Calibri" w:hAnsi="Arial Narrow"/>
                <w:i/>
                <w:spacing w:val="6"/>
                <w:szCs w:val="24"/>
              </w:rPr>
              <w:t>directos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i/>
                <w:spacing w:val="6"/>
                <w:szCs w:val="24"/>
              </w:rPr>
            </w:pPr>
            <w:r w:rsidRPr="00800736">
              <w:rPr>
                <w:rFonts w:ascii="Arial Narrow" w:eastAsia="Calibri" w:hAnsi="Arial Narrow"/>
                <w:i/>
                <w:spacing w:val="6"/>
                <w:szCs w:val="24"/>
              </w:rPr>
              <w:t>774.502</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Ajustes Convenio Econ.</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342.805</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IVA gestión directa</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230.192</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Especiales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222.813</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Primas de seguro</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11.711</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Transmisiones y AAJJDD</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25.481</w:t>
            </w:r>
          </w:p>
        </w:tc>
      </w:tr>
      <w:tr w:rsidR="007E6AC4" w:rsidRPr="00800736" w:rsidTr="009C1354">
        <w:trPr>
          <w:trHeight w:val="255"/>
          <w:jc w:val="center"/>
        </w:trPr>
        <w:tc>
          <w:tcPr>
            <w:tcW w:w="51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spacing w:val="6"/>
                <w:szCs w:val="24"/>
              </w:rPr>
            </w:pPr>
            <w:r w:rsidRPr="00800736">
              <w:rPr>
                <w:rFonts w:ascii="Arial Narrow" w:eastAsia="Calibri" w:hAnsi="Arial Narrow"/>
                <w:spacing w:val="6"/>
                <w:szCs w:val="24"/>
              </w:rPr>
              <w:t>Minorista hidrocarburos</w:t>
            </w:r>
          </w:p>
        </w:tc>
        <w:tc>
          <w:tcPr>
            <w:tcW w:w="3545" w:type="dxa"/>
            <w:tcBorders>
              <w:top w:val="single" w:sz="2" w:space="0" w:color="auto"/>
              <w:left w:val="nil"/>
              <w:bottom w:val="single" w:sz="2"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spacing w:val="6"/>
                <w:szCs w:val="24"/>
              </w:rPr>
            </w:pPr>
            <w:r w:rsidRPr="00800736">
              <w:rPr>
                <w:rFonts w:ascii="Arial Narrow" w:eastAsia="Calibri" w:hAnsi="Arial Narrow"/>
                <w:spacing w:val="6"/>
                <w:szCs w:val="24"/>
              </w:rPr>
              <w:t>-5.002</w:t>
            </w:r>
          </w:p>
        </w:tc>
      </w:tr>
      <w:tr w:rsidR="007E6AC4" w:rsidRPr="00800736" w:rsidTr="008217A0">
        <w:trPr>
          <w:trHeight w:val="255"/>
          <w:jc w:val="center"/>
        </w:trPr>
        <w:tc>
          <w:tcPr>
            <w:tcW w:w="5145" w:type="dxa"/>
            <w:tcBorders>
              <w:top w:val="single" w:sz="2" w:space="0" w:color="auto"/>
              <w:left w:val="nil"/>
              <w:bottom w:val="single" w:sz="4"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Narrow" w:eastAsia="Calibri" w:hAnsi="Arial Narrow"/>
                <w:i/>
                <w:spacing w:val="6"/>
                <w:szCs w:val="24"/>
              </w:rPr>
            </w:pPr>
            <w:r w:rsidRPr="00800736">
              <w:rPr>
                <w:rFonts w:ascii="Arial Narrow" w:eastAsia="Calibri" w:hAnsi="Arial Narrow"/>
                <w:i/>
                <w:spacing w:val="6"/>
                <w:szCs w:val="24"/>
              </w:rPr>
              <w:t>Total</w:t>
            </w:r>
            <w:r>
              <w:rPr>
                <w:rFonts w:ascii="Arial Narrow" w:eastAsia="Calibri" w:hAnsi="Arial Narrow"/>
                <w:i/>
                <w:spacing w:val="6"/>
                <w:szCs w:val="24"/>
              </w:rPr>
              <w:t xml:space="preserve"> Impuestos</w:t>
            </w:r>
            <w:r w:rsidRPr="00800736">
              <w:rPr>
                <w:rFonts w:ascii="Arial Narrow" w:eastAsia="Calibri" w:hAnsi="Arial Narrow"/>
                <w:i/>
                <w:spacing w:val="6"/>
                <w:szCs w:val="24"/>
              </w:rPr>
              <w:t xml:space="preserve"> indirectos</w:t>
            </w:r>
          </w:p>
        </w:tc>
        <w:tc>
          <w:tcPr>
            <w:tcW w:w="3545" w:type="dxa"/>
            <w:tcBorders>
              <w:top w:val="single" w:sz="2" w:space="0" w:color="auto"/>
              <w:left w:val="nil"/>
              <w:bottom w:val="single" w:sz="4" w:space="0" w:color="auto"/>
              <w:right w:val="nil"/>
            </w:tcBorders>
            <w:shd w:val="clear" w:color="auto" w:fill="auto"/>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Narrow" w:eastAsia="Calibri" w:hAnsi="Arial Narrow"/>
                <w:i/>
                <w:spacing w:val="6"/>
                <w:szCs w:val="24"/>
              </w:rPr>
            </w:pPr>
            <w:r w:rsidRPr="00800736">
              <w:rPr>
                <w:rFonts w:ascii="Arial Narrow" w:eastAsia="Calibri" w:hAnsi="Arial Narrow"/>
                <w:i/>
                <w:spacing w:val="6"/>
                <w:szCs w:val="24"/>
              </w:rPr>
              <w:t>828.000</w:t>
            </w:r>
          </w:p>
        </w:tc>
      </w:tr>
      <w:tr w:rsidR="007E6AC4" w:rsidRPr="00800736" w:rsidTr="00195087">
        <w:trPr>
          <w:trHeight w:val="312"/>
          <w:jc w:val="center"/>
        </w:trPr>
        <w:tc>
          <w:tcPr>
            <w:tcW w:w="5145" w:type="dxa"/>
            <w:tcBorders>
              <w:left w:val="nil"/>
              <w:right w:val="nil"/>
            </w:tcBorders>
            <w:shd w:val="clear" w:color="auto" w:fill="8DB3E2" w:themeFill="text2" w:themeFillTint="66"/>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rPr>
                <w:rFonts w:ascii="Arial" w:eastAsia="Calibri" w:hAnsi="Arial" w:cs="Arial"/>
                <w:spacing w:val="6"/>
                <w:sz w:val="18"/>
                <w:szCs w:val="18"/>
              </w:rPr>
            </w:pPr>
            <w:r w:rsidRPr="00800736">
              <w:rPr>
                <w:rFonts w:ascii="Arial" w:eastAsia="Calibri" w:hAnsi="Arial" w:cs="Arial"/>
                <w:spacing w:val="6"/>
                <w:sz w:val="18"/>
                <w:szCs w:val="18"/>
              </w:rPr>
              <w:t>Total</w:t>
            </w:r>
            <w:r>
              <w:rPr>
                <w:rFonts w:ascii="Arial" w:eastAsia="Calibri" w:hAnsi="Arial" w:cs="Arial"/>
                <w:spacing w:val="6"/>
                <w:sz w:val="18"/>
                <w:szCs w:val="18"/>
              </w:rPr>
              <w:t xml:space="preserve"> Impuestos</w:t>
            </w:r>
          </w:p>
        </w:tc>
        <w:tc>
          <w:tcPr>
            <w:tcW w:w="3545" w:type="dxa"/>
            <w:tcBorders>
              <w:left w:val="nil"/>
              <w:right w:val="nil"/>
            </w:tcBorders>
            <w:shd w:val="clear" w:color="auto" w:fill="8DB3E2" w:themeFill="text2" w:themeFillTint="66"/>
            <w:noWrap/>
            <w:vAlign w:val="center"/>
            <w:hideMark/>
          </w:tcPr>
          <w:p w:rsidR="007E6AC4" w:rsidRPr="00800736" w:rsidRDefault="007E6AC4" w:rsidP="009C1354">
            <w:pPr>
              <w:keepLines/>
              <w:tabs>
                <w:tab w:val="right" w:pos="2835"/>
                <w:tab w:val="right" w:pos="3969"/>
                <w:tab w:val="right" w:pos="5103"/>
                <w:tab w:val="right" w:pos="6237"/>
                <w:tab w:val="right" w:pos="7371"/>
              </w:tabs>
              <w:spacing w:after="0"/>
              <w:ind w:firstLine="0"/>
              <w:jc w:val="right"/>
              <w:rPr>
                <w:rFonts w:ascii="Arial" w:eastAsia="Calibri" w:hAnsi="Arial" w:cs="Arial"/>
                <w:spacing w:val="6"/>
                <w:sz w:val="18"/>
                <w:szCs w:val="18"/>
              </w:rPr>
            </w:pPr>
            <w:r w:rsidRPr="00800736">
              <w:rPr>
                <w:rFonts w:ascii="Arial" w:eastAsia="Calibri" w:hAnsi="Arial" w:cs="Arial"/>
                <w:spacing w:val="6"/>
                <w:sz w:val="18"/>
                <w:szCs w:val="18"/>
              </w:rPr>
              <w:t>1.602.502</w:t>
            </w:r>
          </w:p>
        </w:tc>
      </w:tr>
    </w:tbl>
    <w:p w:rsidR="007E6AC4" w:rsidRPr="00DF229E" w:rsidRDefault="007E6AC4" w:rsidP="008217A0">
      <w:pPr>
        <w:tabs>
          <w:tab w:val="center" w:pos="2835"/>
          <w:tab w:val="center" w:pos="3969"/>
          <w:tab w:val="center" w:pos="5103"/>
          <w:tab w:val="center" w:pos="6237"/>
          <w:tab w:val="center" w:pos="7371"/>
        </w:tabs>
        <w:spacing w:before="280"/>
        <w:ind w:firstLine="284"/>
        <w:rPr>
          <w:sz w:val="24"/>
          <w:szCs w:val="24"/>
          <w:lang w:val="es-ES"/>
        </w:rPr>
      </w:pPr>
      <w:r w:rsidRPr="00DF229E">
        <w:rPr>
          <w:sz w:val="24"/>
          <w:szCs w:val="24"/>
          <w:lang w:val="es-ES"/>
        </w:rPr>
        <w:t>Es decir, IRPF junto con los ajustes del Convenio, IVA gestión directa y especiales e</w:t>
      </w:r>
      <w:r w:rsidRPr="00DF229E">
        <w:rPr>
          <w:sz w:val="24"/>
          <w:szCs w:val="24"/>
          <w:lang w:val="es-ES"/>
        </w:rPr>
        <w:t>x</w:t>
      </w:r>
      <w:r w:rsidRPr="00DF229E">
        <w:rPr>
          <w:sz w:val="24"/>
          <w:szCs w:val="24"/>
          <w:lang w:val="es-ES"/>
        </w:rPr>
        <w:t xml:space="preserve">plican prácticamente el 89 por ciento de los derechos reconocidos por impuestos. </w:t>
      </w:r>
    </w:p>
    <w:p w:rsidR="007E6AC4" w:rsidRPr="00DF229E" w:rsidRDefault="007E6AC4" w:rsidP="008217A0">
      <w:pPr>
        <w:numPr>
          <w:ilvl w:val="0"/>
          <w:numId w:val="16"/>
        </w:numPr>
        <w:tabs>
          <w:tab w:val="num" w:pos="300"/>
          <w:tab w:val="left" w:pos="480"/>
        </w:tabs>
        <w:spacing w:after="360"/>
        <w:ind w:firstLine="289"/>
        <w:rPr>
          <w:sz w:val="24"/>
          <w:szCs w:val="24"/>
          <w:lang w:val="es-ES"/>
        </w:rPr>
      </w:pPr>
      <w:r w:rsidRPr="00DF229E">
        <w:rPr>
          <w:sz w:val="24"/>
          <w:szCs w:val="24"/>
          <w:lang w:val="es-ES"/>
        </w:rPr>
        <w:t>La recaudación neta representa el 81 por ciento de los derechos reconocidos; supera este porcentaje los pasivos financieros con un 100 por cien. Los impuestos directos e ind</w:t>
      </w:r>
      <w:r w:rsidRPr="00DF229E">
        <w:rPr>
          <w:sz w:val="24"/>
          <w:szCs w:val="24"/>
          <w:lang w:val="es-ES"/>
        </w:rPr>
        <w:t>i</w:t>
      </w:r>
      <w:r w:rsidRPr="00DF229E">
        <w:rPr>
          <w:sz w:val="24"/>
          <w:szCs w:val="24"/>
          <w:lang w:val="es-ES"/>
        </w:rPr>
        <w:t>rectos presentan un porcentaje de recaudación del 74 y 80 por ciento, respectivamente.</w:t>
      </w:r>
    </w:p>
    <w:p w:rsidR="007E6AC4" w:rsidRPr="00DF229E" w:rsidRDefault="007E6AC4" w:rsidP="007E6AC4">
      <w:pPr>
        <w:tabs>
          <w:tab w:val="center" w:pos="2835"/>
          <w:tab w:val="center" w:pos="3969"/>
          <w:tab w:val="center" w:pos="5103"/>
          <w:tab w:val="center" w:pos="6237"/>
          <w:tab w:val="center" w:pos="7371"/>
        </w:tabs>
        <w:ind w:firstLine="284"/>
        <w:rPr>
          <w:b/>
          <w:sz w:val="24"/>
          <w:szCs w:val="24"/>
        </w:rPr>
      </w:pPr>
      <w:proofErr w:type="gramStart"/>
      <w:r w:rsidRPr="00DF229E">
        <w:rPr>
          <w:b/>
          <w:sz w:val="24"/>
          <w:szCs w:val="24"/>
        </w:rPr>
        <w:lastRenderedPageBreak/>
        <w:t>5</w:t>
      </w:r>
      <w:r w:rsidR="00353FCB">
        <w:rPr>
          <w:b/>
          <w:sz w:val="24"/>
          <w:szCs w:val="24"/>
        </w:rPr>
        <w:t>.</w:t>
      </w:r>
      <w:r w:rsidRPr="00DF229E">
        <w:rPr>
          <w:b/>
          <w:sz w:val="24"/>
          <w:szCs w:val="24"/>
        </w:rPr>
        <w:t>ª</w:t>
      </w:r>
      <w:proofErr w:type="gramEnd"/>
      <w:r w:rsidRPr="00DF229E">
        <w:rPr>
          <w:b/>
          <w:sz w:val="24"/>
          <w:szCs w:val="24"/>
        </w:rPr>
        <w:t xml:space="preserve"> Ejecución presupuestaria del estado de ingresos hasta el 31 de julio de 2015 y su comparación con el mismo periodo de 2014.</w:t>
      </w:r>
    </w:p>
    <w:p w:rsidR="007E6AC4" w:rsidRPr="00DF229E" w:rsidRDefault="007E6AC4" w:rsidP="007E6AC4">
      <w:pPr>
        <w:numPr>
          <w:ilvl w:val="0"/>
          <w:numId w:val="16"/>
        </w:numPr>
        <w:tabs>
          <w:tab w:val="num" w:pos="300"/>
          <w:tab w:val="left" w:pos="480"/>
        </w:tabs>
        <w:spacing w:after="0"/>
        <w:ind w:firstLine="290"/>
        <w:rPr>
          <w:sz w:val="24"/>
          <w:szCs w:val="24"/>
          <w:lang w:val="es-ES"/>
        </w:rPr>
      </w:pPr>
      <w:r w:rsidRPr="00DF229E">
        <w:rPr>
          <w:sz w:val="24"/>
          <w:szCs w:val="24"/>
          <w:lang w:val="es-ES"/>
        </w:rPr>
        <w:t>En ese periodo, los ingresos reconocidos acumulados se han incrementado en un ci</w:t>
      </w:r>
      <w:r w:rsidRPr="00DF229E">
        <w:rPr>
          <w:sz w:val="24"/>
          <w:szCs w:val="24"/>
          <w:lang w:val="es-ES"/>
        </w:rPr>
        <w:t>n</w:t>
      </w:r>
      <w:r w:rsidRPr="00DF229E">
        <w:rPr>
          <w:sz w:val="24"/>
          <w:szCs w:val="24"/>
          <w:lang w:val="es-ES"/>
        </w:rPr>
        <w:t>co por ciento, es decir, en 105 millones, de acuerdo con el siguiente detalle</w:t>
      </w:r>
      <w:r>
        <w:rPr>
          <w:sz w:val="24"/>
          <w:szCs w:val="24"/>
          <w:lang w:val="es-ES"/>
        </w:rPr>
        <w:t xml:space="preserve">, </w:t>
      </w:r>
      <w:r w:rsidRPr="00DF229E">
        <w:rPr>
          <w:sz w:val="24"/>
          <w:szCs w:val="24"/>
        </w:rPr>
        <w:t>en miles de euros</w:t>
      </w:r>
      <w:r>
        <w:rPr>
          <w:sz w:val="24"/>
          <w:szCs w:val="24"/>
        </w:rPr>
        <w:t>.</w:t>
      </w:r>
    </w:p>
    <w:p w:rsidR="007E6AC4" w:rsidRPr="008217A0" w:rsidRDefault="007E6AC4" w:rsidP="008217A0">
      <w:pPr>
        <w:tabs>
          <w:tab w:val="left" w:pos="480"/>
          <w:tab w:val="num" w:pos="600"/>
        </w:tabs>
        <w:spacing w:after="40"/>
        <w:ind w:left="289" w:firstLine="0"/>
        <w:rPr>
          <w:sz w:val="16"/>
          <w:szCs w:val="16"/>
          <w:lang w:val="es-ES"/>
        </w:rPr>
      </w:pPr>
    </w:p>
    <w:tbl>
      <w:tblPr>
        <w:tblW w:w="8744" w:type="dxa"/>
        <w:tblInd w:w="70" w:type="dxa"/>
        <w:tblCellMar>
          <w:left w:w="70" w:type="dxa"/>
          <w:right w:w="70" w:type="dxa"/>
        </w:tblCellMar>
        <w:tblLook w:val="04A0" w:firstRow="1" w:lastRow="0" w:firstColumn="1" w:lastColumn="0" w:noHBand="0" w:noVBand="1"/>
      </w:tblPr>
      <w:tblGrid>
        <w:gridCol w:w="2548"/>
        <w:gridCol w:w="1051"/>
        <w:gridCol w:w="1134"/>
        <w:gridCol w:w="986"/>
        <w:gridCol w:w="1085"/>
        <w:gridCol w:w="993"/>
        <w:gridCol w:w="947"/>
      </w:tblGrid>
      <w:tr w:rsidR="007E6AC4" w:rsidRPr="00DF229E" w:rsidTr="00195087">
        <w:trPr>
          <w:trHeight w:val="255"/>
        </w:trPr>
        <w:tc>
          <w:tcPr>
            <w:tcW w:w="254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7"/>
                <w:szCs w:val="17"/>
              </w:rPr>
            </w:pPr>
            <w:r w:rsidRPr="00DF229E">
              <w:rPr>
                <w:rFonts w:ascii="Arial" w:hAnsi="Arial" w:cs="Arial"/>
                <w:sz w:val="17"/>
                <w:szCs w:val="17"/>
              </w:rPr>
              <w:br w:type="page"/>
            </w:r>
            <w:r w:rsidRPr="00DF229E">
              <w:rPr>
                <w:rFonts w:ascii="Arial" w:hAnsi="Arial" w:cs="Arial"/>
                <w:sz w:val="17"/>
                <w:szCs w:val="17"/>
                <w:lang w:val="es-ES"/>
              </w:rPr>
              <w:br w:type="page"/>
            </w:r>
            <w:r w:rsidRPr="00DF229E">
              <w:rPr>
                <w:rFonts w:ascii="Arial" w:hAnsi="Arial" w:cs="Arial"/>
                <w:sz w:val="17"/>
                <w:szCs w:val="17"/>
              </w:rPr>
              <w:t>Capítulos de ingresos</w:t>
            </w:r>
          </w:p>
        </w:tc>
        <w:tc>
          <w:tcPr>
            <w:tcW w:w="10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Derechos reconocidos</w:t>
            </w:r>
          </w:p>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Julio 14</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Derechos reconocidos</w:t>
            </w:r>
          </w:p>
          <w:p w:rsidR="007E6AC4" w:rsidRPr="00DF229E" w:rsidRDefault="008217A0"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 xml:space="preserve">Julio </w:t>
            </w:r>
            <w:r w:rsidR="007E6AC4" w:rsidRPr="00DF229E">
              <w:rPr>
                <w:rFonts w:ascii="Arial" w:hAnsi="Arial" w:cs="Arial"/>
                <w:sz w:val="17"/>
                <w:szCs w:val="17"/>
              </w:rPr>
              <w:t>15</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+/-derechos</w:t>
            </w:r>
          </w:p>
        </w:tc>
        <w:tc>
          <w:tcPr>
            <w:tcW w:w="10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 variación derechos 15/14</w:t>
            </w:r>
          </w:p>
        </w:tc>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 xml:space="preserve">% </w:t>
            </w:r>
            <w:proofErr w:type="spellStart"/>
            <w:r w:rsidRPr="00DF229E">
              <w:rPr>
                <w:rFonts w:ascii="Arial" w:hAnsi="Arial" w:cs="Arial"/>
                <w:sz w:val="17"/>
                <w:szCs w:val="17"/>
              </w:rPr>
              <w:t>realiz</w:t>
            </w:r>
            <w:proofErr w:type="spellEnd"/>
            <w:r>
              <w:rPr>
                <w:rFonts w:ascii="Arial" w:hAnsi="Arial" w:cs="Arial"/>
                <w:sz w:val="17"/>
                <w:szCs w:val="17"/>
              </w:rPr>
              <w:t xml:space="preserve">. </w:t>
            </w:r>
            <w:r w:rsidR="008217A0" w:rsidRPr="00DF229E">
              <w:rPr>
                <w:rFonts w:ascii="Arial" w:hAnsi="Arial" w:cs="Arial"/>
                <w:sz w:val="17"/>
                <w:szCs w:val="17"/>
              </w:rPr>
              <w:t xml:space="preserve">Julio </w:t>
            </w:r>
            <w:r w:rsidRPr="00DF229E">
              <w:rPr>
                <w:rFonts w:ascii="Arial" w:hAnsi="Arial" w:cs="Arial"/>
                <w:sz w:val="17"/>
                <w:szCs w:val="17"/>
              </w:rPr>
              <w:t>14</w:t>
            </w:r>
          </w:p>
        </w:tc>
        <w:tc>
          <w:tcPr>
            <w:tcW w:w="947"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DF229E">
              <w:rPr>
                <w:rFonts w:ascii="Arial" w:hAnsi="Arial" w:cs="Arial"/>
                <w:sz w:val="17"/>
                <w:szCs w:val="17"/>
              </w:rPr>
              <w:t xml:space="preserve">% </w:t>
            </w:r>
            <w:proofErr w:type="spellStart"/>
            <w:r w:rsidRPr="00DF229E">
              <w:rPr>
                <w:rFonts w:ascii="Arial" w:hAnsi="Arial" w:cs="Arial"/>
                <w:sz w:val="17"/>
                <w:szCs w:val="17"/>
              </w:rPr>
              <w:t>realiz</w:t>
            </w:r>
            <w:proofErr w:type="spellEnd"/>
            <w:r>
              <w:rPr>
                <w:rFonts w:ascii="Arial" w:hAnsi="Arial" w:cs="Arial"/>
                <w:sz w:val="17"/>
                <w:szCs w:val="17"/>
              </w:rPr>
              <w:t xml:space="preserve">. </w:t>
            </w:r>
            <w:r w:rsidR="008217A0" w:rsidRPr="00DF229E">
              <w:rPr>
                <w:rFonts w:ascii="Arial" w:hAnsi="Arial" w:cs="Arial"/>
                <w:sz w:val="17"/>
                <w:szCs w:val="17"/>
              </w:rPr>
              <w:t xml:space="preserve">Julio </w:t>
            </w:r>
            <w:r w:rsidRPr="00DF229E">
              <w:rPr>
                <w:rFonts w:ascii="Arial" w:hAnsi="Arial" w:cs="Arial"/>
                <w:sz w:val="17"/>
                <w:szCs w:val="17"/>
              </w:rPr>
              <w:t>15</w:t>
            </w:r>
          </w:p>
        </w:tc>
      </w:tr>
      <w:tr w:rsidR="007E6AC4" w:rsidRPr="008217A0" w:rsidTr="00D73A91">
        <w:trPr>
          <w:trHeight w:val="284"/>
        </w:trPr>
        <w:tc>
          <w:tcPr>
            <w:tcW w:w="2548"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Impuestos directos</w:t>
            </w:r>
          </w:p>
        </w:tc>
        <w:tc>
          <w:tcPr>
            <w:tcW w:w="1051"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721.844</w:t>
            </w:r>
          </w:p>
        </w:tc>
        <w:tc>
          <w:tcPr>
            <w:tcW w:w="1134"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774.502</w:t>
            </w:r>
          </w:p>
        </w:tc>
        <w:tc>
          <w:tcPr>
            <w:tcW w:w="986" w:type="dxa"/>
            <w:tcBorders>
              <w:top w:val="single" w:sz="4"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52.658</w:t>
            </w:r>
          </w:p>
        </w:tc>
        <w:tc>
          <w:tcPr>
            <w:tcW w:w="1085"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w:t>
            </w:r>
          </w:p>
        </w:tc>
        <w:tc>
          <w:tcPr>
            <w:tcW w:w="993"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50</w:t>
            </w:r>
          </w:p>
        </w:tc>
        <w:tc>
          <w:tcPr>
            <w:tcW w:w="947" w:type="dxa"/>
            <w:tcBorders>
              <w:top w:val="single" w:sz="4"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53</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Impuestos indirectos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879.649</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828.000</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-51.649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-6</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51</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Tasas y precios públicos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75.667</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68.167</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-7.500</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62</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Transferencias corrientes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9.650</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16.744</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7.094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14</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36</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Ingresos patrimoniales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7.202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7.131</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-71</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72</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96</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9"/>
                <w:szCs w:val="19"/>
              </w:rPr>
            </w:pPr>
            <w:r w:rsidRPr="008217A0">
              <w:rPr>
                <w:rFonts w:ascii="Arial Narrow" w:hAnsi="Arial Narrow"/>
                <w:i/>
                <w:spacing w:val="6"/>
                <w:sz w:val="19"/>
                <w:szCs w:val="19"/>
              </w:rPr>
              <w:t>Total ingresos Corrientes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1.694.012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1.694.544</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532</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50</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52</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Enajenación de inversiones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1.821</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287</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-1.534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-84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18</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16</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Transferencias capital</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26.692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34.830</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8.138</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30</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152</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76</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9"/>
                <w:szCs w:val="19"/>
              </w:rPr>
            </w:pPr>
            <w:r w:rsidRPr="008217A0">
              <w:rPr>
                <w:rFonts w:ascii="Arial Narrow" w:hAnsi="Arial Narrow"/>
                <w:i/>
                <w:spacing w:val="6"/>
                <w:sz w:val="19"/>
                <w:szCs w:val="19"/>
              </w:rPr>
              <w:t>Total ingresos Capital</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28.513</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35.117</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6.604</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23</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104</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73</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Activos financieros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54.207</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61.686</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7.479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14</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56</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43</w:t>
            </w:r>
          </w:p>
        </w:tc>
      </w:tr>
      <w:tr w:rsidR="007E6AC4" w:rsidRPr="008217A0" w:rsidTr="00D73A91">
        <w:trPr>
          <w:trHeight w:val="284"/>
        </w:trPr>
        <w:tc>
          <w:tcPr>
            <w:tcW w:w="2548"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 w:val="19"/>
                <w:szCs w:val="19"/>
              </w:rPr>
            </w:pPr>
            <w:r w:rsidRPr="008217A0">
              <w:rPr>
                <w:rFonts w:ascii="Arial Narrow" w:hAnsi="Arial Narrow"/>
                <w:spacing w:val="6"/>
                <w:sz w:val="19"/>
                <w:szCs w:val="19"/>
              </w:rPr>
              <w:t>Pasivos financieros</w:t>
            </w:r>
          </w:p>
        </w:tc>
        <w:tc>
          <w:tcPr>
            <w:tcW w:w="1051"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356.282</w:t>
            </w:r>
          </w:p>
        </w:tc>
        <w:tc>
          <w:tcPr>
            <w:tcW w:w="1134"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446.901</w:t>
            </w:r>
          </w:p>
        </w:tc>
        <w:tc>
          <w:tcPr>
            <w:tcW w:w="986" w:type="dxa"/>
            <w:tcBorders>
              <w:top w:val="single" w:sz="2" w:space="0" w:color="auto"/>
              <w:left w:val="nil"/>
              <w:bottom w:val="single" w:sz="2"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90.619</w:t>
            </w:r>
          </w:p>
        </w:tc>
        <w:tc>
          <w:tcPr>
            <w:tcW w:w="1085"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25</w:t>
            </w:r>
          </w:p>
        </w:tc>
        <w:tc>
          <w:tcPr>
            <w:tcW w:w="993"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87</w:t>
            </w:r>
          </w:p>
        </w:tc>
        <w:tc>
          <w:tcPr>
            <w:tcW w:w="947" w:type="dxa"/>
            <w:tcBorders>
              <w:top w:val="single" w:sz="2" w:space="0" w:color="auto"/>
              <w:left w:val="nil"/>
              <w:bottom w:val="single" w:sz="2"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spacing w:val="6"/>
                <w:sz w:val="19"/>
                <w:szCs w:val="19"/>
              </w:rPr>
            </w:pPr>
            <w:r w:rsidRPr="008217A0">
              <w:rPr>
                <w:rFonts w:ascii="Arial Narrow" w:hAnsi="Arial Narrow"/>
                <w:spacing w:val="6"/>
                <w:sz w:val="19"/>
                <w:szCs w:val="19"/>
              </w:rPr>
              <w:t>96</w:t>
            </w:r>
          </w:p>
        </w:tc>
      </w:tr>
      <w:tr w:rsidR="007E6AC4" w:rsidRPr="008217A0" w:rsidTr="00D73A91">
        <w:trPr>
          <w:trHeight w:val="284"/>
        </w:trPr>
        <w:tc>
          <w:tcPr>
            <w:tcW w:w="2548"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9C1354">
            <w:pPr>
              <w:keepLines/>
              <w:tabs>
                <w:tab w:val="right" w:pos="2835"/>
                <w:tab w:val="right" w:pos="3969"/>
                <w:tab w:val="right" w:pos="5103"/>
                <w:tab w:val="right" w:pos="6237"/>
                <w:tab w:val="right" w:pos="7371"/>
              </w:tabs>
              <w:spacing w:after="0"/>
              <w:ind w:firstLine="0"/>
              <w:rPr>
                <w:rFonts w:ascii="Arial Narrow" w:hAnsi="Arial Narrow"/>
                <w:i/>
                <w:spacing w:val="6"/>
                <w:sz w:val="19"/>
                <w:szCs w:val="19"/>
              </w:rPr>
            </w:pPr>
            <w:r w:rsidRPr="008217A0">
              <w:rPr>
                <w:rFonts w:ascii="Arial Narrow" w:hAnsi="Arial Narrow"/>
                <w:i/>
                <w:spacing w:val="6"/>
                <w:sz w:val="19"/>
                <w:szCs w:val="19"/>
              </w:rPr>
              <w:t>Total operaciones Financieras</w:t>
            </w:r>
          </w:p>
        </w:tc>
        <w:tc>
          <w:tcPr>
            <w:tcW w:w="1051"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410.489</w:t>
            </w:r>
          </w:p>
        </w:tc>
        <w:tc>
          <w:tcPr>
            <w:tcW w:w="1134"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508.587</w:t>
            </w:r>
          </w:p>
        </w:tc>
        <w:tc>
          <w:tcPr>
            <w:tcW w:w="986" w:type="dxa"/>
            <w:tcBorders>
              <w:top w:val="single" w:sz="2" w:space="0" w:color="auto"/>
              <w:left w:val="nil"/>
              <w:bottom w:val="single" w:sz="4" w:space="0" w:color="auto"/>
              <w:right w:val="nil"/>
            </w:tcBorders>
            <w:vAlign w:val="center"/>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98.098</w:t>
            </w:r>
          </w:p>
        </w:tc>
        <w:tc>
          <w:tcPr>
            <w:tcW w:w="1085"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24</w:t>
            </w:r>
          </w:p>
        </w:tc>
        <w:tc>
          <w:tcPr>
            <w:tcW w:w="993"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81</w:t>
            </w:r>
          </w:p>
        </w:tc>
        <w:tc>
          <w:tcPr>
            <w:tcW w:w="947" w:type="dxa"/>
            <w:tcBorders>
              <w:top w:val="single" w:sz="2" w:space="0" w:color="auto"/>
              <w:left w:val="nil"/>
              <w:bottom w:val="single" w:sz="4" w:space="0" w:color="auto"/>
              <w:right w:val="nil"/>
            </w:tcBorders>
            <w:shd w:val="clear" w:color="auto" w:fill="auto"/>
            <w:noWrap/>
            <w:vAlign w:val="center"/>
            <w:hideMark/>
          </w:tcPr>
          <w:p w:rsidR="007E6AC4" w:rsidRPr="008217A0" w:rsidRDefault="007E6AC4" w:rsidP="008217A0">
            <w:pPr>
              <w:keepLines/>
              <w:tabs>
                <w:tab w:val="right" w:pos="2835"/>
                <w:tab w:val="right" w:pos="3969"/>
                <w:tab w:val="right" w:pos="5103"/>
                <w:tab w:val="right" w:pos="6237"/>
                <w:tab w:val="right" w:pos="7371"/>
              </w:tabs>
              <w:spacing w:after="0"/>
              <w:ind w:firstLine="0"/>
              <w:jc w:val="right"/>
              <w:rPr>
                <w:rFonts w:ascii="Arial Narrow" w:hAnsi="Arial Narrow"/>
                <w:i/>
                <w:spacing w:val="6"/>
                <w:sz w:val="19"/>
                <w:szCs w:val="19"/>
              </w:rPr>
            </w:pPr>
            <w:r w:rsidRPr="008217A0">
              <w:rPr>
                <w:rFonts w:ascii="Arial Narrow" w:hAnsi="Arial Narrow"/>
                <w:i/>
                <w:spacing w:val="6"/>
                <w:sz w:val="19"/>
                <w:szCs w:val="19"/>
              </w:rPr>
              <w:t>84</w:t>
            </w:r>
          </w:p>
        </w:tc>
      </w:tr>
      <w:tr w:rsidR="007E6AC4" w:rsidRPr="00DF229E" w:rsidTr="00195087">
        <w:trPr>
          <w:trHeight w:val="340"/>
        </w:trPr>
        <w:tc>
          <w:tcPr>
            <w:tcW w:w="2548"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F229E">
              <w:rPr>
                <w:rFonts w:ascii="Arial" w:hAnsi="Arial" w:cs="Arial"/>
                <w:spacing w:val="6"/>
                <w:sz w:val="18"/>
                <w:szCs w:val="18"/>
              </w:rPr>
              <w:t>Total</w:t>
            </w:r>
          </w:p>
        </w:tc>
        <w:tc>
          <w:tcPr>
            <w:tcW w:w="10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2.133.014</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2.238.248</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105.234</w:t>
            </w:r>
          </w:p>
        </w:tc>
        <w:tc>
          <w:tcPr>
            <w:tcW w:w="108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5</w:t>
            </w:r>
          </w:p>
        </w:tc>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55</w:t>
            </w:r>
          </w:p>
        </w:tc>
        <w:tc>
          <w:tcPr>
            <w:tcW w:w="947"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F229E" w:rsidRDefault="007E6AC4" w:rsidP="008217A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F229E">
              <w:rPr>
                <w:rFonts w:ascii="Arial" w:hAnsi="Arial" w:cs="Arial"/>
                <w:spacing w:val="6"/>
                <w:sz w:val="18"/>
                <w:szCs w:val="18"/>
              </w:rPr>
              <w:t>57</w:t>
            </w:r>
          </w:p>
        </w:tc>
      </w:tr>
    </w:tbl>
    <w:p w:rsidR="007E6AC4" w:rsidRPr="00DF229E" w:rsidRDefault="007E6AC4" w:rsidP="007E6AC4">
      <w:pPr>
        <w:tabs>
          <w:tab w:val="left" w:pos="480"/>
          <w:tab w:val="num" w:pos="600"/>
        </w:tabs>
        <w:spacing w:after="0"/>
        <w:ind w:firstLine="0"/>
        <w:rPr>
          <w:sz w:val="24"/>
          <w:lang w:val="es-ES"/>
        </w:rPr>
      </w:pPr>
    </w:p>
    <w:p w:rsidR="007E6AC4" w:rsidRPr="00DF229E" w:rsidRDefault="007E6AC4" w:rsidP="008217A0">
      <w:pPr>
        <w:tabs>
          <w:tab w:val="left" w:pos="480"/>
          <w:tab w:val="num" w:pos="600"/>
        </w:tabs>
        <w:spacing w:after="180"/>
        <w:ind w:firstLine="284"/>
        <w:rPr>
          <w:sz w:val="24"/>
          <w:lang w:val="es-ES"/>
        </w:rPr>
      </w:pPr>
      <w:r w:rsidRPr="00DF229E">
        <w:rPr>
          <w:sz w:val="24"/>
          <w:lang w:val="es-ES"/>
        </w:rPr>
        <w:t>De esta comparación, señalamos:</w:t>
      </w:r>
    </w:p>
    <w:p w:rsidR="007E6AC4" w:rsidRPr="00DF229E" w:rsidRDefault="007E6AC4" w:rsidP="008217A0">
      <w:pPr>
        <w:tabs>
          <w:tab w:val="left" w:pos="480"/>
          <w:tab w:val="num" w:pos="600"/>
        </w:tabs>
        <w:spacing w:after="180"/>
        <w:ind w:firstLine="284"/>
        <w:rPr>
          <w:sz w:val="24"/>
          <w:lang w:val="es-ES"/>
        </w:rPr>
      </w:pPr>
      <w:r w:rsidRPr="00DF229E">
        <w:rPr>
          <w:sz w:val="24"/>
          <w:lang w:val="es-ES"/>
        </w:rPr>
        <w:t xml:space="preserve">a) Los derechos reconocidos globales han aumentado en un cinco por ciento, esto es, en 105 millones. </w:t>
      </w:r>
      <w:r>
        <w:rPr>
          <w:sz w:val="24"/>
          <w:lang w:val="es-ES"/>
        </w:rPr>
        <w:t>H</w:t>
      </w:r>
      <w:r w:rsidRPr="00DF229E">
        <w:rPr>
          <w:sz w:val="24"/>
          <w:lang w:val="es-ES"/>
        </w:rPr>
        <w:t>asta julio de 2015, el grado de realización global de ingresos ha sido sup</w:t>
      </w:r>
      <w:r w:rsidRPr="00DF229E">
        <w:rPr>
          <w:sz w:val="24"/>
          <w:lang w:val="es-ES"/>
        </w:rPr>
        <w:t>e</w:t>
      </w:r>
      <w:r w:rsidRPr="00DF229E">
        <w:rPr>
          <w:sz w:val="24"/>
          <w:lang w:val="es-ES"/>
        </w:rPr>
        <w:t>rior en dos puntos.</w:t>
      </w:r>
    </w:p>
    <w:p w:rsidR="007E6AC4" w:rsidRPr="00DF229E" w:rsidRDefault="007E6AC4" w:rsidP="008217A0">
      <w:pPr>
        <w:tabs>
          <w:tab w:val="left" w:pos="480"/>
          <w:tab w:val="num" w:pos="600"/>
        </w:tabs>
        <w:spacing w:after="180"/>
        <w:ind w:firstLine="284"/>
        <w:rPr>
          <w:sz w:val="24"/>
          <w:lang w:val="es-ES"/>
        </w:rPr>
      </w:pPr>
      <w:r w:rsidRPr="00DF229E">
        <w:rPr>
          <w:sz w:val="24"/>
          <w:lang w:val="es-ES"/>
        </w:rPr>
        <w:t>b) Los derechos por impuestos directos han aumentado en 53 millones, con un grado de realización superior de tres puntos. Los impuestos indirectos se han reducido en 52 mill</w:t>
      </w:r>
      <w:r w:rsidRPr="00DF229E">
        <w:rPr>
          <w:sz w:val="24"/>
          <w:lang w:val="es-ES"/>
        </w:rPr>
        <w:t>o</w:t>
      </w:r>
      <w:r w:rsidRPr="00DF229E">
        <w:rPr>
          <w:sz w:val="24"/>
          <w:lang w:val="es-ES"/>
        </w:rPr>
        <w:t>nes, mientras que su grado de realización ha aumentado un punto.</w:t>
      </w:r>
    </w:p>
    <w:p w:rsidR="007E6AC4" w:rsidRPr="00DF229E" w:rsidRDefault="007E6AC4" w:rsidP="008217A0">
      <w:pPr>
        <w:tabs>
          <w:tab w:val="left" w:pos="480"/>
          <w:tab w:val="num" w:pos="600"/>
        </w:tabs>
        <w:spacing w:after="180"/>
        <w:ind w:firstLine="284"/>
        <w:rPr>
          <w:sz w:val="24"/>
          <w:lang w:val="es-ES"/>
        </w:rPr>
      </w:pPr>
      <w:r w:rsidRPr="00DF229E">
        <w:rPr>
          <w:sz w:val="24"/>
          <w:lang w:val="es-ES"/>
        </w:rPr>
        <w:t>c) La captación de nuevo endeudamiento se ha incrementado en un 25 por ciento, es d</w:t>
      </w:r>
      <w:r w:rsidRPr="00DF229E">
        <w:rPr>
          <w:sz w:val="24"/>
          <w:lang w:val="es-ES"/>
        </w:rPr>
        <w:t>e</w:t>
      </w:r>
      <w:r w:rsidRPr="00DF229E">
        <w:rPr>
          <w:sz w:val="24"/>
          <w:lang w:val="es-ES"/>
        </w:rPr>
        <w:t>cir, en 91 millones. No obstante, en julio de 2014 presentaba una realización del 87 por ciento, en tanto que, en esa misma fecha de 2015, su ejecución es del 96 por ciento.</w:t>
      </w:r>
    </w:p>
    <w:p w:rsidR="007E6AC4" w:rsidRPr="00DF229E" w:rsidRDefault="007E6AC4" w:rsidP="008217A0">
      <w:pPr>
        <w:numPr>
          <w:ilvl w:val="0"/>
          <w:numId w:val="16"/>
        </w:numPr>
        <w:tabs>
          <w:tab w:val="num" w:pos="300"/>
          <w:tab w:val="left" w:pos="480"/>
        </w:tabs>
        <w:spacing w:after="280"/>
        <w:ind w:firstLine="289"/>
        <w:rPr>
          <w:sz w:val="24"/>
          <w:lang w:val="es-ES"/>
        </w:rPr>
      </w:pPr>
      <w:r w:rsidRPr="00DF229E">
        <w:rPr>
          <w:sz w:val="24"/>
          <w:lang w:val="es-ES"/>
        </w:rPr>
        <w:t>La variación en la composición porcentual de los ingresos entre ambos periodos se muestra en el siguiente cuadro:</w:t>
      </w:r>
      <w:r w:rsidRPr="00DF229E">
        <w:rPr>
          <w:sz w:val="24"/>
        </w:rPr>
        <w:t xml:space="preserve"> </w:t>
      </w:r>
    </w:p>
    <w:tbl>
      <w:tblPr>
        <w:tblW w:w="8792" w:type="dxa"/>
        <w:jc w:val="center"/>
        <w:tblCellMar>
          <w:left w:w="70" w:type="dxa"/>
          <w:right w:w="70" w:type="dxa"/>
        </w:tblCellMar>
        <w:tblLook w:val="0000" w:firstRow="0" w:lastRow="0" w:firstColumn="0" w:lastColumn="0" w:noHBand="0" w:noVBand="0"/>
      </w:tblPr>
      <w:tblGrid>
        <w:gridCol w:w="4025"/>
        <w:gridCol w:w="2580"/>
        <w:gridCol w:w="2187"/>
      </w:tblGrid>
      <w:tr w:rsidR="007E6AC4" w:rsidRPr="00E03C3A" w:rsidTr="00195087">
        <w:trPr>
          <w:trHeight w:val="284"/>
          <w:jc w:val="center"/>
        </w:trPr>
        <w:tc>
          <w:tcPr>
            <w:tcW w:w="4025" w:type="dxa"/>
            <w:tcBorders>
              <w:top w:val="single" w:sz="4" w:space="0" w:color="auto"/>
              <w:bottom w:val="single" w:sz="4" w:space="0" w:color="auto"/>
            </w:tcBorders>
            <w:shd w:val="clear" w:color="auto" w:fill="8DB3E2" w:themeFill="text2" w:themeFillTint="66"/>
            <w:noWrap/>
            <w:vAlign w:val="center"/>
          </w:tcPr>
          <w:p w:rsidR="007E6AC4" w:rsidRPr="00E03C3A"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E03C3A">
              <w:rPr>
                <w:rFonts w:ascii="Arial" w:hAnsi="Arial" w:cs="Arial"/>
                <w:sz w:val="18"/>
                <w:szCs w:val="18"/>
              </w:rPr>
              <w:t>Ingresos presupuestarios</w:t>
            </w:r>
          </w:p>
        </w:tc>
        <w:tc>
          <w:tcPr>
            <w:tcW w:w="2580" w:type="dxa"/>
            <w:tcBorders>
              <w:top w:val="single" w:sz="4" w:space="0" w:color="auto"/>
              <w:bottom w:val="single" w:sz="4" w:space="0" w:color="auto"/>
            </w:tcBorders>
            <w:shd w:val="clear" w:color="auto" w:fill="8DB3E2" w:themeFill="text2" w:themeFillTint="66"/>
            <w:noWrap/>
            <w:vAlign w:val="center"/>
          </w:tcPr>
          <w:p w:rsidR="007E6AC4" w:rsidRPr="00E03C3A"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E03C3A">
              <w:rPr>
                <w:rFonts w:ascii="Arial" w:hAnsi="Arial" w:cs="Arial"/>
                <w:sz w:val="18"/>
                <w:szCs w:val="18"/>
              </w:rPr>
              <w:t>Porcentaje 31-julio 2014</w:t>
            </w:r>
          </w:p>
        </w:tc>
        <w:tc>
          <w:tcPr>
            <w:tcW w:w="2187" w:type="dxa"/>
            <w:tcBorders>
              <w:top w:val="single" w:sz="4" w:space="0" w:color="auto"/>
              <w:bottom w:val="single" w:sz="4" w:space="0" w:color="auto"/>
            </w:tcBorders>
            <w:shd w:val="clear" w:color="auto" w:fill="8DB3E2" w:themeFill="text2" w:themeFillTint="66"/>
            <w:noWrap/>
            <w:vAlign w:val="center"/>
          </w:tcPr>
          <w:p w:rsidR="007E6AC4" w:rsidRPr="00E03C3A"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E03C3A">
              <w:rPr>
                <w:rFonts w:ascii="Arial" w:hAnsi="Arial" w:cs="Arial"/>
                <w:sz w:val="18"/>
                <w:szCs w:val="18"/>
              </w:rPr>
              <w:t>Porcentaje 31-julio 2015</w:t>
            </w:r>
          </w:p>
        </w:tc>
      </w:tr>
      <w:tr w:rsidR="007E6AC4" w:rsidRPr="00095FF0" w:rsidTr="008217A0">
        <w:trPr>
          <w:trHeight w:val="284"/>
          <w:jc w:val="center"/>
        </w:trPr>
        <w:tc>
          <w:tcPr>
            <w:tcW w:w="4025"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Ingresos tributarios</w:t>
            </w:r>
          </w:p>
        </w:tc>
        <w:tc>
          <w:tcPr>
            <w:tcW w:w="2580"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78</w:t>
            </w:r>
          </w:p>
        </w:tc>
        <w:tc>
          <w:tcPr>
            <w:tcW w:w="2187"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75</w:t>
            </w:r>
          </w:p>
        </w:tc>
      </w:tr>
      <w:tr w:rsidR="007E6AC4" w:rsidRPr="00095FF0"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Ingresos por transferencias</w:t>
            </w:r>
          </w:p>
        </w:tc>
        <w:tc>
          <w:tcPr>
            <w:tcW w:w="2580"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c>
          <w:tcPr>
            <w:tcW w:w="2187"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r>
      <w:tr w:rsidR="007E6AC4" w:rsidRPr="00095FF0"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Ingresos patrimoniales y otros</w:t>
            </w:r>
          </w:p>
        </w:tc>
        <w:tc>
          <w:tcPr>
            <w:tcW w:w="2580"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w:t>
            </w:r>
          </w:p>
        </w:tc>
        <w:tc>
          <w:tcPr>
            <w:tcW w:w="2187"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w:t>
            </w:r>
          </w:p>
        </w:tc>
      </w:tr>
      <w:tr w:rsidR="007E6AC4" w:rsidRPr="00095FF0" w:rsidTr="008217A0">
        <w:trPr>
          <w:trHeight w:val="284"/>
          <w:jc w:val="center"/>
        </w:trPr>
        <w:tc>
          <w:tcPr>
            <w:tcW w:w="4025"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Endeudamiento</w:t>
            </w:r>
          </w:p>
        </w:tc>
        <w:tc>
          <w:tcPr>
            <w:tcW w:w="2580"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w:t>
            </w:r>
          </w:p>
        </w:tc>
        <w:tc>
          <w:tcPr>
            <w:tcW w:w="2187"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w:t>
            </w:r>
          </w:p>
        </w:tc>
      </w:tr>
      <w:tr w:rsidR="007E6AC4" w:rsidRPr="00095FF0" w:rsidTr="008217A0">
        <w:trPr>
          <w:trHeight w:val="284"/>
          <w:jc w:val="center"/>
        </w:trPr>
        <w:tc>
          <w:tcPr>
            <w:tcW w:w="4025" w:type="dxa"/>
            <w:tcBorders>
              <w:top w:val="single" w:sz="2" w:space="0" w:color="auto"/>
              <w:bottom w:val="single" w:sz="4"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c>
          <w:tcPr>
            <w:tcW w:w="2580" w:type="dxa"/>
            <w:tcBorders>
              <w:top w:val="single" w:sz="2" w:space="0" w:color="auto"/>
              <w:bottom w:val="single" w:sz="4"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100</w:t>
            </w:r>
          </w:p>
        </w:tc>
        <w:tc>
          <w:tcPr>
            <w:tcW w:w="2187" w:type="dxa"/>
            <w:tcBorders>
              <w:top w:val="single" w:sz="2" w:space="0" w:color="auto"/>
              <w:bottom w:val="single" w:sz="4"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100</w:t>
            </w:r>
          </w:p>
        </w:tc>
      </w:tr>
    </w:tbl>
    <w:p w:rsidR="007E6AC4" w:rsidRDefault="007E6AC4" w:rsidP="008217A0">
      <w:pPr>
        <w:tabs>
          <w:tab w:val="center" w:pos="2835"/>
          <w:tab w:val="center" w:pos="3969"/>
          <w:tab w:val="center" w:pos="5103"/>
          <w:tab w:val="center" w:pos="6237"/>
          <w:tab w:val="center" w:pos="7371"/>
        </w:tabs>
        <w:spacing w:before="280" w:after="180"/>
        <w:ind w:firstLine="284"/>
        <w:rPr>
          <w:sz w:val="24"/>
          <w:szCs w:val="24"/>
        </w:rPr>
      </w:pPr>
      <w:r w:rsidRPr="00DF229E">
        <w:rPr>
          <w:sz w:val="24"/>
          <w:szCs w:val="24"/>
        </w:rPr>
        <w:lastRenderedPageBreak/>
        <w:t>Destacamos el peso del endeudamiento que ha pasado del 17 al 20 por ciento de los i</w:t>
      </w:r>
      <w:r w:rsidRPr="00DF229E">
        <w:rPr>
          <w:sz w:val="24"/>
          <w:szCs w:val="24"/>
        </w:rPr>
        <w:t>n</w:t>
      </w:r>
      <w:r w:rsidRPr="00DF229E">
        <w:rPr>
          <w:sz w:val="24"/>
          <w:szCs w:val="24"/>
        </w:rPr>
        <w:t>gresos ejecutados, compensando la reducción porcentual que representan los ingresos tr</w:t>
      </w:r>
      <w:r w:rsidRPr="00DF229E">
        <w:rPr>
          <w:sz w:val="24"/>
          <w:szCs w:val="24"/>
        </w:rPr>
        <w:t>i</w:t>
      </w:r>
      <w:r w:rsidRPr="00DF229E">
        <w:rPr>
          <w:sz w:val="24"/>
          <w:szCs w:val="24"/>
        </w:rPr>
        <w:t>butarios.</w:t>
      </w:r>
    </w:p>
    <w:p w:rsidR="007E6AC4" w:rsidRPr="00DF229E" w:rsidRDefault="007E6AC4" w:rsidP="007E6AC4">
      <w:pPr>
        <w:numPr>
          <w:ilvl w:val="0"/>
          <w:numId w:val="16"/>
        </w:numPr>
        <w:tabs>
          <w:tab w:val="num" w:pos="300"/>
          <w:tab w:val="left" w:pos="480"/>
        </w:tabs>
        <w:ind w:firstLine="290"/>
        <w:rPr>
          <w:sz w:val="24"/>
          <w:szCs w:val="24"/>
          <w:lang w:val="es-ES"/>
        </w:rPr>
      </w:pPr>
      <w:r w:rsidRPr="00DF229E">
        <w:rPr>
          <w:sz w:val="24"/>
          <w:szCs w:val="24"/>
        </w:rPr>
        <w:t>En el siguiente cuadro, se compara la evolución de los impuestos directos e indirectos entre ambos periodos</w:t>
      </w:r>
      <w:r>
        <w:rPr>
          <w:sz w:val="24"/>
          <w:szCs w:val="24"/>
        </w:rPr>
        <w:t>,</w:t>
      </w:r>
      <w:r w:rsidRPr="00DF229E">
        <w:rPr>
          <w:sz w:val="24"/>
          <w:szCs w:val="24"/>
        </w:rPr>
        <w:t xml:space="preserve"> en miles de euros</w:t>
      </w:r>
      <w:r>
        <w:rPr>
          <w:sz w:val="24"/>
          <w:szCs w:val="24"/>
        </w:rPr>
        <w:t>.</w:t>
      </w:r>
    </w:p>
    <w:p w:rsidR="007E6AC4" w:rsidRPr="00095FF0" w:rsidRDefault="007E6AC4" w:rsidP="007E6AC4">
      <w:pPr>
        <w:suppressAutoHyphens/>
        <w:spacing w:after="60"/>
        <w:ind w:right="-211" w:firstLine="0"/>
        <w:jc w:val="right"/>
        <w:rPr>
          <w:rFonts w:ascii="Arial Narrow" w:hAnsi="Arial Narrow"/>
          <w:sz w:val="18"/>
          <w:szCs w:val="18"/>
          <w:lang w:val="es-ES" w:eastAsia="es-ES"/>
        </w:rPr>
      </w:pPr>
    </w:p>
    <w:tbl>
      <w:tblPr>
        <w:tblW w:w="8687"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05"/>
        <w:gridCol w:w="875"/>
        <w:gridCol w:w="1022"/>
        <w:gridCol w:w="1218"/>
        <w:gridCol w:w="667"/>
        <w:gridCol w:w="906"/>
        <w:gridCol w:w="877"/>
        <w:gridCol w:w="917"/>
      </w:tblGrid>
      <w:tr w:rsidR="007E6AC4" w:rsidRPr="00FB4216" w:rsidTr="00195087">
        <w:trPr>
          <w:trHeight w:val="227"/>
          <w:jc w:val="center"/>
        </w:trPr>
        <w:tc>
          <w:tcPr>
            <w:tcW w:w="2205"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lang w:val="es-ES" w:eastAsia="es-ES"/>
              </w:rPr>
            </w:pPr>
            <w:r w:rsidRPr="00FB4216">
              <w:rPr>
                <w:rFonts w:ascii="Arial" w:hAnsi="Arial" w:cs="Arial"/>
                <w:spacing w:val="6"/>
                <w:sz w:val="17"/>
                <w:szCs w:val="17"/>
                <w:lang w:val="es-ES" w:eastAsia="es-ES"/>
              </w:rPr>
              <w:t>Impuestos</w:t>
            </w:r>
          </w:p>
        </w:tc>
        <w:tc>
          <w:tcPr>
            <w:tcW w:w="875"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 xml:space="preserve">Derechos </w:t>
            </w:r>
            <w:proofErr w:type="spellStart"/>
            <w:r w:rsidR="00D73A91" w:rsidRPr="00FB4216">
              <w:rPr>
                <w:rFonts w:ascii="Arial" w:hAnsi="Arial" w:cs="Arial"/>
                <w:spacing w:val="6"/>
                <w:sz w:val="17"/>
                <w:szCs w:val="17"/>
                <w:lang w:val="es-ES" w:eastAsia="es-ES"/>
              </w:rPr>
              <w:t>recon</w:t>
            </w:r>
            <w:r w:rsidR="00D73A91">
              <w:rPr>
                <w:rFonts w:ascii="Arial" w:hAnsi="Arial" w:cs="Arial"/>
                <w:spacing w:val="6"/>
                <w:sz w:val="17"/>
                <w:szCs w:val="17"/>
                <w:lang w:val="es-ES" w:eastAsia="es-ES"/>
              </w:rPr>
              <w:t>c</w:t>
            </w:r>
            <w:proofErr w:type="spellEnd"/>
            <w:r>
              <w:rPr>
                <w:rFonts w:ascii="Arial" w:hAnsi="Arial" w:cs="Arial"/>
                <w:spacing w:val="6"/>
                <w:sz w:val="17"/>
                <w:szCs w:val="17"/>
                <w:lang w:val="es-ES" w:eastAsia="es-ES"/>
              </w:rPr>
              <w:t>.</w:t>
            </w:r>
          </w:p>
          <w:p w:rsidR="007E6AC4" w:rsidRPr="00FB4216" w:rsidRDefault="007E6AC4" w:rsidP="009C1354">
            <w:pPr>
              <w:keepLines/>
              <w:tabs>
                <w:tab w:val="right" w:pos="2835"/>
                <w:tab w:val="right" w:pos="3969"/>
                <w:tab w:val="right" w:pos="5103"/>
                <w:tab w:val="right" w:pos="6237"/>
                <w:tab w:val="right" w:pos="7337"/>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julio 1</w:t>
            </w:r>
            <w:r>
              <w:rPr>
                <w:rFonts w:ascii="Arial" w:hAnsi="Arial" w:cs="Arial"/>
                <w:spacing w:val="6"/>
                <w:sz w:val="17"/>
                <w:szCs w:val="17"/>
                <w:lang w:val="es-ES" w:eastAsia="es-ES"/>
              </w:rPr>
              <w:t>4</w:t>
            </w:r>
          </w:p>
        </w:tc>
        <w:tc>
          <w:tcPr>
            <w:tcW w:w="1022"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Derechos</w:t>
            </w:r>
          </w:p>
          <w:p w:rsidR="007E6AC4" w:rsidRPr="00FB4216" w:rsidRDefault="00244EDF"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proofErr w:type="spellStart"/>
            <w:proofErr w:type="gramStart"/>
            <w:r w:rsidRPr="00FB4216">
              <w:rPr>
                <w:rFonts w:ascii="Arial" w:hAnsi="Arial" w:cs="Arial"/>
                <w:spacing w:val="6"/>
                <w:sz w:val="17"/>
                <w:szCs w:val="17"/>
                <w:lang w:val="es-ES" w:eastAsia="es-ES"/>
              </w:rPr>
              <w:t>reconoc</w:t>
            </w:r>
            <w:proofErr w:type="spellEnd"/>
            <w:proofErr w:type="gramEnd"/>
            <w:r w:rsidR="00D73A91">
              <w:rPr>
                <w:rFonts w:ascii="Arial" w:hAnsi="Arial" w:cs="Arial"/>
                <w:spacing w:val="6"/>
                <w:sz w:val="17"/>
                <w:szCs w:val="17"/>
                <w:lang w:val="es-ES" w:eastAsia="es-ES"/>
              </w:rPr>
              <w:t>.</w:t>
            </w:r>
            <w:r w:rsidR="00D73A91" w:rsidRPr="00FB4216">
              <w:rPr>
                <w:rFonts w:ascii="Arial" w:hAnsi="Arial" w:cs="Arial"/>
                <w:spacing w:val="6"/>
                <w:sz w:val="17"/>
                <w:szCs w:val="17"/>
                <w:lang w:val="es-ES" w:eastAsia="es-ES"/>
              </w:rPr>
              <w:t xml:space="preserve"> </w:t>
            </w:r>
          </w:p>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Julio 15</w:t>
            </w:r>
          </w:p>
        </w:tc>
        <w:tc>
          <w:tcPr>
            <w:tcW w:w="1218"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left="-7"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 derechos</w:t>
            </w:r>
          </w:p>
        </w:tc>
        <w:tc>
          <w:tcPr>
            <w:tcW w:w="667"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left="-7" w:firstLine="0"/>
              <w:jc w:val="right"/>
              <w:rPr>
                <w:rFonts w:ascii="Arial" w:hAnsi="Arial" w:cs="Arial"/>
                <w:spacing w:val="6"/>
                <w:sz w:val="17"/>
                <w:szCs w:val="17"/>
                <w:lang w:val="es-ES" w:eastAsia="es-ES"/>
              </w:rPr>
            </w:pPr>
            <w:r>
              <w:rPr>
                <w:rFonts w:ascii="Arial" w:hAnsi="Arial" w:cs="Arial"/>
                <w:spacing w:val="6"/>
                <w:sz w:val="17"/>
                <w:szCs w:val="17"/>
                <w:lang w:val="es-ES" w:eastAsia="es-ES"/>
              </w:rPr>
              <w:t>% Var.</w:t>
            </w:r>
            <w:r w:rsidRPr="00FB4216">
              <w:rPr>
                <w:rFonts w:ascii="Arial" w:hAnsi="Arial" w:cs="Arial"/>
                <w:spacing w:val="6"/>
                <w:sz w:val="17"/>
                <w:szCs w:val="17"/>
                <w:lang w:val="es-ES" w:eastAsia="es-ES"/>
              </w:rPr>
              <w:t xml:space="preserve"> 15/14</w:t>
            </w:r>
          </w:p>
        </w:tc>
        <w:tc>
          <w:tcPr>
            <w:tcW w:w="906"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proofErr w:type="spellStart"/>
            <w:r w:rsidRPr="00FB4216">
              <w:rPr>
                <w:rFonts w:ascii="Arial" w:hAnsi="Arial" w:cs="Arial"/>
                <w:spacing w:val="6"/>
                <w:sz w:val="17"/>
                <w:szCs w:val="17"/>
                <w:lang w:val="es-ES" w:eastAsia="es-ES"/>
              </w:rPr>
              <w:t>Recaud</w:t>
            </w:r>
            <w:proofErr w:type="spellEnd"/>
            <w:r w:rsidRPr="00FB4216">
              <w:rPr>
                <w:rFonts w:ascii="Arial" w:hAnsi="Arial" w:cs="Arial"/>
                <w:spacing w:val="6"/>
                <w:sz w:val="17"/>
                <w:szCs w:val="17"/>
                <w:lang w:val="es-ES" w:eastAsia="es-ES"/>
              </w:rPr>
              <w:t xml:space="preserve">. </w:t>
            </w:r>
            <w:r w:rsidR="00244EDF" w:rsidRPr="00FB4216">
              <w:rPr>
                <w:rFonts w:ascii="Arial" w:hAnsi="Arial" w:cs="Arial"/>
                <w:spacing w:val="6"/>
                <w:sz w:val="17"/>
                <w:szCs w:val="17"/>
                <w:lang w:val="es-ES" w:eastAsia="es-ES"/>
              </w:rPr>
              <w:t>neta</w:t>
            </w:r>
          </w:p>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julio14</w:t>
            </w:r>
          </w:p>
        </w:tc>
        <w:tc>
          <w:tcPr>
            <w:tcW w:w="877"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proofErr w:type="spellStart"/>
            <w:r w:rsidRPr="00FB4216">
              <w:rPr>
                <w:rFonts w:ascii="Arial" w:hAnsi="Arial" w:cs="Arial"/>
                <w:spacing w:val="6"/>
                <w:sz w:val="17"/>
                <w:szCs w:val="17"/>
                <w:lang w:val="es-ES" w:eastAsia="es-ES"/>
              </w:rPr>
              <w:t>Recaud</w:t>
            </w:r>
            <w:proofErr w:type="spellEnd"/>
            <w:r w:rsidRPr="00FB4216">
              <w:rPr>
                <w:rFonts w:ascii="Arial" w:hAnsi="Arial" w:cs="Arial"/>
                <w:spacing w:val="6"/>
                <w:sz w:val="17"/>
                <w:szCs w:val="17"/>
                <w:lang w:val="es-ES" w:eastAsia="es-ES"/>
              </w:rPr>
              <w:t>.</w:t>
            </w:r>
          </w:p>
          <w:p w:rsidR="007E6AC4" w:rsidRPr="00FB4216" w:rsidRDefault="00244EDF"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neta</w:t>
            </w:r>
          </w:p>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julio 15</w:t>
            </w:r>
          </w:p>
        </w:tc>
        <w:tc>
          <w:tcPr>
            <w:tcW w:w="917" w:type="dxa"/>
            <w:tcBorders>
              <w:bottom w:val="single" w:sz="4" w:space="0" w:color="auto"/>
            </w:tcBorders>
            <w:shd w:val="clear" w:color="auto" w:fill="8DB3E2" w:themeFill="text2" w:themeFillTint="66"/>
            <w:vAlign w:val="center"/>
          </w:tcPr>
          <w:p w:rsidR="007E6AC4" w:rsidRPr="00FB4216"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lang w:val="es-ES" w:eastAsia="es-ES"/>
              </w:rPr>
            </w:pPr>
            <w:r w:rsidRPr="00FB4216">
              <w:rPr>
                <w:rFonts w:ascii="Arial" w:hAnsi="Arial" w:cs="Arial"/>
                <w:spacing w:val="6"/>
                <w:sz w:val="17"/>
                <w:szCs w:val="17"/>
                <w:lang w:val="es-ES" w:eastAsia="es-ES"/>
              </w:rPr>
              <w:t>Variación 15/14</w:t>
            </w:r>
          </w:p>
        </w:tc>
      </w:tr>
      <w:tr w:rsidR="007E6AC4" w:rsidRPr="00095FF0" w:rsidTr="0010137C">
        <w:trPr>
          <w:trHeight w:hRule="exact" w:val="284"/>
          <w:jc w:val="center"/>
        </w:trPr>
        <w:tc>
          <w:tcPr>
            <w:tcW w:w="2205"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IRPF</w:t>
            </w:r>
          </w:p>
        </w:tc>
        <w:tc>
          <w:tcPr>
            <w:tcW w:w="875"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568.749</w:t>
            </w:r>
          </w:p>
        </w:tc>
        <w:tc>
          <w:tcPr>
            <w:tcW w:w="1022"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627.984</w:t>
            </w:r>
          </w:p>
        </w:tc>
        <w:tc>
          <w:tcPr>
            <w:tcW w:w="1218"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59.235</w:t>
            </w:r>
          </w:p>
        </w:tc>
        <w:tc>
          <w:tcPr>
            <w:tcW w:w="667"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w:t>
            </w:r>
          </w:p>
        </w:tc>
        <w:tc>
          <w:tcPr>
            <w:tcW w:w="906"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499.707</w:t>
            </w:r>
          </w:p>
        </w:tc>
        <w:tc>
          <w:tcPr>
            <w:tcW w:w="877"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528.299</w:t>
            </w:r>
          </w:p>
        </w:tc>
        <w:tc>
          <w:tcPr>
            <w:tcW w:w="917" w:type="dxa"/>
            <w:tcBorders>
              <w:top w:val="single" w:sz="4"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No residentes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3.761</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4.874</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1.113</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30</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3.719</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3.645</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Sociedades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55.876</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62.759</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6.883</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12</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-27.755</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-14.899</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-46</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Patrimonio</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45.609</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41.613</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-3.996</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-9</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25.000</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24.546</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Sucesiones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32.663</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37.252</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4.589</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14</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32.663</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29.467</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Otros y extinguidos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15.185</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-15.165</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-100</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13.712</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-100</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 xml:space="preserve">Total </w:t>
            </w:r>
            <w:r>
              <w:rPr>
                <w:rFonts w:ascii="Arial Narrow" w:hAnsi="Arial Narrow"/>
                <w:i/>
                <w:spacing w:val="6"/>
                <w:sz w:val="18"/>
                <w:szCs w:val="18"/>
                <w:lang w:val="es-ES" w:eastAsia="es-ES"/>
              </w:rPr>
              <w:t>I. D</w:t>
            </w:r>
            <w:r w:rsidRPr="00095FF0">
              <w:rPr>
                <w:rFonts w:ascii="Arial Narrow" w:hAnsi="Arial Narrow"/>
                <w:i/>
                <w:spacing w:val="6"/>
                <w:sz w:val="18"/>
                <w:szCs w:val="18"/>
                <w:lang w:val="es-ES" w:eastAsia="es-ES"/>
              </w:rPr>
              <w:t>irectos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721.843</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774.502</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52.659</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7</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547.046</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571.078</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4</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Ajustes Convenio Económico</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391.811</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342.805</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-49.006</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-13</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372.145</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342.805</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IVA gestión directa</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250.241</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230.192</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-20.049</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78.768</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64.445</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-18</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Especiales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202.095</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222.813</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20.718</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200.293</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220.739</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Primas de seguro</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11.843</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11.711</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-132</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10.862</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11.711</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Transmisiones AAJJDD</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23.657</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25.481</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1.824</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23.626</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25.481</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8</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spacing w:val="6"/>
                <w:sz w:val="18"/>
                <w:szCs w:val="18"/>
                <w:lang w:val="es-ES" w:eastAsia="es-ES"/>
              </w:rPr>
            </w:pPr>
            <w:r w:rsidRPr="00095FF0">
              <w:rPr>
                <w:rFonts w:ascii="Arial Narrow" w:hAnsi="Arial Narrow"/>
                <w:spacing w:val="6"/>
                <w:sz w:val="18"/>
                <w:szCs w:val="18"/>
                <w:lang w:val="es-ES" w:eastAsia="es-ES"/>
              </w:rPr>
              <w:t>Minorista hidrocarburos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-5.002</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-5.005</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-166.833</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-3.883</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sz w:val="18"/>
                <w:szCs w:val="18"/>
                <w:lang w:val="es-ES" w:eastAsia="es-ES"/>
              </w:rPr>
            </w:pPr>
            <w:r w:rsidRPr="00095FF0">
              <w:rPr>
                <w:rFonts w:ascii="Arial Narrow" w:hAnsi="Arial Narrow"/>
                <w:sz w:val="18"/>
                <w:szCs w:val="18"/>
                <w:lang w:val="es-ES" w:eastAsia="es-ES"/>
              </w:rPr>
              <w:t>-129.533</w:t>
            </w:r>
          </w:p>
        </w:tc>
      </w:tr>
      <w:tr w:rsidR="007E6AC4" w:rsidRPr="00095FF0" w:rsidTr="0010137C">
        <w:trPr>
          <w:trHeight w:hRule="exact" w:val="284"/>
          <w:jc w:val="center"/>
        </w:trPr>
        <w:tc>
          <w:tcPr>
            <w:tcW w:w="220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right="29" w:firstLine="0"/>
              <w:jc w:val="left"/>
              <w:rPr>
                <w:rFonts w:ascii="Arial Narrow" w:hAnsi="Arial Narrow"/>
                <w:i/>
                <w:spacing w:val="6"/>
                <w:sz w:val="18"/>
                <w:szCs w:val="18"/>
                <w:lang w:val="es-ES" w:eastAsia="es-ES"/>
              </w:rPr>
            </w:pPr>
            <w:r w:rsidRPr="00095FF0">
              <w:rPr>
                <w:rFonts w:ascii="Arial Narrow" w:hAnsi="Arial Narrow"/>
                <w:i/>
                <w:spacing w:val="6"/>
                <w:sz w:val="18"/>
                <w:szCs w:val="18"/>
                <w:lang w:val="es-ES" w:eastAsia="es-ES"/>
              </w:rPr>
              <w:t>Total</w:t>
            </w:r>
            <w:r>
              <w:rPr>
                <w:rFonts w:ascii="Arial Narrow" w:hAnsi="Arial Narrow"/>
                <w:i/>
                <w:spacing w:val="6"/>
                <w:sz w:val="18"/>
                <w:szCs w:val="18"/>
                <w:lang w:val="es-ES" w:eastAsia="es-ES"/>
              </w:rPr>
              <w:t xml:space="preserve"> I. I</w:t>
            </w:r>
            <w:r w:rsidRPr="00095FF0">
              <w:rPr>
                <w:rFonts w:ascii="Arial Narrow" w:hAnsi="Arial Narrow"/>
                <w:i/>
                <w:spacing w:val="6"/>
                <w:sz w:val="18"/>
                <w:szCs w:val="18"/>
                <w:lang w:val="es-ES" w:eastAsia="es-ES"/>
              </w:rPr>
              <w:t>ndirectos</w:t>
            </w:r>
          </w:p>
        </w:tc>
        <w:tc>
          <w:tcPr>
            <w:tcW w:w="875"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879.650</w:t>
            </w:r>
          </w:p>
        </w:tc>
        <w:tc>
          <w:tcPr>
            <w:tcW w:w="1022"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828.000</w:t>
            </w:r>
          </w:p>
        </w:tc>
        <w:tc>
          <w:tcPr>
            <w:tcW w:w="1218"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-51.650</w:t>
            </w:r>
          </w:p>
        </w:tc>
        <w:tc>
          <w:tcPr>
            <w:tcW w:w="66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-6</w:t>
            </w:r>
          </w:p>
        </w:tc>
        <w:tc>
          <w:tcPr>
            <w:tcW w:w="906"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685.697</w:t>
            </w:r>
          </w:p>
        </w:tc>
        <w:tc>
          <w:tcPr>
            <w:tcW w:w="87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661.298</w:t>
            </w:r>
          </w:p>
        </w:tc>
        <w:tc>
          <w:tcPr>
            <w:tcW w:w="917" w:type="dxa"/>
            <w:tcBorders>
              <w:top w:val="single" w:sz="2" w:space="0" w:color="auto"/>
              <w:bottom w:val="single" w:sz="2" w:space="0" w:color="auto"/>
            </w:tcBorders>
            <w:vAlign w:val="center"/>
          </w:tcPr>
          <w:p w:rsidR="007E6AC4" w:rsidRPr="00095FF0" w:rsidRDefault="007E6AC4" w:rsidP="009C1354">
            <w:pPr>
              <w:spacing w:after="0"/>
              <w:ind w:firstLine="0"/>
              <w:jc w:val="right"/>
              <w:rPr>
                <w:rFonts w:ascii="Arial Narrow" w:hAnsi="Arial Narrow"/>
                <w:i/>
                <w:sz w:val="18"/>
                <w:szCs w:val="18"/>
                <w:lang w:val="es-ES" w:eastAsia="es-ES"/>
              </w:rPr>
            </w:pPr>
            <w:r w:rsidRPr="00095FF0">
              <w:rPr>
                <w:rFonts w:ascii="Arial Narrow" w:hAnsi="Arial Narrow"/>
                <w:i/>
                <w:sz w:val="18"/>
                <w:szCs w:val="18"/>
                <w:lang w:val="es-ES" w:eastAsia="es-ES"/>
              </w:rPr>
              <w:t>-4</w:t>
            </w:r>
          </w:p>
        </w:tc>
      </w:tr>
      <w:tr w:rsidR="007E6AC4" w:rsidRPr="00095FF0" w:rsidTr="00195087">
        <w:trPr>
          <w:trHeight w:hRule="exact" w:val="340"/>
          <w:jc w:val="center"/>
        </w:trPr>
        <w:tc>
          <w:tcPr>
            <w:tcW w:w="2205"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r w:rsidRPr="00095FF0">
              <w:rPr>
                <w:rFonts w:ascii="Arial" w:hAnsi="Arial" w:cs="Arial"/>
                <w:spacing w:val="6"/>
                <w:sz w:val="18"/>
                <w:szCs w:val="24"/>
                <w:lang w:val="es-ES" w:eastAsia="es-ES"/>
              </w:rPr>
              <w:t>Total</w:t>
            </w:r>
            <w:r>
              <w:rPr>
                <w:rFonts w:ascii="Arial" w:hAnsi="Arial" w:cs="Arial"/>
                <w:spacing w:val="6"/>
                <w:sz w:val="18"/>
                <w:szCs w:val="24"/>
                <w:lang w:val="es-ES" w:eastAsia="es-ES"/>
              </w:rPr>
              <w:t xml:space="preserve"> Impuestos</w:t>
            </w:r>
          </w:p>
        </w:tc>
        <w:tc>
          <w:tcPr>
            <w:tcW w:w="875"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1.601.493</w:t>
            </w:r>
          </w:p>
        </w:tc>
        <w:tc>
          <w:tcPr>
            <w:tcW w:w="1022"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1.602.502</w:t>
            </w:r>
          </w:p>
        </w:tc>
        <w:tc>
          <w:tcPr>
            <w:tcW w:w="1218"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1.009</w:t>
            </w:r>
          </w:p>
        </w:tc>
        <w:tc>
          <w:tcPr>
            <w:tcW w:w="667"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0</w:t>
            </w:r>
          </w:p>
        </w:tc>
        <w:tc>
          <w:tcPr>
            <w:tcW w:w="906"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1.232.743</w:t>
            </w:r>
          </w:p>
        </w:tc>
        <w:tc>
          <w:tcPr>
            <w:tcW w:w="877"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1.232.376</w:t>
            </w:r>
          </w:p>
        </w:tc>
        <w:tc>
          <w:tcPr>
            <w:tcW w:w="917" w:type="dxa"/>
            <w:tcBorders>
              <w:top w:val="single" w:sz="2" w:space="0" w:color="auto"/>
              <w:bottom w:val="single" w:sz="4" w:space="0" w:color="auto"/>
            </w:tcBorders>
            <w:shd w:val="clear" w:color="auto" w:fill="8DB3E2" w:themeFill="text2" w:themeFillTint="66"/>
            <w:vAlign w:val="center"/>
          </w:tcPr>
          <w:p w:rsidR="007E6AC4" w:rsidRPr="00095FF0" w:rsidRDefault="007E6AC4" w:rsidP="009C1354">
            <w:pPr>
              <w:spacing w:after="0"/>
              <w:ind w:firstLine="0"/>
              <w:jc w:val="right"/>
              <w:rPr>
                <w:rFonts w:ascii="Arial" w:hAnsi="Arial" w:cs="Arial"/>
                <w:sz w:val="18"/>
                <w:szCs w:val="18"/>
                <w:lang w:val="es-ES" w:eastAsia="es-ES"/>
              </w:rPr>
            </w:pPr>
            <w:r w:rsidRPr="00095FF0">
              <w:rPr>
                <w:rFonts w:ascii="Arial" w:hAnsi="Arial" w:cs="Arial"/>
                <w:sz w:val="18"/>
                <w:szCs w:val="18"/>
                <w:lang w:val="es-ES" w:eastAsia="es-ES"/>
              </w:rPr>
              <w:t>0</w:t>
            </w:r>
          </w:p>
        </w:tc>
      </w:tr>
    </w:tbl>
    <w:p w:rsidR="007E6AC4" w:rsidRPr="00DF229E" w:rsidRDefault="007E6AC4" w:rsidP="00D73A91">
      <w:pPr>
        <w:tabs>
          <w:tab w:val="left" w:pos="480"/>
          <w:tab w:val="num" w:pos="600"/>
        </w:tabs>
        <w:spacing w:before="280"/>
        <w:ind w:firstLine="284"/>
        <w:rPr>
          <w:sz w:val="24"/>
          <w:szCs w:val="24"/>
        </w:rPr>
      </w:pPr>
      <w:r w:rsidRPr="00DF229E">
        <w:rPr>
          <w:sz w:val="24"/>
          <w:szCs w:val="24"/>
        </w:rPr>
        <w:t>De su análisis señalamos fundamentalmente:</w:t>
      </w:r>
    </w:p>
    <w:p w:rsidR="007E6AC4" w:rsidRPr="00DF229E" w:rsidRDefault="007E6AC4" w:rsidP="007E6AC4">
      <w:pPr>
        <w:tabs>
          <w:tab w:val="left" w:pos="480"/>
        </w:tabs>
        <w:ind w:firstLine="284"/>
        <w:rPr>
          <w:sz w:val="24"/>
          <w:szCs w:val="24"/>
        </w:rPr>
      </w:pPr>
      <w:r w:rsidRPr="00DF229E">
        <w:rPr>
          <w:sz w:val="24"/>
          <w:szCs w:val="24"/>
        </w:rPr>
        <w:t>a) Entre ambos periodos, los derechos totales reconocidos por impuestos no han exp</w:t>
      </w:r>
      <w:r w:rsidRPr="00DF229E">
        <w:rPr>
          <w:sz w:val="24"/>
          <w:szCs w:val="24"/>
        </w:rPr>
        <w:t>e</w:t>
      </w:r>
      <w:r w:rsidRPr="00DF229E">
        <w:rPr>
          <w:sz w:val="24"/>
          <w:szCs w:val="24"/>
        </w:rPr>
        <w:t>rimentado prácticamente variación, escasamente un millón. Los impuestos directos han aumentado en un siete por ciento –prácticamente 53 millones</w:t>
      </w:r>
      <w:r>
        <w:rPr>
          <w:sz w:val="24"/>
          <w:szCs w:val="24"/>
        </w:rPr>
        <w:t>–</w:t>
      </w:r>
      <w:r w:rsidRPr="00DF229E">
        <w:rPr>
          <w:sz w:val="24"/>
          <w:szCs w:val="24"/>
        </w:rPr>
        <w:t xml:space="preserve">, en tanto que los indirectos se han reducido en un seis por ciento </w:t>
      </w:r>
      <w:r>
        <w:rPr>
          <w:sz w:val="24"/>
          <w:szCs w:val="24"/>
        </w:rPr>
        <w:t>–</w:t>
      </w:r>
      <w:r w:rsidRPr="00DF229E">
        <w:rPr>
          <w:sz w:val="24"/>
          <w:szCs w:val="24"/>
        </w:rPr>
        <w:t>52 millones</w:t>
      </w:r>
      <w:r>
        <w:rPr>
          <w:sz w:val="24"/>
          <w:szCs w:val="24"/>
        </w:rPr>
        <w:t>–</w:t>
      </w:r>
    </w:p>
    <w:p w:rsidR="007E6AC4" w:rsidRPr="00DF229E" w:rsidRDefault="007E6AC4" w:rsidP="007E6AC4">
      <w:pPr>
        <w:tabs>
          <w:tab w:val="left" w:pos="480"/>
        </w:tabs>
        <w:ind w:firstLine="284"/>
        <w:rPr>
          <w:sz w:val="24"/>
          <w:szCs w:val="24"/>
        </w:rPr>
      </w:pPr>
      <w:r w:rsidRPr="00DF229E">
        <w:rPr>
          <w:sz w:val="24"/>
          <w:szCs w:val="24"/>
        </w:rPr>
        <w:t>b) El comportamiento por figura tributaria ha sido muy variado, desde el aumento en IRPF, Sociedades y en Especiales –con un 10, 12 y 10 respectivamente</w:t>
      </w:r>
      <w:r>
        <w:rPr>
          <w:sz w:val="24"/>
          <w:szCs w:val="24"/>
        </w:rPr>
        <w:t>–</w:t>
      </w:r>
      <w:r w:rsidRPr="00DF229E">
        <w:rPr>
          <w:sz w:val="24"/>
          <w:szCs w:val="24"/>
        </w:rPr>
        <w:t xml:space="preserve"> hasta la reducción que se observa en Ajustes del Convenio e IVA gestión directa –con el 13 y el ocho por ciento, respectivamente</w:t>
      </w:r>
      <w:r>
        <w:rPr>
          <w:sz w:val="24"/>
          <w:szCs w:val="24"/>
        </w:rPr>
        <w:t>–</w:t>
      </w:r>
      <w:r w:rsidRPr="00DF229E">
        <w:rPr>
          <w:sz w:val="24"/>
          <w:szCs w:val="24"/>
        </w:rPr>
        <w:t xml:space="preserve">. </w:t>
      </w:r>
    </w:p>
    <w:p w:rsidR="007E6AC4" w:rsidRPr="00FB4216" w:rsidRDefault="007E6AC4" w:rsidP="00C1449C">
      <w:pPr>
        <w:tabs>
          <w:tab w:val="left" w:pos="480"/>
        </w:tabs>
        <w:spacing w:after="240"/>
        <w:ind w:firstLine="284"/>
        <w:rPr>
          <w:rFonts w:ascii="Times New (W1)" w:hAnsi="Times New (W1)"/>
          <w:spacing w:val="-2"/>
          <w:sz w:val="24"/>
          <w:szCs w:val="24"/>
        </w:rPr>
      </w:pPr>
      <w:r w:rsidRPr="00DF229E">
        <w:rPr>
          <w:sz w:val="24"/>
          <w:szCs w:val="24"/>
        </w:rPr>
        <w:t>c) La recaudación neta, igualmente, no experimenta variación dado que el aumento en los impuestos directos –un cinco por ciento</w:t>
      </w:r>
      <w:r>
        <w:rPr>
          <w:sz w:val="24"/>
          <w:szCs w:val="24"/>
        </w:rPr>
        <w:t>–</w:t>
      </w:r>
      <w:r w:rsidRPr="00DF229E">
        <w:rPr>
          <w:sz w:val="24"/>
          <w:szCs w:val="24"/>
        </w:rPr>
        <w:t xml:space="preserve"> es compensado por la reducción de los ind</w:t>
      </w:r>
      <w:r w:rsidRPr="00DF229E">
        <w:rPr>
          <w:sz w:val="24"/>
          <w:szCs w:val="24"/>
        </w:rPr>
        <w:t>i</w:t>
      </w:r>
      <w:r w:rsidRPr="00DF229E">
        <w:rPr>
          <w:sz w:val="24"/>
          <w:szCs w:val="24"/>
        </w:rPr>
        <w:t>rectos –un cinco por ciento</w:t>
      </w:r>
      <w:r>
        <w:rPr>
          <w:sz w:val="24"/>
          <w:szCs w:val="24"/>
        </w:rPr>
        <w:t>–</w:t>
      </w:r>
      <w:r w:rsidRPr="00DF229E">
        <w:rPr>
          <w:sz w:val="24"/>
          <w:szCs w:val="24"/>
        </w:rPr>
        <w:t xml:space="preserve">. </w:t>
      </w:r>
      <w:r w:rsidRPr="00FB4216">
        <w:rPr>
          <w:rFonts w:ascii="Times New (W1)" w:hAnsi="Times New (W1)"/>
          <w:spacing w:val="-2"/>
          <w:sz w:val="24"/>
          <w:szCs w:val="24"/>
        </w:rPr>
        <w:t>Por figura tributaria destacamos el aumento del seis por ciento en IRPF, la reducción en un 46 por ciento del saldo deudor del impuesto sobre sociedades y el aumento del 10 por ciento en los especiales; el IVA gestión directa y los ajustes del co</w:t>
      </w:r>
      <w:r w:rsidRPr="00FB4216">
        <w:rPr>
          <w:rFonts w:ascii="Times New (W1)" w:hAnsi="Times New (W1)"/>
          <w:spacing w:val="-2"/>
          <w:sz w:val="24"/>
          <w:szCs w:val="24"/>
        </w:rPr>
        <w:t>n</w:t>
      </w:r>
      <w:r w:rsidRPr="00FB4216">
        <w:rPr>
          <w:rFonts w:ascii="Times New (W1)" w:hAnsi="Times New (W1)"/>
          <w:spacing w:val="-2"/>
          <w:sz w:val="24"/>
          <w:szCs w:val="24"/>
        </w:rPr>
        <w:t xml:space="preserve">venio han reducido su recaudación neta en un 18 y ocho por ciento, respectivamente. </w:t>
      </w:r>
    </w:p>
    <w:p w:rsidR="007E6AC4" w:rsidRPr="00C1449C" w:rsidRDefault="007E6AC4" w:rsidP="00C1449C">
      <w:pPr>
        <w:pStyle w:val="texto"/>
        <w:spacing w:after="180"/>
        <w:ind w:firstLine="0"/>
        <w:rPr>
          <w:rFonts w:ascii="Arial" w:hAnsi="Arial" w:cs="Arial"/>
          <w:i/>
          <w:spacing w:val="4"/>
          <w:sz w:val="23"/>
          <w:szCs w:val="23"/>
          <w:lang w:val="es-ES"/>
        </w:rPr>
      </w:pPr>
      <w:r w:rsidRPr="00C1449C">
        <w:rPr>
          <w:rFonts w:ascii="Arial" w:hAnsi="Arial" w:cs="Arial"/>
          <w:i/>
          <w:spacing w:val="4"/>
          <w:sz w:val="23"/>
          <w:szCs w:val="23"/>
          <w:lang w:val="es-ES"/>
        </w:rPr>
        <w:t>B) Situación financiera a 31 de julio de 2015</w:t>
      </w:r>
    </w:p>
    <w:p w:rsidR="007E6AC4" w:rsidRPr="00DF229E" w:rsidRDefault="007E6AC4" w:rsidP="007E6AC4">
      <w:pPr>
        <w:tabs>
          <w:tab w:val="center" w:pos="2835"/>
          <w:tab w:val="center" w:pos="3969"/>
          <w:tab w:val="center" w:pos="5103"/>
          <w:tab w:val="center" w:pos="6237"/>
          <w:tab w:val="center" w:pos="7371"/>
        </w:tabs>
        <w:ind w:firstLine="284"/>
        <w:rPr>
          <w:sz w:val="24"/>
          <w:szCs w:val="24"/>
        </w:rPr>
      </w:pPr>
      <w:proofErr w:type="gramStart"/>
      <w:r w:rsidRPr="00DF229E">
        <w:rPr>
          <w:b/>
          <w:sz w:val="24"/>
          <w:szCs w:val="24"/>
        </w:rPr>
        <w:t>6</w:t>
      </w:r>
      <w:r w:rsidR="00492ED7">
        <w:rPr>
          <w:b/>
          <w:sz w:val="24"/>
          <w:szCs w:val="24"/>
        </w:rPr>
        <w:t>.</w:t>
      </w:r>
      <w:r w:rsidRPr="00DF229E">
        <w:rPr>
          <w:b/>
          <w:sz w:val="24"/>
          <w:szCs w:val="24"/>
        </w:rPr>
        <w:t>ª</w:t>
      </w:r>
      <w:proofErr w:type="gramEnd"/>
      <w:r w:rsidRPr="00DF229E">
        <w:rPr>
          <w:b/>
          <w:sz w:val="24"/>
          <w:szCs w:val="24"/>
        </w:rPr>
        <w:t xml:space="preserve"> Indicadores de ejecución presupuestaria hasta el 31 de julio de 2015 y su co</w:t>
      </w:r>
      <w:r w:rsidRPr="00DF229E">
        <w:rPr>
          <w:b/>
          <w:sz w:val="24"/>
          <w:szCs w:val="24"/>
        </w:rPr>
        <w:t>m</w:t>
      </w:r>
      <w:r w:rsidRPr="00DF229E">
        <w:rPr>
          <w:b/>
          <w:sz w:val="24"/>
          <w:szCs w:val="24"/>
        </w:rPr>
        <w:t>paración con el mismo periodo de 2014.</w:t>
      </w:r>
      <w:r w:rsidRPr="00DF229E">
        <w:rPr>
          <w:sz w:val="24"/>
          <w:szCs w:val="24"/>
        </w:rPr>
        <w:t xml:space="preserve"> </w:t>
      </w:r>
    </w:p>
    <w:p w:rsidR="007E6AC4" w:rsidRPr="00DF229E" w:rsidRDefault="007E6AC4" w:rsidP="007E6AC4">
      <w:pPr>
        <w:tabs>
          <w:tab w:val="center" w:pos="2835"/>
          <w:tab w:val="center" w:pos="3969"/>
          <w:tab w:val="center" w:pos="5103"/>
          <w:tab w:val="center" w:pos="6237"/>
          <w:tab w:val="center" w:pos="7371"/>
        </w:tabs>
        <w:ind w:firstLine="284"/>
        <w:rPr>
          <w:sz w:val="24"/>
          <w:szCs w:val="24"/>
        </w:rPr>
      </w:pPr>
      <w:r w:rsidRPr="00DF229E">
        <w:rPr>
          <w:sz w:val="24"/>
          <w:szCs w:val="24"/>
        </w:rPr>
        <w:lastRenderedPageBreak/>
        <w:t>En el cuadro siguiente se muestra la evolución de un conjunto de indicadores y magn</w:t>
      </w:r>
      <w:r w:rsidRPr="00DF229E">
        <w:rPr>
          <w:sz w:val="24"/>
          <w:szCs w:val="24"/>
        </w:rPr>
        <w:t>i</w:t>
      </w:r>
      <w:r w:rsidRPr="00DF229E">
        <w:rPr>
          <w:sz w:val="24"/>
          <w:szCs w:val="24"/>
        </w:rPr>
        <w:t>tudes relativos a la ejecución presupuestaria acumulada</w:t>
      </w:r>
      <w:r>
        <w:rPr>
          <w:sz w:val="24"/>
          <w:szCs w:val="24"/>
        </w:rPr>
        <w:t xml:space="preserve"> de los periodos analizados, en m</w:t>
      </w:r>
      <w:r w:rsidRPr="00DF229E">
        <w:rPr>
          <w:sz w:val="24"/>
          <w:szCs w:val="24"/>
        </w:rPr>
        <w:t>i</w:t>
      </w:r>
      <w:r w:rsidRPr="00DF229E">
        <w:rPr>
          <w:sz w:val="24"/>
          <w:szCs w:val="24"/>
        </w:rPr>
        <w:t xml:space="preserve">les de euros, salvo los </w:t>
      </w:r>
      <w:r>
        <w:rPr>
          <w:sz w:val="24"/>
          <w:szCs w:val="24"/>
        </w:rPr>
        <w:t xml:space="preserve">importes indicados </w:t>
      </w:r>
      <w:r w:rsidRPr="00DF229E">
        <w:rPr>
          <w:sz w:val="24"/>
          <w:szCs w:val="24"/>
        </w:rPr>
        <w:t>expresamente en euros</w:t>
      </w:r>
      <w:r>
        <w:rPr>
          <w:sz w:val="24"/>
          <w:szCs w:val="24"/>
        </w:rPr>
        <w:t>.</w:t>
      </w:r>
    </w:p>
    <w:p w:rsidR="007E6AC4" w:rsidRPr="00F445BE" w:rsidRDefault="007E6AC4" w:rsidP="00F445BE">
      <w:pPr>
        <w:tabs>
          <w:tab w:val="center" w:pos="2835"/>
          <w:tab w:val="center" w:pos="3969"/>
          <w:tab w:val="center" w:pos="5103"/>
          <w:tab w:val="center" w:pos="6237"/>
          <w:tab w:val="center" w:pos="7371"/>
        </w:tabs>
        <w:spacing w:after="40"/>
        <w:ind w:firstLine="0"/>
        <w:rPr>
          <w:sz w:val="16"/>
          <w:szCs w:val="16"/>
        </w:rPr>
      </w:pPr>
    </w:p>
    <w:tbl>
      <w:tblPr>
        <w:tblW w:w="8889"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4662"/>
        <w:gridCol w:w="1409"/>
        <w:gridCol w:w="1409"/>
        <w:gridCol w:w="1409"/>
      </w:tblGrid>
      <w:tr w:rsidR="007E6AC4" w:rsidRPr="00FB4216" w:rsidTr="00D76373">
        <w:trPr>
          <w:trHeight w:hRule="exact" w:val="340"/>
          <w:jc w:val="center"/>
        </w:trPr>
        <w:tc>
          <w:tcPr>
            <w:tcW w:w="4662" w:type="dxa"/>
            <w:tcBorders>
              <w:bottom w:val="single" w:sz="4" w:space="0" w:color="auto"/>
            </w:tcBorders>
            <w:shd w:val="clear" w:color="auto" w:fill="8DB3E2" w:themeFill="text2" w:themeFillTint="66"/>
            <w:vAlign w:val="center"/>
          </w:tcPr>
          <w:p w:rsidR="007E6AC4" w:rsidRPr="00FB4216" w:rsidRDefault="007E6AC4" w:rsidP="009C1354">
            <w:pPr>
              <w:spacing w:after="0"/>
              <w:ind w:firstLine="0"/>
              <w:jc w:val="left"/>
              <w:rPr>
                <w:rFonts w:ascii="Arial" w:hAnsi="Arial" w:cs="Arial"/>
                <w:sz w:val="18"/>
                <w:szCs w:val="18"/>
                <w:lang w:val="es-ES" w:eastAsia="es-ES"/>
              </w:rPr>
            </w:pPr>
            <w:r w:rsidRPr="00FB4216">
              <w:rPr>
                <w:rFonts w:ascii="Arial" w:hAnsi="Arial" w:cs="Arial"/>
                <w:sz w:val="18"/>
                <w:szCs w:val="18"/>
                <w:lang w:val="es-ES" w:eastAsia="es-ES"/>
              </w:rPr>
              <w:t>Indicadores y magnitudes</w:t>
            </w:r>
          </w:p>
        </w:tc>
        <w:tc>
          <w:tcPr>
            <w:tcW w:w="1409" w:type="dxa"/>
            <w:tcBorders>
              <w:bottom w:val="single" w:sz="4" w:space="0" w:color="auto"/>
            </w:tcBorders>
            <w:shd w:val="clear" w:color="auto" w:fill="8DB3E2" w:themeFill="text2" w:themeFillTint="66"/>
            <w:vAlign w:val="center"/>
          </w:tcPr>
          <w:p w:rsidR="007E6AC4" w:rsidRPr="00FB4216" w:rsidRDefault="007E6AC4" w:rsidP="00D5295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FB4216">
              <w:rPr>
                <w:rFonts w:ascii="Arial" w:hAnsi="Arial" w:cs="Arial"/>
                <w:spacing w:val="6"/>
                <w:sz w:val="18"/>
                <w:szCs w:val="18"/>
                <w:lang w:val="es-ES" w:eastAsia="es-ES"/>
              </w:rPr>
              <w:t>Julio 2014</w:t>
            </w:r>
          </w:p>
        </w:tc>
        <w:tc>
          <w:tcPr>
            <w:tcW w:w="1409" w:type="dxa"/>
            <w:tcBorders>
              <w:bottom w:val="single" w:sz="4" w:space="0" w:color="auto"/>
            </w:tcBorders>
            <w:shd w:val="clear" w:color="auto" w:fill="8DB3E2" w:themeFill="text2" w:themeFillTint="66"/>
            <w:vAlign w:val="center"/>
          </w:tcPr>
          <w:p w:rsidR="007E6AC4" w:rsidRPr="00FB4216" w:rsidRDefault="007E6AC4" w:rsidP="00D5295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FB4216">
              <w:rPr>
                <w:rFonts w:ascii="Arial" w:hAnsi="Arial" w:cs="Arial"/>
                <w:spacing w:val="6"/>
                <w:sz w:val="18"/>
                <w:szCs w:val="18"/>
                <w:lang w:val="es-ES" w:eastAsia="es-ES"/>
              </w:rPr>
              <w:t>Julio 2015</w:t>
            </w:r>
          </w:p>
        </w:tc>
        <w:tc>
          <w:tcPr>
            <w:tcW w:w="1409" w:type="dxa"/>
            <w:tcBorders>
              <w:bottom w:val="single" w:sz="4" w:space="0" w:color="auto"/>
            </w:tcBorders>
            <w:shd w:val="clear" w:color="auto" w:fill="8DB3E2" w:themeFill="text2" w:themeFillTint="66"/>
            <w:vAlign w:val="center"/>
          </w:tcPr>
          <w:p w:rsidR="007E6AC4" w:rsidRPr="00FB4216" w:rsidRDefault="007E6AC4" w:rsidP="00D5295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lang w:val="es-ES" w:eastAsia="es-ES"/>
              </w:rPr>
            </w:pPr>
            <w:r w:rsidRPr="00FB4216">
              <w:rPr>
                <w:rFonts w:ascii="Arial" w:hAnsi="Arial" w:cs="Arial"/>
                <w:spacing w:val="6"/>
                <w:sz w:val="18"/>
                <w:szCs w:val="18"/>
                <w:lang w:val="es-ES" w:eastAsia="es-ES"/>
              </w:rPr>
              <w:t>% Var. 15/14</w:t>
            </w:r>
          </w:p>
        </w:tc>
      </w:tr>
      <w:tr w:rsidR="007E6AC4" w:rsidRPr="00095FF0" w:rsidTr="00D5295C">
        <w:trPr>
          <w:trHeight w:hRule="exact" w:val="255"/>
          <w:jc w:val="center"/>
        </w:trPr>
        <w:tc>
          <w:tcPr>
            <w:tcW w:w="4662" w:type="dxa"/>
            <w:tcBorders>
              <w:bottom w:val="single" w:sz="2" w:space="0" w:color="auto"/>
            </w:tcBorders>
            <w:shd w:val="clear" w:color="auto" w:fill="auto"/>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Total Obligaciones reconocidas</w:t>
            </w:r>
          </w:p>
        </w:tc>
        <w:tc>
          <w:tcPr>
            <w:tcW w:w="1409" w:type="dxa"/>
            <w:tcBorders>
              <w:bottom w:val="single" w:sz="2" w:space="0" w:color="auto"/>
            </w:tcBorders>
            <w:shd w:val="clear" w:color="auto" w:fill="auto"/>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2.033.135</w:t>
            </w:r>
          </w:p>
        </w:tc>
        <w:tc>
          <w:tcPr>
            <w:tcW w:w="1409" w:type="dxa"/>
            <w:tcBorders>
              <w:bottom w:val="single" w:sz="2" w:space="0" w:color="auto"/>
            </w:tcBorders>
            <w:shd w:val="clear" w:color="auto" w:fill="auto"/>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2.195.652</w:t>
            </w:r>
          </w:p>
        </w:tc>
        <w:tc>
          <w:tcPr>
            <w:tcW w:w="1409" w:type="dxa"/>
            <w:tcBorders>
              <w:bottom w:val="single" w:sz="2" w:space="0" w:color="auto"/>
            </w:tcBorders>
            <w:shd w:val="clear" w:color="auto" w:fill="auto"/>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8</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Total Derechos liquidados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2.133.014</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2.238.248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modificación del presupuesto inicial de gastos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ejecución gastos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56</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realización de ingresos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55</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pagos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recaudación neta</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80</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81</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Gastos corrientes  (1a 4)</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1.723.633</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1.809.615</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Gastos de funcionamiento (1, 2 y 4)</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1.656.277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1.730.905</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Carga financiera (3 y 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148.018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299.410</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102</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Gastos en inversiones (6 y 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98.174</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71.708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-27</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Gastos op</w:t>
            </w:r>
            <w:r>
              <w:rPr>
                <w:rFonts w:ascii="Arial Narrow" w:hAnsi="Arial Narrow"/>
                <w:lang w:val="es-ES" w:eastAsia="es-ES"/>
              </w:rPr>
              <w:t>eraciones</w:t>
            </w:r>
            <w:r w:rsidRPr="00095FF0">
              <w:rPr>
                <w:rFonts w:ascii="Arial Narrow" w:hAnsi="Arial Narrow"/>
                <w:lang w:val="es-ES" w:eastAsia="es-ES"/>
              </w:rPr>
              <w:t xml:space="preserve"> financieras (8 y 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210.788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314.329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49</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Ingresos corrientes (1 a 5)</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1.694.012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1.694.544</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0</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 tributarios (1 al 3)</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1.677.160</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1.670.669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0</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Ingresos tributarios sobre gastos corrientes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Ingresos de capital  (6 y 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28.513</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35.117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23</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Ingresos oper</w:t>
            </w:r>
            <w:r>
              <w:rPr>
                <w:rFonts w:ascii="Arial Narrow" w:hAnsi="Arial Narrow"/>
                <w:lang w:val="es-ES" w:eastAsia="es-ES"/>
              </w:rPr>
              <w:t>aciones</w:t>
            </w:r>
            <w:r w:rsidRPr="00095FF0">
              <w:rPr>
                <w:rFonts w:ascii="Arial Narrow" w:hAnsi="Arial Narrow"/>
                <w:lang w:val="es-ES" w:eastAsia="es-ES"/>
              </w:rPr>
              <w:t xml:space="preserve"> financieras (8 y 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410.489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508.587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24</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 xml:space="preserve">Saldo Presupuestario No Financiero </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-99.822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-151.662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52</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Saldo Primario</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-167.178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-230.372</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38</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Ahorro bruto</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37.735</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-36.361</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-196</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Ahorro neto</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-110.283</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-335.771</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204</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 por habitante(en euros)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3.173</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3.430</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8</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Gasto corriente por habitante (en euros)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2.690</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2.827</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w:t>
            </w:r>
          </w:p>
        </w:tc>
      </w:tr>
      <w:tr w:rsidR="007E6AC4" w:rsidRPr="00095FF0" w:rsidTr="00D5295C">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Carga financiera por habitante (en euros)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231</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468</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w:t>
            </w:r>
          </w:p>
        </w:tc>
      </w:tr>
      <w:tr w:rsidR="007E6AC4" w:rsidRPr="00095FF0" w:rsidTr="00BD5C28">
        <w:trPr>
          <w:trHeight w:hRule="exact" w:val="255"/>
          <w:jc w:val="center"/>
        </w:trPr>
        <w:tc>
          <w:tcPr>
            <w:tcW w:w="4662" w:type="dxa"/>
            <w:tcBorders>
              <w:top w:val="single" w:sz="2" w:space="0" w:color="auto"/>
              <w:bottom w:val="single" w:sz="2"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 por habitante(en euros)</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3.329</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3.496</w:t>
            </w:r>
          </w:p>
        </w:tc>
        <w:tc>
          <w:tcPr>
            <w:tcW w:w="1409" w:type="dxa"/>
            <w:tcBorders>
              <w:top w:val="single" w:sz="2" w:space="0" w:color="auto"/>
              <w:bottom w:val="single" w:sz="2"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5</w:t>
            </w:r>
          </w:p>
        </w:tc>
      </w:tr>
      <w:tr w:rsidR="007E6AC4" w:rsidRPr="00095FF0" w:rsidTr="00D5295C">
        <w:trPr>
          <w:trHeight w:hRule="exact" w:val="255"/>
          <w:jc w:val="center"/>
        </w:trPr>
        <w:tc>
          <w:tcPr>
            <w:tcW w:w="4662" w:type="dxa"/>
            <w:tcBorders>
              <w:top w:val="single" w:sz="2" w:space="0" w:color="auto"/>
              <w:bottom w:val="single" w:sz="4" w:space="0" w:color="auto"/>
            </w:tcBorders>
            <w:vAlign w:val="center"/>
          </w:tcPr>
          <w:p w:rsidR="007E6AC4" w:rsidRPr="00095FF0" w:rsidRDefault="007E6AC4" w:rsidP="009C1354">
            <w:pPr>
              <w:spacing w:after="0"/>
              <w:ind w:firstLine="0"/>
              <w:jc w:val="left"/>
              <w:rPr>
                <w:rFonts w:ascii="Arial Narrow" w:hAnsi="Arial Narrow"/>
                <w:lang w:val="es-ES" w:eastAsia="es-ES"/>
              </w:rPr>
            </w:pPr>
            <w:r w:rsidRPr="00095FF0">
              <w:rPr>
                <w:rFonts w:ascii="Arial Narrow" w:hAnsi="Arial Narrow"/>
                <w:lang w:val="es-ES" w:eastAsia="es-ES"/>
              </w:rPr>
              <w:t>Ingreso tributarios por habitante (en euros)</w:t>
            </w:r>
          </w:p>
        </w:tc>
        <w:tc>
          <w:tcPr>
            <w:tcW w:w="1409" w:type="dxa"/>
            <w:tcBorders>
              <w:top w:val="single" w:sz="2" w:space="0" w:color="auto"/>
              <w:bottom w:val="single" w:sz="4"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262</w:t>
            </w:r>
          </w:p>
        </w:tc>
        <w:tc>
          <w:tcPr>
            <w:tcW w:w="1409" w:type="dxa"/>
            <w:tcBorders>
              <w:top w:val="single" w:sz="2" w:space="0" w:color="auto"/>
              <w:bottom w:val="single" w:sz="4"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261</w:t>
            </w:r>
          </w:p>
        </w:tc>
        <w:tc>
          <w:tcPr>
            <w:tcW w:w="1409" w:type="dxa"/>
            <w:tcBorders>
              <w:top w:val="single" w:sz="2" w:space="0" w:color="auto"/>
              <w:bottom w:val="single" w:sz="4" w:space="0" w:color="auto"/>
            </w:tcBorders>
            <w:vAlign w:val="center"/>
          </w:tcPr>
          <w:p w:rsidR="007E6AC4" w:rsidRPr="00095FF0" w:rsidRDefault="007E6AC4" w:rsidP="00D5295C">
            <w:pPr>
              <w:spacing w:after="0"/>
              <w:ind w:firstLine="0"/>
              <w:jc w:val="right"/>
              <w:rPr>
                <w:rFonts w:ascii="Arial Narrow" w:hAnsi="Arial Narrow"/>
                <w:lang w:val="es-ES" w:eastAsia="es-ES"/>
              </w:rPr>
            </w:pPr>
            <w:r w:rsidRPr="00095FF0">
              <w:rPr>
                <w:rFonts w:ascii="Arial Narrow" w:hAnsi="Arial Narrow"/>
                <w:lang w:val="es-ES" w:eastAsia="es-ES"/>
              </w:rPr>
              <w:t>0</w:t>
            </w:r>
          </w:p>
        </w:tc>
      </w:tr>
    </w:tbl>
    <w:p w:rsidR="007E6AC4" w:rsidRPr="00FB4216" w:rsidRDefault="007E6AC4" w:rsidP="00BD5C28">
      <w:pPr>
        <w:spacing w:before="80" w:after="0"/>
        <w:ind w:firstLine="0"/>
        <w:jc w:val="left"/>
        <w:rPr>
          <w:rFonts w:ascii="Arial Narrow" w:hAnsi="Arial Narrow"/>
          <w:sz w:val="18"/>
          <w:szCs w:val="18"/>
          <w:lang w:val="es-ES" w:eastAsia="es-ES"/>
        </w:rPr>
      </w:pPr>
      <w:r w:rsidRPr="00FB4216">
        <w:rPr>
          <w:rFonts w:ascii="Arial Narrow" w:hAnsi="Arial Narrow"/>
          <w:sz w:val="18"/>
          <w:szCs w:val="18"/>
          <w:lang w:val="es-ES" w:eastAsia="es-ES"/>
        </w:rPr>
        <w:t>Población de Navarra en 2014: 640.790 habitantes</w:t>
      </w:r>
    </w:p>
    <w:p w:rsidR="007E6AC4" w:rsidRPr="00FB4216" w:rsidRDefault="007E6AC4" w:rsidP="00BD5C28">
      <w:pPr>
        <w:spacing w:before="20" w:after="0"/>
        <w:ind w:firstLine="0"/>
        <w:jc w:val="left"/>
        <w:rPr>
          <w:rFonts w:ascii="Arial Narrow" w:hAnsi="Arial Narrow"/>
          <w:sz w:val="18"/>
          <w:szCs w:val="18"/>
          <w:lang w:val="es-ES" w:eastAsia="es-ES"/>
        </w:rPr>
      </w:pPr>
      <w:r w:rsidRPr="00FB4216">
        <w:rPr>
          <w:rFonts w:ascii="Arial Narrow" w:hAnsi="Arial Narrow"/>
          <w:sz w:val="18"/>
          <w:szCs w:val="18"/>
          <w:lang w:val="es-ES" w:eastAsia="es-ES"/>
        </w:rPr>
        <w:t>Población de Navarra en 2015: 640.154 habitantes</w:t>
      </w:r>
    </w:p>
    <w:p w:rsidR="007E6AC4" w:rsidRDefault="007E6AC4" w:rsidP="007E6AC4">
      <w:pPr>
        <w:tabs>
          <w:tab w:val="center" w:pos="2835"/>
          <w:tab w:val="center" w:pos="3969"/>
          <w:tab w:val="center" w:pos="5103"/>
          <w:tab w:val="center" w:pos="6237"/>
          <w:tab w:val="center" w:pos="7371"/>
        </w:tabs>
        <w:spacing w:after="0"/>
        <w:ind w:firstLine="284"/>
        <w:rPr>
          <w:sz w:val="24"/>
        </w:rPr>
      </w:pPr>
    </w:p>
    <w:p w:rsidR="007E6AC4" w:rsidRPr="00DF229E" w:rsidRDefault="007E6AC4" w:rsidP="007E6AC4">
      <w:pPr>
        <w:tabs>
          <w:tab w:val="center" w:pos="2835"/>
          <w:tab w:val="center" w:pos="3969"/>
          <w:tab w:val="center" w:pos="5103"/>
          <w:tab w:val="center" w:pos="6237"/>
          <w:tab w:val="center" w:pos="7371"/>
        </w:tabs>
        <w:ind w:firstLine="284"/>
        <w:rPr>
          <w:sz w:val="24"/>
        </w:rPr>
      </w:pPr>
      <w:r w:rsidRPr="00DF229E">
        <w:rPr>
          <w:sz w:val="24"/>
        </w:rPr>
        <w:t>Además de las conclusiones comentadas en apartados anteriores, del análisis del ant</w:t>
      </w:r>
      <w:r w:rsidRPr="00DF229E">
        <w:rPr>
          <w:sz w:val="24"/>
        </w:rPr>
        <w:t>e</w:t>
      </w:r>
      <w:r w:rsidRPr="00DF229E">
        <w:rPr>
          <w:sz w:val="24"/>
        </w:rPr>
        <w:t>rior cuadro destacamos:</w:t>
      </w:r>
    </w:p>
    <w:p w:rsidR="007E6AC4" w:rsidRPr="00DF229E" w:rsidRDefault="007E6AC4" w:rsidP="00D5295C">
      <w:pPr>
        <w:numPr>
          <w:ilvl w:val="0"/>
          <w:numId w:val="16"/>
        </w:numPr>
        <w:tabs>
          <w:tab w:val="num" w:pos="300"/>
          <w:tab w:val="left" w:pos="480"/>
        </w:tabs>
        <w:spacing w:after="260"/>
        <w:ind w:firstLine="289"/>
        <w:rPr>
          <w:sz w:val="24"/>
        </w:rPr>
      </w:pPr>
      <w:r w:rsidRPr="00DF229E">
        <w:rPr>
          <w:sz w:val="24"/>
        </w:rPr>
        <w:t>Cada 100 euros gastos por el Gobierno de Navarra en julio de 2014 y de 2015 se de</w:t>
      </w:r>
      <w:r w:rsidRPr="00DF229E">
        <w:rPr>
          <w:sz w:val="24"/>
        </w:rPr>
        <w:t>s</w:t>
      </w:r>
      <w:r w:rsidRPr="00DF229E">
        <w:rPr>
          <w:sz w:val="24"/>
        </w:rPr>
        <w:t xml:space="preserve">tinado y financiado de la siguiente manera: </w:t>
      </w:r>
    </w:p>
    <w:tbl>
      <w:tblPr>
        <w:tblW w:w="8812" w:type="dxa"/>
        <w:jc w:val="center"/>
        <w:tblCellMar>
          <w:left w:w="70" w:type="dxa"/>
          <w:right w:w="70" w:type="dxa"/>
        </w:tblCellMar>
        <w:tblLook w:val="0000" w:firstRow="0" w:lastRow="0" w:firstColumn="0" w:lastColumn="0" w:noHBand="0" w:noVBand="0"/>
      </w:tblPr>
      <w:tblGrid>
        <w:gridCol w:w="2031"/>
        <w:gridCol w:w="1202"/>
        <w:gridCol w:w="1146"/>
        <w:gridCol w:w="2101"/>
        <w:gridCol w:w="1104"/>
        <w:gridCol w:w="1228"/>
      </w:tblGrid>
      <w:tr w:rsidR="007E6AC4" w:rsidRPr="00EF01DC" w:rsidTr="00195087">
        <w:trPr>
          <w:trHeight w:val="255"/>
          <w:jc w:val="center"/>
        </w:trPr>
        <w:tc>
          <w:tcPr>
            <w:tcW w:w="2031" w:type="dxa"/>
            <w:tcBorders>
              <w:top w:val="single" w:sz="4" w:space="0" w:color="auto"/>
              <w:bottom w:val="single" w:sz="4" w:space="0" w:color="auto"/>
            </w:tcBorders>
            <w:shd w:val="clear" w:color="auto" w:fill="8DB3E2" w:themeFill="text2" w:themeFillTint="66"/>
            <w:noWrap/>
            <w:vAlign w:val="center"/>
          </w:tcPr>
          <w:p w:rsidR="007E6AC4" w:rsidRPr="00EF01DC"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7"/>
                <w:szCs w:val="17"/>
              </w:rPr>
            </w:pPr>
            <w:r w:rsidRPr="00EF01DC">
              <w:rPr>
                <w:rFonts w:ascii="Arial" w:hAnsi="Arial" w:cs="Arial"/>
                <w:sz w:val="17"/>
                <w:szCs w:val="17"/>
              </w:rPr>
              <w:t>Naturaleza del Gasto</w:t>
            </w:r>
          </w:p>
        </w:tc>
        <w:tc>
          <w:tcPr>
            <w:tcW w:w="1202" w:type="dxa"/>
            <w:tcBorders>
              <w:top w:val="single" w:sz="4" w:space="0" w:color="auto"/>
              <w:bottom w:val="single" w:sz="4" w:space="0" w:color="auto"/>
            </w:tcBorders>
            <w:shd w:val="clear" w:color="auto" w:fill="8DB3E2" w:themeFill="text2" w:themeFillTint="66"/>
            <w:noWrap/>
            <w:vAlign w:val="center"/>
          </w:tcPr>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Importe</w:t>
            </w:r>
          </w:p>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31-jul</w:t>
            </w:r>
            <w:r>
              <w:rPr>
                <w:rFonts w:ascii="Arial" w:hAnsi="Arial" w:cs="Arial"/>
                <w:sz w:val="17"/>
                <w:szCs w:val="17"/>
              </w:rPr>
              <w:t>-</w:t>
            </w:r>
            <w:r w:rsidRPr="00EF01DC">
              <w:rPr>
                <w:rFonts w:ascii="Arial" w:hAnsi="Arial" w:cs="Arial"/>
                <w:sz w:val="17"/>
                <w:szCs w:val="17"/>
              </w:rPr>
              <w:t>2014</w:t>
            </w:r>
          </w:p>
        </w:tc>
        <w:tc>
          <w:tcPr>
            <w:tcW w:w="1146" w:type="dxa"/>
            <w:tcBorders>
              <w:top w:val="single" w:sz="4" w:space="0" w:color="auto"/>
              <w:bottom w:val="single" w:sz="4" w:space="0" w:color="auto"/>
            </w:tcBorders>
            <w:shd w:val="clear" w:color="auto" w:fill="8DB3E2" w:themeFill="text2" w:themeFillTint="66"/>
            <w:noWrap/>
            <w:vAlign w:val="center"/>
          </w:tcPr>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Importe</w:t>
            </w:r>
          </w:p>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31-jul</w:t>
            </w:r>
            <w:r>
              <w:rPr>
                <w:rFonts w:ascii="Arial" w:hAnsi="Arial" w:cs="Arial"/>
                <w:sz w:val="17"/>
                <w:szCs w:val="17"/>
              </w:rPr>
              <w:t>-</w:t>
            </w:r>
            <w:r w:rsidRPr="00EF01DC">
              <w:rPr>
                <w:rFonts w:ascii="Arial" w:hAnsi="Arial" w:cs="Arial"/>
                <w:sz w:val="17"/>
                <w:szCs w:val="17"/>
              </w:rPr>
              <w:t>2015</w:t>
            </w:r>
          </w:p>
        </w:tc>
        <w:tc>
          <w:tcPr>
            <w:tcW w:w="2101" w:type="dxa"/>
            <w:tcBorders>
              <w:top w:val="single" w:sz="4" w:space="0" w:color="auto"/>
              <w:bottom w:val="single" w:sz="4" w:space="0" w:color="auto"/>
            </w:tcBorders>
            <w:shd w:val="clear" w:color="auto" w:fill="8DB3E2" w:themeFill="text2" w:themeFillTint="66"/>
            <w:noWrap/>
            <w:vAlign w:val="center"/>
          </w:tcPr>
          <w:p w:rsidR="007E6AC4" w:rsidRDefault="007E6AC4" w:rsidP="009C1354">
            <w:pPr>
              <w:keepLines/>
              <w:tabs>
                <w:tab w:val="right" w:pos="2835"/>
                <w:tab w:val="right" w:pos="3969"/>
                <w:tab w:val="right" w:pos="5103"/>
                <w:tab w:val="right" w:pos="6237"/>
                <w:tab w:val="right" w:pos="7371"/>
              </w:tabs>
              <w:spacing w:after="0"/>
              <w:ind w:left="46" w:right="-6" w:firstLine="0"/>
              <w:jc w:val="left"/>
              <w:rPr>
                <w:rFonts w:ascii="Arial" w:hAnsi="Arial" w:cs="Arial"/>
                <w:sz w:val="17"/>
                <w:szCs w:val="17"/>
              </w:rPr>
            </w:pPr>
            <w:r w:rsidRPr="00EF01DC">
              <w:rPr>
                <w:rFonts w:ascii="Arial" w:hAnsi="Arial" w:cs="Arial"/>
                <w:sz w:val="17"/>
                <w:szCs w:val="17"/>
              </w:rPr>
              <w:t>Fuente de</w:t>
            </w:r>
          </w:p>
          <w:p w:rsidR="007E6AC4" w:rsidRPr="00EF01DC" w:rsidRDefault="007E6AC4" w:rsidP="009C1354">
            <w:pPr>
              <w:keepLines/>
              <w:tabs>
                <w:tab w:val="right" w:pos="2835"/>
                <w:tab w:val="right" w:pos="3969"/>
                <w:tab w:val="right" w:pos="5103"/>
                <w:tab w:val="right" w:pos="6237"/>
                <w:tab w:val="right" w:pos="7371"/>
              </w:tabs>
              <w:spacing w:after="0"/>
              <w:ind w:left="46" w:right="-6" w:firstLine="0"/>
              <w:jc w:val="left"/>
              <w:rPr>
                <w:rFonts w:ascii="Arial" w:hAnsi="Arial" w:cs="Arial"/>
                <w:sz w:val="17"/>
                <w:szCs w:val="17"/>
              </w:rPr>
            </w:pPr>
            <w:r w:rsidRPr="00EF01DC">
              <w:rPr>
                <w:rFonts w:ascii="Arial" w:hAnsi="Arial" w:cs="Arial"/>
                <w:sz w:val="17"/>
                <w:szCs w:val="17"/>
              </w:rPr>
              <w:t>financiación</w:t>
            </w:r>
          </w:p>
        </w:tc>
        <w:tc>
          <w:tcPr>
            <w:tcW w:w="1104" w:type="dxa"/>
            <w:tcBorders>
              <w:top w:val="single" w:sz="4" w:space="0" w:color="auto"/>
              <w:bottom w:val="single" w:sz="4" w:space="0" w:color="auto"/>
            </w:tcBorders>
            <w:shd w:val="clear" w:color="auto" w:fill="8DB3E2" w:themeFill="text2" w:themeFillTint="66"/>
            <w:noWrap/>
            <w:vAlign w:val="center"/>
          </w:tcPr>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Importe</w:t>
            </w:r>
          </w:p>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31-jul</w:t>
            </w:r>
            <w:r>
              <w:rPr>
                <w:rFonts w:ascii="Arial" w:hAnsi="Arial" w:cs="Arial"/>
                <w:sz w:val="17"/>
                <w:szCs w:val="17"/>
              </w:rPr>
              <w:t>-</w:t>
            </w:r>
            <w:r w:rsidRPr="00EF01DC">
              <w:rPr>
                <w:rFonts w:ascii="Arial" w:hAnsi="Arial" w:cs="Arial"/>
                <w:sz w:val="17"/>
                <w:szCs w:val="17"/>
              </w:rPr>
              <w:t>2014</w:t>
            </w:r>
          </w:p>
        </w:tc>
        <w:tc>
          <w:tcPr>
            <w:tcW w:w="1228" w:type="dxa"/>
            <w:tcBorders>
              <w:top w:val="single" w:sz="4" w:space="0" w:color="auto"/>
              <w:bottom w:val="single" w:sz="4" w:space="0" w:color="auto"/>
            </w:tcBorders>
            <w:shd w:val="clear" w:color="auto" w:fill="8DB3E2" w:themeFill="text2" w:themeFillTint="66"/>
            <w:noWrap/>
            <w:vAlign w:val="center"/>
          </w:tcPr>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Importe</w:t>
            </w:r>
          </w:p>
          <w:p w:rsidR="007E6AC4" w:rsidRPr="00EF01D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7"/>
                <w:szCs w:val="17"/>
              </w:rPr>
            </w:pPr>
            <w:r w:rsidRPr="00EF01DC">
              <w:rPr>
                <w:rFonts w:ascii="Arial" w:hAnsi="Arial" w:cs="Arial"/>
                <w:sz w:val="17"/>
                <w:szCs w:val="17"/>
              </w:rPr>
              <w:t>31-jul</w:t>
            </w:r>
            <w:r>
              <w:rPr>
                <w:rFonts w:ascii="Arial" w:hAnsi="Arial" w:cs="Arial"/>
                <w:sz w:val="17"/>
                <w:szCs w:val="17"/>
              </w:rPr>
              <w:t>-</w:t>
            </w:r>
            <w:r w:rsidRPr="00EF01DC">
              <w:rPr>
                <w:rFonts w:ascii="Arial" w:hAnsi="Arial" w:cs="Arial"/>
                <w:sz w:val="17"/>
                <w:szCs w:val="17"/>
              </w:rPr>
              <w:t>2015</w:t>
            </w:r>
          </w:p>
        </w:tc>
      </w:tr>
      <w:tr w:rsidR="007E6AC4" w:rsidRPr="00095FF0" w:rsidTr="009C1354">
        <w:trPr>
          <w:trHeight w:val="255"/>
          <w:jc w:val="center"/>
        </w:trPr>
        <w:tc>
          <w:tcPr>
            <w:tcW w:w="2031"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Personal</w:t>
            </w:r>
          </w:p>
        </w:tc>
        <w:tc>
          <w:tcPr>
            <w:tcW w:w="1202"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31</w:t>
            </w:r>
          </w:p>
        </w:tc>
        <w:tc>
          <w:tcPr>
            <w:tcW w:w="1146"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30</w:t>
            </w:r>
          </w:p>
        </w:tc>
        <w:tc>
          <w:tcPr>
            <w:tcW w:w="2101"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Ingresos tributarios</w:t>
            </w:r>
          </w:p>
        </w:tc>
        <w:tc>
          <w:tcPr>
            <w:tcW w:w="1104"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78</w:t>
            </w:r>
          </w:p>
        </w:tc>
        <w:tc>
          <w:tcPr>
            <w:tcW w:w="1228"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75</w:t>
            </w:r>
          </w:p>
        </w:tc>
      </w:tr>
      <w:tr w:rsidR="007E6AC4" w:rsidRPr="00095FF0"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szCs w:val="24"/>
              </w:rPr>
              <w:t xml:space="preserve">Bienes </w:t>
            </w:r>
            <w:proofErr w:type="spellStart"/>
            <w:r>
              <w:rPr>
                <w:rFonts w:ascii="Arial Narrow" w:hAnsi="Arial Narrow"/>
                <w:spacing w:val="6"/>
                <w:szCs w:val="24"/>
              </w:rPr>
              <w:t>corr</w:t>
            </w:r>
            <w:proofErr w:type="spellEnd"/>
            <w:r>
              <w:rPr>
                <w:rFonts w:ascii="Arial Narrow" w:hAnsi="Arial Narrow"/>
                <w:spacing w:val="6"/>
                <w:szCs w:val="24"/>
              </w:rPr>
              <w:t>.</w:t>
            </w:r>
            <w:r w:rsidR="00BD5C28">
              <w:rPr>
                <w:rFonts w:ascii="Arial Narrow" w:hAnsi="Arial Narrow"/>
                <w:spacing w:val="6"/>
                <w:szCs w:val="24"/>
              </w:rPr>
              <w:t xml:space="preserve"> </w:t>
            </w:r>
            <w:r w:rsidRPr="00095FF0">
              <w:rPr>
                <w:rFonts w:ascii="Arial Narrow" w:hAnsi="Arial Narrow"/>
                <w:spacing w:val="6"/>
                <w:szCs w:val="24"/>
              </w:rPr>
              <w:t>y servicios</w:t>
            </w:r>
          </w:p>
        </w:tc>
        <w:tc>
          <w:tcPr>
            <w:tcW w:w="1202"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w:t>
            </w:r>
          </w:p>
        </w:tc>
        <w:tc>
          <w:tcPr>
            <w:tcW w:w="1146"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w:t>
            </w:r>
          </w:p>
        </w:tc>
        <w:tc>
          <w:tcPr>
            <w:tcW w:w="210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Ingresos transferencias</w:t>
            </w:r>
          </w:p>
        </w:tc>
        <w:tc>
          <w:tcPr>
            <w:tcW w:w="1104"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c>
          <w:tcPr>
            <w:tcW w:w="1228"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r>
      <w:tr w:rsidR="007E6AC4" w:rsidRPr="00095FF0"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Gastos transferencias</w:t>
            </w:r>
          </w:p>
        </w:tc>
        <w:tc>
          <w:tcPr>
            <w:tcW w:w="1202"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41</w:t>
            </w:r>
          </w:p>
        </w:tc>
        <w:tc>
          <w:tcPr>
            <w:tcW w:w="1146"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38</w:t>
            </w:r>
          </w:p>
        </w:tc>
        <w:tc>
          <w:tcPr>
            <w:tcW w:w="210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 xml:space="preserve">Ingresos </w:t>
            </w:r>
            <w:proofErr w:type="spellStart"/>
            <w:r w:rsidRPr="00095FF0">
              <w:rPr>
                <w:rFonts w:ascii="Arial Narrow" w:hAnsi="Arial Narrow"/>
                <w:spacing w:val="6"/>
                <w:szCs w:val="24"/>
              </w:rPr>
              <w:t>patrim</w:t>
            </w:r>
            <w:proofErr w:type="spellEnd"/>
            <w:r>
              <w:rPr>
                <w:rFonts w:ascii="Arial Narrow" w:hAnsi="Arial Narrow"/>
                <w:spacing w:val="6"/>
                <w:szCs w:val="24"/>
              </w:rPr>
              <w:t>.</w:t>
            </w:r>
            <w:r w:rsidRPr="00095FF0">
              <w:rPr>
                <w:rFonts w:ascii="Arial Narrow" w:hAnsi="Arial Narrow"/>
                <w:spacing w:val="6"/>
                <w:szCs w:val="24"/>
              </w:rPr>
              <w:t xml:space="preserve"> y otros</w:t>
            </w:r>
          </w:p>
        </w:tc>
        <w:tc>
          <w:tcPr>
            <w:tcW w:w="1104"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w:t>
            </w:r>
          </w:p>
        </w:tc>
        <w:tc>
          <w:tcPr>
            <w:tcW w:w="1228"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w:t>
            </w:r>
          </w:p>
        </w:tc>
      </w:tr>
      <w:tr w:rsidR="007E6AC4" w:rsidRPr="00095FF0"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Inversiones reales</w:t>
            </w:r>
          </w:p>
        </w:tc>
        <w:tc>
          <w:tcPr>
            <w:tcW w:w="1202"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c>
          <w:tcPr>
            <w:tcW w:w="1146"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w:t>
            </w:r>
          </w:p>
        </w:tc>
        <w:tc>
          <w:tcPr>
            <w:tcW w:w="210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Endeudamiento</w:t>
            </w:r>
          </w:p>
        </w:tc>
        <w:tc>
          <w:tcPr>
            <w:tcW w:w="1104"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w:t>
            </w:r>
          </w:p>
        </w:tc>
        <w:tc>
          <w:tcPr>
            <w:tcW w:w="1228"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w:t>
            </w:r>
          </w:p>
        </w:tc>
      </w:tr>
      <w:tr w:rsidR="007E6AC4" w:rsidRPr="00095FF0" w:rsidTr="009C1354">
        <w:trPr>
          <w:trHeight w:val="255"/>
          <w:jc w:val="center"/>
        </w:trPr>
        <w:tc>
          <w:tcPr>
            <w:tcW w:w="203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Carga financiera</w:t>
            </w:r>
          </w:p>
        </w:tc>
        <w:tc>
          <w:tcPr>
            <w:tcW w:w="1202"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7</w:t>
            </w:r>
          </w:p>
        </w:tc>
        <w:tc>
          <w:tcPr>
            <w:tcW w:w="1146"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w:t>
            </w:r>
          </w:p>
        </w:tc>
        <w:tc>
          <w:tcPr>
            <w:tcW w:w="210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 </w:t>
            </w:r>
          </w:p>
        </w:tc>
        <w:tc>
          <w:tcPr>
            <w:tcW w:w="1104"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p>
        </w:tc>
        <w:tc>
          <w:tcPr>
            <w:tcW w:w="1228"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p>
        </w:tc>
      </w:tr>
      <w:tr w:rsidR="007E6AC4" w:rsidRPr="00095FF0" w:rsidTr="00BD5C28">
        <w:trPr>
          <w:trHeight w:val="255"/>
          <w:jc w:val="center"/>
        </w:trPr>
        <w:tc>
          <w:tcPr>
            <w:tcW w:w="203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 xml:space="preserve">Activos financieros </w:t>
            </w:r>
          </w:p>
        </w:tc>
        <w:tc>
          <w:tcPr>
            <w:tcW w:w="1202"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6</w:t>
            </w:r>
          </w:p>
        </w:tc>
        <w:tc>
          <w:tcPr>
            <w:tcW w:w="1146"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w:t>
            </w:r>
          </w:p>
        </w:tc>
        <w:tc>
          <w:tcPr>
            <w:tcW w:w="2101"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left="46" w:firstLine="0"/>
              <w:jc w:val="left"/>
              <w:rPr>
                <w:rFonts w:ascii="Arial Narrow" w:hAnsi="Arial Narrow"/>
                <w:spacing w:val="6"/>
                <w:szCs w:val="24"/>
              </w:rPr>
            </w:pPr>
            <w:r w:rsidRPr="00095FF0">
              <w:rPr>
                <w:rFonts w:ascii="Arial Narrow" w:hAnsi="Arial Narrow"/>
                <w:spacing w:val="6"/>
                <w:szCs w:val="24"/>
              </w:rPr>
              <w:t> </w:t>
            </w:r>
          </w:p>
        </w:tc>
        <w:tc>
          <w:tcPr>
            <w:tcW w:w="1104"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p>
        </w:tc>
        <w:tc>
          <w:tcPr>
            <w:tcW w:w="1228" w:type="dxa"/>
            <w:tcBorders>
              <w:top w:val="single" w:sz="2"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p>
        </w:tc>
      </w:tr>
      <w:tr w:rsidR="007E6AC4" w:rsidRPr="00EF01DC" w:rsidTr="009C1354">
        <w:trPr>
          <w:trHeight w:val="255"/>
          <w:jc w:val="center"/>
        </w:trPr>
        <w:tc>
          <w:tcPr>
            <w:tcW w:w="2031"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EF01DC">
              <w:rPr>
                <w:rFonts w:ascii="Arial" w:hAnsi="Arial" w:cs="Arial"/>
                <w:spacing w:val="6"/>
                <w:sz w:val="18"/>
                <w:szCs w:val="18"/>
              </w:rPr>
              <w:t> </w:t>
            </w:r>
          </w:p>
        </w:tc>
        <w:tc>
          <w:tcPr>
            <w:tcW w:w="1202"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F01DC">
              <w:rPr>
                <w:rFonts w:ascii="Arial" w:hAnsi="Arial" w:cs="Arial"/>
                <w:spacing w:val="6"/>
                <w:sz w:val="18"/>
                <w:szCs w:val="18"/>
              </w:rPr>
              <w:t>100</w:t>
            </w:r>
            <w:r>
              <w:rPr>
                <w:rFonts w:ascii="Arial" w:hAnsi="Arial" w:cs="Arial"/>
                <w:spacing w:val="6"/>
                <w:sz w:val="18"/>
                <w:szCs w:val="18"/>
              </w:rPr>
              <w:t>€</w:t>
            </w:r>
          </w:p>
        </w:tc>
        <w:tc>
          <w:tcPr>
            <w:tcW w:w="1146"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F01DC">
              <w:rPr>
                <w:rFonts w:ascii="Arial" w:hAnsi="Arial" w:cs="Arial"/>
                <w:spacing w:val="6"/>
                <w:sz w:val="18"/>
                <w:szCs w:val="18"/>
              </w:rPr>
              <w:t>100</w:t>
            </w:r>
            <w:r>
              <w:rPr>
                <w:rFonts w:ascii="Arial" w:hAnsi="Arial" w:cs="Arial"/>
                <w:spacing w:val="6"/>
                <w:sz w:val="18"/>
                <w:szCs w:val="18"/>
              </w:rPr>
              <w:t>€</w:t>
            </w:r>
          </w:p>
        </w:tc>
        <w:tc>
          <w:tcPr>
            <w:tcW w:w="2101"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left="46" w:firstLine="0"/>
              <w:jc w:val="left"/>
              <w:rPr>
                <w:rFonts w:ascii="Arial" w:hAnsi="Arial" w:cs="Arial"/>
                <w:spacing w:val="6"/>
                <w:sz w:val="18"/>
                <w:szCs w:val="18"/>
              </w:rPr>
            </w:pPr>
          </w:p>
        </w:tc>
        <w:tc>
          <w:tcPr>
            <w:tcW w:w="1104"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F01DC">
              <w:rPr>
                <w:rFonts w:ascii="Arial" w:hAnsi="Arial" w:cs="Arial"/>
                <w:spacing w:val="6"/>
                <w:sz w:val="18"/>
                <w:szCs w:val="18"/>
              </w:rPr>
              <w:t>100</w:t>
            </w:r>
            <w:r>
              <w:rPr>
                <w:rFonts w:ascii="Arial" w:hAnsi="Arial" w:cs="Arial"/>
                <w:spacing w:val="6"/>
                <w:sz w:val="18"/>
                <w:szCs w:val="18"/>
              </w:rPr>
              <w:t>€</w:t>
            </w:r>
          </w:p>
        </w:tc>
        <w:tc>
          <w:tcPr>
            <w:tcW w:w="1228" w:type="dxa"/>
            <w:tcBorders>
              <w:top w:val="single" w:sz="2" w:space="0" w:color="auto"/>
              <w:bottom w:val="single" w:sz="4" w:space="0" w:color="auto"/>
            </w:tcBorders>
            <w:shd w:val="clear" w:color="auto" w:fill="auto"/>
            <w:noWrap/>
            <w:vAlign w:val="center"/>
          </w:tcPr>
          <w:p w:rsidR="007E6AC4" w:rsidRPr="00EF01DC"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F01DC">
              <w:rPr>
                <w:rFonts w:ascii="Arial" w:hAnsi="Arial" w:cs="Arial"/>
                <w:spacing w:val="6"/>
                <w:sz w:val="18"/>
                <w:szCs w:val="18"/>
              </w:rPr>
              <w:t>100</w:t>
            </w:r>
            <w:r>
              <w:rPr>
                <w:rFonts w:ascii="Arial" w:hAnsi="Arial" w:cs="Arial"/>
                <w:spacing w:val="6"/>
                <w:sz w:val="18"/>
                <w:szCs w:val="18"/>
              </w:rPr>
              <w:t>€</w:t>
            </w:r>
          </w:p>
        </w:tc>
      </w:tr>
    </w:tbl>
    <w:p w:rsidR="007E6AC4" w:rsidRPr="00DF229E" w:rsidRDefault="007E6AC4" w:rsidP="00D5295C">
      <w:pPr>
        <w:numPr>
          <w:ilvl w:val="0"/>
          <w:numId w:val="16"/>
        </w:numPr>
        <w:tabs>
          <w:tab w:val="num" w:pos="300"/>
          <w:tab w:val="left" w:pos="480"/>
        </w:tabs>
        <w:spacing w:before="260" w:after="0"/>
        <w:ind w:firstLine="289"/>
        <w:rPr>
          <w:sz w:val="24"/>
          <w:szCs w:val="24"/>
        </w:rPr>
      </w:pPr>
      <w:r w:rsidRPr="00DF229E">
        <w:rPr>
          <w:sz w:val="24"/>
          <w:szCs w:val="24"/>
        </w:rPr>
        <w:lastRenderedPageBreak/>
        <w:t>Los gastos corrientes y de funcionamiento se han incrementado en un cinco por cie</w:t>
      </w:r>
      <w:r w:rsidRPr="00DF229E">
        <w:rPr>
          <w:sz w:val="24"/>
          <w:szCs w:val="24"/>
        </w:rPr>
        <w:t>n</w:t>
      </w:r>
      <w:r w:rsidRPr="00DF229E">
        <w:rPr>
          <w:sz w:val="24"/>
          <w:szCs w:val="24"/>
        </w:rPr>
        <w:t>to, respectivamente, en tanto que los ingresos corrientes permanecen al mismo nivel en ambos periodos analizados.</w:t>
      </w:r>
    </w:p>
    <w:p w:rsidR="007E6AC4" w:rsidRPr="00DF229E" w:rsidRDefault="007E6AC4" w:rsidP="006E7BBF">
      <w:pPr>
        <w:numPr>
          <w:ilvl w:val="0"/>
          <w:numId w:val="16"/>
        </w:numPr>
        <w:tabs>
          <w:tab w:val="num" w:pos="300"/>
          <w:tab w:val="left" w:pos="480"/>
        </w:tabs>
        <w:spacing w:after="120"/>
        <w:ind w:firstLine="289"/>
        <w:rPr>
          <w:sz w:val="24"/>
          <w:szCs w:val="24"/>
        </w:rPr>
      </w:pPr>
      <w:r w:rsidRPr="00DF229E">
        <w:rPr>
          <w:sz w:val="24"/>
          <w:szCs w:val="24"/>
        </w:rPr>
        <w:t>La carga financiera se ha incrementado prácticamente el doble, mientras que las op</w:t>
      </w:r>
      <w:r w:rsidRPr="00DF229E">
        <w:rPr>
          <w:sz w:val="24"/>
          <w:szCs w:val="24"/>
        </w:rPr>
        <w:t>e</w:t>
      </w:r>
      <w:r w:rsidRPr="00DF229E">
        <w:rPr>
          <w:sz w:val="24"/>
          <w:szCs w:val="24"/>
        </w:rPr>
        <w:t>raciones de capital (inversiones y transferencias de capital) se han reducido en un 27 por ciento.</w:t>
      </w:r>
    </w:p>
    <w:p w:rsidR="007E6AC4" w:rsidRPr="00DF229E" w:rsidRDefault="007E6AC4" w:rsidP="006E7BBF">
      <w:pPr>
        <w:numPr>
          <w:ilvl w:val="0"/>
          <w:numId w:val="16"/>
        </w:numPr>
        <w:tabs>
          <w:tab w:val="num" w:pos="300"/>
          <w:tab w:val="left" w:pos="480"/>
        </w:tabs>
        <w:spacing w:after="120"/>
        <w:ind w:firstLine="289"/>
        <w:rPr>
          <w:sz w:val="24"/>
          <w:szCs w:val="24"/>
        </w:rPr>
      </w:pPr>
      <w:r w:rsidRPr="00DF229E">
        <w:rPr>
          <w:sz w:val="24"/>
          <w:szCs w:val="24"/>
        </w:rPr>
        <w:t>Los ingresos tributarios no experimentan prácticamente variación, lo que se traduce en una reducción del porcentaje que los relaciona con los gastos corrientes (del 97 al 92 por ciento).</w:t>
      </w:r>
    </w:p>
    <w:p w:rsidR="007E6AC4" w:rsidRPr="00DF229E" w:rsidRDefault="007E6AC4" w:rsidP="009F0A9B">
      <w:pPr>
        <w:numPr>
          <w:ilvl w:val="0"/>
          <w:numId w:val="16"/>
        </w:numPr>
        <w:tabs>
          <w:tab w:val="num" w:pos="300"/>
          <w:tab w:val="left" w:pos="480"/>
        </w:tabs>
        <w:spacing w:after="240"/>
        <w:ind w:firstLine="289"/>
        <w:rPr>
          <w:sz w:val="24"/>
          <w:szCs w:val="24"/>
        </w:rPr>
      </w:pPr>
      <w:r w:rsidRPr="00DF229E">
        <w:rPr>
          <w:sz w:val="24"/>
          <w:szCs w:val="24"/>
        </w:rPr>
        <w:t>El saldo presupuestario no financiero ha incrementado su importe negativo (déficit) en un 52 por ciento, alcanzando en julio de 2015 un valor de 152 millones, de acuerdo con el siguiente cuadro explicativo</w:t>
      </w:r>
      <w:r>
        <w:rPr>
          <w:sz w:val="24"/>
          <w:szCs w:val="24"/>
        </w:rPr>
        <w:t xml:space="preserve">, </w:t>
      </w:r>
      <w:r w:rsidRPr="00DF229E">
        <w:rPr>
          <w:sz w:val="24"/>
          <w:szCs w:val="24"/>
        </w:rPr>
        <w:t>en miles de euros</w:t>
      </w:r>
      <w:r>
        <w:rPr>
          <w:sz w:val="24"/>
          <w:szCs w:val="24"/>
        </w:rPr>
        <w:t>.</w:t>
      </w:r>
    </w:p>
    <w:tbl>
      <w:tblPr>
        <w:tblW w:w="8747" w:type="dxa"/>
        <w:jc w:val="center"/>
        <w:tblCellMar>
          <w:left w:w="70" w:type="dxa"/>
          <w:right w:w="70" w:type="dxa"/>
        </w:tblCellMar>
        <w:tblLook w:val="0000" w:firstRow="0" w:lastRow="0" w:firstColumn="0" w:lastColumn="0" w:noHBand="0" w:noVBand="0"/>
      </w:tblPr>
      <w:tblGrid>
        <w:gridCol w:w="5294"/>
        <w:gridCol w:w="1274"/>
        <w:gridCol w:w="1080"/>
        <w:gridCol w:w="1099"/>
      </w:tblGrid>
      <w:tr w:rsidR="007E6AC4" w:rsidRPr="00FA76FB" w:rsidTr="00195087">
        <w:trPr>
          <w:trHeight w:val="418"/>
          <w:jc w:val="center"/>
        </w:trPr>
        <w:tc>
          <w:tcPr>
            <w:tcW w:w="5294" w:type="dxa"/>
            <w:tcBorders>
              <w:top w:val="single" w:sz="4" w:space="0" w:color="auto"/>
              <w:bottom w:val="single" w:sz="4" w:space="0" w:color="auto"/>
            </w:tcBorders>
            <w:shd w:val="clear" w:color="auto" w:fill="8DB3E2" w:themeFill="text2" w:themeFillTint="66"/>
            <w:noWrap/>
            <w:vAlign w:val="center"/>
          </w:tcPr>
          <w:p w:rsidR="007E6AC4" w:rsidRPr="00FA76FB" w:rsidRDefault="007E6AC4" w:rsidP="00E53DF8">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FA76FB">
              <w:rPr>
                <w:rFonts w:ascii="Arial" w:hAnsi="Arial" w:cs="Arial"/>
                <w:sz w:val="18"/>
                <w:szCs w:val="18"/>
              </w:rPr>
              <w:t>Saldo Presupuestario No Financiero</w:t>
            </w:r>
          </w:p>
        </w:tc>
        <w:tc>
          <w:tcPr>
            <w:tcW w:w="1274" w:type="dxa"/>
            <w:tcBorders>
              <w:top w:val="single" w:sz="4" w:space="0" w:color="auto"/>
              <w:bottom w:val="single" w:sz="4" w:space="0" w:color="auto"/>
            </w:tcBorders>
            <w:shd w:val="clear" w:color="auto" w:fill="8DB3E2" w:themeFill="text2" w:themeFillTint="66"/>
            <w:noWrap/>
            <w:vAlign w:val="center"/>
          </w:tcPr>
          <w:p w:rsidR="007E6AC4" w:rsidRPr="00FA76FB" w:rsidRDefault="007E6AC4" w:rsidP="00E53DF8">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A76FB">
              <w:rPr>
                <w:rFonts w:ascii="Arial" w:hAnsi="Arial" w:cs="Arial"/>
                <w:sz w:val="18"/>
                <w:szCs w:val="18"/>
              </w:rPr>
              <w:t>Julio 2014</w:t>
            </w:r>
          </w:p>
        </w:tc>
        <w:tc>
          <w:tcPr>
            <w:tcW w:w="1080" w:type="dxa"/>
            <w:tcBorders>
              <w:top w:val="single" w:sz="4" w:space="0" w:color="auto"/>
              <w:bottom w:val="single" w:sz="4" w:space="0" w:color="auto"/>
            </w:tcBorders>
            <w:shd w:val="clear" w:color="auto" w:fill="8DB3E2" w:themeFill="text2" w:themeFillTint="66"/>
            <w:vAlign w:val="center"/>
          </w:tcPr>
          <w:p w:rsidR="007E6AC4" w:rsidRPr="00FA76FB" w:rsidRDefault="007E6AC4" w:rsidP="00E53DF8">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A76FB">
              <w:rPr>
                <w:rFonts w:ascii="Arial" w:hAnsi="Arial" w:cs="Arial"/>
                <w:sz w:val="18"/>
                <w:szCs w:val="18"/>
              </w:rPr>
              <w:t>Julio 2015</w:t>
            </w:r>
          </w:p>
        </w:tc>
        <w:tc>
          <w:tcPr>
            <w:tcW w:w="1099" w:type="dxa"/>
            <w:tcBorders>
              <w:top w:val="single" w:sz="4" w:space="0" w:color="auto"/>
              <w:bottom w:val="single" w:sz="4" w:space="0" w:color="auto"/>
            </w:tcBorders>
            <w:shd w:val="clear" w:color="auto" w:fill="8DB3E2" w:themeFill="text2" w:themeFillTint="66"/>
            <w:vAlign w:val="center"/>
          </w:tcPr>
          <w:p w:rsidR="007E6AC4" w:rsidRPr="00FA76FB" w:rsidRDefault="007E6AC4" w:rsidP="00E53DF8">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FA76FB">
              <w:rPr>
                <w:rFonts w:ascii="Arial" w:hAnsi="Arial" w:cs="Arial"/>
                <w:sz w:val="18"/>
                <w:szCs w:val="18"/>
              </w:rPr>
              <w:t>% variación 15/14</w:t>
            </w:r>
          </w:p>
        </w:tc>
      </w:tr>
      <w:tr w:rsidR="007E6AC4" w:rsidRPr="00095FF0" w:rsidTr="00E53DF8">
        <w:trPr>
          <w:trHeight w:val="255"/>
          <w:jc w:val="center"/>
        </w:trPr>
        <w:tc>
          <w:tcPr>
            <w:tcW w:w="5294" w:type="dxa"/>
            <w:tcBorders>
              <w:top w:val="single" w:sz="4" w:space="0" w:color="auto"/>
              <w:bottom w:val="single" w:sz="2" w:space="0" w:color="auto"/>
            </w:tcBorders>
            <w:shd w:val="clear" w:color="auto" w:fill="auto"/>
            <w:noWrap/>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Ingresos no financieros</w:t>
            </w:r>
            <w:r>
              <w:rPr>
                <w:rFonts w:ascii="Arial Narrow" w:hAnsi="Arial Narrow"/>
                <w:spacing w:val="6"/>
                <w:szCs w:val="24"/>
              </w:rPr>
              <w:t xml:space="preserve"> (capítulos 1 al 7)</w:t>
            </w:r>
          </w:p>
        </w:tc>
        <w:tc>
          <w:tcPr>
            <w:tcW w:w="1274" w:type="dxa"/>
            <w:tcBorders>
              <w:top w:val="single" w:sz="4" w:space="0" w:color="auto"/>
              <w:bottom w:val="single" w:sz="2" w:space="0" w:color="auto"/>
            </w:tcBorders>
            <w:shd w:val="clear" w:color="auto" w:fill="auto"/>
            <w:noWrap/>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1.722.525</w:t>
            </w:r>
          </w:p>
        </w:tc>
        <w:tc>
          <w:tcPr>
            <w:tcW w:w="1080" w:type="dxa"/>
            <w:tcBorders>
              <w:top w:val="single" w:sz="4" w:space="0" w:color="auto"/>
              <w:bottom w:val="single" w:sz="2" w:space="0" w:color="auto"/>
            </w:tcBorders>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1.729.661</w:t>
            </w:r>
          </w:p>
        </w:tc>
        <w:tc>
          <w:tcPr>
            <w:tcW w:w="1099" w:type="dxa"/>
            <w:tcBorders>
              <w:top w:val="single" w:sz="4" w:space="0" w:color="auto"/>
              <w:bottom w:val="single" w:sz="2" w:space="0" w:color="auto"/>
            </w:tcBorders>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0,41</w:t>
            </w:r>
          </w:p>
        </w:tc>
      </w:tr>
      <w:tr w:rsidR="007E6AC4" w:rsidRPr="00095FF0" w:rsidTr="00E53DF8">
        <w:trPr>
          <w:trHeight w:val="255"/>
          <w:jc w:val="center"/>
        </w:trPr>
        <w:tc>
          <w:tcPr>
            <w:tcW w:w="5294" w:type="dxa"/>
            <w:tcBorders>
              <w:top w:val="single" w:sz="2" w:space="0" w:color="auto"/>
              <w:bottom w:val="single" w:sz="2" w:space="0" w:color="auto"/>
            </w:tcBorders>
            <w:shd w:val="clear" w:color="auto" w:fill="auto"/>
            <w:noWrap/>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Gastos no financieros</w:t>
            </w:r>
            <w:r>
              <w:rPr>
                <w:rFonts w:ascii="Arial Narrow" w:hAnsi="Arial Narrow"/>
                <w:spacing w:val="6"/>
                <w:szCs w:val="24"/>
              </w:rPr>
              <w:t xml:space="preserve"> (capítulos 1 al 7)</w:t>
            </w:r>
          </w:p>
        </w:tc>
        <w:tc>
          <w:tcPr>
            <w:tcW w:w="1274" w:type="dxa"/>
            <w:tcBorders>
              <w:top w:val="single" w:sz="2" w:space="0" w:color="auto"/>
              <w:bottom w:val="single" w:sz="2" w:space="0" w:color="auto"/>
            </w:tcBorders>
            <w:shd w:val="clear" w:color="auto" w:fill="auto"/>
            <w:noWrap/>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1.822.347</w:t>
            </w:r>
          </w:p>
        </w:tc>
        <w:tc>
          <w:tcPr>
            <w:tcW w:w="1080" w:type="dxa"/>
            <w:tcBorders>
              <w:top w:val="single" w:sz="2" w:space="0" w:color="auto"/>
              <w:bottom w:val="single" w:sz="2" w:space="0" w:color="auto"/>
            </w:tcBorders>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1.881.323</w:t>
            </w:r>
          </w:p>
        </w:tc>
        <w:tc>
          <w:tcPr>
            <w:tcW w:w="1099" w:type="dxa"/>
            <w:tcBorders>
              <w:top w:val="single" w:sz="2" w:space="0" w:color="auto"/>
              <w:bottom w:val="single" w:sz="2" w:space="0" w:color="auto"/>
            </w:tcBorders>
            <w:vAlign w:val="center"/>
          </w:tcPr>
          <w:p w:rsidR="007E6AC4" w:rsidRPr="00095FF0" w:rsidRDefault="007E6AC4" w:rsidP="00E53DF8">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3,24</w:t>
            </w:r>
          </w:p>
        </w:tc>
      </w:tr>
      <w:tr w:rsidR="007E6AC4" w:rsidRPr="00FA76FB" w:rsidTr="00195087">
        <w:trPr>
          <w:trHeight w:val="312"/>
          <w:jc w:val="center"/>
        </w:trPr>
        <w:tc>
          <w:tcPr>
            <w:tcW w:w="5294" w:type="dxa"/>
            <w:tcBorders>
              <w:top w:val="single" w:sz="2" w:space="0" w:color="auto"/>
              <w:bottom w:val="single" w:sz="2" w:space="0" w:color="auto"/>
            </w:tcBorders>
            <w:shd w:val="clear" w:color="auto" w:fill="8DB3E2" w:themeFill="text2" w:themeFillTint="66"/>
            <w:noWrap/>
            <w:vAlign w:val="center"/>
          </w:tcPr>
          <w:p w:rsidR="007E6AC4" w:rsidRPr="00FA76FB" w:rsidRDefault="007E6AC4" w:rsidP="00E53DF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A76FB">
              <w:rPr>
                <w:rFonts w:ascii="Arial" w:hAnsi="Arial" w:cs="Arial"/>
                <w:spacing w:val="6"/>
                <w:sz w:val="18"/>
                <w:szCs w:val="18"/>
              </w:rPr>
              <w:t>Saldo Presupuestario No Financiero</w:t>
            </w:r>
          </w:p>
        </w:tc>
        <w:tc>
          <w:tcPr>
            <w:tcW w:w="1274" w:type="dxa"/>
            <w:tcBorders>
              <w:top w:val="single" w:sz="2" w:space="0" w:color="auto"/>
              <w:bottom w:val="single" w:sz="2" w:space="0" w:color="auto"/>
            </w:tcBorders>
            <w:shd w:val="clear" w:color="auto" w:fill="8DB3E2" w:themeFill="text2" w:themeFillTint="66"/>
            <w:noWrap/>
            <w:vAlign w:val="center"/>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-99.822</w:t>
            </w:r>
          </w:p>
        </w:tc>
        <w:tc>
          <w:tcPr>
            <w:tcW w:w="1080" w:type="dxa"/>
            <w:tcBorders>
              <w:top w:val="single" w:sz="2" w:space="0" w:color="auto"/>
              <w:bottom w:val="single" w:sz="2" w:space="0" w:color="auto"/>
            </w:tcBorders>
            <w:shd w:val="clear" w:color="auto" w:fill="8DB3E2" w:themeFill="text2" w:themeFillTint="66"/>
            <w:vAlign w:val="center"/>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-151.662</w:t>
            </w:r>
          </w:p>
        </w:tc>
        <w:tc>
          <w:tcPr>
            <w:tcW w:w="1099" w:type="dxa"/>
            <w:tcBorders>
              <w:top w:val="single" w:sz="2" w:space="0" w:color="auto"/>
              <w:bottom w:val="single" w:sz="2" w:space="0" w:color="auto"/>
            </w:tcBorders>
            <w:shd w:val="clear" w:color="auto" w:fill="8DB3E2" w:themeFill="text2" w:themeFillTint="66"/>
            <w:vAlign w:val="center"/>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51,93</w:t>
            </w:r>
          </w:p>
        </w:tc>
      </w:tr>
    </w:tbl>
    <w:p w:rsidR="007E6AC4" w:rsidRPr="00DF229E" w:rsidRDefault="007E6AC4" w:rsidP="009F0A9B">
      <w:pPr>
        <w:tabs>
          <w:tab w:val="center" w:pos="2835"/>
          <w:tab w:val="center" w:pos="3969"/>
          <w:tab w:val="center" w:pos="5103"/>
          <w:tab w:val="center" w:pos="6237"/>
          <w:tab w:val="center" w:pos="7371"/>
        </w:tabs>
        <w:spacing w:before="140" w:after="120"/>
        <w:ind w:firstLine="284"/>
        <w:rPr>
          <w:sz w:val="24"/>
        </w:rPr>
      </w:pPr>
      <w:r w:rsidRPr="00DF229E">
        <w:rPr>
          <w:sz w:val="24"/>
        </w:rPr>
        <w:t>El aumento del saldo negativo procede fundamentalmente del incremento de los gastos no financieros, dado que los ingresos de igual naturaleza prácticamente no experimentan variación.</w:t>
      </w:r>
    </w:p>
    <w:p w:rsidR="007E6AC4" w:rsidRPr="00DF229E" w:rsidRDefault="007E6AC4" w:rsidP="009F0A9B">
      <w:pPr>
        <w:numPr>
          <w:ilvl w:val="0"/>
          <w:numId w:val="16"/>
        </w:numPr>
        <w:tabs>
          <w:tab w:val="num" w:pos="300"/>
          <w:tab w:val="left" w:pos="480"/>
        </w:tabs>
        <w:spacing w:after="120"/>
        <w:ind w:firstLine="290"/>
        <w:rPr>
          <w:sz w:val="24"/>
        </w:rPr>
      </w:pPr>
      <w:r w:rsidRPr="00DF229E">
        <w:rPr>
          <w:sz w:val="24"/>
        </w:rPr>
        <w:t>El saldo primario</w:t>
      </w:r>
      <w:r w:rsidR="006E7BBF">
        <w:rPr>
          <w:rStyle w:val="Refdenotaalpie"/>
          <w:sz w:val="24"/>
        </w:rPr>
        <w:footnoteReference w:id="5"/>
      </w:r>
      <w:r w:rsidR="00AD1EB9">
        <w:rPr>
          <w:sz w:val="24"/>
        </w:rPr>
        <w:t xml:space="preserve"> </w:t>
      </w:r>
      <w:r w:rsidRPr="00DF229E">
        <w:rPr>
          <w:sz w:val="24"/>
        </w:rPr>
        <w:t xml:space="preserve">ha incrementado su valor negativo en un 38 por ciento, alcanzando un valor </w:t>
      </w:r>
      <w:r>
        <w:rPr>
          <w:sz w:val="24"/>
        </w:rPr>
        <w:t xml:space="preserve">negativo de </w:t>
      </w:r>
      <w:r w:rsidRPr="00DF229E">
        <w:rPr>
          <w:sz w:val="24"/>
        </w:rPr>
        <w:t>230 millones. Que su importe sea negativo es indicativo de que los ingresos no son suficientes para financiar los gastos, aun cuando no incluyan los gastos f</w:t>
      </w:r>
      <w:r w:rsidRPr="00DF229E">
        <w:rPr>
          <w:sz w:val="24"/>
        </w:rPr>
        <w:t>i</w:t>
      </w:r>
      <w:r w:rsidRPr="00DF229E">
        <w:rPr>
          <w:sz w:val="24"/>
        </w:rPr>
        <w:t>nancieros, y ello se traduce en la necesidad de seguir acudiendo al endeudamiento.</w:t>
      </w:r>
    </w:p>
    <w:p w:rsidR="007E6AC4" w:rsidRPr="00DF229E" w:rsidRDefault="007E6AC4" w:rsidP="009F0A9B">
      <w:pPr>
        <w:numPr>
          <w:ilvl w:val="0"/>
          <w:numId w:val="16"/>
        </w:numPr>
        <w:tabs>
          <w:tab w:val="num" w:pos="300"/>
          <w:tab w:val="left" w:pos="480"/>
        </w:tabs>
        <w:spacing w:after="120"/>
        <w:ind w:firstLine="290"/>
        <w:jc w:val="left"/>
        <w:rPr>
          <w:sz w:val="24"/>
        </w:rPr>
      </w:pPr>
      <w:r w:rsidRPr="00DF229E">
        <w:rPr>
          <w:sz w:val="24"/>
        </w:rPr>
        <w:t>El Ahorro Bruto</w:t>
      </w:r>
      <w:r w:rsidR="006E7BBF">
        <w:rPr>
          <w:rStyle w:val="Refdenotaalpie"/>
          <w:sz w:val="24"/>
        </w:rPr>
        <w:footnoteReference w:id="6"/>
      </w:r>
      <w:r w:rsidRPr="00DF229E">
        <w:rPr>
          <w:sz w:val="24"/>
        </w:rPr>
        <w:t xml:space="preserve"> en julio de 2015 presenta un valor negativo de 36.361 euros; en julio de 2014 ofrecía un valor positivo de 37.735 euros.</w:t>
      </w:r>
    </w:p>
    <w:p w:rsidR="007E6AC4" w:rsidRPr="00DF229E" w:rsidRDefault="007E6AC4" w:rsidP="009F0A9B">
      <w:pPr>
        <w:numPr>
          <w:ilvl w:val="0"/>
          <w:numId w:val="16"/>
        </w:numPr>
        <w:tabs>
          <w:tab w:val="num" w:pos="300"/>
          <w:tab w:val="left" w:pos="480"/>
        </w:tabs>
        <w:spacing w:after="120"/>
        <w:ind w:firstLine="290"/>
        <w:jc w:val="left"/>
        <w:rPr>
          <w:sz w:val="24"/>
        </w:rPr>
      </w:pPr>
      <w:r w:rsidRPr="00DF229E">
        <w:rPr>
          <w:sz w:val="24"/>
        </w:rPr>
        <w:t>El Ahorro Neto</w:t>
      </w:r>
      <w:r w:rsidR="006E7BBF">
        <w:rPr>
          <w:rStyle w:val="Refdenotaalpie"/>
          <w:sz w:val="24"/>
        </w:rPr>
        <w:footnoteReference w:id="7"/>
      </w:r>
      <w:r w:rsidRPr="00DF229E">
        <w:rPr>
          <w:sz w:val="24"/>
        </w:rPr>
        <w:t xml:space="preserve"> ha duplicado su valor negativo entre ambos periodos, alcanzando en julio de 2015 un importe negativo de 335.771 euros.</w:t>
      </w:r>
    </w:p>
    <w:p w:rsidR="007E6AC4" w:rsidRPr="00DF229E" w:rsidRDefault="007E6AC4" w:rsidP="009F0A9B">
      <w:pPr>
        <w:numPr>
          <w:ilvl w:val="0"/>
          <w:numId w:val="16"/>
        </w:numPr>
        <w:tabs>
          <w:tab w:val="num" w:pos="300"/>
          <w:tab w:val="left" w:pos="480"/>
        </w:tabs>
        <w:spacing w:after="120"/>
        <w:ind w:firstLine="290"/>
        <w:jc w:val="left"/>
        <w:rPr>
          <w:sz w:val="24"/>
        </w:rPr>
      </w:pPr>
      <w:r w:rsidRPr="00DF229E">
        <w:rPr>
          <w:sz w:val="24"/>
        </w:rPr>
        <w:t>De los indicadores por habitante, destacamos:</w:t>
      </w:r>
    </w:p>
    <w:p w:rsidR="007E6AC4" w:rsidRPr="00DF229E" w:rsidRDefault="007E6AC4" w:rsidP="009F0A9B">
      <w:pPr>
        <w:spacing w:after="120"/>
        <w:ind w:firstLine="284"/>
        <w:rPr>
          <w:sz w:val="24"/>
        </w:rPr>
      </w:pPr>
      <w:r w:rsidRPr="00DF229E">
        <w:rPr>
          <w:sz w:val="24"/>
        </w:rPr>
        <w:t>a) El gasto por habitante se ha incrementado en un ocho por ciento, en tanto que el i</w:t>
      </w:r>
      <w:r w:rsidRPr="00DF229E">
        <w:rPr>
          <w:sz w:val="24"/>
        </w:rPr>
        <w:t>n</w:t>
      </w:r>
      <w:r w:rsidRPr="00DF229E">
        <w:rPr>
          <w:sz w:val="24"/>
        </w:rPr>
        <w:t>greso por habitante aumenta en un cinco por ciento.</w:t>
      </w:r>
    </w:p>
    <w:p w:rsidR="007E6AC4" w:rsidRPr="00DF229E" w:rsidRDefault="007E6AC4" w:rsidP="009F0A9B">
      <w:pPr>
        <w:spacing w:after="120"/>
        <w:ind w:firstLine="284"/>
        <w:rPr>
          <w:sz w:val="24"/>
        </w:rPr>
      </w:pPr>
      <w:r w:rsidRPr="00DF229E">
        <w:rPr>
          <w:sz w:val="24"/>
        </w:rPr>
        <w:t xml:space="preserve">b) La carga financiera por habitante es, en julio de 2015, de 468 euros, un dos por ciento </w:t>
      </w:r>
      <w:proofErr w:type="gramStart"/>
      <w:r w:rsidRPr="00DF229E">
        <w:rPr>
          <w:sz w:val="24"/>
        </w:rPr>
        <w:t>superior</w:t>
      </w:r>
      <w:proofErr w:type="gramEnd"/>
      <w:r w:rsidRPr="00DF229E">
        <w:rPr>
          <w:sz w:val="24"/>
        </w:rPr>
        <w:t xml:space="preserve"> al mismo periodo del año anterior.</w:t>
      </w:r>
    </w:p>
    <w:p w:rsidR="007E6AC4" w:rsidRPr="00DF229E" w:rsidRDefault="007E6AC4" w:rsidP="0010137C">
      <w:pPr>
        <w:spacing w:after="240"/>
        <w:ind w:firstLine="284"/>
        <w:rPr>
          <w:sz w:val="24"/>
        </w:rPr>
      </w:pPr>
      <w:r w:rsidRPr="00DF229E">
        <w:rPr>
          <w:sz w:val="24"/>
        </w:rPr>
        <w:t>c) Los ingresos tributarios por habitante prácticamente no modifican su importe.</w:t>
      </w:r>
    </w:p>
    <w:p w:rsidR="007E6AC4" w:rsidRPr="00DF229E" w:rsidRDefault="007E6AC4" w:rsidP="007E6AC4">
      <w:pPr>
        <w:ind w:firstLine="284"/>
        <w:rPr>
          <w:b/>
          <w:sz w:val="24"/>
          <w:szCs w:val="24"/>
        </w:rPr>
      </w:pPr>
      <w:proofErr w:type="gramStart"/>
      <w:r w:rsidRPr="00DF229E">
        <w:rPr>
          <w:b/>
          <w:sz w:val="24"/>
          <w:szCs w:val="24"/>
        </w:rPr>
        <w:t>7</w:t>
      </w:r>
      <w:r w:rsidR="00492ED7">
        <w:rPr>
          <w:b/>
          <w:sz w:val="24"/>
          <w:szCs w:val="24"/>
        </w:rPr>
        <w:t>.</w:t>
      </w:r>
      <w:r w:rsidRPr="00DF229E">
        <w:rPr>
          <w:b/>
          <w:sz w:val="24"/>
          <w:szCs w:val="24"/>
        </w:rPr>
        <w:t>ª</w:t>
      </w:r>
      <w:proofErr w:type="gramEnd"/>
      <w:r w:rsidRPr="00DF229E">
        <w:rPr>
          <w:b/>
          <w:sz w:val="24"/>
          <w:szCs w:val="24"/>
        </w:rPr>
        <w:t xml:space="preserve"> Recaudación líquida de impuestos hasta el 31 de julio de 2015 y su comparación con el mismo periodo del ejercicio anterior</w:t>
      </w:r>
      <w:r w:rsidR="00C37D9D">
        <w:rPr>
          <w:b/>
          <w:sz w:val="24"/>
          <w:szCs w:val="24"/>
        </w:rPr>
        <w:t>.</w:t>
      </w:r>
    </w:p>
    <w:p w:rsidR="007E6AC4" w:rsidRPr="00095FF0" w:rsidRDefault="007E6AC4" w:rsidP="007E6AC4">
      <w:pPr>
        <w:spacing w:after="240"/>
        <w:ind w:firstLine="284"/>
        <w:rPr>
          <w:rFonts w:ascii="Arial" w:hAnsi="Arial" w:cs="Arial"/>
          <w:sz w:val="24"/>
        </w:rPr>
      </w:pPr>
      <w:r w:rsidRPr="00DF229E">
        <w:rPr>
          <w:sz w:val="24"/>
          <w:szCs w:val="24"/>
        </w:rPr>
        <w:lastRenderedPageBreak/>
        <w:t>De acuerdo con la información aportada por la Hacienda Tributaria de Navarra, en el cuadro siguiente mostramos la recaudación líquida</w:t>
      </w:r>
      <w:r w:rsidRPr="00DF229E">
        <w:rPr>
          <w:sz w:val="24"/>
          <w:szCs w:val="24"/>
          <w:vertAlign w:val="superscript"/>
        </w:rPr>
        <w:footnoteReference w:id="8"/>
      </w:r>
      <w:r w:rsidRPr="00DF229E">
        <w:rPr>
          <w:sz w:val="24"/>
          <w:szCs w:val="24"/>
        </w:rPr>
        <w:t xml:space="preserve"> acumulada de los impuestos del G</w:t>
      </w:r>
      <w:r w:rsidRPr="00DF229E">
        <w:rPr>
          <w:sz w:val="24"/>
          <w:szCs w:val="24"/>
        </w:rPr>
        <w:t>o</w:t>
      </w:r>
      <w:r w:rsidRPr="00DF229E">
        <w:rPr>
          <w:sz w:val="24"/>
          <w:szCs w:val="24"/>
        </w:rPr>
        <w:t>bierno de Navarra hasta el 31 de julio de 2015 y su comparación con el mismo periodo de 2014</w:t>
      </w:r>
      <w:r>
        <w:rPr>
          <w:sz w:val="24"/>
          <w:szCs w:val="24"/>
        </w:rPr>
        <w:t>,</w:t>
      </w:r>
      <w:r w:rsidRPr="00DF229E">
        <w:rPr>
          <w:sz w:val="24"/>
          <w:szCs w:val="24"/>
        </w:rPr>
        <w:t xml:space="preserve"> en miles de euros</w:t>
      </w:r>
      <w:r>
        <w:rPr>
          <w:sz w:val="24"/>
          <w:szCs w:val="24"/>
        </w:rPr>
        <w:t>.</w:t>
      </w:r>
      <w:r w:rsidRPr="00095FF0">
        <w:rPr>
          <w:rFonts w:ascii="ITCCentury Book" w:hAnsi="ITCCentury Book"/>
          <w:sz w:val="24"/>
        </w:rPr>
        <w:fldChar w:fldCharType="begin"/>
      </w:r>
      <w:r w:rsidRPr="00095FF0">
        <w:rPr>
          <w:rFonts w:ascii="ITCCentury Book" w:hAnsi="ITCCentury Book"/>
          <w:sz w:val="24"/>
        </w:rPr>
        <w:instrText xml:space="preserve"> LINK </w:instrText>
      </w:r>
      <w:r>
        <w:rPr>
          <w:rFonts w:ascii="ITCCentury Book" w:hAnsi="ITCCentury Book"/>
          <w:sz w:val="24"/>
        </w:rPr>
        <w:instrText xml:space="preserve">Excel.Sheet.12 "D:\\Nacho 2105\\Apendice Cuentas 2014\\Informe Apéndice\\Cuadros 31 de julio 2015.xlsx" "recaudación líquida julio 2015!F1C1:F15C4" </w:instrText>
      </w:r>
      <w:r w:rsidRPr="00095FF0">
        <w:rPr>
          <w:rFonts w:ascii="ITCCentury Book" w:hAnsi="ITCCentury Book"/>
          <w:sz w:val="24"/>
        </w:rPr>
        <w:instrText xml:space="preserve">\a \f 4 \h  \* MERGEFORMAT </w:instrText>
      </w:r>
      <w:r w:rsidRPr="00095FF0">
        <w:rPr>
          <w:rFonts w:ascii="ITCCentury Book" w:hAnsi="ITCCentury Book"/>
          <w:sz w:val="24"/>
        </w:rPr>
        <w:fldChar w:fldCharType="separate"/>
      </w:r>
    </w:p>
    <w:tbl>
      <w:tblPr>
        <w:tblW w:w="8789" w:type="dxa"/>
        <w:tblInd w:w="70" w:type="dxa"/>
        <w:tblCellMar>
          <w:left w:w="70" w:type="dxa"/>
          <w:right w:w="70" w:type="dxa"/>
        </w:tblCellMar>
        <w:tblLook w:val="04A0" w:firstRow="1" w:lastRow="0" w:firstColumn="1" w:lastColumn="0" w:noHBand="0" w:noVBand="1"/>
      </w:tblPr>
      <w:tblGrid>
        <w:gridCol w:w="3040"/>
        <w:gridCol w:w="1700"/>
        <w:gridCol w:w="1497"/>
        <w:gridCol w:w="1276"/>
        <w:gridCol w:w="1276"/>
      </w:tblGrid>
      <w:tr w:rsidR="007E6AC4" w:rsidRPr="00FA76FB" w:rsidTr="00195087">
        <w:trPr>
          <w:trHeight w:val="284"/>
        </w:trPr>
        <w:tc>
          <w:tcPr>
            <w:tcW w:w="3040" w:type="dxa"/>
            <w:tcBorders>
              <w:top w:val="single" w:sz="4" w:space="0" w:color="auto"/>
              <w:left w:val="nil"/>
              <w:bottom w:val="single" w:sz="4" w:space="0" w:color="auto"/>
              <w:right w:val="nil"/>
            </w:tcBorders>
            <w:shd w:val="clear" w:color="auto" w:fill="8DB3E2" w:themeFill="text2" w:themeFillTint="66"/>
            <w:vAlign w:val="center"/>
            <w:hideMark/>
          </w:tcPr>
          <w:p w:rsidR="007E6AC4" w:rsidRPr="00FA76FB" w:rsidRDefault="007E6AC4" w:rsidP="009C1354">
            <w:pPr>
              <w:spacing w:after="0"/>
              <w:ind w:firstLine="0"/>
              <w:jc w:val="left"/>
              <w:rPr>
                <w:rFonts w:ascii="Arial" w:hAnsi="Arial" w:cs="Arial"/>
                <w:color w:val="000000"/>
                <w:sz w:val="18"/>
                <w:szCs w:val="18"/>
                <w:lang w:val="es-ES" w:eastAsia="es-ES"/>
              </w:rPr>
            </w:pPr>
            <w:r w:rsidRPr="00FA76FB">
              <w:rPr>
                <w:rFonts w:ascii="Arial" w:hAnsi="Arial" w:cs="Arial"/>
                <w:color w:val="000000"/>
                <w:sz w:val="18"/>
                <w:szCs w:val="18"/>
                <w:lang w:val="es-ES" w:eastAsia="es-ES"/>
              </w:rPr>
              <w:t>Impuestos</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RL julio 2014</w:t>
            </w:r>
          </w:p>
        </w:tc>
        <w:tc>
          <w:tcPr>
            <w:tcW w:w="1497" w:type="dxa"/>
            <w:tcBorders>
              <w:top w:val="single" w:sz="4" w:space="0" w:color="auto"/>
              <w:left w:val="nil"/>
              <w:bottom w:val="single" w:sz="4" w:space="0" w:color="auto"/>
              <w:right w:val="nil"/>
            </w:tcBorders>
            <w:shd w:val="clear" w:color="auto" w:fill="8DB3E2" w:themeFill="text2" w:themeFillTint="66"/>
            <w:vAlign w:val="center"/>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RL julio 2015</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 RL</w:t>
            </w:r>
          </w:p>
        </w:tc>
        <w:tc>
          <w:tcPr>
            <w:tcW w:w="1276" w:type="dxa"/>
            <w:tcBorders>
              <w:top w:val="single" w:sz="4" w:space="0" w:color="auto"/>
              <w:left w:val="nil"/>
              <w:bottom w:val="single" w:sz="4" w:space="0" w:color="auto"/>
              <w:right w:val="nil"/>
            </w:tcBorders>
            <w:shd w:val="clear" w:color="auto" w:fill="8DB3E2" w:themeFill="text2" w:themeFillTint="66"/>
            <w:vAlign w:val="center"/>
            <w:hideMark/>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 Var. 15/14</w:t>
            </w:r>
          </w:p>
        </w:tc>
      </w:tr>
      <w:tr w:rsidR="007E6AC4" w:rsidRPr="00095FF0" w:rsidTr="008C12C3">
        <w:trPr>
          <w:trHeight w:val="227"/>
        </w:trPr>
        <w:tc>
          <w:tcPr>
            <w:tcW w:w="3040"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IRPF</w:t>
            </w:r>
          </w:p>
        </w:tc>
        <w:tc>
          <w:tcPr>
            <w:tcW w:w="1700"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508.093</w:t>
            </w:r>
          </w:p>
        </w:tc>
        <w:tc>
          <w:tcPr>
            <w:tcW w:w="1497" w:type="dxa"/>
            <w:tcBorders>
              <w:top w:val="single" w:sz="4"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535.051</w:t>
            </w:r>
          </w:p>
        </w:tc>
        <w:tc>
          <w:tcPr>
            <w:tcW w:w="1276" w:type="dxa"/>
            <w:tcBorders>
              <w:top w:val="single" w:sz="4"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26.958</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No residentes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3.767</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3.655</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-112</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Sociedades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-23.966</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-10.234</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13.732</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-57</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Sucesiones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33.564</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29.970</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-3.594</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-11</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Patrimonio</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25.108</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24.775</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-333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Otros directos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14.517</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94</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-14.423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-99</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i/>
                <w:iCs/>
                <w:color w:val="000000"/>
                <w:lang w:val="es-ES" w:eastAsia="es-ES"/>
              </w:rPr>
            </w:pPr>
            <w:r w:rsidRPr="00095FF0">
              <w:rPr>
                <w:rFonts w:ascii="Arial Narrow" w:hAnsi="Arial Narrow"/>
                <w:i/>
                <w:iCs/>
                <w:color w:val="000000"/>
                <w:lang w:val="es-ES" w:eastAsia="es-ES"/>
              </w:rPr>
              <w:t>Total I</w:t>
            </w:r>
            <w:r>
              <w:rPr>
                <w:rFonts w:ascii="Arial Narrow" w:hAnsi="Arial Narrow"/>
                <w:i/>
                <w:iCs/>
                <w:color w:val="000000"/>
                <w:lang w:val="es-ES" w:eastAsia="es-ES"/>
              </w:rPr>
              <w:t>mpuestos</w:t>
            </w:r>
            <w:r w:rsidRPr="00095FF0">
              <w:rPr>
                <w:rFonts w:ascii="Arial Narrow" w:hAnsi="Arial Narrow"/>
                <w:i/>
                <w:iCs/>
                <w:color w:val="000000"/>
                <w:lang w:val="es-ES" w:eastAsia="es-ES"/>
              </w:rPr>
              <w:t xml:space="preserve"> Directos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561.083</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583.311</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22.228</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4</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 xml:space="preserve">IVA </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500.737</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434.331</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-66.406</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Especiales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197.845</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221.343</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23.498</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12</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Transmisiones Patrimoniales y AJD</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24.205</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28.269</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4.064</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Primas de seguro</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10.861</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11.868</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1.007</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9</w:t>
            </w:r>
          </w:p>
        </w:tc>
      </w:tr>
      <w:tr w:rsidR="007E6AC4" w:rsidRPr="00095FF0" w:rsidTr="008C12C3">
        <w:trPr>
          <w:trHeight w:val="227"/>
        </w:trPr>
        <w:tc>
          <w:tcPr>
            <w:tcW w:w="304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Minorista hidrocarburos</w:t>
            </w:r>
          </w:p>
        </w:tc>
        <w:tc>
          <w:tcPr>
            <w:tcW w:w="1700"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276</w:t>
            </w:r>
          </w:p>
        </w:tc>
        <w:tc>
          <w:tcPr>
            <w:tcW w:w="1497"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-3.837</w:t>
            </w:r>
          </w:p>
        </w:tc>
        <w:tc>
          <w:tcPr>
            <w:tcW w:w="1276" w:type="dxa"/>
            <w:tcBorders>
              <w:top w:val="single" w:sz="2"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-4.113</w:t>
            </w:r>
          </w:p>
        </w:tc>
        <w:tc>
          <w:tcPr>
            <w:tcW w:w="1276"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-1.490</w:t>
            </w:r>
          </w:p>
        </w:tc>
      </w:tr>
      <w:tr w:rsidR="007E6AC4" w:rsidRPr="00095FF0" w:rsidTr="008C12C3">
        <w:trPr>
          <w:trHeight w:val="227"/>
        </w:trPr>
        <w:tc>
          <w:tcPr>
            <w:tcW w:w="3040"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spacing w:after="0"/>
              <w:ind w:firstLine="0"/>
              <w:jc w:val="left"/>
              <w:rPr>
                <w:rFonts w:ascii="Arial Narrow" w:hAnsi="Arial Narrow"/>
                <w:i/>
                <w:iCs/>
                <w:color w:val="000000"/>
                <w:lang w:val="es-ES" w:eastAsia="es-ES"/>
              </w:rPr>
            </w:pPr>
            <w:r w:rsidRPr="00095FF0">
              <w:rPr>
                <w:rFonts w:ascii="Arial Narrow" w:hAnsi="Arial Narrow"/>
                <w:i/>
                <w:iCs/>
                <w:color w:val="000000"/>
                <w:lang w:val="es-ES" w:eastAsia="es-ES"/>
              </w:rPr>
              <w:t>Total I</w:t>
            </w:r>
            <w:r>
              <w:rPr>
                <w:rFonts w:ascii="Arial Narrow" w:hAnsi="Arial Narrow"/>
                <w:i/>
                <w:iCs/>
                <w:color w:val="000000"/>
                <w:lang w:val="es-ES" w:eastAsia="es-ES"/>
              </w:rPr>
              <w:t xml:space="preserve">mpuestos </w:t>
            </w:r>
            <w:r w:rsidRPr="00095FF0">
              <w:rPr>
                <w:rFonts w:ascii="Arial Narrow" w:hAnsi="Arial Narrow"/>
                <w:i/>
                <w:iCs/>
                <w:color w:val="000000"/>
                <w:lang w:val="es-ES" w:eastAsia="es-ES"/>
              </w:rPr>
              <w:t xml:space="preserve"> Indirectos</w:t>
            </w:r>
          </w:p>
        </w:tc>
        <w:tc>
          <w:tcPr>
            <w:tcW w:w="1700"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733.924</w:t>
            </w:r>
          </w:p>
        </w:tc>
        <w:tc>
          <w:tcPr>
            <w:tcW w:w="1497" w:type="dxa"/>
            <w:tcBorders>
              <w:top w:val="single" w:sz="2" w:space="0" w:color="auto"/>
              <w:left w:val="nil"/>
              <w:bottom w:val="single" w:sz="4"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691.974</w:t>
            </w:r>
          </w:p>
        </w:tc>
        <w:tc>
          <w:tcPr>
            <w:tcW w:w="1276" w:type="dxa"/>
            <w:tcBorders>
              <w:top w:val="single" w:sz="2" w:space="0" w:color="auto"/>
              <w:left w:val="nil"/>
              <w:bottom w:val="single" w:sz="4"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-41.950</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i/>
                <w:spacing w:val="6"/>
                <w:szCs w:val="24"/>
              </w:rPr>
            </w:pPr>
            <w:r w:rsidRPr="00095FF0">
              <w:rPr>
                <w:rFonts w:ascii="Arial Narrow" w:hAnsi="Arial Narrow"/>
                <w:i/>
                <w:spacing w:val="6"/>
                <w:szCs w:val="24"/>
              </w:rPr>
              <w:t>-6</w:t>
            </w:r>
          </w:p>
        </w:tc>
      </w:tr>
      <w:tr w:rsidR="007E6AC4" w:rsidRPr="00FA76FB" w:rsidTr="00195087">
        <w:trPr>
          <w:trHeight w:val="255"/>
        </w:trPr>
        <w:tc>
          <w:tcPr>
            <w:tcW w:w="304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spacing w:after="0"/>
              <w:ind w:firstLine="0"/>
              <w:jc w:val="left"/>
              <w:rPr>
                <w:rFonts w:ascii="Arial" w:hAnsi="Arial" w:cs="Arial"/>
                <w:bCs/>
                <w:color w:val="000000"/>
                <w:sz w:val="18"/>
                <w:szCs w:val="18"/>
                <w:lang w:val="es-ES" w:eastAsia="es-ES"/>
              </w:rPr>
            </w:pPr>
            <w:r w:rsidRPr="00FA76FB">
              <w:rPr>
                <w:rFonts w:ascii="Arial" w:hAnsi="Arial" w:cs="Arial"/>
                <w:bCs/>
                <w:color w:val="000000"/>
                <w:sz w:val="18"/>
                <w:szCs w:val="18"/>
                <w:lang w:val="es-ES" w:eastAsia="es-ES"/>
              </w:rPr>
              <w:t>Total Impuestos</w:t>
            </w:r>
          </w:p>
        </w:tc>
        <w:tc>
          <w:tcPr>
            <w:tcW w:w="1700"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1.295.007</w:t>
            </w:r>
          </w:p>
        </w:tc>
        <w:tc>
          <w:tcPr>
            <w:tcW w:w="1497" w:type="dxa"/>
            <w:tcBorders>
              <w:top w:val="single" w:sz="4" w:space="0" w:color="auto"/>
              <w:left w:val="nil"/>
              <w:bottom w:val="single" w:sz="4" w:space="0" w:color="auto"/>
              <w:right w:val="nil"/>
            </w:tcBorders>
            <w:shd w:val="clear" w:color="auto" w:fill="8DB3E2" w:themeFill="text2" w:themeFillTint="66"/>
            <w:vAlign w:val="center"/>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1.275.285</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-19.722</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A76FB">
              <w:rPr>
                <w:rFonts w:ascii="Arial" w:hAnsi="Arial" w:cs="Arial"/>
                <w:spacing w:val="6"/>
                <w:sz w:val="18"/>
                <w:szCs w:val="18"/>
              </w:rPr>
              <w:t>-2</w:t>
            </w:r>
          </w:p>
        </w:tc>
      </w:tr>
    </w:tbl>
    <w:p w:rsidR="007E6AC4" w:rsidRPr="00FA76FB" w:rsidRDefault="007E6AC4" w:rsidP="007E6AC4">
      <w:pPr>
        <w:spacing w:after="0"/>
        <w:ind w:firstLine="0"/>
        <w:rPr>
          <w:b/>
          <w:sz w:val="24"/>
        </w:rPr>
      </w:pPr>
      <w:r w:rsidRPr="00095FF0">
        <w:rPr>
          <w:rFonts w:ascii="Arial" w:hAnsi="Arial" w:cs="Arial"/>
          <w:b/>
          <w:sz w:val="24"/>
        </w:rPr>
        <w:fldChar w:fldCharType="end"/>
      </w:r>
    </w:p>
    <w:p w:rsidR="007E6AC4" w:rsidRPr="00DF229E" w:rsidRDefault="007E6AC4" w:rsidP="007E6AC4">
      <w:pPr>
        <w:ind w:firstLine="284"/>
        <w:rPr>
          <w:sz w:val="24"/>
          <w:szCs w:val="24"/>
        </w:rPr>
      </w:pPr>
      <w:r w:rsidRPr="00DF229E">
        <w:rPr>
          <w:sz w:val="24"/>
          <w:szCs w:val="24"/>
        </w:rPr>
        <w:t>De su análisis destacamos:</w:t>
      </w:r>
    </w:p>
    <w:p w:rsidR="007E6AC4" w:rsidRPr="00DF229E" w:rsidRDefault="007E6AC4" w:rsidP="008C12C3">
      <w:pPr>
        <w:numPr>
          <w:ilvl w:val="0"/>
          <w:numId w:val="16"/>
        </w:numPr>
        <w:tabs>
          <w:tab w:val="num" w:pos="300"/>
          <w:tab w:val="left" w:pos="480"/>
        </w:tabs>
        <w:ind w:firstLine="289"/>
        <w:rPr>
          <w:sz w:val="24"/>
          <w:szCs w:val="24"/>
        </w:rPr>
      </w:pPr>
      <w:r w:rsidRPr="00DF229E">
        <w:rPr>
          <w:sz w:val="24"/>
          <w:szCs w:val="24"/>
        </w:rPr>
        <w:t>La recaudación líquida entre los periodos analizados se ha reducido en un dos por ciento, que representa un importe de prácticamente 20 millones.</w:t>
      </w:r>
    </w:p>
    <w:p w:rsidR="007E6AC4" w:rsidRPr="00DF229E" w:rsidRDefault="007E6AC4" w:rsidP="008C12C3">
      <w:pPr>
        <w:numPr>
          <w:ilvl w:val="0"/>
          <w:numId w:val="16"/>
        </w:numPr>
        <w:tabs>
          <w:tab w:val="num" w:pos="300"/>
          <w:tab w:val="left" w:pos="480"/>
        </w:tabs>
        <w:ind w:firstLine="289"/>
        <w:rPr>
          <w:sz w:val="24"/>
          <w:szCs w:val="24"/>
        </w:rPr>
      </w:pPr>
      <w:r w:rsidRPr="00DF229E">
        <w:rPr>
          <w:sz w:val="24"/>
          <w:szCs w:val="24"/>
        </w:rPr>
        <w:t>En directos</w:t>
      </w:r>
      <w:r>
        <w:rPr>
          <w:sz w:val="24"/>
          <w:szCs w:val="24"/>
        </w:rPr>
        <w:t>, sobresale el aumento de IRPF –27 millones–</w:t>
      </w:r>
      <w:r w:rsidRPr="00DF229E">
        <w:rPr>
          <w:sz w:val="24"/>
          <w:szCs w:val="24"/>
        </w:rPr>
        <w:t xml:space="preserve"> y el menor valor negativo de sociedades </w:t>
      </w:r>
      <w:r>
        <w:rPr>
          <w:sz w:val="24"/>
          <w:szCs w:val="24"/>
        </w:rPr>
        <w:t>–</w:t>
      </w:r>
      <w:r w:rsidRPr="00DF229E">
        <w:rPr>
          <w:sz w:val="24"/>
          <w:szCs w:val="24"/>
        </w:rPr>
        <w:t>14 millones</w:t>
      </w:r>
      <w:r>
        <w:rPr>
          <w:sz w:val="24"/>
          <w:szCs w:val="24"/>
        </w:rPr>
        <w:t>–</w:t>
      </w:r>
      <w:r w:rsidRPr="00DF229E">
        <w:rPr>
          <w:sz w:val="24"/>
          <w:szCs w:val="24"/>
        </w:rPr>
        <w:t>.</w:t>
      </w:r>
    </w:p>
    <w:p w:rsidR="007E6AC4" w:rsidRPr="00DF229E" w:rsidRDefault="007E6AC4" w:rsidP="008C12C3">
      <w:pPr>
        <w:numPr>
          <w:ilvl w:val="0"/>
          <w:numId w:val="16"/>
        </w:numPr>
        <w:tabs>
          <w:tab w:val="num" w:pos="300"/>
          <w:tab w:val="left" w:pos="480"/>
        </w:tabs>
        <w:spacing w:after="240"/>
        <w:ind w:firstLine="289"/>
        <w:rPr>
          <w:sz w:val="24"/>
          <w:szCs w:val="24"/>
        </w:rPr>
      </w:pPr>
      <w:r w:rsidRPr="00DF229E">
        <w:rPr>
          <w:sz w:val="24"/>
          <w:szCs w:val="24"/>
        </w:rPr>
        <w:t xml:space="preserve">Sobre el IVA e impuestos especiales, en el cuadro siguiente desglosamos su importe entre la recaudación por gestión </w:t>
      </w:r>
      <w:r w:rsidRPr="00C37D9D">
        <w:rPr>
          <w:sz w:val="24"/>
          <w:szCs w:val="24"/>
        </w:rPr>
        <w:t>directa</w:t>
      </w:r>
      <w:r w:rsidRPr="00DF229E">
        <w:rPr>
          <w:sz w:val="24"/>
          <w:szCs w:val="24"/>
        </w:rPr>
        <w:t xml:space="preserve"> y la procedente de los ajustes del Convenio Ec</w:t>
      </w:r>
      <w:r w:rsidRPr="00DF229E">
        <w:rPr>
          <w:sz w:val="24"/>
          <w:szCs w:val="24"/>
        </w:rPr>
        <w:t>o</w:t>
      </w:r>
      <w:r w:rsidRPr="00DF229E">
        <w:rPr>
          <w:sz w:val="24"/>
          <w:szCs w:val="24"/>
        </w:rPr>
        <w:t>nómico</w:t>
      </w:r>
      <w:r>
        <w:rPr>
          <w:sz w:val="24"/>
          <w:szCs w:val="24"/>
        </w:rPr>
        <w:t>,</w:t>
      </w:r>
      <w:r w:rsidRPr="00DF229E">
        <w:rPr>
          <w:sz w:val="24"/>
          <w:szCs w:val="24"/>
        </w:rPr>
        <w:t xml:space="preserve"> en miles de euros</w:t>
      </w:r>
      <w:r>
        <w:rPr>
          <w:sz w:val="24"/>
          <w:szCs w:val="24"/>
        </w:rPr>
        <w:t>.</w:t>
      </w:r>
    </w:p>
    <w:tbl>
      <w:tblPr>
        <w:tblW w:w="8662" w:type="dxa"/>
        <w:tblInd w:w="55" w:type="dxa"/>
        <w:tblCellMar>
          <w:left w:w="70" w:type="dxa"/>
          <w:right w:w="70" w:type="dxa"/>
        </w:tblCellMar>
        <w:tblLook w:val="04A0" w:firstRow="1" w:lastRow="0" w:firstColumn="1" w:lastColumn="0" w:noHBand="0" w:noVBand="1"/>
      </w:tblPr>
      <w:tblGrid>
        <w:gridCol w:w="2425"/>
        <w:gridCol w:w="1701"/>
        <w:gridCol w:w="1843"/>
        <w:gridCol w:w="1417"/>
        <w:gridCol w:w="1276"/>
      </w:tblGrid>
      <w:tr w:rsidR="007E6AC4" w:rsidRPr="00FA76FB" w:rsidTr="00195087">
        <w:trPr>
          <w:trHeight w:val="284"/>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spacing w:after="0"/>
              <w:ind w:firstLine="0"/>
              <w:rPr>
                <w:rFonts w:ascii="Arial" w:hAnsi="Arial" w:cs="Arial"/>
                <w:color w:val="000000"/>
                <w:sz w:val="18"/>
                <w:szCs w:val="18"/>
                <w:lang w:val="es-ES" w:eastAsia="es-ES"/>
              </w:rPr>
            </w:pP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RL julio 2014</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RL julio 2015</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 RL</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FA76FB" w:rsidRDefault="007E6AC4" w:rsidP="009C1354">
            <w:pPr>
              <w:spacing w:after="0"/>
              <w:ind w:firstLine="0"/>
              <w:jc w:val="right"/>
              <w:rPr>
                <w:rFonts w:ascii="Arial" w:hAnsi="Arial" w:cs="Arial"/>
                <w:color w:val="000000"/>
                <w:sz w:val="18"/>
                <w:szCs w:val="18"/>
                <w:lang w:val="es-ES" w:eastAsia="es-ES"/>
              </w:rPr>
            </w:pPr>
            <w:r w:rsidRPr="00FA76FB">
              <w:rPr>
                <w:rFonts w:ascii="Arial" w:hAnsi="Arial" w:cs="Arial"/>
                <w:color w:val="000000"/>
                <w:sz w:val="18"/>
                <w:szCs w:val="18"/>
                <w:lang w:val="es-ES" w:eastAsia="es-ES"/>
              </w:rPr>
              <w:t>% Var. 15/14</w:t>
            </w:r>
          </w:p>
        </w:tc>
      </w:tr>
      <w:tr w:rsidR="007E6AC4" w:rsidRPr="00095FF0" w:rsidTr="008C12C3">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lang w:val="es-ES" w:eastAsia="es-ES"/>
              </w:rPr>
              <w:t>Gestión directa</w:t>
            </w:r>
          </w:p>
        </w:tc>
        <w:tc>
          <w:tcPr>
            <w:tcW w:w="1701"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91.526</w:t>
            </w:r>
          </w:p>
        </w:tc>
        <w:tc>
          <w:tcPr>
            <w:tcW w:w="1843"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108.926</w:t>
            </w:r>
          </w:p>
        </w:tc>
        <w:tc>
          <w:tcPr>
            <w:tcW w:w="1417" w:type="dxa"/>
            <w:tcBorders>
              <w:top w:val="single" w:sz="4"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-17.400</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-16</w:t>
            </w:r>
          </w:p>
        </w:tc>
      </w:tr>
      <w:tr w:rsidR="007E6AC4" w:rsidRPr="00095FF0" w:rsidTr="008C12C3">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lang w:val="es-ES" w:eastAsia="es-ES"/>
              </w:rPr>
              <w:t>Ajustes Convenio</w:t>
            </w:r>
          </w:p>
        </w:tc>
        <w:tc>
          <w:tcPr>
            <w:tcW w:w="1701"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342.805</w:t>
            </w:r>
          </w:p>
        </w:tc>
        <w:tc>
          <w:tcPr>
            <w:tcW w:w="1843"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391.811</w:t>
            </w:r>
          </w:p>
        </w:tc>
        <w:tc>
          <w:tcPr>
            <w:tcW w:w="1417" w:type="dxa"/>
            <w:tcBorders>
              <w:top w:val="single" w:sz="2" w:space="0" w:color="auto"/>
              <w:left w:val="nil"/>
              <w:bottom w:val="single" w:sz="4"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-49.006</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-13</w:t>
            </w:r>
          </w:p>
        </w:tc>
      </w:tr>
      <w:tr w:rsidR="007E6AC4" w:rsidRPr="00C37D9D" w:rsidTr="00C37D9D">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spacing w:after="0"/>
              <w:ind w:firstLine="0"/>
              <w:rPr>
                <w:rFonts w:ascii="Arial Narrow" w:hAnsi="Arial Narrow"/>
                <w:bCs/>
                <w:color w:val="000000"/>
                <w:lang w:val="es-ES" w:eastAsia="es-ES"/>
              </w:rPr>
            </w:pPr>
            <w:r w:rsidRPr="00C37D9D">
              <w:rPr>
                <w:rFonts w:ascii="Arial Narrow" w:hAnsi="Arial Narrow"/>
                <w:bCs/>
                <w:color w:val="000000"/>
                <w:lang w:val="es-ES" w:eastAsia="es-ES"/>
              </w:rPr>
              <w:t>Total IVA</w:t>
            </w: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434.331</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500.737</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-66.406</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-13</w:t>
            </w:r>
          </w:p>
        </w:tc>
      </w:tr>
      <w:tr w:rsidR="007E6AC4" w:rsidRPr="00095FF0" w:rsidTr="008C12C3">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lang w:val="es-ES" w:eastAsia="es-ES"/>
              </w:rPr>
              <w:t>Gestión directa</w:t>
            </w:r>
          </w:p>
        </w:tc>
        <w:tc>
          <w:tcPr>
            <w:tcW w:w="1701"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256.719</w:t>
            </w:r>
          </w:p>
        </w:tc>
        <w:tc>
          <w:tcPr>
            <w:tcW w:w="1843"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253.745</w:t>
            </w:r>
          </w:p>
        </w:tc>
        <w:tc>
          <w:tcPr>
            <w:tcW w:w="1417" w:type="dxa"/>
            <w:tcBorders>
              <w:top w:val="single" w:sz="4" w:space="0" w:color="auto"/>
              <w:left w:val="nil"/>
              <w:bottom w:val="single" w:sz="2"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2.974</w:t>
            </w:r>
          </w:p>
        </w:tc>
        <w:tc>
          <w:tcPr>
            <w:tcW w:w="1276"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w:t>
            </w:r>
          </w:p>
        </w:tc>
      </w:tr>
      <w:tr w:rsidR="007E6AC4" w:rsidRPr="00095FF0" w:rsidTr="008C12C3">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lang w:val="es-ES" w:eastAsia="es-ES"/>
              </w:rPr>
              <w:t>Ajustes Convenio Econ.</w:t>
            </w:r>
          </w:p>
        </w:tc>
        <w:tc>
          <w:tcPr>
            <w:tcW w:w="1701"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-35.376</w:t>
            </w:r>
          </w:p>
        </w:tc>
        <w:tc>
          <w:tcPr>
            <w:tcW w:w="1843"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-55.900</w:t>
            </w:r>
          </w:p>
        </w:tc>
        <w:tc>
          <w:tcPr>
            <w:tcW w:w="1417" w:type="dxa"/>
            <w:tcBorders>
              <w:top w:val="single" w:sz="2" w:space="0" w:color="auto"/>
              <w:left w:val="nil"/>
              <w:bottom w:val="single" w:sz="4" w:space="0" w:color="auto"/>
              <w:right w:val="nil"/>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20.524</w:t>
            </w:r>
          </w:p>
        </w:tc>
        <w:tc>
          <w:tcPr>
            <w:tcW w:w="1276"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-37</w:t>
            </w:r>
          </w:p>
        </w:tc>
      </w:tr>
      <w:tr w:rsidR="007E6AC4" w:rsidRPr="00C37D9D" w:rsidTr="00C37D9D">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spacing w:after="0"/>
              <w:ind w:firstLine="0"/>
              <w:rPr>
                <w:rFonts w:ascii="Arial Narrow" w:hAnsi="Arial Narrow"/>
                <w:bCs/>
                <w:color w:val="000000"/>
                <w:lang w:val="es-ES" w:eastAsia="es-ES"/>
              </w:rPr>
            </w:pPr>
            <w:r w:rsidRPr="00C37D9D">
              <w:rPr>
                <w:rFonts w:ascii="Arial Narrow" w:hAnsi="Arial Narrow"/>
                <w:bCs/>
                <w:color w:val="000000"/>
                <w:lang w:val="es-ES" w:eastAsia="es-ES"/>
              </w:rPr>
              <w:t>Total Impuestos Especiales</w:t>
            </w:r>
          </w:p>
        </w:tc>
        <w:tc>
          <w:tcPr>
            <w:tcW w:w="170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221.343</w:t>
            </w:r>
          </w:p>
        </w:tc>
        <w:tc>
          <w:tcPr>
            <w:tcW w:w="184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197.845</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23.498</w:t>
            </w:r>
          </w:p>
        </w:tc>
        <w:tc>
          <w:tcPr>
            <w:tcW w:w="1276"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C37D9D"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C37D9D">
              <w:rPr>
                <w:rFonts w:ascii="Arial Narrow" w:hAnsi="Arial Narrow"/>
                <w:spacing w:val="6"/>
                <w:szCs w:val="24"/>
              </w:rPr>
              <w:t>12</w:t>
            </w:r>
          </w:p>
        </w:tc>
      </w:tr>
    </w:tbl>
    <w:p w:rsidR="007E6AC4" w:rsidRPr="00DF229E" w:rsidRDefault="007E6AC4" w:rsidP="007E6AC4">
      <w:pPr>
        <w:tabs>
          <w:tab w:val="left" w:pos="480"/>
          <w:tab w:val="num" w:pos="600"/>
        </w:tabs>
        <w:spacing w:after="0"/>
        <w:ind w:left="289" w:firstLine="0"/>
        <w:rPr>
          <w:sz w:val="24"/>
          <w:szCs w:val="24"/>
        </w:rPr>
      </w:pPr>
    </w:p>
    <w:p w:rsidR="007E6AC4" w:rsidRPr="00DF229E" w:rsidRDefault="007E6AC4" w:rsidP="008C12C3">
      <w:pPr>
        <w:ind w:firstLine="284"/>
        <w:rPr>
          <w:sz w:val="24"/>
          <w:szCs w:val="24"/>
        </w:rPr>
      </w:pPr>
      <w:r w:rsidRPr="00DF229E">
        <w:rPr>
          <w:sz w:val="24"/>
          <w:szCs w:val="24"/>
        </w:rPr>
        <w:t xml:space="preserve">En el IVA, la recaudación por gestión directa se ha reducido en un 16 por ciento </w:t>
      </w:r>
      <w:r>
        <w:rPr>
          <w:sz w:val="24"/>
          <w:szCs w:val="24"/>
        </w:rPr>
        <w:t>–</w:t>
      </w:r>
      <w:r w:rsidRPr="00DF229E">
        <w:rPr>
          <w:sz w:val="24"/>
          <w:szCs w:val="24"/>
        </w:rPr>
        <w:t>es d</w:t>
      </w:r>
      <w:r w:rsidRPr="00DF229E">
        <w:rPr>
          <w:sz w:val="24"/>
          <w:szCs w:val="24"/>
        </w:rPr>
        <w:t>e</w:t>
      </w:r>
      <w:r w:rsidRPr="00DF229E">
        <w:rPr>
          <w:sz w:val="24"/>
          <w:szCs w:val="24"/>
        </w:rPr>
        <w:t>cir, 17 millones menos</w:t>
      </w:r>
      <w:r>
        <w:rPr>
          <w:sz w:val="24"/>
          <w:szCs w:val="24"/>
        </w:rPr>
        <w:t>–</w:t>
      </w:r>
      <w:r w:rsidRPr="00DF229E">
        <w:rPr>
          <w:sz w:val="24"/>
          <w:szCs w:val="24"/>
        </w:rPr>
        <w:t>, en tanto que la procedente de los ajustes del Convenio lo hace en un 13 por ciento –esto es, 49 millones menos</w:t>
      </w:r>
      <w:r>
        <w:rPr>
          <w:sz w:val="24"/>
          <w:szCs w:val="24"/>
        </w:rPr>
        <w:t>–</w:t>
      </w:r>
      <w:r w:rsidRPr="00DF229E">
        <w:rPr>
          <w:sz w:val="24"/>
          <w:szCs w:val="24"/>
        </w:rPr>
        <w:t>. Estos datos suponen una reducción global de 66 millones.</w:t>
      </w:r>
    </w:p>
    <w:p w:rsidR="007E6AC4" w:rsidRPr="00DF229E" w:rsidRDefault="007E6AC4" w:rsidP="008C12C3">
      <w:pPr>
        <w:spacing w:after="240"/>
        <w:ind w:firstLine="284"/>
        <w:rPr>
          <w:sz w:val="24"/>
          <w:szCs w:val="24"/>
        </w:rPr>
      </w:pPr>
      <w:r w:rsidRPr="00DF229E">
        <w:rPr>
          <w:sz w:val="24"/>
          <w:szCs w:val="24"/>
        </w:rPr>
        <w:t xml:space="preserve">En Especiales, ha aumentado la gestión directa en un uno por ciento </w:t>
      </w:r>
      <w:r>
        <w:rPr>
          <w:sz w:val="24"/>
          <w:szCs w:val="24"/>
        </w:rPr>
        <w:t>–</w:t>
      </w:r>
      <w:r w:rsidRPr="00DF229E">
        <w:rPr>
          <w:sz w:val="24"/>
          <w:szCs w:val="24"/>
        </w:rPr>
        <w:t>3 millones</w:t>
      </w:r>
      <w:r>
        <w:rPr>
          <w:sz w:val="24"/>
          <w:szCs w:val="24"/>
        </w:rPr>
        <w:t>–</w:t>
      </w:r>
      <w:r w:rsidRPr="00DF229E">
        <w:rPr>
          <w:sz w:val="24"/>
          <w:szCs w:val="24"/>
        </w:rPr>
        <w:t xml:space="preserve"> y se ha reducido la recaudación por los ajustes del Convenio en un 37 por ciento </w:t>
      </w:r>
      <w:r>
        <w:rPr>
          <w:sz w:val="24"/>
          <w:szCs w:val="24"/>
        </w:rPr>
        <w:t>–</w:t>
      </w:r>
      <w:r w:rsidRPr="00DF229E">
        <w:rPr>
          <w:sz w:val="24"/>
          <w:szCs w:val="24"/>
        </w:rPr>
        <w:t>20 millones</w:t>
      </w:r>
      <w:r>
        <w:rPr>
          <w:sz w:val="24"/>
          <w:szCs w:val="24"/>
        </w:rPr>
        <w:t>–</w:t>
      </w:r>
      <w:r w:rsidRPr="00DF229E">
        <w:rPr>
          <w:sz w:val="24"/>
          <w:szCs w:val="24"/>
        </w:rPr>
        <w:t>. Ello se ha traducido en un aumento global de 23 millones.</w:t>
      </w:r>
    </w:p>
    <w:p w:rsidR="007E6AC4" w:rsidRPr="00DF229E" w:rsidRDefault="007E6AC4" w:rsidP="007E6AC4">
      <w:pPr>
        <w:ind w:firstLine="284"/>
        <w:rPr>
          <w:b/>
          <w:sz w:val="24"/>
          <w:szCs w:val="24"/>
        </w:rPr>
      </w:pPr>
      <w:proofErr w:type="gramStart"/>
      <w:r w:rsidRPr="00DF229E">
        <w:rPr>
          <w:b/>
          <w:sz w:val="24"/>
          <w:szCs w:val="24"/>
        </w:rPr>
        <w:lastRenderedPageBreak/>
        <w:t>8</w:t>
      </w:r>
      <w:r w:rsidR="00C37D9D">
        <w:rPr>
          <w:b/>
          <w:sz w:val="24"/>
          <w:szCs w:val="24"/>
        </w:rPr>
        <w:t>.</w:t>
      </w:r>
      <w:r w:rsidRPr="00DF229E">
        <w:rPr>
          <w:b/>
          <w:sz w:val="24"/>
          <w:szCs w:val="24"/>
        </w:rPr>
        <w:t>ª</w:t>
      </w:r>
      <w:proofErr w:type="gramEnd"/>
      <w:r w:rsidRPr="00DF229E">
        <w:rPr>
          <w:b/>
          <w:sz w:val="24"/>
          <w:szCs w:val="24"/>
        </w:rPr>
        <w:t xml:space="preserve"> Endeudamiento financiero del Gobierno de Navarra a 31 de julio de 2015.</w:t>
      </w:r>
    </w:p>
    <w:p w:rsidR="007E6AC4" w:rsidRPr="00DF229E" w:rsidRDefault="007E6AC4" w:rsidP="008C12C3">
      <w:pPr>
        <w:spacing w:after="240"/>
        <w:ind w:firstLine="284"/>
        <w:rPr>
          <w:sz w:val="24"/>
          <w:szCs w:val="24"/>
        </w:rPr>
      </w:pPr>
      <w:r w:rsidRPr="00DF229E">
        <w:rPr>
          <w:sz w:val="24"/>
          <w:szCs w:val="24"/>
        </w:rPr>
        <w:t>De acuerdo con los registros de contabilidad, hasta el 31 de julio de 2015, el endeud</w:t>
      </w:r>
      <w:r w:rsidRPr="00DF229E">
        <w:rPr>
          <w:sz w:val="24"/>
          <w:szCs w:val="24"/>
        </w:rPr>
        <w:t>a</w:t>
      </w:r>
      <w:r w:rsidRPr="00DF229E">
        <w:rPr>
          <w:sz w:val="24"/>
          <w:szCs w:val="24"/>
        </w:rPr>
        <w:t>miento financiero a coste amortizado del Gobierno de Navarra, tanto a corto como a largo plazo, asciende a 2.969 millones, tal como puede apreciarse en el siguiente cuadro junto con su comparación con el mismo periodo del año anterior</w:t>
      </w:r>
      <w:r>
        <w:rPr>
          <w:sz w:val="24"/>
          <w:szCs w:val="24"/>
        </w:rPr>
        <w:t>,</w:t>
      </w:r>
      <w:r w:rsidRPr="00DF229E">
        <w:rPr>
          <w:sz w:val="24"/>
          <w:szCs w:val="24"/>
        </w:rPr>
        <w:t xml:space="preserve"> en miles de euros</w:t>
      </w:r>
      <w:r>
        <w:rPr>
          <w:sz w:val="24"/>
          <w:szCs w:val="24"/>
        </w:rPr>
        <w:t>.</w:t>
      </w:r>
    </w:p>
    <w:tbl>
      <w:tblPr>
        <w:tblW w:w="8779" w:type="dxa"/>
        <w:jc w:val="center"/>
        <w:tblLayout w:type="fixed"/>
        <w:tblLook w:val="01E0" w:firstRow="1" w:lastRow="1" w:firstColumn="1" w:lastColumn="1" w:noHBand="0" w:noVBand="0"/>
      </w:tblPr>
      <w:tblGrid>
        <w:gridCol w:w="4279"/>
        <w:gridCol w:w="1713"/>
        <w:gridCol w:w="1372"/>
        <w:gridCol w:w="1415"/>
      </w:tblGrid>
      <w:tr w:rsidR="007E6AC4" w:rsidRPr="008827AD" w:rsidTr="00195087">
        <w:trPr>
          <w:trHeight w:val="113"/>
          <w:jc w:val="center"/>
        </w:trPr>
        <w:tc>
          <w:tcPr>
            <w:tcW w:w="4279" w:type="dxa"/>
            <w:vMerge w:val="restart"/>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left"/>
              <w:rPr>
                <w:rFonts w:ascii="Arial" w:hAnsi="Arial" w:cs="Arial"/>
                <w:color w:val="000000"/>
                <w:sz w:val="18"/>
                <w:szCs w:val="18"/>
                <w:lang w:val="es-ES" w:eastAsia="es-ES"/>
              </w:rPr>
            </w:pPr>
            <w:r w:rsidRPr="008827AD">
              <w:rPr>
                <w:rFonts w:ascii="Arial" w:hAnsi="Arial" w:cs="Arial"/>
                <w:color w:val="000000"/>
                <w:sz w:val="18"/>
                <w:szCs w:val="18"/>
                <w:lang w:val="es-ES" w:eastAsia="es-ES"/>
              </w:rPr>
              <w:t>Deuda financiera Gobierno de Navarra</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center"/>
              <w:rPr>
                <w:rFonts w:ascii="Arial" w:hAnsi="Arial" w:cs="Arial"/>
                <w:color w:val="000000"/>
                <w:sz w:val="18"/>
                <w:szCs w:val="18"/>
                <w:lang w:val="es-ES" w:eastAsia="es-ES"/>
              </w:rPr>
            </w:pPr>
            <w:r w:rsidRPr="008827AD">
              <w:rPr>
                <w:rFonts w:ascii="Arial" w:hAnsi="Arial" w:cs="Arial"/>
                <w:color w:val="000000"/>
                <w:sz w:val="18"/>
                <w:szCs w:val="18"/>
                <w:lang w:val="es-ES" w:eastAsia="es-ES"/>
              </w:rPr>
              <w:t>A 31 de julio de 2015</w:t>
            </w:r>
          </w:p>
        </w:tc>
      </w:tr>
      <w:tr w:rsidR="007E6AC4" w:rsidRPr="008827AD" w:rsidTr="00195087">
        <w:trPr>
          <w:trHeight w:val="113"/>
          <w:jc w:val="center"/>
        </w:trPr>
        <w:tc>
          <w:tcPr>
            <w:tcW w:w="4279" w:type="dxa"/>
            <w:vMerge/>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left"/>
              <w:rPr>
                <w:rFonts w:ascii="Arial" w:hAnsi="Arial" w:cs="Arial"/>
                <w:color w:val="000000"/>
                <w:sz w:val="18"/>
                <w:szCs w:val="18"/>
                <w:lang w:val="es-ES" w:eastAsia="es-ES"/>
              </w:rPr>
            </w:pPr>
          </w:p>
        </w:tc>
        <w:tc>
          <w:tcPr>
            <w:tcW w:w="1713"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Largo Plazo</w:t>
            </w:r>
          </w:p>
        </w:tc>
        <w:tc>
          <w:tcPr>
            <w:tcW w:w="1372"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Corto Plazo</w:t>
            </w:r>
          </w:p>
        </w:tc>
        <w:tc>
          <w:tcPr>
            <w:tcW w:w="1415"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Total</w:t>
            </w:r>
          </w:p>
        </w:tc>
      </w:tr>
      <w:tr w:rsidR="007E6AC4" w:rsidRPr="00095FF0" w:rsidTr="008C12C3">
        <w:trPr>
          <w:trHeight w:val="227"/>
          <w:jc w:val="center"/>
        </w:trPr>
        <w:tc>
          <w:tcPr>
            <w:tcW w:w="4279" w:type="dxa"/>
            <w:tcBorders>
              <w:top w:val="single" w:sz="4" w:space="0" w:color="auto"/>
              <w:bottom w:val="single" w:sz="2" w:space="0" w:color="auto"/>
            </w:tcBorders>
            <w:vAlign w:val="center"/>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Deuda Pública</w:t>
            </w:r>
          </w:p>
        </w:tc>
        <w:tc>
          <w:tcPr>
            <w:tcW w:w="1713" w:type="dxa"/>
            <w:tcBorders>
              <w:top w:val="single" w:sz="4" w:space="0" w:color="auto"/>
              <w:bottom w:val="single" w:sz="2"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1.760.118</w:t>
            </w:r>
          </w:p>
        </w:tc>
        <w:tc>
          <w:tcPr>
            <w:tcW w:w="1372" w:type="dxa"/>
            <w:tcBorders>
              <w:top w:val="single" w:sz="4" w:space="0" w:color="auto"/>
              <w:bottom w:val="single" w:sz="2"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82.167</w:t>
            </w:r>
          </w:p>
        </w:tc>
        <w:tc>
          <w:tcPr>
            <w:tcW w:w="1415" w:type="dxa"/>
            <w:tcBorders>
              <w:top w:val="single" w:sz="4" w:space="0" w:color="auto"/>
              <w:bottom w:val="single" w:sz="2"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1.842.285</w:t>
            </w:r>
          </w:p>
        </w:tc>
      </w:tr>
      <w:tr w:rsidR="007E6AC4" w:rsidRPr="00095FF0" w:rsidTr="008C12C3">
        <w:trPr>
          <w:trHeight w:val="227"/>
          <w:jc w:val="center"/>
        </w:trPr>
        <w:tc>
          <w:tcPr>
            <w:tcW w:w="4279" w:type="dxa"/>
            <w:tcBorders>
              <w:top w:val="single" w:sz="2" w:space="0" w:color="auto"/>
              <w:bottom w:val="single" w:sz="4" w:space="0" w:color="auto"/>
            </w:tcBorders>
            <w:vAlign w:val="center"/>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Préstamos</w:t>
            </w:r>
          </w:p>
        </w:tc>
        <w:tc>
          <w:tcPr>
            <w:tcW w:w="1713" w:type="dxa"/>
            <w:tcBorders>
              <w:top w:val="single" w:sz="2"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1.082.067</w:t>
            </w:r>
          </w:p>
        </w:tc>
        <w:tc>
          <w:tcPr>
            <w:tcW w:w="1372" w:type="dxa"/>
            <w:tcBorders>
              <w:top w:val="single" w:sz="2"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44.686</w:t>
            </w:r>
          </w:p>
        </w:tc>
        <w:tc>
          <w:tcPr>
            <w:tcW w:w="1415" w:type="dxa"/>
            <w:tcBorders>
              <w:top w:val="single" w:sz="2"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1.126.753</w:t>
            </w:r>
          </w:p>
        </w:tc>
      </w:tr>
      <w:tr w:rsidR="007E6AC4" w:rsidRPr="00095FF0" w:rsidTr="008C12C3">
        <w:trPr>
          <w:trHeight w:val="227"/>
          <w:jc w:val="center"/>
        </w:trPr>
        <w:tc>
          <w:tcPr>
            <w:tcW w:w="4279" w:type="dxa"/>
            <w:tcBorders>
              <w:top w:val="single" w:sz="4" w:space="0" w:color="auto"/>
              <w:bottom w:val="single" w:sz="4" w:space="0" w:color="auto"/>
            </w:tcBorders>
            <w:vAlign w:val="center"/>
          </w:tcPr>
          <w:p w:rsidR="007E6AC4" w:rsidRPr="00095FF0" w:rsidRDefault="007E6AC4" w:rsidP="009C1354">
            <w:pPr>
              <w:spacing w:after="0"/>
              <w:ind w:firstLine="0"/>
              <w:jc w:val="left"/>
              <w:rPr>
                <w:rFonts w:ascii="Arial Narrow" w:hAnsi="Arial Narrow"/>
                <w:b/>
                <w:color w:val="000000"/>
                <w:lang w:val="es-ES" w:eastAsia="es-ES"/>
              </w:rPr>
            </w:pPr>
            <w:r w:rsidRPr="00095FF0">
              <w:rPr>
                <w:rFonts w:ascii="Arial Narrow" w:hAnsi="Arial Narrow"/>
                <w:b/>
                <w:color w:val="000000"/>
                <w:lang w:val="es-ES" w:eastAsia="es-ES"/>
              </w:rPr>
              <w:t xml:space="preserve">Total endeudamiento financiero julio </w:t>
            </w:r>
            <w:r>
              <w:rPr>
                <w:rFonts w:ascii="Arial Narrow" w:hAnsi="Arial Narrow"/>
                <w:b/>
                <w:color w:val="000000"/>
                <w:lang w:val="es-ES" w:eastAsia="es-ES"/>
              </w:rPr>
              <w:t>20</w:t>
            </w:r>
            <w:r w:rsidRPr="00095FF0">
              <w:rPr>
                <w:rFonts w:ascii="Arial Narrow" w:hAnsi="Arial Narrow"/>
                <w:b/>
                <w:color w:val="000000"/>
                <w:lang w:val="es-ES" w:eastAsia="es-ES"/>
              </w:rPr>
              <w:t xml:space="preserve">15 </w:t>
            </w:r>
          </w:p>
        </w:tc>
        <w:tc>
          <w:tcPr>
            <w:tcW w:w="1713" w:type="dxa"/>
            <w:tcBorders>
              <w:top w:val="single" w:sz="4"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2.842.185</w:t>
            </w:r>
          </w:p>
        </w:tc>
        <w:tc>
          <w:tcPr>
            <w:tcW w:w="1372" w:type="dxa"/>
            <w:tcBorders>
              <w:top w:val="single" w:sz="4"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126.853</w:t>
            </w:r>
          </w:p>
        </w:tc>
        <w:tc>
          <w:tcPr>
            <w:tcW w:w="1415" w:type="dxa"/>
            <w:tcBorders>
              <w:top w:val="single" w:sz="4" w:space="0" w:color="auto"/>
              <w:bottom w:val="single" w:sz="4" w:space="0" w:color="auto"/>
            </w:tcBorders>
            <w:vAlign w:val="bottom"/>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2.969.038</w:t>
            </w:r>
          </w:p>
        </w:tc>
      </w:tr>
      <w:tr w:rsidR="007E6AC4" w:rsidRPr="008827AD" w:rsidTr="00195087">
        <w:trPr>
          <w:trHeight w:val="113"/>
          <w:jc w:val="center"/>
        </w:trPr>
        <w:tc>
          <w:tcPr>
            <w:tcW w:w="4279" w:type="dxa"/>
            <w:vMerge w:val="restart"/>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left"/>
              <w:rPr>
                <w:rFonts w:ascii="Arial" w:hAnsi="Arial" w:cs="Arial"/>
                <w:color w:val="000000"/>
                <w:sz w:val="18"/>
                <w:szCs w:val="18"/>
                <w:lang w:val="es-ES" w:eastAsia="es-ES"/>
              </w:rPr>
            </w:pPr>
            <w:r w:rsidRPr="008827AD">
              <w:rPr>
                <w:rFonts w:ascii="Arial" w:hAnsi="Arial" w:cs="Arial"/>
                <w:color w:val="000000"/>
                <w:sz w:val="18"/>
                <w:szCs w:val="18"/>
                <w:lang w:val="es-ES" w:eastAsia="es-ES"/>
              </w:rPr>
              <w:t>Deuda financiera Gobierno de Navarra</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center"/>
              <w:rPr>
                <w:rFonts w:ascii="Arial" w:hAnsi="Arial" w:cs="Arial"/>
                <w:color w:val="000000"/>
                <w:sz w:val="18"/>
                <w:szCs w:val="18"/>
                <w:lang w:val="es-ES" w:eastAsia="es-ES"/>
              </w:rPr>
            </w:pPr>
            <w:r w:rsidRPr="008827AD">
              <w:rPr>
                <w:rFonts w:ascii="Arial" w:hAnsi="Arial" w:cs="Arial"/>
                <w:color w:val="000000"/>
                <w:sz w:val="18"/>
                <w:szCs w:val="18"/>
                <w:lang w:val="es-ES" w:eastAsia="es-ES"/>
              </w:rPr>
              <w:t>A 31 de julio de 2014</w:t>
            </w:r>
          </w:p>
        </w:tc>
      </w:tr>
      <w:tr w:rsidR="007E6AC4" w:rsidRPr="008827AD" w:rsidTr="00195087">
        <w:trPr>
          <w:trHeight w:val="113"/>
          <w:jc w:val="center"/>
        </w:trPr>
        <w:tc>
          <w:tcPr>
            <w:tcW w:w="4279" w:type="dxa"/>
            <w:vMerge/>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left"/>
              <w:rPr>
                <w:rFonts w:ascii="Arial" w:hAnsi="Arial" w:cs="Arial"/>
                <w:color w:val="000000"/>
                <w:sz w:val="18"/>
                <w:szCs w:val="18"/>
                <w:lang w:val="es-ES" w:eastAsia="es-ES"/>
              </w:rPr>
            </w:pPr>
          </w:p>
        </w:tc>
        <w:tc>
          <w:tcPr>
            <w:tcW w:w="1713"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Largo Plazo</w:t>
            </w:r>
          </w:p>
        </w:tc>
        <w:tc>
          <w:tcPr>
            <w:tcW w:w="1372"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Corto Plazo</w:t>
            </w:r>
          </w:p>
        </w:tc>
        <w:tc>
          <w:tcPr>
            <w:tcW w:w="1415" w:type="dxa"/>
            <w:tcBorders>
              <w:top w:val="single" w:sz="4" w:space="0" w:color="auto"/>
              <w:bottom w:val="single" w:sz="4" w:space="0" w:color="auto"/>
            </w:tcBorders>
            <w:shd w:val="clear" w:color="auto" w:fill="8DB3E2" w:themeFill="text2" w:themeFillTint="66"/>
            <w:vAlign w:val="center"/>
          </w:tcPr>
          <w:p w:rsidR="007E6AC4" w:rsidRPr="008827AD" w:rsidRDefault="007E6AC4" w:rsidP="009C1354">
            <w:pPr>
              <w:spacing w:after="0"/>
              <w:ind w:firstLine="0"/>
              <w:jc w:val="right"/>
              <w:rPr>
                <w:rFonts w:ascii="Arial" w:hAnsi="Arial" w:cs="Arial"/>
                <w:color w:val="000000"/>
                <w:sz w:val="18"/>
                <w:szCs w:val="18"/>
                <w:lang w:val="es-ES" w:eastAsia="es-ES"/>
              </w:rPr>
            </w:pPr>
            <w:r w:rsidRPr="008827AD">
              <w:rPr>
                <w:rFonts w:ascii="Arial" w:hAnsi="Arial" w:cs="Arial"/>
                <w:color w:val="000000"/>
                <w:sz w:val="18"/>
                <w:szCs w:val="18"/>
                <w:lang w:val="es-ES" w:eastAsia="es-ES"/>
              </w:rPr>
              <w:t>Total</w:t>
            </w:r>
          </w:p>
        </w:tc>
      </w:tr>
      <w:tr w:rsidR="007E6AC4" w:rsidRPr="00095FF0" w:rsidTr="008C12C3">
        <w:trPr>
          <w:trHeight w:val="227"/>
          <w:jc w:val="center"/>
        </w:trPr>
        <w:tc>
          <w:tcPr>
            <w:tcW w:w="4279" w:type="dxa"/>
            <w:tcBorders>
              <w:top w:val="single" w:sz="4" w:space="0" w:color="auto"/>
              <w:bottom w:val="single" w:sz="2" w:space="0" w:color="auto"/>
            </w:tcBorders>
            <w:vAlign w:val="center"/>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Deuda Pública</w:t>
            </w:r>
          </w:p>
        </w:tc>
        <w:tc>
          <w:tcPr>
            <w:tcW w:w="1713"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1.889.030</w:t>
            </w:r>
          </w:p>
        </w:tc>
        <w:tc>
          <w:tcPr>
            <w:tcW w:w="1372"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196.531</w:t>
            </w:r>
          </w:p>
        </w:tc>
        <w:tc>
          <w:tcPr>
            <w:tcW w:w="1415"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2.085.561</w:t>
            </w:r>
          </w:p>
        </w:tc>
      </w:tr>
      <w:tr w:rsidR="007E6AC4" w:rsidRPr="00095FF0" w:rsidTr="008C12C3">
        <w:trPr>
          <w:trHeight w:val="227"/>
          <w:jc w:val="center"/>
        </w:trPr>
        <w:tc>
          <w:tcPr>
            <w:tcW w:w="4279" w:type="dxa"/>
            <w:tcBorders>
              <w:top w:val="single" w:sz="2" w:space="0" w:color="auto"/>
              <w:bottom w:val="single" w:sz="4" w:space="0" w:color="auto"/>
            </w:tcBorders>
            <w:vAlign w:val="center"/>
          </w:tcPr>
          <w:p w:rsidR="007E6AC4" w:rsidRPr="00095FF0" w:rsidRDefault="007E6AC4" w:rsidP="009C1354">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Préstamos</w:t>
            </w:r>
          </w:p>
        </w:tc>
        <w:tc>
          <w:tcPr>
            <w:tcW w:w="1713"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686.969</w:t>
            </w:r>
          </w:p>
        </w:tc>
        <w:tc>
          <w:tcPr>
            <w:tcW w:w="1372"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202.704</w:t>
            </w:r>
          </w:p>
        </w:tc>
        <w:tc>
          <w:tcPr>
            <w:tcW w:w="1415"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889.673</w:t>
            </w:r>
          </w:p>
        </w:tc>
      </w:tr>
      <w:tr w:rsidR="007E6AC4" w:rsidRPr="00095FF0" w:rsidTr="008C12C3">
        <w:trPr>
          <w:trHeight w:val="227"/>
          <w:jc w:val="center"/>
        </w:trPr>
        <w:tc>
          <w:tcPr>
            <w:tcW w:w="4279" w:type="dxa"/>
            <w:tcBorders>
              <w:top w:val="single" w:sz="4" w:space="0" w:color="auto"/>
              <w:bottom w:val="single" w:sz="4" w:space="0" w:color="auto"/>
            </w:tcBorders>
            <w:vAlign w:val="center"/>
          </w:tcPr>
          <w:p w:rsidR="007E6AC4" w:rsidRPr="00095FF0" w:rsidRDefault="007E6AC4" w:rsidP="009C1354">
            <w:pPr>
              <w:spacing w:after="0"/>
              <w:ind w:firstLine="0"/>
              <w:jc w:val="left"/>
              <w:rPr>
                <w:rFonts w:ascii="Arial Narrow" w:hAnsi="Arial Narrow"/>
                <w:b/>
                <w:color w:val="000000"/>
                <w:lang w:val="es-ES" w:eastAsia="es-ES"/>
              </w:rPr>
            </w:pPr>
            <w:r w:rsidRPr="00095FF0">
              <w:rPr>
                <w:rFonts w:ascii="Arial Narrow" w:hAnsi="Arial Narrow"/>
                <w:b/>
                <w:color w:val="000000"/>
                <w:lang w:val="es-ES" w:eastAsia="es-ES"/>
              </w:rPr>
              <w:t xml:space="preserve">Total endeudamiento financiero julio </w:t>
            </w:r>
            <w:r>
              <w:rPr>
                <w:rFonts w:ascii="Arial Narrow" w:hAnsi="Arial Narrow"/>
                <w:b/>
                <w:color w:val="000000"/>
                <w:lang w:val="es-ES" w:eastAsia="es-ES"/>
              </w:rPr>
              <w:t>20</w:t>
            </w:r>
            <w:r w:rsidRPr="00095FF0">
              <w:rPr>
                <w:rFonts w:ascii="Arial Narrow" w:hAnsi="Arial Narrow"/>
                <w:b/>
                <w:color w:val="000000"/>
                <w:lang w:val="es-ES" w:eastAsia="es-ES"/>
              </w:rPr>
              <w:t>14</w:t>
            </w:r>
          </w:p>
        </w:tc>
        <w:tc>
          <w:tcPr>
            <w:tcW w:w="1713"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2.575.999</w:t>
            </w:r>
          </w:p>
        </w:tc>
        <w:tc>
          <w:tcPr>
            <w:tcW w:w="1372"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399.235</w:t>
            </w:r>
          </w:p>
        </w:tc>
        <w:tc>
          <w:tcPr>
            <w:tcW w:w="1415"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spacing w:val="6"/>
                <w:szCs w:val="24"/>
              </w:rPr>
            </w:pPr>
            <w:r w:rsidRPr="00095FF0">
              <w:rPr>
                <w:rFonts w:ascii="Arial Narrow" w:hAnsi="Arial Narrow"/>
                <w:b/>
                <w:spacing w:val="6"/>
                <w:szCs w:val="24"/>
              </w:rPr>
              <w:t>2.975.234</w:t>
            </w:r>
          </w:p>
        </w:tc>
      </w:tr>
    </w:tbl>
    <w:p w:rsidR="007E6AC4" w:rsidRPr="0010137C" w:rsidRDefault="007E6AC4" w:rsidP="007E6AC4">
      <w:pPr>
        <w:tabs>
          <w:tab w:val="left" w:pos="480"/>
          <w:tab w:val="num" w:pos="600"/>
        </w:tabs>
        <w:spacing w:after="0"/>
        <w:ind w:firstLine="0"/>
        <w:rPr>
          <w:sz w:val="16"/>
          <w:szCs w:val="16"/>
        </w:rPr>
      </w:pPr>
    </w:p>
    <w:p w:rsidR="007E6AC4" w:rsidRPr="00DF229E" w:rsidRDefault="007E6AC4" w:rsidP="007E6AC4">
      <w:pPr>
        <w:tabs>
          <w:tab w:val="left" w:pos="480"/>
          <w:tab w:val="num" w:pos="600"/>
        </w:tabs>
        <w:ind w:firstLine="284"/>
        <w:rPr>
          <w:sz w:val="24"/>
        </w:rPr>
      </w:pPr>
      <w:r w:rsidRPr="00DF229E">
        <w:rPr>
          <w:sz w:val="24"/>
        </w:rPr>
        <w:t>Respecto al mismo periodo de 2014, se ha reducido el endeudamiento en seis millones, es decir, el 0,21 por ciento.</w:t>
      </w:r>
    </w:p>
    <w:p w:rsidR="007E6AC4" w:rsidRPr="00DF229E" w:rsidRDefault="007E6AC4" w:rsidP="007E6AC4">
      <w:pPr>
        <w:tabs>
          <w:tab w:val="left" w:pos="480"/>
          <w:tab w:val="num" w:pos="600"/>
        </w:tabs>
        <w:ind w:firstLine="284"/>
        <w:rPr>
          <w:sz w:val="24"/>
        </w:rPr>
      </w:pPr>
      <w:r w:rsidRPr="00DF229E">
        <w:rPr>
          <w:sz w:val="24"/>
        </w:rPr>
        <w:t>En 2014, la deuda pública representaba el 70 por ciento del total; en 2015, ese porcent</w:t>
      </w:r>
      <w:r w:rsidRPr="00DF229E">
        <w:rPr>
          <w:sz w:val="24"/>
        </w:rPr>
        <w:t>a</w:t>
      </w:r>
      <w:r w:rsidRPr="00DF229E">
        <w:rPr>
          <w:sz w:val="24"/>
        </w:rPr>
        <w:t>je es del 62 por ciento. En relación con los préstamos, los porcentajes son del 30 y 38 por ciento, respectivamente.</w:t>
      </w:r>
    </w:p>
    <w:p w:rsidR="007E6AC4" w:rsidRPr="00DF229E" w:rsidRDefault="007E6AC4" w:rsidP="007E6AC4">
      <w:pPr>
        <w:tabs>
          <w:tab w:val="left" w:pos="480"/>
          <w:tab w:val="num" w:pos="600"/>
        </w:tabs>
        <w:ind w:firstLine="284"/>
        <w:rPr>
          <w:sz w:val="24"/>
        </w:rPr>
      </w:pPr>
      <w:r w:rsidRPr="00DF229E">
        <w:rPr>
          <w:sz w:val="24"/>
        </w:rPr>
        <w:t>En 2014, el endeudamiento a corto plazo representaba el 13 por ciento del total; en 2015, ese porcentaje es del cuatro por ciento.</w:t>
      </w:r>
    </w:p>
    <w:p w:rsidR="007E6AC4" w:rsidRPr="00DF229E" w:rsidRDefault="007E6AC4" w:rsidP="007E6AC4">
      <w:pPr>
        <w:tabs>
          <w:tab w:val="left" w:pos="480"/>
          <w:tab w:val="num" w:pos="600"/>
        </w:tabs>
        <w:ind w:firstLine="284"/>
        <w:rPr>
          <w:sz w:val="24"/>
        </w:rPr>
      </w:pPr>
      <w:r w:rsidRPr="00DF229E">
        <w:rPr>
          <w:sz w:val="24"/>
        </w:rPr>
        <w:t>En definitiva, con una variación de seis millones entre ambos periodos, se observa en julio de 2015 una configuración de la deuda algo distinta: mayor peso relativo de los pré</w:t>
      </w:r>
      <w:r w:rsidRPr="00DF229E">
        <w:rPr>
          <w:sz w:val="24"/>
        </w:rPr>
        <w:t>s</w:t>
      </w:r>
      <w:r w:rsidRPr="00DF229E">
        <w:rPr>
          <w:sz w:val="24"/>
        </w:rPr>
        <w:t>tamos y del largo plazo.</w:t>
      </w:r>
    </w:p>
    <w:p w:rsidR="007E6AC4" w:rsidRPr="008827AD" w:rsidRDefault="007E6AC4" w:rsidP="007E6AC4">
      <w:pPr>
        <w:tabs>
          <w:tab w:val="left" w:pos="480"/>
          <w:tab w:val="num" w:pos="600"/>
        </w:tabs>
        <w:spacing w:after="240"/>
        <w:ind w:firstLine="284"/>
        <w:rPr>
          <w:rFonts w:ascii="Times New (W1)" w:hAnsi="Times New (W1)"/>
          <w:spacing w:val="-4"/>
          <w:sz w:val="24"/>
          <w:szCs w:val="24"/>
        </w:rPr>
      </w:pPr>
      <w:r w:rsidRPr="008827AD">
        <w:rPr>
          <w:rFonts w:ascii="Times New (W1)" w:hAnsi="Times New (W1)"/>
          <w:spacing w:val="-4"/>
          <w:sz w:val="24"/>
          <w:szCs w:val="24"/>
        </w:rPr>
        <w:t>En el cuadro siguiente mostramos unos indicadores de este endeudamiento y su evolución.</w:t>
      </w:r>
    </w:p>
    <w:tbl>
      <w:tblPr>
        <w:tblW w:w="8730" w:type="dxa"/>
        <w:jc w:val="center"/>
        <w:tblCellMar>
          <w:left w:w="70" w:type="dxa"/>
          <w:right w:w="70" w:type="dxa"/>
        </w:tblCellMar>
        <w:tblLook w:val="0000" w:firstRow="0" w:lastRow="0" w:firstColumn="0" w:lastColumn="0" w:noHBand="0" w:noVBand="0"/>
      </w:tblPr>
      <w:tblGrid>
        <w:gridCol w:w="5775"/>
        <w:gridCol w:w="1579"/>
        <w:gridCol w:w="1376"/>
      </w:tblGrid>
      <w:tr w:rsidR="007E6AC4" w:rsidRPr="008827AD" w:rsidTr="00195087">
        <w:trPr>
          <w:trHeight w:val="312"/>
          <w:jc w:val="center"/>
        </w:trPr>
        <w:tc>
          <w:tcPr>
            <w:tcW w:w="5775" w:type="dxa"/>
            <w:tcBorders>
              <w:top w:val="single" w:sz="4" w:space="0" w:color="auto"/>
              <w:bottom w:val="single" w:sz="4" w:space="0" w:color="auto"/>
            </w:tcBorders>
            <w:shd w:val="clear" w:color="auto" w:fill="8DB3E2" w:themeFill="text2" w:themeFillTint="66"/>
            <w:vAlign w:val="center"/>
          </w:tcPr>
          <w:p w:rsidR="007E6AC4" w:rsidRPr="008827AD" w:rsidRDefault="007E6AC4" w:rsidP="008C12C3">
            <w:pPr>
              <w:keepLines/>
              <w:tabs>
                <w:tab w:val="right" w:pos="2835"/>
                <w:tab w:val="right" w:pos="3969"/>
                <w:tab w:val="right" w:pos="5103"/>
                <w:tab w:val="right" w:pos="6237"/>
                <w:tab w:val="right" w:pos="7371"/>
              </w:tabs>
              <w:spacing w:after="0"/>
              <w:ind w:right="-6" w:firstLine="0"/>
              <w:jc w:val="left"/>
              <w:rPr>
                <w:rFonts w:ascii="Arial" w:hAnsi="Arial" w:cs="Arial"/>
                <w:iCs/>
                <w:sz w:val="18"/>
                <w:szCs w:val="18"/>
              </w:rPr>
            </w:pPr>
            <w:r w:rsidRPr="008827AD">
              <w:rPr>
                <w:rFonts w:ascii="Arial" w:hAnsi="Arial" w:cs="Arial"/>
                <w:sz w:val="18"/>
                <w:szCs w:val="18"/>
              </w:rPr>
              <w:t>Indicadores de deuda del Gobierno de Navarra</w:t>
            </w:r>
          </w:p>
        </w:tc>
        <w:tc>
          <w:tcPr>
            <w:tcW w:w="1579" w:type="dxa"/>
            <w:tcBorders>
              <w:top w:val="single" w:sz="4" w:space="0" w:color="auto"/>
              <w:bottom w:val="single" w:sz="4" w:space="0" w:color="auto"/>
            </w:tcBorders>
            <w:shd w:val="clear" w:color="auto" w:fill="8DB3E2" w:themeFill="text2" w:themeFillTint="66"/>
            <w:vAlign w:val="center"/>
          </w:tcPr>
          <w:p w:rsidR="007E6AC4" w:rsidRPr="008827AD" w:rsidRDefault="007E6AC4" w:rsidP="008C12C3">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827AD">
              <w:rPr>
                <w:rFonts w:ascii="Arial" w:hAnsi="Arial" w:cs="Arial"/>
                <w:sz w:val="18"/>
                <w:szCs w:val="18"/>
              </w:rPr>
              <w:t>31 -julio-2014</w:t>
            </w:r>
          </w:p>
        </w:tc>
        <w:tc>
          <w:tcPr>
            <w:tcW w:w="1376" w:type="dxa"/>
            <w:tcBorders>
              <w:top w:val="single" w:sz="4" w:space="0" w:color="auto"/>
              <w:bottom w:val="single" w:sz="4" w:space="0" w:color="auto"/>
            </w:tcBorders>
            <w:shd w:val="clear" w:color="auto" w:fill="8DB3E2" w:themeFill="text2" w:themeFillTint="66"/>
            <w:noWrap/>
            <w:vAlign w:val="center"/>
          </w:tcPr>
          <w:p w:rsidR="007E6AC4" w:rsidRPr="008827AD" w:rsidRDefault="007E6AC4" w:rsidP="008C12C3">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827AD">
              <w:rPr>
                <w:rFonts w:ascii="Arial" w:hAnsi="Arial" w:cs="Arial"/>
                <w:sz w:val="18"/>
                <w:szCs w:val="18"/>
              </w:rPr>
              <w:t>31-julio-2015</w:t>
            </w:r>
          </w:p>
        </w:tc>
      </w:tr>
      <w:tr w:rsidR="007E6AC4" w:rsidRPr="00095FF0" w:rsidTr="008C12C3">
        <w:trPr>
          <w:trHeight w:val="255"/>
          <w:jc w:val="center"/>
        </w:trPr>
        <w:tc>
          <w:tcPr>
            <w:tcW w:w="5775" w:type="dxa"/>
            <w:tcBorders>
              <w:top w:val="single" w:sz="4" w:space="0" w:color="auto"/>
              <w:bottom w:val="single" w:sz="2" w:space="0" w:color="auto"/>
            </w:tcBorders>
            <w:shd w:val="clear" w:color="auto" w:fill="auto"/>
            <w:vAlign w:val="center"/>
          </w:tcPr>
          <w:p w:rsidR="007E6AC4" w:rsidRPr="00095FF0" w:rsidRDefault="007E6AC4" w:rsidP="008C12C3">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 Deuda viva sobre ingresos</w:t>
            </w:r>
            <w:r>
              <w:rPr>
                <w:rFonts w:ascii="Arial Narrow" w:hAnsi="Arial Narrow"/>
                <w:spacing w:val="6"/>
                <w:szCs w:val="24"/>
              </w:rPr>
              <w:t xml:space="preserve"> c</w:t>
            </w:r>
            <w:r w:rsidRPr="00095FF0">
              <w:rPr>
                <w:rFonts w:ascii="Arial Narrow" w:hAnsi="Arial Narrow"/>
                <w:spacing w:val="6"/>
                <w:szCs w:val="24"/>
              </w:rPr>
              <w:t>orrientes</w:t>
            </w:r>
          </w:p>
        </w:tc>
        <w:tc>
          <w:tcPr>
            <w:tcW w:w="1579" w:type="dxa"/>
            <w:tcBorders>
              <w:top w:val="single" w:sz="4" w:space="0" w:color="auto"/>
              <w:bottom w:val="single" w:sz="2" w:space="0" w:color="auto"/>
            </w:tcBorders>
            <w:vAlign w:val="center"/>
          </w:tcPr>
          <w:p w:rsidR="007E6AC4" w:rsidRPr="00095FF0" w:rsidRDefault="007E6AC4" w:rsidP="008C12C3">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175</w:t>
            </w:r>
          </w:p>
        </w:tc>
        <w:tc>
          <w:tcPr>
            <w:tcW w:w="1376" w:type="dxa"/>
            <w:tcBorders>
              <w:top w:val="single" w:sz="4" w:space="0" w:color="auto"/>
              <w:bottom w:val="single" w:sz="2" w:space="0" w:color="auto"/>
            </w:tcBorders>
            <w:shd w:val="clear" w:color="auto" w:fill="auto"/>
            <w:noWrap/>
            <w:vAlign w:val="center"/>
          </w:tcPr>
          <w:p w:rsidR="007E6AC4" w:rsidRPr="00095FF0" w:rsidRDefault="007E6AC4" w:rsidP="008C12C3">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176</w:t>
            </w:r>
          </w:p>
        </w:tc>
      </w:tr>
      <w:tr w:rsidR="007E6AC4" w:rsidRPr="00095FF0" w:rsidTr="008C12C3">
        <w:trPr>
          <w:trHeight w:val="255"/>
          <w:jc w:val="center"/>
        </w:trPr>
        <w:tc>
          <w:tcPr>
            <w:tcW w:w="5775" w:type="dxa"/>
            <w:tcBorders>
              <w:top w:val="single" w:sz="2" w:space="0" w:color="auto"/>
              <w:bottom w:val="single" w:sz="4" w:space="0" w:color="auto"/>
            </w:tcBorders>
            <w:shd w:val="clear" w:color="auto" w:fill="auto"/>
            <w:vAlign w:val="center"/>
          </w:tcPr>
          <w:p w:rsidR="007E6AC4" w:rsidRPr="00095FF0" w:rsidRDefault="007E6AC4" w:rsidP="008C12C3">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095FF0">
              <w:rPr>
                <w:rFonts w:ascii="Arial Narrow" w:hAnsi="Arial Narrow"/>
                <w:spacing w:val="6"/>
                <w:szCs w:val="24"/>
              </w:rPr>
              <w:t>Deuda viva por habitante</w:t>
            </w:r>
            <w:r>
              <w:rPr>
                <w:rFonts w:ascii="Arial Narrow" w:hAnsi="Arial Narrow"/>
                <w:spacing w:val="6"/>
                <w:szCs w:val="24"/>
              </w:rPr>
              <w:t xml:space="preserve"> </w:t>
            </w:r>
            <w:r w:rsidRPr="00095FF0">
              <w:rPr>
                <w:rFonts w:ascii="Arial Narrow" w:hAnsi="Arial Narrow"/>
                <w:spacing w:val="6"/>
                <w:szCs w:val="24"/>
              </w:rPr>
              <w:t>(en euros)</w:t>
            </w:r>
          </w:p>
        </w:tc>
        <w:tc>
          <w:tcPr>
            <w:tcW w:w="1579" w:type="dxa"/>
            <w:tcBorders>
              <w:top w:val="single" w:sz="2" w:space="0" w:color="auto"/>
              <w:bottom w:val="single" w:sz="4" w:space="0" w:color="auto"/>
            </w:tcBorders>
            <w:vAlign w:val="center"/>
          </w:tcPr>
          <w:p w:rsidR="007E6AC4" w:rsidRPr="00095FF0" w:rsidRDefault="007E6AC4" w:rsidP="008C12C3">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4.633</w:t>
            </w:r>
          </w:p>
        </w:tc>
        <w:tc>
          <w:tcPr>
            <w:tcW w:w="1376" w:type="dxa"/>
            <w:tcBorders>
              <w:top w:val="single" w:sz="2" w:space="0" w:color="auto"/>
              <w:bottom w:val="single" w:sz="4" w:space="0" w:color="auto"/>
            </w:tcBorders>
            <w:shd w:val="clear" w:color="auto" w:fill="auto"/>
            <w:noWrap/>
            <w:vAlign w:val="center"/>
          </w:tcPr>
          <w:p w:rsidR="007E6AC4" w:rsidRPr="00095FF0" w:rsidRDefault="007E6AC4" w:rsidP="008C12C3">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4.648</w:t>
            </w:r>
          </w:p>
        </w:tc>
      </w:tr>
    </w:tbl>
    <w:p w:rsidR="007E6AC4" w:rsidRPr="00DF229E" w:rsidRDefault="007E6AC4" w:rsidP="008C12C3">
      <w:pPr>
        <w:tabs>
          <w:tab w:val="center" w:pos="2835"/>
          <w:tab w:val="center" w:pos="3969"/>
          <w:tab w:val="center" w:pos="5103"/>
          <w:tab w:val="center" w:pos="6237"/>
          <w:tab w:val="center" w:pos="7371"/>
        </w:tabs>
        <w:spacing w:before="240" w:after="200"/>
        <w:ind w:firstLine="284"/>
        <w:rPr>
          <w:sz w:val="24"/>
          <w:szCs w:val="24"/>
        </w:rPr>
      </w:pPr>
      <w:r w:rsidRPr="00DF229E">
        <w:rPr>
          <w:sz w:val="24"/>
          <w:szCs w:val="24"/>
        </w:rPr>
        <w:t xml:space="preserve">Es decir, que el endeudamiento en julio de 2015 representa en torno al 176 por ciento de los ingresos corrientes y, por habitante, supone un importe de 4.648 euros. </w:t>
      </w:r>
    </w:p>
    <w:p w:rsidR="007E6AC4" w:rsidRPr="0018512E" w:rsidRDefault="007E6AC4" w:rsidP="007E6AC4">
      <w:pPr>
        <w:ind w:firstLine="284"/>
        <w:rPr>
          <w:b/>
          <w:sz w:val="24"/>
          <w:szCs w:val="24"/>
        </w:rPr>
      </w:pPr>
      <w:proofErr w:type="gramStart"/>
      <w:r w:rsidRPr="0018512E">
        <w:rPr>
          <w:b/>
          <w:sz w:val="24"/>
          <w:szCs w:val="24"/>
        </w:rPr>
        <w:t>9</w:t>
      </w:r>
      <w:r w:rsidR="00C37D9D">
        <w:rPr>
          <w:b/>
          <w:sz w:val="24"/>
          <w:szCs w:val="24"/>
        </w:rPr>
        <w:t>.</w:t>
      </w:r>
      <w:r w:rsidRPr="0018512E">
        <w:rPr>
          <w:b/>
          <w:sz w:val="24"/>
          <w:szCs w:val="24"/>
        </w:rPr>
        <w:t>ª</w:t>
      </w:r>
      <w:proofErr w:type="gramEnd"/>
      <w:r w:rsidRPr="0018512E">
        <w:rPr>
          <w:b/>
          <w:sz w:val="24"/>
          <w:szCs w:val="24"/>
        </w:rPr>
        <w:t xml:space="preserve"> Endeudamiento financiero de las sociedades públicas a 31 de julio de 2015.</w:t>
      </w:r>
    </w:p>
    <w:p w:rsidR="007E6AC4" w:rsidRPr="0018512E" w:rsidRDefault="007E6AC4" w:rsidP="0010137C">
      <w:pPr>
        <w:tabs>
          <w:tab w:val="left" w:pos="480"/>
          <w:tab w:val="num" w:pos="600"/>
        </w:tabs>
        <w:spacing w:after="220"/>
        <w:ind w:firstLine="284"/>
        <w:rPr>
          <w:sz w:val="24"/>
          <w:szCs w:val="24"/>
        </w:rPr>
      </w:pPr>
      <w:r w:rsidRPr="0018512E">
        <w:rPr>
          <w:sz w:val="24"/>
          <w:szCs w:val="24"/>
        </w:rPr>
        <w:t>De acuerdo con la información aportada por la CPEN, el endeudamiento de las empr</w:t>
      </w:r>
      <w:r w:rsidRPr="0018512E">
        <w:rPr>
          <w:sz w:val="24"/>
          <w:szCs w:val="24"/>
        </w:rPr>
        <w:t>e</w:t>
      </w:r>
      <w:r w:rsidRPr="0018512E">
        <w:rPr>
          <w:sz w:val="24"/>
          <w:szCs w:val="24"/>
        </w:rPr>
        <w:t>sas públicas con las entidades de crédito, a 31 de julio de 2015, asciende a 198 millones. Su desglose y su evolución con el mismo periodo del ejercicio anterior, se muestra en el siguiente cuadro:</w:t>
      </w:r>
    </w:p>
    <w:tbl>
      <w:tblPr>
        <w:tblW w:w="8830" w:type="dxa"/>
        <w:jc w:val="center"/>
        <w:tblLayout w:type="fixed"/>
        <w:tblLook w:val="01E0" w:firstRow="1" w:lastRow="1" w:firstColumn="1" w:lastColumn="1" w:noHBand="0" w:noVBand="0"/>
      </w:tblPr>
      <w:tblGrid>
        <w:gridCol w:w="4330"/>
        <w:gridCol w:w="1713"/>
        <w:gridCol w:w="1372"/>
        <w:gridCol w:w="1415"/>
      </w:tblGrid>
      <w:tr w:rsidR="007E6AC4" w:rsidRPr="0018512E" w:rsidTr="00195087">
        <w:trPr>
          <w:trHeight w:val="227"/>
          <w:jc w:val="center"/>
        </w:trPr>
        <w:tc>
          <w:tcPr>
            <w:tcW w:w="4330" w:type="dxa"/>
            <w:vMerge w:val="restart"/>
            <w:tcBorders>
              <w:top w:val="single" w:sz="4" w:space="0" w:color="auto"/>
            </w:tcBorders>
            <w:shd w:val="clear" w:color="auto" w:fill="8DB3E2" w:themeFill="text2" w:themeFillTint="66"/>
            <w:vAlign w:val="center"/>
          </w:tcPr>
          <w:p w:rsidR="007E6AC4" w:rsidRPr="0018512E" w:rsidRDefault="007E6AC4" w:rsidP="009C1354">
            <w:pPr>
              <w:spacing w:after="0"/>
              <w:ind w:firstLine="0"/>
              <w:jc w:val="left"/>
              <w:rPr>
                <w:rFonts w:ascii="Arial" w:hAnsi="Arial" w:cs="Arial"/>
                <w:sz w:val="18"/>
                <w:szCs w:val="18"/>
                <w:lang w:val="es-ES" w:eastAsia="es-ES"/>
              </w:rPr>
            </w:pPr>
            <w:r w:rsidRPr="0018512E">
              <w:rPr>
                <w:rFonts w:ascii="Arial" w:hAnsi="Arial" w:cs="Arial"/>
                <w:sz w:val="18"/>
                <w:szCs w:val="18"/>
                <w:lang w:val="es-ES" w:eastAsia="es-ES"/>
              </w:rPr>
              <w:t>Endeudamiento con entidades de crédito de las sociedades públicas (*)</w:t>
            </w:r>
          </w:p>
        </w:tc>
        <w:tc>
          <w:tcPr>
            <w:tcW w:w="4500" w:type="dxa"/>
            <w:gridSpan w:val="3"/>
            <w:tcBorders>
              <w:top w:val="single" w:sz="4" w:space="0" w:color="auto"/>
              <w:bottom w:val="single" w:sz="4" w:space="0" w:color="auto"/>
            </w:tcBorders>
            <w:shd w:val="clear" w:color="auto" w:fill="8DB3E2" w:themeFill="text2" w:themeFillTint="66"/>
            <w:vAlign w:val="center"/>
          </w:tcPr>
          <w:p w:rsidR="007E6AC4" w:rsidRPr="0018512E" w:rsidRDefault="007E6AC4" w:rsidP="009C1354">
            <w:pPr>
              <w:spacing w:after="0"/>
              <w:ind w:firstLine="0"/>
              <w:jc w:val="center"/>
              <w:rPr>
                <w:rFonts w:ascii="Arial" w:hAnsi="Arial" w:cs="Arial"/>
                <w:sz w:val="18"/>
                <w:szCs w:val="18"/>
                <w:lang w:val="es-ES" w:eastAsia="es-ES"/>
              </w:rPr>
            </w:pPr>
            <w:r w:rsidRPr="0018512E">
              <w:rPr>
                <w:rFonts w:ascii="Arial" w:hAnsi="Arial" w:cs="Arial"/>
                <w:sz w:val="18"/>
                <w:szCs w:val="18"/>
                <w:lang w:val="es-ES" w:eastAsia="es-ES"/>
              </w:rPr>
              <w:t>(en miles de euros)</w:t>
            </w:r>
          </w:p>
        </w:tc>
      </w:tr>
      <w:tr w:rsidR="007E6AC4" w:rsidRPr="0018512E" w:rsidTr="00195087">
        <w:trPr>
          <w:trHeight w:val="227"/>
          <w:jc w:val="center"/>
        </w:trPr>
        <w:tc>
          <w:tcPr>
            <w:tcW w:w="4330" w:type="dxa"/>
            <w:vMerge/>
            <w:tcBorders>
              <w:bottom w:val="single" w:sz="4" w:space="0" w:color="auto"/>
            </w:tcBorders>
            <w:shd w:val="clear" w:color="auto" w:fill="8DB3E2" w:themeFill="text2" w:themeFillTint="66"/>
            <w:vAlign w:val="center"/>
          </w:tcPr>
          <w:p w:rsidR="007E6AC4" w:rsidRPr="0018512E" w:rsidRDefault="007E6AC4" w:rsidP="009C1354">
            <w:pPr>
              <w:spacing w:after="0"/>
              <w:ind w:firstLine="0"/>
              <w:jc w:val="left"/>
              <w:rPr>
                <w:rFonts w:ascii="GillSans" w:hAnsi="GillSans"/>
                <w:b/>
                <w:lang w:val="es-ES" w:eastAsia="es-ES"/>
              </w:rPr>
            </w:pPr>
          </w:p>
        </w:tc>
        <w:tc>
          <w:tcPr>
            <w:tcW w:w="1713" w:type="dxa"/>
            <w:tcBorders>
              <w:top w:val="single" w:sz="4" w:space="0" w:color="auto"/>
              <w:bottom w:val="single" w:sz="4" w:space="0" w:color="auto"/>
            </w:tcBorders>
            <w:shd w:val="clear" w:color="auto" w:fill="8DB3E2" w:themeFill="text2" w:themeFillTint="66"/>
            <w:vAlign w:val="center"/>
          </w:tcPr>
          <w:p w:rsidR="007E6AC4" w:rsidRPr="0018512E" w:rsidRDefault="007E6AC4" w:rsidP="009C1354">
            <w:pPr>
              <w:spacing w:after="0"/>
              <w:ind w:firstLine="0"/>
              <w:jc w:val="right"/>
              <w:rPr>
                <w:rFonts w:ascii="Arial" w:hAnsi="Arial" w:cs="Arial"/>
                <w:sz w:val="18"/>
                <w:szCs w:val="18"/>
                <w:lang w:val="es-ES" w:eastAsia="es-ES"/>
              </w:rPr>
            </w:pPr>
            <w:r w:rsidRPr="0018512E">
              <w:rPr>
                <w:rFonts w:ascii="Arial" w:hAnsi="Arial" w:cs="Arial"/>
                <w:sz w:val="18"/>
                <w:szCs w:val="18"/>
                <w:lang w:val="es-ES" w:eastAsia="es-ES"/>
              </w:rPr>
              <w:t>Largo Plazo</w:t>
            </w:r>
          </w:p>
        </w:tc>
        <w:tc>
          <w:tcPr>
            <w:tcW w:w="1372" w:type="dxa"/>
            <w:tcBorders>
              <w:top w:val="single" w:sz="4" w:space="0" w:color="auto"/>
              <w:bottom w:val="single" w:sz="4" w:space="0" w:color="auto"/>
            </w:tcBorders>
            <w:shd w:val="clear" w:color="auto" w:fill="8DB3E2" w:themeFill="text2" w:themeFillTint="66"/>
            <w:vAlign w:val="center"/>
          </w:tcPr>
          <w:p w:rsidR="007E6AC4" w:rsidRPr="0018512E" w:rsidRDefault="007E6AC4" w:rsidP="009C1354">
            <w:pPr>
              <w:spacing w:after="0"/>
              <w:ind w:firstLine="0"/>
              <w:jc w:val="right"/>
              <w:rPr>
                <w:rFonts w:ascii="Arial" w:hAnsi="Arial" w:cs="Arial"/>
                <w:sz w:val="18"/>
                <w:szCs w:val="18"/>
                <w:lang w:val="es-ES" w:eastAsia="es-ES"/>
              </w:rPr>
            </w:pPr>
            <w:r w:rsidRPr="0018512E">
              <w:rPr>
                <w:rFonts w:ascii="Arial" w:hAnsi="Arial" w:cs="Arial"/>
                <w:sz w:val="18"/>
                <w:szCs w:val="18"/>
                <w:lang w:val="es-ES" w:eastAsia="es-ES"/>
              </w:rPr>
              <w:t>Corto Plazo</w:t>
            </w:r>
          </w:p>
        </w:tc>
        <w:tc>
          <w:tcPr>
            <w:tcW w:w="1415" w:type="dxa"/>
            <w:tcBorders>
              <w:top w:val="single" w:sz="4" w:space="0" w:color="auto"/>
              <w:bottom w:val="single" w:sz="4" w:space="0" w:color="auto"/>
            </w:tcBorders>
            <w:shd w:val="clear" w:color="auto" w:fill="8DB3E2" w:themeFill="text2" w:themeFillTint="66"/>
            <w:vAlign w:val="center"/>
          </w:tcPr>
          <w:p w:rsidR="007E6AC4" w:rsidRPr="0018512E" w:rsidRDefault="007E6AC4" w:rsidP="009C1354">
            <w:pPr>
              <w:spacing w:after="0"/>
              <w:ind w:firstLine="0"/>
              <w:jc w:val="right"/>
              <w:rPr>
                <w:rFonts w:ascii="Arial" w:hAnsi="Arial" w:cs="Arial"/>
                <w:sz w:val="18"/>
                <w:szCs w:val="18"/>
                <w:lang w:val="es-ES" w:eastAsia="es-ES"/>
              </w:rPr>
            </w:pPr>
            <w:r w:rsidRPr="0018512E">
              <w:rPr>
                <w:rFonts w:ascii="Arial" w:hAnsi="Arial" w:cs="Arial"/>
                <w:sz w:val="18"/>
                <w:szCs w:val="18"/>
                <w:lang w:val="es-ES" w:eastAsia="es-ES"/>
              </w:rPr>
              <w:t>Total</w:t>
            </w:r>
          </w:p>
        </w:tc>
      </w:tr>
      <w:tr w:rsidR="007E6AC4" w:rsidRPr="0018512E" w:rsidTr="007777F8">
        <w:trPr>
          <w:trHeight w:val="254"/>
          <w:jc w:val="center"/>
        </w:trPr>
        <w:tc>
          <w:tcPr>
            <w:tcW w:w="4330" w:type="dxa"/>
            <w:tcBorders>
              <w:top w:val="single" w:sz="4" w:space="0" w:color="auto"/>
              <w:bottom w:val="single" w:sz="2"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8512E">
              <w:rPr>
                <w:rFonts w:ascii="Arial Narrow" w:hAnsi="Arial Narrow"/>
                <w:spacing w:val="6"/>
                <w:szCs w:val="24"/>
              </w:rPr>
              <w:t>A 31 de julio de 2014</w:t>
            </w:r>
          </w:p>
        </w:tc>
        <w:tc>
          <w:tcPr>
            <w:tcW w:w="1713" w:type="dxa"/>
            <w:tcBorders>
              <w:top w:val="single" w:sz="4" w:space="0" w:color="auto"/>
              <w:bottom w:val="single" w:sz="2"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268.953</w:t>
            </w:r>
          </w:p>
        </w:tc>
        <w:tc>
          <w:tcPr>
            <w:tcW w:w="1372" w:type="dxa"/>
            <w:tcBorders>
              <w:top w:val="single" w:sz="4" w:space="0" w:color="auto"/>
              <w:bottom w:val="single" w:sz="2"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4.391</w:t>
            </w:r>
          </w:p>
        </w:tc>
        <w:tc>
          <w:tcPr>
            <w:tcW w:w="1415" w:type="dxa"/>
            <w:tcBorders>
              <w:top w:val="single" w:sz="4" w:space="0" w:color="auto"/>
              <w:bottom w:val="single" w:sz="2"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273.344</w:t>
            </w:r>
          </w:p>
        </w:tc>
      </w:tr>
      <w:tr w:rsidR="007E6AC4" w:rsidRPr="0018512E" w:rsidTr="007777F8">
        <w:trPr>
          <w:trHeight w:val="284"/>
          <w:jc w:val="center"/>
        </w:trPr>
        <w:tc>
          <w:tcPr>
            <w:tcW w:w="4330" w:type="dxa"/>
            <w:tcBorders>
              <w:top w:val="single" w:sz="2" w:space="0" w:color="auto"/>
              <w:bottom w:val="single" w:sz="4"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8512E">
              <w:rPr>
                <w:rFonts w:ascii="Arial Narrow" w:hAnsi="Arial Narrow"/>
                <w:spacing w:val="6"/>
                <w:szCs w:val="24"/>
              </w:rPr>
              <w:t>A 31 de julio de 2015</w:t>
            </w:r>
          </w:p>
        </w:tc>
        <w:tc>
          <w:tcPr>
            <w:tcW w:w="1713" w:type="dxa"/>
            <w:tcBorders>
              <w:top w:val="single" w:sz="2" w:space="0" w:color="auto"/>
              <w:bottom w:val="single" w:sz="4"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174.728</w:t>
            </w:r>
          </w:p>
        </w:tc>
        <w:tc>
          <w:tcPr>
            <w:tcW w:w="1372" w:type="dxa"/>
            <w:tcBorders>
              <w:top w:val="single" w:sz="2" w:space="0" w:color="auto"/>
              <w:bottom w:val="single" w:sz="4"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23.560</w:t>
            </w:r>
          </w:p>
        </w:tc>
        <w:tc>
          <w:tcPr>
            <w:tcW w:w="1415" w:type="dxa"/>
            <w:tcBorders>
              <w:top w:val="single" w:sz="2" w:space="0" w:color="auto"/>
              <w:bottom w:val="single" w:sz="4" w:space="0" w:color="auto"/>
            </w:tcBorders>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198.288</w:t>
            </w:r>
          </w:p>
        </w:tc>
      </w:tr>
    </w:tbl>
    <w:p w:rsidR="007E6AC4" w:rsidRPr="0018512E" w:rsidRDefault="007E6AC4" w:rsidP="002C33A6">
      <w:pPr>
        <w:keepLines/>
        <w:tabs>
          <w:tab w:val="right" w:pos="2835"/>
          <w:tab w:val="right" w:pos="3969"/>
          <w:tab w:val="right" w:pos="5103"/>
          <w:tab w:val="right" w:pos="6237"/>
          <w:tab w:val="right" w:pos="7371"/>
        </w:tabs>
        <w:spacing w:before="80" w:after="0"/>
        <w:ind w:firstLine="0"/>
        <w:jc w:val="left"/>
        <w:rPr>
          <w:rFonts w:ascii="Arial Narrow" w:hAnsi="Arial Narrow"/>
          <w:spacing w:val="6"/>
          <w:szCs w:val="24"/>
        </w:rPr>
      </w:pPr>
      <w:r w:rsidRPr="0018512E">
        <w:rPr>
          <w:rFonts w:ascii="Arial Narrow" w:hAnsi="Arial Narrow"/>
          <w:spacing w:val="6"/>
          <w:szCs w:val="24"/>
        </w:rPr>
        <w:t xml:space="preserve">(*) </w:t>
      </w:r>
      <w:r w:rsidR="00A26C7F" w:rsidRPr="0018512E">
        <w:rPr>
          <w:rFonts w:ascii="Arial Narrow" w:hAnsi="Arial Narrow"/>
          <w:spacing w:val="6"/>
          <w:szCs w:val="24"/>
        </w:rPr>
        <w:t xml:space="preserve">Sin </w:t>
      </w:r>
      <w:r w:rsidRPr="0018512E">
        <w:rPr>
          <w:rFonts w:ascii="Arial Narrow" w:hAnsi="Arial Narrow"/>
          <w:spacing w:val="6"/>
          <w:szCs w:val="24"/>
        </w:rPr>
        <w:t>incluir la periódica pasiva por intereses devengados a pagar a corto plazo</w:t>
      </w:r>
    </w:p>
    <w:p w:rsidR="007E6AC4" w:rsidRPr="0018512E" w:rsidRDefault="007E6AC4" w:rsidP="007E6AC4">
      <w:pPr>
        <w:tabs>
          <w:tab w:val="center" w:pos="2835"/>
          <w:tab w:val="center" w:pos="3969"/>
          <w:tab w:val="center" w:pos="5103"/>
          <w:tab w:val="center" w:pos="6237"/>
          <w:tab w:val="center" w:pos="7371"/>
        </w:tabs>
        <w:ind w:firstLine="284"/>
        <w:rPr>
          <w:sz w:val="24"/>
          <w:szCs w:val="24"/>
        </w:rPr>
      </w:pPr>
      <w:r w:rsidRPr="0018512E">
        <w:rPr>
          <w:sz w:val="24"/>
          <w:szCs w:val="24"/>
        </w:rPr>
        <w:lastRenderedPageBreak/>
        <w:t>Entre ambos periodos, el endeudamiento se ha reducido en un 27 por ciento, esto es, prácticamente 75 millones.</w:t>
      </w:r>
    </w:p>
    <w:p w:rsidR="007E6AC4" w:rsidRPr="0018512E" w:rsidRDefault="007E6AC4" w:rsidP="002C33A6">
      <w:pPr>
        <w:tabs>
          <w:tab w:val="center" w:pos="2835"/>
          <w:tab w:val="center" w:pos="3969"/>
          <w:tab w:val="center" w:pos="5103"/>
          <w:tab w:val="center" w:pos="6237"/>
          <w:tab w:val="center" w:pos="7371"/>
        </w:tabs>
        <w:spacing w:after="240"/>
        <w:ind w:firstLine="284"/>
        <w:rPr>
          <w:sz w:val="24"/>
          <w:szCs w:val="24"/>
        </w:rPr>
      </w:pPr>
      <w:r w:rsidRPr="0018512E">
        <w:rPr>
          <w:sz w:val="24"/>
          <w:szCs w:val="24"/>
        </w:rPr>
        <w:t>A 31 de julio de 2015, las empresas públicas que presentan un mayor volumen de e</w:t>
      </w:r>
      <w:r w:rsidRPr="0018512E">
        <w:rPr>
          <w:sz w:val="24"/>
          <w:szCs w:val="24"/>
        </w:rPr>
        <w:t>n</w:t>
      </w:r>
      <w:r w:rsidRPr="0018512E">
        <w:rPr>
          <w:sz w:val="24"/>
          <w:szCs w:val="24"/>
        </w:rPr>
        <w:t>deudamiento son las siguientes, importe en miles de euros.</w:t>
      </w:r>
    </w:p>
    <w:tbl>
      <w:tblPr>
        <w:tblW w:w="8804" w:type="dxa"/>
        <w:jc w:val="center"/>
        <w:tblCellMar>
          <w:left w:w="70" w:type="dxa"/>
          <w:right w:w="70" w:type="dxa"/>
        </w:tblCellMar>
        <w:tblLook w:val="04A0" w:firstRow="1" w:lastRow="0" w:firstColumn="1" w:lastColumn="0" w:noHBand="0" w:noVBand="1"/>
      </w:tblPr>
      <w:tblGrid>
        <w:gridCol w:w="4551"/>
        <w:gridCol w:w="4253"/>
      </w:tblGrid>
      <w:tr w:rsidR="007E6AC4" w:rsidRPr="0018512E" w:rsidTr="00195087">
        <w:trPr>
          <w:trHeight w:val="312"/>
          <w:jc w:val="center"/>
        </w:trPr>
        <w:tc>
          <w:tcPr>
            <w:tcW w:w="4551"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18512E" w:rsidRDefault="007E6AC4" w:rsidP="009C1354">
            <w:pPr>
              <w:spacing w:after="0"/>
              <w:ind w:firstLine="0"/>
              <w:rPr>
                <w:rFonts w:ascii="Arial" w:hAnsi="Arial" w:cs="Arial"/>
                <w:sz w:val="18"/>
                <w:szCs w:val="18"/>
                <w:lang w:val="es-ES" w:eastAsia="es-ES"/>
              </w:rPr>
            </w:pPr>
            <w:r w:rsidRPr="0018512E">
              <w:rPr>
                <w:rFonts w:ascii="Arial" w:hAnsi="Arial" w:cs="Arial"/>
                <w:sz w:val="18"/>
                <w:szCs w:val="18"/>
                <w:lang w:val="es-ES" w:eastAsia="es-ES"/>
              </w:rPr>
              <w:t>Empresa pública</w:t>
            </w:r>
          </w:p>
        </w:tc>
        <w:tc>
          <w:tcPr>
            <w:tcW w:w="4253"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18512E" w:rsidRDefault="007E6AC4" w:rsidP="009C1354">
            <w:pPr>
              <w:spacing w:after="0"/>
              <w:ind w:firstLine="0"/>
              <w:jc w:val="right"/>
              <w:rPr>
                <w:rFonts w:ascii="Arial" w:hAnsi="Arial" w:cs="Arial"/>
                <w:sz w:val="18"/>
                <w:szCs w:val="18"/>
                <w:lang w:val="es-ES" w:eastAsia="es-ES"/>
              </w:rPr>
            </w:pPr>
            <w:r w:rsidRPr="0018512E">
              <w:rPr>
                <w:rFonts w:ascii="Arial" w:hAnsi="Arial" w:cs="Arial"/>
                <w:sz w:val="18"/>
                <w:szCs w:val="18"/>
                <w:lang w:val="es-ES" w:eastAsia="es-ES"/>
              </w:rPr>
              <w:t>Endeudamiento financiero a 31 de julio de 2015</w:t>
            </w:r>
          </w:p>
        </w:tc>
      </w:tr>
      <w:tr w:rsidR="007E6AC4" w:rsidRPr="0018512E" w:rsidTr="002C33A6">
        <w:trPr>
          <w:trHeight w:val="255"/>
          <w:jc w:val="center"/>
        </w:trPr>
        <w:tc>
          <w:tcPr>
            <w:tcW w:w="4551" w:type="dxa"/>
            <w:tcBorders>
              <w:top w:val="single" w:sz="4" w:space="0" w:color="auto"/>
              <w:left w:val="nil"/>
              <w:bottom w:val="single" w:sz="2" w:space="0" w:color="auto"/>
              <w:right w:val="nil"/>
            </w:tcBorders>
            <w:shd w:val="clear" w:color="auto" w:fill="auto"/>
            <w:noWrap/>
            <w:vAlign w:val="center"/>
          </w:tcPr>
          <w:p w:rsidR="007E6AC4" w:rsidRPr="0018512E" w:rsidRDefault="007E6AC4" w:rsidP="009C1354">
            <w:pPr>
              <w:spacing w:after="0"/>
              <w:ind w:firstLine="0"/>
              <w:rPr>
                <w:rFonts w:ascii="Arial Narrow" w:hAnsi="Arial Narrow"/>
                <w:lang w:val="es-ES" w:eastAsia="es-ES"/>
              </w:rPr>
            </w:pPr>
            <w:r w:rsidRPr="0018512E">
              <w:rPr>
                <w:rFonts w:ascii="Arial Narrow" w:hAnsi="Arial Narrow"/>
                <w:lang w:val="es-ES" w:eastAsia="es-ES"/>
              </w:rPr>
              <w:t>NASUVINSA</w:t>
            </w:r>
          </w:p>
        </w:tc>
        <w:tc>
          <w:tcPr>
            <w:tcW w:w="4253" w:type="dxa"/>
            <w:tcBorders>
              <w:top w:val="single" w:sz="4" w:space="0" w:color="auto"/>
              <w:left w:val="nil"/>
              <w:bottom w:val="single" w:sz="2" w:space="0" w:color="auto"/>
              <w:right w:val="nil"/>
            </w:tcBorders>
            <w:shd w:val="clear" w:color="auto" w:fill="auto"/>
            <w:noWrap/>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19.286</w:t>
            </w:r>
          </w:p>
        </w:tc>
      </w:tr>
      <w:tr w:rsidR="007E6AC4" w:rsidRPr="0018512E"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spacing w:after="0"/>
              <w:ind w:firstLine="0"/>
              <w:rPr>
                <w:rFonts w:ascii="Arial Narrow" w:hAnsi="Arial Narrow"/>
                <w:lang w:val="es-ES" w:eastAsia="es-ES"/>
              </w:rPr>
            </w:pPr>
            <w:r w:rsidRPr="0018512E">
              <w:rPr>
                <w:rFonts w:ascii="Arial Narrow" w:hAnsi="Arial Narrow"/>
                <w:lang w:val="es-ES" w:eastAsia="es-ES"/>
              </w:rPr>
              <w:t>CAT</w:t>
            </w:r>
          </w:p>
        </w:tc>
        <w:tc>
          <w:tcPr>
            <w:tcW w:w="4253"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42.000</w:t>
            </w:r>
          </w:p>
        </w:tc>
      </w:tr>
      <w:tr w:rsidR="007E6AC4" w:rsidRPr="0018512E"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spacing w:after="0"/>
              <w:ind w:firstLine="0"/>
              <w:rPr>
                <w:rFonts w:ascii="Arial Narrow" w:hAnsi="Arial Narrow"/>
                <w:bCs/>
                <w:lang w:val="es-ES" w:eastAsia="es-ES"/>
              </w:rPr>
            </w:pPr>
            <w:r w:rsidRPr="0018512E">
              <w:rPr>
                <w:rFonts w:ascii="Arial Narrow" w:hAnsi="Arial Narrow"/>
                <w:bCs/>
                <w:lang w:val="es-ES" w:eastAsia="es-ES"/>
              </w:rPr>
              <w:t>NILSA</w:t>
            </w:r>
          </w:p>
        </w:tc>
        <w:tc>
          <w:tcPr>
            <w:tcW w:w="4253"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9.500</w:t>
            </w:r>
          </w:p>
        </w:tc>
      </w:tr>
      <w:tr w:rsidR="007E6AC4" w:rsidRPr="0018512E" w:rsidTr="002C33A6">
        <w:trPr>
          <w:trHeight w:val="255"/>
          <w:jc w:val="center"/>
        </w:trPr>
        <w:tc>
          <w:tcPr>
            <w:tcW w:w="4551"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spacing w:after="0"/>
              <w:ind w:firstLine="0"/>
              <w:rPr>
                <w:rFonts w:ascii="Arial Narrow" w:hAnsi="Arial Narrow"/>
                <w:lang w:val="es-ES" w:eastAsia="es-ES"/>
              </w:rPr>
            </w:pPr>
            <w:r w:rsidRPr="0018512E">
              <w:rPr>
                <w:rFonts w:ascii="Arial Narrow" w:hAnsi="Arial Narrow"/>
                <w:lang w:val="es-ES" w:eastAsia="es-ES"/>
              </w:rPr>
              <w:t>NICDO</w:t>
            </w:r>
          </w:p>
        </w:tc>
        <w:tc>
          <w:tcPr>
            <w:tcW w:w="4253" w:type="dxa"/>
            <w:tcBorders>
              <w:top w:val="single" w:sz="2" w:space="0" w:color="auto"/>
              <w:left w:val="nil"/>
              <w:bottom w:val="single" w:sz="2" w:space="0" w:color="auto"/>
              <w:right w:val="nil"/>
            </w:tcBorders>
            <w:shd w:val="clear" w:color="auto" w:fill="auto"/>
            <w:noWrap/>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24.210</w:t>
            </w:r>
          </w:p>
        </w:tc>
      </w:tr>
      <w:tr w:rsidR="007E6AC4" w:rsidRPr="0018512E" w:rsidTr="002C33A6">
        <w:trPr>
          <w:trHeight w:val="255"/>
          <w:jc w:val="center"/>
        </w:trPr>
        <w:tc>
          <w:tcPr>
            <w:tcW w:w="4551" w:type="dxa"/>
            <w:tcBorders>
              <w:top w:val="single" w:sz="2" w:space="0" w:color="auto"/>
              <w:left w:val="nil"/>
              <w:bottom w:val="single" w:sz="4" w:space="0" w:color="auto"/>
              <w:right w:val="nil"/>
            </w:tcBorders>
            <w:shd w:val="clear" w:color="auto" w:fill="auto"/>
            <w:noWrap/>
            <w:vAlign w:val="center"/>
          </w:tcPr>
          <w:p w:rsidR="007E6AC4" w:rsidRPr="0018512E" w:rsidRDefault="007E6AC4" w:rsidP="009C1354">
            <w:pPr>
              <w:spacing w:after="0"/>
              <w:ind w:firstLine="0"/>
              <w:rPr>
                <w:rFonts w:ascii="Arial Narrow" w:hAnsi="Arial Narrow"/>
                <w:lang w:val="es-ES" w:eastAsia="es-ES"/>
              </w:rPr>
            </w:pPr>
            <w:r w:rsidRPr="0018512E">
              <w:rPr>
                <w:rFonts w:ascii="Arial Narrow" w:hAnsi="Arial Narrow"/>
                <w:lang w:val="es-ES" w:eastAsia="es-ES"/>
              </w:rPr>
              <w:t>SODENA</w:t>
            </w:r>
          </w:p>
        </w:tc>
        <w:tc>
          <w:tcPr>
            <w:tcW w:w="4253" w:type="dxa"/>
            <w:tcBorders>
              <w:top w:val="single" w:sz="2" w:space="0" w:color="auto"/>
              <w:left w:val="nil"/>
              <w:bottom w:val="single" w:sz="4" w:space="0" w:color="auto"/>
              <w:right w:val="nil"/>
            </w:tcBorders>
            <w:shd w:val="clear" w:color="auto" w:fill="auto"/>
            <w:noWrap/>
            <w:vAlign w:val="center"/>
          </w:tcPr>
          <w:p w:rsidR="007E6AC4" w:rsidRPr="0018512E"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8512E">
              <w:rPr>
                <w:rFonts w:ascii="Arial Narrow" w:hAnsi="Arial Narrow"/>
                <w:spacing w:val="6"/>
                <w:szCs w:val="24"/>
              </w:rPr>
              <w:t>100.000</w:t>
            </w:r>
          </w:p>
        </w:tc>
      </w:tr>
    </w:tbl>
    <w:p w:rsidR="007E6AC4" w:rsidRPr="00467043" w:rsidRDefault="007E6AC4" w:rsidP="00467043">
      <w:pPr>
        <w:pStyle w:val="texto"/>
        <w:spacing w:before="240" w:after="180"/>
        <w:ind w:firstLine="0"/>
        <w:rPr>
          <w:rFonts w:ascii="Arial" w:hAnsi="Arial" w:cs="Arial"/>
          <w:i/>
          <w:sz w:val="23"/>
          <w:szCs w:val="23"/>
          <w:lang w:val="es-ES"/>
        </w:rPr>
      </w:pPr>
      <w:r w:rsidRPr="00467043">
        <w:rPr>
          <w:rFonts w:ascii="Arial" w:hAnsi="Arial" w:cs="Arial"/>
          <w:i/>
          <w:sz w:val="23"/>
          <w:szCs w:val="23"/>
          <w:lang w:val="es-ES"/>
        </w:rPr>
        <w:t xml:space="preserve">C) Objetivos de estabilidad presupuestaria </w:t>
      </w:r>
      <w:r w:rsidR="00E95294">
        <w:rPr>
          <w:rFonts w:ascii="Arial" w:hAnsi="Arial" w:cs="Arial"/>
          <w:i/>
          <w:sz w:val="23"/>
          <w:szCs w:val="23"/>
          <w:lang w:val="es-ES"/>
        </w:rPr>
        <w:t xml:space="preserve"> </w:t>
      </w:r>
    </w:p>
    <w:p w:rsidR="007E6AC4" w:rsidRPr="00DF229E" w:rsidRDefault="007E6AC4" w:rsidP="007E6AC4">
      <w:pPr>
        <w:tabs>
          <w:tab w:val="center" w:pos="2835"/>
          <w:tab w:val="center" w:pos="3969"/>
          <w:tab w:val="center" w:pos="5103"/>
          <w:tab w:val="center" w:pos="6237"/>
          <w:tab w:val="center" w:pos="7371"/>
        </w:tabs>
        <w:ind w:firstLine="284"/>
        <w:rPr>
          <w:sz w:val="24"/>
          <w:szCs w:val="24"/>
        </w:rPr>
      </w:pPr>
      <w:r w:rsidRPr="0010137C">
        <w:rPr>
          <w:sz w:val="24"/>
          <w:szCs w:val="24"/>
        </w:rPr>
        <w:t>Con carácter previo</w:t>
      </w:r>
      <w:r w:rsidR="00E95294" w:rsidRPr="0010137C">
        <w:rPr>
          <w:sz w:val="24"/>
          <w:szCs w:val="24"/>
        </w:rPr>
        <w:t xml:space="preserve"> a las conclusiones sobre esta cuestión</w:t>
      </w:r>
      <w:r w:rsidRPr="0010137C">
        <w:rPr>
          <w:sz w:val="24"/>
          <w:szCs w:val="24"/>
        </w:rPr>
        <w:t>, conviene precisar que las n</w:t>
      </w:r>
      <w:r w:rsidRPr="0010137C">
        <w:rPr>
          <w:sz w:val="24"/>
          <w:szCs w:val="24"/>
        </w:rPr>
        <w:t>e</w:t>
      </w:r>
      <w:r w:rsidRPr="0010137C">
        <w:rPr>
          <w:sz w:val="24"/>
          <w:szCs w:val="24"/>
        </w:rPr>
        <w:t xml:space="preserve">cesidades de financiación y la deuda en términos de contabilidad nacional se referencian a la magnitud económica del PIB de la Comunidad Foral. Lógicamente hasta la finalización </w:t>
      </w:r>
      <w:r w:rsidRPr="00DF229E">
        <w:rPr>
          <w:sz w:val="24"/>
          <w:szCs w:val="24"/>
        </w:rPr>
        <w:t>del ejercicio de 2015 no se dispone de un valor razonable sobre esta magnitud, por lo que las conclusiones que se enuncian a continuación se realizan con estimaciones de la misma.</w:t>
      </w:r>
    </w:p>
    <w:p w:rsidR="007E6AC4" w:rsidRPr="0010137C" w:rsidRDefault="007E6AC4" w:rsidP="007E6AC4">
      <w:pPr>
        <w:tabs>
          <w:tab w:val="center" w:pos="2835"/>
          <w:tab w:val="center" w:pos="3969"/>
          <w:tab w:val="center" w:pos="5103"/>
          <w:tab w:val="center" w:pos="6237"/>
          <w:tab w:val="center" w:pos="7371"/>
        </w:tabs>
        <w:ind w:firstLine="284"/>
        <w:rPr>
          <w:sz w:val="24"/>
          <w:szCs w:val="24"/>
        </w:rPr>
      </w:pPr>
      <w:r w:rsidRPr="0010137C">
        <w:rPr>
          <w:sz w:val="24"/>
          <w:szCs w:val="24"/>
        </w:rPr>
        <w:t>Igualmente, determinados ajustes que se introducen por el Ministerio de Hacienda y Administraciones Públicas en la determinación de las necesidades de financiación mensu</w:t>
      </w:r>
      <w:r w:rsidRPr="0010137C">
        <w:rPr>
          <w:sz w:val="24"/>
          <w:szCs w:val="24"/>
        </w:rPr>
        <w:t>a</w:t>
      </w:r>
      <w:r w:rsidRPr="0010137C">
        <w:rPr>
          <w:sz w:val="24"/>
          <w:szCs w:val="24"/>
        </w:rPr>
        <w:t>les tiene carácter provisional</w:t>
      </w:r>
      <w:r w:rsidR="006D05EC" w:rsidRPr="0010137C">
        <w:rPr>
          <w:sz w:val="24"/>
          <w:szCs w:val="24"/>
        </w:rPr>
        <w:t xml:space="preserve">, </w:t>
      </w:r>
      <w:r w:rsidRPr="0010137C">
        <w:rPr>
          <w:sz w:val="24"/>
          <w:szCs w:val="24"/>
        </w:rPr>
        <w:t>de estimación</w:t>
      </w:r>
      <w:r w:rsidR="006D05EC" w:rsidRPr="0010137C">
        <w:rPr>
          <w:sz w:val="24"/>
          <w:szCs w:val="24"/>
        </w:rPr>
        <w:t xml:space="preserve"> o de proyección</w:t>
      </w:r>
      <w:r w:rsidRPr="0010137C">
        <w:rPr>
          <w:sz w:val="24"/>
          <w:szCs w:val="24"/>
        </w:rPr>
        <w:t>.</w:t>
      </w:r>
    </w:p>
    <w:p w:rsidR="007E6AC4" w:rsidRPr="00DF229E" w:rsidRDefault="007E6AC4" w:rsidP="007E6AC4">
      <w:pPr>
        <w:tabs>
          <w:tab w:val="center" w:pos="2835"/>
          <w:tab w:val="center" w:pos="3969"/>
          <w:tab w:val="center" w:pos="5103"/>
          <w:tab w:val="center" w:pos="6237"/>
          <w:tab w:val="center" w:pos="7371"/>
        </w:tabs>
        <w:ind w:firstLine="284"/>
        <w:rPr>
          <w:sz w:val="24"/>
          <w:szCs w:val="24"/>
        </w:rPr>
      </w:pPr>
      <w:r w:rsidRPr="00DF229E">
        <w:rPr>
          <w:sz w:val="24"/>
          <w:szCs w:val="24"/>
        </w:rPr>
        <w:t>Además, las peculiaridades del Convenio Económico y del régimen fiscal propio de Navarra se manifiestan en su integridad, a estos efectos, a la finalización del ejercicio con las liquidaciones anuales y los ajustes pertinentes.</w:t>
      </w:r>
    </w:p>
    <w:p w:rsidR="007E6AC4" w:rsidRPr="00DF229E" w:rsidRDefault="007E6AC4" w:rsidP="007E6AC4">
      <w:pPr>
        <w:tabs>
          <w:tab w:val="center" w:pos="2835"/>
          <w:tab w:val="center" w:pos="3969"/>
          <w:tab w:val="center" w:pos="5103"/>
          <w:tab w:val="center" w:pos="6237"/>
          <w:tab w:val="center" w:pos="7371"/>
        </w:tabs>
        <w:ind w:firstLine="284"/>
        <w:rPr>
          <w:sz w:val="24"/>
          <w:szCs w:val="24"/>
        </w:rPr>
      </w:pPr>
      <w:r w:rsidRPr="00DF229E">
        <w:rPr>
          <w:sz w:val="24"/>
          <w:szCs w:val="24"/>
        </w:rPr>
        <w:t>En definitiva, partiendo de la información que remite el Gobierno de Navarra, los i</w:t>
      </w:r>
      <w:r w:rsidRPr="00DF229E">
        <w:rPr>
          <w:sz w:val="24"/>
          <w:szCs w:val="24"/>
        </w:rPr>
        <w:t>n</w:t>
      </w:r>
      <w:r w:rsidRPr="00DF229E">
        <w:rPr>
          <w:sz w:val="24"/>
          <w:szCs w:val="24"/>
        </w:rPr>
        <w:t>formes periódicos que se elaboran tanto por el Ministerio citado como por el Banco de E</w:t>
      </w:r>
      <w:r w:rsidRPr="00DF229E">
        <w:rPr>
          <w:sz w:val="24"/>
          <w:szCs w:val="24"/>
        </w:rPr>
        <w:t>s</w:t>
      </w:r>
      <w:r w:rsidRPr="00DF229E">
        <w:rPr>
          <w:sz w:val="24"/>
          <w:szCs w:val="24"/>
        </w:rPr>
        <w:t>paña –en materia de endeudamiento</w:t>
      </w:r>
      <w:r>
        <w:rPr>
          <w:sz w:val="24"/>
          <w:szCs w:val="24"/>
        </w:rPr>
        <w:t>–</w:t>
      </w:r>
      <w:r w:rsidRPr="00DF229E">
        <w:rPr>
          <w:sz w:val="24"/>
          <w:szCs w:val="24"/>
        </w:rPr>
        <w:t xml:space="preserve"> tienen por objeto, fundamentalmente, analizar la te</w:t>
      </w:r>
      <w:r w:rsidRPr="00DF229E">
        <w:rPr>
          <w:sz w:val="24"/>
          <w:szCs w:val="24"/>
        </w:rPr>
        <w:t>n</w:t>
      </w:r>
      <w:r w:rsidRPr="00DF229E">
        <w:rPr>
          <w:sz w:val="24"/>
          <w:szCs w:val="24"/>
        </w:rPr>
        <w:t>dencia en la ejecución del presupuesto para, en su caso, demandar la adopción de las dec</w:t>
      </w:r>
      <w:r w:rsidRPr="00DF229E">
        <w:rPr>
          <w:sz w:val="24"/>
          <w:szCs w:val="24"/>
        </w:rPr>
        <w:t>i</w:t>
      </w:r>
      <w:r w:rsidRPr="00DF229E">
        <w:rPr>
          <w:sz w:val="24"/>
          <w:szCs w:val="24"/>
        </w:rPr>
        <w:t>siones correctoras de gestión precisas al objeto de garantizar el cumplimiento de los objet</w:t>
      </w:r>
      <w:r w:rsidRPr="00DF229E">
        <w:rPr>
          <w:sz w:val="24"/>
          <w:szCs w:val="24"/>
        </w:rPr>
        <w:t>i</w:t>
      </w:r>
      <w:r w:rsidRPr="00DF229E">
        <w:rPr>
          <w:sz w:val="24"/>
          <w:szCs w:val="24"/>
        </w:rPr>
        <w:t xml:space="preserve">vos marcados en el ejercicio. </w:t>
      </w:r>
    </w:p>
    <w:p w:rsidR="007E6AC4" w:rsidRPr="00817444" w:rsidRDefault="007E6AC4" w:rsidP="007E6AC4">
      <w:pPr>
        <w:tabs>
          <w:tab w:val="center" w:pos="2835"/>
          <w:tab w:val="center" w:pos="3969"/>
          <w:tab w:val="center" w:pos="5103"/>
          <w:tab w:val="center" w:pos="6237"/>
          <w:tab w:val="center" w:pos="7371"/>
        </w:tabs>
        <w:spacing w:after="240"/>
        <w:ind w:firstLine="284"/>
        <w:rPr>
          <w:sz w:val="24"/>
          <w:szCs w:val="24"/>
        </w:rPr>
      </w:pPr>
      <w:r w:rsidRPr="00817444">
        <w:rPr>
          <w:sz w:val="24"/>
          <w:szCs w:val="24"/>
        </w:rPr>
        <w:t>Para el ejercicio de 2015, el Gobierno de Navarra y el Gobierno Central acordaron los siguientes objetivos:</w:t>
      </w:r>
    </w:p>
    <w:tbl>
      <w:tblPr>
        <w:tblW w:w="8750" w:type="dxa"/>
        <w:jc w:val="center"/>
        <w:tblLayout w:type="fixed"/>
        <w:tblLook w:val="01E0" w:firstRow="1" w:lastRow="1" w:firstColumn="1" w:lastColumn="1" w:noHBand="0" w:noVBand="0"/>
      </w:tblPr>
      <w:tblGrid>
        <w:gridCol w:w="7344"/>
        <w:gridCol w:w="1406"/>
      </w:tblGrid>
      <w:tr w:rsidR="007E6AC4" w:rsidRPr="0031526C" w:rsidTr="00195087">
        <w:trPr>
          <w:trHeight w:val="312"/>
          <w:jc w:val="center"/>
        </w:trPr>
        <w:tc>
          <w:tcPr>
            <w:tcW w:w="7344" w:type="dxa"/>
            <w:tcBorders>
              <w:top w:val="single" w:sz="4" w:space="0" w:color="auto"/>
              <w:bottom w:val="single" w:sz="4" w:space="0" w:color="auto"/>
            </w:tcBorders>
            <w:shd w:val="clear" w:color="auto" w:fill="8DB3E2" w:themeFill="text2" w:themeFillTint="66"/>
            <w:vAlign w:val="center"/>
          </w:tcPr>
          <w:p w:rsidR="007E6AC4" w:rsidRPr="0031526C"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31526C">
              <w:rPr>
                <w:rFonts w:ascii="Arial" w:hAnsi="Arial" w:cs="Arial"/>
                <w:sz w:val="18"/>
                <w:szCs w:val="18"/>
              </w:rPr>
              <w:t>Objetivos de estabilidad presupuestaria-Navarra 2015</w:t>
            </w:r>
          </w:p>
        </w:tc>
        <w:tc>
          <w:tcPr>
            <w:tcW w:w="1406" w:type="dxa"/>
            <w:tcBorders>
              <w:top w:val="single" w:sz="4" w:space="0" w:color="auto"/>
              <w:bottom w:val="single" w:sz="4" w:space="0" w:color="auto"/>
            </w:tcBorders>
            <w:shd w:val="clear" w:color="auto" w:fill="8DB3E2" w:themeFill="text2" w:themeFillTint="66"/>
            <w:vAlign w:val="center"/>
          </w:tcPr>
          <w:p w:rsidR="007E6AC4" w:rsidRPr="0031526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31526C">
              <w:rPr>
                <w:rFonts w:ascii="Arial" w:hAnsi="Arial" w:cs="Arial"/>
                <w:sz w:val="18"/>
                <w:szCs w:val="18"/>
              </w:rPr>
              <w:t>% PIB</w:t>
            </w:r>
          </w:p>
        </w:tc>
      </w:tr>
      <w:tr w:rsidR="007E6AC4" w:rsidRPr="00095FF0" w:rsidTr="00467043">
        <w:trPr>
          <w:trHeight w:val="284"/>
          <w:jc w:val="center"/>
        </w:trPr>
        <w:tc>
          <w:tcPr>
            <w:tcW w:w="7344"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Necesidades de financiación</w:t>
            </w:r>
          </w:p>
        </w:tc>
        <w:tc>
          <w:tcPr>
            <w:tcW w:w="1406"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-0,7</w:t>
            </w:r>
          </w:p>
        </w:tc>
      </w:tr>
      <w:tr w:rsidR="007E6AC4" w:rsidRPr="00095FF0" w:rsidTr="00467043">
        <w:trPr>
          <w:trHeight w:val="284"/>
          <w:jc w:val="center"/>
        </w:trPr>
        <w:tc>
          <w:tcPr>
            <w:tcW w:w="7344"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Endeudamiento</w:t>
            </w:r>
          </w:p>
        </w:tc>
        <w:tc>
          <w:tcPr>
            <w:tcW w:w="1406" w:type="dxa"/>
            <w:tcBorders>
              <w:top w:val="single" w:sz="2" w:space="0" w:color="auto"/>
              <w:bottom w:val="single" w:sz="4" w:space="0" w:color="auto"/>
            </w:tcBorders>
            <w:vAlign w:val="center"/>
          </w:tcPr>
          <w:p w:rsidR="007E6AC4" w:rsidRPr="00095FF0" w:rsidRDefault="00B32266"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18,3</w:t>
            </w:r>
          </w:p>
        </w:tc>
      </w:tr>
    </w:tbl>
    <w:p w:rsidR="007E6AC4" w:rsidRPr="0010137C" w:rsidRDefault="007E6AC4" w:rsidP="00467043">
      <w:pPr>
        <w:tabs>
          <w:tab w:val="center" w:pos="2835"/>
          <w:tab w:val="center" w:pos="3969"/>
          <w:tab w:val="center" w:pos="5103"/>
          <w:tab w:val="center" w:pos="6237"/>
          <w:tab w:val="center" w:pos="7371"/>
        </w:tabs>
        <w:spacing w:before="320"/>
        <w:ind w:firstLine="284"/>
        <w:rPr>
          <w:b/>
          <w:sz w:val="24"/>
          <w:szCs w:val="24"/>
        </w:rPr>
      </w:pPr>
      <w:r w:rsidRPr="0010137C">
        <w:rPr>
          <w:b/>
          <w:sz w:val="24"/>
          <w:szCs w:val="24"/>
        </w:rPr>
        <w:t>10</w:t>
      </w:r>
      <w:proofErr w:type="gramStart"/>
      <w:r w:rsidR="00A85B5D">
        <w:rPr>
          <w:b/>
          <w:sz w:val="24"/>
          <w:szCs w:val="24"/>
        </w:rPr>
        <w:t>.</w:t>
      </w:r>
      <w:r w:rsidRPr="0010137C">
        <w:rPr>
          <w:b/>
          <w:sz w:val="24"/>
          <w:szCs w:val="24"/>
        </w:rPr>
        <w:t>ª</w:t>
      </w:r>
      <w:proofErr w:type="gramEnd"/>
      <w:r w:rsidRPr="0010137C">
        <w:rPr>
          <w:b/>
          <w:sz w:val="24"/>
          <w:szCs w:val="24"/>
        </w:rPr>
        <w:t xml:space="preserve"> Necesidad de financiación a 3</w:t>
      </w:r>
      <w:r w:rsidR="006D05EC" w:rsidRPr="0010137C">
        <w:rPr>
          <w:b/>
          <w:sz w:val="24"/>
          <w:szCs w:val="24"/>
        </w:rPr>
        <w:t>1</w:t>
      </w:r>
      <w:r w:rsidRPr="0010137C">
        <w:rPr>
          <w:b/>
          <w:sz w:val="24"/>
          <w:szCs w:val="24"/>
        </w:rPr>
        <w:t xml:space="preserve"> de junio de 2015.</w:t>
      </w:r>
    </w:p>
    <w:p w:rsidR="00C918E2" w:rsidRPr="0010137C" w:rsidRDefault="00C918E2" w:rsidP="00C918E2">
      <w:pPr>
        <w:tabs>
          <w:tab w:val="center" w:pos="2835"/>
          <w:tab w:val="center" w:pos="3969"/>
          <w:tab w:val="center" w:pos="5103"/>
          <w:tab w:val="center" w:pos="6237"/>
          <w:tab w:val="center" w:pos="7371"/>
        </w:tabs>
        <w:ind w:firstLine="284"/>
        <w:rPr>
          <w:sz w:val="24"/>
          <w:szCs w:val="24"/>
        </w:rPr>
      </w:pPr>
      <w:r w:rsidRPr="0010137C">
        <w:rPr>
          <w:sz w:val="24"/>
          <w:szCs w:val="24"/>
        </w:rPr>
        <w:t>De acuerdo con la información mensual del Ministerio de Hacienda y Administraciones Públicas, la necesidad de financiación acumulada hasta julio de 2015 de la Administración de la Comunidad Foral de Navarra y resto de entes integrantes del sector “administración pública” a efectos de contabilidad nacional (SEC 2010), asciende a 254 millones que r</w:t>
      </w:r>
      <w:r w:rsidRPr="0010137C">
        <w:rPr>
          <w:sz w:val="24"/>
          <w:szCs w:val="24"/>
        </w:rPr>
        <w:t>e</w:t>
      </w:r>
      <w:r w:rsidRPr="0010137C">
        <w:rPr>
          <w:sz w:val="24"/>
          <w:szCs w:val="24"/>
        </w:rPr>
        <w:t>presentan el 1,39 por ciento del PIB de Navarra.</w:t>
      </w:r>
    </w:p>
    <w:p w:rsidR="00C918E2" w:rsidRPr="0010137C" w:rsidRDefault="00C918E2" w:rsidP="0010137C">
      <w:pPr>
        <w:tabs>
          <w:tab w:val="center" w:pos="2835"/>
          <w:tab w:val="center" w:pos="3969"/>
          <w:tab w:val="center" w:pos="5103"/>
          <w:tab w:val="center" w:pos="6237"/>
          <w:tab w:val="center" w:pos="7371"/>
        </w:tabs>
        <w:spacing w:after="300"/>
        <w:ind w:firstLine="284"/>
        <w:rPr>
          <w:sz w:val="24"/>
          <w:szCs w:val="24"/>
        </w:rPr>
      </w:pPr>
      <w:r w:rsidRPr="0010137C">
        <w:rPr>
          <w:sz w:val="24"/>
          <w:szCs w:val="24"/>
        </w:rPr>
        <w:lastRenderedPageBreak/>
        <w:t>Sobre la evolución de esa magnitud, en el cuadro siguiente mostramos su comparación con el mismo periodo de 2014, en millones de euros.</w:t>
      </w:r>
    </w:p>
    <w:tbl>
      <w:tblPr>
        <w:tblW w:w="8735" w:type="dxa"/>
        <w:jc w:val="center"/>
        <w:tblLayout w:type="fixed"/>
        <w:tblLook w:val="01E0" w:firstRow="1" w:lastRow="1" w:firstColumn="1" w:lastColumn="1" w:noHBand="0" w:noVBand="0"/>
      </w:tblPr>
      <w:tblGrid>
        <w:gridCol w:w="5785"/>
        <w:gridCol w:w="72"/>
        <w:gridCol w:w="1401"/>
        <w:gridCol w:w="71"/>
        <w:gridCol w:w="1335"/>
        <w:gridCol w:w="71"/>
      </w:tblGrid>
      <w:tr w:rsidR="007E6AC4" w:rsidRPr="00D47014" w:rsidTr="00195087">
        <w:trPr>
          <w:trHeight w:val="340"/>
          <w:jc w:val="center"/>
        </w:trPr>
        <w:tc>
          <w:tcPr>
            <w:tcW w:w="5857" w:type="dxa"/>
            <w:gridSpan w:val="2"/>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D47014">
              <w:rPr>
                <w:rFonts w:ascii="Arial" w:hAnsi="Arial" w:cs="Arial"/>
                <w:sz w:val="18"/>
                <w:szCs w:val="18"/>
              </w:rPr>
              <w:t>Necesidad de financiación-contabilidad nacional (</w:t>
            </w:r>
            <w:proofErr w:type="spellStart"/>
            <w:r w:rsidRPr="00D47014">
              <w:rPr>
                <w:rFonts w:ascii="Arial" w:hAnsi="Arial" w:cs="Arial"/>
                <w:sz w:val="18"/>
                <w:szCs w:val="18"/>
              </w:rPr>
              <w:t>MHyAAPP</w:t>
            </w:r>
            <w:proofErr w:type="spellEnd"/>
            <w:r w:rsidRPr="00D47014">
              <w:rPr>
                <w:rFonts w:ascii="Arial" w:hAnsi="Arial" w:cs="Arial"/>
                <w:sz w:val="18"/>
                <w:szCs w:val="18"/>
              </w:rPr>
              <w:t>)</w:t>
            </w:r>
          </w:p>
        </w:tc>
        <w:tc>
          <w:tcPr>
            <w:tcW w:w="1472" w:type="dxa"/>
            <w:gridSpan w:val="2"/>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Importe</w:t>
            </w:r>
          </w:p>
        </w:tc>
        <w:tc>
          <w:tcPr>
            <w:tcW w:w="1406" w:type="dxa"/>
            <w:gridSpan w:val="2"/>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 PIB</w:t>
            </w:r>
          </w:p>
        </w:tc>
      </w:tr>
      <w:tr w:rsidR="00C918E2" w:rsidRPr="0010137C" w:rsidTr="00D542C6">
        <w:trPr>
          <w:gridAfter w:val="1"/>
          <w:wAfter w:w="71" w:type="dxa"/>
          <w:trHeight w:val="284"/>
          <w:jc w:val="center"/>
        </w:trPr>
        <w:tc>
          <w:tcPr>
            <w:tcW w:w="5785" w:type="dxa"/>
            <w:tcBorders>
              <w:top w:val="single" w:sz="4" w:space="0" w:color="auto"/>
              <w:left w:val="nil"/>
              <w:bottom w:val="single" w:sz="2"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10137C">
              <w:rPr>
                <w:rFonts w:ascii="Arial Narrow" w:hAnsi="Arial Narrow"/>
                <w:spacing w:val="6"/>
                <w:szCs w:val="24"/>
              </w:rPr>
              <w:t>Acumulada hasta julio 2014</w:t>
            </w:r>
          </w:p>
        </w:tc>
        <w:tc>
          <w:tcPr>
            <w:tcW w:w="1473" w:type="dxa"/>
            <w:gridSpan w:val="2"/>
            <w:tcBorders>
              <w:top w:val="single" w:sz="4" w:space="0" w:color="auto"/>
              <w:left w:val="nil"/>
              <w:bottom w:val="single" w:sz="2"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-169</w:t>
            </w:r>
          </w:p>
        </w:tc>
        <w:tc>
          <w:tcPr>
            <w:tcW w:w="1406" w:type="dxa"/>
            <w:gridSpan w:val="2"/>
            <w:tcBorders>
              <w:top w:val="single" w:sz="4" w:space="0" w:color="auto"/>
              <w:left w:val="nil"/>
              <w:bottom w:val="single" w:sz="2"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-0,96</w:t>
            </w:r>
          </w:p>
        </w:tc>
      </w:tr>
      <w:tr w:rsidR="00C918E2" w:rsidRPr="0010137C" w:rsidTr="00D542C6">
        <w:trPr>
          <w:gridAfter w:val="1"/>
          <w:wAfter w:w="71" w:type="dxa"/>
          <w:trHeight w:val="284"/>
          <w:jc w:val="center"/>
        </w:trPr>
        <w:tc>
          <w:tcPr>
            <w:tcW w:w="5785" w:type="dxa"/>
            <w:tcBorders>
              <w:top w:val="single" w:sz="2" w:space="0" w:color="auto"/>
              <w:left w:val="nil"/>
              <w:bottom w:val="single" w:sz="4"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rPr>
                <w:rFonts w:ascii="Arial Narrow" w:hAnsi="Arial Narrow"/>
                <w:spacing w:val="6"/>
                <w:szCs w:val="24"/>
                <w:lang w:val="es-ES"/>
              </w:rPr>
            </w:pPr>
            <w:r w:rsidRPr="0010137C">
              <w:rPr>
                <w:rFonts w:ascii="Arial Narrow" w:hAnsi="Arial Narrow"/>
                <w:spacing w:val="6"/>
                <w:szCs w:val="24"/>
                <w:lang w:val="es-ES"/>
              </w:rPr>
              <w:t>Acumulada hasta julio 2015</w:t>
            </w:r>
          </w:p>
        </w:tc>
        <w:tc>
          <w:tcPr>
            <w:tcW w:w="1473" w:type="dxa"/>
            <w:gridSpan w:val="2"/>
            <w:tcBorders>
              <w:top w:val="single" w:sz="2" w:space="0" w:color="auto"/>
              <w:left w:val="nil"/>
              <w:bottom w:val="single" w:sz="4"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-254</w:t>
            </w:r>
          </w:p>
        </w:tc>
        <w:tc>
          <w:tcPr>
            <w:tcW w:w="1406" w:type="dxa"/>
            <w:gridSpan w:val="2"/>
            <w:tcBorders>
              <w:top w:val="single" w:sz="2" w:space="0" w:color="auto"/>
              <w:left w:val="nil"/>
              <w:bottom w:val="single" w:sz="4" w:space="0" w:color="auto"/>
              <w:right w:val="nil"/>
            </w:tcBorders>
            <w:vAlign w:val="center"/>
            <w:hideMark/>
          </w:tcPr>
          <w:p w:rsidR="00C918E2" w:rsidRPr="0010137C" w:rsidRDefault="00C918E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-1,39</w:t>
            </w:r>
          </w:p>
        </w:tc>
      </w:tr>
    </w:tbl>
    <w:p w:rsidR="00C918E2" w:rsidRPr="0010137C" w:rsidRDefault="00C918E2" w:rsidP="0010137C">
      <w:pPr>
        <w:keepLines/>
        <w:tabs>
          <w:tab w:val="right" w:pos="2835"/>
          <w:tab w:val="right" w:pos="3969"/>
          <w:tab w:val="right" w:pos="5103"/>
          <w:tab w:val="right" w:pos="6237"/>
          <w:tab w:val="right" w:pos="7371"/>
        </w:tabs>
        <w:spacing w:before="80" w:after="0"/>
        <w:ind w:firstLine="0"/>
        <w:rPr>
          <w:rFonts w:ascii="Arial Narrow" w:hAnsi="Arial Narrow"/>
          <w:spacing w:val="6"/>
          <w:sz w:val="18"/>
          <w:szCs w:val="18"/>
          <w:lang w:val="es-ES"/>
        </w:rPr>
      </w:pPr>
      <w:r w:rsidRPr="0010137C">
        <w:rPr>
          <w:rFonts w:ascii="Arial Narrow" w:hAnsi="Arial Narrow"/>
          <w:spacing w:val="6"/>
          <w:sz w:val="18"/>
          <w:szCs w:val="18"/>
          <w:lang w:val="es-ES"/>
        </w:rPr>
        <w:t xml:space="preserve">  PIB de Navarra 2014: 17.594 millones</w:t>
      </w:r>
    </w:p>
    <w:p w:rsidR="00C918E2" w:rsidRPr="0010137C" w:rsidRDefault="00C918E2" w:rsidP="00C918E2">
      <w:pPr>
        <w:keepLines/>
        <w:tabs>
          <w:tab w:val="right" w:pos="2835"/>
          <w:tab w:val="right" w:pos="3969"/>
          <w:tab w:val="right" w:pos="5103"/>
          <w:tab w:val="right" w:pos="6237"/>
          <w:tab w:val="right" w:pos="7371"/>
        </w:tabs>
        <w:spacing w:after="0"/>
        <w:ind w:firstLine="0"/>
        <w:rPr>
          <w:rFonts w:ascii="Arial Narrow" w:hAnsi="Arial Narrow"/>
          <w:spacing w:val="6"/>
          <w:sz w:val="18"/>
          <w:szCs w:val="18"/>
          <w:lang w:val="es-ES"/>
        </w:rPr>
      </w:pPr>
      <w:r w:rsidRPr="0010137C">
        <w:rPr>
          <w:rFonts w:ascii="Arial Narrow" w:hAnsi="Arial Narrow"/>
          <w:spacing w:val="6"/>
          <w:sz w:val="18"/>
          <w:szCs w:val="18"/>
          <w:lang w:val="es-ES"/>
        </w:rPr>
        <w:t xml:space="preserve">  PIB de Navarra 2015: 18.255 millones</w:t>
      </w:r>
    </w:p>
    <w:p w:rsidR="00C918E2" w:rsidRPr="0010137C" w:rsidRDefault="00C918E2" w:rsidP="00C918E2">
      <w:pPr>
        <w:tabs>
          <w:tab w:val="center" w:pos="2835"/>
          <w:tab w:val="center" w:pos="3969"/>
          <w:tab w:val="center" w:pos="5103"/>
          <w:tab w:val="center" w:pos="6237"/>
          <w:tab w:val="center" w:pos="7371"/>
        </w:tabs>
        <w:spacing w:after="0"/>
        <w:ind w:firstLine="284"/>
        <w:rPr>
          <w:rFonts w:ascii="Arial" w:hAnsi="Arial" w:cs="Arial"/>
          <w:sz w:val="28"/>
          <w:szCs w:val="28"/>
        </w:rPr>
      </w:pPr>
    </w:p>
    <w:p w:rsidR="00C918E2" w:rsidRPr="0010137C" w:rsidRDefault="00C918E2" w:rsidP="00C918E2">
      <w:pPr>
        <w:tabs>
          <w:tab w:val="center" w:pos="2835"/>
          <w:tab w:val="center" w:pos="3969"/>
          <w:tab w:val="center" w:pos="5103"/>
          <w:tab w:val="center" w:pos="6237"/>
          <w:tab w:val="center" w:pos="7371"/>
        </w:tabs>
        <w:ind w:firstLine="284"/>
        <w:rPr>
          <w:sz w:val="24"/>
          <w:szCs w:val="24"/>
        </w:rPr>
      </w:pPr>
      <w:r w:rsidRPr="0010137C">
        <w:rPr>
          <w:sz w:val="24"/>
          <w:szCs w:val="24"/>
        </w:rPr>
        <w:t xml:space="preserve">Es decir, se observa en 2015 un incremento, entre ambos periodos, en la necesidad de financiación de 85 millones. </w:t>
      </w:r>
    </w:p>
    <w:p w:rsidR="00C918E2" w:rsidRPr="0010137C" w:rsidRDefault="00C918E2" w:rsidP="00C918E2">
      <w:pPr>
        <w:tabs>
          <w:tab w:val="center" w:pos="2835"/>
          <w:tab w:val="center" w:pos="3969"/>
          <w:tab w:val="center" w:pos="5103"/>
          <w:tab w:val="center" w:pos="6237"/>
          <w:tab w:val="center" w:pos="7371"/>
        </w:tabs>
        <w:ind w:firstLine="284"/>
        <w:rPr>
          <w:sz w:val="24"/>
          <w:szCs w:val="24"/>
        </w:rPr>
      </w:pPr>
      <w:r w:rsidRPr="0010137C">
        <w:rPr>
          <w:sz w:val="24"/>
          <w:szCs w:val="24"/>
        </w:rPr>
        <w:t>Para el ejercicio de 2015, el objetivo de necesidad de financiación o déficit acordado e</w:t>
      </w:r>
      <w:r w:rsidRPr="0010137C">
        <w:rPr>
          <w:sz w:val="24"/>
          <w:szCs w:val="24"/>
        </w:rPr>
        <w:t>n</w:t>
      </w:r>
      <w:r w:rsidRPr="0010137C">
        <w:rPr>
          <w:sz w:val="24"/>
          <w:szCs w:val="24"/>
        </w:rPr>
        <w:t>tre el Gobierno de Navarra y el Gobierno Central es del 0,7 por ciento del PIB de Navarra; por tanto, hasta el 31 de julio, se ha superado ampliamente el objetivo señalado para todo el ejercicio.</w:t>
      </w:r>
    </w:p>
    <w:p w:rsidR="007E6AC4" w:rsidRPr="0010137C" w:rsidRDefault="007E6AC4" w:rsidP="007E6AC4">
      <w:pPr>
        <w:tabs>
          <w:tab w:val="center" w:pos="2835"/>
          <w:tab w:val="center" w:pos="3969"/>
          <w:tab w:val="center" w:pos="5103"/>
          <w:tab w:val="center" w:pos="6237"/>
          <w:tab w:val="center" w:pos="7371"/>
        </w:tabs>
        <w:spacing w:after="240"/>
        <w:ind w:firstLine="284"/>
        <w:rPr>
          <w:sz w:val="24"/>
          <w:szCs w:val="24"/>
        </w:rPr>
      </w:pPr>
      <w:r w:rsidRPr="0010137C">
        <w:rPr>
          <w:sz w:val="24"/>
          <w:szCs w:val="24"/>
        </w:rPr>
        <w:t>En los meses de 2015, la capacidad (+) o necesidad (-) de financiación de la Comunidad Foral presenta la siguiente evolución, en millones de euros.</w:t>
      </w:r>
    </w:p>
    <w:tbl>
      <w:tblPr>
        <w:tblW w:w="8749" w:type="dxa"/>
        <w:jc w:val="center"/>
        <w:tblLayout w:type="fixed"/>
        <w:tblLook w:val="01E0" w:firstRow="1" w:lastRow="1" w:firstColumn="1" w:lastColumn="1" w:noHBand="0" w:noVBand="0"/>
      </w:tblPr>
      <w:tblGrid>
        <w:gridCol w:w="6374"/>
        <w:gridCol w:w="1472"/>
        <w:gridCol w:w="903"/>
      </w:tblGrid>
      <w:tr w:rsidR="0010137C" w:rsidRPr="0010137C" w:rsidTr="00195087">
        <w:trPr>
          <w:trHeight w:val="340"/>
          <w:jc w:val="center"/>
        </w:trPr>
        <w:tc>
          <w:tcPr>
            <w:tcW w:w="6374" w:type="dxa"/>
            <w:tcBorders>
              <w:top w:val="single" w:sz="4" w:space="0" w:color="auto"/>
              <w:bottom w:val="single" w:sz="4" w:space="0" w:color="auto"/>
            </w:tcBorders>
            <w:shd w:val="clear" w:color="auto" w:fill="8DB3E2" w:themeFill="text2" w:themeFillTint="66"/>
            <w:vAlign w:val="center"/>
          </w:tcPr>
          <w:p w:rsidR="007E6AC4" w:rsidRPr="0010137C" w:rsidRDefault="007E6AC4" w:rsidP="00C62831">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10137C">
              <w:rPr>
                <w:rFonts w:ascii="Arial" w:hAnsi="Arial" w:cs="Arial"/>
                <w:sz w:val="18"/>
                <w:szCs w:val="18"/>
              </w:rPr>
              <w:t xml:space="preserve">Capacidad/Necesidad de financiación  </w:t>
            </w:r>
            <w:r w:rsidR="00C62831" w:rsidRPr="0010137C">
              <w:rPr>
                <w:rFonts w:ascii="Arial" w:hAnsi="Arial" w:cs="Arial"/>
                <w:sz w:val="18"/>
                <w:szCs w:val="18"/>
              </w:rPr>
              <w:t>acumulada por meses de</w:t>
            </w:r>
            <w:r w:rsidRPr="0010137C">
              <w:rPr>
                <w:rFonts w:ascii="Arial" w:hAnsi="Arial" w:cs="Arial"/>
                <w:sz w:val="18"/>
                <w:szCs w:val="18"/>
              </w:rPr>
              <w:t xml:space="preserve"> 2015</w:t>
            </w:r>
          </w:p>
        </w:tc>
        <w:tc>
          <w:tcPr>
            <w:tcW w:w="1472" w:type="dxa"/>
            <w:tcBorders>
              <w:top w:val="single" w:sz="4" w:space="0" w:color="auto"/>
              <w:bottom w:val="single" w:sz="4" w:space="0" w:color="auto"/>
            </w:tcBorders>
            <w:shd w:val="clear" w:color="auto" w:fill="8DB3E2" w:themeFill="text2" w:themeFillTint="66"/>
            <w:vAlign w:val="center"/>
          </w:tcPr>
          <w:p w:rsidR="007E6AC4" w:rsidRPr="0010137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10137C">
              <w:rPr>
                <w:rFonts w:ascii="Arial" w:hAnsi="Arial" w:cs="Arial"/>
                <w:sz w:val="18"/>
                <w:szCs w:val="18"/>
              </w:rPr>
              <w:t>Importe</w:t>
            </w:r>
          </w:p>
        </w:tc>
        <w:tc>
          <w:tcPr>
            <w:tcW w:w="903" w:type="dxa"/>
            <w:tcBorders>
              <w:top w:val="single" w:sz="4" w:space="0" w:color="auto"/>
              <w:bottom w:val="single" w:sz="4" w:space="0" w:color="auto"/>
            </w:tcBorders>
            <w:shd w:val="clear" w:color="auto" w:fill="8DB3E2" w:themeFill="text2" w:themeFillTint="66"/>
            <w:vAlign w:val="center"/>
          </w:tcPr>
          <w:p w:rsidR="007E6AC4" w:rsidRPr="0010137C"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10137C">
              <w:rPr>
                <w:rFonts w:ascii="Arial" w:hAnsi="Arial" w:cs="Arial"/>
                <w:sz w:val="18"/>
                <w:szCs w:val="18"/>
              </w:rPr>
              <w:t>% PIB</w:t>
            </w:r>
          </w:p>
        </w:tc>
      </w:tr>
      <w:tr w:rsidR="00C62831" w:rsidRPr="0010137C" w:rsidTr="00877718">
        <w:trPr>
          <w:trHeight w:val="255"/>
          <w:jc w:val="center"/>
        </w:trPr>
        <w:tc>
          <w:tcPr>
            <w:tcW w:w="6374" w:type="dxa"/>
            <w:tcBorders>
              <w:top w:val="single" w:sz="4"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0137C">
              <w:rPr>
                <w:rFonts w:ascii="Arial Narrow" w:hAnsi="Arial Narrow"/>
                <w:spacing w:val="6"/>
                <w:szCs w:val="24"/>
              </w:rPr>
              <w:t xml:space="preserve">Enero </w:t>
            </w:r>
          </w:p>
        </w:tc>
        <w:tc>
          <w:tcPr>
            <w:tcW w:w="1472" w:type="dxa"/>
            <w:tcBorders>
              <w:top w:val="single" w:sz="4"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40</w:t>
            </w:r>
          </w:p>
        </w:tc>
        <w:tc>
          <w:tcPr>
            <w:tcW w:w="903" w:type="dxa"/>
            <w:tcBorders>
              <w:top w:val="single" w:sz="4"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0.22</w:t>
            </w:r>
          </w:p>
        </w:tc>
      </w:tr>
      <w:tr w:rsidR="00C62831" w:rsidRPr="0010137C" w:rsidTr="00877718">
        <w:trPr>
          <w:trHeight w:val="255"/>
          <w:jc w:val="center"/>
        </w:trPr>
        <w:tc>
          <w:tcPr>
            <w:tcW w:w="6374" w:type="dxa"/>
            <w:tcBorders>
              <w:top w:val="single" w:sz="2"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0137C">
              <w:rPr>
                <w:rFonts w:ascii="Arial Narrow" w:hAnsi="Arial Narrow"/>
                <w:spacing w:val="6"/>
                <w:szCs w:val="24"/>
              </w:rPr>
              <w:t>Febrero</w:t>
            </w:r>
          </w:p>
        </w:tc>
        <w:tc>
          <w:tcPr>
            <w:tcW w:w="1472"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147</w:t>
            </w:r>
          </w:p>
        </w:tc>
        <w:tc>
          <w:tcPr>
            <w:tcW w:w="903"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0,81</w:t>
            </w:r>
          </w:p>
        </w:tc>
      </w:tr>
      <w:tr w:rsidR="00C62831" w:rsidRPr="0010137C" w:rsidTr="00877718">
        <w:trPr>
          <w:trHeight w:val="255"/>
          <w:jc w:val="center"/>
        </w:trPr>
        <w:tc>
          <w:tcPr>
            <w:tcW w:w="6374" w:type="dxa"/>
            <w:tcBorders>
              <w:top w:val="single" w:sz="2"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0137C">
              <w:rPr>
                <w:rFonts w:ascii="Arial Narrow" w:hAnsi="Arial Narrow"/>
                <w:spacing w:val="6"/>
                <w:szCs w:val="24"/>
              </w:rPr>
              <w:t>Marzo</w:t>
            </w:r>
          </w:p>
        </w:tc>
        <w:tc>
          <w:tcPr>
            <w:tcW w:w="1472"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45</w:t>
            </w:r>
          </w:p>
        </w:tc>
        <w:tc>
          <w:tcPr>
            <w:tcW w:w="903"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0,25</w:t>
            </w:r>
          </w:p>
        </w:tc>
      </w:tr>
      <w:tr w:rsidR="00C62831" w:rsidRPr="0010137C" w:rsidTr="00877718">
        <w:trPr>
          <w:trHeight w:val="255"/>
          <w:jc w:val="center"/>
        </w:trPr>
        <w:tc>
          <w:tcPr>
            <w:tcW w:w="6374" w:type="dxa"/>
            <w:tcBorders>
              <w:top w:val="single" w:sz="2"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0137C">
              <w:rPr>
                <w:rFonts w:ascii="Arial Narrow" w:hAnsi="Arial Narrow"/>
                <w:spacing w:val="6"/>
                <w:szCs w:val="24"/>
              </w:rPr>
              <w:t>Abril</w:t>
            </w:r>
          </w:p>
        </w:tc>
        <w:tc>
          <w:tcPr>
            <w:tcW w:w="1472"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51</w:t>
            </w:r>
          </w:p>
        </w:tc>
        <w:tc>
          <w:tcPr>
            <w:tcW w:w="903"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0,28</w:t>
            </w:r>
          </w:p>
        </w:tc>
      </w:tr>
      <w:tr w:rsidR="00C62831" w:rsidRPr="0010137C" w:rsidTr="00877718">
        <w:trPr>
          <w:trHeight w:val="255"/>
          <w:jc w:val="center"/>
        </w:trPr>
        <w:tc>
          <w:tcPr>
            <w:tcW w:w="6374" w:type="dxa"/>
            <w:tcBorders>
              <w:top w:val="single" w:sz="2"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10137C">
              <w:rPr>
                <w:rFonts w:ascii="Arial Narrow" w:hAnsi="Arial Narrow"/>
                <w:spacing w:val="6"/>
                <w:szCs w:val="24"/>
                <w:lang w:val="es-ES"/>
              </w:rPr>
              <w:t>Mayo</w:t>
            </w:r>
          </w:p>
        </w:tc>
        <w:tc>
          <w:tcPr>
            <w:tcW w:w="1472"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-140</w:t>
            </w:r>
          </w:p>
        </w:tc>
        <w:tc>
          <w:tcPr>
            <w:tcW w:w="903"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-0,77</w:t>
            </w:r>
          </w:p>
        </w:tc>
      </w:tr>
      <w:tr w:rsidR="0010137C" w:rsidRPr="0010137C" w:rsidTr="0010137C">
        <w:trPr>
          <w:trHeight w:val="255"/>
          <w:jc w:val="center"/>
        </w:trPr>
        <w:tc>
          <w:tcPr>
            <w:tcW w:w="6374" w:type="dxa"/>
            <w:tcBorders>
              <w:top w:val="single" w:sz="2" w:space="0" w:color="auto"/>
              <w:bottom w:val="single" w:sz="2"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10137C">
              <w:rPr>
                <w:rFonts w:ascii="Arial Narrow" w:hAnsi="Arial Narrow"/>
                <w:spacing w:val="6"/>
                <w:szCs w:val="24"/>
                <w:lang w:val="es-ES"/>
              </w:rPr>
              <w:t>Junio</w:t>
            </w:r>
          </w:p>
        </w:tc>
        <w:tc>
          <w:tcPr>
            <w:tcW w:w="1472"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-267</w:t>
            </w:r>
          </w:p>
        </w:tc>
        <w:tc>
          <w:tcPr>
            <w:tcW w:w="903" w:type="dxa"/>
            <w:tcBorders>
              <w:top w:val="single" w:sz="2" w:space="0" w:color="auto"/>
              <w:bottom w:val="single" w:sz="2"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-1,46</w:t>
            </w:r>
          </w:p>
        </w:tc>
      </w:tr>
      <w:tr w:rsidR="00C62831" w:rsidRPr="0010137C" w:rsidTr="00877718">
        <w:trPr>
          <w:trHeight w:val="255"/>
          <w:jc w:val="center"/>
        </w:trPr>
        <w:tc>
          <w:tcPr>
            <w:tcW w:w="6374" w:type="dxa"/>
            <w:tcBorders>
              <w:top w:val="single" w:sz="2" w:space="0" w:color="auto"/>
              <w:bottom w:val="single" w:sz="4" w:space="0" w:color="auto"/>
            </w:tcBorders>
            <w:vAlign w:val="center"/>
          </w:tcPr>
          <w:p w:rsidR="00C62831" w:rsidRPr="0010137C" w:rsidRDefault="00C62831" w:rsidP="009C1354">
            <w:pPr>
              <w:keepLines/>
              <w:tabs>
                <w:tab w:val="right" w:pos="2835"/>
                <w:tab w:val="right" w:pos="3969"/>
                <w:tab w:val="right" w:pos="5103"/>
                <w:tab w:val="right" w:pos="6237"/>
                <w:tab w:val="right" w:pos="7371"/>
              </w:tabs>
              <w:spacing w:after="0"/>
              <w:ind w:firstLine="0"/>
              <w:jc w:val="left"/>
              <w:rPr>
                <w:rFonts w:ascii="Arial Narrow" w:hAnsi="Arial Narrow"/>
                <w:spacing w:val="6"/>
                <w:szCs w:val="24"/>
                <w:lang w:val="es-ES"/>
              </w:rPr>
            </w:pPr>
            <w:r w:rsidRPr="0010137C">
              <w:rPr>
                <w:rFonts w:ascii="Arial Narrow" w:hAnsi="Arial Narrow"/>
                <w:spacing w:val="6"/>
                <w:szCs w:val="24"/>
                <w:lang w:val="es-ES"/>
              </w:rPr>
              <w:t>Julio</w:t>
            </w:r>
          </w:p>
        </w:tc>
        <w:tc>
          <w:tcPr>
            <w:tcW w:w="1472" w:type="dxa"/>
            <w:tcBorders>
              <w:top w:val="single" w:sz="2" w:space="0" w:color="auto"/>
              <w:bottom w:val="single" w:sz="4"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-254</w:t>
            </w:r>
          </w:p>
        </w:tc>
        <w:tc>
          <w:tcPr>
            <w:tcW w:w="903" w:type="dxa"/>
            <w:tcBorders>
              <w:top w:val="single" w:sz="2" w:space="0" w:color="auto"/>
              <w:bottom w:val="single" w:sz="4" w:space="0" w:color="auto"/>
            </w:tcBorders>
            <w:vAlign w:val="center"/>
          </w:tcPr>
          <w:p w:rsidR="00C62831" w:rsidRPr="0010137C" w:rsidRDefault="00C6283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-1,39</w:t>
            </w:r>
          </w:p>
        </w:tc>
      </w:tr>
    </w:tbl>
    <w:p w:rsidR="00C62831" w:rsidRPr="0010137C" w:rsidRDefault="00C62831" w:rsidP="0010137C">
      <w:pPr>
        <w:keepLines/>
        <w:tabs>
          <w:tab w:val="right" w:pos="2835"/>
          <w:tab w:val="right" w:pos="3969"/>
          <w:tab w:val="right" w:pos="5103"/>
          <w:tab w:val="right" w:pos="6237"/>
          <w:tab w:val="right" w:pos="7371"/>
        </w:tabs>
        <w:spacing w:before="80" w:after="0"/>
        <w:ind w:left="140" w:firstLine="0"/>
        <w:rPr>
          <w:rFonts w:ascii="Arial Narrow" w:hAnsi="Arial Narrow"/>
          <w:spacing w:val="6"/>
          <w:sz w:val="18"/>
          <w:szCs w:val="18"/>
          <w:lang w:val="es-ES"/>
        </w:rPr>
      </w:pPr>
      <w:r w:rsidRPr="0010137C">
        <w:rPr>
          <w:rFonts w:ascii="Arial Narrow" w:hAnsi="Arial Narrow"/>
          <w:spacing w:val="6"/>
          <w:sz w:val="18"/>
          <w:szCs w:val="18"/>
          <w:lang w:val="es-ES"/>
        </w:rPr>
        <w:t>PIB de Navarra 2015: 18.255 millones</w:t>
      </w:r>
    </w:p>
    <w:p w:rsidR="00C62831" w:rsidRDefault="00C62831" w:rsidP="00C62831">
      <w:pPr>
        <w:tabs>
          <w:tab w:val="center" w:pos="2835"/>
          <w:tab w:val="center" w:pos="3969"/>
          <w:tab w:val="center" w:pos="5103"/>
          <w:tab w:val="center" w:pos="6237"/>
          <w:tab w:val="center" w:pos="7371"/>
        </w:tabs>
        <w:ind w:firstLine="284"/>
        <w:rPr>
          <w:color w:val="FF0000"/>
          <w:sz w:val="24"/>
          <w:szCs w:val="24"/>
        </w:rPr>
      </w:pPr>
    </w:p>
    <w:p w:rsidR="00C62831" w:rsidRPr="0010137C" w:rsidRDefault="00C62831" w:rsidP="00C62831">
      <w:pPr>
        <w:tabs>
          <w:tab w:val="center" w:pos="2835"/>
          <w:tab w:val="center" w:pos="3969"/>
          <w:tab w:val="center" w:pos="5103"/>
          <w:tab w:val="center" w:pos="6237"/>
          <w:tab w:val="center" w:pos="7371"/>
        </w:tabs>
        <w:ind w:firstLine="284"/>
        <w:rPr>
          <w:sz w:val="24"/>
          <w:szCs w:val="24"/>
        </w:rPr>
      </w:pPr>
      <w:r w:rsidRPr="0010137C">
        <w:rPr>
          <w:sz w:val="24"/>
          <w:szCs w:val="24"/>
        </w:rPr>
        <w:t>Como se o</w:t>
      </w:r>
      <w:r w:rsidR="00705726">
        <w:rPr>
          <w:sz w:val="24"/>
          <w:szCs w:val="24"/>
        </w:rPr>
        <w:t>bserva, a partir de mes de mayo</w:t>
      </w:r>
      <w:r w:rsidRPr="0010137C">
        <w:rPr>
          <w:sz w:val="24"/>
          <w:szCs w:val="24"/>
        </w:rPr>
        <w:t xml:space="preserve"> se modifica el signo de esta magnitud, gen</w:t>
      </w:r>
      <w:r w:rsidRPr="0010137C">
        <w:rPr>
          <w:sz w:val="24"/>
          <w:szCs w:val="24"/>
        </w:rPr>
        <w:t>e</w:t>
      </w:r>
      <w:r w:rsidRPr="0010137C">
        <w:rPr>
          <w:sz w:val="24"/>
          <w:szCs w:val="24"/>
        </w:rPr>
        <w:t>rándose desde esa fecha una necesidad de financiación a efectos de la contabilidad naci</w:t>
      </w:r>
      <w:r w:rsidRPr="0010137C">
        <w:rPr>
          <w:sz w:val="24"/>
          <w:szCs w:val="24"/>
        </w:rPr>
        <w:t>o</w:t>
      </w:r>
      <w:r w:rsidRPr="0010137C">
        <w:rPr>
          <w:sz w:val="24"/>
          <w:szCs w:val="24"/>
        </w:rPr>
        <w:t>nal. No obstante, se aprecia una reducción de 13 millones entre los dos últimos meses.</w:t>
      </w:r>
    </w:p>
    <w:p w:rsidR="007E6AC4" w:rsidRPr="00817444" w:rsidRDefault="007E6AC4" w:rsidP="007E6AC4">
      <w:pPr>
        <w:tabs>
          <w:tab w:val="center" w:pos="2835"/>
          <w:tab w:val="center" w:pos="3969"/>
          <w:tab w:val="center" w:pos="5103"/>
          <w:tab w:val="center" w:pos="6237"/>
          <w:tab w:val="center" w:pos="7371"/>
        </w:tabs>
        <w:spacing w:after="0"/>
        <w:ind w:firstLine="284"/>
        <w:rPr>
          <w:b/>
          <w:sz w:val="24"/>
          <w:szCs w:val="24"/>
        </w:rPr>
      </w:pPr>
    </w:p>
    <w:p w:rsidR="007E6AC4" w:rsidRPr="00817444" w:rsidRDefault="007E6AC4" w:rsidP="007E6AC4">
      <w:pPr>
        <w:tabs>
          <w:tab w:val="center" w:pos="2835"/>
          <w:tab w:val="center" w:pos="3969"/>
          <w:tab w:val="center" w:pos="5103"/>
          <w:tab w:val="center" w:pos="6237"/>
          <w:tab w:val="center" w:pos="7371"/>
        </w:tabs>
        <w:ind w:firstLine="284"/>
        <w:rPr>
          <w:b/>
          <w:sz w:val="24"/>
          <w:szCs w:val="24"/>
        </w:rPr>
      </w:pPr>
      <w:r w:rsidRPr="00817444">
        <w:rPr>
          <w:b/>
          <w:sz w:val="24"/>
          <w:szCs w:val="24"/>
        </w:rPr>
        <w:t>11</w:t>
      </w:r>
      <w:proofErr w:type="gramStart"/>
      <w:r w:rsidR="00A85B5D">
        <w:rPr>
          <w:b/>
          <w:sz w:val="24"/>
          <w:szCs w:val="24"/>
        </w:rPr>
        <w:t>.</w:t>
      </w:r>
      <w:r w:rsidRPr="00817444">
        <w:rPr>
          <w:b/>
          <w:sz w:val="24"/>
          <w:szCs w:val="24"/>
        </w:rPr>
        <w:t>ª</w:t>
      </w:r>
      <w:proofErr w:type="gramEnd"/>
      <w:r w:rsidRPr="00817444">
        <w:rPr>
          <w:b/>
          <w:sz w:val="24"/>
          <w:szCs w:val="24"/>
        </w:rPr>
        <w:t xml:space="preserve"> Endeudamiento en términos de Contabilidad Nacional a 30 de junio de 2015. </w:t>
      </w:r>
    </w:p>
    <w:p w:rsidR="007E6AC4" w:rsidRPr="00817444" w:rsidRDefault="007E6AC4" w:rsidP="007E6AC4">
      <w:pPr>
        <w:tabs>
          <w:tab w:val="center" w:pos="2835"/>
          <w:tab w:val="center" w:pos="3969"/>
          <w:tab w:val="center" w:pos="5103"/>
          <w:tab w:val="center" w:pos="6237"/>
          <w:tab w:val="center" w:pos="7371"/>
        </w:tabs>
        <w:ind w:firstLine="284"/>
        <w:rPr>
          <w:sz w:val="24"/>
          <w:szCs w:val="24"/>
        </w:rPr>
      </w:pPr>
      <w:r w:rsidRPr="00817444">
        <w:rPr>
          <w:sz w:val="24"/>
          <w:szCs w:val="24"/>
        </w:rPr>
        <w:t>Según el informe del Banco de España correspondiente al primer semestre de 2015, el endeudamiento total</w:t>
      </w:r>
      <w:r w:rsidRPr="00817444">
        <w:rPr>
          <w:sz w:val="24"/>
          <w:szCs w:val="24"/>
          <w:vertAlign w:val="superscript"/>
        </w:rPr>
        <w:footnoteReference w:id="9"/>
      </w:r>
      <w:r w:rsidRPr="00817444">
        <w:rPr>
          <w:sz w:val="24"/>
          <w:szCs w:val="24"/>
        </w:rPr>
        <w:t xml:space="preserve"> de la Administración de la Comunidad Foral de Navarra y resto de entes integrantes del sector “administración pública” a efectos de contabilidad nacional (SEC 2010), asciende, a 30 de junio de 2015, a 3.586 millones, importe que representa el 19,7 por ciento del PIB de Navarra.</w:t>
      </w:r>
    </w:p>
    <w:p w:rsidR="0010137C" w:rsidRDefault="0010137C" w:rsidP="007E6AC4">
      <w:pPr>
        <w:tabs>
          <w:tab w:val="center" w:pos="2835"/>
          <w:tab w:val="center" w:pos="3969"/>
          <w:tab w:val="center" w:pos="5103"/>
          <w:tab w:val="center" w:pos="6237"/>
          <w:tab w:val="center" w:pos="7371"/>
        </w:tabs>
        <w:spacing w:after="240"/>
        <w:ind w:firstLine="284"/>
        <w:rPr>
          <w:sz w:val="24"/>
          <w:szCs w:val="24"/>
        </w:rPr>
      </w:pPr>
    </w:p>
    <w:p w:rsidR="0010137C" w:rsidRDefault="0010137C" w:rsidP="007E6AC4">
      <w:pPr>
        <w:tabs>
          <w:tab w:val="center" w:pos="2835"/>
          <w:tab w:val="center" w:pos="3969"/>
          <w:tab w:val="center" w:pos="5103"/>
          <w:tab w:val="center" w:pos="6237"/>
          <w:tab w:val="center" w:pos="7371"/>
        </w:tabs>
        <w:spacing w:after="240"/>
        <w:ind w:firstLine="284"/>
        <w:rPr>
          <w:sz w:val="24"/>
          <w:szCs w:val="24"/>
        </w:rPr>
      </w:pPr>
    </w:p>
    <w:p w:rsidR="007E6AC4" w:rsidRPr="00817444" w:rsidRDefault="007E6AC4" w:rsidP="007E6AC4">
      <w:pPr>
        <w:tabs>
          <w:tab w:val="center" w:pos="2835"/>
          <w:tab w:val="center" w:pos="3969"/>
          <w:tab w:val="center" w:pos="5103"/>
          <w:tab w:val="center" w:pos="6237"/>
          <w:tab w:val="center" w:pos="7371"/>
        </w:tabs>
        <w:spacing w:after="240"/>
        <w:ind w:firstLine="284"/>
        <w:rPr>
          <w:sz w:val="24"/>
          <w:szCs w:val="24"/>
        </w:rPr>
      </w:pPr>
      <w:r w:rsidRPr="00817444">
        <w:rPr>
          <w:sz w:val="24"/>
          <w:szCs w:val="24"/>
        </w:rPr>
        <w:lastRenderedPageBreak/>
        <w:t xml:space="preserve">Esta deuda y su comparación con el </w:t>
      </w:r>
      <w:r w:rsidR="00AA2464">
        <w:rPr>
          <w:sz w:val="24"/>
          <w:szCs w:val="24"/>
        </w:rPr>
        <w:t>primer</w:t>
      </w:r>
      <w:r w:rsidRPr="00817444">
        <w:rPr>
          <w:sz w:val="24"/>
          <w:szCs w:val="24"/>
        </w:rPr>
        <w:t xml:space="preserve"> semestre de 2014, se desglosa</w:t>
      </w:r>
      <w:r>
        <w:rPr>
          <w:sz w:val="24"/>
          <w:szCs w:val="24"/>
        </w:rPr>
        <w:t>, en millones de euros, de la forma siguiente.</w:t>
      </w:r>
    </w:p>
    <w:tbl>
      <w:tblPr>
        <w:tblW w:w="8827" w:type="dxa"/>
        <w:jc w:val="center"/>
        <w:tblLayout w:type="fixed"/>
        <w:tblLook w:val="01E0" w:firstRow="1" w:lastRow="1" w:firstColumn="1" w:lastColumn="1" w:noHBand="0" w:noVBand="0"/>
      </w:tblPr>
      <w:tblGrid>
        <w:gridCol w:w="6015"/>
        <w:gridCol w:w="1406"/>
        <w:gridCol w:w="1406"/>
      </w:tblGrid>
      <w:tr w:rsidR="007E6AC4" w:rsidRPr="00D47014" w:rsidTr="00195087">
        <w:trPr>
          <w:trHeight w:val="340"/>
          <w:jc w:val="center"/>
        </w:trPr>
        <w:tc>
          <w:tcPr>
            <w:tcW w:w="6015"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D47014">
              <w:rPr>
                <w:rFonts w:ascii="Arial" w:hAnsi="Arial" w:cs="Arial"/>
                <w:sz w:val="18"/>
                <w:szCs w:val="18"/>
              </w:rPr>
              <w:t>Deuda s/ contabilidad nacional (Banco de España)</w:t>
            </w:r>
          </w:p>
        </w:tc>
        <w:tc>
          <w:tcPr>
            <w:tcW w:w="1406"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1er. semestre</w:t>
            </w:r>
          </w:p>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2014</w:t>
            </w:r>
          </w:p>
        </w:tc>
        <w:tc>
          <w:tcPr>
            <w:tcW w:w="1406"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1er. semestre</w:t>
            </w:r>
          </w:p>
          <w:p w:rsidR="007E6AC4" w:rsidRPr="00D4701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D47014">
              <w:rPr>
                <w:rFonts w:ascii="Arial" w:hAnsi="Arial" w:cs="Arial"/>
                <w:sz w:val="18"/>
                <w:szCs w:val="18"/>
              </w:rPr>
              <w:t xml:space="preserve">2015 </w:t>
            </w:r>
          </w:p>
        </w:tc>
      </w:tr>
      <w:tr w:rsidR="007E6AC4" w:rsidRPr="00095FF0" w:rsidTr="009C1354">
        <w:trPr>
          <w:trHeight w:val="255"/>
          <w:jc w:val="center"/>
        </w:trPr>
        <w:tc>
          <w:tcPr>
            <w:tcW w:w="6015"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Deuda Pública</w:t>
            </w:r>
          </w:p>
        </w:tc>
        <w:tc>
          <w:tcPr>
            <w:tcW w:w="1406"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2.094</w:t>
            </w:r>
          </w:p>
        </w:tc>
        <w:tc>
          <w:tcPr>
            <w:tcW w:w="1406"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1.851</w:t>
            </w:r>
          </w:p>
        </w:tc>
      </w:tr>
      <w:tr w:rsidR="007E6AC4" w:rsidRPr="00095FF0" w:rsidTr="009C1354">
        <w:trPr>
          <w:trHeight w:val="255"/>
          <w:jc w:val="center"/>
        </w:trPr>
        <w:tc>
          <w:tcPr>
            <w:tcW w:w="601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Préstamos entidades financieras</w:t>
            </w:r>
          </w:p>
        </w:tc>
        <w:tc>
          <w:tcPr>
            <w:tcW w:w="140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548</w:t>
            </w:r>
          </w:p>
        </w:tc>
        <w:tc>
          <w:tcPr>
            <w:tcW w:w="140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1.014</w:t>
            </w:r>
          </w:p>
        </w:tc>
      </w:tr>
      <w:tr w:rsidR="007E6AC4" w:rsidRPr="00095FF0" w:rsidTr="009C1354">
        <w:trPr>
          <w:trHeight w:val="255"/>
          <w:jc w:val="center"/>
        </w:trPr>
        <w:tc>
          <w:tcPr>
            <w:tcW w:w="6015"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Otros préstamos</w:t>
            </w:r>
          </w:p>
        </w:tc>
        <w:tc>
          <w:tcPr>
            <w:tcW w:w="140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400</w:t>
            </w:r>
          </w:p>
        </w:tc>
        <w:tc>
          <w:tcPr>
            <w:tcW w:w="1406" w:type="dxa"/>
            <w:tcBorders>
              <w:top w:val="single" w:sz="2"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400</w:t>
            </w:r>
          </w:p>
        </w:tc>
      </w:tr>
      <w:tr w:rsidR="007E6AC4" w:rsidRPr="00095FF0" w:rsidTr="00877718">
        <w:trPr>
          <w:trHeight w:val="255"/>
          <w:jc w:val="center"/>
        </w:trPr>
        <w:tc>
          <w:tcPr>
            <w:tcW w:w="6015"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Asociaciones público-privada</w:t>
            </w:r>
          </w:p>
        </w:tc>
        <w:tc>
          <w:tcPr>
            <w:tcW w:w="1406"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324</w:t>
            </w:r>
          </w:p>
        </w:tc>
        <w:tc>
          <w:tcPr>
            <w:tcW w:w="1406"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321</w:t>
            </w:r>
          </w:p>
        </w:tc>
      </w:tr>
      <w:tr w:rsidR="007E6AC4" w:rsidRPr="00D47014" w:rsidTr="00195087">
        <w:trPr>
          <w:trHeight w:val="255"/>
          <w:jc w:val="center"/>
        </w:trPr>
        <w:tc>
          <w:tcPr>
            <w:tcW w:w="6015"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47014">
              <w:rPr>
                <w:rFonts w:ascii="Arial" w:hAnsi="Arial" w:cs="Arial"/>
                <w:spacing w:val="6"/>
                <w:sz w:val="18"/>
                <w:szCs w:val="18"/>
              </w:rPr>
              <w:t>Total endeudamiento</w:t>
            </w:r>
            <w:r>
              <w:rPr>
                <w:rFonts w:ascii="Arial" w:hAnsi="Arial" w:cs="Arial"/>
                <w:spacing w:val="6"/>
                <w:sz w:val="18"/>
                <w:szCs w:val="18"/>
              </w:rPr>
              <w:t xml:space="preserve"> PDE</w:t>
            </w:r>
            <w:r w:rsidRPr="00D47014">
              <w:rPr>
                <w:rFonts w:ascii="Arial" w:hAnsi="Arial" w:cs="Arial"/>
                <w:spacing w:val="6"/>
                <w:sz w:val="18"/>
                <w:szCs w:val="18"/>
              </w:rPr>
              <w:t xml:space="preserve">. 1er semestre </w:t>
            </w:r>
          </w:p>
        </w:tc>
        <w:tc>
          <w:tcPr>
            <w:tcW w:w="1406"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47014">
              <w:rPr>
                <w:rFonts w:ascii="Arial" w:hAnsi="Arial" w:cs="Arial"/>
                <w:spacing w:val="6"/>
                <w:sz w:val="18"/>
                <w:szCs w:val="18"/>
              </w:rPr>
              <w:t>3.366</w:t>
            </w:r>
          </w:p>
        </w:tc>
        <w:tc>
          <w:tcPr>
            <w:tcW w:w="1406" w:type="dxa"/>
            <w:tcBorders>
              <w:top w:val="single" w:sz="4" w:space="0" w:color="auto"/>
              <w:bottom w:val="single" w:sz="4" w:space="0" w:color="auto"/>
            </w:tcBorders>
            <w:shd w:val="clear" w:color="auto" w:fill="8DB3E2" w:themeFill="text2" w:themeFillTint="66"/>
            <w:vAlign w:val="center"/>
          </w:tcPr>
          <w:p w:rsidR="007E6AC4" w:rsidRPr="00D47014"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47014">
              <w:rPr>
                <w:rFonts w:ascii="Arial" w:hAnsi="Arial" w:cs="Arial"/>
                <w:spacing w:val="6"/>
                <w:sz w:val="18"/>
                <w:szCs w:val="18"/>
              </w:rPr>
              <w:t>3.586</w:t>
            </w:r>
          </w:p>
        </w:tc>
      </w:tr>
      <w:tr w:rsidR="007E6AC4" w:rsidRPr="00095FF0" w:rsidTr="00877718">
        <w:trPr>
          <w:trHeight w:val="255"/>
          <w:jc w:val="center"/>
        </w:trPr>
        <w:tc>
          <w:tcPr>
            <w:tcW w:w="6015"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 PIB</w:t>
            </w:r>
          </w:p>
        </w:tc>
        <w:tc>
          <w:tcPr>
            <w:tcW w:w="1406"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b/>
                <w:i/>
                <w:spacing w:val="6"/>
                <w:szCs w:val="24"/>
              </w:rPr>
            </w:pPr>
            <w:r w:rsidRPr="00095FF0">
              <w:rPr>
                <w:rFonts w:ascii="Arial Narrow" w:hAnsi="Arial Narrow"/>
                <w:b/>
                <w:i/>
                <w:spacing w:val="6"/>
                <w:szCs w:val="24"/>
              </w:rPr>
              <w:t>19</w:t>
            </w:r>
          </w:p>
        </w:tc>
        <w:tc>
          <w:tcPr>
            <w:tcW w:w="1406" w:type="dxa"/>
            <w:tcBorders>
              <w:top w:val="single" w:sz="4"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GillSans Light" w:hAnsi="GillSans Light"/>
                <w:b/>
                <w:i/>
              </w:rPr>
            </w:pPr>
            <w:r w:rsidRPr="00095FF0">
              <w:rPr>
                <w:rFonts w:ascii="Arial Narrow" w:hAnsi="Arial Narrow"/>
                <w:b/>
                <w:i/>
                <w:spacing w:val="6"/>
                <w:szCs w:val="24"/>
              </w:rPr>
              <w:t>19,7</w:t>
            </w:r>
          </w:p>
        </w:tc>
      </w:tr>
    </w:tbl>
    <w:p w:rsidR="007E6AC4" w:rsidRPr="00817444" w:rsidRDefault="007E6AC4" w:rsidP="007E6AC4">
      <w:pPr>
        <w:tabs>
          <w:tab w:val="center" w:pos="2835"/>
          <w:tab w:val="center" w:pos="3969"/>
          <w:tab w:val="center" w:pos="5103"/>
          <w:tab w:val="center" w:pos="6237"/>
          <w:tab w:val="center" w:pos="7371"/>
        </w:tabs>
        <w:spacing w:after="0"/>
        <w:ind w:firstLine="284"/>
        <w:rPr>
          <w:sz w:val="24"/>
        </w:rPr>
      </w:pPr>
    </w:p>
    <w:p w:rsidR="007E6AC4" w:rsidRPr="00817444" w:rsidRDefault="007E6AC4" w:rsidP="00877718">
      <w:pPr>
        <w:tabs>
          <w:tab w:val="center" w:pos="2835"/>
          <w:tab w:val="center" w:pos="3969"/>
          <w:tab w:val="center" w:pos="5103"/>
          <w:tab w:val="center" w:pos="6237"/>
          <w:tab w:val="center" w:pos="7371"/>
        </w:tabs>
        <w:spacing w:after="160"/>
        <w:ind w:firstLine="284"/>
        <w:rPr>
          <w:sz w:val="24"/>
        </w:rPr>
      </w:pPr>
      <w:r w:rsidRPr="00817444">
        <w:rPr>
          <w:sz w:val="24"/>
        </w:rPr>
        <w:t>De la comparativa anterior, se observa un incremento global de la deuda de 220 mill</w:t>
      </w:r>
      <w:r w:rsidRPr="00817444">
        <w:rPr>
          <w:sz w:val="24"/>
        </w:rPr>
        <w:t>o</w:t>
      </w:r>
      <w:r w:rsidRPr="00817444">
        <w:rPr>
          <w:sz w:val="24"/>
        </w:rPr>
        <w:t xml:space="preserve">nes, que implica un aumento de 0,7 puntos en su peso sobre el PIB de la Comunidad Foral. Por instrumento financiero, la deuda pública, en el </w:t>
      </w:r>
      <w:r w:rsidR="00AA2464">
        <w:rPr>
          <w:sz w:val="24"/>
        </w:rPr>
        <w:t>primer</w:t>
      </w:r>
      <w:r w:rsidRPr="00817444">
        <w:rPr>
          <w:sz w:val="24"/>
        </w:rPr>
        <w:t xml:space="preserve"> semestre de 2015, se ha reducido en un 12 por ciento, en tanto que los préstamos con entidades financieras prácticamente se han duplicado.</w:t>
      </w:r>
    </w:p>
    <w:p w:rsidR="007E6AC4" w:rsidRPr="00817444" w:rsidRDefault="007E6AC4" w:rsidP="00877718">
      <w:pPr>
        <w:tabs>
          <w:tab w:val="center" w:pos="2835"/>
          <w:tab w:val="center" w:pos="3969"/>
          <w:tab w:val="center" w:pos="5103"/>
          <w:tab w:val="center" w:pos="6237"/>
          <w:tab w:val="center" w:pos="7371"/>
        </w:tabs>
        <w:spacing w:after="160"/>
        <w:ind w:firstLine="284"/>
        <w:rPr>
          <w:sz w:val="28"/>
          <w:lang w:eastAsia="es-ES"/>
        </w:rPr>
      </w:pPr>
      <w:r w:rsidRPr="00817444">
        <w:rPr>
          <w:sz w:val="24"/>
        </w:rPr>
        <w:t>De esta deuda del primer semestre de 2015, corresponde a las sociedades públicas int</w:t>
      </w:r>
      <w:r w:rsidRPr="00817444">
        <w:rPr>
          <w:sz w:val="24"/>
        </w:rPr>
        <w:t>e</w:t>
      </w:r>
      <w:r w:rsidRPr="00817444">
        <w:rPr>
          <w:sz w:val="24"/>
        </w:rPr>
        <w:t>grantes del sector “administración pública” un total entorno a los 168 millones; el resto de sociedades públicas no integradas en el citado sector presentan un endeudamiento, en esa misma fecha, de 33 millones.</w:t>
      </w:r>
    </w:p>
    <w:p w:rsidR="007E6AC4" w:rsidRDefault="007E6AC4" w:rsidP="00877718">
      <w:pPr>
        <w:tabs>
          <w:tab w:val="center" w:pos="2835"/>
          <w:tab w:val="center" w:pos="3969"/>
          <w:tab w:val="center" w:pos="5103"/>
          <w:tab w:val="center" w:pos="6237"/>
          <w:tab w:val="center" w:pos="7371"/>
        </w:tabs>
        <w:spacing w:after="240"/>
        <w:ind w:firstLine="284"/>
        <w:rPr>
          <w:sz w:val="24"/>
        </w:rPr>
      </w:pPr>
      <w:r w:rsidRPr="00817444">
        <w:rPr>
          <w:sz w:val="24"/>
        </w:rPr>
        <w:t xml:space="preserve">Para el ejercicio de 2015, el objetivo de endeudamiento acordado entre el Gobierno de Navarra y el Gobierno Central es del </w:t>
      </w:r>
      <w:r w:rsidR="00B32266">
        <w:rPr>
          <w:sz w:val="24"/>
        </w:rPr>
        <w:t>18,3</w:t>
      </w:r>
      <w:r w:rsidRPr="00817444">
        <w:rPr>
          <w:sz w:val="24"/>
        </w:rPr>
        <w:t xml:space="preserve"> por ciento.</w:t>
      </w:r>
    </w:p>
    <w:p w:rsidR="00AF3271" w:rsidRPr="0010137C" w:rsidRDefault="00AF3271" w:rsidP="0010137C">
      <w:pPr>
        <w:tabs>
          <w:tab w:val="center" w:pos="2835"/>
          <w:tab w:val="center" w:pos="3969"/>
          <w:tab w:val="center" w:pos="5103"/>
          <w:tab w:val="center" w:pos="6237"/>
          <w:tab w:val="center" w:pos="7371"/>
        </w:tabs>
        <w:spacing w:after="280"/>
        <w:ind w:firstLine="284"/>
        <w:rPr>
          <w:sz w:val="24"/>
        </w:rPr>
      </w:pPr>
      <w:r w:rsidRPr="0010137C">
        <w:rPr>
          <w:sz w:val="24"/>
        </w:rPr>
        <w:t>De acuerdo con la información presupuestaria del Gobierno de Navarra</w:t>
      </w:r>
      <w:r w:rsidR="00AA2464">
        <w:rPr>
          <w:sz w:val="24"/>
        </w:rPr>
        <w:t>,</w:t>
      </w:r>
      <w:r w:rsidRPr="0010137C">
        <w:rPr>
          <w:sz w:val="24"/>
        </w:rPr>
        <w:t xml:space="preserve"> al cierre de j</w:t>
      </w:r>
      <w:r w:rsidRPr="0010137C">
        <w:rPr>
          <w:sz w:val="24"/>
        </w:rPr>
        <w:t>u</w:t>
      </w:r>
      <w:r w:rsidRPr="0010137C">
        <w:rPr>
          <w:sz w:val="24"/>
        </w:rPr>
        <w:t>nio de 2015 –cuyos importes que no se ha modificado ni en julio ni en agosto -, las prev</w:t>
      </w:r>
      <w:r w:rsidRPr="0010137C">
        <w:rPr>
          <w:sz w:val="24"/>
        </w:rPr>
        <w:t>i</w:t>
      </w:r>
      <w:r w:rsidRPr="0010137C">
        <w:rPr>
          <w:sz w:val="24"/>
        </w:rPr>
        <w:t>siones de endeudamiento para el año en curso son las siguientes, en miles de euros:</w:t>
      </w:r>
    </w:p>
    <w:tbl>
      <w:tblPr>
        <w:tblW w:w="8832" w:type="dxa"/>
        <w:jc w:val="center"/>
        <w:tblLayout w:type="fixed"/>
        <w:tblLook w:val="01E0" w:firstRow="1" w:lastRow="1" w:firstColumn="1" w:lastColumn="1" w:noHBand="0" w:noVBand="0"/>
      </w:tblPr>
      <w:tblGrid>
        <w:gridCol w:w="5409"/>
        <w:gridCol w:w="2016"/>
        <w:gridCol w:w="1407"/>
      </w:tblGrid>
      <w:tr w:rsidR="00AF3271" w:rsidRPr="0010137C" w:rsidTr="00195087">
        <w:trPr>
          <w:trHeight w:val="340"/>
          <w:jc w:val="center"/>
        </w:trPr>
        <w:tc>
          <w:tcPr>
            <w:tcW w:w="5406" w:type="dxa"/>
            <w:tcBorders>
              <w:top w:val="single" w:sz="4" w:space="0" w:color="auto"/>
              <w:left w:val="nil"/>
              <w:bottom w:val="single" w:sz="4" w:space="0" w:color="auto"/>
              <w:right w:val="nil"/>
            </w:tcBorders>
            <w:shd w:val="clear" w:color="auto" w:fill="8DB3E2" w:themeFill="text2" w:themeFillTint="66"/>
            <w:vAlign w:val="center"/>
            <w:hideMark/>
          </w:tcPr>
          <w:p w:rsidR="00AF3271" w:rsidRPr="0010137C" w:rsidRDefault="00AF3271">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10137C">
              <w:rPr>
                <w:rFonts w:ascii="Arial" w:hAnsi="Arial" w:cs="Arial"/>
                <w:sz w:val="18"/>
                <w:szCs w:val="18"/>
              </w:rPr>
              <w:t>Pasivos financieros</w:t>
            </w:r>
          </w:p>
        </w:tc>
        <w:tc>
          <w:tcPr>
            <w:tcW w:w="2015" w:type="dxa"/>
            <w:tcBorders>
              <w:top w:val="single" w:sz="4" w:space="0" w:color="auto"/>
              <w:left w:val="nil"/>
              <w:bottom w:val="single" w:sz="4" w:space="0" w:color="auto"/>
              <w:right w:val="nil"/>
            </w:tcBorders>
            <w:shd w:val="clear" w:color="auto" w:fill="8DB3E2" w:themeFill="text2" w:themeFillTint="66"/>
            <w:vAlign w:val="center"/>
            <w:hideMark/>
          </w:tcPr>
          <w:p w:rsidR="00AF3271" w:rsidRPr="0010137C" w:rsidRDefault="00AF3271">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10137C">
              <w:rPr>
                <w:rFonts w:ascii="Arial" w:hAnsi="Arial" w:cs="Arial"/>
                <w:sz w:val="18"/>
                <w:szCs w:val="18"/>
              </w:rPr>
              <w:t>Importe reconocido</w:t>
            </w:r>
          </w:p>
        </w:tc>
        <w:tc>
          <w:tcPr>
            <w:tcW w:w="1406" w:type="dxa"/>
            <w:tcBorders>
              <w:top w:val="single" w:sz="4" w:space="0" w:color="auto"/>
              <w:left w:val="nil"/>
              <w:bottom w:val="single" w:sz="4" w:space="0" w:color="auto"/>
              <w:right w:val="nil"/>
            </w:tcBorders>
            <w:shd w:val="clear" w:color="auto" w:fill="8DB3E2" w:themeFill="text2" w:themeFillTint="66"/>
            <w:vAlign w:val="center"/>
            <w:hideMark/>
          </w:tcPr>
          <w:p w:rsidR="00AF3271" w:rsidRPr="0010137C" w:rsidRDefault="00AF3271">
            <w:pPr>
              <w:keepLines/>
              <w:tabs>
                <w:tab w:val="right" w:pos="2835"/>
                <w:tab w:val="right" w:pos="3969"/>
                <w:tab w:val="right" w:pos="5103"/>
                <w:tab w:val="right" w:pos="6237"/>
                <w:tab w:val="right" w:pos="7371"/>
              </w:tabs>
              <w:spacing w:after="0"/>
              <w:ind w:right="-6" w:firstLine="0"/>
              <w:jc w:val="center"/>
              <w:rPr>
                <w:rFonts w:ascii="Arial" w:hAnsi="Arial" w:cs="Arial"/>
                <w:sz w:val="18"/>
                <w:szCs w:val="18"/>
              </w:rPr>
            </w:pPr>
            <w:r w:rsidRPr="0010137C">
              <w:rPr>
                <w:rFonts w:ascii="Arial" w:hAnsi="Arial" w:cs="Arial"/>
                <w:sz w:val="18"/>
                <w:szCs w:val="18"/>
              </w:rPr>
              <w:t>Saldo</w:t>
            </w:r>
          </w:p>
          <w:p w:rsidR="00AF3271" w:rsidRPr="0010137C" w:rsidRDefault="00AF3271">
            <w:pPr>
              <w:keepLines/>
              <w:tabs>
                <w:tab w:val="right" w:pos="2835"/>
                <w:tab w:val="right" w:pos="3969"/>
                <w:tab w:val="right" w:pos="5103"/>
                <w:tab w:val="right" w:pos="6237"/>
                <w:tab w:val="right" w:pos="7371"/>
              </w:tabs>
              <w:spacing w:after="0"/>
              <w:ind w:right="-6" w:firstLine="0"/>
              <w:jc w:val="center"/>
              <w:rPr>
                <w:rFonts w:ascii="Arial" w:hAnsi="Arial" w:cs="Arial"/>
                <w:sz w:val="18"/>
                <w:szCs w:val="18"/>
              </w:rPr>
            </w:pPr>
            <w:r w:rsidRPr="0010137C">
              <w:rPr>
                <w:rFonts w:ascii="Arial" w:hAnsi="Arial" w:cs="Arial"/>
                <w:sz w:val="18"/>
                <w:szCs w:val="18"/>
              </w:rPr>
              <w:t>pendiente (*)</w:t>
            </w:r>
          </w:p>
        </w:tc>
      </w:tr>
      <w:tr w:rsidR="00AF3271" w:rsidRPr="0010137C" w:rsidTr="00A912AB">
        <w:trPr>
          <w:trHeight w:val="255"/>
          <w:jc w:val="center"/>
        </w:trPr>
        <w:tc>
          <w:tcPr>
            <w:tcW w:w="5406" w:type="dxa"/>
            <w:tcBorders>
              <w:top w:val="single" w:sz="4" w:space="0" w:color="auto"/>
              <w:left w:val="nil"/>
              <w:bottom w:val="single" w:sz="2"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10137C">
              <w:rPr>
                <w:rFonts w:ascii="Arial Narrow" w:hAnsi="Arial Narrow"/>
                <w:spacing w:val="6"/>
                <w:szCs w:val="24"/>
              </w:rPr>
              <w:t>Ingresos/Pasivos financieros (nuevo endeudamiento)</w:t>
            </w:r>
          </w:p>
        </w:tc>
        <w:tc>
          <w:tcPr>
            <w:tcW w:w="2015" w:type="dxa"/>
            <w:tcBorders>
              <w:top w:val="single" w:sz="4" w:space="0" w:color="auto"/>
              <w:left w:val="nil"/>
              <w:bottom w:val="single" w:sz="2"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446.902</w:t>
            </w:r>
          </w:p>
        </w:tc>
        <w:tc>
          <w:tcPr>
            <w:tcW w:w="1406" w:type="dxa"/>
            <w:tcBorders>
              <w:top w:val="single" w:sz="4" w:space="0" w:color="auto"/>
              <w:left w:val="nil"/>
              <w:bottom w:val="single" w:sz="2"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18.776</w:t>
            </w:r>
          </w:p>
        </w:tc>
      </w:tr>
      <w:tr w:rsidR="00AF3271" w:rsidRPr="0010137C" w:rsidTr="00A912AB">
        <w:trPr>
          <w:trHeight w:val="255"/>
          <w:jc w:val="center"/>
        </w:trPr>
        <w:tc>
          <w:tcPr>
            <w:tcW w:w="5406" w:type="dxa"/>
            <w:tcBorders>
              <w:top w:val="single" w:sz="2" w:space="0" w:color="auto"/>
              <w:left w:val="nil"/>
              <w:bottom w:val="single" w:sz="4"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10137C">
              <w:rPr>
                <w:rFonts w:ascii="Arial Narrow" w:hAnsi="Arial Narrow"/>
                <w:spacing w:val="6"/>
                <w:szCs w:val="24"/>
              </w:rPr>
              <w:t>Gastos/ Pasivos financieros (amortización de endeudamiento)</w:t>
            </w:r>
          </w:p>
        </w:tc>
        <w:tc>
          <w:tcPr>
            <w:tcW w:w="2015" w:type="dxa"/>
            <w:tcBorders>
              <w:top w:val="single" w:sz="2" w:space="0" w:color="auto"/>
              <w:left w:val="nil"/>
              <w:bottom w:val="single" w:sz="4"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220.700</w:t>
            </w:r>
          </w:p>
        </w:tc>
        <w:tc>
          <w:tcPr>
            <w:tcW w:w="1406" w:type="dxa"/>
            <w:tcBorders>
              <w:top w:val="single" w:sz="2" w:space="0" w:color="auto"/>
              <w:left w:val="nil"/>
              <w:bottom w:val="single" w:sz="4" w:space="0" w:color="auto"/>
              <w:right w:val="nil"/>
            </w:tcBorders>
            <w:vAlign w:val="center"/>
            <w:hideMark/>
          </w:tcPr>
          <w:p w:rsidR="00AF3271" w:rsidRPr="0010137C" w:rsidRDefault="00AF3271">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0137C">
              <w:rPr>
                <w:rFonts w:ascii="Arial Narrow" w:hAnsi="Arial Narrow"/>
                <w:spacing w:val="6"/>
                <w:szCs w:val="24"/>
              </w:rPr>
              <w:t>86.528</w:t>
            </w:r>
          </w:p>
        </w:tc>
      </w:tr>
    </w:tbl>
    <w:p w:rsidR="00AF3271" w:rsidRPr="0010137C" w:rsidRDefault="00AF3271" w:rsidP="0010137C">
      <w:pPr>
        <w:keepLines/>
        <w:tabs>
          <w:tab w:val="right" w:pos="2835"/>
          <w:tab w:val="right" w:pos="3969"/>
          <w:tab w:val="right" w:pos="5103"/>
          <w:tab w:val="right" w:pos="6237"/>
          <w:tab w:val="right" w:pos="7371"/>
        </w:tabs>
        <w:spacing w:before="80" w:after="0"/>
        <w:ind w:firstLine="0"/>
        <w:rPr>
          <w:rFonts w:ascii="Arial Narrow" w:hAnsi="Arial Narrow"/>
          <w:spacing w:val="6"/>
          <w:sz w:val="18"/>
          <w:szCs w:val="18"/>
        </w:rPr>
      </w:pPr>
      <w:r w:rsidRPr="0010137C">
        <w:rPr>
          <w:rFonts w:ascii="Arial Narrow" w:hAnsi="Arial Narrow"/>
          <w:spacing w:val="6"/>
          <w:sz w:val="18"/>
          <w:szCs w:val="18"/>
        </w:rPr>
        <w:t>(*) Saldo pendiente: presupuesto definitivo menos derechos reconocidos/obligaciones reconocidas</w:t>
      </w:r>
    </w:p>
    <w:p w:rsidR="00AF3271" w:rsidRPr="0010137C" w:rsidRDefault="00AF3271" w:rsidP="00AF3271">
      <w:pPr>
        <w:tabs>
          <w:tab w:val="center" w:pos="2835"/>
          <w:tab w:val="center" w:pos="3969"/>
          <w:tab w:val="center" w:pos="5103"/>
          <w:tab w:val="center" w:pos="6237"/>
          <w:tab w:val="center" w:pos="7371"/>
        </w:tabs>
        <w:ind w:firstLine="284"/>
        <w:rPr>
          <w:sz w:val="12"/>
          <w:szCs w:val="12"/>
        </w:rPr>
      </w:pPr>
    </w:p>
    <w:p w:rsidR="00AF3271" w:rsidRPr="0010137C" w:rsidRDefault="00AF3271" w:rsidP="00AF3271">
      <w:pPr>
        <w:tabs>
          <w:tab w:val="center" w:pos="2835"/>
          <w:tab w:val="center" w:pos="3969"/>
          <w:tab w:val="center" w:pos="5103"/>
          <w:tab w:val="center" w:pos="6237"/>
          <w:tab w:val="center" w:pos="7371"/>
        </w:tabs>
        <w:ind w:firstLine="284"/>
        <w:rPr>
          <w:sz w:val="24"/>
        </w:rPr>
      </w:pPr>
      <w:r w:rsidRPr="0010137C">
        <w:rPr>
          <w:sz w:val="24"/>
        </w:rPr>
        <w:t>Es decir, las previsiones presupuestarias contemplan, hasta agosto de 2015, la posible captación de nuevo endeudamiento por importe de 19 millones y la amortización del exi</w:t>
      </w:r>
      <w:r w:rsidRPr="0010137C">
        <w:rPr>
          <w:sz w:val="24"/>
        </w:rPr>
        <w:t>s</w:t>
      </w:r>
      <w:r w:rsidRPr="0010137C">
        <w:rPr>
          <w:sz w:val="24"/>
        </w:rPr>
        <w:t>tente por 86 millones. De cumplirse estas previsiones, ello se traduciría en un saldo neto de menor endeudamiento de 67 millones que afectaría, lógicamente, al peso de la deuda sobre el PIB de Navarra.</w:t>
      </w:r>
      <w:r w:rsidR="00B32266">
        <w:rPr>
          <w:sz w:val="24"/>
        </w:rPr>
        <w:t xml:space="preserve"> Igualmente, según nos indican desde el Gobierno de Navarra, dentro de la anterior deuda indicada por el Banco de España, se incluyen 173,5 millones de prést</w:t>
      </w:r>
      <w:r w:rsidR="00B32266">
        <w:rPr>
          <w:sz w:val="24"/>
        </w:rPr>
        <w:t>a</w:t>
      </w:r>
      <w:r w:rsidR="00B32266">
        <w:rPr>
          <w:sz w:val="24"/>
        </w:rPr>
        <w:t>mos de tesorería que se deberán amortizar antes del 31 de diciembre de 2015.</w:t>
      </w:r>
    </w:p>
    <w:p w:rsidR="007E6AC4" w:rsidRPr="00817444" w:rsidRDefault="007E6AC4" w:rsidP="00877718">
      <w:pPr>
        <w:tabs>
          <w:tab w:val="center" w:pos="2835"/>
          <w:tab w:val="center" w:pos="3969"/>
          <w:tab w:val="center" w:pos="5103"/>
          <w:tab w:val="center" w:pos="6237"/>
          <w:tab w:val="center" w:pos="7371"/>
        </w:tabs>
        <w:spacing w:after="180"/>
        <w:ind w:firstLine="284"/>
        <w:rPr>
          <w:b/>
          <w:sz w:val="24"/>
        </w:rPr>
      </w:pPr>
      <w:r w:rsidRPr="00817444">
        <w:rPr>
          <w:b/>
          <w:sz w:val="24"/>
        </w:rPr>
        <w:t>12</w:t>
      </w:r>
      <w:proofErr w:type="gramStart"/>
      <w:r w:rsidR="00A85B5D">
        <w:rPr>
          <w:b/>
          <w:sz w:val="24"/>
        </w:rPr>
        <w:t>.</w:t>
      </w:r>
      <w:r w:rsidRPr="00817444">
        <w:rPr>
          <w:b/>
          <w:sz w:val="24"/>
        </w:rPr>
        <w:t>ª</w:t>
      </w:r>
      <w:proofErr w:type="gramEnd"/>
      <w:r w:rsidRPr="00817444">
        <w:rPr>
          <w:b/>
          <w:sz w:val="24"/>
        </w:rPr>
        <w:t xml:space="preserve"> Periodo medio de pago global a proveedores</w:t>
      </w:r>
    </w:p>
    <w:p w:rsidR="007E6AC4" w:rsidRPr="00817444" w:rsidRDefault="007E6AC4" w:rsidP="00877718">
      <w:pPr>
        <w:tabs>
          <w:tab w:val="center" w:pos="2835"/>
          <w:tab w:val="center" w:pos="3969"/>
          <w:tab w:val="center" w:pos="5103"/>
          <w:tab w:val="center" w:pos="6237"/>
          <w:tab w:val="center" w:pos="7371"/>
        </w:tabs>
        <w:spacing w:after="160"/>
        <w:ind w:firstLine="284"/>
        <w:rPr>
          <w:sz w:val="24"/>
        </w:rPr>
      </w:pPr>
      <w:r w:rsidRPr="00817444">
        <w:rPr>
          <w:sz w:val="24"/>
        </w:rPr>
        <w:t>El valor de este indicador en julio de 2015 para el conjunto del sector “administración pública” a efectos de contabilidad nacional asciende a 3,86 días.</w:t>
      </w:r>
    </w:p>
    <w:p w:rsidR="007E6AC4" w:rsidRPr="00817444" w:rsidRDefault="007E6AC4" w:rsidP="001A58F2">
      <w:pPr>
        <w:tabs>
          <w:tab w:val="center" w:pos="2835"/>
          <w:tab w:val="center" w:pos="3969"/>
          <w:tab w:val="center" w:pos="5103"/>
          <w:tab w:val="center" w:pos="6237"/>
          <w:tab w:val="center" w:pos="7371"/>
        </w:tabs>
        <w:spacing w:after="120"/>
        <w:ind w:firstLine="284"/>
        <w:rPr>
          <w:sz w:val="24"/>
        </w:rPr>
      </w:pPr>
      <w:r w:rsidRPr="00817444">
        <w:rPr>
          <w:sz w:val="24"/>
        </w:rPr>
        <w:lastRenderedPageBreak/>
        <w:t>El valor negativo, según se señala en la página web del Gobierno de Navarra, es “</w:t>
      </w:r>
      <w:r w:rsidRPr="00817444">
        <w:rPr>
          <w:i/>
          <w:sz w:val="24"/>
        </w:rPr>
        <w:t>repr</w:t>
      </w:r>
      <w:r w:rsidRPr="00817444">
        <w:rPr>
          <w:i/>
          <w:sz w:val="24"/>
        </w:rPr>
        <w:t>e</w:t>
      </w:r>
      <w:r w:rsidRPr="00817444">
        <w:rPr>
          <w:i/>
          <w:sz w:val="24"/>
        </w:rPr>
        <w:t>sentativo bien de una mayor celeridad, en término medio, en el pago por parte de la Adm</w:t>
      </w:r>
      <w:r w:rsidRPr="00817444">
        <w:rPr>
          <w:i/>
          <w:sz w:val="24"/>
        </w:rPr>
        <w:t>i</w:t>
      </w:r>
      <w:r w:rsidRPr="00817444">
        <w:rPr>
          <w:i/>
          <w:sz w:val="24"/>
        </w:rPr>
        <w:t>nistración en relación al periodo máximo previsto legalmente con carácter general para dar conformidad a la factura, o bien a que las operaciones pendientes de pago de la A</w:t>
      </w:r>
      <w:r w:rsidRPr="00817444">
        <w:rPr>
          <w:i/>
          <w:sz w:val="24"/>
        </w:rPr>
        <w:t>d</w:t>
      </w:r>
      <w:r w:rsidRPr="00817444">
        <w:rPr>
          <w:i/>
          <w:sz w:val="24"/>
        </w:rPr>
        <w:t>ministración se encuentran, en término medio, en un momento anterior a dicho periodo máximo</w:t>
      </w:r>
      <w:r w:rsidRPr="00817444">
        <w:rPr>
          <w:sz w:val="24"/>
        </w:rPr>
        <w:t xml:space="preserve">”.  </w:t>
      </w:r>
    </w:p>
    <w:p w:rsidR="007E6AC4" w:rsidRPr="00817444" w:rsidRDefault="00BB1DFC" w:rsidP="001A58F2">
      <w:pPr>
        <w:tabs>
          <w:tab w:val="center" w:pos="2835"/>
          <w:tab w:val="center" w:pos="3969"/>
          <w:tab w:val="center" w:pos="5103"/>
          <w:tab w:val="center" w:pos="6237"/>
          <w:tab w:val="center" w:pos="7371"/>
        </w:tabs>
        <w:spacing w:after="120"/>
        <w:ind w:firstLine="284"/>
        <w:rPr>
          <w:sz w:val="24"/>
        </w:rPr>
      </w:pPr>
      <w:r w:rsidRPr="00817444">
        <w:rPr>
          <w:sz w:val="24"/>
        </w:rPr>
        <w:t xml:space="preserve">El </w:t>
      </w:r>
      <w:r w:rsidR="007E6AC4" w:rsidRPr="00817444">
        <w:rPr>
          <w:sz w:val="24"/>
        </w:rPr>
        <w:t>primer dato que se publicó en la citada página web</w:t>
      </w:r>
      <w:r>
        <w:rPr>
          <w:sz w:val="24"/>
        </w:rPr>
        <w:t xml:space="preserve"> de 2014</w:t>
      </w:r>
      <w:r w:rsidR="007E6AC4" w:rsidRPr="00817444">
        <w:rPr>
          <w:sz w:val="24"/>
        </w:rPr>
        <w:t>, corresponde al mes de septiembre. El valor de ese indicador era de 6,06 días.</w:t>
      </w:r>
    </w:p>
    <w:p w:rsidR="007E6AC4" w:rsidRPr="00817444" w:rsidRDefault="007E6AC4" w:rsidP="001A58F2">
      <w:pPr>
        <w:tabs>
          <w:tab w:val="center" w:pos="2835"/>
          <w:tab w:val="center" w:pos="3969"/>
          <w:tab w:val="center" w:pos="5103"/>
          <w:tab w:val="center" w:pos="6237"/>
          <w:tab w:val="center" w:pos="7371"/>
        </w:tabs>
        <w:spacing w:after="120"/>
        <w:ind w:firstLine="284"/>
        <w:rPr>
          <w:sz w:val="24"/>
        </w:rPr>
      </w:pPr>
      <w:r w:rsidRPr="00817444">
        <w:rPr>
          <w:sz w:val="24"/>
        </w:rPr>
        <w:t>En consecuencia, en ambos periodos se ha cumplido de forma holgada con la normativa de estabilidad presupuestaria sobre el plazo de pago a proveedores.</w:t>
      </w:r>
    </w:p>
    <w:p w:rsidR="007E6AC4" w:rsidRPr="00817444" w:rsidRDefault="007E6AC4" w:rsidP="001A58F2">
      <w:pPr>
        <w:tabs>
          <w:tab w:val="center" w:pos="2835"/>
          <w:tab w:val="center" w:pos="3969"/>
          <w:tab w:val="center" w:pos="5103"/>
          <w:tab w:val="center" w:pos="6237"/>
          <w:tab w:val="center" w:pos="7371"/>
        </w:tabs>
        <w:spacing w:after="120"/>
        <w:ind w:firstLine="284"/>
        <w:rPr>
          <w:sz w:val="24"/>
        </w:rPr>
      </w:pPr>
      <w:r w:rsidRPr="00817444">
        <w:rPr>
          <w:sz w:val="24"/>
        </w:rPr>
        <w:t xml:space="preserve">En agosto de 2015, el periodo medio de pago asciende a 1,40 días. </w:t>
      </w:r>
    </w:p>
    <w:p w:rsidR="007E6AC4" w:rsidRPr="00817444" w:rsidRDefault="007E6AC4" w:rsidP="001A58F2">
      <w:pPr>
        <w:tabs>
          <w:tab w:val="center" w:pos="2835"/>
          <w:tab w:val="center" w:pos="3969"/>
          <w:tab w:val="center" w:pos="5103"/>
          <w:tab w:val="center" w:pos="6237"/>
          <w:tab w:val="center" w:pos="7371"/>
        </w:tabs>
        <w:spacing w:after="120"/>
        <w:ind w:firstLine="284"/>
        <w:rPr>
          <w:b/>
          <w:bCs/>
          <w:sz w:val="28"/>
          <w:szCs w:val="28"/>
        </w:rPr>
      </w:pPr>
      <w:r w:rsidRPr="00817444">
        <w:rPr>
          <w:sz w:val="24"/>
        </w:rPr>
        <w:t>En septiembre de 2015, el Ministerio de Hacienda y Administraciones Públicas ha p</w:t>
      </w:r>
      <w:r w:rsidRPr="00817444">
        <w:rPr>
          <w:sz w:val="24"/>
        </w:rPr>
        <w:t>u</w:t>
      </w:r>
      <w:r w:rsidRPr="00817444">
        <w:rPr>
          <w:sz w:val="24"/>
        </w:rPr>
        <w:t>blicado el periodo medio de pago del conjunto de las Comunidades Autónomas correspo</w:t>
      </w:r>
      <w:r w:rsidRPr="00817444">
        <w:rPr>
          <w:sz w:val="24"/>
        </w:rPr>
        <w:t>n</w:t>
      </w:r>
      <w:r w:rsidRPr="00817444">
        <w:rPr>
          <w:sz w:val="24"/>
        </w:rPr>
        <w:t>diente al mes de junio de 2015. El valor de ese indicador es de 40,96 días.</w:t>
      </w:r>
    </w:p>
    <w:p w:rsidR="007E6AC4" w:rsidRPr="00877718" w:rsidRDefault="007E6AC4" w:rsidP="001A58F2">
      <w:pPr>
        <w:pStyle w:val="texto"/>
        <w:spacing w:before="240" w:after="160"/>
        <w:ind w:firstLine="0"/>
        <w:rPr>
          <w:rFonts w:ascii="Arial" w:hAnsi="Arial" w:cs="Arial"/>
          <w:i/>
          <w:spacing w:val="4"/>
          <w:sz w:val="23"/>
          <w:szCs w:val="23"/>
          <w:lang w:val="es-ES"/>
        </w:rPr>
      </w:pPr>
      <w:r w:rsidRPr="00877718">
        <w:rPr>
          <w:rFonts w:ascii="Arial" w:hAnsi="Arial" w:cs="Arial"/>
          <w:i/>
          <w:spacing w:val="4"/>
          <w:sz w:val="23"/>
          <w:szCs w:val="23"/>
          <w:lang w:val="es-ES"/>
        </w:rPr>
        <w:t>D) Avance de datos de la ejecución presupuestaria hasta el 31 de agosto de 2015</w:t>
      </w:r>
    </w:p>
    <w:p w:rsidR="00F50211" w:rsidRPr="0010137C" w:rsidRDefault="00F50211" w:rsidP="00F50211">
      <w:pPr>
        <w:tabs>
          <w:tab w:val="center" w:pos="2835"/>
          <w:tab w:val="center" w:pos="3969"/>
          <w:tab w:val="center" w:pos="5103"/>
          <w:tab w:val="center" w:pos="6237"/>
          <w:tab w:val="center" w:pos="7371"/>
        </w:tabs>
        <w:ind w:firstLine="284"/>
        <w:rPr>
          <w:b/>
          <w:sz w:val="24"/>
          <w:szCs w:val="24"/>
        </w:rPr>
      </w:pPr>
      <w:r w:rsidRPr="0010137C">
        <w:rPr>
          <w:b/>
          <w:sz w:val="24"/>
          <w:szCs w:val="24"/>
        </w:rPr>
        <w:t>13</w:t>
      </w:r>
      <w:proofErr w:type="gramStart"/>
      <w:r w:rsidR="00A85B5D">
        <w:rPr>
          <w:b/>
          <w:sz w:val="24"/>
          <w:szCs w:val="24"/>
        </w:rPr>
        <w:t>.</w:t>
      </w:r>
      <w:r w:rsidRPr="0010137C">
        <w:rPr>
          <w:b/>
          <w:sz w:val="24"/>
          <w:szCs w:val="24"/>
        </w:rPr>
        <w:t>ª</w:t>
      </w:r>
      <w:proofErr w:type="gramEnd"/>
      <w:r w:rsidRPr="0010137C">
        <w:rPr>
          <w:b/>
          <w:sz w:val="24"/>
          <w:szCs w:val="24"/>
        </w:rPr>
        <w:t xml:space="preserve"> Ejecución global del mes agosto de 2015. </w:t>
      </w:r>
    </w:p>
    <w:p w:rsidR="00F50211" w:rsidRPr="0010137C" w:rsidRDefault="00F50211" w:rsidP="001A58F2">
      <w:pPr>
        <w:tabs>
          <w:tab w:val="center" w:pos="2835"/>
          <w:tab w:val="center" w:pos="3969"/>
          <w:tab w:val="center" w:pos="5103"/>
          <w:tab w:val="center" w:pos="6237"/>
          <w:tab w:val="center" w:pos="7371"/>
        </w:tabs>
        <w:spacing w:after="120"/>
        <w:ind w:firstLine="284"/>
        <w:rPr>
          <w:sz w:val="24"/>
          <w:szCs w:val="24"/>
        </w:rPr>
      </w:pPr>
      <w:r w:rsidRPr="0010137C">
        <w:rPr>
          <w:sz w:val="24"/>
          <w:szCs w:val="24"/>
        </w:rPr>
        <w:t xml:space="preserve">Los gastos propios del mes de agosto han ascendido a 178 millones; de este importe, 169 millones corresponden a gasto corriente. En ingresos, el importe reconocido del mes es de 358 millones, de los que 348 millones proceden de impuestos. </w:t>
      </w:r>
    </w:p>
    <w:p w:rsidR="00F50211" w:rsidRPr="0010137C" w:rsidRDefault="00F50211" w:rsidP="001A58F2">
      <w:pPr>
        <w:tabs>
          <w:tab w:val="center" w:pos="2835"/>
          <w:tab w:val="center" w:pos="3969"/>
          <w:tab w:val="center" w:pos="5103"/>
          <w:tab w:val="center" w:pos="6237"/>
          <w:tab w:val="center" w:pos="7371"/>
        </w:tabs>
        <w:spacing w:after="120"/>
        <w:ind w:firstLine="284"/>
        <w:rPr>
          <w:sz w:val="24"/>
          <w:szCs w:val="24"/>
        </w:rPr>
      </w:pPr>
      <w:r w:rsidRPr="0010137C">
        <w:rPr>
          <w:sz w:val="24"/>
          <w:szCs w:val="24"/>
        </w:rPr>
        <w:t>Como resultado de la comparación entre gastos e ingresos totales del mes de agosto, se observa un teórico superávit presupuestario de 170 millones.</w:t>
      </w:r>
    </w:p>
    <w:p w:rsidR="007E6AC4" w:rsidRPr="0010137C" w:rsidRDefault="007E6AC4" w:rsidP="00877718">
      <w:pPr>
        <w:tabs>
          <w:tab w:val="center" w:pos="2835"/>
          <w:tab w:val="center" w:pos="3969"/>
          <w:tab w:val="center" w:pos="5103"/>
          <w:tab w:val="center" w:pos="6237"/>
          <w:tab w:val="center" w:pos="7371"/>
        </w:tabs>
        <w:spacing w:after="180"/>
        <w:ind w:firstLine="284"/>
        <w:rPr>
          <w:b/>
          <w:sz w:val="24"/>
          <w:szCs w:val="24"/>
        </w:rPr>
      </w:pPr>
      <w:r w:rsidRPr="0010137C">
        <w:rPr>
          <w:b/>
          <w:sz w:val="24"/>
          <w:szCs w:val="24"/>
        </w:rPr>
        <w:t>1</w:t>
      </w:r>
      <w:r w:rsidR="00F50211" w:rsidRPr="0010137C">
        <w:rPr>
          <w:b/>
          <w:sz w:val="24"/>
          <w:szCs w:val="24"/>
        </w:rPr>
        <w:t>4</w:t>
      </w:r>
      <w:proofErr w:type="gramStart"/>
      <w:r w:rsidR="00A85B5D">
        <w:rPr>
          <w:b/>
          <w:sz w:val="24"/>
          <w:szCs w:val="24"/>
        </w:rPr>
        <w:t>.</w:t>
      </w:r>
      <w:r w:rsidRPr="0010137C">
        <w:rPr>
          <w:b/>
          <w:sz w:val="24"/>
          <w:szCs w:val="24"/>
        </w:rPr>
        <w:t>ª</w:t>
      </w:r>
      <w:proofErr w:type="gramEnd"/>
      <w:r w:rsidRPr="0010137C">
        <w:rPr>
          <w:b/>
          <w:sz w:val="24"/>
          <w:szCs w:val="24"/>
        </w:rPr>
        <w:t xml:space="preserve"> Gastos ejecutados hasta el 31 de agosto de 2015</w:t>
      </w:r>
      <w:r w:rsidR="00514699">
        <w:rPr>
          <w:b/>
          <w:sz w:val="24"/>
          <w:szCs w:val="24"/>
        </w:rPr>
        <w:t>.</w:t>
      </w:r>
    </w:p>
    <w:p w:rsidR="00F50211" w:rsidRPr="0010137C" w:rsidRDefault="00F50211" w:rsidP="001A58F2">
      <w:pPr>
        <w:tabs>
          <w:tab w:val="center" w:pos="2835"/>
          <w:tab w:val="center" w:pos="3969"/>
          <w:tab w:val="center" w:pos="5103"/>
          <w:tab w:val="center" w:pos="6237"/>
          <w:tab w:val="center" w:pos="7371"/>
        </w:tabs>
        <w:spacing w:after="80"/>
        <w:ind w:firstLine="284"/>
        <w:rPr>
          <w:sz w:val="24"/>
          <w:szCs w:val="24"/>
        </w:rPr>
      </w:pPr>
      <w:r w:rsidRPr="0010137C">
        <w:rPr>
          <w:sz w:val="24"/>
          <w:szCs w:val="24"/>
        </w:rPr>
        <w:t>Del análisis sobre los gastos ejecutados acumulados por el Gobierno de Navarra hasta el 31 de agosto, señalamos que el total de obligaciones reconocidas acumuladas hasta esa f</w:t>
      </w:r>
      <w:r w:rsidRPr="0010137C">
        <w:rPr>
          <w:sz w:val="24"/>
          <w:szCs w:val="24"/>
        </w:rPr>
        <w:t>e</w:t>
      </w:r>
      <w:r w:rsidRPr="0010137C">
        <w:rPr>
          <w:sz w:val="24"/>
          <w:szCs w:val="24"/>
        </w:rPr>
        <w:t>cha es de 2.374 millones, que suponen un aumento del siete por ciento sobre el mismo p</w:t>
      </w:r>
      <w:r w:rsidRPr="0010137C">
        <w:rPr>
          <w:sz w:val="24"/>
          <w:szCs w:val="24"/>
        </w:rPr>
        <w:t>e</w:t>
      </w:r>
      <w:r w:rsidRPr="0010137C">
        <w:rPr>
          <w:sz w:val="24"/>
          <w:szCs w:val="24"/>
        </w:rPr>
        <w:t>riodo del ejercicio anterior –es decir, 147 millones más–, con un grado de ejecución del 60 por ciento y un porcentaje de pago del 99 por ciento. Por capítulo económico, se detalla la anterior comparación, en miles de euros.</w:t>
      </w:r>
    </w:p>
    <w:p w:rsidR="007E6AC4" w:rsidRPr="001A58F2" w:rsidRDefault="007E6AC4" w:rsidP="007E6AC4">
      <w:pPr>
        <w:tabs>
          <w:tab w:val="left" w:pos="480"/>
        </w:tabs>
        <w:spacing w:after="0"/>
        <w:jc w:val="left"/>
        <w:rPr>
          <w:sz w:val="8"/>
          <w:szCs w:val="8"/>
        </w:rPr>
      </w:pPr>
    </w:p>
    <w:p w:rsidR="001A20EC" w:rsidRPr="001A20EC" w:rsidRDefault="001A20EC" w:rsidP="001A20EC">
      <w:pPr>
        <w:tabs>
          <w:tab w:val="left" w:pos="480"/>
        </w:tabs>
        <w:spacing w:after="0"/>
        <w:jc w:val="left"/>
        <w:rPr>
          <w:sz w:val="6"/>
          <w:szCs w:val="6"/>
        </w:rPr>
      </w:pPr>
    </w:p>
    <w:tbl>
      <w:tblPr>
        <w:tblW w:w="8804" w:type="dxa"/>
        <w:tblInd w:w="55" w:type="dxa"/>
        <w:tblCellMar>
          <w:left w:w="70" w:type="dxa"/>
          <w:right w:w="70" w:type="dxa"/>
        </w:tblCellMar>
        <w:tblLook w:val="04A0" w:firstRow="1" w:lastRow="0" w:firstColumn="1" w:lastColumn="0" w:noHBand="0" w:noVBand="1"/>
      </w:tblPr>
      <w:tblGrid>
        <w:gridCol w:w="2709"/>
        <w:gridCol w:w="1726"/>
        <w:gridCol w:w="1817"/>
        <w:gridCol w:w="1423"/>
        <w:gridCol w:w="1129"/>
      </w:tblGrid>
      <w:tr w:rsidR="007E6AC4" w:rsidRPr="00D744EE" w:rsidTr="00195087">
        <w:trPr>
          <w:trHeight w:val="300"/>
        </w:trPr>
        <w:tc>
          <w:tcPr>
            <w:tcW w:w="2709" w:type="dxa"/>
            <w:tcBorders>
              <w:top w:val="single" w:sz="4" w:space="0" w:color="auto"/>
              <w:left w:val="nil"/>
              <w:bottom w:val="single" w:sz="4" w:space="0" w:color="auto"/>
              <w:right w:val="nil"/>
            </w:tcBorders>
            <w:shd w:val="clear" w:color="auto" w:fill="8DB3E2" w:themeFill="text2" w:themeFillTint="66"/>
            <w:noWrap/>
            <w:vAlign w:val="center"/>
          </w:tcPr>
          <w:p w:rsidR="007E6AC4" w:rsidRPr="00D744EE"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4471F1">
              <w:rPr>
                <w:sz w:val="24"/>
                <w:szCs w:val="24"/>
              </w:rPr>
              <w:br w:type="page"/>
            </w:r>
            <w:r w:rsidRPr="00D744EE">
              <w:rPr>
                <w:rFonts w:ascii="Arial" w:hAnsi="Arial" w:cs="Arial"/>
                <w:sz w:val="18"/>
                <w:szCs w:val="18"/>
              </w:rPr>
              <w:t>Capítulos de gastos</w:t>
            </w:r>
          </w:p>
        </w:tc>
        <w:tc>
          <w:tcPr>
            <w:tcW w:w="1726" w:type="dxa"/>
            <w:tcBorders>
              <w:top w:val="single" w:sz="4" w:space="0" w:color="auto"/>
              <w:left w:val="nil"/>
              <w:bottom w:val="single" w:sz="4" w:space="0" w:color="auto"/>
              <w:right w:val="nil"/>
            </w:tcBorders>
            <w:shd w:val="clear" w:color="auto" w:fill="8DB3E2" w:themeFill="text2" w:themeFillTint="66"/>
            <w:noWrap/>
            <w:vAlign w:val="center"/>
          </w:tcPr>
          <w:p w:rsidR="007E6AC4"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 xml:space="preserve">Obligaciones </w:t>
            </w:r>
          </w:p>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reconocidas</w:t>
            </w:r>
          </w:p>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Agosto 2014</w:t>
            </w:r>
          </w:p>
        </w:tc>
        <w:tc>
          <w:tcPr>
            <w:tcW w:w="1817" w:type="dxa"/>
            <w:tcBorders>
              <w:top w:val="single" w:sz="4" w:space="0" w:color="auto"/>
              <w:left w:val="nil"/>
              <w:bottom w:val="single" w:sz="4" w:space="0" w:color="auto"/>
              <w:right w:val="nil"/>
            </w:tcBorders>
            <w:shd w:val="clear" w:color="auto" w:fill="8DB3E2" w:themeFill="text2" w:themeFillTint="66"/>
            <w:noWrap/>
            <w:vAlign w:val="center"/>
          </w:tcPr>
          <w:p w:rsidR="007E6AC4"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 xml:space="preserve">Obligaciones </w:t>
            </w:r>
          </w:p>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reconocidas</w:t>
            </w:r>
          </w:p>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Agosto 2015</w:t>
            </w:r>
          </w:p>
        </w:tc>
        <w:tc>
          <w:tcPr>
            <w:tcW w:w="1423" w:type="dxa"/>
            <w:tcBorders>
              <w:top w:val="single" w:sz="4" w:space="0" w:color="auto"/>
              <w:left w:val="nil"/>
              <w:bottom w:val="single" w:sz="4" w:space="0" w:color="auto"/>
              <w:right w:val="nil"/>
            </w:tcBorders>
            <w:shd w:val="clear" w:color="auto" w:fill="8DB3E2" w:themeFill="text2" w:themeFillTint="66"/>
            <w:noWrap/>
            <w:vAlign w:val="center"/>
          </w:tcPr>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 obligaciones</w:t>
            </w:r>
          </w:p>
        </w:tc>
        <w:tc>
          <w:tcPr>
            <w:tcW w:w="1129" w:type="dxa"/>
            <w:tcBorders>
              <w:top w:val="single" w:sz="4" w:space="0" w:color="auto"/>
              <w:left w:val="nil"/>
              <w:bottom w:val="single" w:sz="4" w:space="0" w:color="auto"/>
              <w:right w:val="nil"/>
            </w:tcBorders>
            <w:shd w:val="clear" w:color="auto" w:fill="8DB3E2" w:themeFill="text2" w:themeFillTint="66"/>
            <w:noWrap/>
            <w:vAlign w:val="center"/>
          </w:tcPr>
          <w:p w:rsidR="007E6AC4" w:rsidRPr="00D744EE" w:rsidRDefault="007E6AC4" w:rsidP="001A20EC">
            <w:pPr>
              <w:keepLines/>
              <w:tabs>
                <w:tab w:val="right" w:pos="2835"/>
                <w:tab w:val="right" w:pos="3969"/>
                <w:tab w:val="right" w:pos="5103"/>
                <w:tab w:val="right" w:pos="6237"/>
                <w:tab w:val="right" w:pos="7371"/>
              </w:tabs>
              <w:spacing w:after="0"/>
              <w:ind w:right="-6" w:firstLine="0"/>
              <w:jc w:val="right"/>
              <w:rPr>
                <w:rFonts w:ascii="Arial" w:hAnsi="Arial" w:cs="Arial"/>
                <w:sz w:val="16"/>
                <w:szCs w:val="16"/>
              </w:rPr>
            </w:pPr>
            <w:r w:rsidRPr="00D744EE">
              <w:rPr>
                <w:rFonts w:ascii="Arial" w:hAnsi="Arial" w:cs="Arial"/>
                <w:sz w:val="16"/>
                <w:szCs w:val="16"/>
              </w:rPr>
              <w:t xml:space="preserve">% variación </w:t>
            </w:r>
          </w:p>
        </w:tc>
      </w:tr>
      <w:tr w:rsidR="007E6AC4" w:rsidRPr="00095FF0" w:rsidTr="001A20EC">
        <w:trPr>
          <w:trHeight w:val="244"/>
        </w:trPr>
        <w:tc>
          <w:tcPr>
            <w:tcW w:w="2709"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Personal</w:t>
            </w:r>
          </w:p>
        </w:tc>
        <w:tc>
          <w:tcPr>
            <w:tcW w:w="1726" w:type="dxa"/>
            <w:tcBorders>
              <w:top w:val="single" w:sz="4"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718.266</w:t>
            </w:r>
          </w:p>
        </w:tc>
        <w:tc>
          <w:tcPr>
            <w:tcW w:w="1817" w:type="dxa"/>
            <w:tcBorders>
              <w:top w:val="single" w:sz="4"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742.940</w:t>
            </w:r>
          </w:p>
        </w:tc>
        <w:tc>
          <w:tcPr>
            <w:tcW w:w="1423" w:type="dxa"/>
            <w:tcBorders>
              <w:top w:val="single" w:sz="4"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24.674</w:t>
            </w:r>
          </w:p>
        </w:tc>
        <w:tc>
          <w:tcPr>
            <w:tcW w:w="1129" w:type="dxa"/>
            <w:tcBorders>
              <w:top w:val="single" w:sz="4"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Bienes corrientes y servicios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294.915</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323.248</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28.333</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10</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Gastos financieros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67.356</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78.825</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11.469</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17</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Transferencias corrientes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815.808</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834.113</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18.305</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i/>
                <w:iCs/>
                <w:color w:val="000000"/>
                <w:lang w:val="es-ES" w:eastAsia="es-ES"/>
              </w:rPr>
            </w:pPr>
            <w:r w:rsidRPr="00095FF0">
              <w:rPr>
                <w:rFonts w:ascii="Arial Narrow" w:hAnsi="Arial Narrow"/>
                <w:i/>
                <w:iCs/>
                <w:color w:val="000000"/>
                <w:spacing w:val="6"/>
                <w:szCs w:val="24"/>
                <w:lang w:eastAsia="es-ES"/>
              </w:rPr>
              <w:t>Total operaciones Corrientes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1.896.345</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1.979.126</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spacing w:val="6"/>
                <w:szCs w:val="24"/>
                <w:lang w:eastAsia="es-ES"/>
              </w:rPr>
              <w:t>82.781</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4</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Inversiones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45.961</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43.968</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-1.993</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Transferencias de capital</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63.719</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34.962</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-28.757</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-45</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i/>
                <w:iCs/>
                <w:color w:val="000000"/>
                <w:lang w:val="es-ES" w:eastAsia="es-ES"/>
              </w:rPr>
            </w:pPr>
            <w:r w:rsidRPr="00095FF0">
              <w:rPr>
                <w:rFonts w:ascii="Arial Narrow" w:hAnsi="Arial Narrow"/>
                <w:i/>
                <w:iCs/>
                <w:color w:val="000000"/>
                <w:spacing w:val="6"/>
                <w:szCs w:val="24"/>
                <w:lang w:eastAsia="es-ES"/>
              </w:rPr>
              <w:t>Total operaciones Capital</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109.680</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78.930</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spacing w:val="6"/>
                <w:szCs w:val="24"/>
                <w:lang w:eastAsia="es-ES"/>
              </w:rPr>
              <w:t>-30.750</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-28</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Activos financieros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139.917</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94.916</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-45.001</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-32</w:t>
            </w:r>
          </w:p>
        </w:tc>
      </w:tr>
      <w:tr w:rsidR="007E6AC4" w:rsidRPr="00095FF0" w:rsidTr="001A20EC">
        <w:trPr>
          <w:trHeight w:val="244"/>
        </w:trPr>
        <w:tc>
          <w:tcPr>
            <w:tcW w:w="270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color w:val="000000"/>
                <w:lang w:val="es-ES" w:eastAsia="es-ES"/>
              </w:rPr>
            </w:pPr>
            <w:r w:rsidRPr="00095FF0">
              <w:rPr>
                <w:rFonts w:ascii="Arial Narrow" w:hAnsi="Arial Narrow"/>
                <w:color w:val="000000"/>
                <w:spacing w:val="6"/>
                <w:szCs w:val="24"/>
                <w:lang w:eastAsia="es-ES"/>
              </w:rPr>
              <w:t>Pasivos financieros</w:t>
            </w:r>
          </w:p>
        </w:tc>
        <w:tc>
          <w:tcPr>
            <w:tcW w:w="1726"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80.662</w:t>
            </w:r>
          </w:p>
        </w:tc>
        <w:tc>
          <w:tcPr>
            <w:tcW w:w="1817"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220.700</w:t>
            </w:r>
          </w:p>
        </w:tc>
        <w:tc>
          <w:tcPr>
            <w:tcW w:w="1423" w:type="dxa"/>
            <w:tcBorders>
              <w:top w:val="single" w:sz="2" w:space="0" w:color="auto"/>
              <w:left w:val="nil"/>
              <w:bottom w:val="single" w:sz="2"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spacing w:val="6"/>
                <w:szCs w:val="24"/>
                <w:lang w:eastAsia="es-ES"/>
              </w:rPr>
              <w:t>140.038</w:t>
            </w:r>
          </w:p>
        </w:tc>
        <w:tc>
          <w:tcPr>
            <w:tcW w:w="1129" w:type="dxa"/>
            <w:tcBorders>
              <w:top w:val="single" w:sz="2" w:space="0" w:color="auto"/>
              <w:left w:val="nil"/>
              <w:bottom w:val="single" w:sz="2"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174</w:t>
            </w:r>
          </w:p>
        </w:tc>
      </w:tr>
      <w:tr w:rsidR="007E6AC4" w:rsidRPr="00095FF0" w:rsidTr="001A20EC">
        <w:trPr>
          <w:trHeight w:val="244"/>
        </w:trPr>
        <w:tc>
          <w:tcPr>
            <w:tcW w:w="2709"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9C1354">
            <w:pPr>
              <w:spacing w:after="0"/>
              <w:ind w:firstLine="0"/>
              <w:rPr>
                <w:rFonts w:ascii="Arial Narrow" w:hAnsi="Arial Narrow"/>
                <w:i/>
                <w:iCs/>
                <w:color w:val="000000"/>
                <w:lang w:val="es-ES" w:eastAsia="es-ES"/>
              </w:rPr>
            </w:pPr>
            <w:r w:rsidRPr="00095FF0">
              <w:rPr>
                <w:rFonts w:ascii="Arial Narrow" w:hAnsi="Arial Narrow"/>
                <w:i/>
                <w:iCs/>
                <w:color w:val="000000"/>
                <w:spacing w:val="6"/>
                <w:szCs w:val="24"/>
                <w:lang w:eastAsia="es-ES"/>
              </w:rPr>
              <w:t>Total operaciones Financieras</w:t>
            </w:r>
          </w:p>
        </w:tc>
        <w:tc>
          <w:tcPr>
            <w:tcW w:w="1726" w:type="dxa"/>
            <w:tcBorders>
              <w:top w:val="single" w:sz="2" w:space="0" w:color="auto"/>
              <w:left w:val="nil"/>
              <w:bottom w:val="single" w:sz="4"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220.579</w:t>
            </w:r>
          </w:p>
        </w:tc>
        <w:tc>
          <w:tcPr>
            <w:tcW w:w="1817" w:type="dxa"/>
            <w:tcBorders>
              <w:top w:val="single" w:sz="2" w:space="0" w:color="auto"/>
              <w:left w:val="nil"/>
              <w:bottom w:val="single" w:sz="4"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315.616</w:t>
            </w:r>
          </w:p>
        </w:tc>
        <w:tc>
          <w:tcPr>
            <w:tcW w:w="1423" w:type="dxa"/>
            <w:tcBorders>
              <w:top w:val="single" w:sz="2" w:space="0" w:color="auto"/>
              <w:left w:val="nil"/>
              <w:bottom w:val="single" w:sz="4" w:space="0" w:color="auto"/>
              <w:right w:val="nil"/>
            </w:tcBorders>
            <w:shd w:val="clear" w:color="auto" w:fill="auto"/>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spacing w:val="6"/>
                <w:szCs w:val="24"/>
                <w:lang w:eastAsia="es-ES"/>
              </w:rPr>
              <w:t>95.037</w:t>
            </w:r>
          </w:p>
        </w:tc>
        <w:tc>
          <w:tcPr>
            <w:tcW w:w="1129" w:type="dxa"/>
            <w:tcBorders>
              <w:top w:val="single" w:sz="2" w:space="0" w:color="auto"/>
              <w:left w:val="nil"/>
              <w:bottom w:val="single" w:sz="4" w:space="0" w:color="auto"/>
              <w:right w:val="nil"/>
            </w:tcBorders>
            <w:shd w:val="clear" w:color="auto" w:fill="auto"/>
            <w:noWrap/>
            <w:vAlign w:val="center"/>
            <w:hideMark/>
          </w:tcPr>
          <w:p w:rsidR="007E6AC4" w:rsidRPr="00095FF0" w:rsidRDefault="007E6AC4" w:rsidP="001A20EC">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43</w:t>
            </w:r>
          </w:p>
        </w:tc>
      </w:tr>
      <w:tr w:rsidR="007E6AC4" w:rsidRPr="00D744EE" w:rsidTr="001A58F2">
        <w:trPr>
          <w:trHeight w:val="255"/>
        </w:trPr>
        <w:tc>
          <w:tcPr>
            <w:tcW w:w="270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744EE" w:rsidRDefault="007E6AC4" w:rsidP="009C1354">
            <w:pPr>
              <w:spacing w:after="0"/>
              <w:ind w:firstLine="0"/>
              <w:rPr>
                <w:rFonts w:ascii="Arial" w:hAnsi="Arial" w:cs="Arial"/>
                <w:bCs/>
                <w:color w:val="000000"/>
                <w:sz w:val="18"/>
                <w:szCs w:val="18"/>
                <w:lang w:val="es-ES" w:eastAsia="es-ES"/>
              </w:rPr>
            </w:pPr>
            <w:r w:rsidRPr="00D744EE">
              <w:rPr>
                <w:rFonts w:ascii="Arial" w:hAnsi="Arial" w:cs="Arial"/>
                <w:bCs/>
                <w:color w:val="000000"/>
                <w:spacing w:val="6"/>
                <w:sz w:val="18"/>
                <w:szCs w:val="18"/>
                <w:lang w:eastAsia="es-ES"/>
              </w:rPr>
              <w:t>T</w:t>
            </w:r>
            <w:r>
              <w:rPr>
                <w:rFonts w:ascii="Arial" w:hAnsi="Arial" w:cs="Arial"/>
                <w:bCs/>
                <w:color w:val="000000"/>
                <w:spacing w:val="6"/>
                <w:sz w:val="18"/>
                <w:szCs w:val="18"/>
                <w:lang w:eastAsia="es-ES"/>
              </w:rPr>
              <w:t>otal</w:t>
            </w:r>
          </w:p>
        </w:tc>
        <w:tc>
          <w:tcPr>
            <w:tcW w:w="1726" w:type="dxa"/>
            <w:tcBorders>
              <w:top w:val="single" w:sz="4" w:space="0" w:color="auto"/>
              <w:left w:val="nil"/>
              <w:bottom w:val="single" w:sz="4" w:space="0" w:color="auto"/>
              <w:right w:val="nil"/>
            </w:tcBorders>
            <w:shd w:val="clear" w:color="auto" w:fill="8DB3E2" w:themeFill="text2" w:themeFillTint="66"/>
            <w:vAlign w:val="center"/>
            <w:hideMark/>
          </w:tcPr>
          <w:p w:rsidR="007E6AC4" w:rsidRPr="00D744EE" w:rsidRDefault="007E6AC4" w:rsidP="001A20EC">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2.226.604</w:t>
            </w:r>
          </w:p>
        </w:tc>
        <w:tc>
          <w:tcPr>
            <w:tcW w:w="1817" w:type="dxa"/>
            <w:tcBorders>
              <w:top w:val="single" w:sz="4" w:space="0" w:color="auto"/>
              <w:left w:val="nil"/>
              <w:bottom w:val="single" w:sz="4" w:space="0" w:color="auto"/>
              <w:right w:val="nil"/>
            </w:tcBorders>
            <w:shd w:val="clear" w:color="auto" w:fill="8DB3E2" w:themeFill="text2" w:themeFillTint="66"/>
            <w:vAlign w:val="center"/>
            <w:hideMark/>
          </w:tcPr>
          <w:p w:rsidR="007E6AC4" w:rsidRPr="00D744EE" w:rsidRDefault="007E6AC4" w:rsidP="001A20EC">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2.373.672</w:t>
            </w:r>
          </w:p>
        </w:tc>
        <w:tc>
          <w:tcPr>
            <w:tcW w:w="1423" w:type="dxa"/>
            <w:tcBorders>
              <w:top w:val="single" w:sz="4" w:space="0" w:color="auto"/>
              <w:left w:val="nil"/>
              <w:bottom w:val="single" w:sz="4" w:space="0" w:color="auto"/>
              <w:right w:val="nil"/>
            </w:tcBorders>
            <w:shd w:val="clear" w:color="auto" w:fill="8DB3E2" w:themeFill="text2" w:themeFillTint="66"/>
            <w:vAlign w:val="center"/>
            <w:hideMark/>
          </w:tcPr>
          <w:p w:rsidR="007E6AC4" w:rsidRPr="00D744EE" w:rsidRDefault="007E6AC4" w:rsidP="001A20EC">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147.068</w:t>
            </w:r>
          </w:p>
        </w:tc>
        <w:tc>
          <w:tcPr>
            <w:tcW w:w="1129" w:type="dxa"/>
            <w:tcBorders>
              <w:top w:val="single" w:sz="4" w:space="0" w:color="auto"/>
              <w:left w:val="nil"/>
              <w:bottom w:val="single" w:sz="4" w:space="0" w:color="auto"/>
              <w:right w:val="nil"/>
            </w:tcBorders>
            <w:shd w:val="clear" w:color="auto" w:fill="8DB3E2" w:themeFill="text2" w:themeFillTint="66"/>
            <w:noWrap/>
            <w:vAlign w:val="center"/>
            <w:hideMark/>
          </w:tcPr>
          <w:p w:rsidR="007E6AC4" w:rsidRPr="00D744EE" w:rsidRDefault="007E6AC4" w:rsidP="001A20EC">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7</w:t>
            </w:r>
          </w:p>
        </w:tc>
      </w:tr>
    </w:tbl>
    <w:p w:rsidR="007E6AC4" w:rsidRPr="00817444" w:rsidRDefault="007E6AC4" w:rsidP="00E907CA">
      <w:pPr>
        <w:tabs>
          <w:tab w:val="center" w:pos="2835"/>
          <w:tab w:val="center" w:pos="3969"/>
          <w:tab w:val="center" w:pos="5103"/>
          <w:tab w:val="center" w:pos="6237"/>
          <w:tab w:val="center" w:pos="7371"/>
        </w:tabs>
        <w:spacing w:after="120"/>
        <w:ind w:firstLine="284"/>
        <w:rPr>
          <w:sz w:val="24"/>
          <w:szCs w:val="24"/>
        </w:rPr>
      </w:pPr>
      <w:r w:rsidRPr="00817444">
        <w:rPr>
          <w:sz w:val="24"/>
          <w:szCs w:val="24"/>
        </w:rPr>
        <w:lastRenderedPageBreak/>
        <w:t>Destaca el aumento tanto en pasivos financieros (amortizaciones del endeudamiento) con 140 millones como en operaciones corrientes con 83 millones.</w:t>
      </w:r>
      <w:r w:rsidR="005C5EB6">
        <w:rPr>
          <w:sz w:val="24"/>
          <w:szCs w:val="24"/>
        </w:rPr>
        <w:t xml:space="preserve"> </w:t>
      </w:r>
    </w:p>
    <w:p w:rsidR="007E6AC4" w:rsidRPr="00817444" w:rsidRDefault="007E6AC4" w:rsidP="00E907CA">
      <w:pPr>
        <w:tabs>
          <w:tab w:val="center" w:pos="2835"/>
          <w:tab w:val="center" w:pos="3969"/>
          <w:tab w:val="center" w:pos="5103"/>
          <w:tab w:val="center" w:pos="6237"/>
          <w:tab w:val="center" w:pos="7371"/>
        </w:tabs>
        <w:spacing w:after="200"/>
        <w:ind w:firstLine="284"/>
        <w:rPr>
          <w:sz w:val="24"/>
          <w:szCs w:val="24"/>
        </w:rPr>
      </w:pPr>
      <w:r w:rsidRPr="00817444">
        <w:rPr>
          <w:sz w:val="24"/>
          <w:szCs w:val="24"/>
        </w:rPr>
        <w:t>Los capítulos que presentan mayores reducciones son transferencias de capital y activos financieros con 29 y 45 millones, respectivamente.</w:t>
      </w:r>
    </w:p>
    <w:p w:rsidR="007E6AC4" w:rsidRPr="00E907CA" w:rsidRDefault="007E6AC4" w:rsidP="007E6AC4">
      <w:pPr>
        <w:tabs>
          <w:tab w:val="center" w:pos="2835"/>
          <w:tab w:val="center" w:pos="3969"/>
          <w:tab w:val="center" w:pos="5103"/>
          <w:tab w:val="center" w:pos="6237"/>
          <w:tab w:val="center" w:pos="7371"/>
        </w:tabs>
        <w:ind w:firstLine="284"/>
        <w:rPr>
          <w:b/>
          <w:sz w:val="24"/>
          <w:szCs w:val="24"/>
        </w:rPr>
      </w:pPr>
      <w:r w:rsidRPr="00E907CA">
        <w:rPr>
          <w:b/>
          <w:sz w:val="24"/>
          <w:szCs w:val="24"/>
        </w:rPr>
        <w:t>1</w:t>
      </w:r>
      <w:r w:rsidR="004A7BAA" w:rsidRPr="00E907CA">
        <w:rPr>
          <w:b/>
          <w:sz w:val="24"/>
          <w:szCs w:val="24"/>
        </w:rPr>
        <w:t>5</w:t>
      </w:r>
      <w:proofErr w:type="gramStart"/>
      <w:r w:rsidR="00514699">
        <w:rPr>
          <w:b/>
          <w:sz w:val="24"/>
          <w:szCs w:val="24"/>
        </w:rPr>
        <w:t>.</w:t>
      </w:r>
      <w:r w:rsidRPr="00E907CA">
        <w:rPr>
          <w:b/>
          <w:sz w:val="24"/>
          <w:szCs w:val="24"/>
        </w:rPr>
        <w:t>ª</w:t>
      </w:r>
      <w:proofErr w:type="gramEnd"/>
      <w:r w:rsidRPr="00E907CA">
        <w:rPr>
          <w:b/>
          <w:sz w:val="24"/>
          <w:szCs w:val="24"/>
        </w:rPr>
        <w:t xml:space="preserve"> Ingresos ejecutados hasta el 31 de agosto de 2015</w:t>
      </w:r>
      <w:r w:rsidR="00514699">
        <w:rPr>
          <w:b/>
          <w:sz w:val="24"/>
          <w:szCs w:val="24"/>
        </w:rPr>
        <w:t>.</w:t>
      </w:r>
    </w:p>
    <w:p w:rsidR="007E6AC4" w:rsidRPr="00817444" w:rsidRDefault="007E6AC4" w:rsidP="00E907CA">
      <w:pPr>
        <w:tabs>
          <w:tab w:val="center" w:pos="2835"/>
          <w:tab w:val="center" w:pos="3969"/>
          <w:tab w:val="center" w:pos="5103"/>
          <w:tab w:val="center" w:pos="6237"/>
          <w:tab w:val="center" w:pos="7371"/>
        </w:tabs>
        <w:spacing w:after="120"/>
        <w:ind w:firstLine="284"/>
        <w:rPr>
          <w:sz w:val="24"/>
          <w:szCs w:val="24"/>
        </w:rPr>
      </w:pPr>
      <w:r w:rsidRPr="00817444">
        <w:rPr>
          <w:sz w:val="24"/>
          <w:szCs w:val="24"/>
        </w:rPr>
        <w:t>Sobre la ejecución de ingresos destacamos:</w:t>
      </w:r>
    </w:p>
    <w:p w:rsidR="007E6AC4" w:rsidRPr="004471F1" w:rsidRDefault="007E6AC4" w:rsidP="00E907CA">
      <w:pPr>
        <w:numPr>
          <w:ilvl w:val="0"/>
          <w:numId w:val="16"/>
        </w:numPr>
        <w:tabs>
          <w:tab w:val="num" w:pos="300"/>
          <w:tab w:val="left" w:pos="480"/>
        </w:tabs>
        <w:spacing w:after="0"/>
        <w:ind w:firstLine="289"/>
        <w:rPr>
          <w:rFonts w:ascii="Times New (W1)" w:hAnsi="Times New (W1)"/>
          <w:spacing w:val="-4"/>
          <w:sz w:val="24"/>
          <w:szCs w:val="24"/>
        </w:rPr>
      </w:pPr>
      <w:r w:rsidRPr="004471F1">
        <w:rPr>
          <w:rFonts w:ascii="Times New (W1)" w:hAnsi="Times New (W1)"/>
          <w:spacing w:val="-4"/>
          <w:sz w:val="24"/>
          <w:szCs w:val="24"/>
        </w:rPr>
        <w:t>El total de derechos reconocidos acumulados a 31 de agosto de 2015 asciende a 2.597 m</w:t>
      </w:r>
      <w:r w:rsidRPr="004471F1">
        <w:rPr>
          <w:rFonts w:ascii="Times New (W1)" w:hAnsi="Times New (W1)"/>
          <w:spacing w:val="-4"/>
          <w:sz w:val="24"/>
          <w:szCs w:val="24"/>
        </w:rPr>
        <w:t>i</w:t>
      </w:r>
      <w:r w:rsidRPr="004471F1">
        <w:rPr>
          <w:rFonts w:ascii="Times New (W1)" w:hAnsi="Times New (W1)"/>
          <w:spacing w:val="-4"/>
          <w:sz w:val="24"/>
          <w:szCs w:val="24"/>
        </w:rPr>
        <w:t xml:space="preserve">llones, lo que supone un incremento del 7,5 por ciento sobre el mismo </w:t>
      </w:r>
      <w:r>
        <w:rPr>
          <w:rFonts w:ascii="Times New (W1)" w:hAnsi="Times New (W1)"/>
          <w:spacing w:val="-4"/>
          <w:sz w:val="24"/>
          <w:szCs w:val="24"/>
        </w:rPr>
        <w:t>periodo del año anterior –</w:t>
      </w:r>
      <w:r w:rsidRPr="004471F1">
        <w:rPr>
          <w:rFonts w:ascii="Times New (W1)" w:hAnsi="Times New (W1)"/>
          <w:spacing w:val="-4"/>
          <w:sz w:val="24"/>
          <w:szCs w:val="24"/>
        </w:rPr>
        <w:t>representa</w:t>
      </w:r>
      <w:r>
        <w:rPr>
          <w:rFonts w:ascii="Times New (W1)" w:hAnsi="Times New (W1)"/>
          <w:spacing w:val="-4"/>
          <w:sz w:val="24"/>
          <w:szCs w:val="24"/>
        </w:rPr>
        <w:t>ndo un aumento total</w:t>
      </w:r>
      <w:r w:rsidRPr="004471F1">
        <w:rPr>
          <w:rFonts w:ascii="Times New (W1)" w:hAnsi="Times New (W1)"/>
          <w:spacing w:val="-4"/>
          <w:sz w:val="24"/>
          <w:szCs w:val="24"/>
        </w:rPr>
        <w:t xml:space="preserve"> de 181 millones–, con un grado de realización del 66 por ciento –</w:t>
      </w:r>
      <w:r>
        <w:rPr>
          <w:rFonts w:ascii="Times New (W1)" w:hAnsi="Times New (W1)"/>
          <w:spacing w:val="-4"/>
          <w:sz w:val="24"/>
          <w:szCs w:val="24"/>
        </w:rPr>
        <w:t>cuatro</w:t>
      </w:r>
      <w:r w:rsidRPr="004471F1">
        <w:rPr>
          <w:rFonts w:ascii="Times New (W1)" w:hAnsi="Times New (W1)"/>
          <w:spacing w:val="-4"/>
          <w:sz w:val="24"/>
          <w:szCs w:val="24"/>
        </w:rPr>
        <w:t xml:space="preserve"> puntos más que el ejercicio anterior– y un grado de recaudación neta del 87 por ciento. Por capítulo económico, el cuadro siguiente refleja tal comparación</w:t>
      </w:r>
      <w:r>
        <w:rPr>
          <w:rFonts w:ascii="Times New (W1)" w:hAnsi="Times New (W1)"/>
          <w:spacing w:val="-4"/>
          <w:sz w:val="24"/>
          <w:szCs w:val="24"/>
        </w:rPr>
        <w:t>,</w:t>
      </w:r>
      <w:r w:rsidRPr="004471F1">
        <w:rPr>
          <w:rFonts w:ascii="Times New (W1)" w:hAnsi="Times New (W1)"/>
          <w:spacing w:val="-4"/>
          <w:sz w:val="24"/>
          <w:szCs w:val="24"/>
        </w:rPr>
        <w:t xml:space="preserve"> en miles de euros.</w:t>
      </w:r>
    </w:p>
    <w:p w:rsidR="007E6AC4" w:rsidRPr="00E907CA" w:rsidRDefault="007E6AC4" w:rsidP="007E6AC4">
      <w:pPr>
        <w:tabs>
          <w:tab w:val="left" w:pos="480"/>
        </w:tabs>
        <w:spacing w:after="0"/>
        <w:ind w:left="290" w:firstLine="0"/>
        <w:jc w:val="left"/>
      </w:pPr>
    </w:p>
    <w:tbl>
      <w:tblPr>
        <w:tblW w:w="8779" w:type="dxa"/>
        <w:tblInd w:w="55" w:type="dxa"/>
        <w:tblCellMar>
          <w:left w:w="70" w:type="dxa"/>
          <w:right w:w="70" w:type="dxa"/>
        </w:tblCellMar>
        <w:tblLook w:val="04A0" w:firstRow="1" w:lastRow="0" w:firstColumn="1" w:lastColumn="0" w:noHBand="0" w:noVBand="1"/>
      </w:tblPr>
      <w:tblGrid>
        <w:gridCol w:w="2425"/>
        <w:gridCol w:w="2000"/>
        <w:gridCol w:w="1973"/>
        <w:gridCol w:w="1247"/>
        <w:gridCol w:w="1134"/>
      </w:tblGrid>
      <w:tr w:rsidR="00586FE1" w:rsidRPr="00D744EE" w:rsidTr="00195087">
        <w:trPr>
          <w:trHeight w:val="227"/>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D744EE" w:rsidRDefault="00586FE1" w:rsidP="001A20EC">
            <w:pPr>
              <w:spacing w:after="0"/>
              <w:ind w:firstLine="0"/>
              <w:jc w:val="left"/>
              <w:rPr>
                <w:rFonts w:ascii="Arial" w:hAnsi="Arial" w:cs="Arial"/>
                <w:color w:val="000000"/>
                <w:sz w:val="17"/>
                <w:szCs w:val="17"/>
                <w:lang w:val="es-ES" w:eastAsia="es-ES"/>
              </w:rPr>
            </w:pPr>
            <w:r w:rsidRPr="00D744EE">
              <w:rPr>
                <w:rFonts w:ascii="Arial" w:hAnsi="Arial" w:cs="Arial"/>
                <w:color w:val="000000"/>
                <w:sz w:val="17"/>
                <w:szCs w:val="17"/>
                <w:lang w:val="es-ES" w:eastAsia="es-ES"/>
              </w:rPr>
              <w:t>Capítulos de ingresos</w:t>
            </w:r>
          </w:p>
        </w:tc>
        <w:tc>
          <w:tcPr>
            <w:tcW w:w="2000"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1A20EC">
            <w:pPr>
              <w:spacing w:after="0"/>
              <w:ind w:firstLine="0"/>
              <w:jc w:val="right"/>
              <w:rPr>
                <w:rFonts w:ascii="Arial" w:hAnsi="Arial" w:cs="Arial"/>
                <w:color w:val="000000"/>
                <w:sz w:val="17"/>
                <w:szCs w:val="17"/>
                <w:lang w:val="es-ES" w:eastAsia="es-ES"/>
              </w:rPr>
            </w:pPr>
            <w:r w:rsidRPr="00D744EE">
              <w:rPr>
                <w:rFonts w:ascii="Arial" w:hAnsi="Arial" w:cs="Arial"/>
                <w:color w:val="000000"/>
                <w:sz w:val="17"/>
                <w:szCs w:val="17"/>
                <w:lang w:val="es-ES" w:eastAsia="es-ES"/>
              </w:rPr>
              <w:t>Derechos reconocidos</w:t>
            </w:r>
          </w:p>
          <w:p w:rsidR="00586FE1" w:rsidRPr="00D744EE" w:rsidRDefault="00586FE1" w:rsidP="001A20EC">
            <w:pPr>
              <w:spacing w:after="0"/>
              <w:ind w:firstLine="0"/>
              <w:jc w:val="right"/>
              <w:rPr>
                <w:rFonts w:ascii="Arial" w:hAnsi="Arial" w:cs="Arial"/>
                <w:color w:val="000000"/>
                <w:sz w:val="17"/>
                <w:szCs w:val="17"/>
                <w:lang w:val="es-ES" w:eastAsia="es-ES"/>
              </w:rPr>
            </w:pPr>
            <w:r w:rsidRPr="00D744EE">
              <w:rPr>
                <w:rFonts w:ascii="Arial" w:hAnsi="Arial" w:cs="Arial"/>
                <w:color w:val="000000"/>
                <w:sz w:val="17"/>
                <w:szCs w:val="17"/>
                <w:lang w:val="es-ES" w:eastAsia="es-ES"/>
              </w:rPr>
              <w:t>Agosto 2014</w:t>
            </w:r>
          </w:p>
        </w:tc>
        <w:tc>
          <w:tcPr>
            <w:tcW w:w="1973"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1A20EC">
            <w:pPr>
              <w:spacing w:after="0"/>
              <w:ind w:firstLine="0"/>
              <w:jc w:val="right"/>
              <w:rPr>
                <w:rFonts w:ascii="Arial" w:hAnsi="Arial" w:cs="Arial"/>
                <w:color w:val="000000"/>
                <w:sz w:val="17"/>
                <w:szCs w:val="17"/>
                <w:lang w:val="es-ES" w:eastAsia="es-ES"/>
              </w:rPr>
            </w:pPr>
            <w:r w:rsidRPr="00D744EE">
              <w:rPr>
                <w:rFonts w:ascii="Arial" w:hAnsi="Arial" w:cs="Arial"/>
                <w:color w:val="000000"/>
                <w:sz w:val="17"/>
                <w:szCs w:val="17"/>
                <w:lang w:val="es-ES" w:eastAsia="es-ES"/>
              </w:rPr>
              <w:t>Derechos reconocidos</w:t>
            </w:r>
          </w:p>
          <w:p w:rsidR="00586FE1" w:rsidRPr="00D744EE" w:rsidRDefault="00586FE1" w:rsidP="001A20EC">
            <w:pPr>
              <w:spacing w:after="0"/>
              <w:ind w:firstLine="0"/>
              <w:jc w:val="right"/>
              <w:rPr>
                <w:rFonts w:ascii="Arial" w:hAnsi="Arial" w:cs="Arial"/>
                <w:color w:val="000000"/>
                <w:sz w:val="17"/>
                <w:szCs w:val="17"/>
                <w:lang w:val="es-ES" w:eastAsia="es-ES"/>
              </w:rPr>
            </w:pPr>
            <w:r w:rsidRPr="00D744EE">
              <w:rPr>
                <w:rFonts w:ascii="Arial" w:hAnsi="Arial" w:cs="Arial"/>
                <w:color w:val="000000"/>
                <w:sz w:val="17"/>
                <w:szCs w:val="17"/>
                <w:lang w:val="es-ES" w:eastAsia="es-ES"/>
              </w:rPr>
              <w:t>Agosto 2015</w:t>
            </w:r>
          </w:p>
        </w:tc>
        <w:tc>
          <w:tcPr>
            <w:tcW w:w="1247"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1A20EC">
            <w:pPr>
              <w:spacing w:after="0"/>
              <w:ind w:firstLine="0"/>
              <w:jc w:val="right"/>
              <w:rPr>
                <w:rFonts w:ascii="Arial" w:hAnsi="Arial" w:cs="Arial"/>
                <w:color w:val="000000"/>
                <w:sz w:val="17"/>
                <w:szCs w:val="17"/>
                <w:lang w:val="es-ES" w:eastAsia="es-ES"/>
              </w:rPr>
            </w:pPr>
            <w:r w:rsidRPr="00D744EE">
              <w:rPr>
                <w:rFonts w:ascii="Arial" w:hAnsi="Arial" w:cs="Arial"/>
                <w:color w:val="000000"/>
                <w:sz w:val="17"/>
                <w:szCs w:val="17"/>
                <w:lang w:val="es-ES" w:eastAsia="es-ES"/>
              </w:rPr>
              <w:t>+/-derechos</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586FE1" w:rsidRPr="00E907CA" w:rsidRDefault="00586FE1" w:rsidP="00E907CA">
            <w:pPr>
              <w:spacing w:after="0"/>
              <w:ind w:firstLine="0"/>
              <w:jc w:val="right"/>
              <w:rPr>
                <w:rFonts w:ascii="Arial" w:hAnsi="Arial" w:cs="Arial"/>
                <w:sz w:val="17"/>
                <w:szCs w:val="17"/>
                <w:lang w:val="es-ES" w:eastAsia="es-ES"/>
              </w:rPr>
            </w:pPr>
            <w:r w:rsidRPr="00E907CA">
              <w:rPr>
                <w:rFonts w:ascii="Arial" w:hAnsi="Arial" w:cs="Arial"/>
                <w:sz w:val="17"/>
                <w:szCs w:val="17"/>
                <w:lang w:val="es-ES" w:eastAsia="es-ES"/>
              </w:rPr>
              <w:t>% Variación</w:t>
            </w:r>
          </w:p>
        </w:tc>
      </w:tr>
      <w:tr w:rsidR="00586FE1" w:rsidRPr="00095FF0" w:rsidTr="00E907CA">
        <w:trPr>
          <w:trHeight w:val="227"/>
        </w:trPr>
        <w:tc>
          <w:tcPr>
            <w:tcW w:w="2425" w:type="dxa"/>
            <w:tcBorders>
              <w:top w:val="single" w:sz="4"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Impuestos directos</w:t>
            </w:r>
          </w:p>
        </w:tc>
        <w:tc>
          <w:tcPr>
            <w:tcW w:w="2000"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923.656</w:t>
            </w:r>
          </w:p>
        </w:tc>
        <w:tc>
          <w:tcPr>
            <w:tcW w:w="1973"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997.813</w:t>
            </w:r>
          </w:p>
        </w:tc>
        <w:tc>
          <w:tcPr>
            <w:tcW w:w="1247"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74.157</w:t>
            </w:r>
          </w:p>
        </w:tc>
        <w:tc>
          <w:tcPr>
            <w:tcW w:w="1134" w:type="dxa"/>
            <w:tcBorders>
              <w:top w:val="single" w:sz="4"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8</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Impuestos indirectos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946.398</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952.918</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6.520</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Tasas y precios públicos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84.777</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77.043</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-7.734</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-9</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Transferencias corrientes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9.942</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17.114</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7.172</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72</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Ing. patrimoniales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8.117</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7.138</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-979</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-12</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i/>
                <w:iCs/>
                <w:color w:val="000000"/>
                <w:lang w:val="es-ES" w:eastAsia="es-ES"/>
              </w:rPr>
            </w:pPr>
            <w:r w:rsidRPr="00095FF0">
              <w:rPr>
                <w:rFonts w:ascii="Arial Narrow" w:hAnsi="Arial Narrow"/>
                <w:i/>
                <w:iCs/>
                <w:color w:val="000000"/>
                <w:lang w:val="es-ES" w:eastAsia="es-ES"/>
              </w:rPr>
              <w:t>Total ingresos Corrientes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1.972.890</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2.052.026</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79.136</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i/>
                <w:lang w:val="es-ES" w:eastAsia="es-ES"/>
              </w:rPr>
            </w:pPr>
            <w:r w:rsidRPr="00E907CA">
              <w:rPr>
                <w:rFonts w:ascii="Arial Narrow" w:hAnsi="Arial Narrow"/>
                <w:i/>
                <w:lang w:val="es-ES" w:eastAsia="es-ES"/>
              </w:rPr>
              <w:t>4</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Enajenación de inversiones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1954</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295</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-1.659</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-85</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Transferencias capital</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29.439</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34.830</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5.391</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18</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i/>
                <w:iCs/>
                <w:color w:val="000000"/>
                <w:lang w:val="es-ES" w:eastAsia="es-ES"/>
              </w:rPr>
            </w:pPr>
            <w:r w:rsidRPr="00095FF0">
              <w:rPr>
                <w:rFonts w:ascii="Arial Narrow" w:hAnsi="Arial Narrow"/>
                <w:i/>
                <w:iCs/>
                <w:color w:val="000000"/>
                <w:lang w:val="es-ES" w:eastAsia="es-ES"/>
              </w:rPr>
              <w:t>Total ingresos Capital</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31.393</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35.125</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3.732</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i/>
                <w:lang w:val="es-ES" w:eastAsia="es-ES"/>
              </w:rPr>
            </w:pPr>
            <w:r w:rsidRPr="00E907CA">
              <w:rPr>
                <w:rFonts w:ascii="Arial Narrow" w:hAnsi="Arial Narrow"/>
                <w:i/>
                <w:lang w:val="es-ES" w:eastAsia="es-ES"/>
              </w:rPr>
              <w:t>12</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Activos financieros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55.087</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62.555</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7.468</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14</w:t>
            </w:r>
          </w:p>
        </w:tc>
      </w:tr>
      <w:tr w:rsidR="00586FE1" w:rsidRPr="00095FF0" w:rsidTr="00E907CA">
        <w:trPr>
          <w:trHeight w:val="227"/>
        </w:trPr>
        <w:tc>
          <w:tcPr>
            <w:tcW w:w="2425"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color w:val="000000"/>
                <w:lang w:val="es-ES" w:eastAsia="es-ES"/>
              </w:rPr>
            </w:pPr>
            <w:r w:rsidRPr="00095FF0">
              <w:rPr>
                <w:rFonts w:ascii="Arial Narrow" w:hAnsi="Arial Narrow"/>
                <w:color w:val="000000"/>
                <w:lang w:val="es-ES" w:eastAsia="es-ES"/>
              </w:rPr>
              <w:t>Pasivos financieros</w:t>
            </w:r>
          </w:p>
        </w:tc>
        <w:tc>
          <w:tcPr>
            <w:tcW w:w="2000"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356.316</w:t>
            </w:r>
          </w:p>
        </w:tc>
        <w:tc>
          <w:tcPr>
            <w:tcW w:w="197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446.902</w:t>
            </w:r>
          </w:p>
        </w:tc>
        <w:tc>
          <w:tcPr>
            <w:tcW w:w="1247"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90.586</w:t>
            </w:r>
          </w:p>
        </w:tc>
        <w:tc>
          <w:tcPr>
            <w:tcW w:w="1134"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25</w:t>
            </w:r>
          </w:p>
        </w:tc>
      </w:tr>
      <w:tr w:rsidR="00586FE1" w:rsidRPr="00095FF0" w:rsidTr="00E907CA">
        <w:trPr>
          <w:trHeight w:val="227"/>
        </w:trPr>
        <w:tc>
          <w:tcPr>
            <w:tcW w:w="2425" w:type="dxa"/>
            <w:tcBorders>
              <w:top w:val="single" w:sz="2" w:space="0" w:color="auto"/>
              <w:left w:val="nil"/>
              <w:bottom w:val="single" w:sz="4" w:space="0" w:color="auto"/>
              <w:right w:val="nil"/>
            </w:tcBorders>
            <w:shd w:val="clear" w:color="auto" w:fill="auto"/>
            <w:noWrap/>
            <w:vAlign w:val="center"/>
            <w:hideMark/>
          </w:tcPr>
          <w:p w:rsidR="00586FE1" w:rsidRPr="00095FF0" w:rsidRDefault="00586FE1" w:rsidP="001A20EC">
            <w:pPr>
              <w:spacing w:after="0"/>
              <w:ind w:firstLine="0"/>
              <w:jc w:val="left"/>
              <w:rPr>
                <w:rFonts w:ascii="Arial Narrow" w:hAnsi="Arial Narrow"/>
                <w:i/>
                <w:iCs/>
                <w:color w:val="000000"/>
                <w:lang w:val="es-ES" w:eastAsia="es-ES"/>
              </w:rPr>
            </w:pPr>
            <w:r w:rsidRPr="00095FF0">
              <w:rPr>
                <w:rFonts w:ascii="Arial Narrow" w:hAnsi="Arial Narrow"/>
                <w:i/>
                <w:iCs/>
                <w:color w:val="000000"/>
                <w:lang w:val="es-ES" w:eastAsia="es-ES"/>
              </w:rPr>
              <w:t>Total operaciones Financieras</w:t>
            </w:r>
          </w:p>
        </w:tc>
        <w:tc>
          <w:tcPr>
            <w:tcW w:w="2000"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411.403</w:t>
            </w:r>
          </w:p>
        </w:tc>
        <w:tc>
          <w:tcPr>
            <w:tcW w:w="1973"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i/>
                <w:iCs/>
                <w:color w:val="000000"/>
                <w:lang w:val="es-ES" w:eastAsia="es-ES"/>
              </w:rPr>
            </w:pPr>
            <w:r w:rsidRPr="00095FF0">
              <w:rPr>
                <w:rFonts w:ascii="Arial Narrow" w:hAnsi="Arial Narrow"/>
                <w:i/>
                <w:iCs/>
                <w:color w:val="000000"/>
                <w:lang w:val="es-ES" w:eastAsia="es-ES"/>
              </w:rPr>
              <w:t>509.457</w:t>
            </w:r>
          </w:p>
        </w:tc>
        <w:tc>
          <w:tcPr>
            <w:tcW w:w="1247"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1A20EC">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98.054</w:t>
            </w:r>
          </w:p>
        </w:tc>
        <w:tc>
          <w:tcPr>
            <w:tcW w:w="1134" w:type="dxa"/>
            <w:tcBorders>
              <w:top w:val="single" w:sz="2" w:space="0" w:color="auto"/>
              <w:left w:val="nil"/>
              <w:bottom w:val="single" w:sz="4" w:space="0" w:color="auto"/>
              <w:right w:val="nil"/>
            </w:tcBorders>
            <w:vAlign w:val="center"/>
          </w:tcPr>
          <w:p w:rsidR="00586FE1" w:rsidRPr="00E907CA" w:rsidRDefault="00586FE1" w:rsidP="00E907CA">
            <w:pPr>
              <w:spacing w:after="0"/>
              <w:ind w:firstLine="0"/>
              <w:jc w:val="right"/>
              <w:rPr>
                <w:rFonts w:ascii="Arial Narrow" w:hAnsi="Arial Narrow"/>
                <w:i/>
                <w:lang w:val="es-ES" w:eastAsia="es-ES"/>
              </w:rPr>
            </w:pPr>
            <w:r w:rsidRPr="00E907CA">
              <w:rPr>
                <w:rFonts w:ascii="Arial Narrow" w:hAnsi="Arial Narrow"/>
                <w:i/>
                <w:lang w:val="es-ES" w:eastAsia="es-ES"/>
              </w:rPr>
              <w:t>24</w:t>
            </w:r>
          </w:p>
        </w:tc>
      </w:tr>
      <w:tr w:rsidR="00586FE1" w:rsidRPr="00D744EE" w:rsidTr="00195087">
        <w:trPr>
          <w:trHeight w:val="255"/>
        </w:trPr>
        <w:tc>
          <w:tcPr>
            <w:tcW w:w="2425"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D744EE" w:rsidRDefault="00586FE1" w:rsidP="001A20EC">
            <w:pPr>
              <w:spacing w:after="0"/>
              <w:ind w:firstLine="0"/>
              <w:jc w:val="lef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T</w:t>
            </w:r>
            <w:r>
              <w:rPr>
                <w:rFonts w:ascii="Arial" w:hAnsi="Arial" w:cs="Arial"/>
                <w:bCs/>
                <w:color w:val="000000"/>
                <w:sz w:val="18"/>
                <w:szCs w:val="18"/>
                <w:lang w:val="es-ES" w:eastAsia="es-ES"/>
              </w:rPr>
              <w:t>otal</w:t>
            </w:r>
          </w:p>
        </w:tc>
        <w:tc>
          <w:tcPr>
            <w:tcW w:w="2000"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9C1354">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2.415.686</w:t>
            </w:r>
          </w:p>
        </w:tc>
        <w:tc>
          <w:tcPr>
            <w:tcW w:w="1973"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9C1354">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2.596.608</w:t>
            </w:r>
          </w:p>
        </w:tc>
        <w:tc>
          <w:tcPr>
            <w:tcW w:w="1247" w:type="dxa"/>
            <w:tcBorders>
              <w:top w:val="single" w:sz="4" w:space="0" w:color="auto"/>
              <w:left w:val="nil"/>
              <w:bottom w:val="single" w:sz="4" w:space="0" w:color="auto"/>
              <w:right w:val="nil"/>
            </w:tcBorders>
            <w:shd w:val="clear" w:color="auto" w:fill="8DB3E2" w:themeFill="text2" w:themeFillTint="66"/>
            <w:vAlign w:val="center"/>
            <w:hideMark/>
          </w:tcPr>
          <w:p w:rsidR="00586FE1" w:rsidRPr="00D744EE" w:rsidRDefault="00586FE1" w:rsidP="009C1354">
            <w:pPr>
              <w:spacing w:after="0"/>
              <w:ind w:firstLine="0"/>
              <w:jc w:val="right"/>
              <w:rPr>
                <w:rFonts w:ascii="Arial" w:hAnsi="Arial" w:cs="Arial"/>
                <w:bCs/>
                <w:color w:val="000000"/>
                <w:sz w:val="18"/>
                <w:szCs w:val="18"/>
                <w:lang w:val="es-ES" w:eastAsia="es-ES"/>
              </w:rPr>
            </w:pPr>
            <w:r w:rsidRPr="00D744EE">
              <w:rPr>
                <w:rFonts w:ascii="Arial" w:hAnsi="Arial" w:cs="Arial"/>
                <w:bCs/>
                <w:color w:val="000000"/>
                <w:sz w:val="18"/>
                <w:szCs w:val="18"/>
                <w:lang w:val="es-ES" w:eastAsia="es-ES"/>
              </w:rPr>
              <w:t>180.922</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586FE1" w:rsidRPr="00E907CA" w:rsidRDefault="00586FE1" w:rsidP="00E907CA">
            <w:pPr>
              <w:spacing w:after="0"/>
              <w:ind w:firstLine="0"/>
              <w:jc w:val="right"/>
              <w:rPr>
                <w:rFonts w:ascii="Arial" w:hAnsi="Arial" w:cs="Arial"/>
                <w:bCs/>
                <w:sz w:val="18"/>
                <w:szCs w:val="18"/>
                <w:lang w:val="es-ES" w:eastAsia="es-ES"/>
              </w:rPr>
            </w:pPr>
            <w:r w:rsidRPr="00E907CA">
              <w:rPr>
                <w:rFonts w:ascii="Arial" w:hAnsi="Arial" w:cs="Arial"/>
                <w:bCs/>
                <w:sz w:val="18"/>
                <w:szCs w:val="18"/>
                <w:lang w:val="es-ES" w:eastAsia="es-ES"/>
              </w:rPr>
              <w:t>7</w:t>
            </w:r>
          </w:p>
        </w:tc>
      </w:tr>
    </w:tbl>
    <w:p w:rsidR="007E6AC4" w:rsidRPr="00817444" w:rsidRDefault="007E6AC4" w:rsidP="00E907CA">
      <w:pPr>
        <w:tabs>
          <w:tab w:val="center" w:pos="2835"/>
          <w:tab w:val="center" w:pos="3969"/>
          <w:tab w:val="center" w:pos="5103"/>
          <w:tab w:val="center" w:pos="6237"/>
          <w:tab w:val="center" w:pos="7371"/>
        </w:tabs>
        <w:spacing w:before="180" w:after="120"/>
        <w:ind w:firstLine="284"/>
        <w:rPr>
          <w:sz w:val="24"/>
          <w:szCs w:val="24"/>
        </w:rPr>
      </w:pPr>
      <w:r w:rsidRPr="00817444">
        <w:rPr>
          <w:sz w:val="24"/>
          <w:szCs w:val="24"/>
        </w:rPr>
        <w:t>Los capítulos que ofrecen un mayor aumento cuantitativo son pasivos financie</w:t>
      </w:r>
      <w:r>
        <w:rPr>
          <w:sz w:val="24"/>
          <w:szCs w:val="24"/>
        </w:rPr>
        <w:t>ros –</w:t>
      </w:r>
      <w:r w:rsidRPr="00817444">
        <w:rPr>
          <w:sz w:val="24"/>
          <w:szCs w:val="24"/>
        </w:rPr>
        <w:t>91 millones</w:t>
      </w:r>
      <w:r>
        <w:rPr>
          <w:sz w:val="24"/>
          <w:szCs w:val="24"/>
        </w:rPr>
        <w:t>–</w:t>
      </w:r>
      <w:r w:rsidRPr="00817444">
        <w:rPr>
          <w:sz w:val="24"/>
          <w:szCs w:val="24"/>
        </w:rPr>
        <w:t xml:space="preserve"> e impuestos directos </w:t>
      </w:r>
      <w:r>
        <w:rPr>
          <w:sz w:val="24"/>
          <w:szCs w:val="24"/>
        </w:rPr>
        <w:t>–</w:t>
      </w:r>
      <w:r w:rsidRPr="00817444">
        <w:rPr>
          <w:sz w:val="24"/>
          <w:szCs w:val="24"/>
        </w:rPr>
        <w:t>74 millones</w:t>
      </w:r>
      <w:r>
        <w:rPr>
          <w:sz w:val="24"/>
          <w:szCs w:val="24"/>
        </w:rPr>
        <w:t>–</w:t>
      </w:r>
      <w:r w:rsidRPr="00817444">
        <w:rPr>
          <w:sz w:val="24"/>
          <w:szCs w:val="24"/>
        </w:rPr>
        <w:t>.</w:t>
      </w:r>
    </w:p>
    <w:p w:rsidR="007E6AC4" w:rsidRPr="00817444" w:rsidRDefault="007E6AC4" w:rsidP="00E907CA">
      <w:pPr>
        <w:numPr>
          <w:ilvl w:val="0"/>
          <w:numId w:val="16"/>
        </w:numPr>
        <w:tabs>
          <w:tab w:val="num" w:pos="300"/>
          <w:tab w:val="left" w:pos="480"/>
        </w:tabs>
        <w:spacing w:after="180"/>
        <w:ind w:firstLine="289"/>
        <w:jc w:val="left"/>
        <w:rPr>
          <w:sz w:val="24"/>
          <w:szCs w:val="24"/>
        </w:rPr>
      </w:pPr>
      <w:r w:rsidRPr="00817444">
        <w:rPr>
          <w:sz w:val="24"/>
          <w:szCs w:val="24"/>
          <w:lang w:val="es-ES"/>
        </w:rPr>
        <w:t>Los derechos por impuestos directos e indirectos acumulados entre agosto de 2014 y agosto de 2015 se reflejan en el siguiente cuadro</w:t>
      </w:r>
      <w:r>
        <w:rPr>
          <w:sz w:val="24"/>
          <w:szCs w:val="24"/>
          <w:lang w:val="es-ES"/>
        </w:rPr>
        <w:t>,</w:t>
      </w:r>
      <w:r w:rsidRPr="00817444">
        <w:rPr>
          <w:sz w:val="24"/>
          <w:szCs w:val="24"/>
        </w:rPr>
        <w:t xml:space="preserve"> en miles de euros</w:t>
      </w:r>
      <w:r>
        <w:rPr>
          <w:sz w:val="24"/>
          <w:szCs w:val="24"/>
        </w:rPr>
        <w:t>.</w:t>
      </w:r>
    </w:p>
    <w:tbl>
      <w:tblPr>
        <w:tblW w:w="8866" w:type="dxa"/>
        <w:jc w:val="center"/>
        <w:tblCellMar>
          <w:left w:w="70" w:type="dxa"/>
          <w:right w:w="70" w:type="dxa"/>
        </w:tblCellMar>
        <w:tblLook w:val="04A0" w:firstRow="1" w:lastRow="0" w:firstColumn="1" w:lastColumn="0" w:noHBand="0" w:noVBand="1"/>
      </w:tblPr>
      <w:tblGrid>
        <w:gridCol w:w="2607"/>
        <w:gridCol w:w="2024"/>
        <w:gridCol w:w="1923"/>
        <w:gridCol w:w="1213"/>
        <w:gridCol w:w="1099"/>
      </w:tblGrid>
      <w:tr w:rsidR="00586FE1" w:rsidRPr="00817444" w:rsidTr="00195087">
        <w:trPr>
          <w:trHeight w:val="255"/>
          <w:jc w:val="center"/>
        </w:trPr>
        <w:tc>
          <w:tcPr>
            <w:tcW w:w="2607"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817444" w:rsidRDefault="00586FE1" w:rsidP="009C6D07">
            <w:pPr>
              <w:spacing w:after="0"/>
              <w:ind w:firstLine="0"/>
              <w:jc w:val="left"/>
              <w:rPr>
                <w:rFonts w:ascii="Arial" w:hAnsi="Arial" w:cs="Arial"/>
                <w:color w:val="000000"/>
                <w:sz w:val="17"/>
                <w:szCs w:val="17"/>
                <w:lang w:val="es-ES" w:eastAsia="es-ES"/>
              </w:rPr>
            </w:pPr>
            <w:r w:rsidRPr="00817444">
              <w:rPr>
                <w:rFonts w:ascii="Arial" w:hAnsi="Arial" w:cs="Arial"/>
                <w:color w:val="000000"/>
                <w:sz w:val="17"/>
                <w:szCs w:val="17"/>
                <w:lang w:val="es-ES" w:eastAsia="es-ES"/>
              </w:rPr>
              <w:t>Impuestos</w:t>
            </w:r>
          </w:p>
        </w:tc>
        <w:tc>
          <w:tcPr>
            <w:tcW w:w="2024"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7"/>
                <w:szCs w:val="17"/>
                <w:lang w:val="es-ES" w:eastAsia="es-ES"/>
              </w:rPr>
            </w:pPr>
            <w:r w:rsidRPr="00817444">
              <w:rPr>
                <w:rFonts w:ascii="Arial" w:hAnsi="Arial" w:cs="Arial"/>
                <w:color w:val="000000"/>
                <w:sz w:val="17"/>
                <w:szCs w:val="17"/>
                <w:lang w:eastAsia="es-ES"/>
              </w:rPr>
              <w:t>Derechos reconocidos</w:t>
            </w:r>
          </w:p>
          <w:p w:rsidR="00586FE1" w:rsidRPr="00817444" w:rsidRDefault="00586FE1" w:rsidP="009C6D07">
            <w:pPr>
              <w:spacing w:after="0"/>
              <w:ind w:firstLine="0"/>
              <w:jc w:val="right"/>
              <w:rPr>
                <w:rFonts w:ascii="Arial" w:hAnsi="Arial" w:cs="Arial"/>
                <w:color w:val="000000"/>
                <w:sz w:val="17"/>
                <w:szCs w:val="17"/>
                <w:lang w:val="es-ES" w:eastAsia="es-ES"/>
              </w:rPr>
            </w:pPr>
            <w:r w:rsidRPr="00817444">
              <w:rPr>
                <w:rFonts w:ascii="Arial" w:hAnsi="Arial" w:cs="Arial"/>
                <w:color w:val="000000"/>
                <w:sz w:val="17"/>
                <w:szCs w:val="17"/>
                <w:lang w:eastAsia="es-ES"/>
              </w:rPr>
              <w:t>Agosto 2014</w:t>
            </w:r>
          </w:p>
        </w:tc>
        <w:tc>
          <w:tcPr>
            <w:tcW w:w="1923"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7"/>
                <w:szCs w:val="17"/>
                <w:lang w:val="es-ES" w:eastAsia="es-ES"/>
              </w:rPr>
            </w:pPr>
            <w:r w:rsidRPr="00817444">
              <w:rPr>
                <w:rFonts w:ascii="Arial" w:hAnsi="Arial" w:cs="Arial"/>
                <w:color w:val="000000"/>
                <w:sz w:val="17"/>
                <w:szCs w:val="17"/>
                <w:lang w:eastAsia="es-ES"/>
              </w:rPr>
              <w:t>Derechos reconocidos</w:t>
            </w:r>
          </w:p>
          <w:p w:rsidR="00586FE1" w:rsidRPr="00817444" w:rsidRDefault="00586FE1" w:rsidP="009C6D07">
            <w:pPr>
              <w:spacing w:after="0"/>
              <w:ind w:firstLine="0"/>
              <w:jc w:val="right"/>
              <w:rPr>
                <w:rFonts w:ascii="Arial" w:hAnsi="Arial" w:cs="Arial"/>
                <w:color w:val="000000"/>
                <w:sz w:val="17"/>
                <w:szCs w:val="17"/>
                <w:lang w:val="es-ES" w:eastAsia="es-ES"/>
              </w:rPr>
            </w:pPr>
            <w:r w:rsidRPr="00817444">
              <w:rPr>
                <w:rFonts w:ascii="Arial" w:hAnsi="Arial" w:cs="Arial"/>
                <w:color w:val="000000"/>
                <w:sz w:val="17"/>
                <w:szCs w:val="17"/>
                <w:lang w:eastAsia="es-ES"/>
              </w:rPr>
              <w:t>Agosto 2015</w:t>
            </w:r>
          </w:p>
        </w:tc>
        <w:tc>
          <w:tcPr>
            <w:tcW w:w="1213"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7"/>
                <w:szCs w:val="17"/>
                <w:lang w:val="es-ES" w:eastAsia="es-ES"/>
              </w:rPr>
            </w:pPr>
            <w:r w:rsidRPr="00817444">
              <w:rPr>
                <w:rFonts w:ascii="Arial" w:hAnsi="Arial" w:cs="Arial"/>
                <w:color w:val="000000"/>
                <w:sz w:val="17"/>
                <w:szCs w:val="17"/>
                <w:lang w:eastAsia="es-ES"/>
              </w:rPr>
              <w:t>+/-derechos</w:t>
            </w:r>
          </w:p>
        </w:tc>
        <w:tc>
          <w:tcPr>
            <w:tcW w:w="1099" w:type="dxa"/>
            <w:tcBorders>
              <w:top w:val="single" w:sz="4" w:space="0" w:color="auto"/>
              <w:left w:val="nil"/>
              <w:bottom w:val="single" w:sz="4" w:space="0" w:color="auto"/>
              <w:right w:val="nil"/>
            </w:tcBorders>
            <w:shd w:val="clear" w:color="auto" w:fill="8DB3E2" w:themeFill="text2" w:themeFillTint="66"/>
            <w:vAlign w:val="center"/>
          </w:tcPr>
          <w:p w:rsidR="00586FE1" w:rsidRPr="00E907CA" w:rsidRDefault="00586FE1" w:rsidP="00E907CA">
            <w:pPr>
              <w:spacing w:after="0"/>
              <w:ind w:firstLine="0"/>
              <w:jc w:val="right"/>
              <w:rPr>
                <w:rFonts w:ascii="Arial" w:hAnsi="Arial" w:cs="Arial"/>
                <w:sz w:val="17"/>
                <w:szCs w:val="17"/>
                <w:lang w:eastAsia="es-ES"/>
              </w:rPr>
            </w:pPr>
            <w:r w:rsidRPr="00E907CA">
              <w:rPr>
                <w:rFonts w:ascii="Arial" w:hAnsi="Arial" w:cs="Arial"/>
                <w:sz w:val="17"/>
                <w:szCs w:val="17"/>
                <w:lang w:val="es-ES" w:eastAsia="es-ES"/>
              </w:rPr>
              <w:t>% Variación</w:t>
            </w:r>
          </w:p>
        </w:tc>
      </w:tr>
      <w:tr w:rsidR="00586FE1" w:rsidRPr="00095FF0" w:rsidTr="00E907CA">
        <w:trPr>
          <w:trHeight w:val="227"/>
          <w:jc w:val="center"/>
        </w:trPr>
        <w:tc>
          <w:tcPr>
            <w:tcW w:w="2607" w:type="dxa"/>
            <w:tcBorders>
              <w:top w:val="single" w:sz="4"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IRPF</w:t>
            </w:r>
          </w:p>
        </w:tc>
        <w:tc>
          <w:tcPr>
            <w:tcW w:w="2024"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717.345</w:t>
            </w:r>
          </w:p>
        </w:tc>
        <w:tc>
          <w:tcPr>
            <w:tcW w:w="1923"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750.884</w:t>
            </w:r>
          </w:p>
        </w:tc>
        <w:tc>
          <w:tcPr>
            <w:tcW w:w="1213" w:type="dxa"/>
            <w:tcBorders>
              <w:top w:val="single" w:sz="4"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33.539</w:t>
            </w:r>
          </w:p>
        </w:tc>
        <w:tc>
          <w:tcPr>
            <w:tcW w:w="1099" w:type="dxa"/>
            <w:tcBorders>
              <w:top w:val="single" w:sz="4"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5</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No residentes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4.084</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5.292</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1.208</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30</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Sociedades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105.200</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153.393</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48.193</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46</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Patrimonio</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46.628</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44.190</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-2.438</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-5</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Sucesiones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34.784</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41.121</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6.337</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18</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iCs/>
                <w:color w:val="000000"/>
                <w:lang w:val="es-ES" w:eastAsia="es-ES"/>
              </w:rPr>
            </w:pPr>
            <w:r w:rsidRPr="00095FF0">
              <w:rPr>
                <w:rFonts w:ascii="Arial Narrow" w:hAnsi="Arial Narrow"/>
                <w:iCs/>
                <w:color w:val="000000"/>
                <w:spacing w:val="6"/>
                <w:lang w:val="es-ES" w:eastAsia="es-ES"/>
              </w:rPr>
              <w:t>Otros y extinguidos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15.615</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2.933</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-12.682</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-81</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i/>
                <w:color w:val="000000"/>
                <w:lang w:val="es-ES" w:eastAsia="es-ES"/>
              </w:rPr>
            </w:pPr>
            <w:r w:rsidRPr="00095FF0">
              <w:rPr>
                <w:rFonts w:ascii="Arial Narrow" w:hAnsi="Arial Narrow"/>
                <w:i/>
                <w:color w:val="000000"/>
                <w:spacing w:val="6"/>
                <w:lang w:val="es-ES" w:eastAsia="es-ES"/>
              </w:rPr>
              <w:t xml:space="preserve">Total </w:t>
            </w:r>
            <w:r>
              <w:rPr>
                <w:rFonts w:ascii="Arial Narrow" w:hAnsi="Arial Narrow"/>
                <w:i/>
                <w:color w:val="000000"/>
                <w:spacing w:val="6"/>
                <w:lang w:val="es-ES" w:eastAsia="es-ES"/>
              </w:rPr>
              <w:t>Impuestos D</w:t>
            </w:r>
            <w:r w:rsidRPr="00095FF0">
              <w:rPr>
                <w:rFonts w:ascii="Arial Narrow" w:hAnsi="Arial Narrow"/>
                <w:i/>
                <w:color w:val="000000"/>
                <w:spacing w:val="6"/>
                <w:lang w:val="es-ES" w:eastAsia="es-ES"/>
              </w:rPr>
              <w:t>irectos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923.656</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997.813</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74.157</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8</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Ajustes Convenio Económico</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391.811</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342.805</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-49.006</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-13</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iCs/>
                <w:color w:val="000000"/>
                <w:lang w:val="es-ES" w:eastAsia="es-ES"/>
              </w:rPr>
            </w:pPr>
            <w:r w:rsidRPr="00095FF0">
              <w:rPr>
                <w:rFonts w:ascii="Arial Narrow" w:hAnsi="Arial Narrow"/>
                <w:iCs/>
                <w:color w:val="000000"/>
                <w:spacing w:val="6"/>
                <w:lang w:val="es-ES" w:eastAsia="es-ES"/>
              </w:rPr>
              <w:t>IVA gestión directa</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280.233</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306.448</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26.215</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9</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Especiales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234.884</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265.552</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30.668</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13</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Primas de seguro</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12.389</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12.582</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193</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2</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iCs/>
                <w:color w:val="000000"/>
                <w:lang w:val="es-ES" w:eastAsia="es-ES"/>
              </w:rPr>
            </w:pPr>
            <w:r w:rsidRPr="00095FF0">
              <w:rPr>
                <w:rFonts w:ascii="Arial Narrow" w:hAnsi="Arial Narrow"/>
                <w:iCs/>
                <w:color w:val="000000"/>
                <w:spacing w:val="6"/>
                <w:lang w:val="es-ES" w:eastAsia="es-ES"/>
              </w:rPr>
              <w:t>Transmisiones AAJJDD</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27.066</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30.860</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3.794</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14</w:t>
            </w:r>
          </w:p>
        </w:tc>
      </w:tr>
      <w:tr w:rsidR="00586FE1" w:rsidRPr="00095FF0" w:rsidTr="00E907CA">
        <w:trPr>
          <w:trHeight w:val="227"/>
          <w:jc w:val="center"/>
        </w:trPr>
        <w:tc>
          <w:tcPr>
            <w:tcW w:w="2607" w:type="dxa"/>
            <w:tcBorders>
              <w:top w:val="single" w:sz="2" w:space="0" w:color="auto"/>
              <w:left w:val="nil"/>
              <w:bottom w:val="single" w:sz="2"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color w:val="000000"/>
                <w:lang w:val="es-ES" w:eastAsia="es-ES"/>
              </w:rPr>
            </w:pPr>
            <w:r w:rsidRPr="00095FF0">
              <w:rPr>
                <w:rFonts w:ascii="Arial Narrow" w:hAnsi="Arial Narrow"/>
                <w:color w:val="000000"/>
                <w:spacing w:val="6"/>
                <w:lang w:val="es-ES" w:eastAsia="es-ES"/>
              </w:rPr>
              <w:t>Minorista hidrocarburos</w:t>
            </w:r>
          </w:p>
        </w:tc>
        <w:tc>
          <w:tcPr>
            <w:tcW w:w="2024"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15</w:t>
            </w:r>
          </w:p>
        </w:tc>
        <w:tc>
          <w:tcPr>
            <w:tcW w:w="192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-5.328</w:t>
            </w:r>
          </w:p>
        </w:tc>
        <w:tc>
          <w:tcPr>
            <w:tcW w:w="1213" w:type="dxa"/>
            <w:tcBorders>
              <w:top w:val="single" w:sz="2" w:space="0" w:color="auto"/>
              <w:left w:val="nil"/>
              <w:bottom w:val="single" w:sz="2"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color w:val="000000"/>
                <w:lang w:val="es-ES" w:eastAsia="es-ES"/>
              </w:rPr>
            </w:pPr>
            <w:r w:rsidRPr="00095FF0">
              <w:rPr>
                <w:rFonts w:ascii="Arial Narrow" w:hAnsi="Arial Narrow"/>
                <w:color w:val="000000"/>
                <w:lang w:val="es-ES" w:eastAsia="es-ES"/>
              </w:rPr>
              <w:t>-5.343</w:t>
            </w:r>
          </w:p>
        </w:tc>
        <w:tc>
          <w:tcPr>
            <w:tcW w:w="1099" w:type="dxa"/>
            <w:tcBorders>
              <w:top w:val="single" w:sz="2" w:space="0" w:color="auto"/>
              <w:left w:val="nil"/>
              <w:bottom w:val="single" w:sz="2"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-35.620</w:t>
            </w:r>
          </w:p>
        </w:tc>
      </w:tr>
      <w:tr w:rsidR="00586FE1" w:rsidRPr="00095FF0" w:rsidTr="00E907CA">
        <w:trPr>
          <w:trHeight w:val="227"/>
          <w:jc w:val="center"/>
        </w:trPr>
        <w:tc>
          <w:tcPr>
            <w:tcW w:w="2607" w:type="dxa"/>
            <w:tcBorders>
              <w:top w:val="single" w:sz="2" w:space="0" w:color="auto"/>
              <w:left w:val="nil"/>
              <w:bottom w:val="single" w:sz="4" w:space="0" w:color="auto"/>
              <w:right w:val="nil"/>
            </w:tcBorders>
            <w:shd w:val="clear" w:color="auto" w:fill="auto"/>
            <w:noWrap/>
            <w:vAlign w:val="center"/>
            <w:hideMark/>
          </w:tcPr>
          <w:p w:rsidR="00586FE1" w:rsidRPr="00095FF0" w:rsidRDefault="00586FE1" w:rsidP="009C6D07">
            <w:pPr>
              <w:spacing w:after="0"/>
              <w:ind w:firstLine="0"/>
              <w:jc w:val="left"/>
              <w:rPr>
                <w:rFonts w:ascii="Arial Narrow" w:hAnsi="Arial Narrow"/>
                <w:i/>
                <w:color w:val="000000"/>
                <w:lang w:val="es-ES" w:eastAsia="es-ES"/>
              </w:rPr>
            </w:pPr>
            <w:r w:rsidRPr="00095FF0">
              <w:rPr>
                <w:rFonts w:ascii="Arial Narrow" w:hAnsi="Arial Narrow"/>
                <w:i/>
                <w:color w:val="000000"/>
                <w:spacing w:val="6"/>
                <w:lang w:val="es-ES" w:eastAsia="es-ES"/>
              </w:rPr>
              <w:t xml:space="preserve">Total </w:t>
            </w:r>
            <w:r>
              <w:rPr>
                <w:rFonts w:ascii="Arial Narrow" w:hAnsi="Arial Narrow"/>
                <w:i/>
                <w:color w:val="000000"/>
                <w:spacing w:val="6"/>
                <w:lang w:val="es-ES" w:eastAsia="es-ES"/>
              </w:rPr>
              <w:t>Impuestos I</w:t>
            </w:r>
            <w:r w:rsidRPr="00095FF0">
              <w:rPr>
                <w:rFonts w:ascii="Arial Narrow" w:hAnsi="Arial Narrow"/>
                <w:i/>
                <w:color w:val="000000"/>
                <w:spacing w:val="6"/>
                <w:lang w:val="es-ES" w:eastAsia="es-ES"/>
              </w:rPr>
              <w:t>ndirectos</w:t>
            </w:r>
          </w:p>
        </w:tc>
        <w:tc>
          <w:tcPr>
            <w:tcW w:w="2024"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946.398</w:t>
            </w:r>
          </w:p>
        </w:tc>
        <w:tc>
          <w:tcPr>
            <w:tcW w:w="1923"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952.919</w:t>
            </w:r>
          </w:p>
        </w:tc>
        <w:tc>
          <w:tcPr>
            <w:tcW w:w="1213" w:type="dxa"/>
            <w:tcBorders>
              <w:top w:val="single" w:sz="2" w:space="0" w:color="auto"/>
              <w:left w:val="nil"/>
              <w:bottom w:val="single" w:sz="4" w:space="0" w:color="auto"/>
              <w:right w:val="nil"/>
            </w:tcBorders>
            <w:shd w:val="clear" w:color="auto" w:fill="auto"/>
            <w:vAlign w:val="center"/>
            <w:hideMark/>
          </w:tcPr>
          <w:p w:rsidR="00586FE1" w:rsidRPr="00095FF0" w:rsidRDefault="00586FE1" w:rsidP="009C6D07">
            <w:pPr>
              <w:spacing w:after="0"/>
              <w:ind w:firstLine="0"/>
              <w:jc w:val="right"/>
              <w:rPr>
                <w:rFonts w:ascii="Arial Narrow" w:hAnsi="Arial Narrow"/>
                <w:i/>
                <w:color w:val="000000"/>
                <w:lang w:val="es-ES" w:eastAsia="es-ES"/>
              </w:rPr>
            </w:pPr>
            <w:r w:rsidRPr="00095FF0">
              <w:rPr>
                <w:rFonts w:ascii="Arial Narrow" w:hAnsi="Arial Narrow"/>
                <w:i/>
                <w:color w:val="000000"/>
                <w:lang w:val="es-ES" w:eastAsia="es-ES"/>
              </w:rPr>
              <w:t>6.521</w:t>
            </w:r>
          </w:p>
        </w:tc>
        <w:tc>
          <w:tcPr>
            <w:tcW w:w="1099" w:type="dxa"/>
            <w:tcBorders>
              <w:top w:val="single" w:sz="2" w:space="0" w:color="auto"/>
              <w:left w:val="nil"/>
              <w:bottom w:val="single" w:sz="4" w:space="0" w:color="auto"/>
              <w:right w:val="nil"/>
            </w:tcBorders>
            <w:vAlign w:val="center"/>
          </w:tcPr>
          <w:p w:rsidR="00586FE1" w:rsidRPr="00E907CA" w:rsidRDefault="00586FE1" w:rsidP="00E907CA">
            <w:pPr>
              <w:spacing w:after="0"/>
              <w:ind w:firstLine="0"/>
              <w:jc w:val="right"/>
              <w:rPr>
                <w:rFonts w:ascii="Arial Narrow" w:hAnsi="Arial Narrow"/>
                <w:lang w:val="es-ES" w:eastAsia="es-ES"/>
              </w:rPr>
            </w:pPr>
            <w:r w:rsidRPr="00E907CA">
              <w:rPr>
                <w:rFonts w:ascii="Arial Narrow" w:hAnsi="Arial Narrow"/>
                <w:lang w:val="es-ES" w:eastAsia="es-ES"/>
              </w:rPr>
              <w:t>1</w:t>
            </w:r>
          </w:p>
        </w:tc>
      </w:tr>
      <w:tr w:rsidR="00586FE1" w:rsidRPr="00817444" w:rsidTr="00E907CA">
        <w:trPr>
          <w:trHeight w:val="255"/>
          <w:jc w:val="center"/>
        </w:trPr>
        <w:tc>
          <w:tcPr>
            <w:tcW w:w="2607" w:type="dxa"/>
            <w:tcBorders>
              <w:top w:val="single" w:sz="4" w:space="0" w:color="auto"/>
              <w:left w:val="nil"/>
              <w:bottom w:val="single" w:sz="4" w:space="0" w:color="auto"/>
              <w:right w:val="nil"/>
            </w:tcBorders>
            <w:shd w:val="clear" w:color="auto" w:fill="8DB3E2" w:themeFill="text2" w:themeFillTint="66"/>
            <w:noWrap/>
            <w:vAlign w:val="center"/>
            <w:hideMark/>
          </w:tcPr>
          <w:p w:rsidR="00586FE1" w:rsidRPr="00817444" w:rsidRDefault="00586FE1" w:rsidP="009C6D07">
            <w:pPr>
              <w:spacing w:after="0"/>
              <w:ind w:firstLine="0"/>
              <w:jc w:val="left"/>
              <w:rPr>
                <w:rFonts w:ascii="Arial" w:hAnsi="Arial" w:cs="Arial"/>
                <w:color w:val="000000"/>
                <w:sz w:val="18"/>
                <w:szCs w:val="18"/>
                <w:lang w:val="es-ES" w:eastAsia="es-ES"/>
              </w:rPr>
            </w:pPr>
            <w:r w:rsidRPr="00817444">
              <w:rPr>
                <w:rFonts w:ascii="Arial" w:hAnsi="Arial" w:cs="Arial"/>
                <w:color w:val="000000"/>
                <w:sz w:val="18"/>
                <w:szCs w:val="18"/>
                <w:lang w:val="es-ES" w:eastAsia="es-ES"/>
              </w:rPr>
              <w:t>Total</w:t>
            </w:r>
            <w:r>
              <w:rPr>
                <w:rFonts w:ascii="Arial" w:hAnsi="Arial" w:cs="Arial"/>
                <w:color w:val="000000"/>
                <w:sz w:val="18"/>
                <w:szCs w:val="18"/>
                <w:lang w:val="es-ES" w:eastAsia="es-ES"/>
              </w:rPr>
              <w:t xml:space="preserve"> Impuestos</w:t>
            </w:r>
          </w:p>
        </w:tc>
        <w:tc>
          <w:tcPr>
            <w:tcW w:w="2024"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8"/>
                <w:szCs w:val="18"/>
                <w:lang w:val="es-ES" w:eastAsia="es-ES"/>
              </w:rPr>
            </w:pPr>
            <w:r w:rsidRPr="00817444">
              <w:rPr>
                <w:rFonts w:ascii="Arial" w:hAnsi="Arial" w:cs="Arial"/>
                <w:color w:val="000000"/>
                <w:sz w:val="18"/>
                <w:szCs w:val="18"/>
                <w:lang w:val="es-ES" w:eastAsia="es-ES"/>
              </w:rPr>
              <w:t>1.870.054</w:t>
            </w:r>
          </w:p>
        </w:tc>
        <w:tc>
          <w:tcPr>
            <w:tcW w:w="1923"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8"/>
                <w:szCs w:val="18"/>
                <w:lang w:val="es-ES" w:eastAsia="es-ES"/>
              </w:rPr>
            </w:pPr>
            <w:r w:rsidRPr="00817444">
              <w:rPr>
                <w:rFonts w:ascii="Arial" w:hAnsi="Arial" w:cs="Arial"/>
                <w:color w:val="000000"/>
                <w:sz w:val="18"/>
                <w:szCs w:val="18"/>
                <w:lang w:val="es-ES" w:eastAsia="es-ES"/>
              </w:rPr>
              <w:t>1.950.732</w:t>
            </w:r>
          </w:p>
        </w:tc>
        <w:tc>
          <w:tcPr>
            <w:tcW w:w="1213" w:type="dxa"/>
            <w:tcBorders>
              <w:top w:val="single" w:sz="4" w:space="0" w:color="auto"/>
              <w:left w:val="nil"/>
              <w:bottom w:val="single" w:sz="4" w:space="0" w:color="auto"/>
              <w:right w:val="nil"/>
            </w:tcBorders>
            <w:shd w:val="clear" w:color="auto" w:fill="8DB3E2" w:themeFill="text2" w:themeFillTint="66"/>
            <w:vAlign w:val="center"/>
            <w:hideMark/>
          </w:tcPr>
          <w:p w:rsidR="00586FE1" w:rsidRPr="00817444" w:rsidRDefault="00586FE1" w:rsidP="009C6D07">
            <w:pPr>
              <w:spacing w:after="0"/>
              <w:ind w:firstLine="0"/>
              <w:jc w:val="right"/>
              <w:rPr>
                <w:rFonts w:ascii="Arial" w:hAnsi="Arial" w:cs="Arial"/>
                <w:color w:val="000000"/>
                <w:sz w:val="18"/>
                <w:szCs w:val="18"/>
                <w:lang w:val="es-ES" w:eastAsia="es-ES"/>
              </w:rPr>
            </w:pPr>
            <w:r w:rsidRPr="00817444">
              <w:rPr>
                <w:rFonts w:ascii="Arial" w:hAnsi="Arial" w:cs="Arial"/>
                <w:color w:val="000000"/>
                <w:sz w:val="18"/>
                <w:szCs w:val="18"/>
                <w:lang w:val="es-ES" w:eastAsia="es-ES"/>
              </w:rPr>
              <w:t>80.678</w:t>
            </w:r>
          </w:p>
        </w:tc>
        <w:tc>
          <w:tcPr>
            <w:tcW w:w="1099" w:type="dxa"/>
            <w:tcBorders>
              <w:top w:val="single" w:sz="4" w:space="0" w:color="auto"/>
              <w:left w:val="nil"/>
              <w:bottom w:val="single" w:sz="4" w:space="0" w:color="auto"/>
              <w:right w:val="nil"/>
            </w:tcBorders>
            <w:shd w:val="clear" w:color="auto" w:fill="8DB3E2" w:themeFill="text2" w:themeFillTint="66"/>
            <w:vAlign w:val="center"/>
          </w:tcPr>
          <w:p w:rsidR="00586FE1" w:rsidRPr="00E907CA" w:rsidRDefault="00586FE1" w:rsidP="00E907CA">
            <w:pPr>
              <w:spacing w:after="0"/>
              <w:ind w:firstLine="0"/>
              <w:jc w:val="right"/>
              <w:rPr>
                <w:rFonts w:ascii="Calibri" w:hAnsi="Calibri"/>
                <w:sz w:val="22"/>
                <w:szCs w:val="22"/>
                <w:lang w:val="es-ES" w:eastAsia="es-ES"/>
              </w:rPr>
            </w:pPr>
            <w:r w:rsidRPr="00E907CA">
              <w:rPr>
                <w:rFonts w:ascii="Calibri" w:hAnsi="Calibri"/>
                <w:sz w:val="22"/>
                <w:szCs w:val="22"/>
                <w:lang w:val="es-ES" w:eastAsia="es-ES"/>
              </w:rPr>
              <w:t>4</w:t>
            </w:r>
          </w:p>
        </w:tc>
      </w:tr>
    </w:tbl>
    <w:p w:rsidR="007E6AC4" w:rsidRPr="00817444" w:rsidRDefault="007E6AC4" w:rsidP="007E6AC4">
      <w:pPr>
        <w:tabs>
          <w:tab w:val="center" w:pos="2835"/>
          <w:tab w:val="center" w:pos="3969"/>
          <w:tab w:val="center" w:pos="5103"/>
          <w:tab w:val="center" w:pos="6237"/>
          <w:tab w:val="center" w:pos="7371"/>
        </w:tabs>
        <w:spacing w:after="120"/>
        <w:ind w:firstLine="284"/>
        <w:rPr>
          <w:sz w:val="24"/>
          <w:szCs w:val="24"/>
        </w:rPr>
      </w:pPr>
      <w:r w:rsidRPr="00817444">
        <w:rPr>
          <w:sz w:val="24"/>
          <w:szCs w:val="24"/>
        </w:rPr>
        <w:lastRenderedPageBreak/>
        <w:t>De su análisis, señalamos:</w:t>
      </w:r>
    </w:p>
    <w:p w:rsidR="007E6AC4" w:rsidRPr="00817444" w:rsidRDefault="007E6AC4" w:rsidP="007E6AC4">
      <w:pPr>
        <w:tabs>
          <w:tab w:val="center" w:pos="2835"/>
          <w:tab w:val="center" w:pos="3969"/>
          <w:tab w:val="center" w:pos="5103"/>
          <w:tab w:val="center" w:pos="6237"/>
          <w:tab w:val="center" w:pos="7371"/>
        </w:tabs>
        <w:spacing w:after="120"/>
        <w:ind w:firstLine="284"/>
        <w:rPr>
          <w:rFonts w:ascii="Times New (W1)" w:hAnsi="Times New (W1)"/>
          <w:spacing w:val="-2"/>
          <w:sz w:val="24"/>
          <w:szCs w:val="24"/>
        </w:rPr>
      </w:pPr>
      <w:r w:rsidRPr="00817444">
        <w:rPr>
          <w:sz w:val="24"/>
          <w:szCs w:val="24"/>
        </w:rPr>
        <w:t xml:space="preserve">a) </w:t>
      </w:r>
      <w:r w:rsidRPr="00817444">
        <w:rPr>
          <w:rFonts w:ascii="Times New (W1)" w:hAnsi="Times New (W1)"/>
          <w:spacing w:val="-2"/>
          <w:sz w:val="24"/>
          <w:szCs w:val="24"/>
        </w:rPr>
        <w:t>Los derechos reconocidos por impuestos entre agosto de 2015 y agosto de 2014 se han incrementado en un cuatro por ciento, esto es, en 81 millones. En julio de 2015 respecto al mismo periodo del año anterior, ese incremento fue de escasamente un millón de euros.</w:t>
      </w:r>
    </w:p>
    <w:p w:rsidR="007E6AC4" w:rsidRPr="00817444" w:rsidRDefault="007E6AC4" w:rsidP="007E6AC4">
      <w:pPr>
        <w:tabs>
          <w:tab w:val="center" w:pos="2835"/>
          <w:tab w:val="center" w:pos="3969"/>
          <w:tab w:val="center" w:pos="5103"/>
          <w:tab w:val="center" w:pos="6237"/>
          <w:tab w:val="center" w:pos="7371"/>
        </w:tabs>
        <w:spacing w:after="120"/>
        <w:ind w:firstLine="284"/>
        <w:rPr>
          <w:sz w:val="24"/>
          <w:szCs w:val="24"/>
        </w:rPr>
      </w:pPr>
      <w:r w:rsidRPr="00817444">
        <w:rPr>
          <w:sz w:val="24"/>
          <w:szCs w:val="24"/>
        </w:rPr>
        <w:t xml:space="preserve">b) Por impuestos que aumentan sus derechos destacamos: Sociedades </w:t>
      </w:r>
      <w:r>
        <w:rPr>
          <w:sz w:val="24"/>
          <w:szCs w:val="24"/>
        </w:rPr>
        <w:t>–</w:t>
      </w:r>
      <w:r w:rsidRPr="00817444">
        <w:rPr>
          <w:sz w:val="24"/>
          <w:szCs w:val="24"/>
        </w:rPr>
        <w:t>48 millones</w:t>
      </w:r>
      <w:r>
        <w:rPr>
          <w:sz w:val="24"/>
          <w:szCs w:val="24"/>
        </w:rPr>
        <w:t>–</w:t>
      </w:r>
      <w:r w:rsidRPr="00817444">
        <w:rPr>
          <w:sz w:val="24"/>
          <w:szCs w:val="24"/>
        </w:rPr>
        <w:t>, IRPF –con 33 millones</w:t>
      </w:r>
      <w:r>
        <w:rPr>
          <w:sz w:val="24"/>
          <w:szCs w:val="24"/>
        </w:rPr>
        <w:t>–</w:t>
      </w:r>
      <w:r w:rsidRPr="00817444">
        <w:rPr>
          <w:sz w:val="24"/>
          <w:szCs w:val="24"/>
        </w:rPr>
        <w:t xml:space="preserve">, Especiales </w:t>
      </w:r>
      <w:r>
        <w:rPr>
          <w:sz w:val="24"/>
          <w:szCs w:val="24"/>
        </w:rPr>
        <w:t>–</w:t>
      </w:r>
      <w:r w:rsidRPr="00817444">
        <w:rPr>
          <w:sz w:val="24"/>
          <w:szCs w:val="24"/>
        </w:rPr>
        <w:t>31 millones</w:t>
      </w:r>
      <w:r>
        <w:rPr>
          <w:sz w:val="24"/>
          <w:szCs w:val="24"/>
        </w:rPr>
        <w:t>– e IVA gestión directa –</w:t>
      </w:r>
      <w:r w:rsidRPr="00817444">
        <w:rPr>
          <w:sz w:val="24"/>
          <w:szCs w:val="24"/>
        </w:rPr>
        <w:t>26 millones</w:t>
      </w:r>
      <w:r>
        <w:rPr>
          <w:sz w:val="24"/>
          <w:szCs w:val="24"/>
        </w:rPr>
        <w:t>–</w:t>
      </w:r>
      <w:r w:rsidRPr="00817444">
        <w:rPr>
          <w:sz w:val="24"/>
          <w:szCs w:val="24"/>
        </w:rPr>
        <w:t>.</w:t>
      </w:r>
    </w:p>
    <w:p w:rsidR="007E6AC4" w:rsidRPr="00817444" w:rsidRDefault="007E6AC4" w:rsidP="007E6AC4">
      <w:pPr>
        <w:tabs>
          <w:tab w:val="center" w:pos="2835"/>
          <w:tab w:val="center" w:pos="3969"/>
          <w:tab w:val="center" w:pos="5103"/>
          <w:tab w:val="center" w:pos="6237"/>
          <w:tab w:val="center" w:pos="7371"/>
        </w:tabs>
        <w:spacing w:after="120"/>
        <w:ind w:firstLine="284"/>
        <w:rPr>
          <w:sz w:val="24"/>
          <w:szCs w:val="24"/>
        </w:rPr>
      </w:pPr>
      <w:r w:rsidRPr="00817444">
        <w:rPr>
          <w:sz w:val="24"/>
          <w:szCs w:val="24"/>
        </w:rPr>
        <w:t>c) Los ajustes del Convenio Económico se han reducido en un 13 por ciento, lo que r</w:t>
      </w:r>
      <w:r w:rsidRPr="00817444">
        <w:rPr>
          <w:sz w:val="24"/>
          <w:szCs w:val="24"/>
        </w:rPr>
        <w:t>e</w:t>
      </w:r>
      <w:r w:rsidRPr="00817444">
        <w:rPr>
          <w:sz w:val="24"/>
          <w:szCs w:val="24"/>
        </w:rPr>
        <w:t xml:space="preserve">presenta unos derechos inferiores de 49 millones. </w:t>
      </w:r>
    </w:p>
    <w:p w:rsidR="007E6AC4" w:rsidRPr="00817444" w:rsidRDefault="007E6AC4" w:rsidP="009C6D07">
      <w:pPr>
        <w:numPr>
          <w:ilvl w:val="0"/>
          <w:numId w:val="16"/>
        </w:numPr>
        <w:tabs>
          <w:tab w:val="num" w:pos="300"/>
          <w:tab w:val="left" w:pos="480"/>
        </w:tabs>
        <w:spacing w:after="240"/>
        <w:ind w:firstLine="289"/>
        <w:rPr>
          <w:sz w:val="24"/>
          <w:szCs w:val="24"/>
          <w:lang w:val="es-ES"/>
        </w:rPr>
      </w:pPr>
      <w:r w:rsidRPr="00817444">
        <w:rPr>
          <w:sz w:val="24"/>
          <w:szCs w:val="24"/>
        </w:rPr>
        <w:t>En el siguiente cuadro, se compara</w:t>
      </w:r>
      <w:r>
        <w:rPr>
          <w:sz w:val="24"/>
          <w:szCs w:val="24"/>
        </w:rPr>
        <w:t>n</w:t>
      </w:r>
      <w:r w:rsidRPr="00817444">
        <w:rPr>
          <w:sz w:val="24"/>
          <w:szCs w:val="24"/>
        </w:rPr>
        <w:t xml:space="preserve"> los derechos reconocidos por impuestos hasta el mes de julio de 2015 y los derechos reconocidos propiamente del mes de agosto de 2015</w:t>
      </w:r>
      <w:r>
        <w:rPr>
          <w:sz w:val="24"/>
          <w:szCs w:val="24"/>
        </w:rPr>
        <w:t xml:space="preserve">, </w:t>
      </w:r>
      <w:r w:rsidRPr="00817444">
        <w:rPr>
          <w:sz w:val="24"/>
          <w:szCs w:val="24"/>
        </w:rPr>
        <w:t xml:space="preserve"> en miles de euros</w:t>
      </w:r>
      <w:r>
        <w:rPr>
          <w:sz w:val="24"/>
          <w:szCs w:val="24"/>
        </w:rPr>
        <w:t>.</w:t>
      </w:r>
    </w:p>
    <w:tbl>
      <w:tblPr>
        <w:tblW w:w="8765"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606"/>
        <w:gridCol w:w="2566"/>
        <w:gridCol w:w="2593"/>
      </w:tblGrid>
      <w:tr w:rsidR="007E6AC4" w:rsidRPr="00817444" w:rsidTr="00195087">
        <w:trPr>
          <w:trHeight w:val="227"/>
          <w:jc w:val="center"/>
        </w:trPr>
        <w:tc>
          <w:tcPr>
            <w:tcW w:w="3606" w:type="dxa"/>
            <w:tcBorders>
              <w:bottom w:val="single" w:sz="4" w:space="0" w:color="auto"/>
            </w:tcBorders>
            <w:shd w:val="clear" w:color="auto" w:fill="8DB3E2" w:themeFill="text2" w:themeFillTint="66"/>
            <w:vAlign w:val="center"/>
          </w:tcPr>
          <w:p w:rsidR="007E6AC4" w:rsidRPr="00817444" w:rsidRDefault="007E6AC4" w:rsidP="009C6D07">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lang w:val="es-ES" w:eastAsia="es-ES"/>
              </w:rPr>
            </w:pPr>
            <w:r w:rsidRPr="00817444">
              <w:rPr>
                <w:rFonts w:ascii="Arial" w:hAnsi="Arial" w:cs="Arial"/>
                <w:spacing w:val="6"/>
                <w:sz w:val="17"/>
                <w:szCs w:val="17"/>
                <w:lang w:val="es-ES" w:eastAsia="es-ES"/>
              </w:rPr>
              <w:t>Impuestos</w:t>
            </w:r>
          </w:p>
        </w:tc>
        <w:tc>
          <w:tcPr>
            <w:tcW w:w="2566" w:type="dxa"/>
            <w:tcBorders>
              <w:bottom w:val="single" w:sz="4" w:space="0" w:color="auto"/>
            </w:tcBorders>
            <w:shd w:val="clear" w:color="auto" w:fill="8DB3E2" w:themeFill="text2" w:themeFillTint="66"/>
            <w:vAlign w:val="center"/>
          </w:tcPr>
          <w:p w:rsidR="007E6AC4" w:rsidRPr="00817444" w:rsidRDefault="007E6AC4" w:rsidP="009C6D07">
            <w:pPr>
              <w:spacing w:after="0"/>
              <w:ind w:firstLine="0"/>
              <w:jc w:val="right"/>
              <w:rPr>
                <w:rFonts w:ascii="Arial" w:hAnsi="Arial" w:cs="Arial"/>
                <w:sz w:val="17"/>
                <w:szCs w:val="17"/>
                <w:lang w:eastAsia="es-ES"/>
              </w:rPr>
            </w:pPr>
            <w:r w:rsidRPr="00817444">
              <w:rPr>
                <w:rFonts w:ascii="Arial" w:hAnsi="Arial" w:cs="Arial"/>
                <w:sz w:val="17"/>
                <w:szCs w:val="17"/>
                <w:lang w:eastAsia="es-ES"/>
              </w:rPr>
              <w:t xml:space="preserve">Derechos reconocidos </w:t>
            </w:r>
          </w:p>
          <w:p w:rsidR="007E6AC4" w:rsidRPr="00817444" w:rsidRDefault="009C6D07" w:rsidP="009C6D07">
            <w:pPr>
              <w:spacing w:after="0"/>
              <w:ind w:firstLine="0"/>
              <w:jc w:val="right"/>
              <w:rPr>
                <w:rFonts w:ascii="Arial" w:hAnsi="Arial" w:cs="Arial"/>
                <w:spacing w:val="6"/>
                <w:sz w:val="17"/>
                <w:szCs w:val="17"/>
                <w:lang w:val="es-ES" w:eastAsia="es-ES"/>
              </w:rPr>
            </w:pPr>
            <w:r w:rsidRPr="00817444">
              <w:rPr>
                <w:rFonts w:ascii="Arial" w:hAnsi="Arial" w:cs="Arial"/>
                <w:sz w:val="17"/>
                <w:szCs w:val="17"/>
                <w:lang w:eastAsia="es-ES"/>
              </w:rPr>
              <w:t>acumulados</w:t>
            </w:r>
            <w:r>
              <w:rPr>
                <w:rFonts w:ascii="Arial" w:hAnsi="Arial" w:cs="Arial"/>
                <w:sz w:val="17"/>
                <w:szCs w:val="17"/>
                <w:lang w:eastAsia="es-ES"/>
              </w:rPr>
              <w:t xml:space="preserve"> </w:t>
            </w:r>
            <w:r w:rsidR="007E6AC4" w:rsidRPr="00817444">
              <w:rPr>
                <w:rFonts w:ascii="Arial" w:hAnsi="Arial" w:cs="Arial"/>
                <w:sz w:val="17"/>
                <w:szCs w:val="17"/>
                <w:lang w:eastAsia="es-ES"/>
              </w:rPr>
              <w:t>hasta julio 2015</w:t>
            </w:r>
          </w:p>
        </w:tc>
        <w:tc>
          <w:tcPr>
            <w:tcW w:w="2593" w:type="dxa"/>
            <w:tcBorders>
              <w:bottom w:val="single" w:sz="4" w:space="0" w:color="auto"/>
            </w:tcBorders>
            <w:shd w:val="clear" w:color="auto" w:fill="8DB3E2" w:themeFill="text2" w:themeFillTint="66"/>
            <w:vAlign w:val="center"/>
          </w:tcPr>
          <w:p w:rsidR="009C6D07" w:rsidRDefault="007E6AC4" w:rsidP="009C6D07">
            <w:pPr>
              <w:spacing w:after="0"/>
              <w:ind w:firstLine="0"/>
              <w:jc w:val="right"/>
              <w:rPr>
                <w:rFonts w:ascii="Arial" w:hAnsi="Arial" w:cs="Arial"/>
                <w:sz w:val="17"/>
                <w:szCs w:val="17"/>
                <w:lang w:eastAsia="es-ES"/>
              </w:rPr>
            </w:pPr>
            <w:r w:rsidRPr="00817444">
              <w:rPr>
                <w:rFonts w:ascii="Arial" w:hAnsi="Arial" w:cs="Arial"/>
                <w:sz w:val="17"/>
                <w:szCs w:val="17"/>
                <w:lang w:eastAsia="es-ES"/>
              </w:rPr>
              <w:t>Derechos reconocidos</w:t>
            </w:r>
          </w:p>
          <w:p w:rsidR="007E6AC4" w:rsidRPr="00817444" w:rsidRDefault="007E6AC4" w:rsidP="009C6D07">
            <w:pPr>
              <w:spacing w:after="0"/>
              <w:ind w:firstLine="0"/>
              <w:jc w:val="right"/>
              <w:rPr>
                <w:rFonts w:ascii="Arial" w:hAnsi="Arial" w:cs="Arial"/>
                <w:sz w:val="17"/>
                <w:szCs w:val="17"/>
                <w:lang w:val="es-ES" w:eastAsia="es-ES"/>
              </w:rPr>
            </w:pPr>
            <w:r w:rsidRPr="00817444">
              <w:rPr>
                <w:rFonts w:ascii="Arial" w:hAnsi="Arial" w:cs="Arial"/>
                <w:sz w:val="17"/>
                <w:szCs w:val="17"/>
                <w:lang w:eastAsia="es-ES"/>
              </w:rPr>
              <w:t xml:space="preserve"> mes agosto 2015</w:t>
            </w:r>
          </w:p>
        </w:tc>
      </w:tr>
      <w:tr w:rsidR="007E6AC4" w:rsidRPr="00095FF0" w:rsidTr="009C6D07">
        <w:trPr>
          <w:trHeight w:hRule="exact" w:val="227"/>
          <w:jc w:val="center"/>
        </w:trPr>
        <w:tc>
          <w:tcPr>
            <w:tcW w:w="3606" w:type="dxa"/>
            <w:tcBorders>
              <w:top w:val="single" w:sz="4"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IRPF</w:t>
            </w:r>
          </w:p>
        </w:tc>
        <w:tc>
          <w:tcPr>
            <w:tcW w:w="2566" w:type="dxa"/>
            <w:tcBorders>
              <w:top w:val="single" w:sz="4"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627.984</w:t>
            </w:r>
          </w:p>
        </w:tc>
        <w:tc>
          <w:tcPr>
            <w:tcW w:w="2593" w:type="dxa"/>
            <w:tcBorders>
              <w:top w:val="single" w:sz="4"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122.900</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No residentes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4.874</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418</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Sociedades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62.759</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90.634</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Patrimonio</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41.613</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2.577</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Sucesiones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37.252</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3.869</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Otros y extinguidos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20</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2.913</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i/>
                <w:spacing w:val="6"/>
                <w:lang w:val="es-ES" w:eastAsia="es-ES"/>
              </w:rPr>
            </w:pPr>
            <w:r w:rsidRPr="00095FF0">
              <w:rPr>
                <w:rFonts w:ascii="Arial Narrow" w:hAnsi="Arial Narrow"/>
                <w:i/>
                <w:spacing w:val="6"/>
                <w:lang w:val="es-ES" w:eastAsia="es-ES"/>
              </w:rPr>
              <w:t xml:space="preserve">Total </w:t>
            </w:r>
            <w:r>
              <w:rPr>
                <w:rFonts w:ascii="Arial Narrow" w:hAnsi="Arial Narrow"/>
                <w:i/>
                <w:spacing w:val="6"/>
                <w:lang w:val="es-ES" w:eastAsia="es-ES"/>
              </w:rPr>
              <w:t>Impuestos D</w:t>
            </w:r>
            <w:r w:rsidRPr="00095FF0">
              <w:rPr>
                <w:rFonts w:ascii="Arial Narrow" w:hAnsi="Arial Narrow"/>
                <w:i/>
                <w:spacing w:val="6"/>
                <w:lang w:val="es-ES" w:eastAsia="es-ES"/>
              </w:rPr>
              <w:t>irectos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i/>
                <w:lang w:val="es-ES" w:eastAsia="es-ES"/>
              </w:rPr>
            </w:pPr>
            <w:r w:rsidRPr="00095FF0">
              <w:rPr>
                <w:rFonts w:ascii="Arial Narrow" w:hAnsi="Arial Narrow"/>
                <w:i/>
                <w:lang w:val="es-ES" w:eastAsia="es-ES"/>
              </w:rPr>
              <w:t>774.502</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i/>
                <w:lang w:val="es-ES" w:eastAsia="es-ES"/>
              </w:rPr>
            </w:pPr>
            <w:r w:rsidRPr="00095FF0">
              <w:rPr>
                <w:rFonts w:ascii="Arial Narrow" w:hAnsi="Arial Narrow"/>
                <w:i/>
                <w:lang w:val="es-ES" w:eastAsia="es-ES"/>
              </w:rPr>
              <w:t>223.311</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Ajustes Convenio Económico</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342.805</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0</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IVA gestión directa</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230.192</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76.256</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Especiales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222.813</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42.739</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Primas de seguro</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11.711</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871</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Transmisiones AAJJDD</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25.481</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5.379</w:t>
            </w:r>
          </w:p>
        </w:tc>
      </w:tr>
      <w:tr w:rsidR="007E6AC4" w:rsidRPr="00095FF0" w:rsidTr="009C6D07">
        <w:trPr>
          <w:trHeight w:hRule="exact" w:val="227"/>
          <w:jc w:val="center"/>
        </w:trPr>
        <w:tc>
          <w:tcPr>
            <w:tcW w:w="3606" w:type="dxa"/>
            <w:tcBorders>
              <w:top w:val="single" w:sz="2" w:space="0" w:color="auto"/>
              <w:bottom w:val="single" w:sz="2" w:space="0" w:color="auto"/>
            </w:tcBorders>
            <w:vAlign w:val="center"/>
          </w:tcPr>
          <w:p w:rsidR="007E6AC4" w:rsidRPr="00095FF0" w:rsidRDefault="007E6AC4" w:rsidP="009C6D07">
            <w:pPr>
              <w:spacing w:after="0"/>
              <w:ind w:firstLine="0"/>
              <w:jc w:val="left"/>
              <w:rPr>
                <w:rFonts w:ascii="Arial Narrow" w:hAnsi="Arial Narrow"/>
                <w:spacing w:val="6"/>
                <w:lang w:val="es-ES" w:eastAsia="es-ES"/>
              </w:rPr>
            </w:pPr>
            <w:r w:rsidRPr="00095FF0">
              <w:rPr>
                <w:rFonts w:ascii="Arial Narrow" w:hAnsi="Arial Narrow"/>
                <w:spacing w:val="6"/>
                <w:lang w:val="es-ES" w:eastAsia="es-ES"/>
              </w:rPr>
              <w:t>Minorista hidrocarburos</w:t>
            </w:r>
          </w:p>
        </w:tc>
        <w:tc>
          <w:tcPr>
            <w:tcW w:w="2566"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-5.002</w:t>
            </w:r>
          </w:p>
        </w:tc>
        <w:tc>
          <w:tcPr>
            <w:tcW w:w="2593" w:type="dxa"/>
            <w:tcBorders>
              <w:top w:val="single" w:sz="2" w:space="0" w:color="auto"/>
              <w:bottom w:val="single" w:sz="2" w:space="0" w:color="auto"/>
            </w:tcBorders>
            <w:vAlign w:val="center"/>
          </w:tcPr>
          <w:p w:rsidR="007E6AC4" w:rsidRPr="00095FF0" w:rsidRDefault="007E6AC4" w:rsidP="009C6D07">
            <w:pPr>
              <w:spacing w:after="0"/>
              <w:ind w:firstLine="0"/>
              <w:jc w:val="right"/>
              <w:rPr>
                <w:rFonts w:ascii="Arial Narrow" w:hAnsi="Arial Narrow"/>
                <w:lang w:val="es-ES" w:eastAsia="es-ES"/>
              </w:rPr>
            </w:pPr>
            <w:r w:rsidRPr="00095FF0">
              <w:rPr>
                <w:rFonts w:ascii="Arial Narrow" w:hAnsi="Arial Narrow"/>
                <w:lang w:val="es-ES" w:eastAsia="es-ES"/>
              </w:rPr>
              <w:t>-326</w:t>
            </w:r>
          </w:p>
        </w:tc>
      </w:tr>
      <w:tr w:rsidR="007E6AC4" w:rsidRPr="00095FF0" w:rsidTr="009C6D07">
        <w:trPr>
          <w:trHeight w:hRule="exact" w:val="227"/>
          <w:jc w:val="center"/>
        </w:trPr>
        <w:tc>
          <w:tcPr>
            <w:tcW w:w="3606" w:type="dxa"/>
            <w:tcBorders>
              <w:top w:val="single" w:sz="2" w:space="0" w:color="auto"/>
              <w:bottom w:val="single" w:sz="4" w:space="0" w:color="auto"/>
            </w:tcBorders>
            <w:vAlign w:val="center"/>
          </w:tcPr>
          <w:p w:rsidR="007E6AC4" w:rsidRPr="00095FF0" w:rsidRDefault="007E6AC4" w:rsidP="009C6D07">
            <w:pPr>
              <w:spacing w:after="0"/>
              <w:ind w:firstLine="0"/>
              <w:jc w:val="left"/>
              <w:rPr>
                <w:rFonts w:ascii="Arial Narrow" w:hAnsi="Arial Narrow"/>
                <w:i/>
                <w:spacing w:val="6"/>
                <w:lang w:val="es-ES" w:eastAsia="es-ES"/>
              </w:rPr>
            </w:pPr>
            <w:r w:rsidRPr="00095FF0">
              <w:rPr>
                <w:rFonts w:ascii="Arial Narrow" w:hAnsi="Arial Narrow"/>
                <w:i/>
                <w:spacing w:val="6"/>
                <w:lang w:val="es-ES" w:eastAsia="es-ES"/>
              </w:rPr>
              <w:t xml:space="preserve">Total </w:t>
            </w:r>
            <w:r>
              <w:rPr>
                <w:rFonts w:ascii="Arial Narrow" w:hAnsi="Arial Narrow"/>
                <w:i/>
                <w:spacing w:val="6"/>
                <w:lang w:val="es-ES" w:eastAsia="es-ES"/>
              </w:rPr>
              <w:t>Impuestos Indirectos</w:t>
            </w:r>
          </w:p>
        </w:tc>
        <w:tc>
          <w:tcPr>
            <w:tcW w:w="2566" w:type="dxa"/>
            <w:tcBorders>
              <w:top w:val="single" w:sz="2" w:space="0" w:color="auto"/>
              <w:bottom w:val="single" w:sz="4" w:space="0" w:color="auto"/>
            </w:tcBorders>
            <w:vAlign w:val="center"/>
          </w:tcPr>
          <w:p w:rsidR="007E6AC4" w:rsidRPr="00095FF0" w:rsidRDefault="007E6AC4" w:rsidP="009C6D07">
            <w:pPr>
              <w:spacing w:after="0"/>
              <w:ind w:firstLine="0"/>
              <w:jc w:val="right"/>
              <w:rPr>
                <w:rFonts w:ascii="Arial Narrow" w:hAnsi="Arial Narrow"/>
                <w:i/>
                <w:lang w:val="es-ES" w:eastAsia="es-ES"/>
              </w:rPr>
            </w:pPr>
            <w:r w:rsidRPr="00095FF0">
              <w:rPr>
                <w:rFonts w:ascii="Arial Narrow" w:hAnsi="Arial Narrow"/>
                <w:i/>
                <w:lang w:val="es-ES" w:eastAsia="es-ES"/>
              </w:rPr>
              <w:t>828.000</w:t>
            </w:r>
          </w:p>
        </w:tc>
        <w:tc>
          <w:tcPr>
            <w:tcW w:w="2593" w:type="dxa"/>
            <w:tcBorders>
              <w:top w:val="single" w:sz="2" w:space="0" w:color="auto"/>
              <w:bottom w:val="single" w:sz="4" w:space="0" w:color="auto"/>
            </w:tcBorders>
            <w:vAlign w:val="center"/>
          </w:tcPr>
          <w:p w:rsidR="007E6AC4" w:rsidRPr="00095FF0" w:rsidRDefault="007E6AC4" w:rsidP="009C6D07">
            <w:pPr>
              <w:spacing w:after="0"/>
              <w:ind w:firstLine="0"/>
              <w:jc w:val="right"/>
              <w:rPr>
                <w:rFonts w:ascii="Arial Narrow" w:hAnsi="Arial Narrow"/>
                <w:i/>
                <w:lang w:val="es-ES" w:eastAsia="es-ES"/>
              </w:rPr>
            </w:pPr>
            <w:r w:rsidRPr="00095FF0">
              <w:rPr>
                <w:rFonts w:ascii="Arial Narrow" w:hAnsi="Arial Narrow"/>
                <w:i/>
                <w:lang w:val="es-ES" w:eastAsia="es-ES"/>
              </w:rPr>
              <w:t>124.919</w:t>
            </w:r>
          </w:p>
        </w:tc>
      </w:tr>
      <w:tr w:rsidR="007E6AC4" w:rsidRPr="00817444" w:rsidTr="00195087">
        <w:trPr>
          <w:trHeight w:hRule="exact" w:val="284"/>
          <w:jc w:val="center"/>
        </w:trPr>
        <w:tc>
          <w:tcPr>
            <w:tcW w:w="3606" w:type="dxa"/>
            <w:tcBorders>
              <w:top w:val="single" w:sz="4" w:space="0" w:color="auto"/>
              <w:bottom w:val="single" w:sz="4" w:space="0" w:color="auto"/>
            </w:tcBorders>
            <w:shd w:val="clear" w:color="auto" w:fill="8DB3E2" w:themeFill="text2" w:themeFillTint="66"/>
            <w:vAlign w:val="center"/>
          </w:tcPr>
          <w:p w:rsidR="007E6AC4" w:rsidRPr="00817444" w:rsidRDefault="007E6AC4" w:rsidP="009C6D0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817444">
              <w:rPr>
                <w:rFonts w:ascii="Arial" w:hAnsi="Arial" w:cs="Arial"/>
                <w:spacing w:val="6"/>
                <w:sz w:val="18"/>
                <w:szCs w:val="18"/>
                <w:lang w:val="es-ES" w:eastAsia="es-ES"/>
              </w:rPr>
              <w:t>Total</w:t>
            </w:r>
            <w:r>
              <w:rPr>
                <w:rFonts w:ascii="Arial" w:hAnsi="Arial" w:cs="Arial"/>
                <w:spacing w:val="6"/>
                <w:sz w:val="18"/>
                <w:szCs w:val="18"/>
                <w:lang w:val="es-ES" w:eastAsia="es-ES"/>
              </w:rPr>
              <w:t xml:space="preserve"> Impuestos</w:t>
            </w:r>
          </w:p>
        </w:tc>
        <w:tc>
          <w:tcPr>
            <w:tcW w:w="2566" w:type="dxa"/>
            <w:tcBorders>
              <w:top w:val="single" w:sz="4" w:space="0" w:color="auto"/>
              <w:bottom w:val="single" w:sz="4" w:space="0" w:color="auto"/>
            </w:tcBorders>
            <w:shd w:val="clear" w:color="auto" w:fill="8DB3E2" w:themeFill="text2" w:themeFillTint="66"/>
            <w:vAlign w:val="center"/>
          </w:tcPr>
          <w:p w:rsidR="007E6AC4" w:rsidRPr="00817444" w:rsidRDefault="007E6AC4" w:rsidP="009C6D07">
            <w:pPr>
              <w:spacing w:after="0"/>
              <w:ind w:firstLine="0"/>
              <w:jc w:val="right"/>
              <w:rPr>
                <w:rFonts w:ascii="Arial" w:hAnsi="Arial" w:cs="Arial"/>
                <w:sz w:val="18"/>
                <w:szCs w:val="18"/>
                <w:lang w:val="es-ES" w:eastAsia="es-ES"/>
              </w:rPr>
            </w:pPr>
            <w:r w:rsidRPr="00817444">
              <w:rPr>
                <w:rFonts w:ascii="Arial" w:hAnsi="Arial" w:cs="Arial"/>
                <w:sz w:val="18"/>
                <w:szCs w:val="18"/>
                <w:lang w:val="es-ES" w:eastAsia="es-ES"/>
              </w:rPr>
              <w:t>1.602.502</w:t>
            </w:r>
          </w:p>
        </w:tc>
        <w:tc>
          <w:tcPr>
            <w:tcW w:w="2593" w:type="dxa"/>
            <w:tcBorders>
              <w:top w:val="single" w:sz="4" w:space="0" w:color="auto"/>
              <w:bottom w:val="single" w:sz="4" w:space="0" w:color="auto"/>
            </w:tcBorders>
            <w:shd w:val="clear" w:color="auto" w:fill="8DB3E2" w:themeFill="text2" w:themeFillTint="66"/>
            <w:vAlign w:val="center"/>
          </w:tcPr>
          <w:p w:rsidR="007E6AC4" w:rsidRPr="00817444" w:rsidRDefault="007E6AC4" w:rsidP="009C6D07">
            <w:pPr>
              <w:spacing w:after="0"/>
              <w:ind w:firstLine="0"/>
              <w:jc w:val="right"/>
              <w:rPr>
                <w:rFonts w:ascii="Arial" w:hAnsi="Arial" w:cs="Arial"/>
                <w:sz w:val="18"/>
                <w:szCs w:val="18"/>
                <w:lang w:val="es-ES" w:eastAsia="es-ES"/>
              </w:rPr>
            </w:pPr>
            <w:r w:rsidRPr="00817444">
              <w:rPr>
                <w:rFonts w:ascii="Arial" w:hAnsi="Arial" w:cs="Arial"/>
                <w:sz w:val="18"/>
                <w:szCs w:val="18"/>
                <w:lang w:val="es-ES" w:eastAsia="es-ES"/>
              </w:rPr>
              <w:t>348.230</w:t>
            </w:r>
          </w:p>
        </w:tc>
      </w:tr>
    </w:tbl>
    <w:p w:rsidR="007E6AC4" w:rsidRPr="00817444" w:rsidRDefault="007E6AC4" w:rsidP="00E907CA">
      <w:pPr>
        <w:tabs>
          <w:tab w:val="center" w:pos="2835"/>
          <w:tab w:val="center" w:pos="3969"/>
          <w:tab w:val="center" w:pos="5103"/>
          <w:tab w:val="center" w:pos="6237"/>
          <w:tab w:val="center" w:pos="7371"/>
        </w:tabs>
        <w:spacing w:before="220" w:after="200"/>
        <w:ind w:firstLine="284"/>
        <w:rPr>
          <w:sz w:val="24"/>
        </w:rPr>
      </w:pPr>
      <w:r w:rsidRPr="00817444">
        <w:rPr>
          <w:sz w:val="24"/>
        </w:rPr>
        <w:t>Es decir, en agosto se han reconocido derechos por impuestos por importe de 348 m</w:t>
      </w:r>
      <w:r w:rsidRPr="00817444">
        <w:rPr>
          <w:sz w:val="24"/>
        </w:rPr>
        <w:t>i</w:t>
      </w:r>
      <w:r w:rsidRPr="00817444">
        <w:rPr>
          <w:sz w:val="24"/>
        </w:rPr>
        <w:t xml:space="preserve">llones. Por figura tributaria, destacan: IRPF </w:t>
      </w:r>
      <w:r>
        <w:rPr>
          <w:sz w:val="24"/>
        </w:rPr>
        <w:t>–</w:t>
      </w:r>
      <w:r w:rsidRPr="00817444">
        <w:rPr>
          <w:sz w:val="24"/>
        </w:rPr>
        <w:t>123 millones</w:t>
      </w:r>
      <w:r>
        <w:rPr>
          <w:sz w:val="24"/>
        </w:rPr>
        <w:t>–</w:t>
      </w:r>
      <w:r w:rsidRPr="00817444">
        <w:rPr>
          <w:sz w:val="24"/>
        </w:rPr>
        <w:t xml:space="preserve">, Sociedades </w:t>
      </w:r>
      <w:r>
        <w:rPr>
          <w:sz w:val="24"/>
        </w:rPr>
        <w:t>–</w:t>
      </w:r>
      <w:r w:rsidRPr="00817444">
        <w:rPr>
          <w:sz w:val="24"/>
        </w:rPr>
        <w:t>90 millones</w:t>
      </w:r>
      <w:r>
        <w:rPr>
          <w:sz w:val="24"/>
        </w:rPr>
        <w:t>–</w:t>
      </w:r>
      <w:r w:rsidRPr="00817444">
        <w:rPr>
          <w:sz w:val="24"/>
        </w:rPr>
        <w:t xml:space="preserve">, IVA gestión directa </w:t>
      </w:r>
      <w:r>
        <w:rPr>
          <w:sz w:val="24"/>
        </w:rPr>
        <w:t>–</w:t>
      </w:r>
      <w:r w:rsidRPr="00817444">
        <w:rPr>
          <w:sz w:val="24"/>
        </w:rPr>
        <w:t>76 millo</w:t>
      </w:r>
      <w:r>
        <w:rPr>
          <w:sz w:val="24"/>
        </w:rPr>
        <w:t>nes– y Especiales –</w:t>
      </w:r>
      <w:r w:rsidRPr="00817444">
        <w:rPr>
          <w:sz w:val="24"/>
        </w:rPr>
        <w:t>43 millones</w:t>
      </w:r>
      <w:r>
        <w:rPr>
          <w:sz w:val="24"/>
        </w:rPr>
        <w:t>–</w:t>
      </w:r>
      <w:r w:rsidRPr="00817444">
        <w:rPr>
          <w:sz w:val="24"/>
        </w:rPr>
        <w:t xml:space="preserve">. </w:t>
      </w:r>
    </w:p>
    <w:p w:rsidR="007E6AC4" w:rsidRPr="00E907CA" w:rsidRDefault="007E6AC4" w:rsidP="007E6AC4">
      <w:pPr>
        <w:tabs>
          <w:tab w:val="center" w:pos="2835"/>
          <w:tab w:val="center" w:pos="3969"/>
          <w:tab w:val="center" w:pos="5103"/>
          <w:tab w:val="center" w:pos="6237"/>
          <w:tab w:val="center" w:pos="7371"/>
        </w:tabs>
        <w:ind w:firstLine="284"/>
        <w:rPr>
          <w:b/>
          <w:sz w:val="24"/>
        </w:rPr>
      </w:pPr>
      <w:r w:rsidRPr="00E907CA">
        <w:rPr>
          <w:b/>
          <w:sz w:val="24"/>
        </w:rPr>
        <w:t>1</w:t>
      </w:r>
      <w:r w:rsidR="0037486B" w:rsidRPr="00E907CA">
        <w:rPr>
          <w:b/>
          <w:sz w:val="24"/>
        </w:rPr>
        <w:t>6</w:t>
      </w:r>
      <w:proofErr w:type="gramStart"/>
      <w:r w:rsidR="00514699">
        <w:rPr>
          <w:b/>
          <w:sz w:val="24"/>
        </w:rPr>
        <w:t>.ª</w:t>
      </w:r>
      <w:proofErr w:type="gramEnd"/>
      <w:r w:rsidRPr="00E907CA">
        <w:rPr>
          <w:b/>
          <w:sz w:val="24"/>
        </w:rPr>
        <w:t xml:space="preserve"> Saldo Presupuestario No Financiero hasta el 31 de agosto de 2015</w:t>
      </w:r>
      <w:r w:rsidR="00514699">
        <w:rPr>
          <w:b/>
          <w:sz w:val="24"/>
        </w:rPr>
        <w:t>.</w:t>
      </w:r>
    </w:p>
    <w:p w:rsidR="007E6AC4" w:rsidRPr="00817444" w:rsidRDefault="007E6AC4" w:rsidP="009C6D07">
      <w:pPr>
        <w:tabs>
          <w:tab w:val="center" w:pos="2835"/>
          <w:tab w:val="center" w:pos="3969"/>
          <w:tab w:val="center" w:pos="5103"/>
          <w:tab w:val="center" w:pos="6237"/>
          <w:tab w:val="center" w:pos="7371"/>
        </w:tabs>
        <w:spacing w:after="240"/>
        <w:ind w:firstLine="284"/>
        <w:rPr>
          <w:sz w:val="24"/>
        </w:rPr>
      </w:pPr>
      <w:r w:rsidRPr="00817444">
        <w:rPr>
          <w:sz w:val="24"/>
        </w:rPr>
        <w:t>A 31 de agosto de 2015, el saldo acumulado de esta magnitud es positivo en 29.095 e</w:t>
      </w:r>
      <w:r w:rsidRPr="00817444">
        <w:rPr>
          <w:sz w:val="24"/>
        </w:rPr>
        <w:t>u</w:t>
      </w:r>
      <w:r w:rsidRPr="00817444">
        <w:rPr>
          <w:sz w:val="24"/>
        </w:rPr>
        <w:t>ros, según el siguiente detalle y su comparación con el dato de julio de 2015:</w:t>
      </w:r>
    </w:p>
    <w:tbl>
      <w:tblPr>
        <w:tblW w:w="8788" w:type="dxa"/>
        <w:jc w:val="center"/>
        <w:tblCellMar>
          <w:left w:w="70" w:type="dxa"/>
          <w:right w:w="70" w:type="dxa"/>
        </w:tblCellMar>
        <w:tblLook w:val="0000" w:firstRow="0" w:lastRow="0" w:firstColumn="0" w:lastColumn="0" w:noHBand="0" w:noVBand="0"/>
      </w:tblPr>
      <w:tblGrid>
        <w:gridCol w:w="4649"/>
        <w:gridCol w:w="1430"/>
        <w:gridCol w:w="1629"/>
        <w:gridCol w:w="1080"/>
      </w:tblGrid>
      <w:tr w:rsidR="007E6AC4" w:rsidRPr="00817444" w:rsidTr="00195087">
        <w:trPr>
          <w:trHeight w:val="418"/>
          <w:jc w:val="center"/>
        </w:trPr>
        <w:tc>
          <w:tcPr>
            <w:tcW w:w="4649" w:type="dxa"/>
            <w:tcBorders>
              <w:top w:val="single" w:sz="4" w:space="0" w:color="auto"/>
              <w:bottom w:val="single" w:sz="4" w:space="0" w:color="auto"/>
            </w:tcBorders>
            <w:shd w:val="clear" w:color="auto" w:fill="8DB3E2" w:themeFill="text2" w:themeFillTint="66"/>
            <w:noWrap/>
            <w:vAlign w:val="center"/>
          </w:tcPr>
          <w:p w:rsidR="007E6AC4" w:rsidRPr="00817444" w:rsidRDefault="007E6AC4" w:rsidP="009C1354">
            <w:pPr>
              <w:keepLines/>
              <w:tabs>
                <w:tab w:val="right" w:pos="2835"/>
                <w:tab w:val="right" w:pos="3969"/>
                <w:tab w:val="right" w:pos="5103"/>
                <w:tab w:val="right" w:pos="6237"/>
                <w:tab w:val="right" w:pos="7371"/>
              </w:tabs>
              <w:spacing w:after="0"/>
              <w:ind w:right="-6" w:firstLine="0"/>
              <w:jc w:val="left"/>
              <w:rPr>
                <w:rFonts w:ascii="Arial" w:hAnsi="Arial" w:cs="Arial"/>
                <w:sz w:val="18"/>
                <w:szCs w:val="18"/>
              </w:rPr>
            </w:pPr>
            <w:r w:rsidRPr="00817444">
              <w:rPr>
                <w:rFonts w:ascii="Arial" w:hAnsi="Arial" w:cs="Arial"/>
                <w:sz w:val="18"/>
                <w:szCs w:val="18"/>
              </w:rPr>
              <w:t>Saldo Presupuestario No Financiero</w:t>
            </w:r>
          </w:p>
        </w:tc>
        <w:tc>
          <w:tcPr>
            <w:tcW w:w="1430"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17444">
              <w:rPr>
                <w:rFonts w:ascii="Arial" w:hAnsi="Arial" w:cs="Arial"/>
                <w:sz w:val="18"/>
                <w:szCs w:val="18"/>
              </w:rPr>
              <w:t xml:space="preserve">Hasta </w:t>
            </w:r>
          </w:p>
          <w:p w:rsidR="007E6AC4" w:rsidRPr="0081744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17444">
              <w:rPr>
                <w:rFonts w:ascii="Arial" w:hAnsi="Arial" w:cs="Arial"/>
                <w:sz w:val="18"/>
                <w:szCs w:val="18"/>
              </w:rPr>
              <w:t>julio 2015</w:t>
            </w:r>
          </w:p>
        </w:tc>
        <w:tc>
          <w:tcPr>
            <w:tcW w:w="1629"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17444">
              <w:rPr>
                <w:rFonts w:ascii="Arial" w:hAnsi="Arial" w:cs="Arial"/>
                <w:sz w:val="18"/>
                <w:szCs w:val="18"/>
              </w:rPr>
              <w:t xml:space="preserve">Hasta </w:t>
            </w:r>
          </w:p>
          <w:p w:rsidR="007E6AC4" w:rsidRPr="0081744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17444">
              <w:rPr>
                <w:rFonts w:ascii="Arial" w:hAnsi="Arial" w:cs="Arial"/>
                <w:sz w:val="18"/>
                <w:szCs w:val="18"/>
              </w:rPr>
              <w:t>agosto 2015</w:t>
            </w:r>
          </w:p>
        </w:tc>
        <w:tc>
          <w:tcPr>
            <w:tcW w:w="1080"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right="-6" w:firstLine="0"/>
              <w:jc w:val="right"/>
              <w:rPr>
                <w:rFonts w:ascii="Arial" w:hAnsi="Arial" w:cs="Arial"/>
                <w:sz w:val="18"/>
                <w:szCs w:val="18"/>
              </w:rPr>
            </w:pPr>
            <w:r w:rsidRPr="00817444">
              <w:rPr>
                <w:rFonts w:ascii="Arial" w:hAnsi="Arial" w:cs="Arial"/>
                <w:sz w:val="18"/>
                <w:szCs w:val="18"/>
              </w:rPr>
              <w:t xml:space="preserve">% </w:t>
            </w:r>
            <w:proofErr w:type="spellStart"/>
            <w:r w:rsidRPr="00817444">
              <w:rPr>
                <w:rFonts w:ascii="Arial" w:hAnsi="Arial" w:cs="Arial"/>
                <w:sz w:val="18"/>
                <w:szCs w:val="18"/>
              </w:rPr>
              <w:t>var</w:t>
            </w:r>
            <w:proofErr w:type="spellEnd"/>
            <w:r w:rsidRPr="00817444">
              <w:rPr>
                <w:rFonts w:ascii="Arial" w:hAnsi="Arial" w:cs="Arial"/>
                <w:sz w:val="18"/>
                <w:szCs w:val="18"/>
              </w:rPr>
              <w:t>.</w:t>
            </w:r>
          </w:p>
        </w:tc>
      </w:tr>
      <w:tr w:rsidR="007E6AC4" w:rsidRPr="00095FF0" w:rsidTr="009C6D07">
        <w:trPr>
          <w:trHeight w:val="255"/>
          <w:jc w:val="center"/>
        </w:trPr>
        <w:tc>
          <w:tcPr>
            <w:tcW w:w="4649" w:type="dxa"/>
            <w:tcBorders>
              <w:top w:val="single" w:sz="4" w:space="0" w:color="auto"/>
              <w:bottom w:val="single" w:sz="2"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Ingresos no financieros</w:t>
            </w:r>
          </w:p>
        </w:tc>
        <w:tc>
          <w:tcPr>
            <w:tcW w:w="1430"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1.729.661</w:t>
            </w:r>
          </w:p>
        </w:tc>
        <w:tc>
          <w:tcPr>
            <w:tcW w:w="1629"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2.087.151</w:t>
            </w:r>
          </w:p>
        </w:tc>
        <w:tc>
          <w:tcPr>
            <w:tcW w:w="1080" w:type="dxa"/>
            <w:tcBorders>
              <w:top w:val="single" w:sz="4" w:space="0" w:color="auto"/>
              <w:bottom w:val="single" w:sz="2"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21</w:t>
            </w:r>
          </w:p>
        </w:tc>
      </w:tr>
      <w:tr w:rsidR="007E6AC4" w:rsidRPr="00095FF0" w:rsidTr="009C6D07">
        <w:trPr>
          <w:trHeight w:val="255"/>
          <w:jc w:val="center"/>
        </w:trPr>
        <w:tc>
          <w:tcPr>
            <w:tcW w:w="4649" w:type="dxa"/>
            <w:tcBorders>
              <w:top w:val="single" w:sz="2" w:space="0" w:color="auto"/>
              <w:bottom w:val="single" w:sz="4" w:space="0" w:color="auto"/>
            </w:tcBorders>
            <w:shd w:val="clear" w:color="auto" w:fill="auto"/>
            <w:noWrap/>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095FF0">
              <w:rPr>
                <w:rFonts w:ascii="Arial Narrow" w:hAnsi="Arial Narrow"/>
                <w:spacing w:val="6"/>
                <w:szCs w:val="24"/>
              </w:rPr>
              <w:t>Gastos no financieros</w:t>
            </w:r>
          </w:p>
        </w:tc>
        <w:tc>
          <w:tcPr>
            <w:tcW w:w="1430"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1.881.323</w:t>
            </w:r>
          </w:p>
        </w:tc>
        <w:tc>
          <w:tcPr>
            <w:tcW w:w="1629"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2.058.056</w:t>
            </w:r>
          </w:p>
        </w:tc>
        <w:tc>
          <w:tcPr>
            <w:tcW w:w="1080" w:type="dxa"/>
            <w:tcBorders>
              <w:top w:val="single" w:sz="2" w:space="0" w:color="auto"/>
              <w:bottom w:val="single" w:sz="4" w:space="0" w:color="auto"/>
            </w:tcBorders>
            <w:vAlign w:val="center"/>
          </w:tcPr>
          <w:p w:rsidR="007E6AC4" w:rsidRPr="00095FF0" w:rsidRDefault="007E6AC4" w:rsidP="009C1354">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095FF0">
              <w:rPr>
                <w:rFonts w:ascii="Arial Narrow" w:hAnsi="Arial Narrow"/>
                <w:spacing w:val="6"/>
                <w:szCs w:val="24"/>
              </w:rPr>
              <w:t>9</w:t>
            </w:r>
          </w:p>
        </w:tc>
      </w:tr>
      <w:tr w:rsidR="007E6AC4" w:rsidRPr="00817444" w:rsidTr="00195087">
        <w:trPr>
          <w:trHeight w:val="312"/>
          <w:jc w:val="center"/>
        </w:trPr>
        <w:tc>
          <w:tcPr>
            <w:tcW w:w="4649" w:type="dxa"/>
            <w:tcBorders>
              <w:top w:val="single" w:sz="4" w:space="0" w:color="auto"/>
              <w:bottom w:val="single" w:sz="4" w:space="0" w:color="auto"/>
            </w:tcBorders>
            <w:shd w:val="clear" w:color="auto" w:fill="8DB3E2" w:themeFill="text2" w:themeFillTint="66"/>
            <w:noWrap/>
            <w:vAlign w:val="center"/>
          </w:tcPr>
          <w:p w:rsidR="007E6AC4" w:rsidRPr="00817444" w:rsidRDefault="007E6AC4" w:rsidP="009C1354">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817444">
              <w:rPr>
                <w:rFonts w:ascii="Arial" w:hAnsi="Arial" w:cs="Arial"/>
                <w:spacing w:val="6"/>
                <w:sz w:val="18"/>
                <w:szCs w:val="18"/>
              </w:rPr>
              <w:t>Saldo Presupuestario No Financiero</w:t>
            </w:r>
          </w:p>
        </w:tc>
        <w:tc>
          <w:tcPr>
            <w:tcW w:w="1430"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17444">
              <w:rPr>
                <w:rFonts w:ascii="Arial" w:hAnsi="Arial" w:cs="Arial"/>
                <w:spacing w:val="6"/>
                <w:sz w:val="18"/>
                <w:szCs w:val="18"/>
              </w:rPr>
              <w:t>-151.662</w:t>
            </w:r>
          </w:p>
        </w:tc>
        <w:tc>
          <w:tcPr>
            <w:tcW w:w="1629"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17444">
              <w:rPr>
                <w:rFonts w:ascii="Arial" w:hAnsi="Arial" w:cs="Arial"/>
                <w:spacing w:val="6"/>
                <w:sz w:val="18"/>
                <w:szCs w:val="18"/>
              </w:rPr>
              <w:t>29.095</w:t>
            </w:r>
          </w:p>
        </w:tc>
        <w:tc>
          <w:tcPr>
            <w:tcW w:w="1080" w:type="dxa"/>
            <w:tcBorders>
              <w:top w:val="single" w:sz="4" w:space="0" w:color="auto"/>
              <w:bottom w:val="single" w:sz="4" w:space="0" w:color="auto"/>
            </w:tcBorders>
            <w:shd w:val="clear" w:color="auto" w:fill="8DB3E2" w:themeFill="text2" w:themeFillTint="66"/>
            <w:vAlign w:val="center"/>
          </w:tcPr>
          <w:p w:rsidR="007E6AC4" w:rsidRPr="00817444" w:rsidRDefault="007E6AC4" w:rsidP="009C1354">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bl>
    <w:p w:rsidR="001B3767" w:rsidRPr="00A16D30" w:rsidRDefault="007E6AC4" w:rsidP="00A16D30">
      <w:pPr>
        <w:tabs>
          <w:tab w:val="center" w:pos="2835"/>
          <w:tab w:val="center" w:pos="3969"/>
          <w:tab w:val="center" w:pos="5103"/>
          <w:tab w:val="center" w:pos="6237"/>
          <w:tab w:val="center" w:pos="7371"/>
        </w:tabs>
        <w:spacing w:before="220" w:after="0"/>
        <w:ind w:firstLine="284"/>
        <w:rPr>
          <w:sz w:val="24"/>
        </w:rPr>
      </w:pPr>
      <w:r w:rsidRPr="00E907CA">
        <w:rPr>
          <w:sz w:val="24"/>
        </w:rPr>
        <w:t>Es decir, el mejor comportamiento de los ingresos no financieros –aumento del 21 por ciento– frente a los gastos no financieros –aumento del nueve por ciento– permite que en agosto de 2015 el saldo acumulado de esta magnitud sea positivo.</w:t>
      </w:r>
      <w:r w:rsidR="0037486B" w:rsidRPr="00E907CA">
        <w:rPr>
          <w:sz w:val="24"/>
        </w:rPr>
        <w:t xml:space="preserve"> Este cambio de signo, en principio, implicaría una reducción en el importe de las necesidades de financiación a efe</w:t>
      </w:r>
      <w:r w:rsidR="0037486B" w:rsidRPr="00E907CA">
        <w:rPr>
          <w:sz w:val="24"/>
        </w:rPr>
        <w:t>c</w:t>
      </w:r>
      <w:r w:rsidR="0037486B" w:rsidRPr="00E907CA">
        <w:rPr>
          <w:sz w:val="24"/>
        </w:rPr>
        <w:t>tos de contabilidad nacional correspondiente a dicho mes.</w:t>
      </w:r>
    </w:p>
    <w:sectPr w:rsidR="001B3767" w:rsidRPr="00A16D30" w:rsidSect="006B1FBF">
      <w:headerReference w:type="default" r:id="rId16"/>
      <w:footerReference w:type="default" r:id="rId17"/>
      <w:footnotePr>
        <w:numRestart w:val="eachSect"/>
      </w:footnotePr>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30" w:rsidRDefault="00A16D30">
      <w:r>
        <w:separator/>
      </w:r>
    </w:p>
    <w:p w:rsidR="00A16D30" w:rsidRDefault="00A16D30"/>
    <w:p w:rsidR="00A16D30" w:rsidRDefault="00A16D30"/>
    <w:p w:rsidR="00A16D30" w:rsidRDefault="00A16D30"/>
  </w:endnote>
  <w:endnote w:type="continuationSeparator" w:id="0">
    <w:p w:rsidR="00A16D30" w:rsidRDefault="00A16D30">
      <w:r>
        <w:continuationSeparator/>
      </w:r>
    </w:p>
    <w:p w:rsidR="00A16D30" w:rsidRDefault="00A16D30"/>
    <w:p w:rsidR="00A16D30" w:rsidRDefault="00A16D30"/>
    <w:p w:rsidR="00A16D30" w:rsidRDefault="00A16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Default="00A16D3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6D30" w:rsidRDefault="00A16D3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Pr="00F03814" w:rsidRDefault="00A16D3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553DA79" wp14:editId="3CF1240E">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16D30" w:rsidRPr="00F74E38" w:rsidRDefault="00A16D30" w:rsidP="00F03814">
    <w:pPr>
      <w:pStyle w:val="Piedepgina"/>
      <w:tabs>
        <w:tab w:val="clear" w:pos="4252"/>
        <w:tab w:val="clear" w:pos="8504"/>
        <w:tab w:val="center" w:pos="4560"/>
      </w:tabs>
      <w:ind w:right="360"/>
      <w:jc w:val="left"/>
      <w:rPr>
        <w:rStyle w:val="Nmerodepgina"/>
      </w:rPr>
    </w:pPr>
  </w:p>
  <w:p w:rsidR="00A16D30" w:rsidRPr="00C13453" w:rsidRDefault="00A16D30" w:rsidP="00D2472C">
    <w:pPr>
      <w:pStyle w:val="BorradorProvisional"/>
      <w:ind w:left="0"/>
      <w:jc w:val="center"/>
    </w:pPr>
    <w:r w:rsidRPr="00C13453">
      <w:t xml:space="preserve">Borrador </w:t>
    </w:r>
    <w:r>
      <w:t>inicial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Default="00A16D3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Pr="00F03814" w:rsidRDefault="00A16D3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rPr>
      <w:tab/>
    </w:r>
  </w:p>
  <w:p w:rsidR="00A16D30" w:rsidRPr="00C13453" w:rsidRDefault="00A16D30" w:rsidP="00D2472C">
    <w:pPr>
      <w:pStyle w:val="BorradorProvisional"/>
      <w:ind w:left="0"/>
      <w:jc w:val="center"/>
    </w:pPr>
  </w:p>
  <w:p w:rsidR="00A16D30" w:rsidRDefault="00A16D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Pr="00F03814" w:rsidRDefault="00A16D30" w:rsidP="005012B0">
    <w:pPr>
      <w:pStyle w:val="Piedepgina"/>
      <w:tabs>
        <w:tab w:val="clear" w:pos="2835"/>
        <w:tab w:val="clear" w:pos="3969"/>
        <w:tab w:val="clear" w:pos="4252"/>
        <w:tab w:val="clear" w:pos="5103"/>
        <w:tab w:val="clear" w:pos="6237"/>
        <w:tab w:val="clear" w:pos="7371"/>
        <w:tab w:val="clear" w:pos="8504"/>
        <w:tab w:val="center" w:pos="4440"/>
        <w:tab w:val="right" w:pos="8760"/>
      </w:tabs>
      <w:spacing w:after="0"/>
      <w:ind w:right="283"/>
      <w:jc w:val="left"/>
      <w:rPr>
        <w:rFonts w:ascii="Trajan" w:hAnsi="Trajan"/>
        <w:sz w:val="24"/>
        <w:szCs w:val="24"/>
      </w:rPr>
    </w:pPr>
    <w:r>
      <w:rPr>
        <w:rFonts w:ascii="GillSans" w:hAnsi="GillSans"/>
      </w:rPr>
      <w:tab/>
      <w:t>-</w:t>
    </w:r>
    <w:r w:rsidRPr="00A16D30">
      <w:rPr>
        <w:rFonts w:ascii="GillSans" w:hAnsi="GillSans"/>
      </w:rPr>
      <w:fldChar w:fldCharType="begin"/>
    </w:r>
    <w:r w:rsidRPr="00A16D30">
      <w:rPr>
        <w:rFonts w:ascii="GillSans" w:hAnsi="GillSans"/>
      </w:rPr>
      <w:instrText>PAGE   \* MERGEFORMAT</w:instrText>
    </w:r>
    <w:r w:rsidRPr="00A16D30">
      <w:rPr>
        <w:rFonts w:ascii="GillSans" w:hAnsi="GillSans"/>
      </w:rPr>
      <w:fldChar w:fldCharType="separate"/>
    </w:r>
    <w:r w:rsidR="00367FF8" w:rsidRPr="00367FF8">
      <w:rPr>
        <w:rFonts w:ascii="GillSans" w:hAnsi="GillSans"/>
        <w:noProof/>
        <w:lang w:val="es-ES"/>
      </w:rPr>
      <w:t>90</w:t>
    </w:r>
    <w:r w:rsidRPr="00A16D30">
      <w:rPr>
        <w:rFonts w:ascii="GillSans" w:hAnsi="GillSans"/>
      </w:rPr>
      <w:fldChar w:fldCharType="end"/>
    </w:r>
    <w:r>
      <w:rPr>
        <w:rFonts w:ascii="GillSans" w:hAnsi="GillSans"/>
      </w:rPr>
      <w:t>-</w:t>
    </w:r>
    <w:r>
      <w:rPr>
        <w:rStyle w:val="Nmerodepgina"/>
        <w:szCs w:val="24"/>
      </w:rPr>
      <w:tab/>
    </w:r>
  </w:p>
  <w:p w:rsidR="00A16D30" w:rsidRDefault="00A16D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30" w:rsidRDefault="00A16D30">
      <w:r>
        <w:separator/>
      </w:r>
    </w:p>
  </w:footnote>
  <w:footnote w:type="continuationSeparator" w:id="0">
    <w:p w:rsidR="00A16D30" w:rsidRDefault="00A16D30">
      <w:r>
        <w:continuationSeparator/>
      </w:r>
    </w:p>
  </w:footnote>
  <w:footnote w:id="1">
    <w:p w:rsidR="00A16D30" w:rsidRDefault="00A16D30">
      <w:pPr>
        <w:pStyle w:val="Textonotapie"/>
      </w:pPr>
      <w:r>
        <w:rPr>
          <w:rStyle w:val="Refdenotaalpie"/>
        </w:rPr>
        <w:footnoteRef/>
      </w:r>
      <w:r>
        <w:t xml:space="preserve"> En noviembre de 2014 el Patronato de la Fundación </w:t>
      </w:r>
      <w:proofErr w:type="spellStart"/>
      <w:r>
        <w:t>Itoiz</w:t>
      </w:r>
      <w:proofErr w:type="spellEnd"/>
      <w:r>
        <w:t>-Canal de Navarra acordó liquidar y exti</w:t>
      </w:r>
      <w:r>
        <w:t>n</w:t>
      </w:r>
      <w:r>
        <w:t>guir la Fundación.</w:t>
      </w:r>
    </w:p>
  </w:footnote>
  <w:footnote w:id="2">
    <w:p w:rsidR="00A16D30" w:rsidRDefault="00A16D30">
      <w:pPr>
        <w:pStyle w:val="Textonotapie"/>
      </w:pPr>
      <w:r>
        <w:rPr>
          <w:rStyle w:val="Refdenotaalpie"/>
        </w:rPr>
        <w:footnoteRef/>
      </w:r>
      <w:r>
        <w:t xml:space="preserve"> En marzo de 2014 el Gobierno de Navarra acordó proponer la extinción  de la Fundación Centro de Recursos Ambientales de Navarra.</w:t>
      </w:r>
    </w:p>
  </w:footnote>
  <w:footnote w:id="3">
    <w:p w:rsidR="00A16D30" w:rsidRDefault="00A16D30" w:rsidP="001B3767">
      <w:pPr>
        <w:pStyle w:val="Textonotapie"/>
      </w:pPr>
      <w:r>
        <w:rPr>
          <w:rStyle w:val="Refdenotaalpie"/>
        </w:rPr>
        <w:footnoteRef/>
      </w:r>
      <w:r>
        <w:t xml:space="preserve"> Esta información será ampliada y analizada en el informe que esta Cámara está realizando sobre la evolución de la contratación de personal al servicio de la Administración en Navarra.</w:t>
      </w:r>
    </w:p>
  </w:footnote>
  <w:footnote w:id="4">
    <w:p w:rsidR="00A16D30" w:rsidRPr="00AD166B" w:rsidRDefault="00A16D30">
      <w:pPr>
        <w:pStyle w:val="Textonotapie"/>
      </w:pPr>
      <w:r>
        <w:rPr>
          <w:rStyle w:val="Refdenotaalpie"/>
        </w:rPr>
        <w:footnoteRef/>
      </w:r>
      <w:r>
        <w:t xml:space="preserve"> En el ejercicio 2009 se revisó la contratación temporal para sustituciones en el SNS-O y en 2010 la contratación temporal en Educación. </w:t>
      </w:r>
    </w:p>
  </w:footnote>
  <w:footnote w:id="5">
    <w:p w:rsidR="00A16D30" w:rsidRPr="006E7BBF" w:rsidRDefault="00A16D30" w:rsidP="006E7BBF">
      <w:pPr>
        <w:pStyle w:val="Textonotapie"/>
        <w:spacing w:after="0"/>
        <w:ind w:firstLine="0"/>
        <w:rPr>
          <w:rStyle w:val="Refdenotaalpie"/>
        </w:rPr>
      </w:pPr>
      <w:r>
        <w:rPr>
          <w:rStyle w:val="Refdenotaalpie"/>
        </w:rPr>
        <w:footnoteRef/>
      </w:r>
      <w:r w:rsidRPr="006E7BBF">
        <w:rPr>
          <w:rStyle w:val="Refdenotaalpie"/>
        </w:rPr>
        <w:t xml:space="preserve"> </w:t>
      </w:r>
      <w:r>
        <w:t>Saldo primario: saldo presupuestario no financiero menos gastos financieros</w:t>
      </w:r>
    </w:p>
  </w:footnote>
  <w:footnote w:id="6">
    <w:p w:rsidR="00A16D30" w:rsidRPr="006E7BBF" w:rsidRDefault="00A16D30" w:rsidP="006E7BBF">
      <w:pPr>
        <w:pStyle w:val="Textonotapie"/>
        <w:spacing w:after="0"/>
        <w:ind w:firstLine="0"/>
        <w:rPr>
          <w:rStyle w:val="Refdenotaalpie"/>
        </w:rPr>
      </w:pPr>
      <w:r>
        <w:rPr>
          <w:rStyle w:val="Refdenotaalpie"/>
        </w:rPr>
        <w:footnoteRef/>
      </w:r>
      <w:r w:rsidRPr="006E7BBF">
        <w:rPr>
          <w:rStyle w:val="Refdenotaalpie"/>
        </w:rPr>
        <w:t xml:space="preserve"> </w:t>
      </w:r>
      <w:r>
        <w:t>Ahorro Bruto: ingresos corrientes menos gastos de funcionamiento</w:t>
      </w:r>
    </w:p>
  </w:footnote>
  <w:footnote w:id="7">
    <w:p w:rsidR="00A16D30" w:rsidRPr="006E7BBF" w:rsidRDefault="00A16D30" w:rsidP="006E7BBF">
      <w:pPr>
        <w:pStyle w:val="Textonotapie"/>
        <w:spacing w:after="0"/>
        <w:ind w:firstLine="0"/>
        <w:rPr>
          <w:rStyle w:val="Refdenotaalpie"/>
        </w:rPr>
      </w:pPr>
      <w:r>
        <w:rPr>
          <w:rStyle w:val="Refdenotaalpie"/>
        </w:rPr>
        <w:footnoteRef/>
      </w:r>
      <w:r w:rsidRPr="006E7BBF">
        <w:rPr>
          <w:rStyle w:val="Refdenotaalpie"/>
        </w:rPr>
        <w:t xml:space="preserve"> </w:t>
      </w:r>
      <w:r>
        <w:t>Ahorro Neto: ahorro bruto menos carga financiera</w:t>
      </w:r>
    </w:p>
  </w:footnote>
  <w:footnote w:id="8">
    <w:p w:rsidR="00A16D30" w:rsidRDefault="00A16D30" w:rsidP="007E6AC4">
      <w:pPr>
        <w:pStyle w:val="Textonotapie"/>
        <w:spacing w:after="0"/>
        <w:ind w:firstLine="0"/>
      </w:pPr>
      <w:r>
        <w:rPr>
          <w:rStyle w:val="Refdenotaalpie"/>
        </w:rPr>
        <w:footnoteRef/>
      </w:r>
      <w:r>
        <w:t xml:space="preserve"> Recaudación líquida: cobros efectivo del ejercicio corriente y de cerrados más formalizaciones más co</w:t>
      </w:r>
      <w:r>
        <w:t>m</w:t>
      </w:r>
      <w:r>
        <w:t>pensaciones menos devoluciones en efectivo menos devoluciones por compensación</w:t>
      </w:r>
    </w:p>
  </w:footnote>
  <w:footnote w:id="9">
    <w:p w:rsidR="00A16D30" w:rsidRDefault="00A16D30" w:rsidP="007E6AC4">
      <w:pPr>
        <w:pStyle w:val="Textonotapie"/>
        <w:spacing w:after="120"/>
        <w:ind w:firstLine="0"/>
      </w:pPr>
      <w:r>
        <w:rPr>
          <w:rStyle w:val="Refdenotaalpie"/>
        </w:rPr>
        <w:footnoteRef/>
      </w:r>
      <w:r>
        <w:t xml:space="preserve"> Según el Protocolo de Déficit Excesivo (PDE)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Default="00A16D30" w:rsidP="006A2D41">
    <w:pPr>
      <w:pStyle w:val="Encabezad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Default="00A16D30"/>
  <w:p w:rsidR="00A16D30" w:rsidRDefault="00A16D30"/>
  <w:p w:rsidR="00A16D30" w:rsidRDefault="00A16D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30" w:rsidRPr="00367FF8" w:rsidRDefault="00A16D30" w:rsidP="00367F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5C"/>
    <w:multiLevelType w:val="hybridMultilevel"/>
    <w:tmpl w:val="5DD07FE8"/>
    <w:lvl w:ilvl="0" w:tplc="34E21EA8">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E2F4E94"/>
    <w:multiLevelType w:val="hybridMultilevel"/>
    <w:tmpl w:val="718C8032"/>
    <w:lvl w:ilvl="0" w:tplc="CCF443C0">
      <w:start w:val="1"/>
      <w:numFmt w:val="decimal"/>
      <w:lvlText w:val="(%1)"/>
      <w:lvlJc w:val="left"/>
      <w:pPr>
        <w:ind w:left="502"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6974A66"/>
    <w:multiLevelType w:val="hybridMultilevel"/>
    <w:tmpl w:val="3E56E682"/>
    <w:lvl w:ilvl="0" w:tplc="C144C06A">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2A6E5C"/>
    <w:multiLevelType w:val="hybridMultilevel"/>
    <w:tmpl w:val="71AC2F96"/>
    <w:lvl w:ilvl="0" w:tplc="F38CDFE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DB40261"/>
    <w:multiLevelType w:val="hybridMultilevel"/>
    <w:tmpl w:val="61009944"/>
    <w:lvl w:ilvl="0" w:tplc="A016F98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8">
    <w:nsid w:val="3DA408F2"/>
    <w:multiLevelType w:val="hybridMultilevel"/>
    <w:tmpl w:val="C87A657A"/>
    <w:lvl w:ilvl="0" w:tplc="044063EC">
      <w:start w:val="1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43E97F3E"/>
    <w:multiLevelType w:val="singleLevel"/>
    <w:tmpl w:val="0C0A0001"/>
    <w:lvl w:ilvl="0">
      <w:start w:val="1"/>
      <w:numFmt w:val="bullet"/>
      <w:lvlText w:val=""/>
      <w:lvlJc w:val="left"/>
      <w:pPr>
        <w:ind w:left="360" w:hanging="360"/>
      </w:pPr>
      <w:rPr>
        <w:rFonts w:ascii="Symbol" w:hAnsi="Symbol" w:hint="default"/>
      </w:rPr>
    </w:lvl>
  </w:abstractNum>
  <w:abstractNum w:abstractNumId="10">
    <w:nsid w:val="46237F1F"/>
    <w:multiLevelType w:val="hybridMultilevel"/>
    <w:tmpl w:val="8A485C66"/>
    <w:lvl w:ilvl="0" w:tplc="AC12BDBC">
      <w:start w:val="12"/>
      <w:numFmt w:val="bullet"/>
      <w:lvlText w:val="-"/>
      <w:lvlJc w:val="left"/>
      <w:pPr>
        <w:ind w:left="644" w:hanging="360"/>
      </w:pPr>
      <w:rPr>
        <w:rFonts w:ascii="ITCCentury Book" w:eastAsia="Times New Roman" w:hAnsi="ITCCentury Book"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1">
    <w:nsid w:val="4D173806"/>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2">
    <w:nsid w:val="51393048"/>
    <w:multiLevelType w:val="hybridMultilevel"/>
    <w:tmpl w:val="CE7ADEA6"/>
    <w:lvl w:ilvl="0" w:tplc="0D862F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58795422"/>
    <w:multiLevelType w:val="hybridMultilevel"/>
    <w:tmpl w:val="6826DC50"/>
    <w:lvl w:ilvl="0" w:tplc="D8D277D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644B5128"/>
    <w:multiLevelType w:val="singleLevel"/>
    <w:tmpl w:val="0C0A0001"/>
    <w:lvl w:ilvl="0">
      <w:start w:val="1"/>
      <w:numFmt w:val="bullet"/>
      <w:lvlText w:val=""/>
      <w:lvlJc w:val="left"/>
      <w:pPr>
        <w:ind w:left="360" w:hanging="360"/>
      </w:pPr>
      <w:rPr>
        <w:rFonts w:ascii="Symbol" w:hAnsi="Symbol" w:hint="default"/>
      </w:rPr>
    </w:lvl>
  </w:abstractNum>
  <w:abstractNum w:abstractNumId="15">
    <w:nsid w:val="70CD2A1E"/>
    <w:multiLevelType w:val="hybridMultilevel"/>
    <w:tmpl w:val="0E72AAFC"/>
    <w:lvl w:ilvl="0" w:tplc="42E6E9BE">
      <w:start w:val="22"/>
      <w:numFmt w:val="bullet"/>
      <w:lvlText w:val="-"/>
      <w:lvlJc w:val="left"/>
      <w:pPr>
        <w:ind w:left="588" w:hanging="360"/>
      </w:pPr>
      <w:rPr>
        <w:rFonts w:ascii="Arial Narrow" w:eastAsia="Times New Roman" w:hAnsi="Arial Narrow" w:cs="Aria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16">
    <w:nsid w:val="7D67384B"/>
    <w:multiLevelType w:val="hybridMultilevel"/>
    <w:tmpl w:val="8D2A1D08"/>
    <w:lvl w:ilvl="0" w:tplc="1602AF66">
      <w:start w:val="1"/>
      <w:numFmt w:val="decimal"/>
      <w:lvlText w:val="(%1)"/>
      <w:lvlJc w:val="left"/>
      <w:pPr>
        <w:ind w:left="644" w:hanging="360"/>
      </w:pPr>
      <w:rPr>
        <w:rFonts w:hint="default"/>
        <w:vertAlign w:val="superscrip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3"/>
  </w:num>
  <w:num w:numId="2">
    <w:abstractNumId w:val="3"/>
  </w:num>
  <w:num w:numId="3">
    <w:abstractNumId w:val="9"/>
  </w:num>
  <w:num w:numId="4">
    <w:abstractNumId w:val="14"/>
  </w:num>
  <w:num w:numId="5">
    <w:abstractNumId w:val="11"/>
  </w:num>
  <w:num w:numId="6">
    <w:abstractNumId w:val="10"/>
  </w:num>
  <w:num w:numId="7">
    <w:abstractNumId w:val="2"/>
  </w:num>
  <w:num w:numId="8">
    <w:abstractNumId w:val="12"/>
  </w:num>
  <w:num w:numId="9">
    <w:abstractNumId w:val="15"/>
  </w:num>
  <w:num w:numId="10">
    <w:abstractNumId w:val="13"/>
  </w:num>
  <w:num w:numId="11">
    <w:abstractNumId w:val="14"/>
  </w:num>
  <w:num w:numId="12">
    <w:abstractNumId w:val="4"/>
  </w:num>
  <w:num w:numId="13">
    <w:abstractNumId w:val="8"/>
  </w:num>
  <w:num w:numId="14">
    <w:abstractNumId w:val="16"/>
  </w:num>
  <w:num w:numId="15">
    <w:abstractNumId w:val="0"/>
  </w:num>
  <w:num w:numId="16">
    <w:abstractNumId w:val="1"/>
  </w:num>
  <w:num w:numId="17">
    <w:abstractNumId w:val="1"/>
  </w:num>
  <w:num w:numId="18">
    <w:abstractNumId w:val="7"/>
  </w:num>
  <w:num w:numId="19">
    <w:abstractNumId w:val="5"/>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576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A32"/>
    <w:rsid w:val="000009FC"/>
    <w:rsid w:val="000019D8"/>
    <w:rsid w:val="00006736"/>
    <w:rsid w:val="00006A97"/>
    <w:rsid w:val="0001123B"/>
    <w:rsid w:val="00012A7F"/>
    <w:rsid w:val="0001782F"/>
    <w:rsid w:val="00017A3A"/>
    <w:rsid w:val="00022BE0"/>
    <w:rsid w:val="0002797A"/>
    <w:rsid w:val="00027B09"/>
    <w:rsid w:val="00030D36"/>
    <w:rsid w:val="00035F07"/>
    <w:rsid w:val="00036E42"/>
    <w:rsid w:val="0004373B"/>
    <w:rsid w:val="00043899"/>
    <w:rsid w:val="000448FA"/>
    <w:rsid w:val="00045AC3"/>
    <w:rsid w:val="000466A8"/>
    <w:rsid w:val="0004712E"/>
    <w:rsid w:val="00047C4C"/>
    <w:rsid w:val="00050CB7"/>
    <w:rsid w:val="00053A42"/>
    <w:rsid w:val="0005517D"/>
    <w:rsid w:val="0006133D"/>
    <w:rsid w:val="00062497"/>
    <w:rsid w:val="00063585"/>
    <w:rsid w:val="00064B4D"/>
    <w:rsid w:val="000700E7"/>
    <w:rsid w:val="00071CD0"/>
    <w:rsid w:val="00072A32"/>
    <w:rsid w:val="00075692"/>
    <w:rsid w:val="00075A16"/>
    <w:rsid w:val="000814B9"/>
    <w:rsid w:val="000820BE"/>
    <w:rsid w:val="000824D0"/>
    <w:rsid w:val="000842B7"/>
    <w:rsid w:val="0008706C"/>
    <w:rsid w:val="00087B8D"/>
    <w:rsid w:val="00093D67"/>
    <w:rsid w:val="00093E60"/>
    <w:rsid w:val="00096EB3"/>
    <w:rsid w:val="000A18B7"/>
    <w:rsid w:val="000A2C1E"/>
    <w:rsid w:val="000A4697"/>
    <w:rsid w:val="000A76D2"/>
    <w:rsid w:val="000A77B7"/>
    <w:rsid w:val="000B1768"/>
    <w:rsid w:val="000B2728"/>
    <w:rsid w:val="000B3943"/>
    <w:rsid w:val="000B4477"/>
    <w:rsid w:val="000B583F"/>
    <w:rsid w:val="000C0704"/>
    <w:rsid w:val="000C2B07"/>
    <w:rsid w:val="000C39CC"/>
    <w:rsid w:val="000C63A9"/>
    <w:rsid w:val="000C7566"/>
    <w:rsid w:val="000D188E"/>
    <w:rsid w:val="000D5335"/>
    <w:rsid w:val="000D5B7F"/>
    <w:rsid w:val="000D67A3"/>
    <w:rsid w:val="000D7F32"/>
    <w:rsid w:val="000E2288"/>
    <w:rsid w:val="000E577C"/>
    <w:rsid w:val="000E740F"/>
    <w:rsid w:val="000E7B86"/>
    <w:rsid w:val="000F2122"/>
    <w:rsid w:val="000F2B66"/>
    <w:rsid w:val="000F3D83"/>
    <w:rsid w:val="000F4EC6"/>
    <w:rsid w:val="000F687F"/>
    <w:rsid w:val="000F7B19"/>
    <w:rsid w:val="00100F12"/>
    <w:rsid w:val="0010137C"/>
    <w:rsid w:val="00103589"/>
    <w:rsid w:val="001045C9"/>
    <w:rsid w:val="00105EFC"/>
    <w:rsid w:val="00107CC1"/>
    <w:rsid w:val="00111A92"/>
    <w:rsid w:val="001145C3"/>
    <w:rsid w:val="001161D2"/>
    <w:rsid w:val="00121286"/>
    <w:rsid w:val="00122F33"/>
    <w:rsid w:val="00123989"/>
    <w:rsid w:val="001302E4"/>
    <w:rsid w:val="00131DF1"/>
    <w:rsid w:val="00132C38"/>
    <w:rsid w:val="00133984"/>
    <w:rsid w:val="001365C4"/>
    <w:rsid w:val="00140C68"/>
    <w:rsid w:val="0014147D"/>
    <w:rsid w:val="00141D29"/>
    <w:rsid w:val="001436E2"/>
    <w:rsid w:val="0014506A"/>
    <w:rsid w:val="0014549B"/>
    <w:rsid w:val="00146DB8"/>
    <w:rsid w:val="0014728F"/>
    <w:rsid w:val="001521A2"/>
    <w:rsid w:val="00152358"/>
    <w:rsid w:val="00155BFF"/>
    <w:rsid w:val="00160F66"/>
    <w:rsid w:val="0016325D"/>
    <w:rsid w:val="001633AF"/>
    <w:rsid w:val="00166A6C"/>
    <w:rsid w:val="00172C14"/>
    <w:rsid w:val="00173EDD"/>
    <w:rsid w:val="0017402B"/>
    <w:rsid w:val="00181D37"/>
    <w:rsid w:val="001835B7"/>
    <w:rsid w:val="001841A8"/>
    <w:rsid w:val="0018426B"/>
    <w:rsid w:val="00184D8F"/>
    <w:rsid w:val="00185A37"/>
    <w:rsid w:val="00185C62"/>
    <w:rsid w:val="00185CFC"/>
    <w:rsid w:val="00185E17"/>
    <w:rsid w:val="001870E3"/>
    <w:rsid w:val="00194309"/>
    <w:rsid w:val="00195087"/>
    <w:rsid w:val="00195F4A"/>
    <w:rsid w:val="0019660E"/>
    <w:rsid w:val="00196AE3"/>
    <w:rsid w:val="00196DE3"/>
    <w:rsid w:val="001A20EC"/>
    <w:rsid w:val="001A21B5"/>
    <w:rsid w:val="001A58F2"/>
    <w:rsid w:val="001A79CE"/>
    <w:rsid w:val="001B16D9"/>
    <w:rsid w:val="001B2A6B"/>
    <w:rsid w:val="001B3767"/>
    <w:rsid w:val="001B39E2"/>
    <w:rsid w:val="001B6299"/>
    <w:rsid w:val="001C2B26"/>
    <w:rsid w:val="001C3A32"/>
    <w:rsid w:val="001C5AB9"/>
    <w:rsid w:val="001D2E5E"/>
    <w:rsid w:val="001D4F09"/>
    <w:rsid w:val="001E04F7"/>
    <w:rsid w:val="001E124B"/>
    <w:rsid w:val="001E2995"/>
    <w:rsid w:val="001E7D6E"/>
    <w:rsid w:val="001F1482"/>
    <w:rsid w:val="001F20D7"/>
    <w:rsid w:val="001F60EA"/>
    <w:rsid w:val="001F7744"/>
    <w:rsid w:val="002014EB"/>
    <w:rsid w:val="00202B1A"/>
    <w:rsid w:val="00202E8F"/>
    <w:rsid w:val="00204979"/>
    <w:rsid w:val="00206E12"/>
    <w:rsid w:val="00207E4F"/>
    <w:rsid w:val="00211664"/>
    <w:rsid w:val="00211D69"/>
    <w:rsid w:val="002141E2"/>
    <w:rsid w:val="00214E2B"/>
    <w:rsid w:val="002179DB"/>
    <w:rsid w:val="002227E0"/>
    <w:rsid w:val="00225D3C"/>
    <w:rsid w:val="00226C11"/>
    <w:rsid w:val="00226C94"/>
    <w:rsid w:val="00227E48"/>
    <w:rsid w:val="00230577"/>
    <w:rsid w:val="0023209D"/>
    <w:rsid w:val="00232732"/>
    <w:rsid w:val="0023282C"/>
    <w:rsid w:val="002333F8"/>
    <w:rsid w:val="00233D79"/>
    <w:rsid w:val="002346D7"/>
    <w:rsid w:val="00237657"/>
    <w:rsid w:val="00240FC2"/>
    <w:rsid w:val="00242BA7"/>
    <w:rsid w:val="002437B5"/>
    <w:rsid w:val="00244EDF"/>
    <w:rsid w:val="00244EF1"/>
    <w:rsid w:val="00245CFB"/>
    <w:rsid w:val="00245E7C"/>
    <w:rsid w:val="00246F21"/>
    <w:rsid w:val="00253E78"/>
    <w:rsid w:val="00254F2E"/>
    <w:rsid w:val="00262859"/>
    <w:rsid w:val="00262C3C"/>
    <w:rsid w:val="00264C88"/>
    <w:rsid w:val="0026532C"/>
    <w:rsid w:val="0026575D"/>
    <w:rsid w:val="002677AD"/>
    <w:rsid w:val="002700EA"/>
    <w:rsid w:val="002705B0"/>
    <w:rsid w:val="002717A6"/>
    <w:rsid w:val="00272015"/>
    <w:rsid w:val="00273C10"/>
    <w:rsid w:val="00274B4C"/>
    <w:rsid w:val="00276264"/>
    <w:rsid w:val="00277C55"/>
    <w:rsid w:val="00281DCA"/>
    <w:rsid w:val="002834DA"/>
    <w:rsid w:val="0028677C"/>
    <w:rsid w:val="002902C6"/>
    <w:rsid w:val="002964EA"/>
    <w:rsid w:val="0029657F"/>
    <w:rsid w:val="00296EB4"/>
    <w:rsid w:val="00297B04"/>
    <w:rsid w:val="002A056C"/>
    <w:rsid w:val="002A0A9D"/>
    <w:rsid w:val="002A1413"/>
    <w:rsid w:val="002A47E2"/>
    <w:rsid w:val="002A4DE2"/>
    <w:rsid w:val="002A65AD"/>
    <w:rsid w:val="002A66A5"/>
    <w:rsid w:val="002A6EBB"/>
    <w:rsid w:val="002B21E9"/>
    <w:rsid w:val="002B2B87"/>
    <w:rsid w:val="002B4E0F"/>
    <w:rsid w:val="002B5754"/>
    <w:rsid w:val="002C04E4"/>
    <w:rsid w:val="002C07A9"/>
    <w:rsid w:val="002C08C9"/>
    <w:rsid w:val="002C2D49"/>
    <w:rsid w:val="002C33A6"/>
    <w:rsid w:val="002C4039"/>
    <w:rsid w:val="002C7026"/>
    <w:rsid w:val="002C7E08"/>
    <w:rsid w:val="002D089F"/>
    <w:rsid w:val="002D5635"/>
    <w:rsid w:val="002D65E8"/>
    <w:rsid w:val="002D6B41"/>
    <w:rsid w:val="002D7D32"/>
    <w:rsid w:val="002E02E5"/>
    <w:rsid w:val="002E0478"/>
    <w:rsid w:val="002E0791"/>
    <w:rsid w:val="002E1B92"/>
    <w:rsid w:val="002E470E"/>
    <w:rsid w:val="002E7B81"/>
    <w:rsid w:val="002E7FA9"/>
    <w:rsid w:val="002F09FB"/>
    <w:rsid w:val="002F0FE3"/>
    <w:rsid w:val="002F1AF0"/>
    <w:rsid w:val="002F2530"/>
    <w:rsid w:val="002F272A"/>
    <w:rsid w:val="002F3225"/>
    <w:rsid w:val="002F53B4"/>
    <w:rsid w:val="002F76D6"/>
    <w:rsid w:val="00303506"/>
    <w:rsid w:val="00304B37"/>
    <w:rsid w:val="00307057"/>
    <w:rsid w:val="0031111E"/>
    <w:rsid w:val="0031203B"/>
    <w:rsid w:val="00312819"/>
    <w:rsid w:val="00312E9C"/>
    <w:rsid w:val="00313875"/>
    <w:rsid w:val="003170CD"/>
    <w:rsid w:val="003203BF"/>
    <w:rsid w:val="00321369"/>
    <w:rsid w:val="003218E6"/>
    <w:rsid w:val="00322380"/>
    <w:rsid w:val="00323A29"/>
    <w:rsid w:val="00326C2A"/>
    <w:rsid w:val="00327BAC"/>
    <w:rsid w:val="00330787"/>
    <w:rsid w:val="00331558"/>
    <w:rsid w:val="003357DD"/>
    <w:rsid w:val="00337493"/>
    <w:rsid w:val="0034285F"/>
    <w:rsid w:val="00345A16"/>
    <w:rsid w:val="003464A4"/>
    <w:rsid w:val="00347AA0"/>
    <w:rsid w:val="00351684"/>
    <w:rsid w:val="00351AAA"/>
    <w:rsid w:val="00353FCB"/>
    <w:rsid w:val="00354458"/>
    <w:rsid w:val="0035527F"/>
    <w:rsid w:val="0035789F"/>
    <w:rsid w:val="00361A4A"/>
    <w:rsid w:val="0036347E"/>
    <w:rsid w:val="00363653"/>
    <w:rsid w:val="0036509D"/>
    <w:rsid w:val="00367FF8"/>
    <w:rsid w:val="0037228C"/>
    <w:rsid w:val="00373755"/>
    <w:rsid w:val="003738FD"/>
    <w:rsid w:val="0037486B"/>
    <w:rsid w:val="0037495B"/>
    <w:rsid w:val="00374983"/>
    <w:rsid w:val="003810BE"/>
    <w:rsid w:val="0038304D"/>
    <w:rsid w:val="00383C76"/>
    <w:rsid w:val="00386F6C"/>
    <w:rsid w:val="00387709"/>
    <w:rsid w:val="00387794"/>
    <w:rsid w:val="00397162"/>
    <w:rsid w:val="003A335E"/>
    <w:rsid w:val="003A3DD2"/>
    <w:rsid w:val="003A3F6A"/>
    <w:rsid w:val="003A5228"/>
    <w:rsid w:val="003A7956"/>
    <w:rsid w:val="003B22FD"/>
    <w:rsid w:val="003B3573"/>
    <w:rsid w:val="003B47A6"/>
    <w:rsid w:val="003B5813"/>
    <w:rsid w:val="003C03EA"/>
    <w:rsid w:val="003C196B"/>
    <w:rsid w:val="003C1F07"/>
    <w:rsid w:val="003C6E1D"/>
    <w:rsid w:val="003D058C"/>
    <w:rsid w:val="003D1A1B"/>
    <w:rsid w:val="003D442E"/>
    <w:rsid w:val="003D76B1"/>
    <w:rsid w:val="003E17A6"/>
    <w:rsid w:val="003E4AA5"/>
    <w:rsid w:val="003E62A4"/>
    <w:rsid w:val="003E66FD"/>
    <w:rsid w:val="003F0870"/>
    <w:rsid w:val="003F1CEC"/>
    <w:rsid w:val="003F43BF"/>
    <w:rsid w:val="003F6BE4"/>
    <w:rsid w:val="003F752B"/>
    <w:rsid w:val="0040366D"/>
    <w:rsid w:val="00403CF8"/>
    <w:rsid w:val="00405FC6"/>
    <w:rsid w:val="0040688C"/>
    <w:rsid w:val="00406950"/>
    <w:rsid w:val="00407459"/>
    <w:rsid w:val="00410771"/>
    <w:rsid w:val="004107FE"/>
    <w:rsid w:val="00411717"/>
    <w:rsid w:val="00413BA5"/>
    <w:rsid w:val="00414D01"/>
    <w:rsid w:val="00416EC3"/>
    <w:rsid w:val="004170FE"/>
    <w:rsid w:val="004209E6"/>
    <w:rsid w:val="0042324B"/>
    <w:rsid w:val="004234E8"/>
    <w:rsid w:val="004245A4"/>
    <w:rsid w:val="00426805"/>
    <w:rsid w:val="00430150"/>
    <w:rsid w:val="004302F9"/>
    <w:rsid w:val="0043137C"/>
    <w:rsid w:val="0043229B"/>
    <w:rsid w:val="00435287"/>
    <w:rsid w:val="00440A22"/>
    <w:rsid w:val="004461F7"/>
    <w:rsid w:val="0044678D"/>
    <w:rsid w:val="00450191"/>
    <w:rsid w:val="0045550E"/>
    <w:rsid w:val="00456456"/>
    <w:rsid w:val="00462367"/>
    <w:rsid w:val="00462930"/>
    <w:rsid w:val="00463BF5"/>
    <w:rsid w:val="0046490C"/>
    <w:rsid w:val="00466A28"/>
    <w:rsid w:val="00467043"/>
    <w:rsid w:val="00470287"/>
    <w:rsid w:val="00470733"/>
    <w:rsid w:val="00472E0D"/>
    <w:rsid w:val="00474B71"/>
    <w:rsid w:val="00477C53"/>
    <w:rsid w:val="0048456D"/>
    <w:rsid w:val="00485380"/>
    <w:rsid w:val="004905E7"/>
    <w:rsid w:val="0049160B"/>
    <w:rsid w:val="00492ED7"/>
    <w:rsid w:val="004934BE"/>
    <w:rsid w:val="00493D87"/>
    <w:rsid w:val="004950D4"/>
    <w:rsid w:val="004A0506"/>
    <w:rsid w:val="004A2342"/>
    <w:rsid w:val="004A26ED"/>
    <w:rsid w:val="004A2969"/>
    <w:rsid w:val="004A2F62"/>
    <w:rsid w:val="004A4F10"/>
    <w:rsid w:val="004A6FDC"/>
    <w:rsid w:val="004A7BAA"/>
    <w:rsid w:val="004B061F"/>
    <w:rsid w:val="004B1DB8"/>
    <w:rsid w:val="004B2ABD"/>
    <w:rsid w:val="004B2F01"/>
    <w:rsid w:val="004B4182"/>
    <w:rsid w:val="004B4538"/>
    <w:rsid w:val="004B6B4B"/>
    <w:rsid w:val="004B6FB6"/>
    <w:rsid w:val="004C571D"/>
    <w:rsid w:val="004D09DA"/>
    <w:rsid w:val="004D35A2"/>
    <w:rsid w:val="004D5FD1"/>
    <w:rsid w:val="004E2DE3"/>
    <w:rsid w:val="004F7C93"/>
    <w:rsid w:val="005012B0"/>
    <w:rsid w:val="0050229A"/>
    <w:rsid w:val="00506105"/>
    <w:rsid w:val="005118D7"/>
    <w:rsid w:val="00513162"/>
    <w:rsid w:val="00513E98"/>
    <w:rsid w:val="00514699"/>
    <w:rsid w:val="00514815"/>
    <w:rsid w:val="00515859"/>
    <w:rsid w:val="00525809"/>
    <w:rsid w:val="00532491"/>
    <w:rsid w:val="00533B0D"/>
    <w:rsid w:val="00535130"/>
    <w:rsid w:val="0053665D"/>
    <w:rsid w:val="00537302"/>
    <w:rsid w:val="0054035B"/>
    <w:rsid w:val="00541133"/>
    <w:rsid w:val="005420E5"/>
    <w:rsid w:val="00543671"/>
    <w:rsid w:val="005508D1"/>
    <w:rsid w:val="00550C8E"/>
    <w:rsid w:val="00553052"/>
    <w:rsid w:val="00555334"/>
    <w:rsid w:val="00555509"/>
    <w:rsid w:val="00561C5B"/>
    <w:rsid w:val="00564F2D"/>
    <w:rsid w:val="005659F7"/>
    <w:rsid w:val="00566CDA"/>
    <w:rsid w:val="00566DDC"/>
    <w:rsid w:val="0056727E"/>
    <w:rsid w:val="00567BA6"/>
    <w:rsid w:val="00570033"/>
    <w:rsid w:val="00570147"/>
    <w:rsid w:val="00572EE5"/>
    <w:rsid w:val="0057307E"/>
    <w:rsid w:val="00573A4C"/>
    <w:rsid w:val="00574B79"/>
    <w:rsid w:val="00574D12"/>
    <w:rsid w:val="00575654"/>
    <w:rsid w:val="005764F2"/>
    <w:rsid w:val="005800B4"/>
    <w:rsid w:val="0058070B"/>
    <w:rsid w:val="0058296F"/>
    <w:rsid w:val="00583173"/>
    <w:rsid w:val="005846B7"/>
    <w:rsid w:val="00584E0D"/>
    <w:rsid w:val="00586125"/>
    <w:rsid w:val="00586826"/>
    <w:rsid w:val="00586FE1"/>
    <w:rsid w:val="00587757"/>
    <w:rsid w:val="00587F43"/>
    <w:rsid w:val="00587F92"/>
    <w:rsid w:val="005949FD"/>
    <w:rsid w:val="00594B6F"/>
    <w:rsid w:val="005954CD"/>
    <w:rsid w:val="00595E80"/>
    <w:rsid w:val="0059650E"/>
    <w:rsid w:val="00596953"/>
    <w:rsid w:val="00597481"/>
    <w:rsid w:val="005A1C4A"/>
    <w:rsid w:val="005A6030"/>
    <w:rsid w:val="005B0D44"/>
    <w:rsid w:val="005B19E0"/>
    <w:rsid w:val="005B57AD"/>
    <w:rsid w:val="005B722E"/>
    <w:rsid w:val="005B7666"/>
    <w:rsid w:val="005C02FE"/>
    <w:rsid w:val="005C1416"/>
    <w:rsid w:val="005C3CDD"/>
    <w:rsid w:val="005C50AC"/>
    <w:rsid w:val="005C519A"/>
    <w:rsid w:val="005C5EB6"/>
    <w:rsid w:val="005C6406"/>
    <w:rsid w:val="005C67F6"/>
    <w:rsid w:val="005C752D"/>
    <w:rsid w:val="005D69D1"/>
    <w:rsid w:val="005D730E"/>
    <w:rsid w:val="005E210D"/>
    <w:rsid w:val="005E4DAD"/>
    <w:rsid w:val="005E5EF1"/>
    <w:rsid w:val="005F2425"/>
    <w:rsid w:val="005F3780"/>
    <w:rsid w:val="005F5EC7"/>
    <w:rsid w:val="005F7207"/>
    <w:rsid w:val="005F7FCF"/>
    <w:rsid w:val="00607691"/>
    <w:rsid w:val="0061062C"/>
    <w:rsid w:val="00613183"/>
    <w:rsid w:val="006133F0"/>
    <w:rsid w:val="00616888"/>
    <w:rsid w:val="006176BE"/>
    <w:rsid w:val="00617A17"/>
    <w:rsid w:val="006212CB"/>
    <w:rsid w:val="00622D42"/>
    <w:rsid w:val="006279F9"/>
    <w:rsid w:val="00627EA1"/>
    <w:rsid w:val="00635DC5"/>
    <w:rsid w:val="006369EE"/>
    <w:rsid w:val="0064700E"/>
    <w:rsid w:val="00650677"/>
    <w:rsid w:val="00653DD1"/>
    <w:rsid w:val="00661788"/>
    <w:rsid w:val="006645F0"/>
    <w:rsid w:val="00666135"/>
    <w:rsid w:val="006736A9"/>
    <w:rsid w:val="00673BC7"/>
    <w:rsid w:val="00674975"/>
    <w:rsid w:val="00675100"/>
    <w:rsid w:val="00675D39"/>
    <w:rsid w:val="00676005"/>
    <w:rsid w:val="0067612B"/>
    <w:rsid w:val="00677D5C"/>
    <w:rsid w:val="006848FC"/>
    <w:rsid w:val="0068560B"/>
    <w:rsid w:val="00692266"/>
    <w:rsid w:val="006922F2"/>
    <w:rsid w:val="006928B7"/>
    <w:rsid w:val="006955A3"/>
    <w:rsid w:val="006A1277"/>
    <w:rsid w:val="006A2602"/>
    <w:rsid w:val="006A2D41"/>
    <w:rsid w:val="006A5967"/>
    <w:rsid w:val="006A67E1"/>
    <w:rsid w:val="006B1FBF"/>
    <w:rsid w:val="006B7817"/>
    <w:rsid w:val="006B7B89"/>
    <w:rsid w:val="006C36FB"/>
    <w:rsid w:val="006C7069"/>
    <w:rsid w:val="006C7D62"/>
    <w:rsid w:val="006D05EC"/>
    <w:rsid w:val="006D0B23"/>
    <w:rsid w:val="006D10E0"/>
    <w:rsid w:val="006D2ED6"/>
    <w:rsid w:val="006D43A7"/>
    <w:rsid w:val="006D5685"/>
    <w:rsid w:val="006D5C62"/>
    <w:rsid w:val="006D70C6"/>
    <w:rsid w:val="006E1987"/>
    <w:rsid w:val="006E23B2"/>
    <w:rsid w:val="006E5207"/>
    <w:rsid w:val="006E7BBF"/>
    <w:rsid w:val="006F0F37"/>
    <w:rsid w:val="006F1283"/>
    <w:rsid w:val="006F3C4F"/>
    <w:rsid w:val="006F5C70"/>
    <w:rsid w:val="006F6A20"/>
    <w:rsid w:val="007047B2"/>
    <w:rsid w:val="00704DE7"/>
    <w:rsid w:val="00705726"/>
    <w:rsid w:val="00706617"/>
    <w:rsid w:val="00706868"/>
    <w:rsid w:val="007078B8"/>
    <w:rsid w:val="00710153"/>
    <w:rsid w:val="0071145B"/>
    <w:rsid w:val="007149B3"/>
    <w:rsid w:val="007153C6"/>
    <w:rsid w:val="00715E32"/>
    <w:rsid w:val="007162D1"/>
    <w:rsid w:val="00716463"/>
    <w:rsid w:val="0071706E"/>
    <w:rsid w:val="00723F5F"/>
    <w:rsid w:val="00727292"/>
    <w:rsid w:val="00727B28"/>
    <w:rsid w:val="00734EE8"/>
    <w:rsid w:val="00737325"/>
    <w:rsid w:val="00742589"/>
    <w:rsid w:val="00742F6A"/>
    <w:rsid w:val="007446E8"/>
    <w:rsid w:val="007468C5"/>
    <w:rsid w:val="00747994"/>
    <w:rsid w:val="00747A8C"/>
    <w:rsid w:val="00751553"/>
    <w:rsid w:val="0075165E"/>
    <w:rsid w:val="0075240F"/>
    <w:rsid w:val="00754E10"/>
    <w:rsid w:val="00755007"/>
    <w:rsid w:val="007567F0"/>
    <w:rsid w:val="00762A29"/>
    <w:rsid w:val="0076327D"/>
    <w:rsid w:val="00763287"/>
    <w:rsid w:val="00767745"/>
    <w:rsid w:val="007707FC"/>
    <w:rsid w:val="00770BE3"/>
    <w:rsid w:val="00770DE4"/>
    <w:rsid w:val="00770FBA"/>
    <w:rsid w:val="0077177A"/>
    <w:rsid w:val="007721C5"/>
    <w:rsid w:val="007728A8"/>
    <w:rsid w:val="007777F8"/>
    <w:rsid w:val="00780690"/>
    <w:rsid w:val="0078283D"/>
    <w:rsid w:val="0078368B"/>
    <w:rsid w:val="00785A76"/>
    <w:rsid w:val="00787852"/>
    <w:rsid w:val="007915BC"/>
    <w:rsid w:val="00793DFB"/>
    <w:rsid w:val="007963FF"/>
    <w:rsid w:val="007967FA"/>
    <w:rsid w:val="00797E7A"/>
    <w:rsid w:val="007A01AC"/>
    <w:rsid w:val="007A03F7"/>
    <w:rsid w:val="007A0EA6"/>
    <w:rsid w:val="007A2D9E"/>
    <w:rsid w:val="007B0381"/>
    <w:rsid w:val="007B0F3D"/>
    <w:rsid w:val="007B148D"/>
    <w:rsid w:val="007B18C8"/>
    <w:rsid w:val="007B28DE"/>
    <w:rsid w:val="007B593F"/>
    <w:rsid w:val="007B7A5F"/>
    <w:rsid w:val="007B7B55"/>
    <w:rsid w:val="007C2011"/>
    <w:rsid w:val="007C36BE"/>
    <w:rsid w:val="007C4500"/>
    <w:rsid w:val="007C6403"/>
    <w:rsid w:val="007D12FD"/>
    <w:rsid w:val="007D53ED"/>
    <w:rsid w:val="007D53F4"/>
    <w:rsid w:val="007D59CA"/>
    <w:rsid w:val="007D6001"/>
    <w:rsid w:val="007D7F94"/>
    <w:rsid w:val="007E1B76"/>
    <w:rsid w:val="007E219A"/>
    <w:rsid w:val="007E2F99"/>
    <w:rsid w:val="007E37BF"/>
    <w:rsid w:val="007E6593"/>
    <w:rsid w:val="007E6AC4"/>
    <w:rsid w:val="007E783B"/>
    <w:rsid w:val="007F1101"/>
    <w:rsid w:val="007F2CB1"/>
    <w:rsid w:val="00801987"/>
    <w:rsid w:val="0080281D"/>
    <w:rsid w:val="00803D20"/>
    <w:rsid w:val="00810A9C"/>
    <w:rsid w:val="008112A0"/>
    <w:rsid w:val="00815CC6"/>
    <w:rsid w:val="00815E3F"/>
    <w:rsid w:val="0081696D"/>
    <w:rsid w:val="00816E01"/>
    <w:rsid w:val="008173D0"/>
    <w:rsid w:val="008217A0"/>
    <w:rsid w:val="00823235"/>
    <w:rsid w:val="008249F1"/>
    <w:rsid w:val="00824AF2"/>
    <w:rsid w:val="00826686"/>
    <w:rsid w:val="00826DCD"/>
    <w:rsid w:val="00831CB4"/>
    <w:rsid w:val="00835398"/>
    <w:rsid w:val="00835563"/>
    <w:rsid w:val="008358FF"/>
    <w:rsid w:val="00836511"/>
    <w:rsid w:val="00836B02"/>
    <w:rsid w:val="00836EC6"/>
    <w:rsid w:val="00837378"/>
    <w:rsid w:val="0083741E"/>
    <w:rsid w:val="00837985"/>
    <w:rsid w:val="00840D77"/>
    <w:rsid w:val="00840E3D"/>
    <w:rsid w:val="00841D8C"/>
    <w:rsid w:val="00842220"/>
    <w:rsid w:val="00844111"/>
    <w:rsid w:val="00844F74"/>
    <w:rsid w:val="00846382"/>
    <w:rsid w:val="00846868"/>
    <w:rsid w:val="00847F8E"/>
    <w:rsid w:val="00850F57"/>
    <w:rsid w:val="008536C2"/>
    <w:rsid w:val="00856ED7"/>
    <w:rsid w:val="0085712A"/>
    <w:rsid w:val="008600C7"/>
    <w:rsid w:val="00861096"/>
    <w:rsid w:val="008617D0"/>
    <w:rsid w:val="00861A60"/>
    <w:rsid w:val="00862357"/>
    <w:rsid w:val="00862528"/>
    <w:rsid w:val="00862D02"/>
    <w:rsid w:val="008637B9"/>
    <w:rsid w:val="00864194"/>
    <w:rsid w:val="00866068"/>
    <w:rsid w:val="00867193"/>
    <w:rsid w:val="00870399"/>
    <w:rsid w:val="00870AAA"/>
    <w:rsid w:val="008711EC"/>
    <w:rsid w:val="008718FE"/>
    <w:rsid w:val="008720D8"/>
    <w:rsid w:val="00872946"/>
    <w:rsid w:val="00872B3D"/>
    <w:rsid w:val="00873C3C"/>
    <w:rsid w:val="00875ACF"/>
    <w:rsid w:val="00877718"/>
    <w:rsid w:val="00881CEA"/>
    <w:rsid w:val="00883928"/>
    <w:rsid w:val="00883DDE"/>
    <w:rsid w:val="008902EF"/>
    <w:rsid w:val="008917DE"/>
    <w:rsid w:val="00891D73"/>
    <w:rsid w:val="00892023"/>
    <w:rsid w:val="00892A44"/>
    <w:rsid w:val="00893C49"/>
    <w:rsid w:val="008950F2"/>
    <w:rsid w:val="008A2DE8"/>
    <w:rsid w:val="008A312D"/>
    <w:rsid w:val="008A31C0"/>
    <w:rsid w:val="008A3E09"/>
    <w:rsid w:val="008A3E57"/>
    <w:rsid w:val="008A453D"/>
    <w:rsid w:val="008A4EBB"/>
    <w:rsid w:val="008A77A7"/>
    <w:rsid w:val="008B3F34"/>
    <w:rsid w:val="008C12C3"/>
    <w:rsid w:val="008C2656"/>
    <w:rsid w:val="008C408C"/>
    <w:rsid w:val="008C4B38"/>
    <w:rsid w:val="008C56B9"/>
    <w:rsid w:val="008D05E0"/>
    <w:rsid w:val="008D2600"/>
    <w:rsid w:val="008D2CC2"/>
    <w:rsid w:val="008D325C"/>
    <w:rsid w:val="008D364F"/>
    <w:rsid w:val="008D66D4"/>
    <w:rsid w:val="008E0AC0"/>
    <w:rsid w:val="008E221A"/>
    <w:rsid w:val="008E2EE7"/>
    <w:rsid w:val="008E313B"/>
    <w:rsid w:val="008E3FFE"/>
    <w:rsid w:val="008E5BD4"/>
    <w:rsid w:val="008E60BE"/>
    <w:rsid w:val="008E6B74"/>
    <w:rsid w:val="008F0D57"/>
    <w:rsid w:val="008F0FAF"/>
    <w:rsid w:val="008F46CD"/>
    <w:rsid w:val="008F51A7"/>
    <w:rsid w:val="008F6480"/>
    <w:rsid w:val="008F7740"/>
    <w:rsid w:val="00900CA2"/>
    <w:rsid w:val="00903653"/>
    <w:rsid w:val="00903D3D"/>
    <w:rsid w:val="00904E52"/>
    <w:rsid w:val="00910A52"/>
    <w:rsid w:val="00911231"/>
    <w:rsid w:val="00911479"/>
    <w:rsid w:val="00911859"/>
    <w:rsid w:val="0091484D"/>
    <w:rsid w:val="0091514E"/>
    <w:rsid w:val="00922ACE"/>
    <w:rsid w:val="00925E71"/>
    <w:rsid w:val="009302E6"/>
    <w:rsid w:val="00930EE7"/>
    <w:rsid w:val="0093329F"/>
    <w:rsid w:val="00937043"/>
    <w:rsid w:val="00941608"/>
    <w:rsid w:val="00941F20"/>
    <w:rsid w:val="009445D3"/>
    <w:rsid w:val="009550EC"/>
    <w:rsid w:val="00955A8A"/>
    <w:rsid w:val="00961AB8"/>
    <w:rsid w:val="0096400D"/>
    <w:rsid w:val="00966600"/>
    <w:rsid w:val="009671D9"/>
    <w:rsid w:val="00967D2C"/>
    <w:rsid w:val="00971352"/>
    <w:rsid w:val="00971CDD"/>
    <w:rsid w:val="0097595D"/>
    <w:rsid w:val="00975E5B"/>
    <w:rsid w:val="00977C8F"/>
    <w:rsid w:val="00977F94"/>
    <w:rsid w:val="0098080F"/>
    <w:rsid w:val="009852EB"/>
    <w:rsid w:val="009863E9"/>
    <w:rsid w:val="009912C4"/>
    <w:rsid w:val="00991761"/>
    <w:rsid w:val="00991D54"/>
    <w:rsid w:val="00992E20"/>
    <w:rsid w:val="009936FC"/>
    <w:rsid w:val="00993925"/>
    <w:rsid w:val="00993977"/>
    <w:rsid w:val="00993CD6"/>
    <w:rsid w:val="00994743"/>
    <w:rsid w:val="00995A7B"/>
    <w:rsid w:val="009A05D1"/>
    <w:rsid w:val="009A2221"/>
    <w:rsid w:val="009A28AC"/>
    <w:rsid w:val="009A3A5B"/>
    <w:rsid w:val="009A3F2A"/>
    <w:rsid w:val="009A4A09"/>
    <w:rsid w:val="009B12A8"/>
    <w:rsid w:val="009B173A"/>
    <w:rsid w:val="009B2AAC"/>
    <w:rsid w:val="009B2D30"/>
    <w:rsid w:val="009B3521"/>
    <w:rsid w:val="009B541C"/>
    <w:rsid w:val="009C1354"/>
    <w:rsid w:val="009C1B5A"/>
    <w:rsid w:val="009C4460"/>
    <w:rsid w:val="009C4CE1"/>
    <w:rsid w:val="009C6D07"/>
    <w:rsid w:val="009D06C4"/>
    <w:rsid w:val="009D7192"/>
    <w:rsid w:val="009D7D32"/>
    <w:rsid w:val="009E0E38"/>
    <w:rsid w:val="009E1A35"/>
    <w:rsid w:val="009E36CD"/>
    <w:rsid w:val="009E68E2"/>
    <w:rsid w:val="009E6B81"/>
    <w:rsid w:val="009E7A9C"/>
    <w:rsid w:val="009F09AA"/>
    <w:rsid w:val="009F0A9B"/>
    <w:rsid w:val="009F2C16"/>
    <w:rsid w:val="009F2C1B"/>
    <w:rsid w:val="009F335C"/>
    <w:rsid w:val="00A002B5"/>
    <w:rsid w:val="00A00A69"/>
    <w:rsid w:val="00A02534"/>
    <w:rsid w:val="00A0260C"/>
    <w:rsid w:val="00A0314F"/>
    <w:rsid w:val="00A041B5"/>
    <w:rsid w:val="00A04F8C"/>
    <w:rsid w:val="00A05158"/>
    <w:rsid w:val="00A05744"/>
    <w:rsid w:val="00A057F1"/>
    <w:rsid w:val="00A10880"/>
    <w:rsid w:val="00A10DB4"/>
    <w:rsid w:val="00A10E14"/>
    <w:rsid w:val="00A10EAC"/>
    <w:rsid w:val="00A13BF5"/>
    <w:rsid w:val="00A14837"/>
    <w:rsid w:val="00A16D30"/>
    <w:rsid w:val="00A225E3"/>
    <w:rsid w:val="00A23456"/>
    <w:rsid w:val="00A23A26"/>
    <w:rsid w:val="00A24A8F"/>
    <w:rsid w:val="00A25708"/>
    <w:rsid w:val="00A25BF0"/>
    <w:rsid w:val="00A26C7F"/>
    <w:rsid w:val="00A27790"/>
    <w:rsid w:val="00A3026E"/>
    <w:rsid w:val="00A312C1"/>
    <w:rsid w:val="00A31DE8"/>
    <w:rsid w:val="00A33ED0"/>
    <w:rsid w:val="00A352CE"/>
    <w:rsid w:val="00A3751D"/>
    <w:rsid w:val="00A4576A"/>
    <w:rsid w:val="00A458D9"/>
    <w:rsid w:val="00A45AD0"/>
    <w:rsid w:val="00A45EE9"/>
    <w:rsid w:val="00A53C14"/>
    <w:rsid w:val="00A5490E"/>
    <w:rsid w:val="00A55E52"/>
    <w:rsid w:val="00A61410"/>
    <w:rsid w:val="00A6198A"/>
    <w:rsid w:val="00A65108"/>
    <w:rsid w:val="00A670BD"/>
    <w:rsid w:val="00A7067F"/>
    <w:rsid w:val="00A707A7"/>
    <w:rsid w:val="00A70E56"/>
    <w:rsid w:val="00A718FD"/>
    <w:rsid w:val="00A719C8"/>
    <w:rsid w:val="00A72341"/>
    <w:rsid w:val="00A76CC3"/>
    <w:rsid w:val="00A76DA7"/>
    <w:rsid w:val="00A776ED"/>
    <w:rsid w:val="00A80E50"/>
    <w:rsid w:val="00A811C0"/>
    <w:rsid w:val="00A81E2A"/>
    <w:rsid w:val="00A83663"/>
    <w:rsid w:val="00A83B0F"/>
    <w:rsid w:val="00A83BA2"/>
    <w:rsid w:val="00A84216"/>
    <w:rsid w:val="00A85B5D"/>
    <w:rsid w:val="00A8610F"/>
    <w:rsid w:val="00A90BFA"/>
    <w:rsid w:val="00A912AB"/>
    <w:rsid w:val="00A92BF3"/>
    <w:rsid w:val="00A943C8"/>
    <w:rsid w:val="00A950A4"/>
    <w:rsid w:val="00A9520D"/>
    <w:rsid w:val="00A9555F"/>
    <w:rsid w:val="00A9747D"/>
    <w:rsid w:val="00AA00A6"/>
    <w:rsid w:val="00AA2464"/>
    <w:rsid w:val="00AA5528"/>
    <w:rsid w:val="00AA6AAA"/>
    <w:rsid w:val="00AA6BA8"/>
    <w:rsid w:val="00AA7F5A"/>
    <w:rsid w:val="00AB2340"/>
    <w:rsid w:val="00AB3032"/>
    <w:rsid w:val="00AB5692"/>
    <w:rsid w:val="00AB5FE4"/>
    <w:rsid w:val="00AB659D"/>
    <w:rsid w:val="00AC229F"/>
    <w:rsid w:val="00AC2ED5"/>
    <w:rsid w:val="00AD140F"/>
    <w:rsid w:val="00AD166B"/>
    <w:rsid w:val="00AD1EB9"/>
    <w:rsid w:val="00AD4DD6"/>
    <w:rsid w:val="00AD7671"/>
    <w:rsid w:val="00AE13DD"/>
    <w:rsid w:val="00AE2101"/>
    <w:rsid w:val="00AE53E8"/>
    <w:rsid w:val="00AE6FE4"/>
    <w:rsid w:val="00AF1BF5"/>
    <w:rsid w:val="00AF2059"/>
    <w:rsid w:val="00AF3271"/>
    <w:rsid w:val="00AF3D84"/>
    <w:rsid w:val="00AF4161"/>
    <w:rsid w:val="00AF4AC3"/>
    <w:rsid w:val="00AF580B"/>
    <w:rsid w:val="00B007C8"/>
    <w:rsid w:val="00B0284A"/>
    <w:rsid w:val="00B04A68"/>
    <w:rsid w:val="00B14410"/>
    <w:rsid w:val="00B15E61"/>
    <w:rsid w:val="00B16BC8"/>
    <w:rsid w:val="00B231A3"/>
    <w:rsid w:val="00B24F35"/>
    <w:rsid w:val="00B269C8"/>
    <w:rsid w:val="00B32266"/>
    <w:rsid w:val="00B32C88"/>
    <w:rsid w:val="00B345A2"/>
    <w:rsid w:val="00B34747"/>
    <w:rsid w:val="00B34F98"/>
    <w:rsid w:val="00B42B15"/>
    <w:rsid w:val="00B42E49"/>
    <w:rsid w:val="00B43632"/>
    <w:rsid w:val="00B45926"/>
    <w:rsid w:val="00B45E93"/>
    <w:rsid w:val="00B50903"/>
    <w:rsid w:val="00B56A5E"/>
    <w:rsid w:val="00B62FFE"/>
    <w:rsid w:val="00B6323D"/>
    <w:rsid w:val="00B65013"/>
    <w:rsid w:val="00B70868"/>
    <w:rsid w:val="00B7123A"/>
    <w:rsid w:val="00B72BEA"/>
    <w:rsid w:val="00B7435C"/>
    <w:rsid w:val="00B749EB"/>
    <w:rsid w:val="00B766A2"/>
    <w:rsid w:val="00B76F38"/>
    <w:rsid w:val="00B8085D"/>
    <w:rsid w:val="00B81019"/>
    <w:rsid w:val="00B8162C"/>
    <w:rsid w:val="00B81EFF"/>
    <w:rsid w:val="00B836BB"/>
    <w:rsid w:val="00B83D29"/>
    <w:rsid w:val="00B84122"/>
    <w:rsid w:val="00B862B0"/>
    <w:rsid w:val="00B8790C"/>
    <w:rsid w:val="00B91FCC"/>
    <w:rsid w:val="00B93539"/>
    <w:rsid w:val="00BA0161"/>
    <w:rsid w:val="00BA13B2"/>
    <w:rsid w:val="00BA2465"/>
    <w:rsid w:val="00BA2B7C"/>
    <w:rsid w:val="00BA41EC"/>
    <w:rsid w:val="00BA4E29"/>
    <w:rsid w:val="00BB142A"/>
    <w:rsid w:val="00BB1DFC"/>
    <w:rsid w:val="00BB34B9"/>
    <w:rsid w:val="00BB35C2"/>
    <w:rsid w:val="00BB4382"/>
    <w:rsid w:val="00BB553B"/>
    <w:rsid w:val="00BB6021"/>
    <w:rsid w:val="00BC28D7"/>
    <w:rsid w:val="00BC376C"/>
    <w:rsid w:val="00BC5493"/>
    <w:rsid w:val="00BC6321"/>
    <w:rsid w:val="00BC7817"/>
    <w:rsid w:val="00BD3819"/>
    <w:rsid w:val="00BD5C28"/>
    <w:rsid w:val="00BD642D"/>
    <w:rsid w:val="00BD6988"/>
    <w:rsid w:val="00BE1A77"/>
    <w:rsid w:val="00BE24B7"/>
    <w:rsid w:val="00BE4742"/>
    <w:rsid w:val="00BE7383"/>
    <w:rsid w:val="00BE754D"/>
    <w:rsid w:val="00BF1DB9"/>
    <w:rsid w:val="00BF403D"/>
    <w:rsid w:val="00BF6D10"/>
    <w:rsid w:val="00BF6E79"/>
    <w:rsid w:val="00C017B6"/>
    <w:rsid w:val="00C03F6C"/>
    <w:rsid w:val="00C07568"/>
    <w:rsid w:val="00C07EAC"/>
    <w:rsid w:val="00C12108"/>
    <w:rsid w:val="00C121D9"/>
    <w:rsid w:val="00C13453"/>
    <w:rsid w:val="00C1449C"/>
    <w:rsid w:val="00C2177C"/>
    <w:rsid w:val="00C220F9"/>
    <w:rsid w:val="00C221E6"/>
    <w:rsid w:val="00C2541C"/>
    <w:rsid w:val="00C2626D"/>
    <w:rsid w:val="00C26862"/>
    <w:rsid w:val="00C26F4D"/>
    <w:rsid w:val="00C30458"/>
    <w:rsid w:val="00C31DA6"/>
    <w:rsid w:val="00C33260"/>
    <w:rsid w:val="00C33A46"/>
    <w:rsid w:val="00C374DA"/>
    <w:rsid w:val="00C3773A"/>
    <w:rsid w:val="00C37D9D"/>
    <w:rsid w:val="00C40B8C"/>
    <w:rsid w:val="00C414B5"/>
    <w:rsid w:val="00C4598F"/>
    <w:rsid w:val="00C50360"/>
    <w:rsid w:val="00C50512"/>
    <w:rsid w:val="00C54E12"/>
    <w:rsid w:val="00C55468"/>
    <w:rsid w:val="00C57014"/>
    <w:rsid w:val="00C57D81"/>
    <w:rsid w:val="00C622C3"/>
    <w:rsid w:val="00C62831"/>
    <w:rsid w:val="00C63BD5"/>
    <w:rsid w:val="00C6471D"/>
    <w:rsid w:val="00C6744B"/>
    <w:rsid w:val="00C70421"/>
    <w:rsid w:val="00C737C5"/>
    <w:rsid w:val="00C74906"/>
    <w:rsid w:val="00C776A2"/>
    <w:rsid w:val="00C80021"/>
    <w:rsid w:val="00C8121E"/>
    <w:rsid w:val="00C8182B"/>
    <w:rsid w:val="00C81B40"/>
    <w:rsid w:val="00C81FEA"/>
    <w:rsid w:val="00C83969"/>
    <w:rsid w:val="00C8444D"/>
    <w:rsid w:val="00C86560"/>
    <w:rsid w:val="00C86C95"/>
    <w:rsid w:val="00C8731E"/>
    <w:rsid w:val="00C90E19"/>
    <w:rsid w:val="00C918E2"/>
    <w:rsid w:val="00C927AC"/>
    <w:rsid w:val="00CA05EB"/>
    <w:rsid w:val="00CA3515"/>
    <w:rsid w:val="00CA3A05"/>
    <w:rsid w:val="00CB14E9"/>
    <w:rsid w:val="00CB2B9A"/>
    <w:rsid w:val="00CB6D90"/>
    <w:rsid w:val="00CB6F69"/>
    <w:rsid w:val="00CB72C3"/>
    <w:rsid w:val="00CB77B1"/>
    <w:rsid w:val="00CC45E4"/>
    <w:rsid w:val="00CC6A2B"/>
    <w:rsid w:val="00CC7791"/>
    <w:rsid w:val="00CC7E60"/>
    <w:rsid w:val="00CD019F"/>
    <w:rsid w:val="00CD1FEC"/>
    <w:rsid w:val="00CD27C5"/>
    <w:rsid w:val="00CD6326"/>
    <w:rsid w:val="00CE386F"/>
    <w:rsid w:val="00CE4169"/>
    <w:rsid w:val="00CE7894"/>
    <w:rsid w:val="00CF06A1"/>
    <w:rsid w:val="00CF08C2"/>
    <w:rsid w:val="00CF1467"/>
    <w:rsid w:val="00CF3D3B"/>
    <w:rsid w:val="00CF48D6"/>
    <w:rsid w:val="00CF57D6"/>
    <w:rsid w:val="00CF6C1B"/>
    <w:rsid w:val="00D019D5"/>
    <w:rsid w:val="00D03E4B"/>
    <w:rsid w:val="00D040FE"/>
    <w:rsid w:val="00D046FE"/>
    <w:rsid w:val="00D07F49"/>
    <w:rsid w:val="00D10DE4"/>
    <w:rsid w:val="00D168FD"/>
    <w:rsid w:val="00D16F64"/>
    <w:rsid w:val="00D2472C"/>
    <w:rsid w:val="00D279BA"/>
    <w:rsid w:val="00D300DE"/>
    <w:rsid w:val="00D31BF4"/>
    <w:rsid w:val="00D31C2E"/>
    <w:rsid w:val="00D357C8"/>
    <w:rsid w:val="00D404B5"/>
    <w:rsid w:val="00D43DFF"/>
    <w:rsid w:val="00D447CB"/>
    <w:rsid w:val="00D475E7"/>
    <w:rsid w:val="00D47D16"/>
    <w:rsid w:val="00D505F4"/>
    <w:rsid w:val="00D51CE1"/>
    <w:rsid w:val="00D5295C"/>
    <w:rsid w:val="00D53F05"/>
    <w:rsid w:val="00D542C6"/>
    <w:rsid w:val="00D552BB"/>
    <w:rsid w:val="00D562F2"/>
    <w:rsid w:val="00D56713"/>
    <w:rsid w:val="00D61B93"/>
    <w:rsid w:val="00D6376F"/>
    <w:rsid w:val="00D67E4A"/>
    <w:rsid w:val="00D735FA"/>
    <w:rsid w:val="00D73A91"/>
    <w:rsid w:val="00D76373"/>
    <w:rsid w:val="00D763FD"/>
    <w:rsid w:val="00D841E1"/>
    <w:rsid w:val="00D90516"/>
    <w:rsid w:val="00D90AD1"/>
    <w:rsid w:val="00D922A2"/>
    <w:rsid w:val="00D941F7"/>
    <w:rsid w:val="00D965E3"/>
    <w:rsid w:val="00DA49C0"/>
    <w:rsid w:val="00DA4DDF"/>
    <w:rsid w:val="00DA7329"/>
    <w:rsid w:val="00DB0804"/>
    <w:rsid w:val="00DB2FC4"/>
    <w:rsid w:val="00DB386C"/>
    <w:rsid w:val="00DB38D2"/>
    <w:rsid w:val="00DC382A"/>
    <w:rsid w:val="00DC6EF0"/>
    <w:rsid w:val="00DC76B0"/>
    <w:rsid w:val="00DD5C6F"/>
    <w:rsid w:val="00DE1923"/>
    <w:rsid w:val="00DE2B33"/>
    <w:rsid w:val="00DE4196"/>
    <w:rsid w:val="00DE5A14"/>
    <w:rsid w:val="00DE638B"/>
    <w:rsid w:val="00DE72EE"/>
    <w:rsid w:val="00DF37E5"/>
    <w:rsid w:val="00DF620C"/>
    <w:rsid w:val="00DF6500"/>
    <w:rsid w:val="00DF6851"/>
    <w:rsid w:val="00E0097F"/>
    <w:rsid w:val="00E034FE"/>
    <w:rsid w:val="00E041E5"/>
    <w:rsid w:val="00E04888"/>
    <w:rsid w:val="00E05116"/>
    <w:rsid w:val="00E0763B"/>
    <w:rsid w:val="00E10302"/>
    <w:rsid w:val="00E16050"/>
    <w:rsid w:val="00E17EC5"/>
    <w:rsid w:val="00E22617"/>
    <w:rsid w:val="00E26A4B"/>
    <w:rsid w:val="00E26BFD"/>
    <w:rsid w:val="00E27E90"/>
    <w:rsid w:val="00E33D02"/>
    <w:rsid w:val="00E3479B"/>
    <w:rsid w:val="00E34F2C"/>
    <w:rsid w:val="00E35D79"/>
    <w:rsid w:val="00E40A67"/>
    <w:rsid w:val="00E4641E"/>
    <w:rsid w:val="00E47368"/>
    <w:rsid w:val="00E519AE"/>
    <w:rsid w:val="00E5275E"/>
    <w:rsid w:val="00E53DF8"/>
    <w:rsid w:val="00E543E3"/>
    <w:rsid w:val="00E54C76"/>
    <w:rsid w:val="00E56FA9"/>
    <w:rsid w:val="00E57AF7"/>
    <w:rsid w:val="00E604EB"/>
    <w:rsid w:val="00E6241B"/>
    <w:rsid w:val="00E64FCC"/>
    <w:rsid w:val="00E664EF"/>
    <w:rsid w:val="00E66A53"/>
    <w:rsid w:val="00E671E9"/>
    <w:rsid w:val="00E703B6"/>
    <w:rsid w:val="00E70ECB"/>
    <w:rsid w:val="00E71873"/>
    <w:rsid w:val="00E72200"/>
    <w:rsid w:val="00E72B1B"/>
    <w:rsid w:val="00E75430"/>
    <w:rsid w:val="00E75D47"/>
    <w:rsid w:val="00E766F5"/>
    <w:rsid w:val="00E81C1B"/>
    <w:rsid w:val="00E82948"/>
    <w:rsid w:val="00E85C86"/>
    <w:rsid w:val="00E90218"/>
    <w:rsid w:val="00E907CA"/>
    <w:rsid w:val="00E90DD7"/>
    <w:rsid w:val="00E913BB"/>
    <w:rsid w:val="00E93941"/>
    <w:rsid w:val="00E95294"/>
    <w:rsid w:val="00E95F2E"/>
    <w:rsid w:val="00E97702"/>
    <w:rsid w:val="00E979E8"/>
    <w:rsid w:val="00EA1508"/>
    <w:rsid w:val="00EA1541"/>
    <w:rsid w:val="00EA2684"/>
    <w:rsid w:val="00EA32E4"/>
    <w:rsid w:val="00EA48AE"/>
    <w:rsid w:val="00EA5371"/>
    <w:rsid w:val="00EA6B34"/>
    <w:rsid w:val="00EA7E36"/>
    <w:rsid w:val="00EB0898"/>
    <w:rsid w:val="00EB31BB"/>
    <w:rsid w:val="00EB627B"/>
    <w:rsid w:val="00EB6D94"/>
    <w:rsid w:val="00EC2941"/>
    <w:rsid w:val="00EC4183"/>
    <w:rsid w:val="00EC6468"/>
    <w:rsid w:val="00EC658F"/>
    <w:rsid w:val="00EC6708"/>
    <w:rsid w:val="00ED207C"/>
    <w:rsid w:val="00ED325A"/>
    <w:rsid w:val="00ED3F41"/>
    <w:rsid w:val="00ED5615"/>
    <w:rsid w:val="00ED692E"/>
    <w:rsid w:val="00ED69AF"/>
    <w:rsid w:val="00ED7EBB"/>
    <w:rsid w:val="00EE1847"/>
    <w:rsid w:val="00EE240E"/>
    <w:rsid w:val="00EE27E6"/>
    <w:rsid w:val="00EE3478"/>
    <w:rsid w:val="00EE688E"/>
    <w:rsid w:val="00EE6A6D"/>
    <w:rsid w:val="00EE77A7"/>
    <w:rsid w:val="00EF03E2"/>
    <w:rsid w:val="00EF16C1"/>
    <w:rsid w:val="00EF668B"/>
    <w:rsid w:val="00EF6E20"/>
    <w:rsid w:val="00EF7F8B"/>
    <w:rsid w:val="00F03814"/>
    <w:rsid w:val="00F07A09"/>
    <w:rsid w:val="00F10886"/>
    <w:rsid w:val="00F10964"/>
    <w:rsid w:val="00F1390C"/>
    <w:rsid w:val="00F14D98"/>
    <w:rsid w:val="00F154C5"/>
    <w:rsid w:val="00F15917"/>
    <w:rsid w:val="00F1779A"/>
    <w:rsid w:val="00F20B6B"/>
    <w:rsid w:val="00F20C5E"/>
    <w:rsid w:val="00F2373B"/>
    <w:rsid w:val="00F24EF6"/>
    <w:rsid w:val="00F26C05"/>
    <w:rsid w:val="00F27B1C"/>
    <w:rsid w:val="00F36A1D"/>
    <w:rsid w:val="00F36E44"/>
    <w:rsid w:val="00F408D4"/>
    <w:rsid w:val="00F41048"/>
    <w:rsid w:val="00F41598"/>
    <w:rsid w:val="00F41720"/>
    <w:rsid w:val="00F44278"/>
    <w:rsid w:val="00F445BE"/>
    <w:rsid w:val="00F44696"/>
    <w:rsid w:val="00F50211"/>
    <w:rsid w:val="00F51B65"/>
    <w:rsid w:val="00F52AAB"/>
    <w:rsid w:val="00F52EB6"/>
    <w:rsid w:val="00F54983"/>
    <w:rsid w:val="00F55260"/>
    <w:rsid w:val="00F5660F"/>
    <w:rsid w:val="00F61DC0"/>
    <w:rsid w:val="00F6316B"/>
    <w:rsid w:val="00F63C21"/>
    <w:rsid w:val="00F65AE0"/>
    <w:rsid w:val="00F72D19"/>
    <w:rsid w:val="00F733CB"/>
    <w:rsid w:val="00F73FED"/>
    <w:rsid w:val="00F7476D"/>
    <w:rsid w:val="00F74E38"/>
    <w:rsid w:val="00F76D6F"/>
    <w:rsid w:val="00F778B0"/>
    <w:rsid w:val="00F8087A"/>
    <w:rsid w:val="00F829EA"/>
    <w:rsid w:val="00F83BC2"/>
    <w:rsid w:val="00F9098E"/>
    <w:rsid w:val="00F92EC1"/>
    <w:rsid w:val="00F94C47"/>
    <w:rsid w:val="00F95488"/>
    <w:rsid w:val="00FA0421"/>
    <w:rsid w:val="00FA2831"/>
    <w:rsid w:val="00FA3389"/>
    <w:rsid w:val="00FA3476"/>
    <w:rsid w:val="00FA3B66"/>
    <w:rsid w:val="00FA6F91"/>
    <w:rsid w:val="00FB0C10"/>
    <w:rsid w:val="00FB290A"/>
    <w:rsid w:val="00FB3882"/>
    <w:rsid w:val="00FB392C"/>
    <w:rsid w:val="00FB3C36"/>
    <w:rsid w:val="00FB4280"/>
    <w:rsid w:val="00FB4BAF"/>
    <w:rsid w:val="00FB723E"/>
    <w:rsid w:val="00FB7CCE"/>
    <w:rsid w:val="00FC01C8"/>
    <w:rsid w:val="00FC3B71"/>
    <w:rsid w:val="00FC5027"/>
    <w:rsid w:val="00FC50C7"/>
    <w:rsid w:val="00FC511D"/>
    <w:rsid w:val="00FC68BC"/>
    <w:rsid w:val="00FD11D4"/>
    <w:rsid w:val="00FD225D"/>
    <w:rsid w:val="00FD2384"/>
    <w:rsid w:val="00FD4295"/>
    <w:rsid w:val="00FE24DB"/>
    <w:rsid w:val="00FE24EC"/>
    <w:rsid w:val="00FE452E"/>
    <w:rsid w:val="00FF4275"/>
    <w:rsid w:val="00FF4A4C"/>
    <w:rsid w:val="00FF4C15"/>
    <w:rsid w:val="00FF6D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rules v:ext="edit">
        <o:r id="V:Rule31" type="connector" idref="#_s1056">
          <o:proxy start="" idref="#_s1091" connectloc="3"/>
          <o:proxy end="" idref="#_s1085" connectloc="2"/>
        </o:r>
        <o:r id="V:Rule32" type="connector" idref="#_s1038">
          <o:proxy end="" idref="#_s1074" connectloc="2"/>
        </o:r>
        <o:r id="V:Rule33" type="connector" idref="#_s1041">
          <o:proxy start="" idref="#_s1081" connectloc="0"/>
          <o:proxy end="" idref="#_s1074" connectloc="2"/>
        </o:r>
        <o:r id="V:Rule34" type="connector" idref="#_s1046"/>
        <o:r id="V:Rule35" type="connector" idref="#_s1036">
          <o:proxy start="" idref="#_s1094" connectloc="0"/>
          <o:proxy end="" idref="#_s1076" connectloc="2"/>
        </o:r>
        <o:r id="V:Rule36" type="connector" idref="#_s1055">
          <o:proxy start="" idref="#_s1092" connectloc="3"/>
          <o:proxy end="" idref="#_s1085" connectloc="2"/>
        </o:r>
        <o:r id="V:Rule37" type="connector" idref="#_s1058">
          <o:proxy start="" idref="#_s1089" connectloc="3"/>
          <o:proxy end="" idref="#_s1085" connectloc="2"/>
        </o:r>
        <o:r id="V:Rule38" type="connector" idref="#_s1034">
          <o:proxy start="" idref="#_s1096" connectloc="0"/>
          <o:proxy end="" idref="#_s1076" connectloc="2"/>
        </o:r>
        <o:r id="V:Rule39" type="connector" idref="#_s1033">
          <o:proxy start="" idref="#_s1097" connectloc="0"/>
          <o:proxy end="" idref="#_s1076" connectloc="2"/>
        </o:r>
        <o:r id="V:Rule40" type="connector" idref="#_s1047">
          <o:proxy start="" idref="#_s1070" connectloc="0"/>
          <o:proxy end="" idref="#_s1069" connectloc="2"/>
        </o:r>
        <o:r id="V:Rule41" type="connector" idref="#_s1064"/>
        <o:r id="V:Rule42" type="connector" idref="#_s1060">
          <o:proxy start="" idref="#_s1087" connectloc="3"/>
          <o:proxy end="" idref="#_s1085" connectloc="2"/>
        </o:r>
        <o:r id="V:Rule43" type="connector" idref="#_s1059">
          <o:proxy start="" idref="#_s1088" connectloc="3"/>
          <o:proxy end="" idref="#_s1085" connectloc="2"/>
        </o:r>
        <o:r id="V:Rule44" type="connector" idref="#_s1045">
          <o:proxy start="" idref="#_s1075" connectloc="0"/>
          <o:proxy end="" idref="#_s1069" connectloc="2"/>
        </o:r>
        <o:r id="V:Rule45" type="connector" idref="#_s1065">
          <o:proxy start="" idref="#_s1076" connectloc="0"/>
          <o:proxy end="" idref="#_s1071" connectloc="2"/>
        </o:r>
        <o:r id="V:Rule46" type="connector" idref="#_s1043">
          <o:proxy start="" idref="#_s1079" connectloc="0"/>
          <o:proxy end="" idref="#_s1074" connectloc="2"/>
        </o:r>
        <o:r id="V:Rule47" type="connector" idref="#_s1037">
          <o:proxy start="" idref="#_s1093" connectloc="0"/>
          <o:proxy end="" idref="#_s1076" connectloc="2"/>
        </o:r>
        <o:r id="V:Rule48" type="connector" idref="#_s1067">
          <o:proxy start="" idref="#_s1073" connectloc="0"/>
          <o:proxy end="" idref="#_s1070" connectloc="2"/>
        </o:r>
        <o:r id="V:Rule49" type="connector" idref="#_s1044">
          <o:proxy start="" idref="#_s1078" connectloc="0"/>
          <o:proxy end="" idref="#_s1074" connectloc="2"/>
        </o:r>
        <o:r id="V:Rule50" type="connector" idref="#_s1040">
          <o:proxy start="" idref="#_s1082" connectloc="0"/>
          <o:proxy end="" idref="#_s1074" connectloc="2"/>
        </o:r>
        <o:r id="V:Rule51" type="connector" idref="#_s1057">
          <o:proxy start="" idref="#_s1090" connectloc="3"/>
          <o:proxy end="" idref="#_s1085" connectloc="2"/>
        </o:r>
        <o:r id="V:Rule52" type="connector" idref="#_s1061">
          <o:proxy start="" idref="#_s1086" connectloc="3"/>
          <o:proxy end="" idref="#_s1085" connectloc="2"/>
        </o:r>
        <o:r id="V:Rule53" type="connector" idref="#_s1039">
          <o:proxy start="" idref="#_s1083" connectloc="0"/>
          <o:proxy end="" idref="#_s1074" connectloc="2"/>
        </o:r>
        <o:r id="V:Rule54" type="connector" idref="#_s1063"/>
        <o:r id="V:Rule55" type="connector" idref="#_s1068">
          <o:proxy start="" idref="#_s1072" connectloc="0"/>
          <o:proxy end="" idref="#_s1070" connectloc="2"/>
        </o:r>
        <o:r id="V:Rule56" type="connector" idref="#_s1066"/>
        <o:r id="V:Rule57" type="connector" idref="#_s1062">
          <o:proxy start="" idref="#_s1085" connectloc="0"/>
          <o:proxy end="" idref="#_s1077" connectloc="2"/>
        </o:r>
        <o:r id="V:Rule58" type="connector" idref="#_s1032"/>
        <o:r id="V:Rule59" type="connector" idref="#_s1035">
          <o:proxy start="" idref="#_s1095" connectloc="0"/>
          <o:proxy end="" idref="#_s1076" connectloc="2"/>
        </o:r>
        <o:r id="V:Rule60" type="connector" idref="#_s1042">
          <o:proxy end="" idref="#_s107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1B376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1B3767"/>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1B3767"/>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1B3767"/>
    <w:rPr>
      <w:rFonts w:ascii="Calibri" w:hAnsi="Calibri"/>
      <w:b/>
      <w:bCs/>
      <w:sz w:val="22"/>
      <w:szCs w:val="22"/>
      <w:lang w:eastAsia="en-US"/>
    </w:rPr>
  </w:style>
  <w:style w:type="character" w:customStyle="1" w:styleId="Ttulo8Car">
    <w:name w:val="Título 8 Car"/>
    <w:basedOn w:val="Fuentedeprrafopredeter"/>
    <w:link w:val="Ttulo8"/>
    <w:uiPriority w:val="99"/>
    <w:semiHidden/>
    <w:rsid w:val="001B3767"/>
    <w:rPr>
      <w:rFonts w:ascii="Arial" w:hAnsi="Arial"/>
      <w:color w:val="000000"/>
      <w:sz w:val="16"/>
      <w:u w:val="single"/>
      <w:lang w:val="es-ES" w:eastAsia="es-ES"/>
    </w:rPr>
  </w:style>
  <w:style w:type="character" w:customStyle="1" w:styleId="Ttulo9Car">
    <w:name w:val="Título 9 Car"/>
    <w:basedOn w:val="Fuentedeprrafopredeter"/>
    <w:link w:val="Ttulo9"/>
    <w:uiPriority w:val="99"/>
    <w:semiHidden/>
    <w:rsid w:val="001B3767"/>
    <w:rPr>
      <w:rFonts w:ascii="Arial" w:hAnsi="Arial"/>
      <w:b/>
      <w:color w:val="000000"/>
      <w:lang w:val="es-ES" w:eastAsia="es-ES"/>
    </w:rPr>
  </w:style>
  <w:style w:type="character" w:customStyle="1" w:styleId="recomenCar">
    <w:name w:val="recomen Car"/>
    <w:link w:val="recomen"/>
    <w:rsid w:val="001B3767"/>
    <w:rPr>
      <w:i/>
      <w:spacing w:val="6"/>
      <w:sz w:val="26"/>
      <w:szCs w:val="24"/>
      <w:lang w:val="es-ES" w:eastAsia="en-US"/>
    </w:rPr>
  </w:style>
  <w:style w:type="paragraph" w:styleId="Textonotapie">
    <w:name w:val="footnote text"/>
    <w:basedOn w:val="Normal"/>
    <w:link w:val="TextonotapieCar"/>
    <w:rsid w:val="001B3767"/>
  </w:style>
  <w:style w:type="character" w:customStyle="1" w:styleId="TextonotapieCar">
    <w:name w:val="Texto nota pie Car"/>
    <w:basedOn w:val="Fuentedeprrafopredeter"/>
    <w:link w:val="Textonotapie"/>
    <w:rsid w:val="001B3767"/>
    <w:rPr>
      <w:lang w:eastAsia="en-US"/>
    </w:rPr>
  </w:style>
  <w:style w:type="character" w:styleId="Refdenotaalpie">
    <w:name w:val="footnote reference"/>
    <w:rsid w:val="001B3767"/>
    <w:rPr>
      <w:vertAlign w:val="superscript"/>
    </w:rPr>
  </w:style>
  <w:style w:type="paragraph" w:customStyle="1" w:styleId="cuatitul">
    <w:name w:val="cuatitul"/>
    <w:basedOn w:val="Normal"/>
    <w:rsid w:val="001B3767"/>
    <w:pPr>
      <w:spacing w:after="60"/>
      <w:ind w:firstLine="0"/>
      <w:jc w:val="center"/>
    </w:pPr>
    <w:rPr>
      <w:rFonts w:ascii="GillSans" w:hAnsi="GillSans"/>
      <w:sz w:val="22"/>
      <w:lang w:eastAsia="es-ES"/>
    </w:rPr>
  </w:style>
  <w:style w:type="paragraph" w:customStyle="1" w:styleId="Tabla">
    <w:name w:val="Tabla"/>
    <w:basedOn w:val="Normal"/>
    <w:rsid w:val="001B3767"/>
    <w:pPr>
      <w:spacing w:after="0"/>
      <w:ind w:firstLine="0"/>
    </w:pPr>
    <w:rPr>
      <w:rFonts w:ascii="Arial" w:hAnsi="Arial"/>
      <w:sz w:val="16"/>
      <w:lang w:eastAsia="es-ES"/>
    </w:rPr>
  </w:style>
  <w:style w:type="table" w:styleId="Tablaelegante">
    <w:name w:val="Table Elegant"/>
    <w:basedOn w:val="Tablanormal"/>
    <w:rsid w:val="001B3767"/>
    <w:rPr>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1B376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1B3767"/>
    <w:rPr>
      <w:rFonts w:ascii="Arial" w:hAnsi="Arial"/>
      <w:sz w:val="24"/>
      <w:lang w:eastAsia="es-ES"/>
    </w:rPr>
  </w:style>
  <w:style w:type="paragraph" w:customStyle="1" w:styleId="recomendaciones">
    <w:name w:val="recomendaciones"/>
    <w:rsid w:val="001B3767"/>
    <w:pPr>
      <w:spacing w:after="140"/>
      <w:ind w:left="1418" w:firstLine="284"/>
      <w:jc w:val="both"/>
    </w:pPr>
    <w:rPr>
      <w:rFonts w:ascii="ITCCentury Book" w:hAnsi="ITCCentury Book"/>
      <w:i/>
      <w:color w:val="000000"/>
      <w:sz w:val="24"/>
      <w:lang w:eastAsia="es-ES"/>
    </w:rPr>
  </w:style>
  <w:style w:type="paragraph" w:customStyle="1" w:styleId="norma1">
    <w:name w:val="norma1"/>
    <w:basedOn w:val="Normal"/>
    <w:rsid w:val="001B3767"/>
    <w:pPr>
      <w:spacing w:after="240"/>
      <w:ind w:firstLine="0"/>
    </w:pPr>
    <w:rPr>
      <w:b/>
      <w:bCs/>
      <w:caps/>
      <w:sz w:val="24"/>
      <w:szCs w:val="24"/>
      <w:lang w:val="es-ES" w:eastAsia="es-ES"/>
    </w:rPr>
  </w:style>
  <w:style w:type="paragraph" w:customStyle="1" w:styleId="Default">
    <w:name w:val="Default"/>
    <w:rsid w:val="001B3767"/>
    <w:pPr>
      <w:autoSpaceDE w:val="0"/>
      <w:autoSpaceDN w:val="0"/>
      <w:adjustRightInd w:val="0"/>
    </w:pPr>
    <w:rPr>
      <w:rFonts w:ascii="Arial" w:hAnsi="Arial" w:cs="Arial"/>
      <w:color w:val="000000"/>
      <w:sz w:val="24"/>
      <w:szCs w:val="24"/>
      <w:lang w:val="es-ES" w:eastAsia="es-ES"/>
    </w:rPr>
  </w:style>
  <w:style w:type="paragraph" w:customStyle="1" w:styleId="Pa9">
    <w:name w:val="Pa9"/>
    <w:basedOn w:val="Default"/>
    <w:next w:val="Default"/>
    <w:rsid w:val="001B3767"/>
    <w:pPr>
      <w:spacing w:line="201" w:lineRule="atLeast"/>
    </w:pPr>
    <w:rPr>
      <w:rFonts w:cs="Times New Roman"/>
      <w:color w:val="auto"/>
    </w:rPr>
  </w:style>
  <w:style w:type="character" w:customStyle="1" w:styleId="A5">
    <w:name w:val="A5"/>
    <w:rsid w:val="001B3767"/>
    <w:rPr>
      <w:rFonts w:cs="Arial"/>
      <w:color w:val="000000"/>
      <w:sz w:val="16"/>
      <w:szCs w:val="16"/>
    </w:rPr>
  </w:style>
  <w:style w:type="paragraph" w:customStyle="1" w:styleId="Estndar">
    <w:name w:val="Estándar"/>
    <w:rsid w:val="001B3767"/>
    <w:pPr>
      <w:snapToGrid w:val="0"/>
    </w:pPr>
    <w:rPr>
      <w:rFonts w:ascii="CG Omega" w:hAnsi="CG Omega"/>
      <w:color w:val="000000"/>
      <w:sz w:val="22"/>
      <w:lang w:val="es-ES" w:eastAsia="es-ES"/>
    </w:rPr>
  </w:style>
  <w:style w:type="paragraph" w:styleId="NormalWeb">
    <w:name w:val="Normal (Web)"/>
    <w:basedOn w:val="Normal"/>
    <w:uiPriority w:val="99"/>
    <w:rsid w:val="001B3767"/>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1B3767"/>
    <w:pPr>
      <w:spacing w:line="201" w:lineRule="atLeast"/>
    </w:pPr>
    <w:rPr>
      <w:rFonts w:cs="Times New Roman"/>
      <w:color w:val="auto"/>
    </w:rPr>
  </w:style>
  <w:style w:type="paragraph" w:customStyle="1" w:styleId="foral-f-parrafo-c">
    <w:name w:val="foral-f-parrafo-c"/>
    <w:basedOn w:val="Normal"/>
    <w:rsid w:val="001B3767"/>
    <w:pPr>
      <w:spacing w:after="240"/>
      <w:ind w:firstLine="0"/>
      <w:jc w:val="left"/>
    </w:pPr>
    <w:rPr>
      <w:sz w:val="24"/>
      <w:szCs w:val="24"/>
      <w:lang w:val="es-ES" w:eastAsia="es-ES"/>
    </w:rPr>
  </w:style>
  <w:style w:type="paragraph" w:customStyle="1" w:styleId="foral-f-parrafo-3lineas-t5-c">
    <w:name w:val="foral-f-parrafo-3lineas-t5-c"/>
    <w:basedOn w:val="Normal"/>
    <w:rsid w:val="001B3767"/>
    <w:pPr>
      <w:spacing w:after="240"/>
      <w:ind w:firstLine="0"/>
      <w:jc w:val="left"/>
    </w:pPr>
    <w:rPr>
      <w:sz w:val="24"/>
      <w:szCs w:val="24"/>
      <w:lang w:val="es-ES" w:eastAsia="es-ES"/>
    </w:rPr>
  </w:style>
  <w:style w:type="paragraph" w:customStyle="1" w:styleId="aaa">
    <w:name w:val="aaa"/>
    <w:basedOn w:val="Normal"/>
    <w:rsid w:val="001B376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1B3767"/>
    <w:pPr>
      <w:tabs>
        <w:tab w:val="left" w:pos="992"/>
      </w:tabs>
      <w:spacing w:after="300" w:line="340" w:lineRule="exact"/>
      <w:ind w:firstLine="567"/>
      <w:jc w:val="both"/>
    </w:pPr>
    <w:rPr>
      <w:rFonts w:ascii="Arial" w:hAnsi="Arial"/>
      <w:sz w:val="24"/>
      <w:lang w:val="es-ES" w:eastAsia="es-ES"/>
    </w:rPr>
  </w:style>
  <w:style w:type="paragraph" w:customStyle="1" w:styleId="ANUEVO">
    <w:name w:val="A.NUEVO"/>
    <w:basedOn w:val="Normal"/>
    <w:rsid w:val="001B3767"/>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1B3767"/>
    <w:rPr>
      <w:color w:val="800080"/>
      <w:u w:val="single"/>
    </w:rPr>
  </w:style>
  <w:style w:type="paragraph" w:customStyle="1" w:styleId="xa1">
    <w:name w:val="xa1"/>
    <w:basedOn w:val="Normal"/>
    <w:rsid w:val="001B3767"/>
    <w:pPr>
      <w:spacing w:after="240"/>
      <w:ind w:left="200" w:right="50" w:firstLine="0"/>
    </w:pPr>
    <w:rPr>
      <w:sz w:val="24"/>
      <w:szCs w:val="24"/>
      <w:lang w:val="es-ES" w:eastAsia="es-ES"/>
    </w:rPr>
  </w:style>
  <w:style w:type="paragraph" w:customStyle="1" w:styleId="xl1">
    <w:name w:val="xl1"/>
    <w:basedOn w:val="Normal"/>
    <w:rsid w:val="001B3767"/>
    <w:pPr>
      <w:spacing w:after="240"/>
      <w:ind w:left="200" w:right="50" w:hanging="150"/>
    </w:pPr>
    <w:rPr>
      <w:sz w:val="24"/>
      <w:szCs w:val="24"/>
      <w:lang w:val="es-ES" w:eastAsia="es-ES"/>
    </w:rPr>
  </w:style>
  <w:style w:type="paragraph" w:customStyle="1" w:styleId="xl2">
    <w:name w:val="xl2"/>
    <w:basedOn w:val="Normal"/>
    <w:rsid w:val="001B3767"/>
    <w:pPr>
      <w:spacing w:after="240"/>
      <w:ind w:left="350" w:right="50" w:hanging="150"/>
    </w:pPr>
    <w:rPr>
      <w:sz w:val="24"/>
      <w:szCs w:val="24"/>
      <w:lang w:val="es-ES" w:eastAsia="es-ES"/>
    </w:rPr>
  </w:style>
  <w:style w:type="character" w:customStyle="1" w:styleId="searchterm2">
    <w:name w:val="searchterm2"/>
    <w:rsid w:val="001B3767"/>
    <w:rPr>
      <w:b/>
      <w:bCs/>
      <w:color w:val="000000"/>
      <w:shd w:val="clear" w:color="auto" w:fill="FFFFBF"/>
    </w:rPr>
  </w:style>
  <w:style w:type="paragraph" w:customStyle="1" w:styleId="Pa7">
    <w:name w:val="Pa7"/>
    <w:basedOn w:val="Default"/>
    <w:next w:val="Default"/>
    <w:rsid w:val="001B3767"/>
    <w:pPr>
      <w:spacing w:line="201" w:lineRule="atLeast"/>
    </w:pPr>
    <w:rPr>
      <w:rFonts w:cs="Times New Roman"/>
      <w:color w:val="auto"/>
    </w:rPr>
  </w:style>
  <w:style w:type="character" w:customStyle="1" w:styleId="PiedepginaCar">
    <w:name w:val="Pie de página Car"/>
    <w:link w:val="Piedepgina"/>
    <w:uiPriority w:val="99"/>
    <w:rsid w:val="001B3767"/>
    <w:rPr>
      <w:spacing w:val="6"/>
      <w:lang w:eastAsia="en-US"/>
    </w:rPr>
  </w:style>
  <w:style w:type="paragraph" w:customStyle="1" w:styleId="ParrafoClausulas">
    <w:name w:val="ParrafoClausulas"/>
    <w:basedOn w:val="Normal"/>
    <w:rsid w:val="001B376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1B3767"/>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1B3767"/>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1B3767"/>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1B3767"/>
    <w:rPr>
      <w:rFonts w:ascii="Arial" w:hAnsi="Arial" w:cs="Arial"/>
      <w:b/>
      <w:bCs/>
      <w:sz w:val="18"/>
      <w:lang w:val="es-MX"/>
    </w:rPr>
  </w:style>
  <w:style w:type="paragraph" w:customStyle="1" w:styleId="Cuadropequea9izda12">
    <w:name w:val="Cuadro pequeña 9 izda12"/>
    <w:basedOn w:val="Normal"/>
    <w:link w:val="Cuadropequea9izda12Car"/>
    <w:autoRedefine/>
    <w:rsid w:val="001B3767"/>
    <w:pPr>
      <w:widowControl w:val="0"/>
      <w:tabs>
        <w:tab w:val="left" w:pos="851"/>
      </w:tabs>
      <w:autoSpaceDE w:val="0"/>
      <w:autoSpaceDN w:val="0"/>
      <w:adjustRightInd w:val="0"/>
      <w:spacing w:before="120" w:after="60"/>
      <w:ind w:firstLine="0"/>
      <w:jc w:val="left"/>
    </w:pPr>
    <w:rPr>
      <w:rFonts w:ascii="Arial" w:hAnsi="Arial" w:cs="Arial"/>
      <w:b/>
      <w:bCs/>
      <w:sz w:val="18"/>
      <w:lang w:val="es-MX" w:eastAsia="es-ES_tradnl"/>
    </w:rPr>
  </w:style>
  <w:style w:type="paragraph" w:customStyle="1" w:styleId="Cuadropequea9dcha11">
    <w:name w:val="Cuadro pequeña 9 dcha11"/>
    <w:basedOn w:val="Normal"/>
    <w:autoRedefine/>
    <w:rsid w:val="001B3767"/>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1B376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1B3767"/>
    <w:rPr>
      <w:rFonts w:ascii="Arial" w:hAnsi="Arial" w:cs="Arial" w:hint="default"/>
      <w:b/>
      <w:bCs w:val="0"/>
      <w:snapToGrid/>
      <w:position w:val="6"/>
      <w:sz w:val="18"/>
      <w:lang w:val="es-MX" w:eastAsia="es-ES" w:bidi="ar-SA"/>
    </w:rPr>
  </w:style>
  <w:style w:type="character" w:customStyle="1" w:styleId="atitulo3Car">
    <w:name w:val="atitulo3 Car"/>
    <w:link w:val="atitulo3"/>
    <w:rsid w:val="001B3767"/>
    <w:rPr>
      <w:rFonts w:ascii="Arial" w:hAnsi="Arial"/>
      <w:i/>
      <w:iCs/>
      <w:color w:val="000000"/>
      <w:spacing w:val="10"/>
      <w:kern w:val="28"/>
      <w:sz w:val="25"/>
      <w:szCs w:val="26"/>
      <w:lang w:eastAsia="en-US"/>
    </w:rPr>
  </w:style>
  <w:style w:type="paragraph" w:customStyle="1" w:styleId="simple">
    <w:name w:val="simple"/>
    <w:basedOn w:val="Normal"/>
    <w:rsid w:val="001B3767"/>
    <w:pPr>
      <w:spacing w:before="100" w:beforeAutospacing="1" w:after="100" w:afterAutospacing="1"/>
      <w:ind w:firstLine="0"/>
      <w:jc w:val="left"/>
    </w:pPr>
    <w:rPr>
      <w:sz w:val="24"/>
      <w:szCs w:val="24"/>
      <w:lang w:val="es-ES" w:eastAsia="es-ES"/>
    </w:rPr>
  </w:style>
  <w:style w:type="character" w:customStyle="1" w:styleId="searchterm">
    <w:name w:val="searchterm"/>
    <w:rsid w:val="001B3767"/>
  </w:style>
  <w:style w:type="character" w:customStyle="1" w:styleId="EncabezadoCar">
    <w:name w:val="Encabezado Car"/>
    <w:link w:val="Encabezado"/>
    <w:uiPriority w:val="99"/>
    <w:rsid w:val="001B3767"/>
    <w:rPr>
      <w:bCs/>
      <w:caps/>
      <w:sz w:val="14"/>
      <w:szCs w:val="12"/>
      <w:lang w:eastAsia="en-US"/>
    </w:rPr>
  </w:style>
  <w:style w:type="paragraph" w:styleId="Sangradetextonormal">
    <w:name w:val="Body Text Indent"/>
    <w:basedOn w:val="Normal"/>
    <w:link w:val="SangradetextonormalCar"/>
    <w:uiPriority w:val="99"/>
    <w:unhideWhenUsed/>
    <w:rsid w:val="001B376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1B3767"/>
    <w:rPr>
      <w:rFonts w:ascii="Arial" w:hAnsi="Arial"/>
      <w:sz w:val="22"/>
      <w:lang w:eastAsia="es-ES"/>
    </w:rPr>
  </w:style>
  <w:style w:type="paragraph" w:styleId="Textoindependiente2">
    <w:name w:val="Body Text 2"/>
    <w:basedOn w:val="Normal"/>
    <w:link w:val="Textoindependiente2Car"/>
    <w:uiPriority w:val="99"/>
    <w:unhideWhenUsed/>
    <w:rsid w:val="001B376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1B3767"/>
    <w:rPr>
      <w:rFonts w:ascii="Arial" w:hAnsi="Arial"/>
      <w:lang w:eastAsia="es-ES"/>
    </w:rPr>
  </w:style>
  <w:style w:type="paragraph" w:styleId="Textoindependiente3">
    <w:name w:val="Body Text 3"/>
    <w:basedOn w:val="Normal"/>
    <w:link w:val="Textoindependiente3Car"/>
    <w:unhideWhenUsed/>
    <w:rsid w:val="001B376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1B3767"/>
    <w:rPr>
      <w:sz w:val="18"/>
      <w:lang w:eastAsia="es-ES"/>
    </w:rPr>
  </w:style>
  <w:style w:type="paragraph" w:styleId="Sangra2detindependiente">
    <w:name w:val="Body Text Indent 2"/>
    <w:basedOn w:val="Normal"/>
    <w:link w:val="Sangra2detindependienteCar"/>
    <w:uiPriority w:val="99"/>
    <w:unhideWhenUsed/>
    <w:rsid w:val="001B376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1B3767"/>
    <w:rPr>
      <w:rFonts w:ascii="Arial" w:hAnsi="Arial"/>
      <w:lang w:eastAsia="es-ES"/>
    </w:rPr>
  </w:style>
  <w:style w:type="paragraph" w:styleId="Sangra3detindependiente">
    <w:name w:val="Body Text Indent 3"/>
    <w:basedOn w:val="Normal"/>
    <w:link w:val="Sangra3detindependienteCar"/>
    <w:uiPriority w:val="99"/>
    <w:unhideWhenUsed/>
    <w:rsid w:val="001B376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1B3767"/>
    <w:rPr>
      <w:rFonts w:ascii="Arial" w:hAnsi="Arial"/>
      <w:sz w:val="22"/>
      <w:lang w:eastAsia="es-ES"/>
    </w:rPr>
  </w:style>
  <w:style w:type="paragraph" w:styleId="Mapadeldocumento">
    <w:name w:val="Document Map"/>
    <w:basedOn w:val="Normal"/>
    <w:link w:val="MapadeldocumentoCar"/>
    <w:uiPriority w:val="99"/>
    <w:unhideWhenUsed/>
    <w:rsid w:val="001B376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1B3767"/>
    <w:rPr>
      <w:rFonts w:ascii="Tahoma" w:hAnsi="Tahoma"/>
      <w:shd w:val="clear" w:color="auto" w:fill="000080"/>
      <w:lang w:eastAsia="es-ES"/>
    </w:rPr>
  </w:style>
  <w:style w:type="character" w:customStyle="1" w:styleId="TextodegloboCar">
    <w:name w:val="Texto de globo Car"/>
    <w:link w:val="Textodeglobo"/>
    <w:uiPriority w:val="99"/>
    <w:semiHidden/>
    <w:rsid w:val="001B3767"/>
    <w:rPr>
      <w:rFonts w:ascii="Tahoma" w:hAnsi="Tahoma" w:cs="Tahoma"/>
      <w:sz w:val="16"/>
      <w:szCs w:val="16"/>
      <w:lang w:eastAsia="en-US"/>
    </w:rPr>
  </w:style>
  <w:style w:type="paragraph" w:customStyle="1" w:styleId="ML">
    <w:name w:val="M/L"/>
    <w:basedOn w:val="Normal"/>
    <w:uiPriority w:val="99"/>
    <w:rsid w:val="001B376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1B3767"/>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1B3767"/>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1B3767"/>
    <w:pPr>
      <w:spacing w:before="100" w:beforeAutospacing="1" w:after="100" w:afterAutospacing="1"/>
      <w:ind w:firstLine="0"/>
      <w:jc w:val="left"/>
    </w:pPr>
    <w:rPr>
      <w:sz w:val="24"/>
      <w:szCs w:val="24"/>
      <w:lang w:val="es-ES" w:eastAsia="es-ES"/>
    </w:rPr>
  </w:style>
  <w:style w:type="character" w:customStyle="1" w:styleId="rubrica">
    <w:name w:val="rubrica"/>
    <w:rsid w:val="001B3767"/>
  </w:style>
  <w:style w:type="character" w:customStyle="1" w:styleId="highlight">
    <w:name w:val="highlight"/>
    <w:rsid w:val="001B3767"/>
  </w:style>
  <w:style w:type="paragraph" w:customStyle="1" w:styleId="PARA">
    <w:name w:val="PARA"/>
    <w:basedOn w:val="Normal"/>
    <w:rsid w:val="001B3767"/>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1B3767"/>
  </w:style>
  <w:style w:type="character" w:customStyle="1" w:styleId="TextonotaalfinalCar">
    <w:name w:val="Texto nota al final Car"/>
    <w:basedOn w:val="Fuentedeprrafopredeter"/>
    <w:link w:val="Textonotaalfinal"/>
    <w:rsid w:val="001B3767"/>
    <w:rPr>
      <w:lang w:eastAsia="en-US"/>
    </w:rPr>
  </w:style>
  <w:style w:type="character" w:styleId="Refdenotaalfinal">
    <w:name w:val="endnote reference"/>
    <w:rsid w:val="001B3767"/>
    <w:rPr>
      <w:vertAlign w:val="superscript"/>
    </w:rPr>
  </w:style>
  <w:style w:type="numbering" w:customStyle="1" w:styleId="Sinlista1">
    <w:name w:val="Sin lista1"/>
    <w:next w:val="Sinlista"/>
    <w:uiPriority w:val="99"/>
    <w:semiHidden/>
    <w:unhideWhenUsed/>
    <w:rsid w:val="007E6AC4"/>
  </w:style>
  <w:style w:type="table" w:customStyle="1" w:styleId="Tablaconcuadrcula1">
    <w:name w:val="Tabla con cuadrícula1"/>
    <w:basedOn w:val="Tablanormal"/>
    <w:next w:val="Tablaconcuadrcula"/>
    <w:rsid w:val="007E6AC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7E6AC4"/>
    <w:rPr>
      <w:shd w:val="clear" w:color="auto" w:fill="FCFE7C"/>
    </w:rPr>
  </w:style>
  <w:style w:type="paragraph" w:customStyle="1" w:styleId="anadir1">
    <w:name w:val="anadir1"/>
    <w:basedOn w:val="Normal"/>
    <w:rsid w:val="007E6AC4"/>
    <w:pPr>
      <w:spacing w:after="240"/>
      <w:ind w:right="240" w:firstLine="0"/>
      <w:jc w:val="right"/>
    </w:pPr>
    <w:rPr>
      <w:sz w:val="22"/>
      <w:szCs w:val="22"/>
      <w:lang w:val="es-ES" w:eastAsia="es-ES"/>
    </w:rPr>
  </w:style>
  <w:style w:type="character" w:customStyle="1" w:styleId="textoplanoCar">
    <w:name w:val="texto plano Car"/>
    <w:link w:val="textoplano"/>
    <w:locked/>
    <w:rsid w:val="007E6AC4"/>
    <w:rPr>
      <w:rFonts w:ascii="Arial" w:hAnsi="Arial" w:cs="Arial"/>
      <w:color w:val="000000"/>
      <w:sz w:val="19"/>
      <w:lang w:eastAsia="en-US"/>
    </w:rPr>
  </w:style>
  <w:style w:type="paragraph" w:customStyle="1" w:styleId="textoplano">
    <w:name w:val="texto plano"/>
    <w:basedOn w:val="Normal"/>
    <w:link w:val="textoplanoCar"/>
    <w:qFormat/>
    <w:rsid w:val="007E6AC4"/>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7E6AC4"/>
    <w:pPr>
      <w:spacing w:after="0"/>
      <w:ind w:firstLine="0"/>
      <w:jc w:val="left"/>
    </w:pPr>
    <w:rPr>
      <w:sz w:val="24"/>
      <w:szCs w:val="24"/>
      <w:lang w:val="es-ES" w:eastAsia="es-ES"/>
    </w:rPr>
  </w:style>
  <w:style w:type="table" w:styleId="Tablaconcolumnas1">
    <w:name w:val="Table Columns 1"/>
    <w:basedOn w:val="Tablanormal"/>
    <w:rsid w:val="007E6AC4"/>
    <w:rPr>
      <w:b/>
      <w:bCs/>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7E6AC4"/>
    <w:rPr>
      <w:lang w:val="es-ES"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7E6AC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27B1C"/>
    <w:rPr>
      <w:sz w:val="16"/>
      <w:szCs w:val="16"/>
    </w:rPr>
  </w:style>
  <w:style w:type="paragraph" w:styleId="Textocomentario">
    <w:name w:val="annotation text"/>
    <w:basedOn w:val="Normal"/>
    <w:link w:val="TextocomentarioCar"/>
    <w:rsid w:val="00F27B1C"/>
  </w:style>
  <w:style w:type="character" w:customStyle="1" w:styleId="TextocomentarioCar">
    <w:name w:val="Texto comentario Car"/>
    <w:basedOn w:val="Fuentedeprrafopredeter"/>
    <w:link w:val="Textocomentario"/>
    <w:rsid w:val="00F27B1C"/>
    <w:rPr>
      <w:lang w:eastAsia="en-US"/>
    </w:rPr>
  </w:style>
  <w:style w:type="paragraph" w:styleId="Asuntodelcomentario">
    <w:name w:val="annotation subject"/>
    <w:basedOn w:val="Textocomentario"/>
    <w:next w:val="Textocomentario"/>
    <w:link w:val="AsuntodelcomentarioCar"/>
    <w:rsid w:val="00F27B1C"/>
    <w:rPr>
      <w:b/>
      <w:bCs/>
    </w:rPr>
  </w:style>
  <w:style w:type="character" w:customStyle="1" w:styleId="AsuntodelcomentarioCar">
    <w:name w:val="Asunto del comentario Car"/>
    <w:basedOn w:val="TextocomentarioCar"/>
    <w:link w:val="Asuntodelcomentario"/>
    <w:rsid w:val="00F27B1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1B3767"/>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1B3767"/>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1B3767"/>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1"/>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1B3767"/>
    <w:rPr>
      <w:rFonts w:ascii="Calibri" w:hAnsi="Calibri"/>
      <w:b/>
      <w:bCs/>
      <w:sz w:val="22"/>
      <w:szCs w:val="22"/>
      <w:lang w:eastAsia="en-US"/>
    </w:rPr>
  </w:style>
  <w:style w:type="character" w:customStyle="1" w:styleId="Ttulo8Car">
    <w:name w:val="Título 8 Car"/>
    <w:basedOn w:val="Fuentedeprrafopredeter"/>
    <w:link w:val="Ttulo8"/>
    <w:uiPriority w:val="99"/>
    <w:semiHidden/>
    <w:rsid w:val="001B3767"/>
    <w:rPr>
      <w:rFonts w:ascii="Arial" w:hAnsi="Arial"/>
      <w:color w:val="000000"/>
      <w:sz w:val="16"/>
      <w:u w:val="single"/>
      <w:lang w:val="es-ES" w:eastAsia="es-ES"/>
    </w:rPr>
  </w:style>
  <w:style w:type="character" w:customStyle="1" w:styleId="Ttulo9Car">
    <w:name w:val="Título 9 Car"/>
    <w:basedOn w:val="Fuentedeprrafopredeter"/>
    <w:link w:val="Ttulo9"/>
    <w:uiPriority w:val="99"/>
    <w:semiHidden/>
    <w:rsid w:val="001B3767"/>
    <w:rPr>
      <w:rFonts w:ascii="Arial" w:hAnsi="Arial"/>
      <w:b/>
      <w:color w:val="000000"/>
      <w:lang w:val="es-ES" w:eastAsia="es-ES"/>
    </w:rPr>
  </w:style>
  <w:style w:type="character" w:customStyle="1" w:styleId="recomenCar">
    <w:name w:val="recomen Car"/>
    <w:link w:val="recomen"/>
    <w:rsid w:val="001B3767"/>
    <w:rPr>
      <w:i/>
      <w:spacing w:val="6"/>
      <w:sz w:val="26"/>
      <w:szCs w:val="24"/>
      <w:lang w:val="es-ES" w:eastAsia="en-US"/>
    </w:rPr>
  </w:style>
  <w:style w:type="paragraph" w:styleId="Textonotapie">
    <w:name w:val="footnote text"/>
    <w:basedOn w:val="Normal"/>
    <w:link w:val="TextonotapieCar"/>
    <w:rsid w:val="001B3767"/>
  </w:style>
  <w:style w:type="character" w:customStyle="1" w:styleId="TextonotapieCar">
    <w:name w:val="Texto nota pie Car"/>
    <w:basedOn w:val="Fuentedeprrafopredeter"/>
    <w:link w:val="Textonotapie"/>
    <w:rsid w:val="001B3767"/>
    <w:rPr>
      <w:lang w:eastAsia="en-US"/>
    </w:rPr>
  </w:style>
  <w:style w:type="character" w:styleId="Refdenotaalpie">
    <w:name w:val="footnote reference"/>
    <w:rsid w:val="001B3767"/>
    <w:rPr>
      <w:vertAlign w:val="superscript"/>
    </w:rPr>
  </w:style>
  <w:style w:type="paragraph" w:customStyle="1" w:styleId="cuatitul">
    <w:name w:val="cuatitul"/>
    <w:basedOn w:val="Normal"/>
    <w:rsid w:val="001B3767"/>
    <w:pPr>
      <w:spacing w:after="60"/>
      <w:ind w:firstLine="0"/>
      <w:jc w:val="center"/>
    </w:pPr>
    <w:rPr>
      <w:rFonts w:ascii="GillSans" w:hAnsi="GillSans"/>
      <w:sz w:val="22"/>
      <w:lang w:eastAsia="es-ES"/>
    </w:rPr>
  </w:style>
  <w:style w:type="paragraph" w:customStyle="1" w:styleId="Tabla">
    <w:name w:val="Tabla"/>
    <w:basedOn w:val="Normal"/>
    <w:rsid w:val="001B3767"/>
    <w:pPr>
      <w:spacing w:after="0"/>
      <w:ind w:firstLine="0"/>
    </w:pPr>
    <w:rPr>
      <w:rFonts w:ascii="Arial" w:hAnsi="Arial"/>
      <w:sz w:val="16"/>
      <w:lang w:eastAsia="es-ES"/>
    </w:rPr>
  </w:style>
  <w:style w:type="table" w:styleId="Tablaelegante">
    <w:name w:val="Table Elegant"/>
    <w:basedOn w:val="Tablanormal"/>
    <w:rsid w:val="001B3767"/>
    <w:rPr>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1B3767"/>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1B3767"/>
    <w:rPr>
      <w:rFonts w:ascii="Arial" w:hAnsi="Arial"/>
      <w:sz w:val="24"/>
      <w:lang w:eastAsia="es-ES"/>
    </w:rPr>
  </w:style>
  <w:style w:type="paragraph" w:customStyle="1" w:styleId="recomendaciones">
    <w:name w:val="recomendaciones"/>
    <w:rsid w:val="001B3767"/>
    <w:pPr>
      <w:spacing w:after="140"/>
      <w:ind w:left="1418" w:firstLine="284"/>
      <w:jc w:val="both"/>
    </w:pPr>
    <w:rPr>
      <w:rFonts w:ascii="ITCCentury Book" w:hAnsi="ITCCentury Book"/>
      <w:i/>
      <w:color w:val="000000"/>
      <w:sz w:val="24"/>
      <w:lang w:eastAsia="es-ES"/>
    </w:rPr>
  </w:style>
  <w:style w:type="paragraph" w:customStyle="1" w:styleId="norma1">
    <w:name w:val="norma1"/>
    <w:basedOn w:val="Normal"/>
    <w:rsid w:val="001B3767"/>
    <w:pPr>
      <w:spacing w:after="240"/>
      <w:ind w:firstLine="0"/>
    </w:pPr>
    <w:rPr>
      <w:b/>
      <w:bCs/>
      <w:caps/>
      <w:sz w:val="24"/>
      <w:szCs w:val="24"/>
      <w:lang w:val="es-ES" w:eastAsia="es-ES"/>
    </w:rPr>
  </w:style>
  <w:style w:type="paragraph" w:customStyle="1" w:styleId="Default">
    <w:name w:val="Default"/>
    <w:rsid w:val="001B3767"/>
    <w:pPr>
      <w:autoSpaceDE w:val="0"/>
      <w:autoSpaceDN w:val="0"/>
      <w:adjustRightInd w:val="0"/>
    </w:pPr>
    <w:rPr>
      <w:rFonts w:ascii="Arial" w:hAnsi="Arial" w:cs="Arial"/>
      <w:color w:val="000000"/>
      <w:sz w:val="24"/>
      <w:szCs w:val="24"/>
      <w:lang w:val="es-ES" w:eastAsia="es-ES"/>
    </w:rPr>
  </w:style>
  <w:style w:type="paragraph" w:customStyle="1" w:styleId="Pa9">
    <w:name w:val="Pa9"/>
    <w:basedOn w:val="Default"/>
    <w:next w:val="Default"/>
    <w:rsid w:val="001B3767"/>
    <w:pPr>
      <w:spacing w:line="201" w:lineRule="atLeast"/>
    </w:pPr>
    <w:rPr>
      <w:rFonts w:cs="Times New Roman"/>
      <w:color w:val="auto"/>
    </w:rPr>
  </w:style>
  <w:style w:type="character" w:customStyle="1" w:styleId="A5">
    <w:name w:val="A5"/>
    <w:rsid w:val="001B3767"/>
    <w:rPr>
      <w:rFonts w:cs="Arial"/>
      <w:color w:val="000000"/>
      <w:sz w:val="16"/>
      <w:szCs w:val="16"/>
    </w:rPr>
  </w:style>
  <w:style w:type="paragraph" w:customStyle="1" w:styleId="Estndar">
    <w:name w:val="Estándar"/>
    <w:rsid w:val="001B3767"/>
    <w:pPr>
      <w:snapToGrid w:val="0"/>
    </w:pPr>
    <w:rPr>
      <w:rFonts w:ascii="CG Omega" w:hAnsi="CG Omega"/>
      <w:color w:val="000000"/>
      <w:sz w:val="22"/>
      <w:lang w:val="es-ES" w:eastAsia="es-ES"/>
    </w:rPr>
  </w:style>
  <w:style w:type="paragraph" w:styleId="NormalWeb">
    <w:name w:val="Normal (Web)"/>
    <w:basedOn w:val="Normal"/>
    <w:uiPriority w:val="99"/>
    <w:rsid w:val="001B3767"/>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1B3767"/>
    <w:pPr>
      <w:spacing w:line="201" w:lineRule="atLeast"/>
    </w:pPr>
    <w:rPr>
      <w:rFonts w:cs="Times New Roman"/>
      <w:color w:val="auto"/>
    </w:rPr>
  </w:style>
  <w:style w:type="paragraph" w:customStyle="1" w:styleId="foral-f-parrafo-c">
    <w:name w:val="foral-f-parrafo-c"/>
    <w:basedOn w:val="Normal"/>
    <w:rsid w:val="001B3767"/>
    <w:pPr>
      <w:spacing w:after="240"/>
      <w:ind w:firstLine="0"/>
      <w:jc w:val="left"/>
    </w:pPr>
    <w:rPr>
      <w:sz w:val="24"/>
      <w:szCs w:val="24"/>
      <w:lang w:val="es-ES" w:eastAsia="es-ES"/>
    </w:rPr>
  </w:style>
  <w:style w:type="paragraph" w:customStyle="1" w:styleId="foral-f-parrafo-3lineas-t5-c">
    <w:name w:val="foral-f-parrafo-3lineas-t5-c"/>
    <w:basedOn w:val="Normal"/>
    <w:rsid w:val="001B3767"/>
    <w:pPr>
      <w:spacing w:after="240"/>
      <w:ind w:firstLine="0"/>
      <w:jc w:val="left"/>
    </w:pPr>
    <w:rPr>
      <w:sz w:val="24"/>
      <w:szCs w:val="24"/>
      <w:lang w:val="es-ES" w:eastAsia="es-ES"/>
    </w:rPr>
  </w:style>
  <w:style w:type="paragraph" w:customStyle="1" w:styleId="aaa">
    <w:name w:val="aaa"/>
    <w:basedOn w:val="Normal"/>
    <w:rsid w:val="001B3767"/>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1B3767"/>
    <w:pPr>
      <w:tabs>
        <w:tab w:val="left" w:pos="992"/>
      </w:tabs>
      <w:spacing w:after="300" w:line="340" w:lineRule="exact"/>
      <w:ind w:firstLine="567"/>
      <w:jc w:val="both"/>
    </w:pPr>
    <w:rPr>
      <w:rFonts w:ascii="Arial" w:hAnsi="Arial"/>
      <w:sz w:val="24"/>
      <w:lang w:val="es-ES" w:eastAsia="es-ES"/>
    </w:rPr>
  </w:style>
  <w:style w:type="paragraph" w:customStyle="1" w:styleId="ANUEVO">
    <w:name w:val="A.NUEVO"/>
    <w:basedOn w:val="Normal"/>
    <w:rsid w:val="001B3767"/>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1B3767"/>
    <w:rPr>
      <w:color w:val="800080"/>
      <w:u w:val="single"/>
    </w:rPr>
  </w:style>
  <w:style w:type="paragraph" w:customStyle="1" w:styleId="xa1">
    <w:name w:val="xa1"/>
    <w:basedOn w:val="Normal"/>
    <w:rsid w:val="001B3767"/>
    <w:pPr>
      <w:spacing w:after="240"/>
      <w:ind w:left="200" w:right="50" w:firstLine="0"/>
    </w:pPr>
    <w:rPr>
      <w:sz w:val="24"/>
      <w:szCs w:val="24"/>
      <w:lang w:val="es-ES" w:eastAsia="es-ES"/>
    </w:rPr>
  </w:style>
  <w:style w:type="paragraph" w:customStyle="1" w:styleId="xl1">
    <w:name w:val="xl1"/>
    <w:basedOn w:val="Normal"/>
    <w:rsid w:val="001B3767"/>
    <w:pPr>
      <w:spacing w:after="240"/>
      <w:ind w:left="200" w:right="50" w:hanging="150"/>
    </w:pPr>
    <w:rPr>
      <w:sz w:val="24"/>
      <w:szCs w:val="24"/>
      <w:lang w:val="es-ES" w:eastAsia="es-ES"/>
    </w:rPr>
  </w:style>
  <w:style w:type="paragraph" w:customStyle="1" w:styleId="xl2">
    <w:name w:val="xl2"/>
    <w:basedOn w:val="Normal"/>
    <w:rsid w:val="001B3767"/>
    <w:pPr>
      <w:spacing w:after="240"/>
      <w:ind w:left="350" w:right="50" w:hanging="150"/>
    </w:pPr>
    <w:rPr>
      <w:sz w:val="24"/>
      <w:szCs w:val="24"/>
      <w:lang w:val="es-ES" w:eastAsia="es-ES"/>
    </w:rPr>
  </w:style>
  <w:style w:type="character" w:customStyle="1" w:styleId="searchterm2">
    <w:name w:val="searchterm2"/>
    <w:rsid w:val="001B3767"/>
    <w:rPr>
      <w:b/>
      <w:bCs/>
      <w:color w:val="000000"/>
      <w:shd w:val="clear" w:color="auto" w:fill="FFFFBF"/>
    </w:rPr>
  </w:style>
  <w:style w:type="paragraph" w:customStyle="1" w:styleId="Pa7">
    <w:name w:val="Pa7"/>
    <w:basedOn w:val="Default"/>
    <w:next w:val="Default"/>
    <w:rsid w:val="001B3767"/>
    <w:pPr>
      <w:spacing w:line="201" w:lineRule="atLeast"/>
    </w:pPr>
    <w:rPr>
      <w:rFonts w:cs="Times New Roman"/>
      <w:color w:val="auto"/>
    </w:rPr>
  </w:style>
  <w:style w:type="character" w:customStyle="1" w:styleId="PiedepginaCar">
    <w:name w:val="Pie de página Car"/>
    <w:link w:val="Piedepgina"/>
    <w:uiPriority w:val="99"/>
    <w:rsid w:val="001B3767"/>
    <w:rPr>
      <w:spacing w:val="6"/>
      <w:lang w:eastAsia="en-US"/>
    </w:rPr>
  </w:style>
  <w:style w:type="paragraph" w:customStyle="1" w:styleId="ParrafoClausulas">
    <w:name w:val="ParrafoClausulas"/>
    <w:basedOn w:val="Normal"/>
    <w:rsid w:val="001B3767"/>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1B3767"/>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1B3767"/>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1B3767"/>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1B3767"/>
    <w:rPr>
      <w:rFonts w:ascii="Arial" w:hAnsi="Arial" w:cs="Arial"/>
      <w:b/>
      <w:bCs/>
      <w:sz w:val="18"/>
      <w:lang w:val="es-MX"/>
    </w:rPr>
  </w:style>
  <w:style w:type="paragraph" w:customStyle="1" w:styleId="Cuadropequea9izda12">
    <w:name w:val="Cuadro pequeña 9 izda12"/>
    <w:basedOn w:val="Normal"/>
    <w:link w:val="Cuadropequea9izda12Car"/>
    <w:autoRedefine/>
    <w:rsid w:val="001B3767"/>
    <w:pPr>
      <w:widowControl w:val="0"/>
      <w:tabs>
        <w:tab w:val="left" w:pos="851"/>
      </w:tabs>
      <w:autoSpaceDE w:val="0"/>
      <w:autoSpaceDN w:val="0"/>
      <w:adjustRightInd w:val="0"/>
      <w:spacing w:before="120" w:after="60"/>
      <w:ind w:firstLine="0"/>
      <w:jc w:val="left"/>
    </w:pPr>
    <w:rPr>
      <w:rFonts w:ascii="Arial" w:hAnsi="Arial" w:cs="Arial"/>
      <w:b/>
      <w:bCs/>
      <w:sz w:val="18"/>
      <w:lang w:val="es-MX" w:eastAsia="es-ES_tradnl"/>
    </w:rPr>
  </w:style>
  <w:style w:type="paragraph" w:customStyle="1" w:styleId="Cuadropequea9dcha11">
    <w:name w:val="Cuadro pequeña 9 dcha11"/>
    <w:basedOn w:val="Normal"/>
    <w:autoRedefine/>
    <w:rsid w:val="001B3767"/>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1B3767"/>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1B3767"/>
    <w:rPr>
      <w:rFonts w:ascii="Arial" w:hAnsi="Arial" w:cs="Arial" w:hint="default"/>
      <w:b/>
      <w:bCs w:val="0"/>
      <w:snapToGrid/>
      <w:position w:val="6"/>
      <w:sz w:val="18"/>
      <w:lang w:val="es-MX" w:eastAsia="es-ES" w:bidi="ar-SA"/>
    </w:rPr>
  </w:style>
  <w:style w:type="character" w:customStyle="1" w:styleId="atitulo3Car">
    <w:name w:val="atitulo3 Car"/>
    <w:link w:val="atitulo3"/>
    <w:rsid w:val="001B3767"/>
    <w:rPr>
      <w:rFonts w:ascii="Arial" w:hAnsi="Arial"/>
      <w:i/>
      <w:iCs/>
      <w:color w:val="000000"/>
      <w:spacing w:val="10"/>
      <w:kern w:val="28"/>
      <w:sz w:val="25"/>
      <w:szCs w:val="26"/>
      <w:lang w:eastAsia="en-US"/>
    </w:rPr>
  </w:style>
  <w:style w:type="paragraph" w:customStyle="1" w:styleId="simple">
    <w:name w:val="simple"/>
    <w:basedOn w:val="Normal"/>
    <w:rsid w:val="001B3767"/>
    <w:pPr>
      <w:spacing w:before="100" w:beforeAutospacing="1" w:after="100" w:afterAutospacing="1"/>
      <w:ind w:firstLine="0"/>
      <w:jc w:val="left"/>
    </w:pPr>
    <w:rPr>
      <w:sz w:val="24"/>
      <w:szCs w:val="24"/>
      <w:lang w:val="es-ES" w:eastAsia="es-ES"/>
    </w:rPr>
  </w:style>
  <w:style w:type="character" w:customStyle="1" w:styleId="searchterm">
    <w:name w:val="searchterm"/>
    <w:rsid w:val="001B3767"/>
  </w:style>
  <w:style w:type="character" w:customStyle="1" w:styleId="EncabezadoCar">
    <w:name w:val="Encabezado Car"/>
    <w:link w:val="Encabezado"/>
    <w:uiPriority w:val="99"/>
    <w:rsid w:val="001B3767"/>
    <w:rPr>
      <w:bCs/>
      <w:caps/>
      <w:sz w:val="14"/>
      <w:szCs w:val="12"/>
      <w:lang w:eastAsia="en-US"/>
    </w:rPr>
  </w:style>
  <w:style w:type="paragraph" w:styleId="Sangradetextonormal">
    <w:name w:val="Body Text Indent"/>
    <w:basedOn w:val="Normal"/>
    <w:link w:val="SangradetextonormalCar"/>
    <w:uiPriority w:val="99"/>
    <w:unhideWhenUsed/>
    <w:rsid w:val="001B3767"/>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1B3767"/>
    <w:rPr>
      <w:rFonts w:ascii="Arial" w:hAnsi="Arial"/>
      <w:sz w:val="22"/>
      <w:lang w:eastAsia="es-ES"/>
    </w:rPr>
  </w:style>
  <w:style w:type="paragraph" w:styleId="Textoindependiente2">
    <w:name w:val="Body Text 2"/>
    <w:basedOn w:val="Normal"/>
    <w:link w:val="Textoindependiente2Car"/>
    <w:uiPriority w:val="99"/>
    <w:unhideWhenUsed/>
    <w:rsid w:val="001B3767"/>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1B3767"/>
    <w:rPr>
      <w:rFonts w:ascii="Arial" w:hAnsi="Arial"/>
      <w:lang w:eastAsia="es-ES"/>
    </w:rPr>
  </w:style>
  <w:style w:type="paragraph" w:styleId="Textoindependiente3">
    <w:name w:val="Body Text 3"/>
    <w:basedOn w:val="Normal"/>
    <w:link w:val="Textoindependiente3Car"/>
    <w:unhideWhenUsed/>
    <w:rsid w:val="001B3767"/>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1B3767"/>
    <w:rPr>
      <w:sz w:val="18"/>
      <w:lang w:eastAsia="es-ES"/>
    </w:rPr>
  </w:style>
  <w:style w:type="paragraph" w:styleId="Sangra2detindependiente">
    <w:name w:val="Body Text Indent 2"/>
    <w:basedOn w:val="Normal"/>
    <w:link w:val="Sangra2detindependienteCar"/>
    <w:uiPriority w:val="99"/>
    <w:unhideWhenUsed/>
    <w:rsid w:val="001B3767"/>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1B3767"/>
    <w:rPr>
      <w:rFonts w:ascii="Arial" w:hAnsi="Arial"/>
      <w:lang w:eastAsia="es-ES"/>
    </w:rPr>
  </w:style>
  <w:style w:type="paragraph" w:styleId="Sangra3detindependiente">
    <w:name w:val="Body Text Indent 3"/>
    <w:basedOn w:val="Normal"/>
    <w:link w:val="Sangra3detindependienteCar"/>
    <w:uiPriority w:val="99"/>
    <w:unhideWhenUsed/>
    <w:rsid w:val="001B3767"/>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1B3767"/>
    <w:rPr>
      <w:rFonts w:ascii="Arial" w:hAnsi="Arial"/>
      <w:sz w:val="22"/>
      <w:lang w:eastAsia="es-ES"/>
    </w:rPr>
  </w:style>
  <w:style w:type="paragraph" w:styleId="Mapadeldocumento">
    <w:name w:val="Document Map"/>
    <w:basedOn w:val="Normal"/>
    <w:link w:val="MapadeldocumentoCar"/>
    <w:uiPriority w:val="99"/>
    <w:unhideWhenUsed/>
    <w:rsid w:val="001B3767"/>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1B3767"/>
    <w:rPr>
      <w:rFonts w:ascii="Tahoma" w:hAnsi="Tahoma"/>
      <w:shd w:val="clear" w:color="auto" w:fill="000080"/>
      <w:lang w:eastAsia="es-ES"/>
    </w:rPr>
  </w:style>
  <w:style w:type="character" w:customStyle="1" w:styleId="TextodegloboCar">
    <w:name w:val="Texto de globo Car"/>
    <w:link w:val="Textodeglobo"/>
    <w:uiPriority w:val="99"/>
    <w:semiHidden/>
    <w:rsid w:val="001B3767"/>
    <w:rPr>
      <w:rFonts w:ascii="Tahoma" w:hAnsi="Tahoma" w:cs="Tahoma"/>
      <w:sz w:val="16"/>
      <w:szCs w:val="16"/>
      <w:lang w:eastAsia="en-US"/>
    </w:rPr>
  </w:style>
  <w:style w:type="paragraph" w:customStyle="1" w:styleId="ML">
    <w:name w:val="M/L"/>
    <w:basedOn w:val="Normal"/>
    <w:uiPriority w:val="99"/>
    <w:rsid w:val="001B3767"/>
    <w:pPr>
      <w:spacing w:after="0" w:line="309" w:lineRule="auto"/>
      <w:ind w:left="-851" w:firstLine="0"/>
    </w:pPr>
    <w:rPr>
      <w:rFonts w:ascii="Arial" w:hAnsi="Arial"/>
      <w:b/>
      <w:caps/>
      <w:sz w:val="28"/>
      <w:lang w:eastAsia="es-ES"/>
    </w:rPr>
  </w:style>
  <w:style w:type="paragraph" w:customStyle="1" w:styleId="c20">
    <w:name w:val="c20"/>
    <w:basedOn w:val="Normal"/>
    <w:uiPriority w:val="99"/>
    <w:rsid w:val="001B3767"/>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1B3767"/>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1B3767"/>
    <w:pPr>
      <w:spacing w:before="100" w:beforeAutospacing="1" w:after="100" w:afterAutospacing="1"/>
      <w:ind w:firstLine="0"/>
      <w:jc w:val="left"/>
    </w:pPr>
    <w:rPr>
      <w:sz w:val="24"/>
      <w:szCs w:val="24"/>
      <w:lang w:val="es-ES" w:eastAsia="es-ES"/>
    </w:rPr>
  </w:style>
  <w:style w:type="character" w:customStyle="1" w:styleId="rubrica">
    <w:name w:val="rubrica"/>
    <w:rsid w:val="001B3767"/>
  </w:style>
  <w:style w:type="character" w:customStyle="1" w:styleId="highlight">
    <w:name w:val="highlight"/>
    <w:rsid w:val="001B3767"/>
  </w:style>
  <w:style w:type="paragraph" w:customStyle="1" w:styleId="PARA">
    <w:name w:val="PARA"/>
    <w:basedOn w:val="Normal"/>
    <w:rsid w:val="001B3767"/>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1B3767"/>
  </w:style>
  <w:style w:type="character" w:customStyle="1" w:styleId="TextonotaalfinalCar">
    <w:name w:val="Texto nota al final Car"/>
    <w:basedOn w:val="Fuentedeprrafopredeter"/>
    <w:link w:val="Textonotaalfinal"/>
    <w:rsid w:val="001B3767"/>
    <w:rPr>
      <w:lang w:eastAsia="en-US"/>
    </w:rPr>
  </w:style>
  <w:style w:type="character" w:styleId="Refdenotaalfinal">
    <w:name w:val="endnote reference"/>
    <w:rsid w:val="001B3767"/>
    <w:rPr>
      <w:vertAlign w:val="superscript"/>
    </w:rPr>
  </w:style>
  <w:style w:type="numbering" w:customStyle="1" w:styleId="Sinlista1">
    <w:name w:val="Sin lista1"/>
    <w:next w:val="Sinlista"/>
    <w:uiPriority w:val="99"/>
    <w:semiHidden/>
    <w:unhideWhenUsed/>
    <w:rsid w:val="007E6AC4"/>
  </w:style>
  <w:style w:type="table" w:customStyle="1" w:styleId="Tablaconcuadrcula1">
    <w:name w:val="Tabla con cuadrícula1"/>
    <w:basedOn w:val="Tablanormal"/>
    <w:next w:val="Tablaconcuadrcula"/>
    <w:rsid w:val="007E6AC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7E6AC4"/>
    <w:rPr>
      <w:shd w:val="clear" w:color="auto" w:fill="FCFE7C"/>
    </w:rPr>
  </w:style>
  <w:style w:type="paragraph" w:customStyle="1" w:styleId="anadir1">
    <w:name w:val="anadir1"/>
    <w:basedOn w:val="Normal"/>
    <w:rsid w:val="007E6AC4"/>
    <w:pPr>
      <w:spacing w:after="240"/>
      <w:ind w:right="240" w:firstLine="0"/>
      <w:jc w:val="right"/>
    </w:pPr>
    <w:rPr>
      <w:sz w:val="22"/>
      <w:szCs w:val="22"/>
      <w:lang w:val="es-ES" w:eastAsia="es-ES"/>
    </w:rPr>
  </w:style>
  <w:style w:type="character" w:customStyle="1" w:styleId="textoplanoCar">
    <w:name w:val="texto plano Car"/>
    <w:link w:val="textoplano"/>
    <w:locked/>
    <w:rsid w:val="007E6AC4"/>
    <w:rPr>
      <w:rFonts w:ascii="Arial" w:hAnsi="Arial" w:cs="Arial"/>
      <w:color w:val="000000"/>
      <w:sz w:val="19"/>
      <w:lang w:eastAsia="en-US"/>
    </w:rPr>
  </w:style>
  <w:style w:type="paragraph" w:customStyle="1" w:styleId="textoplano">
    <w:name w:val="texto plano"/>
    <w:basedOn w:val="Normal"/>
    <w:link w:val="textoplanoCar"/>
    <w:qFormat/>
    <w:rsid w:val="007E6AC4"/>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7E6AC4"/>
    <w:pPr>
      <w:spacing w:after="0"/>
      <w:ind w:firstLine="0"/>
      <w:jc w:val="left"/>
    </w:pPr>
    <w:rPr>
      <w:sz w:val="24"/>
      <w:szCs w:val="24"/>
      <w:lang w:val="es-ES" w:eastAsia="es-ES"/>
    </w:rPr>
  </w:style>
  <w:style w:type="table" w:styleId="Tablaconcolumnas1">
    <w:name w:val="Table Columns 1"/>
    <w:basedOn w:val="Tablanormal"/>
    <w:rsid w:val="007E6AC4"/>
    <w:rPr>
      <w:b/>
      <w:bCs/>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7E6AC4"/>
    <w:rPr>
      <w:lang w:val="es-ES"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7E6AC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F27B1C"/>
    <w:rPr>
      <w:sz w:val="16"/>
      <w:szCs w:val="16"/>
    </w:rPr>
  </w:style>
  <w:style w:type="paragraph" w:styleId="Textocomentario">
    <w:name w:val="annotation text"/>
    <w:basedOn w:val="Normal"/>
    <w:link w:val="TextocomentarioCar"/>
    <w:rsid w:val="00F27B1C"/>
  </w:style>
  <w:style w:type="character" w:customStyle="1" w:styleId="TextocomentarioCar">
    <w:name w:val="Texto comentario Car"/>
    <w:basedOn w:val="Fuentedeprrafopredeter"/>
    <w:link w:val="Textocomentario"/>
    <w:rsid w:val="00F27B1C"/>
    <w:rPr>
      <w:lang w:eastAsia="en-US"/>
    </w:rPr>
  </w:style>
  <w:style w:type="paragraph" w:styleId="Asuntodelcomentario">
    <w:name w:val="annotation subject"/>
    <w:basedOn w:val="Textocomentario"/>
    <w:next w:val="Textocomentario"/>
    <w:link w:val="AsuntodelcomentarioCar"/>
    <w:rsid w:val="00F27B1C"/>
    <w:rPr>
      <w:b/>
      <w:bCs/>
    </w:rPr>
  </w:style>
  <w:style w:type="character" w:customStyle="1" w:styleId="AsuntodelcomentarioCar">
    <w:name w:val="Asunto del comentario Car"/>
    <w:basedOn w:val="TextocomentarioCar"/>
    <w:link w:val="Asuntodelcomentario"/>
    <w:rsid w:val="00F27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1211">
      <w:bodyDiv w:val="1"/>
      <w:marLeft w:val="0"/>
      <w:marRight w:val="0"/>
      <w:marTop w:val="0"/>
      <w:marBottom w:val="0"/>
      <w:divBdr>
        <w:top w:val="none" w:sz="0" w:space="0" w:color="auto"/>
        <w:left w:val="none" w:sz="0" w:space="0" w:color="auto"/>
        <w:bottom w:val="none" w:sz="0" w:space="0" w:color="auto"/>
        <w:right w:val="none" w:sz="0" w:space="0" w:color="auto"/>
      </w:divBdr>
    </w:div>
    <w:div w:id="74480593">
      <w:bodyDiv w:val="1"/>
      <w:marLeft w:val="0"/>
      <w:marRight w:val="0"/>
      <w:marTop w:val="0"/>
      <w:marBottom w:val="0"/>
      <w:divBdr>
        <w:top w:val="none" w:sz="0" w:space="0" w:color="auto"/>
        <w:left w:val="none" w:sz="0" w:space="0" w:color="auto"/>
        <w:bottom w:val="none" w:sz="0" w:space="0" w:color="auto"/>
        <w:right w:val="none" w:sz="0" w:space="0" w:color="auto"/>
      </w:divBdr>
    </w:div>
    <w:div w:id="358892940">
      <w:bodyDiv w:val="1"/>
      <w:marLeft w:val="0"/>
      <w:marRight w:val="0"/>
      <w:marTop w:val="0"/>
      <w:marBottom w:val="0"/>
      <w:divBdr>
        <w:top w:val="none" w:sz="0" w:space="0" w:color="auto"/>
        <w:left w:val="none" w:sz="0" w:space="0" w:color="auto"/>
        <w:bottom w:val="none" w:sz="0" w:space="0" w:color="auto"/>
        <w:right w:val="none" w:sz="0" w:space="0" w:color="auto"/>
      </w:divBdr>
    </w:div>
    <w:div w:id="368605113">
      <w:bodyDiv w:val="1"/>
      <w:marLeft w:val="0"/>
      <w:marRight w:val="0"/>
      <w:marTop w:val="0"/>
      <w:marBottom w:val="0"/>
      <w:divBdr>
        <w:top w:val="none" w:sz="0" w:space="0" w:color="auto"/>
        <w:left w:val="none" w:sz="0" w:space="0" w:color="auto"/>
        <w:bottom w:val="none" w:sz="0" w:space="0" w:color="auto"/>
        <w:right w:val="none" w:sz="0" w:space="0" w:color="auto"/>
      </w:divBdr>
    </w:div>
    <w:div w:id="423307098">
      <w:bodyDiv w:val="1"/>
      <w:marLeft w:val="0"/>
      <w:marRight w:val="0"/>
      <w:marTop w:val="0"/>
      <w:marBottom w:val="0"/>
      <w:divBdr>
        <w:top w:val="none" w:sz="0" w:space="0" w:color="auto"/>
        <w:left w:val="none" w:sz="0" w:space="0" w:color="auto"/>
        <w:bottom w:val="none" w:sz="0" w:space="0" w:color="auto"/>
        <w:right w:val="none" w:sz="0" w:space="0" w:color="auto"/>
      </w:divBdr>
    </w:div>
    <w:div w:id="461965777">
      <w:bodyDiv w:val="1"/>
      <w:marLeft w:val="0"/>
      <w:marRight w:val="0"/>
      <w:marTop w:val="0"/>
      <w:marBottom w:val="0"/>
      <w:divBdr>
        <w:top w:val="none" w:sz="0" w:space="0" w:color="auto"/>
        <w:left w:val="none" w:sz="0" w:space="0" w:color="auto"/>
        <w:bottom w:val="none" w:sz="0" w:space="0" w:color="auto"/>
        <w:right w:val="none" w:sz="0" w:space="0" w:color="auto"/>
      </w:divBdr>
    </w:div>
    <w:div w:id="545025256">
      <w:bodyDiv w:val="1"/>
      <w:marLeft w:val="0"/>
      <w:marRight w:val="0"/>
      <w:marTop w:val="0"/>
      <w:marBottom w:val="0"/>
      <w:divBdr>
        <w:top w:val="none" w:sz="0" w:space="0" w:color="auto"/>
        <w:left w:val="none" w:sz="0" w:space="0" w:color="auto"/>
        <w:bottom w:val="none" w:sz="0" w:space="0" w:color="auto"/>
        <w:right w:val="none" w:sz="0" w:space="0" w:color="auto"/>
      </w:divBdr>
    </w:div>
    <w:div w:id="708722635">
      <w:bodyDiv w:val="1"/>
      <w:marLeft w:val="0"/>
      <w:marRight w:val="0"/>
      <w:marTop w:val="0"/>
      <w:marBottom w:val="0"/>
      <w:divBdr>
        <w:top w:val="none" w:sz="0" w:space="0" w:color="auto"/>
        <w:left w:val="none" w:sz="0" w:space="0" w:color="auto"/>
        <w:bottom w:val="none" w:sz="0" w:space="0" w:color="auto"/>
        <w:right w:val="none" w:sz="0" w:space="0" w:color="auto"/>
      </w:divBdr>
    </w:div>
    <w:div w:id="859701265">
      <w:bodyDiv w:val="1"/>
      <w:marLeft w:val="0"/>
      <w:marRight w:val="0"/>
      <w:marTop w:val="0"/>
      <w:marBottom w:val="0"/>
      <w:divBdr>
        <w:top w:val="none" w:sz="0" w:space="0" w:color="auto"/>
        <w:left w:val="none" w:sz="0" w:space="0" w:color="auto"/>
        <w:bottom w:val="none" w:sz="0" w:space="0" w:color="auto"/>
        <w:right w:val="none" w:sz="0" w:space="0" w:color="auto"/>
      </w:divBdr>
    </w:div>
    <w:div w:id="1037046348">
      <w:bodyDiv w:val="1"/>
      <w:marLeft w:val="0"/>
      <w:marRight w:val="0"/>
      <w:marTop w:val="0"/>
      <w:marBottom w:val="0"/>
      <w:divBdr>
        <w:top w:val="none" w:sz="0" w:space="0" w:color="auto"/>
        <w:left w:val="none" w:sz="0" w:space="0" w:color="auto"/>
        <w:bottom w:val="none" w:sz="0" w:space="0" w:color="auto"/>
        <w:right w:val="none" w:sz="0" w:space="0" w:color="auto"/>
      </w:divBdr>
    </w:div>
    <w:div w:id="1039817817">
      <w:bodyDiv w:val="1"/>
      <w:marLeft w:val="0"/>
      <w:marRight w:val="0"/>
      <w:marTop w:val="0"/>
      <w:marBottom w:val="0"/>
      <w:divBdr>
        <w:top w:val="none" w:sz="0" w:space="0" w:color="auto"/>
        <w:left w:val="none" w:sz="0" w:space="0" w:color="auto"/>
        <w:bottom w:val="none" w:sz="0" w:space="0" w:color="auto"/>
        <w:right w:val="none" w:sz="0" w:space="0" w:color="auto"/>
      </w:divBdr>
    </w:div>
    <w:div w:id="1080449359">
      <w:bodyDiv w:val="1"/>
      <w:marLeft w:val="0"/>
      <w:marRight w:val="0"/>
      <w:marTop w:val="0"/>
      <w:marBottom w:val="0"/>
      <w:divBdr>
        <w:top w:val="none" w:sz="0" w:space="0" w:color="auto"/>
        <w:left w:val="none" w:sz="0" w:space="0" w:color="auto"/>
        <w:bottom w:val="none" w:sz="0" w:space="0" w:color="auto"/>
        <w:right w:val="none" w:sz="0" w:space="0" w:color="auto"/>
      </w:divBdr>
    </w:div>
    <w:div w:id="1143502896">
      <w:bodyDiv w:val="1"/>
      <w:marLeft w:val="0"/>
      <w:marRight w:val="0"/>
      <w:marTop w:val="0"/>
      <w:marBottom w:val="0"/>
      <w:divBdr>
        <w:top w:val="none" w:sz="0" w:space="0" w:color="auto"/>
        <w:left w:val="none" w:sz="0" w:space="0" w:color="auto"/>
        <w:bottom w:val="none" w:sz="0" w:space="0" w:color="auto"/>
        <w:right w:val="none" w:sz="0" w:space="0" w:color="auto"/>
      </w:divBdr>
    </w:div>
    <w:div w:id="1509515575">
      <w:bodyDiv w:val="1"/>
      <w:marLeft w:val="0"/>
      <w:marRight w:val="0"/>
      <w:marTop w:val="0"/>
      <w:marBottom w:val="0"/>
      <w:divBdr>
        <w:top w:val="none" w:sz="0" w:space="0" w:color="auto"/>
        <w:left w:val="none" w:sz="0" w:space="0" w:color="auto"/>
        <w:bottom w:val="none" w:sz="0" w:space="0" w:color="auto"/>
        <w:right w:val="none" w:sz="0" w:space="0" w:color="auto"/>
      </w:divBdr>
    </w:div>
    <w:div w:id="1631475363">
      <w:bodyDiv w:val="1"/>
      <w:marLeft w:val="0"/>
      <w:marRight w:val="0"/>
      <w:marTop w:val="0"/>
      <w:marBottom w:val="0"/>
      <w:divBdr>
        <w:top w:val="none" w:sz="0" w:space="0" w:color="auto"/>
        <w:left w:val="none" w:sz="0" w:space="0" w:color="auto"/>
        <w:bottom w:val="none" w:sz="0" w:space="0" w:color="auto"/>
        <w:right w:val="none" w:sz="0" w:space="0" w:color="auto"/>
      </w:divBdr>
    </w:div>
    <w:div w:id="1654488980">
      <w:bodyDiv w:val="1"/>
      <w:marLeft w:val="0"/>
      <w:marRight w:val="0"/>
      <w:marTop w:val="0"/>
      <w:marBottom w:val="0"/>
      <w:divBdr>
        <w:top w:val="none" w:sz="0" w:space="0" w:color="auto"/>
        <w:left w:val="none" w:sz="0" w:space="0" w:color="auto"/>
        <w:bottom w:val="none" w:sz="0" w:space="0" w:color="auto"/>
        <w:right w:val="none" w:sz="0" w:space="0" w:color="auto"/>
      </w:divBdr>
    </w:div>
    <w:div w:id="1750230743">
      <w:bodyDiv w:val="1"/>
      <w:marLeft w:val="0"/>
      <w:marRight w:val="0"/>
      <w:marTop w:val="0"/>
      <w:marBottom w:val="0"/>
      <w:divBdr>
        <w:top w:val="none" w:sz="0" w:space="0" w:color="auto"/>
        <w:left w:val="none" w:sz="0" w:space="0" w:color="auto"/>
        <w:bottom w:val="none" w:sz="0" w:space="0" w:color="auto"/>
        <w:right w:val="none" w:sz="0" w:space="0" w:color="auto"/>
      </w:divBdr>
    </w:div>
    <w:div w:id="1757097147">
      <w:bodyDiv w:val="1"/>
      <w:marLeft w:val="0"/>
      <w:marRight w:val="0"/>
      <w:marTop w:val="0"/>
      <w:marBottom w:val="0"/>
      <w:divBdr>
        <w:top w:val="none" w:sz="0" w:space="0" w:color="auto"/>
        <w:left w:val="none" w:sz="0" w:space="0" w:color="auto"/>
        <w:bottom w:val="none" w:sz="0" w:space="0" w:color="auto"/>
        <w:right w:val="none" w:sz="0" w:space="0" w:color="auto"/>
      </w:divBdr>
    </w:div>
    <w:div w:id="1808159153">
      <w:bodyDiv w:val="1"/>
      <w:marLeft w:val="0"/>
      <w:marRight w:val="0"/>
      <w:marTop w:val="0"/>
      <w:marBottom w:val="0"/>
      <w:divBdr>
        <w:top w:val="none" w:sz="0" w:space="0" w:color="auto"/>
        <w:left w:val="none" w:sz="0" w:space="0" w:color="auto"/>
        <w:bottom w:val="none" w:sz="0" w:space="0" w:color="auto"/>
        <w:right w:val="none" w:sz="0" w:space="0" w:color="auto"/>
      </w:divBdr>
    </w:div>
    <w:div w:id="1883714017">
      <w:bodyDiv w:val="1"/>
      <w:marLeft w:val="0"/>
      <w:marRight w:val="0"/>
      <w:marTop w:val="0"/>
      <w:marBottom w:val="0"/>
      <w:divBdr>
        <w:top w:val="none" w:sz="0" w:space="0" w:color="auto"/>
        <w:left w:val="none" w:sz="0" w:space="0" w:color="auto"/>
        <w:bottom w:val="none" w:sz="0" w:space="0" w:color="auto"/>
        <w:right w:val="none" w:sz="0" w:space="0" w:color="auto"/>
      </w:divBdr>
    </w:div>
    <w:div w:id="1957104061">
      <w:bodyDiv w:val="1"/>
      <w:marLeft w:val="0"/>
      <w:marRight w:val="0"/>
      <w:marTop w:val="0"/>
      <w:marBottom w:val="0"/>
      <w:divBdr>
        <w:top w:val="none" w:sz="0" w:space="0" w:color="auto"/>
        <w:left w:val="none" w:sz="0" w:space="0" w:color="auto"/>
        <w:bottom w:val="none" w:sz="0" w:space="0" w:color="auto"/>
        <w:right w:val="none" w:sz="0" w:space="0" w:color="auto"/>
      </w:divBdr>
    </w:div>
    <w:div w:id="20519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varra.es/Presupuestos/Cuentas%20Generales%20de%20Navarra/Cuentas%20Generales%20de%20Navarra%20del%20a&#241;o%202014"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3C9C-F69B-4A36-A611-1E9F22B2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29769</Words>
  <Characters>170351</Characters>
  <Application>Microsoft Office Word</Application>
  <DocSecurity>0</DocSecurity>
  <Lines>1419</Lines>
  <Paragraphs>399</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199721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3</cp:revision>
  <cp:lastPrinted>2015-11-09T11:55:00Z</cp:lastPrinted>
  <dcterms:created xsi:type="dcterms:W3CDTF">2015-11-27T07:48:00Z</dcterms:created>
  <dcterms:modified xsi:type="dcterms:W3CDTF">2015-12-07T11:26:00Z</dcterms:modified>
</cp:coreProperties>
</file>