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C3A32" w:rsidRPr="00873B7F" w:rsidRDefault="00CB70CD" w:rsidP="00207D58">
      <w:pPr>
        <w:pStyle w:val="EstiloPortada"/>
        <w:ind w:left="3840" w:right="-58"/>
        <w:rPr>
          <w:b w:val="0"/>
          <w:color w:val="BFBFBF" w:themeColor="background1" w:themeShade="BF"/>
        </w:rPr>
      </w:pPr>
      <w:r w:rsidRPr="00873B7F">
        <w:rPr>
          <w:b w:val="0"/>
          <w:noProof/>
          <w:color w:val="A6A6A6" w:themeColor="background1" w:themeShade="A6"/>
          <w:lang w:val="es-ES" w:eastAsia="es-ES"/>
        </w:rPr>
        <mc:AlternateContent>
          <mc:Choice Requires="wps">
            <w:drawing>
              <wp:anchor distT="0" distB="0" distL="114300" distR="114300" simplePos="0" relativeHeight="251657728" behindDoc="0" locked="0" layoutInCell="1" allowOverlap="1" wp14:anchorId="2D9148CD" wp14:editId="39A2A3E9">
                <wp:simplePos x="0" y="0"/>
                <wp:positionH relativeFrom="column">
                  <wp:posOffset>-201295</wp:posOffset>
                </wp:positionH>
                <wp:positionV relativeFrom="paragraph">
                  <wp:posOffset>-36195</wp:posOffset>
                </wp:positionV>
                <wp:extent cx="1105535" cy="937260"/>
                <wp:effectExtent l="0" t="0" r="0" b="0"/>
                <wp:wrapSquare wrapText="bothSides"/>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AC782A" w:rsidRPr="002C7026" w:rsidRDefault="00AC782A" w:rsidP="002C7026">
                            <w:pPr>
                              <w:spacing w:after="0"/>
                              <w:ind w:firstLine="0"/>
                              <w:jc w:val="center"/>
                              <w:rPr>
                                <w:rFonts w:ascii="Trajan" w:hAnsi="Trajan"/>
                                <w:sz w:val="18"/>
                                <w:szCs w:val="18"/>
                                <w:lang w:val="es-ES"/>
                              </w:rPr>
                            </w:pPr>
                            <w:r w:rsidRPr="002C7026">
                              <w:rPr>
                                <w:rFonts w:ascii="Trajan" w:hAnsi="Trajan"/>
                                <w:sz w:val="18"/>
                                <w:szCs w:val="18"/>
                                <w:lang w:val="es-ES"/>
                              </w:rPr>
                              <w:t>Cámara de</w:t>
                            </w:r>
                          </w:p>
                          <w:p w:rsidR="00AC782A" w:rsidRPr="002C7026" w:rsidRDefault="00AC782A" w:rsidP="002C7026">
                            <w:pPr>
                              <w:spacing w:after="0"/>
                              <w:ind w:firstLine="0"/>
                              <w:jc w:val="center"/>
                              <w:rPr>
                                <w:rFonts w:ascii="Trajan" w:hAnsi="Trajan"/>
                                <w:sz w:val="18"/>
                                <w:szCs w:val="18"/>
                                <w:lang w:val="es-ES"/>
                              </w:rPr>
                            </w:pPr>
                            <w:r w:rsidRPr="002C7026">
                              <w:rPr>
                                <w:rFonts w:ascii="Trajan" w:hAnsi="Trajan"/>
                                <w:sz w:val="18"/>
                                <w:szCs w:val="18"/>
                                <w:lang w:val="es-ES"/>
                              </w:rPr>
                              <w:t>Comptos</w:t>
                            </w:r>
                          </w:p>
                          <w:p w:rsidR="00AC782A" w:rsidRPr="002C7026" w:rsidRDefault="00AC782A" w:rsidP="002C7026">
                            <w:pPr>
                              <w:spacing w:after="0"/>
                              <w:ind w:firstLine="0"/>
                              <w:jc w:val="center"/>
                              <w:rPr>
                                <w:rFonts w:ascii="Trajan" w:hAnsi="Trajan"/>
                                <w:sz w:val="18"/>
                                <w:szCs w:val="18"/>
                                <w:lang w:val="es-ES"/>
                              </w:rPr>
                            </w:pPr>
                            <w:r w:rsidRPr="002C7026">
                              <w:rPr>
                                <w:rFonts w:ascii="Trajan" w:hAnsi="Trajan"/>
                                <w:sz w:val="18"/>
                                <w:szCs w:val="18"/>
                                <w:lang w:val="es-ES"/>
                              </w:rPr>
                              <w:t>De Navarra</w:t>
                            </w:r>
                          </w:p>
                          <w:p w:rsidR="00AC782A" w:rsidRPr="002C7026" w:rsidRDefault="00AC782A" w:rsidP="002C7026">
                            <w:pPr>
                              <w:spacing w:after="0"/>
                              <w:ind w:firstLine="0"/>
                              <w:jc w:val="center"/>
                              <w:rPr>
                                <w:rFonts w:ascii="Trajan" w:hAnsi="Trajan"/>
                                <w:color w:val="808080"/>
                                <w:sz w:val="18"/>
                                <w:szCs w:val="18"/>
                                <w:lang w:val="es-ES"/>
                              </w:rPr>
                            </w:pPr>
                            <w:r w:rsidRPr="002C7026">
                              <w:rPr>
                                <w:rFonts w:ascii="Trajan" w:hAnsi="Trajan"/>
                                <w:color w:val="808080"/>
                                <w:sz w:val="18"/>
                                <w:szCs w:val="18"/>
                                <w:lang w:val="es-ES"/>
                              </w:rPr>
                              <w:t>Nafarroako</w:t>
                            </w:r>
                          </w:p>
                          <w:p w:rsidR="00AC782A" w:rsidRPr="002C7026" w:rsidRDefault="00AC782A" w:rsidP="002C7026">
                            <w:pPr>
                              <w:spacing w:after="0"/>
                              <w:ind w:firstLine="0"/>
                              <w:jc w:val="center"/>
                              <w:rPr>
                                <w:rFonts w:ascii="Trajan" w:hAnsi="Trajan"/>
                                <w:color w:val="808080"/>
                                <w:sz w:val="18"/>
                                <w:szCs w:val="18"/>
                                <w:lang w:val="es-ES"/>
                              </w:rPr>
                            </w:pPr>
                            <w:r>
                              <w:rPr>
                                <w:rFonts w:ascii="Trajan" w:hAnsi="Trajan"/>
                                <w:color w:val="808080"/>
                                <w:sz w:val="18"/>
                                <w:szCs w:val="18"/>
                                <w:lang w:val="es-ES"/>
                              </w:rPr>
                              <w:t>kontuen</w:t>
                            </w:r>
                          </w:p>
                          <w:p w:rsidR="00AC782A" w:rsidRPr="002C7026" w:rsidRDefault="00AC782A" w:rsidP="002C7026">
                            <w:pPr>
                              <w:spacing w:after="0"/>
                              <w:ind w:firstLine="0"/>
                              <w:jc w:val="center"/>
                              <w:rPr>
                                <w:rFonts w:ascii="Trajan" w:hAnsi="Trajan"/>
                                <w:color w:val="808080"/>
                                <w:sz w:val="18"/>
                                <w:szCs w:val="18"/>
                                <w:lang w:val="es-ES"/>
                              </w:rPr>
                            </w:pPr>
                            <w:r w:rsidRPr="002C7026">
                              <w:rPr>
                                <w:rFonts w:ascii="Trajan" w:hAnsi="Trajan"/>
                                <w:color w:val="808080"/>
                                <w:sz w:val="18"/>
                                <w:szCs w:val="18"/>
                                <w:lang w:val="es-ES"/>
                              </w:rPr>
                              <w:t>ganbera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5.85pt;margin-top:-2.8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" stroked="f" strokecolor="white">
                <v:textbox>
                  <w:txbxContent>
                    <w:p w:rsidR="00AC782A" w:rsidRPr="002C7026" w:rsidRDefault="00AC782A" w:rsidP="002C7026">
                      <w:pPr>
                        <w:spacing w:after="0"/>
                        <w:ind w:firstLine="0"/>
                        <w:jc w:val="center"/>
                        <w:rPr>
                          <w:rFonts w:ascii="Trajan" w:hAnsi="Trajan"/>
                          <w:sz w:val="18"/>
                          <w:szCs w:val="18"/>
                          <w:lang w:val="es-ES"/>
                        </w:rPr>
                      </w:pPr>
                      <w:r w:rsidRPr="002C7026">
                        <w:rPr>
                          <w:rFonts w:ascii="Trajan" w:hAnsi="Trajan"/>
                          <w:sz w:val="18"/>
                          <w:szCs w:val="18"/>
                          <w:lang w:val="es-ES"/>
                        </w:rPr>
                        <w:t>Cámara de</w:t>
                      </w:r>
                    </w:p>
                    <w:p w:rsidR="00AC782A" w:rsidRPr="002C7026" w:rsidRDefault="00AC782A" w:rsidP="002C7026">
                      <w:pPr>
                        <w:spacing w:after="0"/>
                        <w:ind w:firstLine="0"/>
                        <w:jc w:val="center"/>
                        <w:rPr>
                          <w:rFonts w:ascii="Trajan" w:hAnsi="Trajan"/>
                          <w:sz w:val="18"/>
                          <w:szCs w:val="18"/>
                          <w:lang w:val="es-ES"/>
                        </w:rPr>
                      </w:pPr>
                      <w:r w:rsidRPr="002C7026">
                        <w:rPr>
                          <w:rFonts w:ascii="Trajan" w:hAnsi="Trajan"/>
                          <w:sz w:val="18"/>
                          <w:szCs w:val="18"/>
                          <w:lang w:val="es-ES"/>
                        </w:rPr>
                        <w:t>Comptos</w:t>
                      </w:r>
                    </w:p>
                    <w:p w:rsidR="00AC782A" w:rsidRPr="002C7026" w:rsidRDefault="00AC782A" w:rsidP="002C7026">
                      <w:pPr>
                        <w:spacing w:after="0"/>
                        <w:ind w:firstLine="0"/>
                        <w:jc w:val="center"/>
                        <w:rPr>
                          <w:rFonts w:ascii="Trajan" w:hAnsi="Trajan"/>
                          <w:sz w:val="18"/>
                          <w:szCs w:val="18"/>
                          <w:lang w:val="es-ES"/>
                        </w:rPr>
                      </w:pPr>
                      <w:r w:rsidRPr="002C7026">
                        <w:rPr>
                          <w:rFonts w:ascii="Trajan" w:hAnsi="Trajan"/>
                          <w:sz w:val="18"/>
                          <w:szCs w:val="18"/>
                          <w:lang w:val="es-ES"/>
                        </w:rPr>
                        <w:t>De Navarra</w:t>
                      </w:r>
                    </w:p>
                    <w:p w:rsidR="00AC782A" w:rsidRPr="002C7026" w:rsidRDefault="00AC782A" w:rsidP="002C7026">
                      <w:pPr>
                        <w:spacing w:after="0"/>
                        <w:ind w:firstLine="0"/>
                        <w:jc w:val="center"/>
                        <w:rPr>
                          <w:rFonts w:ascii="Trajan" w:hAnsi="Trajan"/>
                          <w:color w:val="808080"/>
                          <w:sz w:val="18"/>
                          <w:szCs w:val="18"/>
                          <w:lang w:val="es-ES"/>
                        </w:rPr>
                      </w:pPr>
                      <w:proofErr w:type="spellStart"/>
                      <w:r w:rsidRPr="002C7026">
                        <w:rPr>
                          <w:rFonts w:ascii="Trajan" w:hAnsi="Trajan"/>
                          <w:color w:val="808080"/>
                          <w:sz w:val="18"/>
                          <w:szCs w:val="18"/>
                          <w:lang w:val="es-ES"/>
                        </w:rPr>
                        <w:t>Nafarroako</w:t>
                      </w:r>
                      <w:proofErr w:type="spellEnd"/>
                    </w:p>
                    <w:p w:rsidR="00AC782A" w:rsidRPr="002C7026" w:rsidRDefault="00AC782A" w:rsidP="002C7026">
                      <w:pPr>
                        <w:spacing w:after="0"/>
                        <w:ind w:firstLine="0"/>
                        <w:jc w:val="center"/>
                        <w:rPr>
                          <w:rFonts w:ascii="Trajan" w:hAnsi="Trajan"/>
                          <w:color w:val="808080"/>
                          <w:sz w:val="18"/>
                          <w:szCs w:val="18"/>
                          <w:lang w:val="es-ES"/>
                        </w:rPr>
                      </w:pPr>
                      <w:proofErr w:type="spellStart"/>
                      <w:proofErr w:type="gramStart"/>
                      <w:r>
                        <w:rPr>
                          <w:rFonts w:ascii="Trajan" w:hAnsi="Trajan"/>
                          <w:color w:val="808080"/>
                          <w:sz w:val="18"/>
                          <w:szCs w:val="18"/>
                          <w:lang w:val="es-ES"/>
                        </w:rPr>
                        <w:t>kontuen</w:t>
                      </w:r>
                      <w:proofErr w:type="spellEnd"/>
                      <w:proofErr w:type="gramEnd"/>
                    </w:p>
                    <w:p w:rsidR="00AC782A" w:rsidRPr="002C7026" w:rsidRDefault="00AC782A" w:rsidP="002C7026">
                      <w:pPr>
                        <w:spacing w:after="0"/>
                        <w:ind w:firstLine="0"/>
                        <w:jc w:val="center"/>
                        <w:rPr>
                          <w:rFonts w:ascii="Trajan" w:hAnsi="Trajan"/>
                          <w:color w:val="808080"/>
                          <w:sz w:val="18"/>
                          <w:szCs w:val="18"/>
                          <w:lang w:val="es-ES"/>
                        </w:rPr>
                      </w:pPr>
                      <w:proofErr w:type="spellStart"/>
                      <w:proofErr w:type="gramStart"/>
                      <w:r w:rsidRPr="002C7026">
                        <w:rPr>
                          <w:rFonts w:ascii="Trajan" w:hAnsi="Trajan"/>
                          <w:color w:val="808080"/>
                          <w:sz w:val="18"/>
                          <w:szCs w:val="18"/>
                          <w:lang w:val="es-ES"/>
                        </w:rPr>
                        <w:t>ganbera</w:t>
                      </w:r>
                      <w:proofErr w:type="spellEnd"/>
                      <w:proofErr w:type="gramEnd"/>
                    </w:p>
                  </w:txbxContent>
                </v:textbox>
                <w10:wrap type="square"/>
              </v:shape>
            </w:pict>
          </mc:Fallback>
        </mc:AlternateContent>
      </w:r>
    </w:p>
    <w:p w:rsidR="00B96E4C" w:rsidRDefault="00B96E4C" w:rsidP="000D29E9">
      <w:pPr>
        <w:pStyle w:val="EstiloPortada"/>
        <w:ind w:left="3828"/>
        <w:jc w:val="both"/>
        <w:rPr>
          <w:b w:val="0"/>
          <w:color w:val="A6A6A6" w:themeColor="background1" w:themeShade="A6"/>
          <w:sz w:val="52"/>
          <w:szCs w:val="52"/>
        </w:rPr>
      </w:pPr>
    </w:p>
    <w:p w:rsidR="001C3A32" w:rsidRPr="00B52998" w:rsidRDefault="001C3A32" w:rsidP="00891D73">
      <w:pPr>
        <w:pStyle w:val="texto"/>
      </w:pPr>
    </w:p>
    <w:p w:rsidR="00231437" w:rsidRPr="00B96E4C" w:rsidRDefault="00D7670F" w:rsidP="00B96E4C">
      <w:pPr>
        <w:pStyle w:val="EstiloPortada"/>
        <w:ind w:left="2694" w:right="-425"/>
        <w:rPr>
          <w:sz w:val="44"/>
          <w:szCs w:val="44"/>
        </w:rPr>
      </w:pPr>
      <w:r w:rsidRPr="00B96E4C">
        <w:rPr>
          <w:sz w:val="44"/>
          <w:szCs w:val="44"/>
        </w:rPr>
        <w:t xml:space="preserve">Actuaciones de la Hacienda Foral en relación con el C.A. Osasuna </w:t>
      </w:r>
      <w:r w:rsidR="00E527AD" w:rsidRPr="00B96E4C">
        <w:rPr>
          <w:sz w:val="44"/>
          <w:szCs w:val="44"/>
        </w:rPr>
        <w:t xml:space="preserve">y </w:t>
      </w:r>
    </w:p>
    <w:p w:rsidR="00667A7B" w:rsidRDefault="00D422C4" w:rsidP="00667A7B">
      <w:pPr>
        <w:pStyle w:val="EstiloPortada"/>
        <w:ind w:left="2694" w:right="-567"/>
        <w:rPr>
          <w:sz w:val="44"/>
          <w:szCs w:val="44"/>
        </w:rPr>
      </w:pPr>
      <w:r w:rsidRPr="00B96E4C">
        <w:rPr>
          <w:sz w:val="44"/>
          <w:szCs w:val="44"/>
        </w:rPr>
        <w:t>aplicación de la</w:t>
      </w:r>
      <w:r w:rsidR="00E527AD" w:rsidRPr="00B96E4C">
        <w:rPr>
          <w:sz w:val="44"/>
          <w:szCs w:val="44"/>
        </w:rPr>
        <w:t xml:space="preserve"> Ley Foral </w:t>
      </w:r>
      <w:r w:rsidR="00667A7B">
        <w:rPr>
          <w:sz w:val="44"/>
          <w:szCs w:val="44"/>
        </w:rPr>
        <w:t>26/2014,</w:t>
      </w:r>
    </w:p>
    <w:p w:rsidR="00D7670F" w:rsidRPr="00B96E4C" w:rsidRDefault="00D422C4" w:rsidP="00B96E4C">
      <w:pPr>
        <w:pStyle w:val="EstiloPortada"/>
        <w:ind w:left="2694" w:right="-425"/>
        <w:rPr>
          <w:sz w:val="44"/>
          <w:szCs w:val="44"/>
        </w:rPr>
      </w:pPr>
      <w:r w:rsidRPr="00B96E4C">
        <w:rPr>
          <w:sz w:val="44"/>
          <w:szCs w:val="44"/>
        </w:rPr>
        <w:t>de reestructuración de su deuda tributaria</w:t>
      </w:r>
    </w:p>
    <w:p w:rsidR="001C3A32" w:rsidRDefault="001C3A32" w:rsidP="00891D73">
      <w:pPr>
        <w:pStyle w:val="texto"/>
      </w:pPr>
    </w:p>
    <w:p w:rsidR="00FE4963" w:rsidRDefault="00FE4963" w:rsidP="00891D73">
      <w:pPr>
        <w:pStyle w:val="texto"/>
      </w:pPr>
    </w:p>
    <w:p w:rsidR="00FE4963" w:rsidRPr="00204979" w:rsidRDefault="00FE4963"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73B7F" w:rsidRDefault="00873B7F" w:rsidP="00764B5C">
      <w:pPr>
        <w:pStyle w:val="texto"/>
        <w:ind w:firstLine="0"/>
      </w:pPr>
    </w:p>
    <w:p w:rsidR="00B96E4C" w:rsidRDefault="00B96E4C" w:rsidP="00764B5C">
      <w:pPr>
        <w:pStyle w:val="texto"/>
        <w:ind w:firstLine="0"/>
      </w:pPr>
    </w:p>
    <w:p w:rsidR="00B96E4C" w:rsidRDefault="00B96E4C" w:rsidP="00764B5C">
      <w:pPr>
        <w:pStyle w:val="texto"/>
        <w:ind w:firstLine="0"/>
      </w:pPr>
    </w:p>
    <w:p w:rsidR="00B96E4C" w:rsidRDefault="00B96E4C" w:rsidP="00764B5C">
      <w:pPr>
        <w:pStyle w:val="texto"/>
        <w:ind w:firstLine="0"/>
      </w:pPr>
    </w:p>
    <w:p w:rsidR="00B96E4C" w:rsidRDefault="00B96E4C" w:rsidP="00764B5C">
      <w:pPr>
        <w:pStyle w:val="texto"/>
        <w:ind w:firstLine="0"/>
      </w:pPr>
    </w:p>
    <w:p w:rsidR="00B96E4C" w:rsidRDefault="00B96E4C" w:rsidP="00764B5C">
      <w:pPr>
        <w:pStyle w:val="texto"/>
        <w:ind w:firstLine="0"/>
      </w:pPr>
    </w:p>
    <w:p w:rsidR="00873B7F" w:rsidRPr="00204979" w:rsidRDefault="00873B7F" w:rsidP="00891D73">
      <w:pPr>
        <w:pStyle w:val="texto"/>
      </w:pPr>
    </w:p>
    <w:p w:rsidR="00716463" w:rsidRPr="00667A7B" w:rsidRDefault="00675ADD" w:rsidP="009936FC">
      <w:pPr>
        <w:pStyle w:val="Fechaportada"/>
        <w:rPr>
          <w:sz w:val="32"/>
          <w:szCs w:val="32"/>
        </w:rPr>
      </w:pPr>
      <w:r w:rsidRPr="00667A7B">
        <w:rPr>
          <w:sz w:val="32"/>
          <w:szCs w:val="32"/>
        </w:rPr>
        <w:t>Ju</w:t>
      </w:r>
      <w:r w:rsidR="00251DEF">
        <w:rPr>
          <w:sz w:val="32"/>
          <w:szCs w:val="32"/>
        </w:rPr>
        <w:t>l</w:t>
      </w:r>
      <w:r w:rsidRPr="00667A7B">
        <w:rPr>
          <w:sz w:val="32"/>
          <w:szCs w:val="32"/>
        </w:rPr>
        <w:t>io</w:t>
      </w:r>
      <w:r w:rsidR="006D06C1" w:rsidRPr="00667A7B">
        <w:rPr>
          <w:sz w:val="32"/>
          <w:szCs w:val="32"/>
        </w:rPr>
        <w:t>,</w:t>
      </w:r>
      <w:r w:rsidR="00882BEB" w:rsidRPr="00667A7B">
        <w:rPr>
          <w:sz w:val="32"/>
          <w:szCs w:val="32"/>
        </w:rPr>
        <w:t xml:space="preserve"> 201</w:t>
      </w:r>
      <w:r w:rsidR="00873B7F" w:rsidRPr="00667A7B">
        <w:rPr>
          <w:sz w:val="32"/>
          <w:szCs w:val="32"/>
        </w:rPr>
        <w:t>5</w:t>
      </w:r>
    </w:p>
    <w:p w:rsidR="008E3FFE" w:rsidRPr="00B52998" w:rsidRDefault="008E3FFE" w:rsidP="00891D73">
      <w:pPr>
        <w:pStyle w:val="ndice"/>
        <w:rPr>
          <w:rFonts w:ascii="Times New Roman" w:hAnsi="Times New Roman"/>
          <w:color w:val="auto"/>
        </w:rPr>
        <w:sectPr w:rsidR="008E3FFE" w:rsidRPr="00B52998" w:rsidSect="00897122">
          <w:headerReference w:type="default" r:id="rId9"/>
          <w:footerReference w:type="even" r:id="rId10"/>
          <w:footerReference w:type="default" r:id="rId11"/>
          <w:headerReference w:type="first" r:id="rId12"/>
          <w:footerReference w:type="first" r:id="rId13"/>
          <w:pgSz w:w="11907" w:h="16840" w:code="9"/>
          <w:pgMar w:top="1985" w:right="1559" w:bottom="1644" w:left="1559" w:header="624" w:footer="136" w:gutter="0"/>
          <w:pgNumType w:start="1"/>
          <w:cols w:space="720"/>
          <w:titlePg/>
          <w:docGrid w:linePitch="360"/>
        </w:sectPr>
      </w:pPr>
    </w:p>
    <w:p w:rsidR="001C3A32" w:rsidRDefault="00891D73" w:rsidP="00B96E4C">
      <w:pPr>
        <w:pStyle w:val="ndice"/>
        <w:spacing w:after="120"/>
      </w:pPr>
      <w:r w:rsidRPr="00891D73">
        <w:lastRenderedPageBreak/>
        <w:t>Índice</w:t>
      </w:r>
    </w:p>
    <w:p w:rsidR="0014728F" w:rsidRPr="004950CC" w:rsidRDefault="003C6E1D" w:rsidP="001841D5">
      <w:pPr>
        <w:pStyle w:val="texto"/>
        <w:ind w:right="-211"/>
        <w:jc w:val="right"/>
        <w:rPr>
          <w:smallCaps/>
          <w:sz w:val="20"/>
          <w:szCs w:val="20"/>
        </w:rPr>
      </w:pPr>
      <w:r>
        <w:t>.</w:t>
      </w:r>
      <w:r w:rsidR="004950CC">
        <w:tab/>
      </w:r>
      <w:r w:rsidR="004950CC">
        <w:tab/>
      </w:r>
      <w:r w:rsidR="004950CC">
        <w:tab/>
      </w:r>
      <w:r w:rsidR="004950CC">
        <w:tab/>
      </w:r>
      <w:r w:rsidR="004950CC">
        <w:tab/>
      </w:r>
      <w:r w:rsidR="004950CC">
        <w:rPr>
          <w:smallCaps/>
          <w:sz w:val="20"/>
          <w:szCs w:val="20"/>
        </w:rPr>
        <w:t>página</w:t>
      </w:r>
    </w:p>
    <w:p w:rsidR="00897122" w:rsidRDefault="00882BEB">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425926944" w:history="1">
        <w:r w:rsidR="00897122" w:rsidRPr="00EE0852">
          <w:rPr>
            <w:rStyle w:val="Hipervnculo"/>
            <w:noProof/>
          </w:rPr>
          <w:t>I. Introducción</w:t>
        </w:r>
        <w:r w:rsidR="00897122">
          <w:rPr>
            <w:noProof/>
            <w:webHidden/>
          </w:rPr>
          <w:tab/>
        </w:r>
        <w:r w:rsidR="00897122">
          <w:rPr>
            <w:noProof/>
            <w:webHidden/>
          </w:rPr>
          <w:fldChar w:fldCharType="begin"/>
        </w:r>
        <w:r w:rsidR="00897122">
          <w:rPr>
            <w:noProof/>
            <w:webHidden/>
          </w:rPr>
          <w:instrText xml:space="preserve"> PAGEREF _Toc425926944 \h </w:instrText>
        </w:r>
        <w:r w:rsidR="00897122">
          <w:rPr>
            <w:noProof/>
            <w:webHidden/>
          </w:rPr>
        </w:r>
        <w:r w:rsidR="00897122">
          <w:rPr>
            <w:noProof/>
            <w:webHidden/>
          </w:rPr>
          <w:fldChar w:fldCharType="separate"/>
        </w:r>
        <w:r w:rsidR="00897122">
          <w:rPr>
            <w:noProof/>
            <w:webHidden/>
          </w:rPr>
          <w:t>3</w:t>
        </w:r>
        <w:r w:rsidR="00897122">
          <w:rPr>
            <w:noProof/>
            <w:webHidden/>
          </w:rPr>
          <w:fldChar w:fldCharType="end"/>
        </w:r>
      </w:hyperlink>
    </w:p>
    <w:p w:rsidR="00897122" w:rsidRDefault="008D24C0">
      <w:pPr>
        <w:pStyle w:val="TDC1"/>
        <w:rPr>
          <w:rFonts w:asciiTheme="minorHAnsi" w:eastAsiaTheme="minorEastAsia" w:hAnsiTheme="minorHAnsi" w:cstheme="minorBidi"/>
          <w:smallCaps w:val="0"/>
          <w:noProof/>
          <w:szCs w:val="22"/>
          <w:lang w:val="es-ES" w:eastAsia="es-ES"/>
        </w:rPr>
      </w:pPr>
      <w:hyperlink w:anchor="_Toc425926945" w:history="1">
        <w:r w:rsidR="00897122" w:rsidRPr="00EE0852">
          <w:rPr>
            <w:rStyle w:val="Hipervnculo"/>
            <w:noProof/>
          </w:rPr>
          <w:t>II. Objetivo y alcance</w:t>
        </w:r>
        <w:r w:rsidR="00897122">
          <w:rPr>
            <w:noProof/>
            <w:webHidden/>
          </w:rPr>
          <w:tab/>
        </w:r>
        <w:r w:rsidR="00897122">
          <w:rPr>
            <w:noProof/>
            <w:webHidden/>
          </w:rPr>
          <w:fldChar w:fldCharType="begin"/>
        </w:r>
        <w:r w:rsidR="00897122">
          <w:rPr>
            <w:noProof/>
            <w:webHidden/>
          </w:rPr>
          <w:instrText xml:space="preserve"> PAGEREF _Toc425926945 \h </w:instrText>
        </w:r>
        <w:r w:rsidR="00897122">
          <w:rPr>
            <w:noProof/>
            <w:webHidden/>
          </w:rPr>
        </w:r>
        <w:r w:rsidR="00897122">
          <w:rPr>
            <w:noProof/>
            <w:webHidden/>
          </w:rPr>
          <w:fldChar w:fldCharType="separate"/>
        </w:r>
        <w:r w:rsidR="00897122">
          <w:rPr>
            <w:noProof/>
            <w:webHidden/>
          </w:rPr>
          <w:t>5</w:t>
        </w:r>
        <w:r w:rsidR="00897122">
          <w:rPr>
            <w:noProof/>
            <w:webHidden/>
          </w:rPr>
          <w:fldChar w:fldCharType="end"/>
        </w:r>
      </w:hyperlink>
    </w:p>
    <w:p w:rsidR="00897122" w:rsidRDefault="008D24C0">
      <w:pPr>
        <w:pStyle w:val="TDC1"/>
        <w:rPr>
          <w:rFonts w:asciiTheme="minorHAnsi" w:eastAsiaTheme="minorEastAsia" w:hAnsiTheme="minorHAnsi" w:cstheme="minorBidi"/>
          <w:smallCaps w:val="0"/>
          <w:noProof/>
          <w:szCs w:val="22"/>
          <w:lang w:val="es-ES" w:eastAsia="es-ES"/>
        </w:rPr>
      </w:pPr>
      <w:hyperlink w:anchor="_Toc425926946" w:history="1">
        <w:r w:rsidR="00897122" w:rsidRPr="00EE0852">
          <w:rPr>
            <w:rStyle w:val="Hipervnculo"/>
            <w:noProof/>
          </w:rPr>
          <w:t>III. La Ley Foral 26/2014, de 2 de diciembre, por la que se aprueba la reestructuración de la deuda del Club Atlético Osasuna con la Comunidad Foral de Navarra</w:t>
        </w:r>
        <w:r w:rsidR="00897122">
          <w:rPr>
            <w:noProof/>
            <w:webHidden/>
          </w:rPr>
          <w:tab/>
        </w:r>
        <w:r w:rsidR="00897122">
          <w:rPr>
            <w:noProof/>
            <w:webHidden/>
          </w:rPr>
          <w:fldChar w:fldCharType="begin"/>
        </w:r>
        <w:r w:rsidR="00897122">
          <w:rPr>
            <w:noProof/>
            <w:webHidden/>
          </w:rPr>
          <w:instrText xml:space="preserve"> PAGEREF _Toc425926946 \h </w:instrText>
        </w:r>
        <w:r w:rsidR="00897122">
          <w:rPr>
            <w:noProof/>
            <w:webHidden/>
          </w:rPr>
        </w:r>
        <w:r w:rsidR="00897122">
          <w:rPr>
            <w:noProof/>
            <w:webHidden/>
          </w:rPr>
          <w:fldChar w:fldCharType="separate"/>
        </w:r>
        <w:r w:rsidR="00897122">
          <w:rPr>
            <w:noProof/>
            <w:webHidden/>
          </w:rPr>
          <w:t>7</w:t>
        </w:r>
        <w:r w:rsidR="00897122">
          <w:rPr>
            <w:noProof/>
            <w:webHidden/>
          </w:rPr>
          <w:fldChar w:fldCharType="end"/>
        </w:r>
      </w:hyperlink>
    </w:p>
    <w:p w:rsidR="00897122" w:rsidRDefault="008D24C0">
      <w:pPr>
        <w:pStyle w:val="TDC2"/>
        <w:rPr>
          <w:rFonts w:asciiTheme="minorHAnsi" w:eastAsiaTheme="minorEastAsia" w:hAnsiTheme="minorHAnsi" w:cstheme="minorBidi"/>
          <w:noProof/>
          <w:szCs w:val="22"/>
          <w:lang w:val="es-ES" w:eastAsia="es-ES"/>
        </w:rPr>
      </w:pPr>
      <w:hyperlink w:anchor="_Toc425926947" w:history="1">
        <w:r w:rsidR="00897122" w:rsidRPr="00EE0852">
          <w:rPr>
            <w:rStyle w:val="Hipervnculo"/>
            <w:noProof/>
          </w:rPr>
          <w:t>III.1. Exposición de motivos</w:t>
        </w:r>
        <w:r w:rsidR="00897122">
          <w:rPr>
            <w:noProof/>
            <w:webHidden/>
          </w:rPr>
          <w:tab/>
        </w:r>
        <w:r w:rsidR="00897122">
          <w:rPr>
            <w:noProof/>
            <w:webHidden/>
          </w:rPr>
          <w:fldChar w:fldCharType="begin"/>
        </w:r>
        <w:r w:rsidR="00897122">
          <w:rPr>
            <w:noProof/>
            <w:webHidden/>
          </w:rPr>
          <w:instrText xml:space="preserve"> PAGEREF _Toc425926947 \h </w:instrText>
        </w:r>
        <w:r w:rsidR="00897122">
          <w:rPr>
            <w:noProof/>
            <w:webHidden/>
          </w:rPr>
        </w:r>
        <w:r w:rsidR="00897122">
          <w:rPr>
            <w:noProof/>
            <w:webHidden/>
          </w:rPr>
          <w:fldChar w:fldCharType="separate"/>
        </w:r>
        <w:r w:rsidR="00897122">
          <w:rPr>
            <w:noProof/>
            <w:webHidden/>
          </w:rPr>
          <w:t>7</w:t>
        </w:r>
        <w:r w:rsidR="00897122">
          <w:rPr>
            <w:noProof/>
            <w:webHidden/>
          </w:rPr>
          <w:fldChar w:fldCharType="end"/>
        </w:r>
      </w:hyperlink>
    </w:p>
    <w:p w:rsidR="00897122" w:rsidRDefault="008D24C0">
      <w:pPr>
        <w:pStyle w:val="TDC2"/>
        <w:rPr>
          <w:rFonts w:asciiTheme="minorHAnsi" w:eastAsiaTheme="minorEastAsia" w:hAnsiTheme="minorHAnsi" w:cstheme="minorBidi"/>
          <w:noProof/>
          <w:szCs w:val="22"/>
          <w:lang w:val="es-ES" w:eastAsia="es-ES"/>
        </w:rPr>
      </w:pPr>
      <w:hyperlink w:anchor="_Toc425926948" w:history="1">
        <w:r w:rsidR="00897122" w:rsidRPr="00EE0852">
          <w:rPr>
            <w:rStyle w:val="Hipervnculo"/>
            <w:noProof/>
          </w:rPr>
          <w:t>III.2. Articulado</w:t>
        </w:r>
        <w:r w:rsidR="00897122">
          <w:rPr>
            <w:noProof/>
            <w:webHidden/>
          </w:rPr>
          <w:tab/>
        </w:r>
        <w:r w:rsidR="00897122">
          <w:rPr>
            <w:noProof/>
            <w:webHidden/>
          </w:rPr>
          <w:fldChar w:fldCharType="begin"/>
        </w:r>
        <w:r w:rsidR="00897122">
          <w:rPr>
            <w:noProof/>
            <w:webHidden/>
          </w:rPr>
          <w:instrText xml:space="preserve"> PAGEREF _Toc425926948 \h </w:instrText>
        </w:r>
        <w:r w:rsidR="00897122">
          <w:rPr>
            <w:noProof/>
            <w:webHidden/>
          </w:rPr>
        </w:r>
        <w:r w:rsidR="00897122">
          <w:rPr>
            <w:noProof/>
            <w:webHidden/>
          </w:rPr>
          <w:fldChar w:fldCharType="separate"/>
        </w:r>
        <w:r w:rsidR="00897122">
          <w:rPr>
            <w:noProof/>
            <w:webHidden/>
          </w:rPr>
          <w:t>8</w:t>
        </w:r>
        <w:r w:rsidR="00897122">
          <w:rPr>
            <w:noProof/>
            <w:webHidden/>
          </w:rPr>
          <w:fldChar w:fldCharType="end"/>
        </w:r>
      </w:hyperlink>
    </w:p>
    <w:p w:rsidR="00897122" w:rsidRDefault="008D24C0">
      <w:pPr>
        <w:pStyle w:val="TDC1"/>
        <w:rPr>
          <w:rFonts w:asciiTheme="minorHAnsi" w:eastAsiaTheme="minorEastAsia" w:hAnsiTheme="minorHAnsi" w:cstheme="minorBidi"/>
          <w:smallCaps w:val="0"/>
          <w:noProof/>
          <w:szCs w:val="22"/>
          <w:lang w:val="es-ES" w:eastAsia="es-ES"/>
        </w:rPr>
      </w:pPr>
      <w:hyperlink w:anchor="_Toc425926949" w:history="1">
        <w:r w:rsidR="00897122" w:rsidRPr="00EE0852">
          <w:rPr>
            <w:rStyle w:val="Hipervnculo"/>
            <w:noProof/>
          </w:rPr>
          <w:t>IV. Conclusiones</w:t>
        </w:r>
        <w:r w:rsidR="00897122">
          <w:rPr>
            <w:noProof/>
            <w:webHidden/>
          </w:rPr>
          <w:tab/>
        </w:r>
        <w:r w:rsidR="00897122">
          <w:rPr>
            <w:noProof/>
            <w:webHidden/>
          </w:rPr>
          <w:fldChar w:fldCharType="begin"/>
        </w:r>
        <w:r w:rsidR="00897122">
          <w:rPr>
            <w:noProof/>
            <w:webHidden/>
          </w:rPr>
          <w:instrText xml:space="preserve"> PAGEREF _Toc425926949 \h </w:instrText>
        </w:r>
        <w:r w:rsidR="00897122">
          <w:rPr>
            <w:noProof/>
            <w:webHidden/>
          </w:rPr>
        </w:r>
        <w:r w:rsidR="00897122">
          <w:rPr>
            <w:noProof/>
            <w:webHidden/>
          </w:rPr>
          <w:fldChar w:fldCharType="separate"/>
        </w:r>
        <w:r w:rsidR="00897122">
          <w:rPr>
            <w:noProof/>
            <w:webHidden/>
          </w:rPr>
          <w:t>12</w:t>
        </w:r>
        <w:r w:rsidR="00897122">
          <w:rPr>
            <w:noProof/>
            <w:webHidden/>
          </w:rPr>
          <w:fldChar w:fldCharType="end"/>
        </w:r>
      </w:hyperlink>
    </w:p>
    <w:p w:rsidR="00897122" w:rsidRDefault="008D24C0">
      <w:pPr>
        <w:pStyle w:val="TDC2"/>
        <w:rPr>
          <w:rFonts w:asciiTheme="minorHAnsi" w:eastAsiaTheme="minorEastAsia" w:hAnsiTheme="minorHAnsi" w:cstheme="minorBidi"/>
          <w:noProof/>
          <w:szCs w:val="22"/>
          <w:lang w:val="es-ES" w:eastAsia="es-ES"/>
        </w:rPr>
      </w:pPr>
      <w:hyperlink w:anchor="_Toc425926950" w:history="1">
        <w:r w:rsidR="00897122" w:rsidRPr="00EE0852">
          <w:rPr>
            <w:rStyle w:val="Hipervnculo"/>
            <w:noProof/>
          </w:rPr>
          <w:t>IV.1. Cuantificación de la deuda tributaria del Club Atlético Osasuna a 31 de diciembre de 2014 y evolución de su deuda tributaria en el periodo de 2005 a 2014</w:t>
        </w:r>
        <w:r w:rsidR="00897122">
          <w:rPr>
            <w:noProof/>
            <w:webHidden/>
          </w:rPr>
          <w:tab/>
        </w:r>
        <w:r w:rsidR="00897122">
          <w:rPr>
            <w:noProof/>
            <w:webHidden/>
          </w:rPr>
          <w:fldChar w:fldCharType="begin"/>
        </w:r>
        <w:r w:rsidR="00897122">
          <w:rPr>
            <w:noProof/>
            <w:webHidden/>
          </w:rPr>
          <w:instrText xml:space="preserve"> PAGEREF _Toc425926950 \h </w:instrText>
        </w:r>
        <w:r w:rsidR="00897122">
          <w:rPr>
            <w:noProof/>
            <w:webHidden/>
          </w:rPr>
        </w:r>
        <w:r w:rsidR="00897122">
          <w:rPr>
            <w:noProof/>
            <w:webHidden/>
          </w:rPr>
          <w:fldChar w:fldCharType="separate"/>
        </w:r>
        <w:r w:rsidR="00897122">
          <w:rPr>
            <w:noProof/>
            <w:webHidden/>
          </w:rPr>
          <w:t>12</w:t>
        </w:r>
        <w:r w:rsidR="00897122">
          <w:rPr>
            <w:noProof/>
            <w:webHidden/>
          </w:rPr>
          <w:fldChar w:fldCharType="end"/>
        </w:r>
      </w:hyperlink>
    </w:p>
    <w:p w:rsidR="00897122" w:rsidRDefault="008D24C0">
      <w:pPr>
        <w:pStyle w:val="TDC2"/>
        <w:rPr>
          <w:rFonts w:asciiTheme="minorHAnsi" w:eastAsiaTheme="minorEastAsia" w:hAnsiTheme="minorHAnsi" w:cstheme="minorBidi"/>
          <w:noProof/>
          <w:szCs w:val="22"/>
          <w:lang w:val="es-ES" w:eastAsia="es-ES"/>
        </w:rPr>
      </w:pPr>
      <w:hyperlink w:anchor="_Toc425926951" w:history="1">
        <w:r w:rsidR="00897122" w:rsidRPr="00EE0852">
          <w:rPr>
            <w:rStyle w:val="Hipervnculo"/>
            <w:noProof/>
          </w:rPr>
          <w:t>IV.2. Cumplimiento de la normativa tributaria por la HTN</w:t>
        </w:r>
        <w:r w:rsidR="00897122">
          <w:rPr>
            <w:noProof/>
            <w:webHidden/>
          </w:rPr>
          <w:tab/>
        </w:r>
        <w:r w:rsidR="00897122">
          <w:rPr>
            <w:noProof/>
            <w:webHidden/>
          </w:rPr>
          <w:fldChar w:fldCharType="begin"/>
        </w:r>
        <w:r w:rsidR="00897122">
          <w:rPr>
            <w:noProof/>
            <w:webHidden/>
          </w:rPr>
          <w:instrText xml:space="preserve"> PAGEREF _Toc425926951 \h </w:instrText>
        </w:r>
        <w:r w:rsidR="00897122">
          <w:rPr>
            <w:noProof/>
            <w:webHidden/>
          </w:rPr>
        </w:r>
        <w:r w:rsidR="00897122">
          <w:rPr>
            <w:noProof/>
            <w:webHidden/>
          </w:rPr>
          <w:fldChar w:fldCharType="separate"/>
        </w:r>
        <w:r w:rsidR="00897122">
          <w:rPr>
            <w:noProof/>
            <w:webHidden/>
          </w:rPr>
          <w:t>17</w:t>
        </w:r>
        <w:r w:rsidR="00897122">
          <w:rPr>
            <w:noProof/>
            <w:webHidden/>
          </w:rPr>
          <w:fldChar w:fldCharType="end"/>
        </w:r>
      </w:hyperlink>
    </w:p>
    <w:p w:rsidR="00897122" w:rsidRDefault="008D24C0">
      <w:pPr>
        <w:pStyle w:val="TDC2"/>
        <w:rPr>
          <w:rFonts w:asciiTheme="minorHAnsi" w:eastAsiaTheme="minorEastAsia" w:hAnsiTheme="minorHAnsi" w:cstheme="minorBidi"/>
          <w:noProof/>
          <w:szCs w:val="22"/>
          <w:lang w:val="es-ES" w:eastAsia="es-ES"/>
        </w:rPr>
      </w:pPr>
      <w:hyperlink w:anchor="_Toc425926952" w:history="1">
        <w:r w:rsidR="00897122" w:rsidRPr="00EE0852">
          <w:rPr>
            <w:rStyle w:val="Hipervnculo"/>
            <w:noProof/>
          </w:rPr>
          <w:t>IV.3. Entrega de bienes por el club, diferencial de la deuda tributaria y concesión del aplazamiento</w:t>
        </w:r>
        <w:r w:rsidR="00897122">
          <w:rPr>
            <w:noProof/>
            <w:webHidden/>
          </w:rPr>
          <w:tab/>
        </w:r>
        <w:r w:rsidR="00897122">
          <w:rPr>
            <w:noProof/>
            <w:webHidden/>
          </w:rPr>
          <w:fldChar w:fldCharType="begin"/>
        </w:r>
        <w:r w:rsidR="00897122">
          <w:rPr>
            <w:noProof/>
            <w:webHidden/>
          </w:rPr>
          <w:instrText xml:space="preserve"> PAGEREF _Toc425926952 \h </w:instrText>
        </w:r>
        <w:r w:rsidR="00897122">
          <w:rPr>
            <w:noProof/>
            <w:webHidden/>
          </w:rPr>
        </w:r>
        <w:r w:rsidR="00897122">
          <w:rPr>
            <w:noProof/>
            <w:webHidden/>
          </w:rPr>
          <w:fldChar w:fldCharType="separate"/>
        </w:r>
        <w:r w:rsidR="00897122">
          <w:rPr>
            <w:noProof/>
            <w:webHidden/>
          </w:rPr>
          <w:t>32</w:t>
        </w:r>
        <w:r w:rsidR="00897122">
          <w:rPr>
            <w:noProof/>
            <w:webHidden/>
          </w:rPr>
          <w:fldChar w:fldCharType="end"/>
        </w:r>
      </w:hyperlink>
    </w:p>
    <w:p w:rsidR="00897122" w:rsidRDefault="008D24C0">
      <w:pPr>
        <w:pStyle w:val="TDC2"/>
        <w:rPr>
          <w:rFonts w:asciiTheme="minorHAnsi" w:eastAsiaTheme="minorEastAsia" w:hAnsiTheme="minorHAnsi" w:cstheme="minorBidi"/>
          <w:noProof/>
          <w:szCs w:val="22"/>
          <w:lang w:val="es-ES" w:eastAsia="es-ES"/>
        </w:rPr>
      </w:pPr>
      <w:hyperlink w:anchor="_Toc425926953" w:history="1">
        <w:r w:rsidR="00897122" w:rsidRPr="00EE0852">
          <w:rPr>
            <w:rStyle w:val="Hipervnculo"/>
            <w:noProof/>
          </w:rPr>
          <w:t>IV.4. Concesión de avales, cumplimiento del resto de requisitos que señala la Ley Foral 26/2014 y otras consideraciones sobre la misma</w:t>
        </w:r>
        <w:r w:rsidR="00897122">
          <w:rPr>
            <w:noProof/>
            <w:webHidden/>
          </w:rPr>
          <w:tab/>
        </w:r>
        <w:r w:rsidR="00897122">
          <w:rPr>
            <w:noProof/>
            <w:webHidden/>
          </w:rPr>
          <w:fldChar w:fldCharType="begin"/>
        </w:r>
        <w:r w:rsidR="00897122">
          <w:rPr>
            <w:noProof/>
            <w:webHidden/>
          </w:rPr>
          <w:instrText xml:space="preserve"> PAGEREF _Toc425926953 \h </w:instrText>
        </w:r>
        <w:r w:rsidR="00897122">
          <w:rPr>
            <w:noProof/>
            <w:webHidden/>
          </w:rPr>
        </w:r>
        <w:r w:rsidR="00897122">
          <w:rPr>
            <w:noProof/>
            <w:webHidden/>
          </w:rPr>
          <w:fldChar w:fldCharType="separate"/>
        </w:r>
        <w:r w:rsidR="00897122">
          <w:rPr>
            <w:noProof/>
            <w:webHidden/>
          </w:rPr>
          <w:t>43</w:t>
        </w:r>
        <w:r w:rsidR="00897122">
          <w:rPr>
            <w:noProof/>
            <w:webHidden/>
          </w:rPr>
          <w:fldChar w:fldCharType="end"/>
        </w:r>
      </w:hyperlink>
    </w:p>
    <w:p w:rsidR="00897122" w:rsidRDefault="008D24C0">
      <w:pPr>
        <w:pStyle w:val="TDC2"/>
        <w:rPr>
          <w:rFonts w:asciiTheme="minorHAnsi" w:eastAsiaTheme="minorEastAsia" w:hAnsiTheme="minorHAnsi" w:cstheme="minorBidi"/>
          <w:noProof/>
          <w:szCs w:val="22"/>
          <w:lang w:val="es-ES" w:eastAsia="es-ES"/>
        </w:rPr>
      </w:pPr>
      <w:hyperlink w:anchor="_Toc425926954" w:history="1">
        <w:r w:rsidR="00897122" w:rsidRPr="00EE0852">
          <w:rPr>
            <w:rStyle w:val="Hipervnculo"/>
            <w:noProof/>
          </w:rPr>
          <w:t>IV.5. Otras actuaciones a favor del club</w:t>
        </w:r>
        <w:r w:rsidR="00897122">
          <w:rPr>
            <w:noProof/>
            <w:webHidden/>
          </w:rPr>
          <w:tab/>
        </w:r>
        <w:r w:rsidR="00897122">
          <w:rPr>
            <w:noProof/>
            <w:webHidden/>
          </w:rPr>
          <w:fldChar w:fldCharType="begin"/>
        </w:r>
        <w:r w:rsidR="00897122">
          <w:rPr>
            <w:noProof/>
            <w:webHidden/>
          </w:rPr>
          <w:instrText xml:space="preserve"> PAGEREF _Toc425926954 \h </w:instrText>
        </w:r>
        <w:r w:rsidR="00897122">
          <w:rPr>
            <w:noProof/>
            <w:webHidden/>
          </w:rPr>
        </w:r>
        <w:r w:rsidR="00897122">
          <w:rPr>
            <w:noProof/>
            <w:webHidden/>
          </w:rPr>
          <w:fldChar w:fldCharType="separate"/>
        </w:r>
        <w:r w:rsidR="00897122">
          <w:rPr>
            <w:noProof/>
            <w:webHidden/>
          </w:rPr>
          <w:t>47</w:t>
        </w:r>
        <w:r w:rsidR="00897122">
          <w:rPr>
            <w:noProof/>
            <w:webHidden/>
          </w:rPr>
          <w:fldChar w:fldCharType="end"/>
        </w:r>
      </w:hyperlink>
    </w:p>
    <w:p w:rsidR="00897122" w:rsidRDefault="008D24C0">
      <w:pPr>
        <w:pStyle w:val="TDC1"/>
        <w:rPr>
          <w:rFonts w:asciiTheme="minorHAnsi" w:eastAsiaTheme="minorEastAsia" w:hAnsiTheme="minorHAnsi" w:cstheme="minorBidi"/>
          <w:smallCaps w:val="0"/>
          <w:noProof/>
          <w:szCs w:val="22"/>
          <w:lang w:val="es-ES" w:eastAsia="es-ES"/>
        </w:rPr>
      </w:pPr>
      <w:hyperlink w:anchor="_Toc425926955" w:history="1">
        <w:r w:rsidR="00897122" w:rsidRPr="00EE0852">
          <w:rPr>
            <w:rStyle w:val="Hipervnculo"/>
            <w:noProof/>
          </w:rPr>
          <w:t>V. Resumen final</w:t>
        </w:r>
        <w:r w:rsidR="00897122">
          <w:rPr>
            <w:noProof/>
            <w:webHidden/>
          </w:rPr>
          <w:tab/>
        </w:r>
        <w:r w:rsidR="00897122">
          <w:rPr>
            <w:noProof/>
            <w:webHidden/>
          </w:rPr>
          <w:fldChar w:fldCharType="begin"/>
        </w:r>
        <w:r w:rsidR="00897122">
          <w:rPr>
            <w:noProof/>
            <w:webHidden/>
          </w:rPr>
          <w:instrText xml:space="preserve"> PAGEREF _Toc425926955 \h </w:instrText>
        </w:r>
        <w:r w:rsidR="00897122">
          <w:rPr>
            <w:noProof/>
            <w:webHidden/>
          </w:rPr>
        </w:r>
        <w:r w:rsidR="00897122">
          <w:rPr>
            <w:noProof/>
            <w:webHidden/>
          </w:rPr>
          <w:fldChar w:fldCharType="separate"/>
        </w:r>
        <w:r w:rsidR="00897122">
          <w:rPr>
            <w:noProof/>
            <w:webHidden/>
          </w:rPr>
          <w:t>50</w:t>
        </w:r>
        <w:r w:rsidR="00897122">
          <w:rPr>
            <w:noProof/>
            <w:webHidden/>
          </w:rPr>
          <w:fldChar w:fldCharType="end"/>
        </w:r>
      </w:hyperlink>
    </w:p>
    <w:p w:rsidR="00897122" w:rsidRDefault="008D24C0">
      <w:pPr>
        <w:pStyle w:val="TDC1"/>
        <w:rPr>
          <w:rFonts w:asciiTheme="minorHAnsi" w:eastAsiaTheme="minorEastAsia" w:hAnsiTheme="minorHAnsi" w:cstheme="minorBidi"/>
          <w:smallCaps w:val="0"/>
          <w:noProof/>
          <w:szCs w:val="22"/>
          <w:lang w:val="es-ES" w:eastAsia="es-ES"/>
        </w:rPr>
      </w:pPr>
      <w:hyperlink w:anchor="_Toc425926956" w:history="1">
        <w:r w:rsidR="00897122" w:rsidRPr="00EE0852">
          <w:rPr>
            <w:rStyle w:val="Hipervnculo"/>
            <w:rFonts w:ascii="Arial (W1)" w:hAnsi="Arial (W1)"/>
            <w:noProof/>
            <w:spacing w:val="4"/>
          </w:rPr>
          <w:t>Apéndice 1.</w:t>
        </w:r>
        <w:r w:rsidR="00897122">
          <w:rPr>
            <w:noProof/>
            <w:webHidden/>
          </w:rPr>
          <w:tab/>
        </w:r>
        <w:r w:rsidR="00897122">
          <w:rPr>
            <w:noProof/>
            <w:webHidden/>
          </w:rPr>
          <w:fldChar w:fldCharType="begin"/>
        </w:r>
        <w:r w:rsidR="00897122">
          <w:rPr>
            <w:noProof/>
            <w:webHidden/>
          </w:rPr>
          <w:instrText xml:space="preserve"> PAGEREF _Toc425926956 \h </w:instrText>
        </w:r>
        <w:r w:rsidR="00897122">
          <w:rPr>
            <w:noProof/>
            <w:webHidden/>
          </w:rPr>
        </w:r>
        <w:r w:rsidR="00897122">
          <w:rPr>
            <w:noProof/>
            <w:webHidden/>
          </w:rPr>
          <w:fldChar w:fldCharType="separate"/>
        </w:r>
        <w:r w:rsidR="00897122">
          <w:rPr>
            <w:noProof/>
            <w:webHidden/>
          </w:rPr>
          <w:t>55</w:t>
        </w:r>
        <w:r w:rsidR="00897122">
          <w:rPr>
            <w:noProof/>
            <w:webHidden/>
          </w:rPr>
          <w:fldChar w:fldCharType="end"/>
        </w:r>
      </w:hyperlink>
    </w:p>
    <w:p w:rsidR="00897122" w:rsidRDefault="008D24C0">
      <w:pPr>
        <w:pStyle w:val="TDC1"/>
        <w:rPr>
          <w:rFonts w:asciiTheme="minorHAnsi" w:eastAsiaTheme="minorEastAsia" w:hAnsiTheme="minorHAnsi" w:cstheme="minorBidi"/>
          <w:smallCaps w:val="0"/>
          <w:noProof/>
          <w:szCs w:val="22"/>
          <w:lang w:val="es-ES" w:eastAsia="es-ES"/>
        </w:rPr>
      </w:pPr>
      <w:hyperlink w:anchor="_Toc425926957" w:history="1">
        <w:r w:rsidR="00897122" w:rsidRPr="00EE0852">
          <w:rPr>
            <w:rStyle w:val="Hipervnculo"/>
            <w:rFonts w:ascii="Arial (W1)" w:hAnsi="Arial (W1)"/>
            <w:noProof/>
            <w:spacing w:val="4"/>
          </w:rPr>
          <w:t>Informes de auditoría externa y evolución de la situación financiera del Club Atlético Osasuna (temporadas de 2004/05 a 2013/14)</w:t>
        </w:r>
        <w:r w:rsidR="00897122">
          <w:rPr>
            <w:noProof/>
            <w:webHidden/>
          </w:rPr>
          <w:tab/>
        </w:r>
        <w:r w:rsidR="00897122">
          <w:rPr>
            <w:noProof/>
            <w:webHidden/>
          </w:rPr>
          <w:fldChar w:fldCharType="begin"/>
        </w:r>
        <w:r w:rsidR="00897122">
          <w:rPr>
            <w:noProof/>
            <w:webHidden/>
          </w:rPr>
          <w:instrText xml:space="preserve"> PAGEREF _Toc425926957 \h </w:instrText>
        </w:r>
        <w:r w:rsidR="00897122">
          <w:rPr>
            <w:noProof/>
            <w:webHidden/>
          </w:rPr>
        </w:r>
        <w:r w:rsidR="00897122">
          <w:rPr>
            <w:noProof/>
            <w:webHidden/>
          </w:rPr>
          <w:fldChar w:fldCharType="separate"/>
        </w:r>
        <w:r w:rsidR="00897122">
          <w:rPr>
            <w:noProof/>
            <w:webHidden/>
          </w:rPr>
          <w:t>55</w:t>
        </w:r>
        <w:r w:rsidR="00897122">
          <w:rPr>
            <w:noProof/>
            <w:webHidden/>
          </w:rPr>
          <w:fldChar w:fldCharType="end"/>
        </w:r>
      </w:hyperlink>
    </w:p>
    <w:p w:rsidR="00897122" w:rsidRDefault="008D24C0">
      <w:pPr>
        <w:pStyle w:val="TDC1"/>
        <w:rPr>
          <w:rFonts w:asciiTheme="minorHAnsi" w:eastAsiaTheme="minorEastAsia" w:hAnsiTheme="minorHAnsi" w:cstheme="minorBidi"/>
          <w:smallCaps w:val="0"/>
          <w:noProof/>
          <w:szCs w:val="22"/>
          <w:lang w:val="es-ES" w:eastAsia="es-ES"/>
        </w:rPr>
      </w:pPr>
      <w:hyperlink w:anchor="_Toc425926958" w:history="1">
        <w:r w:rsidR="00897122" w:rsidRPr="00EE0852">
          <w:rPr>
            <w:rStyle w:val="Hipervnculo"/>
            <w:rFonts w:ascii="Arial (W1)" w:hAnsi="Arial (W1)"/>
            <w:noProof/>
            <w:spacing w:val="4"/>
          </w:rPr>
          <w:t>Apéndice 2.</w:t>
        </w:r>
        <w:r w:rsidR="00897122">
          <w:rPr>
            <w:noProof/>
            <w:webHidden/>
          </w:rPr>
          <w:tab/>
        </w:r>
        <w:r w:rsidR="00897122">
          <w:rPr>
            <w:noProof/>
            <w:webHidden/>
          </w:rPr>
          <w:fldChar w:fldCharType="begin"/>
        </w:r>
        <w:r w:rsidR="00897122">
          <w:rPr>
            <w:noProof/>
            <w:webHidden/>
          </w:rPr>
          <w:instrText xml:space="preserve"> PAGEREF _Toc425926958 \h </w:instrText>
        </w:r>
        <w:r w:rsidR="00897122">
          <w:rPr>
            <w:noProof/>
            <w:webHidden/>
          </w:rPr>
        </w:r>
        <w:r w:rsidR="00897122">
          <w:rPr>
            <w:noProof/>
            <w:webHidden/>
          </w:rPr>
          <w:fldChar w:fldCharType="separate"/>
        </w:r>
        <w:r w:rsidR="00897122">
          <w:rPr>
            <w:noProof/>
            <w:webHidden/>
          </w:rPr>
          <w:t>65</w:t>
        </w:r>
        <w:r w:rsidR="00897122">
          <w:rPr>
            <w:noProof/>
            <w:webHidden/>
          </w:rPr>
          <w:fldChar w:fldCharType="end"/>
        </w:r>
      </w:hyperlink>
    </w:p>
    <w:p w:rsidR="00897122" w:rsidRDefault="008D24C0">
      <w:pPr>
        <w:pStyle w:val="TDC1"/>
        <w:rPr>
          <w:rFonts w:asciiTheme="minorHAnsi" w:eastAsiaTheme="minorEastAsia" w:hAnsiTheme="minorHAnsi" w:cstheme="minorBidi"/>
          <w:smallCaps w:val="0"/>
          <w:noProof/>
          <w:szCs w:val="22"/>
          <w:lang w:val="es-ES" w:eastAsia="es-ES"/>
        </w:rPr>
      </w:pPr>
      <w:hyperlink w:anchor="_Toc425926959" w:history="1">
        <w:r w:rsidR="00897122" w:rsidRPr="00EE0852">
          <w:rPr>
            <w:rStyle w:val="Hipervnculo"/>
            <w:rFonts w:ascii="Arial (W1)" w:hAnsi="Arial (W1)"/>
            <w:noProof/>
            <w:spacing w:val="4"/>
          </w:rPr>
          <w:t>Gastos presupuestarios del Gobierno de Navarra a favor del Club</w:t>
        </w:r>
        <w:r w:rsidR="00897122">
          <w:rPr>
            <w:rStyle w:val="Hipervnculo"/>
            <w:rFonts w:ascii="Arial (W1)" w:hAnsi="Arial (W1)"/>
            <w:noProof/>
            <w:spacing w:val="4"/>
          </w:rPr>
          <w:t xml:space="preserve">                  </w:t>
        </w:r>
        <w:r w:rsidR="00897122" w:rsidRPr="00EE0852">
          <w:rPr>
            <w:rStyle w:val="Hipervnculo"/>
            <w:rFonts w:ascii="Arial (W1)" w:hAnsi="Arial (W1)"/>
            <w:noProof/>
            <w:spacing w:val="4"/>
          </w:rPr>
          <w:t xml:space="preserve"> Atlético Osasuna y compensaciones de pagos (ejercicios de 2005 a 2014)</w:t>
        </w:r>
        <w:r w:rsidR="00897122">
          <w:rPr>
            <w:noProof/>
            <w:webHidden/>
          </w:rPr>
          <w:tab/>
        </w:r>
        <w:r w:rsidR="00897122">
          <w:rPr>
            <w:noProof/>
            <w:webHidden/>
          </w:rPr>
          <w:fldChar w:fldCharType="begin"/>
        </w:r>
        <w:r w:rsidR="00897122">
          <w:rPr>
            <w:noProof/>
            <w:webHidden/>
          </w:rPr>
          <w:instrText xml:space="preserve"> PAGEREF _Toc425926959 \h </w:instrText>
        </w:r>
        <w:r w:rsidR="00897122">
          <w:rPr>
            <w:noProof/>
            <w:webHidden/>
          </w:rPr>
        </w:r>
        <w:r w:rsidR="00897122">
          <w:rPr>
            <w:noProof/>
            <w:webHidden/>
          </w:rPr>
          <w:fldChar w:fldCharType="separate"/>
        </w:r>
        <w:r w:rsidR="00897122">
          <w:rPr>
            <w:noProof/>
            <w:webHidden/>
          </w:rPr>
          <w:t>65</w:t>
        </w:r>
        <w:r w:rsidR="00897122">
          <w:rPr>
            <w:noProof/>
            <w:webHidden/>
          </w:rPr>
          <w:fldChar w:fldCharType="end"/>
        </w:r>
      </w:hyperlink>
    </w:p>
    <w:p w:rsidR="00897122" w:rsidRDefault="008D24C0">
      <w:pPr>
        <w:pStyle w:val="TDC1"/>
        <w:rPr>
          <w:rFonts w:asciiTheme="minorHAnsi" w:eastAsiaTheme="minorEastAsia" w:hAnsiTheme="minorHAnsi" w:cstheme="minorBidi"/>
          <w:smallCaps w:val="0"/>
          <w:noProof/>
          <w:szCs w:val="22"/>
          <w:lang w:val="es-ES" w:eastAsia="es-ES"/>
        </w:rPr>
      </w:pPr>
      <w:hyperlink w:anchor="_Toc425926960" w:history="1">
        <w:r w:rsidR="00897122" w:rsidRPr="00EE0852">
          <w:rPr>
            <w:rStyle w:val="Hipervnculo"/>
            <w:noProof/>
          </w:rPr>
          <w:t>Alegaciones formuladas al informe provisional</w:t>
        </w:r>
        <w:r w:rsidR="00897122">
          <w:rPr>
            <w:noProof/>
            <w:webHidden/>
          </w:rPr>
          <w:tab/>
        </w:r>
        <w:r w:rsidR="00897122">
          <w:rPr>
            <w:noProof/>
            <w:webHidden/>
          </w:rPr>
          <w:fldChar w:fldCharType="begin"/>
        </w:r>
        <w:r w:rsidR="00897122">
          <w:rPr>
            <w:noProof/>
            <w:webHidden/>
          </w:rPr>
          <w:instrText xml:space="preserve"> PAGEREF _Toc425926960 \h </w:instrText>
        </w:r>
        <w:r w:rsidR="00897122">
          <w:rPr>
            <w:noProof/>
            <w:webHidden/>
          </w:rPr>
        </w:r>
        <w:r w:rsidR="00897122">
          <w:rPr>
            <w:noProof/>
            <w:webHidden/>
          </w:rPr>
          <w:fldChar w:fldCharType="separate"/>
        </w:r>
        <w:r w:rsidR="00897122">
          <w:rPr>
            <w:noProof/>
            <w:webHidden/>
          </w:rPr>
          <w:t>67</w:t>
        </w:r>
        <w:r w:rsidR="00897122">
          <w:rPr>
            <w:noProof/>
            <w:webHidden/>
          </w:rPr>
          <w:fldChar w:fldCharType="end"/>
        </w:r>
      </w:hyperlink>
    </w:p>
    <w:p w:rsidR="00897122" w:rsidRDefault="008D24C0">
      <w:pPr>
        <w:pStyle w:val="TDC1"/>
        <w:rPr>
          <w:rFonts w:asciiTheme="minorHAnsi" w:eastAsiaTheme="minorEastAsia" w:hAnsiTheme="minorHAnsi" w:cstheme="minorBidi"/>
          <w:smallCaps w:val="0"/>
          <w:noProof/>
          <w:szCs w:val="22"/>
          <w:lang w:val="es-ES" w:eastAsia="es-ES"/>
        </w:rPr>
      </w:pPr>
      <w:hyperlink w:anchor="_Toc425926961" w:history="1">
        <w:r w:rsidR="00897122" w:rsidRPr="00EE0852">
          <w:rPr>
            <w:rStyle w:val="Hipervnculo"/>
            <w:rFonts w:eastAsiaTheme="minorHAnsi"/>
            <w:noProof/>
            <w:lang w:val="es-ES"/>
          </w:rPr>
          <w:t>Contestación de la Cámara de Comptos a las alegaciones presentadas por</w:t>
        </w:r>
        <w:r w:rsidR="00897122">
          <w:rPr>
            <w:rStyle w:val="Hipervnculo"/>
            <w:rFonts w:eastAsiaTheme="minorHAnsi"/>
            <w:noProof/>
            <w:lang w:val="es-ES"/>
          </w:rPr>
          <w:t xml:space="preserve">                                                        </w:t>
        </w:r>
        <w:r w:rsidR="00897122" w:rsidRPr="00EE0852">
          <w:rPr>
            <w:rStyle w:val="Hipervnculo"/>
            <w:rFonts w:eastAsiaTheme="minorHAnsi"/>
            <w:noProof/>
            <w:lang w:val="es-ES"/>
          </w:rPr>
          <w:t xml:space="preserve"> el Club Atlético Osasuna</w:t>
        </w:r>
        <w:r w:rsidR="00897122">
          <w:rPr>
            <w:noProof/>
            <w:webHidden/>
          </w:rPr>
          <w:tab/>
        </w:r>
        <w:r w:rsidR="00897122">
          <w:rPr>
            <w:noProof/>
            <w:webHidden/>
          </w:rPr>
          <w:fldChar w:fldCharType="begin"/>
        </w:r>
        <w:r w:rsidR="00897122">
          <w:rPr>
            <w:noProof/>
            <w:webHidden/>
          </w:rPr>
          <w:instrText xml:space="preserve"> PAGEREF _Toc425926961 \h </w:instrText>
        </w:r>
        <w:r w:rsidR="00897122">
          <w:rPr>
            <w:noProof/>
            <w:webHidden/>
          </w:rPr>
        </w:r>
        <w:r w:rsidR="00897122">
          <w:rPr>
            <w:noProof/>
            <w:webHidden/>
          </w:rPr>
          <w:fldChar w:fldCharType="separate"/>
        </w:r>
        <w:r w:rsidR="00897122">
          <w:rPr>
            <w:noProof/>
            <w:webHidden/>
          </w:rPr>
          <w:t>69</w:t>
        </w:r>
        <w:r w:rsidR="00897122">
          <w:rPr>
            <w:noProof/>
            <w:webHidden/>
          </w:rPr>
          <w:fldChar w:fldCharType="end"/>
        </w:r>
      </w:hyperlink>
    </w:p>
    <w:p w:rsidR="00891D73" w:rsidRDefault="00882BEB" w:rsidP="00146342">
      <w:pPr>
        <w:pStyle w:val="texto"/>
      </w:pPr>
      <w:r>
        <w:fldChar w:fldCharType="end"/>
      </w:r>
    </w:p>
    <w:p w:rsidR="00891D73" w:rsidRDefault="00891D73" w:rsidP="00146342">
      <w:pPr>
        <w:pStyle w:val="texto"/>
      </w:pPr>
    </w:p>
    <w:p w:rsidR="001B0D3B" w:rsidRPr="00897122" w:rsidRDefault="001B0D3B" w:rsidP="00587AC6">
      <w:pPr>
        <w:pStyle w:val="texto"/>
        <w:ind w:firstLine="0"/>
        <w:rPr>
          <w:b/>
          <w:color w:val="FF0000"/>
        </w:rPr>
        <w:sectPr w:rsidR="001B0D3B" w:rsidRPr="00897122" w:rsidSect="00897122">
          <w:type w:val="oddPage"/>
          <w:pgSz w:w="11907" w:h="16840" w:code="9"/>
          <w:pgMar w:top="1985" w:right="1559" w:bottom="1644" w:left="1559" w:header="624" w:footer="403" w:gutter="0"/>
          <w:pgNumType w:start="3"/>
          <w:cols w:space="720"/>
          <w:docGrid w:linePitch="360"/>
        </w:sectPr>
      </w:pPr>
    </w:p>
    <w:p w:rsidR="006F1331" w:rsidRPr="00A522C1" w:rsidRDefault="00882BEB" w:rsidP="00026242">
      <w:pPr>
        <w:pStyle w:val="atitulo1"/>
      </w:pPr>
      <w:bookmarkStart w:id="1" w:name="_Toc303592528"/>
      <w:bookmarkStart w:id="2" w:name="_Toc309383711"/>
      <w:bookmarkStart w:id="3" w:name="_Toc339016600"/>
      <w:bookmarkStart w:id="4" w:name="_Toc425926944"/>
      <w:r w:rsidRPr="00FB570E">
        <w:lastRenderedPageBreak/>
        <w:t>I. Introducción</w:t>
      </w:r>
      <w:bookmarkEnd w:id="1"/>
      <w:bookmarkEnd w:id="2"/>
      <w:bookmarkEnd w:id="3"/>
      <w:bookmarkEnd w:id="4"/>
      <w:r w:rsidR="00F60E62">
        <w:t xml:space="preserve"> </w:t>
      </w:r>
    </w:p>
    <w:p w:rsidR="00026242" w:rsidRPr="00026242" w:rsidRDefault="00026242" w:rsidP="00026242">
      <w:pPr>
        <w:pStyle w:val="texto"/>
        <w:rPr>
          <w:szCs w:val="26"/>
        </w:rPr>
      </w:pPr>
      <w:r w:rsidRPr="00026242">
        <w:rPr>
          <w:szCs w:val="26"/>
        </w:rPr>
        <w:t>El Gobierno de Navarra en sesión celebrada el 17 de diciembre de 2014 acordó solicitar a la Mesa del Parlamento de Navarra la realización por la C</w:t>
      </w:r>
      <w:r w:rsidRPr="00026242">
        <w:rPr>
          <w:szCs w:val="26"/>
        </w:rPr>
        <w:t>á</w:t>
      </w:r>
      <w:r w:rsidRPr="00026242">
        <w:rPr>
          <w:szCs w:val="26"/>
        </w:rPr>
        <w:t>mara de Comptos de “</w:t>
      </w:r>
      <w:r w:rsidRPr="00026242">
        <w:rPr>
          <w:i/>
          <w:szCs w:val="26"/>
        </w:rPr>
        <w:t>una auditoría de todas las actuaciones realizadas, o que debió realizar, la Hacienda de Navarra en relación con el Club Atlético Os</w:t>
      </w:r>
      <w:r w:rsidRPr="00026242">
        <w:rPr>
          <w:i/>
          <w:szCs w:val="26"/>
        </w:rPr>
        <w:t>a</w:t>
      </w:r>
      <w:r w:rsidRPr="00026242">
        <w:rPr>
          <w:i/>
          <w:szCs w:val="26"/>
        </w:rPr>
        <w:t>suna en el periodo de 2005 a 2014</w:t>
      </w:r>
      <w:r w:rsidRPr="00026242">
        <w:rPr>
          <w:szCs w:val="26"/>
        </w:rPr>
        <w:t>”. Esta petición se efectúa al amparo de la disposición adicional única párrafo tercero de la Ley Foral 26/2014, de 2 de d</w:t>
      </w:r>
      <w:r w:rsidRPr="00026242">
        <w:rPr>
          <w:szCs w:val="26"/>
        </w:rPr>
        <w:t>i</w:t>
      </w:r>
      <w:r w:rsidRPr="00026242">
        <w:rPr>
          <w:szCs w:val="26"/>
        </w:rPr>
        <w:t xml:space="preserve">ciembre, por la que se aprueba la reestructuración de la deuda del Club Atlético Osasuna con la Comunidad Foral de Navarra.  </w:t>
      </w:r>
    </w:p>
    <w:p w:rsidR="00026242" w:rsidRPr="00026242" w:rsidRDefault="00026242" w:rsidP="00026242">
      <w:pPr>
        <w:pStyle w:val="texto"/>
        <w:rPr>
          <w:szCs w:val="26"/>
        </w:rPr>
      </w:pPr>
      <w:r w:rsidRPr="00026242">
        <w:rPr>
          <w:szCs w:val="26"/>
        </w:rPr>
        <w:t>La Junta de Portavoces del Parlamento de Navarra</w:t>
      </w:r>
      <w:r w:rsidR="006706E7">
        <w:rPr>
          <w:szCs w:val="26"/>
        </w:rPr>
        <w:t>,</w:t>
      </w:r>
      <w:r w:rsidRPr="00026242">
        <w:rPr>
          <w:szCs w:val="26"/>
        </w:rPr>
        <w:t xml:space="preserve"> </w:t>
      </w:r>
      <w:r w:rsidR="00436F5D">
        <w:rPr>
          <w:szCs w:val="26"/>
        </w:rPr>
        <w:t>en su sesión del</w:t>
      </w:r>
      <w:r w:rsidRPr="00026242">
        <w:rPr>
          <w:szCs w:val="26"/>
        </w:rPr>
        <w:t xml:space="preserve"> 22 de d</w:t>
      </w:r>
      <w:r w:rsidRPr="00026242">
        <w:rPr>
          <w:szCs w:val="26"/>
        </w:rPr>
        <w:t>i</w:t>
      </w:r>
      <w:r w:rsidRPr="00026242">
        <w:rPr>
          <w:szCs w:val="26"/>
        </w:rPr>
        <w:t>ciembre de 2014</w:t>
      </w:r>
      <w:r w:rsidR="006706E7">
        <w:rPr>
          <w:szCs w:val="26"/>
        </w:rPr>
        <w:t>,</w:t>
      </w:r>
      <w:r w:rsidRPr="00026242">
        <w:rPr>
          <w:szCs w:val="26"/>
        </w:rPr>
        <w:t xml:space="preserve"> solicit</w:t>
      </w:r>
      <w:r w:rsidR="00436F5D">
        <w:rPr>
          <w:szCs w:val="26"/>
        </w:rPr>
        <w:t>ó</w:t>
      </w:r>
      <w:r w:rsidRPr="00026242">
        <w:rPr>
          <w:szCs w:val="26"/>
        </w:rPr>
        <w:t xml:space="preserve"> a la Cámara de Comptos la emisión del citado info</w:t>
      </w:r>
      <w:r w:rsidRPr="00026242">
        <w:rPr>
          <w:szCs w:val="26"/>
        </w:rPr>
        <w:t>r</w:t>
      </w:r>
      <w:r w:rsidRPr="00026242">
        <w:rPr>
          <w:szCs w:val="26"/>
        </w:rPr>
        <w:t>me en los términos del acuerdo aprobado por el Gobierno de Navarra.</w:t>
      </w:r>
    </w:p>
    <w:p w:rsidR="00491198" w:rsidRDefault="00026242" w:rsidP="00491198">
      <w:pPr>
        <w:pStyle w:val="texto"/>
        <w:rPr>
          <w:szCs w:val="26"/>
        </w:rPr>
      </w:pPr>
      <w:r w:rsidRPr="00026242">
        <w:rPr>
          <w:szCs w:val="26"/>
        </w:rPr>
        <w:t>De acuerdo con la Ley Foral 19/1984, de 20 de diciembre, reguladora de la Cámara de Comptos de Navarra-Nafarroako Kontuen Ganb</w:t>
      </w:r>
      <w:r w:rsidR="00C409CA">
        <w:rPr>
          <w:szCs w:val="26"/>
        </w:rPr>
        <w:t>e</w:t>
      </w:r>
      <w:r w:rsidRPr="00026242">
        <w:rPr>
          <w:szCs w:val="26"/>
        </w:rPr>
        <w:t xml:space="preserve">ra y teniendo en cuenta el mencionado acuerdo de la Junta de Portavoces, se </w:t>
      </w:r>
      <w:r w:rsidR="007B0ACE">
        <w:rPr>
          <w:szCs w:val="26"/>
        </w:rPr>
        <w:t>incluyó</w:t>
      </w:r>
      <w:r w:rsidRPr="00026242">
        <w:rPr>
          <w:szCs w:val="26"/>
        </w:rPr>
        <w:t xml:space="preserve"> en </w:t>
      </w:r>
      <w:r w:rsidR="007B0ACE">
        <w:rPr>
          <w:szCs w:val="26"/>
        </w:rPr>
        <w:t>su</w:t>
      </w:r>
      <w:r w:rsidRPr="00026242">
        <w:rPr>
          <w:szCs w:val="26"/>
        </w:rPr>
        <w:t xml:space="preserve"> Pr</w:t>
      </w:r>
      <w:r w:rsidRPr="00026242">
        <w:rPr>
          <w:szCs w:val="26"/>
        </w:rPr>
        <w:t>o</w:t>
      </w:r>
      <w:r w:rsidRPr="00026242">
        <w:rPr>
          <w:szCs w:val="26"/>
        </w:rPr>
        <w:t>grama de Actuación de 2015 la anterior fiscalización.</w:t>
      </w:r>
      <w:r w:rsidR="00491198">
        <w:rPr>
          <w:szCs w:val="26"/>
        </w:rPr>
        <w:t xml:space="preserve"> </w:t>
      </w:r>
      <w:r w:rsidR="0023437C">
        <w:rPr>
          <w:szCs w:val="26"/>
        </w:rPr>
        <w:t>Asimismo</w:t>
      </w:r>
      <w:r w:rsidR="00491198">
        <w:rPr>
          <w:szCs w:val="26"/>
        </w:rPr>
        <w:t xml:space="preserve"> se </w:t>
      </w:r>
      <w:r w:rsidR="00B863F9">
        <w:rPr>
          <w:szCs w:val="26"/>
        </w:rPr>
        <w:t xml:space="preserve">ha </w:t>
      </w:r>
      <w:r w:rsidR="0092487A">
        <w:rPr>
          <w:szCs w:val="26"/>
        </w:rPr>
        <w:t>consid</w:t>
      </w:r>
      <w:r w:rsidR="0092487A">
        <w:rPr>
          <w:szCs w:val="26"/>
        </w:rPr>
        <w:t>e</w:t>
      </w:r>
      <w:r w:rsidR="0092487A">
        <w:rPr>
          <w:szCs w:val="26"/>
        </w:rPr>
        <w:t>rado conveniente incluir en esta actuación el análisis de la aplicación</w:t>
      </w:r>
      <w:r w:rsidR="00B863F9">
        <w:rPr>
          <w:szCs w:val="26"/>
        </w:rPr>
        <w:t xml:space="preserve"> de la</w:t>
      </w:r>
      <w:r w:rsidR="00491198">
        <w:rPr>
          <w:szCs w:val="26"/>
        </w:rPr>
        <w:t xml:space="preserve"> c</w:t>
      </w:r>
      <w:r w:rsidR="00491198">
        <w:rPr>
          <w:szCs w:val="26"/>
        </w:rPr>
        <w:t>i</w:t>
      </w:r>
      <w:r w:rsidR="00491198">
        <w:rPr>
          <w:szCs w:val="26"/>
        </w:rPr>
        <w:t xml:space="preserve">tada Ley Foral 26/2014. </w:t>
      </w:r>
    </w:p>
    <w:p w:rsidR="007B0ACE" w:rsidRDefault="007B0ACE" w:rsidP="00026242">
      <w:pPr>
        <w:pStyle w:val="texto"/>
        <w:tabs>
          <w:tab w:val="clear" w:pos="2835"/>
          <w:tab w:val="clear" w:pos="3969"/>
          <w:tab w:val="clear" w:pos="5103"/>
          <w:tab w:val="clear" w:pos="6237"/>
          <w:tab w:val="clear" w:pos="7371"/>
        </w:tabs>
        <w:rPr>
          <w:szCs w:val="26"/>
        </w:rPr>
      </w:pPr>
      <w:r>
        <w:rPr>
          <w:szCs w:val="26"/>
        </w:rPr>
        <w:t xml:space="preserve">Con carácter previo conviene precisar las siguientes cuestiones: </w:t>
      </w:r>
    </w:p>
    <w:p w:rsidR="007B0ACE" w:rsidRDefault="00C82E05" w:rsidP="00667A7B">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 xml:space="preserve"> </w:t>
      </w:r>
      <w:r w:rsidR="007B0ACE">
        <w:rPr>
          <w:szCs w:val="26"/>
        </w:rPr>
        <w:t xml:space="preserve">El Club Atlético Osasuna (en adelante, el </w:t>
      </w:r>
      <w:r w:rsidR="006706E7">
        <w:rPr>
          <w:szCs w:val="26"/>
        </w:rPr>
        <w:t>club</w:t>
      </w:r>
      <w:r w:rsidR="007B0ACE">
        <w:rPr>
          <w:szCs w:val="26"/>
        </w:rPr>
        <w:t>) es una entidad privada no incluida en el Sector Público de Navarra, por lo que esta Cámara no es comp</w:t>
      </w:r>
      <w:r w:rsidR="007B0ACE">
        <w:rPr>
          <w:szCs w:val="26"/>
        </w:rPr>
        <w:t>e</w:t>
      </w:r>
      <w:r w:rsidR="007B0ACE">
        <w:rPr>
          <w:szCs w:val="26"/>
        </w:rPr>
        <w:t>tente para fiscalizar sus cuentas anuales ni su gestión.</w:t>
      </w:r>
    </w:p>
    <w:p w:rsidR="007B0ACE" w:rsidRDefault="00C82E05" w:rsidP="00667A7B">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 xml:space="preserve"> </w:t>
      </w:r>
      <w:r w:rsidR="007B0ACE">
        <w:rPr>
          <w:szCs w:val="26"/>
        </w:rPr>
        <w:t>L</w:t>
      </w:r>
      <w:r w:rsidR="00026242" w:rsidRPr="00026242">
        <w:rPr>
          <w:szCs w:val="26"/>
        </w:rPr>
        <w:t>as</w:t>
      </w:r>
      <w:r w:rsidR="0023437C">
        <w:rPr>
          <w:szCs w:val="26"/>
        </w:rPr>
        <w:t xml:space="preserve"> principales</w:t>
      </w:r>
      <w:r w:rsidR="00026242" w:rsidRPr="00026242">
        <w:rPr>
          <w:szCs w:val="26"/>
        </w:rPr>
        <w:t xml:space="preserve"> actuaciones </w:t>
      </w:r>
      <w:r w:rsidR="00C85F9C">
        <w:rPr>
          <w:szCs w:val="26"/>
        </w:rPr>
        <w:t>objeto de revisión</w:t>
      </w:r>
      <w:r w:rsidR="007B0ACE">
        <w:rPr>
          <w:szCs w:val="26"/>
        </w:rPr>
        <w:t xml:space="preserve"> son de naturaleza tributaria</w:t>
      </w:r>
      <w:r w:rsidR="00C85F9C">
        <w:rPr>
          <w:szCs w:val="26"/>
        </w:rPr>
        <w:t xml:space="preserve"> gestionadas por el organismo autónomo Hacienda Tributaria de Navarra</w:t>
      </w:r>
      <w:r w:rsidR="00100E07">
        <w:rPr>
          <w:szCs w:val="26"/>
        </w:rPr>
        <w:t xml:space="preserve"> (en d</w:t>
      </w:r>
      <w:r w:rsidR="00100E07">
        <w:rPr>
          <w:szCs w:val="26"/>
        </w:rPr>
        <w:t>e</w:t>
      </w:r>
      <w:r w:rsidR="00100E07">
        <w:rPr>
          <w:szCs w:val="26"/>
        </w:rPr>
        <w:t>lante, HTN)</w:t>
      </w:r>
      <w:r w:rsidR="007B0ACE">
        <w:rPr>
          <w:szCs w:val="26"/>
        </w:rPr>
        <w:t xml:space="preserve"> estando, en consecuencia</w:t>
      </w:r>
      <w:r>
        <w:rPr>
          <w:szCs w:val="26"/>
        </w:rPr>
        <w:t>,</w:t>
      </w:r>
      <w:r w:rsidR="007B0ACE">
        <w:rPr>
          <w:szCs w:val="26"/>
        </w:rPr>
        <w:t xml:space="preserve"> sujetas a las </w:t>
      </w:r>
      <w:r w:rsidR="00B51AF0">
        <w:rPr>
          <w:szCs w:val="26"/>
        </w:rPr>
        <w:t>restricciones</w:t>
      </w:r>
      <w:r w:rsidR="007B0ACE">
        <w:rPr>
          <w:szCs w:val="26"/>
        </w:rPr>
        <w:t xml:space="preserve"> legales en cuanto a su uso y divulgación que contiene </w:t>
      </w:r>
      <w:r w:rsidR="00B51AF0">
        <w:rPr>
          <w:szCs w:val="26"/>
        </w:rPr>
        <w:t xml:space="preserve">el artículo 105 de </w:t>
      </w:r>
      <w:r w:rsidR="007B0ACE">
        <w:rPr>
          <w:szCs w:val="26"/>
        </w:rPr>
        <w:t>la Ley Foral</w:t>
      </w:r>
      <w:r>
        <w:rPr>
          <w:szCs w:val="26"/>
        </w:rPr>
        <w:t xml:space="preserve"> 13/2000, de 14 de diciembre, General </w:t>
      </w:r>
      <w:r w:rsidR="007B0ACE">
        <w:rPr>
          <w:szCs w:val="26"/>
        </w:rPr>
        <w:t>Tributaria</w:t>
      </w:r>
      <w:r>
        <w:rPr>
          <w:szCs w:val="26"/>
        </w:rPr>
        <w:t xml:space="preserve"> de Navarra</w:t>
      </w:r>
      <w:r w:rsidR="007B0ACE">
        <w:rPr>
          <w:szCs w:val="26"/>
        </w:rPr>
        <w:t>.</w:t>
      </w:r>
      <w:r w:rsidR="00B51AF0">
        <w:rPr>
          <w:szCs w:val="26"/>
        </w:rPr>
        <w:t xml:space="preserve"> Ahora bien, el c</w:t>
      </w:r>
      <w:r w:rsidR="00B51AF0">
        <w:rPr>
          <w:szCs w:val="26"/>
        </w:rPr>
        <w:t>i</w:t>
      </w:r>
      <w:r w:rsidR="00B51AF0">
        <w:rPr>
          <w:szCs w:val="26"/>
        </w:rPr>
        <w:t>tado artículo contempla como excepción al carácter reservado de los datos tr</w:t>
      </w:r>
      <w:r w:rsidR="00B51AF0">
        <w:rPr>
          <w:szCs w:val="26"/>
        </w:rPr>
        <w:t>i</w:t>
      </w:r>
      <w:r w:rsidR="00B51AF0">
        <w:rPr>
          <w:szCs w:val="26"/>
        </w:rPr>
        <w:t>butarios, la disposición de los mismos por la Cámara de Comptos en el ejerc</w:t>
      </w:r>
      <w:r w:rsidR="00B51AF0">
        <w:rPr>
          <w:szCs w:val="26"/>
        </w:rPr>
        <w:t>i</w:t>
      </w:r>
      <w:r w:rsidR="00B51AF0">
        <w:rPr>
          <w:szCs w:val="26"/>
        </w:rPr>
        <w:t xml:space="preserve">cio de sus funciones fiscalizadoras sobre el </w:t>
      </w:r>
      <w:r w:rsidR="00F956C9">
        <w:rPr>
          <w:szCs w:val="26"/>
        </w:rPr>
        <w:t>d</w:t>
      </w:r>
      <w:r w:rsidR="00B51AF0">
        <w:rPr>
          <w:szCs w:val="26"/>
        </w:rPr>
        <w:t>epartamento de Economía y H</w:t>
      </w:r>
      <w:r w:rsidR="00B51AF0">
        <w:rPr>
          <w:szCs w:val="26"/>
        </w:rPr>
        <w:t>a</w:t>
      </w:r>
      <w:r w:rsidR="00B51AF0">
        <w:rPr>
          <w:szCs w:val="26"/>
        </w:rPr>
        <w:t>cienda.</w:t>
      </w:r>
    </w:p>
    <w:p w:rsidR="007B0ACE" w:rsidRDefault="00C82E05" w:rsidP="00667A7B">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 xml:space="preserve"> Los resultados y conclusiones de todos los trabajos de la Cámara de Co</w:t>
      </w:r>
      <w:r>
        <w:rPr>
          <w:szCs w:val="26"/>
        </w:rPr>
        <w:t>m</w:t>
      </w:r>
      <w:r>
        <w:rPr>
          <w:szCs w:val="26"/>
        </w:rPr>
        <w:t>ptos figuran en i</w:t>
      </w:r>
      <w:r w:rsidR="00026242" w:rsidRPr="00026242">
        <w:rPr>
          <w:szCs w:val="26"/>
        </w:rPr>
        <w:t>nforme</w:t>
      </w:r>
      <w:r>
        <w:rPr>
          <w:szCs w:val="26"/>
        </w:rPr>
        <w:t>s</w:t>
      </w:r>
      <w:r w:rsidR="00026242" w:rsidRPr="00026242">
        <w:rPr>
          <w:szCs w:val="26"/>
        </w:rPr>
        <w:t xml:space="preserve"> público</w:t>
      </w:r>
      <w:r>
        <w:rPr>
          <w:szCs w:val="26"/>
        </w:rPr>
        <w:t>s.</w:t>
      </w:r>
    </w:p>
    <w:p w:rsidR="00026242" w:rsidRPr="00026242" w:rsidRDefault="00FA6919" w:rsidP="007B0ACE">
      <w:pPr>
        <w:pStyle w:val="texto"/>
        <w:tabs>
          <w:tab w:val="clear" w:pos="2835"/>
          <w:tab w:val="clear" w:pos="3969"/>
          <w:tab w:val="clear" w:pos="5103"/>
          <w:tab w:val="clear" w:pos="6237"/>
          <w:tab w:val="clear" w:pos="7371"/>
        </w:tabs>
        <w:rPr>
          <w:szCs w:val="26"/>
        </w:rPr>
      </w:pPr>
      <w:r>
        <w:rPr>
          <w:szCs w:val="26"/>
        </w:rPr>
        <w:t>Para</w:t>
      </w:r>
      <w:r w:rsidR="00B51AF0">
        <w:rPr>
          <w:szCs w:val="26"/>
        </w:rPr>
        <w:t xml:space="preserve"> solventar estas restricciones de publicidad de datos tributarios</w:t>
      </w:r>
      <w:r w:rsidR="00BA3DFA">
        <w:rPr>
          <w:szCs w:val="26"/>
        </w:rPr>
        <w:t xml:space="preserve"> y ec</w:t>
      </w:r>
      <w:r w:rsidR="00BA3DFA">
        <w:rPr>
          <w:szCs w:val="26"/>
        </w:rPr>
        <w:t>o</w:t>
      </w:r>
      <w:r w:rsidR="00BA3DFA">
        <w:rPr>
          <w:szCs w:val="26"/>
        </w:rPr>
        <w:t>nómicos de una entidad privada</w:t>
      </w:r>
      <w:r w:rsidR="00B51AF0">
        <w:rPr>
          <w:szCs w:val="26"/>
        </w:rPr>
        <w:t>, s</w:t>
      </w:r>
      <w:r w:rsidR="00026242" w:rsidRPr="00026242">
        <w:rPr>
          <w:szCs w:val="26"/>
        </w:rPr>
        <w:t>e solicit</w:t>
      </w:r>
      <w:r w:rsidR="00026242">
        <w:rPr>
          <w:szCs w:val="26"/>
        </w:rPr>
        <w:t>ó</w:t>
      </w:r>
      <w:r w:rsidR="00026242" w:rsidRPr="00026242">
        <w:rPr>
          <w:szCs w:val="26"/>
        </w:rPr>
        <w:t xml:space="preserve"> el 4 de marzo de 2015 al Club Atl</w:t>
      </w:r>
      <w:r w:rsidR="00026242" w:rsidRPr="00026242">
        <w:rPr>
          <w:szCs w:val="26"/>
        </w:rPr>
        <w:t>é</w:t>
      </w:r>
      <w:r w:rsidR="00026242" w:rsidRPr="00026242">
        <w:rPr>
          <w:szCs w:val="26"/>
        </w:rPr>
        <w:t xml:space="preserve">tico Osasuna autorización expresa para incluir en </w:t>
      </w:r>
      <w:r w:rsidR="00C82E05">
        <w:rPr>
          <w:szCs w:val="26"/>
        </w:rPr>
        <w:t>este</w:t>
      </w:r>
      <w:r w:rsidR="00026242" w:rsidRPr="00026242">
        <w:rPr>
          <w:szCs w:val="26"/>
        </w:rPr>
        <w:t xml:space="preserve"> informe </w:t>
      </w:r>
      <w:r w:rsidR="00BA3DFA">
        <w:rPr>
          <w:szCs w:val="26"/>
        </w:rPr>
        <w:t>la citada info</w:t>
      </w:r>
      <w:r w:rsidR="00BA3DFA">
        <w:rPr>
          <w:szCs w:val="26"/>
        </w:rPr>
        <w:t>r</w:t>
      </w:r>
      <w:r w:rsidR="00BA3DFA">
        <w:rPr>
          <w:szCs w:val="26"/>
        </w:rPr>
        <w:t>mación</w:t>
      </w:r>
      <w:r w:rsidR="001176AA">
        <w:rPr>
          <w:szCs w:val="26"/>
        </w:rPr>
        <w:t xml:space="preserve"> </w:t>
      </w:r>
      <w:r w:rsidR="00BA3DFA">
        <w:rPr>
          <w:szCs w:val="26"/>
        </w:rPr>
        <w:t>d</w:t>
      </w:r>
      <w:r w:rsidR="001176AA">
        <w:rPr>
          <w:szCs w:val="26"/>
        </w:rPr>
        <w:t>el periodo objeto de revisión</w:t>
      </w:r>
      <w:r w:rsidR="00026242" w:rsidRPr="00026242">
        <w:rPr>
          <w:szCs w:val="26"/>
        </w:rPr>
        <w:t xml:space="preserve">. El día 10 de marzo de 2015, el </w:t>
      </w:r>
      <w:r w:rsidR="00F04075">
        <w:rPr>
          <w:szCs w:val="26"/>
        </w:rPr>
        <w:t>c</w:t>
      </w:r>
      <w:r w:rsidR="00026242" w:rsidRPr="00026242">
        <w:rPr>
          <w:szCs w:val="26"/>
        </w:rPr>
        <w:t>lub, mediante escrito, autoriz</w:t>
      </w:r>
      <w:r w:rsidR="00026242">
        <w:rPr>
          <w:szCs w:val="26"/>
        </w:rPr>
        <w:t>ó</w:t>
      </w:r>
      <w:r w:rsidR="00026242" w:rsidRPr="00026242">
        <w:rPr>
          <w:szCs w:val="26"/>
        </w:rPr>
        <w:t xml:space="preserve"> a esta Cámara tal inclusión.</w:t>
      </w:r>
    </w:p>
    <w:p w:rsidR="00026242" w:rsidRDefault="007B0ACE" w:rsidP="00B51AF0">
      <w:pPr>
        <w:pStyle w:val="texto"/>
        <w:tabs>
          <w:tab w:val="clear" w:pos="2835"/>
          <w:tab w:val="clear" w:pos="3969"/>
          <w:tab w:val="clear" w:pos="5103"/>
          <w:tab w:val="clear" w:pos="6237"/>
          <w:tab w:val="clear" w:pos="7371"/>
        </w:tabs>
        <w:rPr>
          <w:szCs w:val="26"/>
        </w:rPr>
      </w:pPr>
      <w:r w:rsidRPr="006D2482">
        <w:rPr>
          <w:szCs w:val="26"/>
        </w:rPr>
        <w:lastRenderedPageBreak/>
        <w:t xml:space="preserve">El informe se estructura en </w:t>
      </w:r>
      <w:r w:rsidR="006D2482" w:rsidRPr="006D2482">
        <w:rPr>
          <w:szCs w:val="26"/>
        </w:rPr>
        <w:t>c</w:t>
      </w:r>
      <w:r w:rsidR="00080352">
        <w:rPr>
          <w:szCs w:val="26"/>
        </w:rPr>
        <w:t>inco</w:t>
      </w:r>
      <w:r w:rsidRPr="006D2482">
        <w:rPr>
          <w:szCs w:val="26"/>
        </w:rPr>
        <w:t xml:space="preserve"> epígrafes, incluyendo esta introducción. </w:t>
      </w:r>
      <w:r w:rsidR="00FE4963" w:rsidRPr="006D2482">
        <w:rPr>
          <w:szCs w:val="26"/>
        </w:rPr>
        <w:t xml:space="preserve">En el </w:t>
      </w:r>
      <w:r w:rsidR="00FE4963">
        <w:rPr>
          <w:szCs w:val="26"/>
        </w:rPr>
        <w:t>segundo</w:t>
      </w:r>
      <w:r w:rsidR="00FE4963" w:rsidRPr="006D2482">
        <w:rPr>
          <w:szCs w:val="26"/>
        </w:rPr>
        <w:t xml:space="preserve">, se presentan los objetivos y el alcance del trabajo realizado. </w:t>
      </w:r>
      <w:r w:rsidRPr="006D2482">
        <w:rPr>
          <w:szCs w:val="26"/>
        </w:rPr>
        <w:t xml:space="preserve">En el </w:t>
      </w:r>
      <w:r w:rsidR="00FE4963">
        <w:rPr>
          <w:szCs w:val="26"/>
        </w:rPr>
        <w:t>tercero</w:t>
      </w:r>
      <w:r w:rsidRPr="006D2482">
        <w:rPr>
          <w:szCs w:val="26"/>
        </w:rPr>
        <w:t>, mostramos las principales características</w:t>
      </w:r>
      <w:r w:rsidR="006D2482" w:rsidRPr="006D2482">
        <w:rPr>
          <w:szCs w:val="26"/>
        </w:rPr>
        <w:t xml:space="preserve"> de la Ley Foral 26/2014, de 2 de diciembre, por la que se aprueba la reestructuración de la deuda del Club Atlético Osasuna con la Comunidad Foral de Navarra. </w:t>
      </w:r>
      <w:r w:rsidR="00080352">
        <w:rPr>
          <w:szCs w:val="26"/>
        </w:rPr>
        <w:t>E</w:t>
      </w:r>
      <w:r w:rsidRPr="006D2482">
        <w:rPr>
          <w:szCs w:val="26"/>
        </w:rPr>
        <w:t>n el cuarto, reflejamos las conclusiones obtenidas de nuestro trabajo</w:t>
      </w:r>
      <w:r w:rsidR="00080352">
        <w:rPr>
          <w:szCs w:val="26"/>
        </w:rPr>
        <w:t xml:space="preserve"> y, finalmente, en el quinto, se hace una recapitulación o resumen final</w:t>
      </w:r>
      <w:r w:rsidRPr="006D2482">
        <w:rPr>
          <w:szCs w:val="26"/>
        </w:rPr>
        <w:t xml:space="preserve">. </w:t>
      </w:r>
    </w:p>
    <w:p w:rsidR="00970543" w:rsidRDefault="00050D8C" w:rsidP="00B51AF0">
      <w:pPr>
        <w:pStyle w:val="texto"/>
        <w:tabs>
          <w:tab w:val="clear" w:pos="2835"/>
          <w:tab w:val="clear" w:pos="3969"/>
          <w:tab w:val="clear" w:pos="5103"/>
          <w:tab w:val="clear" w:pos="6237"/>
          <w:tab w:val="clear" w:pos="7371"/>
        </w:tabs>
        <w:rPr>
          <w:szCs w:val="26"/>
        </w:rPr>
      </w:pPr>
      <w:r>
        <w:rPr>
          <w:szCs w:val="26"/>
        </w:rPr>
        <w:t xml:space="preserve">Al objeto de </w:t>
      </w:r>
      <w:r w:rsidR="00952460">
        <w:rPr>
          <w:szCs w:val="26"/>
        </w:rPr>
        <w:t>completar</w:t>
      </w:r>
      <w:r>
        <w:rPr>
          <w:szCs w:val="26"/>
        </w:rPr>
        <w:t xml:space="preserve"> </w:t>
      </w:r>
      <w:r w:rsidR="000E2297">
        <w:rPr>
          <w:szCs w:val="26"/>
        </w:rPr>
        <w:t>las conclusiones del informe, éste</w:t>
      </w:r>
      <w:r>
        <w:rPr>
          <w:szCs w:val="26"/>
        </w:rPr>
        <w:t xml:space="preserve"> se</w:t>
      </w:r>
      <w:r w:rsidR="00F61686">
        <w:rPr>
          <w:szCs w:val="26"/>
        </w:rPr>
        <w:t xml:space="preserve"> acompaña de </w:t>
      </w:r>
      <w:r w:rsidR="00970543">
        <w:rPr>
          <w:szCs w:val="26"/>
        </w:rPr>
        <w:t>dos apéndices:</w:t>
      </w:r>
    </w:p>
    <w:p w:rsidR="00F61686" w:rsidRDefault="00D9512D" w:rsidP="00970543">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 xml:space="preserve">Apéndice 1. </w:t>
      </w:r>
      <w:r w:rsidR="00970543" w:rsidRPr="00970543">
        <w:rPr>
          <w:szCs w:val="26"/>
        </w:rPr>
        <w:t>A</w:t>
      </w:r>
      <w:r w:rsidR="00F61686" w:rsidRPr="00970543">
        <w:rPr>
          <w:szCs w:val="26"/>
        </w:rPr>
        <w:t xml:space="preserve">nálisis </w:t>
      </w:r>
      <w:r w:rsidR="000531FF" w:rsidRPr="00970543">
        <w:rPr>
          <w:szCs w:val="26"/>
        </w:rPr>
        <w:t xml:space="preserve">de los informes de auditoría externa sobre las cuentas anuales del </w:t>
      </w:r>
      <w:r w:rsidR="00F04075">
        <w:rPr>
          <w:szCs w:val="26"/>
        </w:rPr>
        <w:t>c</w:t>
      </w:r>
      <w:r w:rsidR="000531FF" w:rsidRPr="00970543">
        <w:rPr>
          <w:szCs w:val="26"/>
        </w:rPr>
        <w:t>lub y la evolución de su situación financiera desde la</w:t>
      </w:r>
      <w:r w:rsidR="00F61686" w:rsidRPr="00970543">
        <w:rPr>
          <w:szCs w:val="26"/>
        </w:rPr>
        <w:t xml:space="preserve"> tempora</w:t>
      </w:r>
      <w:r w:rsidR="000531FF" w:rsidRPr="00970543">
        <w:rPr>
          <w:szCs w:val="26"/>
        </w:rPr>
        <w:t>da</w:t>
      </w:r>
      <w:r w:rsidR="00A23A7A" w:rsidRPr="00970543">
        <w:rPr>
          <w:rStyle w:val="Refdenotaalpie"/>
          <w:szCs w:val="26"/>
        </w:rPr>
        <w:footnoteReference w:id="1"/>
      </w:r>
      <w:r w:rsidR="00F61686" w:rsidRPr="00970543">
        <w:rPr>
          <w:szCs w:val="26"/>
        </w:rPr>
        <w:t xml:space="preserve"> de 2004/2005 a</w:t>
      </w:r>
      <w:r w:rsidR="000531FF" w:rsidRPr="00970543">
        <w:rPr>
          <w:szCs w:val="26"/>
        </w:rPr>
        <w:t xml:space="preserve"> la</w:t>
      </w:r>
      <w:r w:rsidR="00F61686" w:rsidRPr="00970543">
        <w:rPr>
          <w:szCs w:val="26"/>
        </w:rPr>
        <w:t xml:space="preserve"> 2013/2014.</w:t>
      </w:r>
    </w:p>
    <w:p w:rsidR="00970543" w:rsidRPr="00970543" w:rsidRDefault="00D9512D" w:rsidP="00970543">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 xml:space="preserve">Apéndice 2. </w:t>
      </w:r>
      <w:r w:rsidR="00970543">
        <w:rPr>
          <w:szCs w:val="26"/>
        </w:rPr>
        <w:t>Gastos presupuestarios realizados por el Gobierno de Navarra identificados con e</w:t>
      </w:r>
      <w:r w:rsidR="001A5FF0">
        <w:rPr>
          <w:szCs w:val="26"/>
        </w:rPr>
        <w:t>l NIF del Club Atlético Osasuna en el periodo de 2005 a 2014.</w:t>
      </w:r>
    </w:p>
    <w:p w:rsidR="006F1331" w:rsidRDefault="006F1331" w:rsidP="006F1331">
      <w:pPr>
        <w:pStyle w:val="texto"/>
        <w:tabs>
          <w:tab w:val="clear" w:pos="2835"/>
          <w:tab w:val="clear" w:pos="3969"/>
          <w:tab w:val="clear" w:pos="5103"/>
          <w:tab w:val="clear" w:pos="6237"/>
          <w:tab w:val="clear" w:pos="7371"/>
        </w:tabs>
        <w:rPr>
          <w:szCs w:val="26"/>
        </w:rPr>
      </w:pPr>
      <w:r>
        <w:rPr>
          <w:szCs w:val="26"/>
        </w:rPr>
        <w:t>El</w:t>
      </w:r>
      <w:r w:rsidR="00026242">
        <w:rPr>
          <w:szCs w:val="26"/>
        </w:rPr>
        <w:t xml:space="preserve"> trabajo de campo </w:t>
      </w:r>
      <w:r w:rsidR="006706E7">
        <w:rPr>
          <w:szCs w:val="26"/>
        </w:rPr>
        <w:t>lo</w:t>
      </w:r>
      <w:r w:rsidR="00026242">
        <w:rPr>
          <w:szCs w:val="26"/>
        </w:rPr>
        <w:t xml:space="preserve"> ejecutó de febrero a </w:t>
      </w:r>
      <w:r w:rsidR="00952460">
        <w:rPr>
          <w:szCs w:val="26"/>
        </w:rPr>
        <w:t>junio</w:t>
      </w:r>
      <w:r>
        <w:rPr>
          <w:szCs w:val="26"/>
        </w:rPr>
        <w:t xml:space="preserve"> de 2015 un equipo integrado por </w:t>
      </w:r>
      <w:r w:rsidR="00026242">
        <w:rPr>
          <w:szCs w:val="26"/>
        </w:rPr>
        <w:t>dos</w:t>
      </w:r>
      <w:r>
        <w:rPr>
          <w:szCs w:val="26"/>
        </w:rPr>
        <w:t xml:space="preserve"> técnic</w:t>
      </w:r>
      <w:r w:rsidR="00026242">
        <w:rPr>
          <w:szCs w:val="26"/>
        </w:rPr>
        <w:t>os</w:t>
      </w:r>
      <w:r>
        <w:rPr>
          <w:szCs w:val="26"/>
        </w:rPr>
        <w:t xml:space="preserve"> de auditoría y un auditor, con la colaboración de los servicios jurídicos, informáticos y administrativos de la Cámara. </w:t>
      </w:r>
    </w:p>
    <w:p w:rsidR="006F1331" w:rsidRDefault="006F1331" w:rsidP="006F1331">
      <w:pPr>
        <w:pStyle w:val="texto"/>
        <w:tabs>
          <w:tab w:val="clear" w:pos="2835"/>
          <w:tab w:val="clear" w:pos="3969"/>
          <w:tab w:val="clear" w:pos="5103"/>
          <w:tab w:val="clear" w:pos="6237"/>
          <w:tab w:val="clear" w:pos="7371"/>
        </w:tabs>
        <w:rPr>
          <w:szCs w:val="26"/>
        </w:rPr>
      </w:pPr>
      <w:r w:rsidRPr="00A522C1">
        <w:rPr>
          <w:szCs w:val="26"/>
        </w:rPr>
        <w:t xml:space="preserve">Agradecemos al personal del </w:t>
      </w:r>
      <w:r w:rsidR="00F956C9">
        <w:rPr>
          <w:szCs w:val="26"/>
        </w:rPr>
        <w:t>d</w:t>
      </w:r>
      <w:r w:rsidR="00026242">
        <w:rPr>
          <w:szCs w:val="26"/>
        </w:rPr>
        <w:t>epartamento de Economía, Hacienda, Industria y Empleo y del organismo autónomo Hacienda Tributaria de Navarra</w:t>
      </w:r>
      <w:r w:rsidRPr="00A522C1">
        <w:rPr>
          <w:szCs w:val="26"/>
        </w:rPr>
        <w:t xml:space="preserve"> la colaboración prestada en la realización del presente trabajo.</w:t>
      </w:r>
    </w:p>
    <w:p w:rsidR="00B51AF0" w:rsidRPr="00A522C1" w:rsidRDefault="00B51AF0" w:rsidP="006F1331">
      <w:pPr>
        <w:pStyle w:val="texto"/>
        <w:tabs>
          <w:tab w:val="clear" w:pos="2835"/>
          <w:tab w:val="clear" w:pos="3969"/>
          <w:tab w:val="clear" w:pos="5103"/>
          <w:tab w:val="clear" w:pos="6237"/>
          <w:tab w:val="clear" w:pos="7371"/>
        </w:tabs>
        <w:rPr>
          <w:szCs w:val="26"/>
        </w:rPr>
      </w:pPr>
      <w:r>
        <w:rPr>
          <w:szCs w:val="26"/>
        </w:rPr>
        <w:t>Igualmente</w:t>
      </w:r>
      <w:r w:rsidR="00667A7B">
        <w:rPr>
          <w:szCs w:val="26"/>
        </w:rPr>
        <w:t>,</w:t>
      </w:r>
      <w:r>
        <w:rPr>
          <w:szCs w:val="26"/>
        </w:rPr>
        <w:t xml:space="preserve"> agradecemos al Club Atlético Osasuna la autorización dada a esta Cámara de Comptos para divulgar públicamente sus datos económicos y tributarios.</w:t>
      </w:r>
    </w:p>
    <w:p w:rsidR="00316389" w:rsidRPr="00316389" w:rsidRDefault="00882BEB" w:rsidP="00D03D32">
      <w:pPr>
        <w:pStyle w:val="texto"/>
        <w:tabs>
          <w:tab w:val="clear" w:pos="2835"/>
          <w:tab w:val="clear" w:pos="3969"/>
          <w:tab w:val="clear" w:pos="5103"/>
          <w:tab w:val="clear" w:pos="6237"/>
          <w:tab w:val="clear" w:pos="7371"/>
        </w:tabs>
      </w:pPr>
      <w:r>
        <w:rPr>
          <w:rFonts w:cs="Arial"/>
        </w:rPr>
        <w:br w:type="page"/>
      </w:r>
    </w:p>
    <w:p w:rsidR="009B4B94" w:rsidRPr="00866924" w:rsidRDefault="009B4B94" w:rsidP="009B4B94">
      <w:pPr>
        <w:pStyle w:val="atitulo1"/>
      </w:pPr>
      <w:bookmarkStart w:id="5" w:name="_Toc425926945"/>
      <w:bookmarkStart w:id="6" w:name="_Toc414614390"/>
      <w:bookmarkStart w:id="7" w:name="_Toc188167194"/>
      <w:bookmarkStart w:id="8" w:name="_Toc303592531"/>
      <w:bookmarkStart w:id="9" w:name="_Toc309383714"/>
      <w:bookmarkStart w:id="10" w:name="_Toc339016603"/>
      <w:r w:rsidRPr="003B63A7">
        <w:t>II. Objetivo</w:t>
      </w:r>
      <w:r>
        <w:t xml:space="preserve"> y alcance</w:t>
      </w:r>
      <w:bookmarkEnd w:id="5"/>
      <w:r>
        <w:t xml:space="preserve"> </w:t>
      </w:r>
    </w:p>
    <w:p w:rsidR="009B4B94" w:rsidRDefault="009B4B94" w:rsidP="009B4B94">
      <w:pPr>
        <w:pStyle w:val="texto"/>
        <w:rPr>
          <w:szCs w:val="26"/>
        </w:rPr>
      </w:pPr>
      <w:r w:rsidRPr="00D92896">
        <w:rPr>
          <w:szCs w:val="26"/>
        </w:rPr>
        <w:t>Teniendo en cuenta la petición parlamentaria y de acuerdo con la Ley Foral 19/1984, de 20 de diciembre, reguladora de la Cámara de Comptos se ha realiza</w:t>
      </w:r>
      <w:r>
        <w:rPr>
          <w:szCs w:val="26"/>
        </w:rPr>
        <w:t xml:space="preserve">do la fiscalización </w:t>
      </w:r>
      <w:r w:rsidRPr="00D92896">
        <w:rPr>
          <w:szCs w:val="26"/>
        </w:rPr>
        <w:t>de cumplimiento de legalidad</w:t>
      </w:r>
      <w:r>
        <w:rPr>
          <w:szCs w:val="26"/>
        </w:rPr>
        <w:t xml:space="preserve"> sobre las actuaciones realizadas por la Hacienda Foral en relaci</w:t>
      </w:r>
      <w:r w:rsidR="00FE4963">
        <w:rPr>
          <w:szCs w:val="26"/>
        </w:rPr>
        <w:t>ón con el Club Atlético Osasuna en el periodo de 2005 a 2014.</w:t>
      </w:r>
    </w:p>
    <w:p w:rsidR="009B4B94" w:rsidRPr="00D92896" w:rsidRDefault="0023437C" w:rsidP="009B4B94">
      <w:pPr>
        <w:pStyle w:val="texto"/>
        <w:rPr>
          <w:szCs w:val="26"/>
        </w:rPr>
      </w:pPr>
      <w:r>
        <w:rPr>
          <w:szCs w:val="26"/>
        </w:rPr>
        <w:t>Asimismo</w:t>
      </w:r>
      <w:r w:rsidR="009B4B94">
        <w:rPr>
          <w:szCs w:val="26"/>
        </w:rPr>
        <w:t xml:space="preserve">, </w:t>
      </w:r>
      <w:r w:rsidR="00491198">
        <w:rPr>
          <w:szCs w:val="26"/>
        </w:rPr>
        <w:t xml:space="preserve">y al objeto de completar la información a remitir al Parlamento de Navarra, </w:t>
      </w:r>
      <w:r w:rsidR="00054BF0">
        <w:rPr>
          <w:szCs w:val="26"/>
        </w:rPr>
        <w:t>se ha ampliado nuestra actuación al objeto de verificar</w:t>
      </w:r>
      <w:r w:rsidR="0092487A">
        <w:rPr>
          <w:szCs w:val="26"/>
        </w:rPr>
        <w:t xml:space="preserve"> también</w:t>
      </w:r>
      <w:r w:rsidR="00054BF0">
        <w:rPr>
          <w:szCs w:val="26"/>
        </w:rPr>
        <w:t xml:space="preserve"> la aplicación de la</w:t>
      </w:r>
      <w:r w:rsidR="009B4B94">
        <w:rPr>
          <w:szCs w:val="26"/>
        </w:rPr>
        <w:t xml:space="preserve"> Ley Foral 26/2014, de reestructuración de la deuda del citado </w:t>
      </w:r>
      <w:r w:rsidR="00BD1836">
        <w:rPr>
          <w:szCs w:val="26"/>
        </w:rPr>
        <w:t>club</w:t>
      </w:r>
      <w:r w:rsidR="009B4B94">
        <w:rPr>
          <w:szCs w:val="26"/>
        </w:rPr>
        <w:t xml:space="preserve"> con la Comunidad Foral de Navarra.</w:t>
      </w:r>
    </w:p>
    <w:p w:rsidR="009B4B94" w:rsidRDefault="009B4B94" w:rsidP="009B4B94">
      <w:pPr>
        <w:pStyle w:val="texto"/>
        <w:rPr>
          <w:rFonts w:ascii="Times New (W1)" w:hAnsi="Times New (W1)"/>
          <w:spacing w:val="0"/>
          <w:szCs w:val="26"/>
        </w:rPr>
      </w:pPr>
      <w:r>
        <w:rPr>
          <w:rFonts w:ascii="Times New (W1)" w:hAnsi="Times New (W1)"/>
          <w:spacing w:val="0"/>
          <w:szCs w:val="26"/>
        </w:rPr>
        <w:t>Por tanto, e</w:t>
      </w:r>
      <w:r w:rsidRPr="00C0737F">
        <w:rPr>
          <w:rFonts w:ascii="Times New (W1)" w:hAnsi="Times New (W1)"/>
          <w:spacing w:val="0"/>
          <w:szCs w:val="26"/>
        </w:rPr>
        <w:t xml:space="preserve">l objetivo de nuestro informe consiste en expresar unas </w:t>
      </w:r>
      <w:r w:rsidRPr="00D90120">
        <w:rPr>
          <w:rFonts w:ascii="Times New (W1)" w:hAnsi="Times New (W1)"/>
          <w:spacing w:val="0"/>
          <w:szCs w:val="26"/>
        </w:rPr>
        <w:t xml:space="preserve">conclusiones </w:t>
      </w:r>
      <w:r w:rsidRPr="00C0737F">
        <w:rPr>
          <w:rFonts w:ascii="Times New (W1)" w:hAnsi="Times New (W1)"/>
          <w:spacing w:val="0"/>
          <w:szCs w:val="26"/>
        </w:rPr>
        <w:t>acerca de:</w:t>
      </w:r>
    </w:p>
    <w:p w:rsidR="009B4B94" w:rsidRPr="00D57120" w:rsidRDefault="009B4B94" w:rsidP="00667A7B">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 xml:space="preserve"> </w:t>
      </w:r>
      <w:r w:rsidRPr="00D57120">
        <w:rPr>
          <w:szCs w:val="26"/>
        </w:rPr>
        <w:t xml:space="preserve">Cuantificar la deuda tributaria devengada </w:t>
      </w:r>
      <w:r w:rsidR="001E1D08">
        <w:rPr>
          <w:szCs w:val="26"/>
        </w:rPr>
        <w:t xml:space="preserve">y pendiente de pago </w:t>
      </w:r>
      <w:r w:rsidRPr="00D57120">
        <w:rPr>
          <w:szCs w:val="26"/>
        </w:rPr>
        <w:t>a 31 de diciembre de 2014 por el Club Atlético Osasuna</w:t>
      </w:r>
      <w:r w:rsidR="007528E8">
        <w:rPr>
          <w:szCs w:val="26"/>
        </w:rPr>
        <w:t xml:space="preserve"> así como analizar la </w:t>
      </w:r>
      <w:r w:rsidR="001B474F">
        <w:rPr>
          <w:szCs w:val="26"/>
        </w:rPr>
        <w:t>evolución</w:t>
      </w:r>
      <w:r w:rsidR="007528E8">
        <w:rPr>
          <w:szCs w:val="26"/>
        </w:rPr>
        <w:t xml:space="preserve"> de </w:t>
      </w:r>
      <w:r w:rsidR="00F956C9">
        <w:rPr>
          <w:szCs w:val="26"/>
        </w:rPr>
        <w:t xml:space="preserve">su deuda tributaria </w:t>
      </w:r>
      <w:r w:rsidR="007528E8">
        <w:rPr>
          <w:szCs w:val="26"/>
        </w:rPr>
        <w:t>en el periodo de 2005 a 2014</w:t>
      </w:r>
      <w:r w:rsidRPr="00D57120">
        <w:rPr>
          <w:szCs w:val="26"/>
        </w:rPr>
        <w:t>.</w:t>
      </w:r>
    </w:p>
    <w:p w:rsidR="009B4B94" w:rsidRDefault="00667A7B" w:rsidP="00667A7B">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 xml:space="preserve"> </w:t>
      </w:r>
      <w:r w:rsidR="009B4B94" w:rsidRPr="00D57120">
        <w:rPr>
          <w:szCs w:val="26"/>
        </w:rPr>
        <w:t>Verificar</w:t>
      </w:r>
      <w:r w:rsidR="009B4B94">
        <w:rPr>
          <w:szCs w:val="26"/>
        </w:rPr>
        <w:t>, en el periodo analizado,</w:t>
      </w:r>
      <w:r w:rsidR="009B4B94" w:rsidRPr="00D57120">
        <w:rPr>
          <w:szCs w:val="26"/>
        </w:rPr>
        <w:t xml:space="preserve"> la aplicación</w:t>
      </w:r>
      <w:r w:rsidR="009B4B94">
        <w:rPr>
          <w:szCs w:val="26"/>
        </w:rPr>
        <w:t xml:space="preserve"> por la Hacienda Tributaria de Navarra de</w:t>
      </w:r>
      <w:r w:rsidR="009B4B94" w:rsidRPr="00D57120">
        <w:rPr>
          <w:szCs w:val="26"/>
        </w:rPr>
        <w:t xml:space="preserve"> la normativa</w:t>
      </w:r>
      <w:r w:rsidR="009B4B94">
        <w:rPr>
          <w:szCs w:val="26"/>
        </w:rPr>
        <w:t xml:space="preserve"> </w:t>
      </w:r>
      <w:r w:rsidR="009B4B94" w:rsidRPr="00D57120">
        <w:rPr>
          <w:szCs w:val="26"/>
        </w:rPr>
        <w:t xml:space="preserve">vigente en materia </w:t>
      </w:r>
      <w:r w:rsidR="009B4B94">
        <w:rPr>
          <w:szCs w:val="26"/>
        </w:rPr>
        <w:t xml:space="preserve">básicamente </w:t>
      </w:r>
      <w:r w:rsidR="009B4B94" w:rsidRPr="00D57120">
        <w:rPr>
          <w:szCs w:val="26"/>
        </w:rPr>
        <w:t>de</w:t>
      </w:r>
      <w:r w:rsidR="000B1805">
        <w:rPr>
          <w:szCs w:val="26"/>
        </w:rPr>
        <w:t xml:space="preserve"> </w:t>
      </w:r>
      <w:r w:rsidR="000B1805" w:rsidRPr="00D57120">
        <w:rPr>
          <w:szCs w:val="26"/>
        </w:rPr>
        <w:t>requerimientos</w:t>
      </w:r>
      <w:r w:rsidR="000B1805">
        <w:rPr>
          <w:szCs w:val="26"/>
        </w:rPr>
        <w:t>,</w:t>
      </w:r>
      <w:r w:rsidR="000B1805" w:rsidRPr="00D57120">
        <w:rPr>
          <w:szCs w:val="26"/>
        </w:rPr>
        <w:t xml:space="preserve"> </w:t>
      </w:r>
      <w:r w:rsidR="009B4B94" w:rsidRPr="00D57120">
        <w:rPr>
          <w:szCs w:val="26"/>
        </w:rPr>
        <w:t>intereses, recargos</w:t>
      </w:r>
      <w:r w:rsidR="0092487A">
        <w:rPr>
          <w:szCs w:val="26"/>
        </w:rPr>
        <w:t>,</w:t>
      </w:r>
      <w:r w:rsidR="009B4B94" w:rsidRPr="00D57120">
        <w:rPr>
          <w:szCs w:val="26"/>
        </w:rPr>
        <w:t xml:space="preserve"> sanciones</w:t>
      </w:r>
      <w:r w:rsidR="0092487A">
        <w:rPr>
          <w:szCs w:val="26"/>
        </w:rPr>
        <w:t xml:space="preserve"> y</w:t>
      </w:r>
      <w:r w:rsidR="0092487A" w:rsidRPr="0092487A">
        <w:rPr>
          <w:szCs w:val="26"/>
        </w:rPr>
        <w:t xml:space="preserve"> </w:t>
      </w:r>
      <w:r w:rsidR="0092487A" w:rsidRPr="00D57120">
        <w:rPr>
          <w:szCs w:val="26"/>
        </w:rPr>
        <w:t>aplazamien</w:t>
      </w:r>
      <w:r w:rsidR="0092487A">
        <w:rPr>
          <w:szCs w:val="26"/>
        </w:rPr>
        <w:t>tos/fraccionamientos</w:t>
      </w:r>
      <w:r w:rsidR="009B4B94" w:rsidRPr="00D57120">
        <w:rPr>
          <w:szCs w:val="26"/>
        </w:rPr>
        <w:t>.</w:t>
      </w:r>
    </w:p>
    <w:p w:rsidR="009B4B94" w:rsidRPr="00455C56" w:rsidRDefault="009B4B94" w:rsidP="00667A7B">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 xml:space="preserve"> Cuantificar la deuda tributaria del </w:t>
      </w:r>
      <w:r w:rsidR="00BD1836">
        <w:rPr>
          <w:szCs w:val="26"/>
        </w:rPr>
        <w:t>club</w:t>
      </w:r>
      <w:r>
        <w:rPr>
          <w:szCs w:val="26"/>
        </w:rPr>
        <w:t xml:space="preserve"> pendiente de pago</w:t>
      </w:r>
      <w:r w:rsidR="006706E7">
        <w:rPr>
          <w:szCs w:val="26"/>
        </w:rPr>
        <w:t>,</w:t>
      </w:r>
      <w:r>
        <w:rPr>
          <w:szCs w:val="26"/>
        </w:rPr>
        <w:t xml:space="preserve"> una vez descontado el valor de los bienes entregados en dación de p</w:t>
      </w:r>
      <w:r w:rsidR="009F06B4">
        <w:rPr>
          <w:szCs w:val="26"/>
        </w:rPr>
        <w:t xml:space="preserve">ago que contempla la </w:t>
      </w:r>
      <w:r>
        <w:rPr>
          <w:szCs w:val="26"/>
        </w:rPr>
        <w:t>Ley Foral</w:t>
      </w:r>
      <w:r w:rsidR="009F06B4">
        <w:rPr>
          <w:szCs w:val="26"/>
        </w:rPr>
        <w:t xml:space="preserve"> 26/2014</w:t>
      </w:r>
      <w:r>
        <w:rPr>
          <w:szCs w:val="26"/>
        </w:rPr>
        <w:t xml:space="preserve">. </w:t>
      </w:r>
    </w:p>
    <w:p w:rsidR="009B4B94" w:rsidRDefault="009B4B94" w:rsidP="00667A7B">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 xml:space="preserve"> Comprobar el cumplimiento del resto de requisitos que estab</w:t>
      </w:r>
      <w:r w:rsidR="00FE4963">
        <w:rPr>
          <w:szCs w:val="26"/>
        </w:rPr>
        <w:t>lece la citada Ley Foral</w:t>
      </w:r>
      <w:r>
        <w:rPr>
          <w:szCs w:val="26"/>
        </w:rPr>
        <w:t>.</w:t>
      </w:r>
    </w:p>
    <w:p w:rsidR="009B4B94" w:rsidRDefault="009B4B94" w:rsidP="009B4B94">
      <w:pPr>
        <w:pStyle w:val="texto"/>
        <w:rPr>
          <w:szCs w:val="26"/>
        </w:rPr>
      </w:pPr>
      <w:r w:rsidRPr="00D92896">
        <w:rPr>
          <w:szCs w:val="26"/>
        </w:rPr>
        <w:t>Como metodología, el trabajo se</w:t>
      </w:r>
      <w:r w:rsidR="00B9783A">
        <w:rPr>
          <w:szCs w:val="26"/>
        </w:rPr>
        <w:t xml:space="preserve"> ha</w:t>
      </w:r>
      <w:r w:rsidRPr="00D92896">
        <w:rPr>
          <w:szCs w:val="26"/>
        </w:rPr>
        <w:t xml:space="preserve"> ejecut</w:t>
      </w:r>
      <w:r w:rsidR="00B9783A">
        <w:rPr>
          <w:szCs w:val="26"/>
        </w:rPr>
        <w:t>ado</w:t>
      </w:r>
      <w:r w:rsidRPr="00D92896">
        <w:rPr>
          <w:szCs w:val="26"/>
        </w:rPr>
        <w:t xml:space="preserve"> de acuerdo con los principios y normas de auditoría del sector público aprobados por la Comisión de Coordinación de los Órganos Públicos de Control Externo de España y desarrollados por esta Cámara de Comptos en su Manual de Fiscalización</w:t>
      </w:r>
      <w:r>
        <w:rPr>
          <w:szCs w:val="26"/>
        </w:rPr>
        <w:t>; dentro de estas normas se ha aplicado la</w:t>
      </w:r>
      <w:r w:rsidR="00A67478">
        <w:rPr>
          <w:szCs w:val="26"/>
        </w:rPr>
        <w:t>s</w:t>
      </w:r>
      <w:r>
        <w:rPr>
          <w:szCs w:val="26"/>
        </w:rPr>
        <w:t xml:space="preserve"> ISSAI-ES</w:t>
      </w:r>
      <w:r w:rsidR="00A67478">
        <w:rPr>
          <w:szCs w:val="26"/>
        </w:rPr>
        <w:t xml:space="preserve"> relacionadas con la tipología del trabajo realizado</w:t>
      </w:r>
      <w:r>
        <w:rPr>
          <w:szCs w:val="26"/>
        </w:rPr>
        <w:t>. En nuestra actuación, se han utilizado</w:t>
      </w:r>
      <w:r w:rsidRPr="00D92896">
        <w:rPr>
          <w:szCs w:val="26"/>
        </w:rPr>
        <w:t xml:space="preserve"> tod</w:t>
      </w:r>
      <w:r>
        <w:rPr>
          <w:szCs w:val="26"/>
        </w:rPr>
        <w:t>o</w:t>
      </w:r>
      <w:r w:rsidRPr="00D92896">
        <w:rPr>
          <w:szCs w:val="26"/>
        </w:rPr>
        <w:t>s aquellos procedimientos técnicos considerados</w:t>
      </w:r>
      <w:r>
        <w:rPr>
          <w:szCs w:val="26"/>
        </w:rPr>
        <w:t xml:space="preserve"> necesarios</w:t>
      </w:r>
      <w:r w:rsidRPr="00D92896">
        <w:rPr>
          <w:szCs w:val="26"/>
        </w:rPr>
        <w:t xml:space="preserve"> de acuerdo con las circunstancias y con los objetivos del trabajo</w:t>
      </w:r>
      <w:r>
        <w:rPr>
          <w:szCs w:val="26"/>
        </w:rPr>
        <w:t>.</w:t>
      </w:r>
    </w:p>
    <w:p w:rsidR="009B4B94" w:rsidRPr="00D92896" w:rsidRDefault="009B4B94" w:rsidP="009B4B94">
      <w:pPr>
        <w:pStyle w:val="texto"/>
        <w:rPr>
          <w:szCs w:val="26"/>
        </w:rPr>
      </w:pPr>
      <w:r>
        <w:rPr>
          <w:szCs w:val="26"/>
        </w:rPr>
        <w:t xml:space="preserve">Así, a través del análisis sobre las anotaciones del sistema de contabilidad auxiliar de terceros (CAT) de la HTN se ha contrastado tanto el cumplimiento de las obligaciones fiscales por parte del </w:t>
      </w:r>
      <w:r w:rsidR="00BD1836">
        <w:rPr>
          <w:szCs w:val="26"/>
        </w:rPr>
        <w:t>c</w:t>
      </w:r>
      <w:r>
        <w:rPr>
          <w:szCs w:val="26"/>
        </w:rPr>
        <w:t>lub como la aplicación de la normativa tributar</w:t>
      </w:r>
      <w:r w:rsidR="00B81909">
        <w:rPr>
          <w:szCs w:val="26"/>
        </w:rPr>
        <w:t>i</w:t>
      </w:r>
      <w:r>
        <w:rPr>
          <w:szCs w:val="26"/>
        </w:rPr>
        <w:t>a</w:t>
      </w:r>
      <w:r w:rsidR="00B81909">
        <w:rPr>
          <w:szCs w:val="26"/>
        </w:rPr>
        <w:t xml:space="preserve"> </w:t>
      </w:r>
      <w:r>
        <w:rPr>
          <w:szCs w:val="26"/>
        </w:rPr>
        <w:t>en materia de aplazamientos</w:t>
      </w:r>
      <w:r w:rsidR="009F06B4">
        <w:rPr>
          <w:szCs w:val="26"/>
        </w:rPr>
        <w:t>/fraccionamientos</w:t>
      </w:r>
      <w:r>
        <w:rPr>
          <w:szCs w:val="26"/>
        </w:rPr>
        <w:t>, intereses, recargos y sanciones</w:t>
      </w:r>
      <w:r w:rsidR="00326851">
        <w:rPr>
          <w:szCs w:val="26"/>
        </w:rPr>
        <w:t xml:space="preserve"> regulados fundamentalmente en la Ley Foral 13/2000, General Tributaria de Navarra y en el Decreto Foral 177/2001, de Reglamento de Recaudación de Navarra</w:t>
      </w:r>
      <w:r>
        <w:rPr>
          <w:szCs w:val="26"/>
        </w:rPr>
        <w:t>.</w:t>
      </w:r>
    </w:p>
    <w:p w:rsidR="009B4B94" w:rsidRDefault="009B4B94" w:rsidP="009B4B94">
      <w:pPr>
        <w:pStyle w:val="texto"/>
        <w:tabs>
          <w:tab w:val="clear" w:pos="2835"/>
          <w:tab w:val="clear" w:pos="3969"/>
          <w:tab w:val="clear" w:pos="5103"/>
          <w:tab w:val="clear" w:pos="6237"/>
          <w:tab w:val="clear" w:pos="7371"/>
        </w:tabs>
        <w:rPr>
          <w:szCs w:val="26"/>
        </w:rPr>
      </w:pPr>
      <w:r>
        <w:rPr>
          <w:szCs w:val="26"/>
        </w:rPr>
        <w:t>Igualmente se solicitó informac</w:t>
      </w:r>
      <w:r w:rsidR="009F06B4">
        <w:rPr>
          <w:szCs w:val="26"/>
        </w:rPr>
        <w:t xml:space="preserve">ión </w:t>
      </w:r>
      <w:r>
        <w:rPr>
          <w:szCs w:val="26"/>
        </w:rPr>
        <w:t xml:space="preserve">tanto al departamento de Economía y Hacienda como a la HTN. Esta solicitud incluía básicamente la situación y detalle de la deuda tributaria, los informes elaborados sobre la situación tributaria del </w:t>
      </w:r>
      <w:r w:rsidR="00BD1836">
        <w:rPr>
          <w:szCs w:val="26"/>
        </w:rPr>
        <w:t>c</w:t>
      </w:r>
      <w:r>
        <w:rPr>
          <w:szCs w:val="26"/>
        </w:rPr>
        <w:t xml:space="preserve">lub, </w:t>
      </w:r>
      <w:r w:rsidR="001E1D08">
        <w:rPr>
          <w:szCs w:val="26"/>
        </w:rPr>
        <w:t xml:space="preserve">los acuerdos del Gobierno de Navarra adoptados, </w:t>
      </w:r>
      <w:r>
        <w:rPr>
          <w:szCs w:val="26"/>
        </w:rPr>
        <w:t xml:space="preserve">los expedientes de aplazamientos y de concesión de avales, el informe de valoración de los bienes entregados por el </w:t>
      </w:r>
      <w:r w:rsidR="00BD1836">
        <w:rPr>
          <w:szCs w:val="26"/>
        </w:rPr>
        <w:t>c</w:t>
      </w:r>
      <w:r>
        <w:rPr>
          <w:szCs w:val="26"/>
        </w:rPr>
        <w:t>lub a favor de la Administración de la Comunidad Foral, las auditorías externas realizadas sobre sus cuentas anuales y los planes de viabilidad presentados por el mismo.</w:t>
      </w:r>
      <w:r w:rsidR="00491198">
        <w:rPr>
          <w:szCs w:val="26"/>
        </w:rPr>
        <w:t xml:space="preserve"> Igualmente se solicit</w:t>
      </w:r>
      <w:r w:rsidR="0023437C">
        <w:rPr>
          <w:szCs w:val="26"/>
        </w:rPr>
        <w:t>aron</w:t>
      </w:r>
      <w:r w:rsidR="00491198">
        <w:rPr>
          <w:szCs w:val="26"/>
        </w:rPr>
        <w:t xml:space="preserve"> los expedientes y acuerdos adoptados sobre el resto de requisitos señalados en la Ley Foral 26/2014.</w:t>
      </w:r>
    </w:p>
    <w:p w:rsidR="00F04075" w:rsidRDefault="00F04075" w:rsidP="009B4B94">
      <w:pPr>
        <w:pStyle w:val="texto"/>
        <w:rPr>
          <w:szCs w:val="26"/>
        </w:rPr>
      </w:pPr>
      <w:r>
        <w:rPr>
          <w:szCs w:val="26"/>
        </w:rPr>
        <w:t>Dicha documentación fue remitida en su integridad por el Departamento y por la HTN.</w:t>
      </w:r>
    </w:p>
    <w:p w:rsidR="009B4B94" w:rsidRPr="004C4182" w:rsidRDefault="00491198" w:rsidP="009B4B94">
      <w:pPr>
        <w:pStyle w:val="texto"/>
        <w:rPr>
          <w:szCs w:val="26"/>
        </w:rPr>
      </w:pPr>
      <w:r>
        <w:rPr>
          <w:szCs w:val="26"/>
        </w:rPr>
        <w:t>En materia tributaria, n</w:t>
      </w:r>
      <w:r w:rsidR="009B4B94" w:rsidRPr="00E0525D">
        <w:rPr>
          <w:szCs w:val="26"/>
        </w:rPr>
        <w:t>uestra actuación se ha centrado en verificar la aplicaci</w:t>
      </w:r>
      <w:r w:rsidR="009B4B94">
        <w:rPr>
          <w:szCs w:val="26"/>
        </w:rPr>
        <w:t>ón d</w:t>
      </w:r>
      <w:r w:rsidR="009B4B94" w:rsidRPr="00E0525D">
        <w:rPr>
          <w:szCs w:val="26"/>
        </w:rPr>
        <w:t>e</w:t>
      </w:r>
      <w:r w:rsidR="009B4B94">
        <w:rPr>
          <w:szCs w:val="26"/>
        </w:rPr>
        <w:t xml:space="preserve"> </w:t>
      </w:r>
      <w:r w:rsidR="009B4B94" w:rsidRPr="00E0525D">
        <w:rPr>
          <w:szCs w:val="26"/>
        </w:rPr>
        <w:t>los p</w:t>
      </w:r>
      <w:r w:rsidR="009B4B94">
        <w:rPr>
          <w:szCs w:val="26"/>
        </w:rPr>
        <w:t>roce</w:t>
      </w:r>
      <w:r w:rsidR="009B4B94" w:rsidRPr="00E0525D">
        <w:rPr>
          <w:szCs w:val="26"/>
        </w:rPr>
        <w:t>dim</w:t>
      </w:r>
      <w:r w:rsidR="009B4B94">
        <w:rPr>
          <w:szCs w:val="26"/>
        </w:rPr>
        <w:t>ientos</w:t>
      </w:r>
      <w:r w:rsidR="009B4B94" w:rsidRPr="00E0525D">
        <w:rPr>
          <w:szCs w:val="26"/>
        </w:rPr>
        <w:t xml:space="preserve"> generales establecido</w:t>
      </w:r>
      <w:r w:rsidR="009B4B94">
        <w:rPr>
          <w:szCs w:val="26"/>
        </w:rPr>
        <w:t>s</w:t>
      </w:r>
      <w:r w:rsidR="009B4B94" w:rsidRPr="00E0525D">
        <w:rPr>
          <w:szCs w:val="26"/>
        </w:rPr>
        <w:t xml:space="preserve"> por la Hacienda Tributaria</w:t>
      </w:r>
      <w:r w:rsidR="006706E7">
        <w:rPr>
          <w:szCs w:val="26"/>
        </w:rPr>
        <w:t>,</w:t>
      </w:r>
      <w:r w:rsidR="009B4B94" w:rsidRPr="00E0525D">
        <w:rPr>
          <w:szCs w:val="26"/>
        </w:rPr>
        <w:t xml:space="preserve"> sin</w:t>
      </w:r>
      <w:r w:rsidR="009B4B94">
        <w:rPr>
          <w:szCs w:val="26"/>
        </w:rPr>
        <w:t xml:space="preserve"> entrar a analizar</w:t>
      </w:r>
      <w:r w:rsidR="009B4B94" w:rsidRPr="00E0525D">
        <w:rPr>
          <w:szCs w:val="26"/>
        </w:rPr>
        <w:t xml:space="preserve"> </w:t>
      </w:r>
      <w:r w:rsidR="009B4B94">
        <w:rPr>
          <w:szCs w:val="26"/>
        </w:rPr>
        <w:t xml:space="preserve">y contrastar </w:t>
      </w:r>
      <w:r w:rsidR="009B4B94" w:rsidRPr="00E0525D">
        <w:rPr>
          <w:szCs w:val="26"/>
        </w:rPr>
        <w:t>los datos</w:t>
      </w:r>
      <w:r w:rsidR="009B4B94">
        <w:rPr>
          <w:szCs w:val="26"/>
        </w:rPr>
        <w:t xml:space="preserve"> e información de carácter tributario</w:t>
      </w:r>
      <w:r w:rsidR="009B4B94" w:rsidRPr="00E0525D">
        <w:rPr>
          <w:szCs w:val="26"/>
        </w:rPr>
        <w:t xml:space="preserve"> aportados por el contribuyente</w:t>
      </w:r>
      <w:r w:rsidR="009B4B94">
        <w:rPr>
          <w:szCs w:val="26"/>
        </w:rPr>
        <w:t>.</w:t>
      </w:r>
    </w:p>
    <w:p w:rsidR="009B4B94" w:rsidRDefault="009B4B94" w:rsidP="009B4B94">
      <w:pPr>
        <w:pStyle w:val="texto"/>
        <w:tabs>
          <w:tab w:val="clear" w:pos="2835"/>
          <w:tab w:val="clear" w:pos="3969"/>
          <w:tab w:val="clear" w:pos="5103"/>
          <w:tab w:val="clear" w:pos="6237"/>
          <w:tab w:val="clear" w:pos="7371"/>
        </w:tabs>
        <w:rPr>
          <w:szCs w:val="26"/>
        </w:rPr>
      </w:pPr>
      <w:r w:rsidRPr="00D92896">
        <w:rPr>
          <w:szCs w:val="26"/>
        </w:rPr>
        <w:t xml:space="preserve">El ámbito temporal de nuestro trabajo </w:t>
      </w:r>
      <w:r>
        <w:rPr>
          <w:szCs w:val="26"/>
        </w:rPr>
        <w:t>comprende básicamente el periodo de 2005 a 2014. No obstante, nuestro trabajo se ha extendido también a:</w:t>
      </w:r>
    </w:p>
    <w:p w:rsidR="009B4B94" w:rsidRDefault="009B4B94" w:rsidP="009B4B94">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 xml:space="preserve">Con anterioridad a 2005, al objeto de verificar el año origen de la deuda tributaria que se pone de relieve en dicho año. </w:t>
      </w:r>
    </w:p>
    <w:p w:rsidR="009B4B94" w:rsidRDefault="009B4B94" w:rsidP="009B4B94">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 xml:space="preserve">Las obligaciones tributarias del contribuyente relativas al ejercicio de 2014 se extienden en periodo voluntario hasta febrero de 2015; se ha tenido en cuenta esta última fecha para determinar el importe de la deuda tributaria devengada </w:t>
      </w:r>
      <w:r w:rsidR="00F3083F">
        <w:rPr>
          <w:szCs w:val="26"/>
        </w:rPr>
        <w:t>a 31 de diciembre de 2014</w:t>
      </w:r>
      <w:r>
        <w:rPr>
          <w:szCs w:val="26"/>
        </w:rPr>
        <w:t xml:space="preserve">. </w:t>
      </w:r>
    </w:p>
    <w:p w:rsidR="009B4B94" w:rsidRDefault="009B4B94" w:rsidP="009B4B94">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C173CD">
        <w:rPr>
          <w:szCs w:val="26"/>
        </w:rPr>
        <w:t xml:space="preserve">Primer cuatrimestre de 2015, para analizar el cumplimiento </w:t>
      </w:r>
      <w:r w:rsidR="009F06B4">
        <w:rPr>
          <w:szCs w:val="26"/>
        </w:rPr>
        <w:t>del</w:t>
      </w:r>
      <w:r w:rsidRPr="00C173CD">
        <w:rPr>
          <w:szCs w:val="26"/>
        </w:rPr>
        <w:t xml:space="preserve"> resto de requisitos que establece la Ley Foral 26</w:t>
      </w:r>
      <w:r w:rsidR="00FE4963">
        <w:rPr>
          <w:szCs w:val="26"/>
        </w:rPr>
        <w:t>/</w:t>
      </w:r>
      <w:r w:rsidRPr="00C173CD">
        <w:rPr>
          <w:szCs w:val="26"/>
        </w:rPr>
        <w:t>2014</w:t>
      </w:r>
      <w:r w:rsidR="0092487A">
        <w:rPr>
          <w:szCs w:val="26"/>
        </w:rPr>
        <w:t>.</w:t>
      </w:r>
    </w:p>
    <w:p w:rsidR="0092487A" w:rsidRPr="009F06B4" w:rsidRDefault="0092487A" w:rsidP="0092487A">
      <w:pPr>
        <w:pStyle w:val="texto"/>
        <w:tabs>
          <w:tab w:val="clear" w:pos="2835"/>
          <w:tab w:val="clear" w:pos="3969"/>
          <w:tab w:val="clear" w:pos="5103"/>
          <w:tab w:val="clear" w:pos="6237"/>
          <w:tab w:val="clear" w:pos="7371"/>
        </w:tabs>
        <w:rPr>
          <w:szCs w:val="26"/>
        </w:rPr>
      </w:pPr>
      <w:r>
        <w:rPr>
          <w:szCs w:val="26"/>
        </w:rPr>
        <w:t xml:space="preserve">El ayuntamiento de Pamplona no ha contestado a nuestro requerimiento de información sobre las cargas urbanísticas que soporta un solar del </w:t>
      </w:r>
      <w:r w:rsidR="00BD1836">
        <w:rPr>
          <w:szCs w:val="26"/>
        </w:rPr>
        <w:t>c</w:t>
      </w:r>
      <w:r>
        <w:rPr>
          <w:szCs w:val="26"/>
        </w:rPr>
        <w:t>lub</w:t>
      </w:r>
      <w:r w:rsidR="000417D2">
        <w:rPr>
          <w:szCs w:val="26"/>
        </w:rPr>
        <w:t>,</w:t>
      </w:r>
      <w:r>
        <w:rPr>
          <w:szCs w:val="26"/>
        </w:rPr>
        <w:t xml:space="preserve"> que éste ha </w:t>
      </w:r>
      <w:r w:rsidR="00712069">
        <w:rPr>
          <w:szCs w:val="26"/>
        </w:rPr>
        <w:t>hipotecado a favor de</w:t>
      </w:r>
      <w:r>
        <w:rPr>
          <w:szCs w:val="26"/>
        </w:rPr>
        <w:t xml:space="preserve"> la Comunidad Foral.</w:t>
      </w:r>
    </w:p>
    <w:p w:rsidR="00D03D32" w:rsidRDefault="00D03D32" w:rsidP="00D03D32">
      <w:pPr>
        <w:pStyle w:val="texto"/>
        <w:tabs>
          <w:tab w:val="clear" w:pos="2835"/>
          <w:tab w:val="clear" w:pos="3969"/>
          <w:tab w:val="clear" w:pos="5103"/>
          <w:tab w:val="clear" w:pos="6237"/>
          <w:tab w:val="clear" w:pos="7371"/>
        </w:tabs>
        <w:rPr>
          <w:szCs w:val="26"/>
        </w:rPr>
      </w:pPr>
      <w:r>
        <w:rPr>
          <w:szCs w:val="26"/>
        </w:rPr>
        <w:t>Finalmente y al objeto de contextualizar adecuadamente las conclusiones del informe, no debe olvidarse que el Club Atlético Osasuna –entidad deportiva sin ánimo de lucro</w:t>
      </w:r>
      <w:r w:rsidR="00D90120">
        <w:rPr>
          <w:szCs w:val="26"/>
        </w:rPr>
        <w:t>–</w:t>
      </w:r>
      <w:r>
        <w:rPr>
          <w:szCs w:val="26"/>
        </w:rPr>
        <w:t xml:space="preserve"> está atravesando una preocupante situación institucional, económica y deportiva agravada por la presunta implicación de antiguos directivos y de otro personal del mismo en diversas causas investigadas judicialmente. </w:t>
      </w:r>
    </w:p>
    <w:p w:rsidR="009B4B94" w:rsidRPr="00E0525D" w:rsidRDefault="00D03D32" w:rsidP="00D03D32">
      <w:pPr>
        <w:pStyle w:val="texto"/>
        <w:tabs>
          <w:tab w:val="clear" w:pos="2835"/>
          <w:tab w:val="clear" w:pos="3969"/>
          <w:tab w:val="clear" w:pos="5103"/>
          <w:tab w:val="clear" w:pos="6237"/>
          <w:tab w:val="clear" w:pos="7371"/>
        </w:tabs>
        <w:rPr>
          <w:szCs w:val="26"/>
        </w:rPr>
      </w:pPr>
      <w:r w:rsidRPr="00D03D32">
        <w:rPr>
          <w:szCs w:val="26"/>
        </w:rPr>
        <w:t>El 17 de junio de 2015, el juez que instruye las causas anteriores</w:t>
      </w:r>
      <w:r w:rsidR="00AD3F05">
        <w:rPr>
          <w:szCs w:val="26"/>
        </w:rPr>
        <w:t>,</w:t>
      </w:r>
      <w:r w:rsidRPr="00D03D32">
        <w:rPr>
          <w:szCs w:val="26"/>
        </w:rPr>
        <w:t xml:space="preserve"> ha levantado parcialmente el secreto del sumario y ha a</w:t>
      </w:r>
      <w:r w:rsidR="00AA1FFD">
        <w:rPr>
          <w:szCs w:val="26"/>
        </w:rPr>
        <w:t xml:space="preserve">rchivado la pieza separada </w:t>
      </w:r>
      <w:r w:rsidRPr="00D03D32">
        <w:rPr>
          <w:szCs w:val="26"/>
        </w:rPr>
        <w:t xml:space="preserve">al no apreciar indicios de la comisión de delito de cohecho o prevaricación </w:t>
      </w:r>
      <w:r w:rsidR="00F15ED1">
        <w:rPr>
          <w:szCs w:val="26"/>
        </w:rPr>
        <w:t xml:space="preserve">por </w:t>
      </w:r>
      <w:r w:rsidRPr="00D03D32">
        <w:rPr>
          <w:szCs w:val="26"/>
        </w:rPr>
        <w:t xml:space="preserve">parte de algunos funcionarios o directivos de la citada Hacienda en las actuaciones inspectoras realizadas sobre el </w:t>
      </w:r>
      <w:r w:rsidR="00BD1836">
        <w:rPr>
          <w:szCs w:val="26"/>
        </w:rPr>
        <w:t>c</w:t>
      </w:r>
      <w:r w:rsidRPr="00D03D32">
        <w:rPr>
          <w:szCs w:val="26"/>
        </w:rPr>
        <w:t>lub en 2008.</w:t>
      </w:r>
      <w:r w:rsidR="00AD3F05">
        <w:rPr>
          <w:szCs w:val="26"/>
        </w:rPr>
        <w:t xml:space="preserve"> </w:t>
      </w:r>
      <w:r w:rsidR="009B4B94" w:rsidRPr="00E0525D">
        <w:rPr>
          <w:szCs w:val="26"/>
        </w:rPr>
        <w:br w:type="page"/>
      </w:r>
    </w:p>
    <w:p w:rsidR="00420A0A" w:rsidRPr="00770E9B" w:rsidRDefault="009B4B94" w:rsidP="00770E9B">
      <w:pPr>
        <w:pStyle w:val="atitulo1"/>
      </w:pPr>
      <w:bookmarkStart w:id="11" w:name="_Toc425926946"/>
      <w:r w:rsidRPr="00770E9B">
        <w:t>I</w:t>
      </w:r>
      <w:r w:rsidR="00420A0A" w:rsidRPr="00770E9B">
        <w:t xml:space="preserve">II. La Ley Foral </w:t>
      </w:r>
      <w:r w:rsidR="00D17052" w:rsidRPr="00770E9B">
        <w:t>26/2014</w:t>
      </w:r>
      <w:r w:rsidR="00420A0A" w:rsidRPr="00770E9B">
        <w:t>, de 2 de diciembre, por la que se aprueba la reestructuración de la deuda del Club Atlético Osasuna con la Comunidad Foral de Navarra</w:t>
      </w:r>
      <w:bookmarkEnd w:id="6"/>
      <w:bookmarkEnd w:id="11"/>
      <w:r w:rsidR="00420A0A" w:rsidRPr="00770E9B">
        <w:t xml:space="preserve"> </w:t>
      </w:r>
    </w:p>
    <w:p w:rsidR="006D2482" w:rsidRDefault="00874A3E" w:rsidP="00226C3E">
      <w:pPr>
        <w:pStyle w:val="texto"/>
        <w:tabs>
          <w:tab w:val="clear" w:pos="2835"/>
          <w:tab w:val="clear" w:pos="3969"/>
          <w:tab w:val="clear" w:pos="5103"/>
          <w:tab w:val="clear" w:pos="6237"/>
          <w:tab w:val="clear" w:pos="7371"/>
        </w:tabs>
        <w:rPr>
          <w:szCs w:val="26"/>
        </w:rPr>
      </w:pPr>
      <w:r>
        <w:rPr>
          <w:szCs w:val="26"/>
        </w:rPr>
        <w:t>El 6 de noviembre de 2014 y a iniciativa de los grupos parlamentarios Unión del Pueblo de Navarra, Socialistas de Navarra y Popular del Parlamento de Navarra, se present</w:t>
      </w:r>
      <w:r w:rsidR="000E7EE8">
        <w:rPr>
          <w:szCs w:val="26"/>
        </w:rPr>
        <w:t>a</w:t>
      </w:r>
      <w:r>
        <w:rPr>
          <w:szCs w:val="26"/>
        </w:rPr>
        <w:t xml:space="preserve"> una proposición de Ley Foral p</w:t>
      </w:r>
      <w:r w:rsidR="00F84B9D">
        <w:rPr>
          <w:szCs w:val="26"/>
        </w:rPr>
        <w:t>ara</w:t>
      </w:r>
      <w:r>
        <w:rPr>
          <w:szCs w:val="26"/>
        </w:rPr>
        <w:t xml:space="preserve"> la reestructuración de la deuda del Club Atlético Osasuna con la Comunidad Foral de Navarra. Esta proposición es admitida por la Mesa del Parlamento en su sesión de 10 de noviembre</w:t>
      </w:r>
      <w:r w:rsidR="00D17052">
        <w:rPr>
          <w:szCs w:val="26"/>
        </w:rPr>
        <w:t>,</w:t>
      </w:r>
      <w:r>
        <w:rPr>
          <w:szCs w:val="26"/>
        </w:rPr>
        <w:t xml:space="preserve"> en la que se acuerda </w:t>
      </w:r>
      <w:r w:rsidR="00D17052">
        <w:rPr>
          <w:szCs w:val="26"/>
        </w:rPr>
        <w:t xml:space="preserve">además </w:t>
      </w:r>
      <w:r>
        <w:rPr>
          <w:szCs w:val="26"/>
        </w:rPr>
        <w:t>tramitarla por el procedimiento de urgencia y en lectura única.</w:t>
      </w:r>
    </w:p>
    <w:p w:rsidR="00874A3E" w:rsidRDefault="00874A3E" w:rsidP="00226C3E">
      <w:pPr>
        <w:pStyle w:val="texto"/>
        <w:tabs>
          <w:tab w:val="clear" w:pos="2835"/>
          <w:tab w:val="clear" w:pos="3969"/>
          <w:tab w:val="clear" w:pos="5103"/>
          <w:tab w:val="clear" w:pos="6237"/>
          <w:tab w:val="clear" w:pos="7371"/>
        </w:tabs>
        <w:rPr>
          <w:szCs w:val="26"/>
        </w:rPr>
      </w:pPr>
      <w:r>
        <w:rPr>
          <w:szCs w:val="26"/>
        </w:rPr>
        <w:t>El Pleno del Parlamento, en su sesión del 27 de noviembre de 2014, aprueba la citada Ley Foral que se publica en el Boletín Oficial de Navarra el día 15 de diciembre de 2014.</w:t>
      </w:r>
    </w:p>
    <w:p w:rsidR="00420A0A" w:rsidRPr="00226C3E" w:rsidRDefault="00420A0A" w:rsidP="00226C3E">
      <w:pPr>
        <w:pStyle w:val="texto"/>
        <w:tabs>
          <w:tab w:val="clear" w:pos="2835"/>
          <w:tab w:val="clear" w:pos="3969"/>
          <w:tab w:val="clear" w:pos="5103"/>
          <w:tab w:val="clear" w:pos="6237"/>
          <w:tab w:val="clear" w:pos="7371"/>
        </w:tabs>
        <w:rPr>
          <w:szCs w:val="26"/>
        </w:rPr>
      </w:pPr>
      <w:r w:rsidRPr="00226C3E">
        <w:rPr>
          <w:szCs w:val="26"/>
        </w:rPr>
        <w:t xml:space="preserve">De la lectura de la </w:t>
      </w:r>
      <w:r w:rsidR="00874A3E">
        <w:rPr>
          <w:szCs w:val="26"/>
        </w:rPr>
        <w:t>mencionada</w:t>
      </w:r>
      <w:r w:rsidRPr="00226C3E">
        <w:rPr>
          <w:szCs w:val="26"/>
        </w:rPr>
        <w:t xml:space="preserve"> </w:t>
      </w:r>
      <w:r w:rsidR="00874A3E">
        <w:rPr>
          <w:szCs w:val="26"/>
        </w:rPr>
        <w:t>L</w:t>
      </w:r>
      <w:r w:rsidRPr="00226C3E">
        <w:rPr>
          <w:szCs w:val="26"/>
        </w:rPr>
        <w:t>ey Foral</w:t>
      </w:r>
      <w:r w:rsidR="00874A3E">
        <w:rPr>
          <w:szCs w:val="26"/>
        </w:rPr>
        <w:t xml:space="preserve"> 26/2014,</w:t>
      </w:r>
      <w:r w:rsidRPr="00226C3E">
        <w:rPr>
          <w:szCs w:val="26"/>
        </w:rPr>
        <w:t xml:space="preserve"> señalamos</w:t>
      </w:r>
      <w:r w:rsidR="00866278">
        <w:rPr>
          <w:szCs w:val="26"/>
        </w:rPr>
        <w:t xml:space="preserve"> los siguientes aspectos</w:t>
      </w:r>
      <w:r w:rsidRPr="00226C3E">
        <w:rPr>
          <w:szCs w:val="26"/>
        </w:rPr>
        <w:t>:</w:t>
      </w:r>
    </w:p>
    <w:p w:rsidR="00420A0A" w:rsidRPr="00226C3E" w:rsidRDefault="00770E9B" w:rsidP="00770E9B">
      <w:pPr>
        <w:pStyle w:val="atitulo2"/>
      </w:pPr>
      <w:bookmarkStart w:id="12" w:name="_Toc425926947"/>
      <w:r>
        <w:t xml:space="preserve">III.1. </w:t>
      </w:r>
      <w:r w:rsidR="00420A0A" w:rsidRPr="00226C3E">
        <w:t>Exposición de motivos</w:t>
      </w:r>
      <w:bookmarkEnd w:id="12"/>
    </w:p>
    <w:p w:rsidR="00420A0A" w:rsidRPr="00226C3E" w:rsidRDefault="00226C3E" w:rsidP="00226C3E">
      <w:pPr>
        <w:pStyle w:val="texto"/>
        <w:tabs>
          <w:tab w:val="clear" w:pos="2835"/>
          <w:tab w:val="clear" w:pos="3969"/>
          <w:tab w:val="clear" w:pos="5103"/>
          <w:tab w:val="clear" w:pos="6237"/>
          <w:tab w:val="clear" w:pos="7371"/>
        </w:tabs>
        <w:rPr>
          <w:szCs w:val="26"/>
        </w:rPr>
      </w:pPr>
      <w:r>
        <w:rPr>
          <w:szCs w:val="26"/>
        </w:rPr>
        <w:t xml:space="preserve">En </w:t>
      </w:r>
      <w:r w:rsidR="0092487A">
        <w:rPr>
          <w:szCs w:val="26"/>
        </w:rPr>
        <w:t>su</w:t>
      </w:r>
      <w:r>
        <w:rPr>
          <w:szCs w:val="26"/>
        </w:rPr>
        <w:t xml:space="preserve"> exposición d</w:t>
      </w:r>
      <w:r w:rsidR="0092487A">
        <w:rPr>
          <w:szCs w:val="26"/>
        </w:rPr>
        <w:t>e motivos</w:t>
      </w:r>
      <w:r>
        <w:rPr>
          <w:szCs w:val="26"/>
        </w:rPr>
        <w:t>, se i</w:t>
      </w:r>
      <w:r w:rsidR="00420A0A" w:rsidRPr="00226C3E">
        <w:rPr>
          <w:szCs w:val="26"/>
        </w:rPr>
        <w:t xml:space="preserve">ncluye referencias sobre </w:t>
      </w:r>
      <w:r w:rsidR="00275693">
        <w:rPr>
          <w:szCs w:val="26"/>
        </w:rPr>
        <w:t>“</w:t>
      </w:r>
      <w:r w:rsidR="00420A0A" w:rsidRPr="00226C3E">
        <w:rPr>
          <w:szCs w:val="26"/>
        </w:rPr>
        <w:t xml:space="preserve">el gran arraigo social del citado </w:t>
      </w:r>
      <w:r w:rsidR="006706E7">
        <w:rPr>
          <w:szCs w:val="26"/>
        </w:rPr>
        <w:t>c</w:t>
      </w:r>
      <w:r w:rsidR="00420A0A" w:rsidRPr="00226C3E">
        <w:rPr>
          <w:szCs w:val="26"/>
        </w:rPr>
        <w:t>lub, la potenciación a través de él de la marca “</w:t>
      </w:r>
      <w:r w:rsidR="006706E7">
        <w:rPr>
          <w:szCs w:val="26"/>
        </w:rPr>
        <w:t>N</w:t>
      </w:r>
      <w:r w:rsidR="00420A0A" w:rsidRPr="00226C3E">
        <w:rPr>
          <w:szCs w:val="26"/>
        </w:rPr>
        <w:t>avarra”, el papel que ha desarrollado en el ámbito educacional y de la práctica del deporte entre los jóvenes y los importantes beneficios que genera su actividad, especialmente en el sector servicios</w:t>
      </w:r>
      <w:r w:rsidR="00275693">
        <w:rPr>
          <w:szCs w:val="26"/>
        </w:rPr>
        <w:t>”</w:t>
      </w:r>
      <w:r w:rsidR="00420A0A" w:rsidRPr="00226C3E">
        <w:rPr>
          <w:szCs w:val="26"/>
        </w:rPr>
        <w:t>.</w:t>
      </w:r>
    </w:p>
    <w:p w:rsidR="00420A0A" w:rsidRPr="00226C3E" w:rsidRDefault="00420A0A" w:rsidP="00226C3E">
      <w:pPr>
        <w:pStyle w:val="texto"/>
        <w:tabs>
          <w:tab w:val="clear" w:pos="2835"/>
          <w:tab w:val="clear" w:pos="3969"/>
          <w:tab w:val="clear" w:pos="5103"/>
          <w:tab w:val="clear" w:pos="6237"/>
          <w:tab w:val="clear" w:pos="7371"/>
        </w:tabs>
        <w:rPr>
          <w:szCs w:val="26"/>
        </w:rPr>
      </w:pPr>
      <w:r w:rsidRPr="00226C3E">
        <w:rPr>
          <w:szCs w:val="26"/>
        </w:rPr>
        <w:t>Sin embargo</w:t>
      </w:r>
      <w:r w:rsidR="006706E7">
        <w:rPr>
          <w:szCs w:val="26"/>
        </w:rPr>
        <w:t>,</w:t>
      </w:r>
      <w:r w:rsidRPr="00226C3E">
        <w:rPr>
          <w:szCs w:val="26"/>
        </w:rPr>
        <w:t xml:space="preserve"> la </w:t>
      </w:r>
      <w:r w:rsidR="00275693">
        <w:rPr>
          <w:szCs w:val="26"/>
        </w:rPr>
        <w:t xml:space="preserve">“actual </w:t>
      </w:r>
      <w:r w:rsidRPr="00226C3E">
        <w:rPr>
          <w:szCs w:val="26"/>
        </w:rPr>
        <w:t>situación económico-financiera por la que atraviesa el citado club pone en grave riesgo el desarrollo de su actividad</w:t>
      </w:r>
      <w:r w:rsidR="00275693">
        <w:rPr>
          <w:szCs w:val="26"/>
        </w:rPr>
        <w:t>”</w:t>
      </w:r>
      <w:r w:rsidRPr="00226C3E">
        <w:rPr>
          <w:szCs w:val="26"/>
        </w:rPr>
        <w:t>.</w:t>
      </w:r>
    </w:p>
    <w:p w:rsidR="00420A0A" w:rsidRPr="00226C3E" w:rsidRDefault="00420A0A" w:rsidP="00226C3E">
      <w:pPr>
        <w:pStyle w:val="texto"/>
        <w:tabs>
          <w:tab w:val="clear" w:pos="2835"/>
          <w:tab w:val="clear" w:pos="3969"/>
          <w:tab w:val="clear" w:pos="5103"/>
          <w:tab w:val="clear" w:pos="6237"/>
          <w:tab w:val="clear" w:pos="7371"/>
        </w:tabs>
        <w:rPr>
          <w:szCs w:val="26"/>
        </w:rPr>
      </w:pPr>
      <w:r w:rsidRPr="00226C3E">
        <w:rPr>
          <w:szCs w:val="26"/>
        </w:rPr>
        <w:t xml:space="preserve">Ya en 2003, y mediante ley foral 1/2003, se aprobó la concesión de un aval ante diversas entidades financieras por importe máximo de 18,03 millones, de los que en la actualidad están vivos un importe de 7,2 millones. </w:t>
      </w:r>
    </w:p>
    <w:p w:rsidR="00420A0A" w:rsidRPr="00226C3E" w:rsidRDefault="00420A0A" w:rsidP="00226C3E">
      <w:pPr>
        <w:pStyle w:val="texto"/>
        <w:tabs>
          <w:tab w:val="clear" w:pos="2835"/>
          <w:tab w:val="clear" w:pos="3969"/>
          <w:tab w:val="clear" w:pos="5103"/>
          <w:tab w:val="clear" w:pos="6237"/>
          <w:tab w:val="clear" w:pos="7371"/>
        </w:tabs>
        <w:rPr>
          <w:szCs w:val="26"/>
        </w:rPr>
      </w:pPr>
      <w:r w:rsidRPr="00897122">
        <w:rPr>
          <w:rFonts w:ascii="Times New (W1)" w:hAnsi="Times New (W1)"/>
          <w:spacing w:val="0"/>
          <w:szCs w:val="26"/>
        </w:rPr>
        <w:t>Desde 2008, la Hacienda Tributaria ha venido realizando diversas actuacio</w:t>
      </w:r>
      <w:r w:rsidR="006706E7" w:rsidRPr="00897122">
        <w:rPr>
          <w:rFonts w:ascii="Times New (W1)" w:hAnsi="Times New (W1)"/>
          <w:spacing w:val="0"/>
          <w:szCs w:val="26"/>
        </w:rPr>
        <w:t>nes al objeto de que el c</w:t>
      </w:r>
      <w:r w:rsidRPr="00897122">
        <w:rPr>
          <w:rFonts w:ascii="Times New (W1)" w:hAnsi="Times New (W1)"/>
          <w:spacing w:val="0"/>
          <w:szCs w:val="26"/>
        </w:rPr>
        <w:t>lub regularizase su situación en materia fiscal, concediendo para ello, diversos aplazamientos.</w:t>
      </w:r>
      <w:r w:rsidR="00226C3E" w:rsidRPr="00897122">
        <w:rPr>
          <w:rFonts w:ascii="Times New (W1)" w:hAnsi="Times New (W1)"/>
          <w:spacing w:val="0"/>
          <w:szCs w:val="26"/>
        </w:rPr>
        <w:t xml:space="preserve"> </w:t>
      </w:r>
      <w:r w:rsidRPr="00897122">
        <w:rPr>
          <w:rFonts w:ascii="Times New (W1)" w:hAnsi="Times New (W1)"/>
          <w:spacing w:val="0"/>
          <w:szCs w:val="26"/>
        </w:rPr>
        <w:t xml:space="preserve">Sin embargo, el descenso del club a la segunda división ha venido </w:t>
      </w:r>
      <w:r w:rsidR="00275693" w:rsidRPr="00897122">
        <w:rPr>
          <w:rFonts w:ascii="Times New (W1)" w:hAnsi="Times New (W1)"/>
          <w:spacing w:val="0"/>
          <w:szCs w:val="26"/>
        </w:rPr>
        <w:t xml:space="preserve">a </w:t>
      </w:r>
      <w:r w:rsidRPr="00897122">
        <w:rPr>
          <w:rFonts w:ascii="Times New (W1)" w:hAnsi="Times New (W1)"/>
          <w:spacing w:val="0"/>
          <w:szCs w:val="26"/>
        </w:rPr>
        <w:t xml:space="preserve">agravar su situación económica, </w:t>
      </w:r>
      <w:r w:rsidR="006706E7" w:rsidRPr="00897122">
        <w:rPr>
          <w:rFonts w:ascii="Times New (W1)" w:hAnsi="Times New (W1)"/>
          <w:spacing w:val="0"/>
          <w:szCs w:val="26"/>
        </w:rPr>
        <w:t xml:space="preserve">ya de por sí </w:t>
      </w:r>
      <w:r w:rsidRPr="00897122">
        <w:rPr>
          <w:rFonts w:ascii="Times New (W1)" w:hAnsi="Times New (W1)"/>
          <w:spacing w:val="0"/>
          <w:szCs w:val="26"/>
        </w:rPr>
        <w:t>bastante debilitada</w:t>
      </w:r>
      <w:r w:rsidRPr="00226C3E">
        <w:rPr>
          <w:szCs w:val="26"/>
        </w:rPr>
        <w:t>.</w:t>
      </w:r>
    </w:p>
    <w:p w:rsidR="00420A0A" w:rsidRPr="00226C3E" w:rsidRDefault="00420A0A" w:rsidP="001E2A02">
      <w:pPr>
        <w:pStyle w:val="texto"/>
        <w:tabs>
          <w:tab w:val="clear" w:pos="2835"/>
          <w:tab w:val="clear" w:pos="3969"/>
          <w:tab w:val="clear" w:pos="5103"/>
          <w:tab w:val="clear" w:pos="6237"/>
          <w:tab w:val="clear" w:pos="7371"/>
        </w:tabs>
        <w:rPr>
          <w:szCs w:val="26"/>
        </w:rPr>
      </w:pPr>
      <w:r w:rsidRPr="00226C3E">
        <w:rPr>
          <w:szCs w:val="26"/>
        </w:rPr>
        <w:t xml:space="preserve">Por ello, se aprueba esta ley dirigida a facilitar la estabilidad financiera del </w:t>
      </w:r>
      <w:r w:rsidR="006706E7">
        <w:rPr>
          <w:szCs w:val="26"/>
        </w:rPr>
        <w:t>c</w:t>
      </w:r>
      <w:r w:rsidRPr="00226C3E">
        <w:rPr>
          <w:szCs w:val="26"/>
        </w:rPr>
        <w:t>lub mediante la reestructuración de su deuda tributaria. Se justifica tal actuación no solo en favorecer la continuidad de una institución emblemática de Navarra sino, también, en que es la mejor solución para la defensa de los intereses de la Hacienda Foral.</w:t>
      </w:r>
      <w:r w:rsidR="001E2A02">
        <w:rPr>
          <w:szCs w:val="26"/>
        </w:rPr>
        <w:t xml:space="preserve"> </w:t>
      </w:r>
      <w:r w:rsidRPr="00226C3E">
        <w:rPr>
          <w:szCs w:val="26"/>
        </w:rPr>
        <w:t>Por tanto la ley persigue un doble objetivo:</w:t>
      </w:r>
    </w:p>
    <w:p w:rsidR="00420A0A" w:rsidRPr="00D535E0" w:rsidRDefault="00420A0A"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D535E0">
        <w:rPr>
          <w:szCs w:val="26"/>
        </w:rPr>
        <w:t>Que el club abone la totalidad de la deuda tributaria contraída.</w:t>
      </w:r>
    </w:p>
    <w:p w:rsidR="00420A0A" w:rsidRPr="00D535E0" w:rsidRDefault="00420A0A"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D535E0">
        <w:rPr>
          <w:szCs w:val="26"/>
        </w:rPr>
        <w:t xml:space="preserve">Que el anterior abono permita al </w:t>
      </w:r>
      <w:r w:rsidR="006706E7">
        <w:rPr>
          <w:szCs w:val="26"/>
        </w:rPr>
        <w:t>c</w:t>
      </w:r>
      <w:r w:rsidRPr="00D535E0">
        <w:rPr>
          <w:szCs w:val="26"/>
        </w:rPr>
        <w:t>lub sobrevivir a las actuales circunstancias financieras.</w:t>
      </w:r>
    </w:p>
    <w:p w:rsidR="00420A0A" w:rsidRPr="00226C3E" w:rsidRDefault="00770E9B" w:rsidP="00770E9B">
      <w:pPr>
        <w:pStyle w:val="atitulo2"/>
      </w:pPr>
      <w:bookmarkStart w:id="13" w:name="_Toc425926948"/>
      <w:r>
        <w:t xml:space="preserve">III.2. </w:t>
      </w:r>
      <w:r w:rsidR="00420A0A" w:rsidRPr="00226C3E">
        <w:t>Articulado</w:t>
      </w:r>
      <w:bookmarkEnd w:id="13"/>
    </w:p>
    <w:p w:rsidR="00420A0A" w:rsidRPr="00226C3E" w:rsidRDefault="00420A0A" w:rsidP="00226C3E">
      <w:pPr>
        <w:pStyle w:val="texto"/>
        <w:tabs>
          <w:tab w:val="clear" w:pos="2835"/>
          <w:tab w:val="clear" w:pos="3969"/>
          <w:tab w:val="clear" w:pos="5103"/>
          <w:tab w:val="clear" w:pos="6237"/>
          <w:tab w:val="clear" w:pos="7371"/>
        </w:tabs>
        <w:rPr>
          <w:szCs w:val="26"/>
        </w:rPr>
      </w:pPr>
      <w:r w:rsidRPr="00226C3E">
        <w:rPr>
          <w:szCs w:val="26"/>
        </w:rPr>
        <w:t>La ley foral consta de ocho artículos, una disposición adicional y dos disposiciones finales así como dos anexos.</w:t>
      </w:r>
    </w:p>
    <w:p w:rsidR="00420A0A" w:rsidRPr="00226C3E" w:rsidRDefault="00420A0A" w:rsidP="00226C3E">
      <w:pPr>
        <w:pStyle w:val="texto"/>
        <w:tabs>
          <w:tab w:val="clear" w:pos="2835"/>
          <w:tab w:val="clear" w:pos="3969"/>
          <w:tab w:val="clear" w:pos="5103"/>
          <w:tab w:val="clear" w:pos="6237"/>
          <w:tab w:val="clear" w:pos="7371"/>
        </w:tabs>
        <w:rPr>
          <w:szCs w:val="26"/>
        </w:rPr>
      </w:pPr>
      <w:r w:rsidRPr="00226C3E">
        <w:rPr>
          <w:szCs w:val="26"/>
        </w:rPr>
        <w:t xml:space="preserve">Su objeto es doble: por un lado, reestructurar la deuda tributaria y, por otro, otorgar un aval que facilite las necesidades de circulante del </w:t>
      </w:r>
      <w:r w:rsidR="00BD1836">
        <w:rPr>
          <w:szCs w:val="26"/>
        </w:rPr>
        <w:t>c</w:t>
      </w:r>
      <w:r w:rsidRPr="00226C3E">
        <w:rPr>
          <w:szCs w:val="26"/>
        </w:rPr>
        <w:t>lub.</w:t>
      </w:r>
    </w:p>
    <w:p w:rsidR="00420A0A" w:rsidRPr="00770E9B" w:rsidRDefault="00420A0A" w:rsidP="00226C3E">
      <w:pPr>
        <w:pStyle w:val="texto"/>
        <w:tabs>
          <w:tab w:val="clear" w:pos="2835"/>
          <w:tab w:val="clear" w:pos="3969"/>
          <w:tab w:val="clear" w:pos="5103"/>
          <w:tab w:val="clear" w:pos="6237"/>
          <w:tab w:val="clear" w:pos="7371"/>
        </w:tabs>
        <w:rPr>
          <w:b/>
          <w:szCs w:val="26"/>
        </w:rPr>
      </w:pPr>
      <w:r w:rsidRPr="00770E9B">
        <w:rPr>
          <w:b/>
          <w:szCs w:val="26"/>
        </w:rPr>
        <w:t>Cuantificación de la deuda</w:t>
      </w:r>
    </w:p>
    <w:p w:rsidR="00420A0A" w:rsidRPr="00771C84" w:rsidRDefault="00420A0A" w:rsidP="00A56AFC">
      <w:pPr>
        <w:pStyle w:val="texto"/>
        <w:tabs>
          <w:tab w:val="clear" w:pos="2835"/>
          <w:tab w:val="clear" w:pos="3969"/>
          <w:tab w:val="clear" w:pos="5103"/>
          <w:tab w:val="clear" w:pos="6237"/>
          <w:tab w:val="clear" w:pos="7371"/>
        </w:tabs>
        <w:spacing w:after="240"/>
        <w:rPr>
          <w:szCs w:val="26"/>
        </w:rPr>
      </w:pPr>
      <w:r w:rsidRPr="00226C3E">
        <w:rPr>
          <w:szCs w:val="26"/>
        </w:rPr>
        <w:t xml:space="preserve">Se cuantifica la deuda </w:t>
      </w:r>
      <w:r w:rsidR="00D90120">
        <w:rPr>
          <w:szCs w:val="26"/>
        </w:rPr>
        <w:t>–</w:t>
      </w:r>
      <w:r w:rsidRPr="00226C3E">
        <w:rPr>
          <w:szCs w:val="26"/>
        </w:rPr>
        <w:t>anexo I de la Ley Foral</w:t>
      </w:r>
      <w:r w:rsidR="00D90120">
        <w:rPr>
          <w:szCs w:val="26"/>
        </w:rPr>
        <w:t>–</w:t>
      </w:r>
      <w:r w:rsidRPr="00226C3E">
        <w:rPr>
          <w:szCs w:val="26"/>
        </w:rPr>
        <w:t xml:space="preserve"> que asciende a un total de 53,03 millones, y que se desglosa</w:t>
      </w:r>
      <w:r w:rsidR="00667A7B">
        <w:rPr>
          <w:szCs w:val="26"/>
        </w:rPr>
        <w:t xml:space="preserve"> </w:t>
      </w:r>
      <w:r w:rsidRPr="00226C3E">
        <w:rPr>
          <w:szCs w:val="26"/>
        </w:rPr>
        <w:t>en:</w:t>
      </w:r>
      <w:r w:rsidR="00F84B9D">
        <w:rPr>
          <w:szCs w:val="26"/>
        </w:rPr>
        <w:t xml:space="preserve"> </w:t>
      </w:r>
    </w:p>
    <w:tbl>
      <w:tblPr>
        <w:tblStyle w:val="Tablaconcuadrcula"/>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2268"/>
        <w:gridCol w:w="1276"/>
        <w:gridCol w:w="1134"/>
        <w:gridCol w:w="1276"/>
        <w:gridCol w:w="1134"/>
      </w:tblGrid>
      <w:tr w:rsidR="00420A0A" w:rsidTr="00A56AFC">
        <w:trPr>
          <w:trHeight w:val="255"/>
        </w:trPr>
        <w:tc>
          <w:tcPr>
            <w:tcW w:w="1843" w:type="dxa"/>
            <w:tcBorders>
              <w:top w:val="single" w:sz="4" w:space="0" w:color="auto"/>
              <w:bottom w:val="single" w:sz="4" w:space="0" w:color="auto"/>
            </w:tcBorders>
            <w:shd w:val="clear" w:color="auto" w:fill="8DB3E2" w:themeFill="text2" w:themeFillTint="66"/>
            <w:vAlign w:val="center"/>
          </w:tcPr>
          <w:p w:rsidR="00420A0A" w:rsidRDefault="00420A0A" w:rsidP="00226C3E">
            <w:pPr>
              <w:pStyle w:val="cuadroCabe"/>
              <w:jc w:val="left"/>
            </w:pPr>
            <w:r>
              <w:t xml:space="preserve">Expediente </w:t>
            </w:r>
          </w:p>
          <w:p w:rsidR="00420A0A" w:rsidRDefault="00420A0A" w:rsidP="00226C3E">
            <w:pPr>
              <w:pStyle w:val="cuadroCabe"/>
              <w:jc w:val="left"/>
            </w:pPr>
            <w:r>
              <w:t>aplazamiento</w:t>
            </w:r>
          </w:p>
        </w:tc>
        <w:tc>
          <w:tcPr>
            <w:tcW w:w="2268" w:type="dxa"/>
            <w:tcBorders>
              <w:top w:val="single" w:sz="4" w:space="0" w:color="auto"/>
              <w:bottom w:val="single" w:sz="4" w:space="0" w:color="auto"/>
            </w:tcBorders>
            <w:shd w:val="clear" w:color="auto" w:fill="8DB3E2" w:themeFill="text2" w:themeFillTint="66"/>
            <w:vAlign w:val="center"/>
          </w:tcPr>
          <w:p w:rsidR="00420A0A" w:rsidRDefault="00420A0A" w:rsidP="00226C3E">
            <w:pPr>
              <w:pStyle w:val="cuadroCabe"/>
              <w:jc w:val="left"/>
            </w:pPr>
            <w:r>
              <w:t>Tipo deuda</w:t>
            </w:r>
          </w:p>
        </w:tc>
        <w:tc>
          <w:tcPr>
            <w:tcW w:w="1276" w:type="dxa"/>
            <w:tcBorders>
              <w:top w:val="single" w:sz="4" w:space="0" w:color="auto"/>
              <w:bottom w:val="single" w:sz="4" w:space="0" w:color="auto"/>
            </w:tcBorders>
            <w:shd w:val="clear" w:color="auto" w:fill="8DB3E2" w:themeFill="text2" w:themeFillTint="66"/>
            <w:vAlign w:val="center"/>
          </w:tcPr>
          <w:p w:rsidR="00420A0A" w:rsidRDefault="00420A0A" w:rsidP="00D90120">
            <w:pPr>
              <w:pStyle w:val="cuadroCabe"/>
              <w:jc w:val="right"/>
            </w:pPr>
            <w:r>
              <w:t>Principal pendiente</w:t>
            </w:r>
          </w:p>
        </w:tc>
        <w:tc>
          <w:tcPr>
            <w:tcW w:w="1134" w:type="dxa"/>
            <w:tcBorders>
              <w:top w:val="single" w:sz="4" w:space="0" w:color="auto"/>
              <w:bottom w:val="single" w:sz="4" w:space="0" w:color="auto"/>
            </w:tcBorders>
            <w:shd w:val="clear" w:color="auto" w:fill="8DB3E2" w:themeFill="text2" w:themeFillTint="66"/>
            <w:vAlign w:val="center"/>
          </w:tcPr>
          <w:p w:rsidR="00420A0A" w:rsidRDefault="00420A0A" w:rsidP="00D90120">
            <w:pPr>
              <w:pStyle w:val="cuadroCabe"/>
              <w:jc w:val="right"/>
            </w:pPr>
            <w:r>
              <w:t xml:space="preserve">Intereses </w:t>
            </w:r>
            <w:r w:rsidR="00D90120">
              <w:t xml:space="preserve">+ </w:t>
            </w:r>
            <w:r>
              <w:t>recargos</w:t>
            </w:r>
          </w:p>
        </w:tc>
        <w:tc>
          <w:tcPr>
            <w:tcW w:w="1276" w:type="dxa"/>
            <w:tcBorders>
              <w:top w:val="single" w:sz="4" w:space="0" w:color="auto"/>
              <w:bottom w:val="single" w:sz="4" w:space="0" w:color="auto"/>
            </w:tcBorders>
            <w:shd w:val="clear" w:color="auto" w:fill="8DB3E2" w:themeFill="text2" w:themeFillTint="66"/>
            <w:vAlign w:val="center"/>
          </w:tcPr>
          <w:p w:rsidR="00771C84" w:rsidRDefault="00420A0A" w:rsidP="00D90120">
            <w:pPr>
              <w:pStyle w:val="cuadroCabe"/>
              <w:jc w:val="right"/>
            </w:pPr>
            <w:r>
              <w:t xml:space="preserve">Intereses </w:t>
            </w:r>
          </w:p>
          <w:p w:rsidR="00420A0A" w:rsidRDefault="00420A0A" w:rsidP="00D90120">
            <w:pPr>
              <w:pStyle w:val="cuadroCabe"/>
              <w:jc w:val="right"/>
            </w:pPr>
            <w:r>
              <w:t>28/11/</w:t>
            </w:r>
            <w:r w:rsidR="00D90120">
              <w:t>20</w:t>
            </w:r>
            <w:r>
              <w:t>14</w:t>
            </w:r>
          </w:p>
        </w:tc>
        <w:tc>
          <w:tcPr>
            <w:tcW w:w="1134" w:type="dxa"/>
            <w:tcBorders>
              <w:top w:val="single" w:sz="4" w:space="0" w:color="auto"/>
              <w:bottom w:val="single" w:sz="4" w:space="0" w:color="auto"/>
            </w:tcBorders>
            <w:shd w:val="clear" w:color="auto" w:fill="8DB3E2" w:themeFill="text2" w:themeFillTint="66"/>
            <w:vAlign w:val="center"/>
          </w:tcPr>
          <w:p w:rsidR="00420A0A" w:rsidRDefault="00420A0A" w:rsidP="00D90120">
            <w:pPr>
              <w:pStyle w:val="cuadroCabe"/>
              <w:jc w:val="right"/>
            </w:pPr>
            <w:r>
              <w:t>Total</w:t>
            </w:r>
          </w:p>
        </w:tc>
      </w:tr>
      <w:tr w:rsidR="00420A0A" w:rsidRPr="00D90120" w:rsidTr="00A56AFC">
        <w:trPr>
          <w:trHeight w:val="255"/>
        </w:trPr>
        <w:tc>
          <w:tcPr>
            <w:tcW w:w="1843" w:type="dxa"/>
            <w:tcBorders>
              <w:top w:val="single" w:sz="4" w:space="0" w:color="auto"/>
              <w:bottom w:val="single" w:sz="2" w:space="0" w:color="auto"/>
            </w:tcBorders>
            <w:vAlign w:val="center"/>
          </w:tcPr>
          <w:p w:rsidR="00420A0A" w:rsidRPr="00D90120" w:rsidRDefault="00420A0A" w:rsidP="00226C3E">
            <w:pPr>
              <w:pStyle w:val="cuatexto"/>
              <w:jc w:val="left"/>
              <w:rPr>
                <w:sz w:val="19"/>
                <w:szCs w:val="19"/>
              </w:rPr>
            </w:pPr>
            <w:r w:rsidRPr="00D90120">
              <w:rPr>
                <w:sz w:val="19"/>
                <w:szCs w:val="19"/>
              </w:rPr>
              <w:t>09/40511</w:t>
            </w:r>
          </w:p>
        </w:tc>
        <w:tc>
          <w:tcPr>
            <w:tcW w:w="2268" w:type="dxa"/>
            <w:tcBorders>
              <w:top w:val="single" w:sz="4" w:space="0" w:color="auto"/>
              <w:bottom w:val="single" w:sz="2" w:space="0" w:color="auto"/>
            </w:tcBorders>
            <w:vAlign w:val="center"/>
          </w:tcPr>
          <w:p w:rsidR="00420A0A" w:rsidRPr="00D90120" w:rsidRDefault="00420A0A" w:rsidP="00771C84">
            <w:pPr>
              <w:pStyle w:val="cuatexto"/>
              <w:ind w:right="-209"/>
              <w:jc w:val="left"/>
              <w:rPr>
                <w:sz w:val="19"/>
                <w:szCs w:val="19"/>
              </w:rPr>
            </w:pPr>
            <w:r w:rsidRPr="00D90120">
              <w:rPr>
                <w:sz w:val="19"/>
                <w:szCs w:val="19"/>
              </w:rPr>
              <w:t>Ordinaria IVA y retenc</w:t>
            </w:r>
            <w:r w:rsidR="00771C84" w:rsidRPr="00D90120">
              <w:rPr>
                <w:sz w:val="19"/>
                <w:szCs w:val="19"/>
              </w:rPr>
              <w:t>iones</w:t>
            </w:r>
          </w:p>
        </w:tc>
        <w:tc>
          <w:tcPr>
            <w:tcW w:w="1276" w:type="dxa"/>
            <w:tcBorders>
              <w:top w:val="single" w:sz="4" w:space="0" w:color="auto"/>
              <w:bottom w:val="single" w:sz="2" w:space="0" w:color="auto"/>
            </w:tcBorders>
            <w:vAlign w:val="center"/>
          </w:tcPr>
          <w:p w:rsidR="00420A0A" w:rsidRPr="00D90120" w:rsidRDefault="00FE4963" w:rsidP="00D90120">
            <w:pPr>
              <w:pStyle w:val="cuatexto"/>
              <w:jc w:val="right"/>
              <w:rPr>
                <w:sz w:val="19"/>
                <w:szCs w:val="19"/>
              </w:rPr>
            </w:pPr>
            <w:r w:rsidRPr="00D90120">
              <w:rPr>
                <w:sz w:val="19"/>
                <w:szCs w:val="19"/>
              </w:rPr>
              <w:t>8.154.825</w:t>
            </w:r>
            <w:r w:rsidR="00420A0A" w:rsidRPr="00D90120">
              <w:rPr>
                <w:sz w:val="19"/>
                <w:szCs w:val="19"/>
              </w:rPr>
              <w:t xml:space="preserve">         </w:t>
            </w:r>
          </w:p>
        </w:tc>
        <w:tc>
          <w:tcPr>
            <w:tcW w:w="1134" w:type="dxa"/>
            <w:tcBorders>
              <w:top w:val="single" w:sz="4" w:space="0" w:color="auto"/>
              <w:bottom w:val="single" w:sz="2" w:space="0" w:color="auto"/>
            </w:tcBorders>
            <w:vAlign w:val="center"/>
          </w:tcPr>
          <w:p w:rsidR="00420A0A" w:rsidRPr="00D90120" w:rsidRDefault="00420A0A" w:rsidP="00D90120">
            <w:pPr>
              <w:pStyle w:val="cuatexto"/>
              <w:jc w:val="right"/>
              <w:rPr>
                <w:sz w:val="19"/>
                <w:szCs w:val="19"/>
              </w:rPr>
            </w:pPr>
          </w:p>
        </w:tc>
        <w:tc>
          <w:tcPr>
            <w:tcW w:w="1276" w:type="dxa"/>
            <w:tcBorders>
              <w:top w:val="single" w:sz="4"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8.736</w:t>
            </w:r>
          </w:p>
        </w:tc>
        <w:tc>
          <w:tcPr>
            <w:tcW w:w="1134" w:type="dxa"/>
            <w:tcBorders>
              <w:top w:val="single" w:sz="4"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8.163.561</w:t>
            </w:r>
          </w:p>
        </w:tc>
      </w:tr>
      <w:tr w:rsidR="00420A0A" w:rsidRPr="00D90120" w:rsidTr="00A56AFC">
        <w:trPr>
          <w:trHeight w:val="255"/>
        </w:trPr>
        <w:tc>
          <w:tcPr>
            <w:tcW w:w="1843" w:type="dxa"/>
            <w:tcBorders>
              <w:top w:val="single" w:sz="2" w:space="0" w:color="auto"/>
              <w:bottom w:val="single" w:sz="2" w:space="0" w:color="auto"/>
            </w:tcBorders>
            <w:vAlign w:val="center"/>
          </w:tcPr>
          <w:p w:rsidR="00420A0A" w:rsidRPr="00D90120" w:rsidRDefault="00420A0A" w:rsidP="00226C3E">
            <w:pPr>
              <w:pStyle w:val="cuatexto"/>
              <w:jc w:val="left"/>
              <w:rPr>
                <w:sz w:val="19"/>
                <w:szCs w:val="19"/>
              </w:rPr>
            </w:pPr>
            <w:r w:rsidRPr="00D90120">
              <w:rPr>
                <w:sz w:val="19"/>
                <w:szCs w:val="19"/>
              </w:rPr>
              <w:t>12/71798</w:t>
            </w:r>
          </w:p>
        </w:tc>
        <w:tc>
          <w:tcPr>
            <w:tcW w:w="2268" w:type="dxa"/>
            <w:tcBorders>
              <w:top w:val="single" w:sz="2" w:space="0" w:color="auto"/>
              <w:bottom w:val="single" w:sz="2" w:space="0" w:color="auto"/>
            </w:tcBorders>
            <w:vAlign w:val="center"/>
          </w:tcPr>
          <w:p w:rsidR="00420A0A" w:rsidRPr="00D90120" w:rsidRDefault="00420A0A" w:rsidP="00226C3E">
            <w:pPr>
              <w:pStyle w:val="cuatexto"/>
              <w:jc w:val="left"/>
              <w:rPr>
                <w:sz w:val="19"/>
                <w:szCs w:val="19"/>
              </w:rPr>
            </w:pPr>
            <w:r w:rsidRPr="00D90120">
              <w:rPr>
                <w:sz w:val="19"/>
                <w:szCs w:val="19"/>
              </w:rPr>
              <w:t>Ordinaria y apremio</w:t>
            </w:r>
          </w:p>
        </w:tc>
        <w:tc>
          <w:tcPr>
            <w:tcW w:w="1276" w:type="dxa"/>
            <w:tcBorders>
              <w:top w:val="single" w:sz="2"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7.031.082</w:t>
            </w:r>
          </w:p>
        </w:tc>
        <w:tc>
          <w:tcPr>
            <w:tcW w:w="1134" w:type="dxa"/>
            <w:tcBorders>
              <w:top w:val="single" w:sz="2"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1.516.718</w:t>
            </w:r>
          </w:p>
        </w:tc>
        <w:tc>
          <w:tcPr>
            <w:tcW w:w="1276" w:type="dxa"/>
            <w:tcBorders>
              <w:top w:val="single" w:sz="2"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1.405.253</w:t>
            </w:r>
          </w:p>
        </w:tc>
        <w:tc>
          <w:tcPr>
            <w:tcW w:w="1134" w:type="dxa"/>
            <w:tcBorders>
              <w:top w:val="single" w:sz="2"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9.953.053</w:t>
            </w:r>
          </w:p>
        </w:tc>
      </w:tr>
      <w:tr w:rsidR="00420A0A" w:rsidRPr="00D90120" w:rsidTr="00A56AFC">
        <w:trPr>
          <w:trHeight w:val="255"/>
        </w:trPr>
        <w:tc>
          <w:tcPr>
            <w:tcW w:w="1843" w:type="dxa"/>
            <w:tcBorders>
              <w:top w:val="single" w:sz="2" w:space="0" w:color="auto"/>
              <w:bottom w:val="single" w:sz="2" w:space="0" w:color="auto"/>
            </w:tcBorders>
            <w:vAlign w:val="center"/>
          </w:tcPr>
          <w:p w:rsidR="00420A0A" w:rsidRPr="00D90120" w:rsidRDefault="00420A0A" w:rsidP="00226C3E">
            <w:pPr>
              <w:pStyle w:val="cuatexto"/>
              <w:jc w:val="left"/>
              <w:rPr>
                <w:sz w:val="19"/>
                <w:szCs w:val="19"/>
              </w:rPr>
            </w:pPr>
            <w:r w:rsidRPr="00D90120">
              <w:rPr>
                <w:sz w:val="19"/>
                <w:szCs w:val="19"/>
              </w:rPr>
              <w:t>12/71797</w:t>
            </w:r>
          </w:p>
        </w:tc>
        <w:tc>
          <w:tcPr>
            <w:tcW w:w="2268" w:type="dxa"/>
            <w:tcBorders>
              <w:top w:val="single" w:sz="2" w:space="0" w:color="auto"/>
              <w:bottom w:val="single" w:sz="2" w:space="0" w:color="auto"/>
            </w:tcBorders>
            <w:vAlign w:val="center"/>
          </w:tcPr>
          <w:p w:rsidR="00420A0A" w:rsidRPr="00D90120" w:rsidRDefault="00420A0A" w:rsidP="00226C3E">
            <w:pPr>
              <w:pStyle w:val="cuatexto"/>
              <w:jc w:val="left"/>
              <w:rPr>
                <w:sz w:val="19"/>
                <w:szCs w:val="19"/>
              </w:rPr>
            </w:pPr>
            <w:r w:rsidRPr="00D90120">
              <w:rPr>
                <w:sz w:val="19"/>
                <w:szCs w:val="19"/>
              </w:rPr>
              <w:t>Ordinaria</w:t>
            </w:r>
          </w:p>
        </w:tc>
        <w:tc>
          <w:tcPr>
            <w:tcW w:w="1276" w:type="dxa"/>
            <w:tcBorders>
              <w:top w:val="single" w:sz="2"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3.749.210</w:t>
            </w:r>
          </w:p>
        </w:tc>
        <w:tc>
          <w:tcPr>
            <w:tcW w:w="1134" w:type="dxa"/>
            <w:tcBorders>
              <w:top w:val="single" w:sz="2"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37.737</w:t>
            </w:r>
          </w:p>
        </w:tc>
        <w:tc>
          <w:tcPr>
            <w:tcW w:w="1276" w:type="dxa"/>
            <w:tcBorders>
              <w:top w:val="single" w:sz="2"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633.474</w:t>
            </w:r>
          </w:p>
        </w:tc>
        <w:tc>
          <w:tcPr>
            <w:tcW w:w="1134" w:type="dxa"/>
            <w:tcBorders>
              <w:top w:val="single" w:sz="2"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4.420.422</w:t>
            </w:r>
          </w:p>
        </w:tc>
      </w:tr>
      <w:tr w:rsidR="00420A0A" w:rsidRPr="00D90120" w:rsidTr="00A56AFC">
        <w:trPr>
          <w:trHeight w:val="255"/>
        </w:trPr>
        <w:tc>
          <w:tcPr>
            <w:tcW w:w="1843" w:type="dxa"/>
            <w:tcBorders>
              <w:top w:val="single" w:sz="2" w:space="0" w:color="auto"/>
              <w:bottom w:val="single" w:sz="2" w:space="0" w:color="auto"/>
            </w:tcBorders>
            <w:vAlign w:val="center"/>
          </w:tcPr>
          <w:p w:rsidR="00420A0A" w:rsidRPr="00D90120" w:rsidRDefault="00420A0A" w:rsidP="00226C3E">
            <w:pPr>
              <w:pStyle w:val="cuatexto"/>
              <w:jc w:val="left"/>
              <w:rPr>
                <w:sz w:val="19"/>
                <w:szCs w:val="19"/>
              </w:rPr>
            </w:pPr>
            <w:r w:rsidRPr="00D90120">
              <w:rPr>
                <w:sz w:val="19"/>
                <w:szCs w:val="19"/>
              </w:rPr>
              <w:t>12/74796</w:t>
            </w:r>
          </w:p>
        </w:tc>
        <w:tc>
          <w:tcPr>
            <w:tcW w:w="2268" w:type="dxa"/>
            <w:tcBorders>
              <w:top w:val="single" w:sz="2" w:space="0" w:color="auto"/>
              <w:bottom w:val="single" w:sz="2" w:space="0" w:color="auto"/>
            </w:tcBorders>
            <w:vAlign w:val="center"/>
          </w:tcPr>
          <w:p w:rsidR="00420A0A" w:rsidRPr="00D90120" w:rsidRDefault="00420A0A" w:rsidP="00226C3E">
            <w:pPr>
              <w:pStyle w:val="cuatexto"/>
              <w:jc w:val="left"/>
              <w:rPr>
                <w:sz w:val="19"/>
                <w:szCs w:val="19"/>
              </w:rPr>
            </w:pPr>
            <w:r w:rsidRPr="00D90120">
              <w:rPr>
                <w:sz w:val="19"/>
                <w:szCs w:val="19"/>
              </w:rPr>
              <w:t>Apremio</w:t>
            </w:r>
          </w:p>
        </w:tc>
        <w:tc>
          <w:tcPr>
            <w:tcW w:w="1276" w:type="dxa"/>
            <w:tcBorders>
              <w:top w:val="single" w:sz="2"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194.647</w:t>
            </w:r>
          </w:p>
        </w:tc>
        <w:tc>
          <w:tcPr>
            <w:tcW w:w="1134" w:type="dxa"/>
            <w:tcBorders>
              <w:top w:val="single" w:sz="2"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6.893</w:t>
            </w:r>
          </w:p>
        </w:tc>
        <w:tc>
          <w:tcPr>
            <w:tcW w:w="1276" w:type="dxa"/>
            <w:tcBorders>
              <w:top w:val="single" w:sz="2"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34.363</w:t>
            </w:r>
          </w:p>
        </w:tc>
        <w:tc>
          <w:tcPr>
            <w:tcW w:w="1134" w:type="dxa"/>
            <w:tcBorders>
              <w:top w:val="single" w:sz="2"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235.904</w:t>
            </w:r>
          </w:p>
        </w:tc>
      </w:tr>
      <w:tr w:rsidR="00420A0A" w:rsidRPr="00D90120" w:rsidTr="00A56AFC">
        <w:trPr>
          <w:trHeight w:val="255"/>
        </w:trPr>
        <w:tc>
          <w:tcPr>
            <w:tcW w:w="1843" w:type="dxa"/>
            <w:tcBorders>
              <w:top w:val="single" w:sz="2" w:space="0" w:color="auto"/>
              <w:bottom w:val="single" w:sz="2" w:space="0" w:color="auto"/>
            </w:tcBorders>
            <w:vAlign w:val="center"/>
          </w:tcPr>
          <w:p w:rsidR="00420A0A" w:rsidRPr="00D90120" w:rsidRDefault="00420A0A" w:rsidP="00226C3E">
            <w:pPr>
              <w:pStyle w:val="cuatexto"/>
              <w:jc w:val="left"/>
              <w:rPr>
                <w:sz w:val="19"/>
                <w:szCs w:val="19"/>
              </w:rPr>
            </w:pPr>
            <w:r w:rsidRPr="00D90120">
              <w:rPr>
                <w:sz w:val="19"/>
                <w:szCs w:val="19"/>
              </w:rPr>
              <w:t>12/71799</w:t>
            </w:r>
          </w:p>
        </w:tc>
        <w:tc>
          <w:tcPr>
            <w:tcW w:w="2268" w:type="dxa"/>
            <w:tcBorders>
              <w:top w:val="single" w:sz="2" w:space="0" w:color="auto"/>
              <w:bottom w:val="single" w:sz="2" w:space="0" w:color="auto"/>
            </w:tcBorders>
            <w:vAlign w:val="center"/>
          </w:tcPr>
          <w:p w:rsidR="00420A0A" w:rsidRPr="00D90120" w:rsidRDefault="00420A0A" w:rsidP="00226C3E">
            <w:pPr>
              <w:pStyle w:val="cuatexto"/>
              <w:jc w:val="left"/>
              <w:rPr>
                <w:sz w:val="19"/>
                <w:szCs w:val="19"/>
              </w:rPr>
            </w:pPr>
            <w:r w:rsidRPr="00D90120">
              <w:rPr>
                <w:sz w:val="19"/>
                <w:szCs w:val="19"/>
              </w:rPr>
              <w:t>Apremio</w:t>
            </w:r>
          </w:p>
        </w:tc>
        <w:tc>
          <w:tcPr>
            <w:tcW w:w="1276" w:type="dxa"/>
            <w:tcBorders>
              <w:top w:val="single" w:sz="2"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885.306</w:t>
            </w:r>
          </w:p>
        </w:tc>
        <w:tc>
          <w:tcPr>
            <w:tcW w:w="1134" w:type="dxa"/>
            <w:tcBorders>
              <w:top w:val="single" w:sz="2"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223.752</w:t>
            </w:r>
          </w:p>
        </w:tc>
        <w:tc>
          <w:tcPr>
            <w:tcW w:w="1276" w:type="dxa"/>
            <w:tcBorders>
              <w:top w:val="single" w:sz="2"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108.056</w:t>
            </w:r>
          </w:p>
        </w:tc>
        <w:tc>
          <w:tcPr>
            <w:tcW w:w="1134" w:type="dxa"/>
            <w:tcBorders>
              <w:top w:val="single" w:sz="2"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1.217.113</w:t>
            </w:r>
          </w:p>
        </w:tc>
      </w:tr>
      <w:tr w:rsidR="00420A0A" w:rsidRPr="00D90120" w:rsidTr="00A56AFC">
        <w:trPr>
          <w:trHeight w:val="255"/>
        </w:trPr>
        <w:tc>
          <w:tcPr>
            <w:tcW w:w="1843" w:type="dxa"/>
            <w:tcBorders>
              <w:top w:val="single" w:sz="2" w:space="0" w:color="auto"/>
              <w:bottom w:val="single" w:sz="2" w:space="0" w:color="auto"/>
            </w:tcBorders>
            <w:vAlign w:val="center"/>
          </w:tcPr>
          <w:p w:rsidR="00420A0A" w:rsidRPr="00D90120" w:rsidRDefault="00420A0A" w:rsidP="00226C3E">
            <w:pPr>
              <w:pStyle w:val="cuatexto"/>
              <w:jc w:val="left"/>
              <w:rPr>
                <w:sz w:val="19"/>
                <w:szCs w:val="19"/>
              </w:rPr>
            </w:pPr>
            <w:r w:rsidRPr="00D90120">
              <w:rPr>
                <w:sz w:val="19"/>
                <w:szCs w:val="19"/>
              </w:rPr>
              <w:t>12/71800</w:t>
            </w:r>
          </w:p>
        </w:tc>
        <w:tc>
          <w:tcPr>
            <w:tcW w:w="2268" w:type="dxa"/>
            <w:tcBorders>
              <w:top w:val="single" w:sz="2" w:space="0" w:color="auto"/>
              <w:bottom w:val="single" w:sz="2" w:space="0" w:color="auto"/>
            </w:tcBorders>
            <w:vAlign w:val="center"/>
          </w:tcPr>
          <w:p w:rsidR="00420A0A" w:rsidRPr="00D90120" w:rsidRDefault="00420A0A" w:rsidP="00226C3E">
            <w:pPr>
              <w:pStyle w:val="cuatexto"/>
              <w:jc w:val="left"/>
              <w:rPr>
                <w:sz w:val="19"/>
                <w:szCs w:val="19"/>
              </w:rPr>
            </w:pPr>
            <w:r w:rsidRPr="00D90120">
              <w:rPr>
                <w:sz w:val="19"/>
                <w:szCs w:val="19"/>
              </w:rPr>
              <w:t>Ordinaria</w:t>
            </w:r>
          </w:p>
        </w:tc>
        <w:tc>
          <w:tcPr>
            <w:tcW w:w="1276" w:type="dxa"/>
            <w:tcBorders>
              <w:top w:val="single" w:sz="2"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6.822.562</w:t>
            </w:r>
          </w:p>
        </w:tc>
        <w:tc>
          <w:tcPr>
            <w:tcW w:w="1134" w:type="dxa"/>
            <w:tcBorders>
              <w:top w:val="single" w:sz="2"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122.742</w:t>
            </w:r>
          </w:p>
        </w:tc>
        <w:tc>
          <w:tcPr>
            <w:tcW w:w="1276" w:type="dxa"/>
            <w:tcBorders>
              <w:top w:val="single" w:sz="2"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832.726</w:t>
            </w:r>
          </w:p>
        </w:tc>
        <w:tc>
          <w:tcPr>
            <w:tcW w:w="1134" w:type="dxa"/>
            <w:tcBorders>
              <w:top w:val="single" w:sz="2"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7.778.030</w:t>
            </w:r>
          </w:p>
        </w:tc>
      </w:tr>
      <w:tr w:rsidR="00420A0A" w:rsidRPr="00D90120" w:rsidTr="00A56AFC">
        <w:trPr>
          <w:trHeight w:val="255"/>
        </w:trPr>
        <w:tc>
          <w:tcPr>
            <w:tcW w:w="1843" w:type="dxa"/>
            <w:tcBorders>
              <w:top w:val="single" w:sz="2" w:space="0" w:color="auto"/>
              <w:bottom w:val="single" w:sz="2" w:space="0" w:color="auto"/>
            </w:tcBorders>
            <w:vAlign w:val="center"/>
          </w:tcPr>
          <w:p w:rsidR="00420A0A" w:rsidRPr="00D90120" w:rsidRDefault="00420A0A" w:rsidP="00226C3E">
            <w:pPr>
              <w:pStyle w:val="cuatexto"/>
              <w:jc w:val="left"/>
              <w:rPr>
                <w:sz w:val="19"/>
                <w:szCs w:val="19"/>
              </w:rPr>
            </w:pPr>
            <w:r w:rsidRPr="00D90120">
              <w:rPr>
                <w:sz w:val="19"/>
                <w:szCs w:val="19"/>
              </w:rPr>
              <w:t>13/82441 Actas</w:t>
            </w:r>
          </w:p>
        </w:tc>
        <w:tc>
          <w:tcPr>
            <w:tcW w:w="2268" w:type="dxa"/>
            <w:tcBorders>
              <w:top w:val="single" w:sz="2" w:space="0" w:color="auto"/>
              <w:bottom w:val="single" w:sz="2" w:space="0" w:color="auto"/>
            </w:tcBorders>
            <w:vAlign w:val="center"/>
          </w:tcPr>
          <w:p w:rsidR="00420A0A" w:rsidRPr="00D90120" w:rsidRDefault="00420A0A" w:rsidP="00226C3E">
            <w:pPr>
              <w:pStyle w:val="cuatexto"/>
              <w:jc w:val="left"/>
              <w:rPr>
                <w:sz w:val="19"/>
                <w:szCs w:val="19"/>
              </w:rPr>
            </w:pPr>
            <w:r w:rsidRPr="00D90120">
              <w:rPr>
                <w:sz w:val="19"/>
                <w:szCs w:val="19"/>
              </w:rPr>
              <w:t>Retenciones ordinaria</w:t>
            </w:r>
          </w:p>
        </w:tc>
        <w:tc>
          <w:tcPr>
            <w:tcW w:w="1276" w:type="dxa"/>
            <w:tcBorders>
              <w:top w:val="single" w:sz="2"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2.550.616</w:t>
            </w:r>
          </w:p>
        </w:tc>
        <w:tc>
          <w:tcPr>
            <w:tcW w:w="1134" w:type="dxa"/>
            <w:tcBorders>
              <w:top w:val="single" w:sz="2"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471.600</w:t>
            </w:r>
          </w:p>
        </w:tc>
        <w:tc>
          <w:tcPr>
            <w:tcW w:w="1276" w:type="dxa"/>
            <w:tcBorders>
              <w:top w:val="single" w:sz="2"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211.037</w:t>
            </w:r>
          </w:p>
        </w:tc>
        <w:tc>
          <w:tcPr>
            <w:tcW w:w="1134" w:type="dxa"/>
            <w:tcBorders>
              <w:top w:val="single" w:sz="2"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3.233.253</w:t>
            </w:r>
          </w:p>
        </w:tc>
      </w:tr>
      <w:tr w:rsidR="00420A0A" w:rsidRPr="00D90120" w:rsidTr="00A56AFC">
        <w:trPr>
          <w:trHeight w:val="255"/>
        </w:trPr>
        <w:tc>
          <w:tcPr>
            <w:tcW w:w="1843" w:type="dxa"/>
            <w:tcBorders>
              <w:top w:val="single" w:sz="2" w:space="0" w:color="auto"/>
              <w:bottom w:val="single" w:sz="2" w:space="0" w:color="auto"/>
            </w:tcBorders>
            <w:vAlign w:val="center"/>
          </w:tcPr>
          <w:p w:rsidR="00420A0A" w:rsidRPr="00D90120" w:rsidRDefault="00420A0A" w:rsidP="00226C3E">
            <w:pPr>
              <w:pStyle w:val="cuatexto"/>
              <w:jc w:val="left"/>
              <w:rPr>
                <w:sz w:val="19"/>
                <w:szCs w:val="19"/>
              </w:rPr>
            </w:pPr>
            <w:r w:rsidRPr="00D90120">
              <w:rPr>
                <w:sz w:val="19"/>
                <w:szCs w:val="19"/>
              </w:rPr>
              <w:t>13/82422 Actas</w:t>
            </w:r>
          </w:p>
        </w:tc>
        <w:tc>
          <w:tcPr>
            <w:tcW w:w="2268" w:type="dxa"/>
            <w:tcBorders>
              <w:top w:val="single" w:sz="2" w:space="0" w:color="auto"/>
              <w:bottom w:val="single" w:sz="2" w:space="0" w:color="auto"/>
            </w:tcBorders>
            <w:vAlign w:val="center"/>
          </w:tcPr>
          <w:p w:rsidR="00420A0A" w:rsidRPr="00D90120" w:rsidRDefault="00420A0A" w:rsidP="00226C3E">
            <w:pPr>
              <w:pStyle w:val="cuatexto"/>
              <w:jc w:val="left"/>
              <w:rPr>
                <w:sz w:val="19"/>
                <w:szCs w:val="19"/>
              </w:rPr>
            </w:pPr>
            <w:r w:rsidRPr="00D90120">
              <w:rPr>
                <w:sz w:val="19"/>
                <w:szCs w:val="19"/>
              </w:rPr>
              <w:t>Sanción ordinaria</w:t>
            </w:r>
          </w:p>
        </w:tc>
        <w:tc>
          <w:tcPr>
            <w:tcW w:w="1276" w:type="dxa"/>
            <w:tcBorders>
              <w:top w:val="single" w:sz="2"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1.215.470</w:t>
            </w:r>
          </w:p>
        </w:tc>
        <w:tc>
          <w:tcPr>
            <w:tcW w:w="1134" w:type="dxa"/>
            <w:tcBorders>
              <w:top w:val="single" w:sz="2"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0</w:t>
            </w:r>
          </w:p>
        </w:tc>
        <w:tc>
          <w:tcPr>
            <w:tcW w:w="1276" w:type="dxa"/>
            <w:tcBorders>
              <w:top w:val="single" w:sz="2"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100.568</w:t>
            </w:r>
          </w:p>
        </w:tc>
        <w:tc>
          <w:tcPr>
            <w:tcW w:w="1134" w:type="dxa"/>
            <w:tcBorders>
              <w:top w:val="single" w:sz="2"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1.316.038</w:t>
            </w:r>
          </w:p>
        </w:tc>
      </w:tr>
      <w:tr w:rsidR="00420A0A" w:rsidRPr="00D90120" w:rsidTr="00A56AFC">
        <w:trPr>
          <w:trHeight w:val="255"/>
        </w:trPr>
        <w:tc>
          <w:tcPr>
            <w:tcW w:w="1843" w:type="dxa"/>
            <w:tcBorders>
              <w:top w:val="single" w:sz="2" w:space="0" w:color="auto"/>
              <w:bottom w:val="single" w:sz="2" w:space="0" w:color="auto"/>
            </w:tcBorders>
            <w:vAlign w:val="center"/>
          </w:tcPr>
          <w:p w:rsidR="00420A0A" w:rsidRPr="00D90120" w:rsidRDefault="00420A0A" w:rsidP="005062EE">
            <w:pPr>
              <w:pStyle w:val="cuatexto"/>
              <w:rPr>
                <w:sz w:val="19"/>
                <w:szCs w:val="19"/>
              </w:rPr>
            </w:pPr>
            <w:r w:rsidRPr="00D90120">
              <w:rPr>
                <w:sz w:val="19"/>
                <w:szCs w:val="19"/>
              </w:rPr>
              <w:t>Pend</w:t>
            </w:r>
            <w:r w:rsidR="00D90120" w:rsidRPr="00D90120">
              <w:rPr>
                <w:sz w:val="19"/>
                <w:szCs w:val="19"/>
              </w:rPr>
              <w:t>ien</w:t>
            </w:r>
            <w:r w:rsidRPr="00D90120">
              <w:rPr>
                <w:sz w:val="19"/>
                <w:szCs w:val="19"/>
              </w:rPr>
              <w:t>te aplazam</w:t>
            </w:r>
            <w:r w:rsidR="00672AEC">
              <w:rPr>
                <w:sz w:val="19"/>
                <w:szCs w:val="19"/>
              </w:rPr>
              <w:t>t</w:t>
            </w:r>
            <w:r w:rsidR="00D90120" w:rsidRPr="00D90120">
              <w:rPr>
                <w:sz w:val="19"/>
                <w:szCs w:val="19"/>
              </w:rPr>
              <w:t>.</w:t>
            </w:r>
          </w:p>
        </w:tc>
        <w:tc>
          <w:tcPr>
            <w:tcW w:w="2268" w:type="dxa"/>
            <w:tcBorders>
              <w:top w:val="single" w:sz="2" w:space="0" w:color="auto"/>
              <w:bottom w:val="single" w:sz="2" w:space="0" w:color="auto"/>
            </w:tcBorders>
            <w:vAlign w:val="center"/>
          </w:tcPr>
          <w:p w:rsidR="00420A0A" w:rsidRPr="00D90120" w:rsidRDefault="00420A0A" w:rsidP="00226C3E">
            <w:pPr>
              <w:pStyle w:val="cuatexto"/>
              <w:jc w:val="left"/>
              <w:rPr>
                <w:sz w:val="19"/>
                <w:szCs w:val="19"/>
              </w:rPr>
            </w:pPr>
            <w:r w:rsidRPr="00D90120">
              <w:rPr>
                <w:sz w:val="19"/>
                <w:szCs w:val="19"/>
              </w:rPr>
              <w:t>Retenciones e IVA</w:t>
            </w:r>
          </w:p>
        </w:tc>
        <w:tc>
          <w:tcPr>
            <w:tcW w:w="1276" w:type="dxa"/>
            <w:tcBorders>
              <w:top w:val="single" w:sz="2"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15.111.282</w:t>
            </w:r>
          </w:p>
        </w:tc>
        <w:tc>
          <w:tcPr>
            <w:tcW w:w="1134" w:type="dxa"/>
            <w:tcBorders>
              <w:top w:val="single" w:sz="2"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52.94</w:t>
            </w:r>
            <w:r w:rsidR="00BD2F85" w:rsidRPr="00D90120">
              <w:rPr>
                <w:sz w:val="19"/>
                <w:szCs w:val="19"/>
              </w:rPr>
              <w:t>3</w:t>
            </w:r>
          </w:p>
        </w:tc>
        <w:tc>
          <w:tcPr>
            <w:tcW w:w="1276" w:type="dxa"/>
            <w:tcBorders>
              <w:top w:val="single" w:sz="2"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384.394</w:t>
            </w:r>
          </w:p>
        </w:tc>
        <w:tc>
          <w:tcPr>
            <w:tcW w:w="1134" w:type="dxa"/>
            <w:tcBorders>
              <w:top w:val="single" w:sz="2" w:space="0" w:color="auto"/>
              <w:bottom w:val="single" w:sz="2" w:space="0" w:color="auto"/>
            </w:tcBorders>
            <w:vAlign w:val="center"/>
          </w:tcPr>
          <w:p w:rsidR="00420A0A" w:rsidRPr="00D90120" w:rsidRDefault="00420A0A" w:rsidP="00D90120">
            <w:pPr>
              <w:pStyle w:val="cuatexto"/>
              <w:jc w:val="right"/>
              <w:rPr>
                <w:sz w:val="19"/>
                <w:szCs w:val="19"/>
              </w:rPr>
            </w:pPr>
            <w:r w:rsidRPr="00D90120">
              <w:rPr>
                <w:sz w:val="19"/>
                <w:szCs w:val="19"/>
              </w:rPr>
              <w:t>15.548.618</w:t>
            </w:r>
          </w:p>
        </w:tc>
      </w:tr>
      <w:tr w:rsidR="00897122" w:rsidRPr="00D90120" w:rsidTr="00A56AFC">
        <w:trPr>
          <w:trHeight w:val="255"/>
        </w:trPr>
        <w:tc>
          <w:tcPr>
            <w:tcW w:w="4111" w:type="dxa"/>
            <w:gridSpan w:val="2"/>
            <w:tcBorders>
              <w:top w:val="single" w:sz="2" w:space="0" w:color="auto"/>
              <w:bottom w:val="single" w:sz="2" w:space="0" w:color="auto"/>
            </w:tcBorders>
            <w:vAlign w:val="center"/>
          </w:tcPr>
          <w:p w:rsidR="00897122" w:rsidRPr="00D90120" w:rsidRDefault="00897122" w:rsidP="00226C3E">
            <w:pPr>
              <w:pStyle w:val="cuatexto"/>
              <w:jc w:val="left"/>
              <w:rPr>
                <w:sz w:val="19"/>
                <w:szCs w:val="19"/>
              </w:rPr>
            </w:pPr>
            <w:r w:rsidRPr="00D90120">
              <w:rPr>
                <w:sz w:val="19"/>
                <w:szCs w:val="19"/>
              </w:rPr>
              <w:t>IVA y retenciones hasta 31/12/2014</w:t>
            </w:r>
          </w:p>
        </w:tc>
        <w:tc>
          <w:tcPr>
            <w:tcW w:w="1276" w:type="dxa"/>
            <w:tcBorders>
              <w:top w:val="single" w:sz="2" w:space="0" w:color="auto"/>
              <w:bottom w:val="single" w:sz="2" w:space="0" w:color="auto"/>
            </w:tcBorders>
            <w:vAlign w:val="center"/>
          </w:tcPr>
          <w:p w:rsidR="00897122" w:rsidRPr="00D90120" w:rsidRDefault="00897122" w:rsidP="00D90120">
            <w:pPr>
              <w:pStyle w:val="cuatexto"/>
              <w:jc w:val="right"/>
              <w:rPr>
                <w:sz w:val="19"/>
                <w:szCs w:val="19"/>
              </w:rPr>
            </w:pPr>
            <w:r w:rsidRPr="00D90120">
              <w:rPr>
                <w:sz w:val="19"/>
                <w:szCs w:val="19"/>
              </w:rPr>
              <w:t>1.160.000</w:t>
            </w:r>
          </w:p>
        </w:tc>
        <w:tc>
          <w:tcPr>
            <w:tcW w:w="1134" w:type="dxa"/>
            <w:tcBorders>
              <w:top w:val="single" w:sz="2" w:space="0" w:color="auto"/>
              <w:bottom w:val="single" w:sz="2" w:space="0" w:color="auto"/>
            </w:tcBorders>
            <w:vAlign w:val="center"/>
          </w:tcPr>
          <w:p w:rsidR="00897122" w:rsidRPr="00D90120" w:rsidRDefault="00897122" w:rsidP="00D90120">
            <w:pPr>
              <w:pStyle w:val="cuatexto"/>
              <w:jc w:val="right"/>
              <w:rPr>
                <w:sz w:val="19"/>
                <w:szCs w:val="19"/>
              </w:rPr>
            </w:pPr>
          </w:p>
        </w:tc>
        <w:tc>
          <w:tcPr>
            <w:tcW w:w="1276" w:type="dxa"/>
            <w:tcBorders>
              <w:top w:val="single" w:sz="2" w:space="0" w:color="auto"/>
              <w:bottom w:val="single" w:sz="2" w:space="0" w:color="auto"/>
            </w:tcBorders>
            <w:vAlign w:val="center"/>
          </w:tcPr>
          <w:p w:rsidR="00897122" w:rsidRPr="00D90120" w:rsidRDefault="00897122" w:rsidP="00D90120">
            <w:pPr>
              <w:pStyle w:val="cuatexto"/>
              <w:jc w:val="right"/>
              <w:rPr>
                <w:sz w:val="19"/>
                <w:szCs w:val="19"/>
              </w:rPr>
            </w:pPr>
          </w:p>
        </w:tc>
        <w:tc>
          <w:tcPr>
            <w:tcW w:w="1134" w:type="dxa"/>
            <w:tcBorders>
              <w:top w:val="single" w:sz="2" w:space="0" w:color="auto"/>
              <w:bottom w:val="single" w:sz="2" w:space="0" w:color="auto"/>
            </w:tcBorders>
            <w:vAlign w:val="center"/>
          </w:tcPr>
          <w:p w:rsidR="00897122" w:rsidRPr="00D90120" w:rsidRDefault="00897122" w:rsidP="00D90120">
            <w:pPr>
              <w:pStyle w:val="cuatexto"/>
              <w:jc w:val="right"/>
              <w:rPr>
                <w:sz w:val="19"/>
                <w:szCs w:val="19"/>
              </w:rPr>
            </w:pPr>
            <w:r w:rsidRPr="00D90120">
              <w:rPr>
                <w:sz w:val="19"/>
                <w:szCs w:val="19"/>
              </w:rPr>
              <w:t>1.160.000</w:t>
            </w:r>
          </w:p>
        </w:tc>
      </w:tr>
      <w:tr w:rsidR="00420A0A" w:rsidRPr="00D90120" w:rsidTr="00A56AFC">
        <w:trPr>
          <w:trHeight w:val="255"/>
        </w:trPr>
        <w:tc>
          <w:tcPr>
            <w:tcW w:w="1843" w:type="dxa"/>
            <w:tcBorders>
              <w:top w:val="single" w:sz="2" w:space="0" w:color="auto"/>
              <w:bottom w:val="single" w:sz="2" w:space="0" w:color="auto"/>
            </w:tcBorders>
            <w:shd w:val="clear" w:color="auto" w:fill="8DB3E2" w:themeFill="text2" w:themeFillTint="66"/>
            <w:vAlign w:val="center"/>
          </w:tcPr>
          <w:p w:rsidR="00420A0A" w:rsidRPr="00D90120" w:rsidRDefault="00420A0A" w:rsidP="00226C3E">
            <w:pPr>
              <w:pStyle w:val="cuadroCabe"/>
              <w:rPr>
                <w:sz w:val="17"/>
                <w:szCs w:val="17"/>
              </w:rPr>
            </w:pPr>
            <w:r w:rsidRPr="00D90120">
              <w:rPr>
                <w:sz w:val="17"/>
                <w:szCs w:val="17"/>
              </w:rPr>
              <w:t xml:space="preserve">Total </w:t>
            </w:r>
          </w:p>
        </w:tc>
        <w:tc>
          <w:tcPr>
            <w:tcW w:w="2268" w:type="dxa"/>
            <w:tcBorders>
              <w:top w:val="single" w:sz="2" w:space="0" w:color="auto"/>
              <w:bottom w:val="single" w:sz="2" w:space="0" w:color="auto"/>
            </w:tcBorders>
            <w:shd w:val="clear" w:color="auto" w:fill="8DB3E2" w:themeFill="text2" w:themeFillTint="66"/>
            <w:vAlign w:val="center"/>
          </w:tcPr>
          <w:p w:rsidR="00420A0A" w:rsidRPr="00D90120" w:rsidRDefault="00420A0A" w:rsidP="00226C3E">
            <w:pPr>
              <w:pStyle w:val="cuadroCabe"/>
              <w:rPr>
                <w:sz w:val="17"/>
                <w:szCs w:val="17"/>
              </w:rPr>
            </w:pPr>
          </w:p>
        </w:tc>
        <w:tc>
          <w:tcPr>
            <w:tcW w:w="1276" w:type="dxa"/>
            <w:tcBorders>
              <w:top w:val="single" w:sz="2" w:space="0" w:color="auto"/>
              <w:bottom w:val="single" w:sz="2" w:space="0" w:color="auto"/>
            </w:tcBorders>
            <w:shd w:val="clear" w:color="auto" w:fill="8DB3E2" w:themeFill="text2" w:themeFillTint="66"/>
            <w:vAlign w:val="center"/>
          </w:tcPr>
          <w:p w:rsidR="00420A0A" w:rsidRPr="00D90120" w:rsidRDefault="00420A0A" w:rsidP="00D90120">
            <w:pPr>
              <w:pStyle w:val="cuadroCabe"/>
              <w:jc w:val="right"/>
              <w:rPr>
                <w:sz w:val="17"/>
                <w:szCs w:val="17"/>
              </w:rPr>
            </w:pPr>
            <w:r w:rsidRPr="00D90120">
              <w:rPr>
                <w:sz w:val="17"/>
                <w:szCs w:val="17"/>
              </w:rPr>
              <w:t>46.875.000</w:t>
            </w:r>
          </w:p>
        </w:tc>
        <w:tc>
          <w:tcPr>
            <w:tcW w:w="1134" w:type="dxa"/>
            <w:tcBorders>
              <w:top w:val="single" w:sz="2" w:space="0" w:color="auto"/>
              <w:bottom w:val="single" w:sz="2" w:space="0" w:color="auto"/>
            </w:tcBorders>
            <w:shd w:val="clear" w:color="auto" w:fill="8DB3E2" w:themeFill="text2" w:themeFillTint="66"/>
            <w:vAlign w:val="center"/>
          </w:tcPr>
          <w:p w:rsidR="00420A0A" w:rsidRPr="00D90120" w:rsidRDefault="00BD2F85" w:rsidP="00D90120">
            <w:pPr>
              <w:pStyle w:val="cuadroCabe"/>
              <w:jc w:val="right"/>
              <w:rPr>
                <w:sz w:val="17"/>
                <w:szCs w:val="17"/>
              </w:rPr>
            </w:pPr>
            <w:r w:rsidRPr="00D90120">
              <w:rPr>
                <w:sz w:val="17"/>
                <w:szCs w:val="17"/>
              </w:rPr>
              <w:t>2.432.385</w:t>
            </w:r>
          </w:p>
        </w:tc>
        <w:tc>
          <w:tcPr>
            <w:tcW w:w="1276" w:type="dxa"/>
            <w:tcBorders>
              <w:top w:val="single" w:sz="2" w:space="0" w:color="auto"/>
              <w:bottom w:val="single" w:sz="2" w:space="0" w:color="auto"/>
            </w:tcBorders>
            <w:shd w:val="clear" w:color="auto" w:fill="8DB3E2" w:themeFill="text2" w:themeFillTint="66"/>
            <w:vAlign w:val="center"/>
          </w:tcPr>
          <w:p w:rsidR="00420A0A" w:rsidRPr="00D90120" w:rsidRDefault="00420A0A" w:rsidP="00D90120">
            <w:pPr>
              <w:pStyle w:val="cuadroCabe"/>
              <w:jc w:val="right"/>
              <w:rPr>
                <w:sz w:val="17"/>
                <w:szCs w:val="17"/>
              </w:rPr>
            </w:pPr>
            <w:r w:rsidRPr="00D90120">
              <w:rPr>
                <w:sz w:val="17"/>
                <w:szCs w:val="17"/>
              </w:rPr>
              <w:t>3.718.607</w:t>
            </w:r>
          </w:p>
        </w:tc>
        <w:tc>
          <w:tcPr>
            <w:tcW w:w="1134" w:type="dxa"/>
            <w:tcBorders>
              <w:top w:val="single" w:sz="2" w:space="0" w:color="auto"/>
              <w:bottom w:val="single" w:sz="2" w:space="0" w:color="auto"/>
            </w:tcBorders>
            <w:shd w:val="clear" w:color="auto" w:fill="8DB3E2" w:themeFill="text2" w:themeFillTint="66"/>
            <w:vAlign w:val="center"/>
          </w:tcPr>
          <w:p w:rsidR="00420A0A" w:rsidRPr="00D90120" w:rsidRDefault="00420A0A" w:rsidP="00D90120">
            <w:pPr>
              <w:pStyle w:val="cuadroCabe"/>
              <w:jc w:val="right"/>
              <w:rPr>
                <w:sz w:val="17"/>
                <w:szCs w:val="17"/>
              </w:rPr>
            </w:pPr>
            <w:r w:rsidRPr="00D90120">
              <w:rPr>
                <w:sz w:val="17"/>
                <w:szCs w:val="17"/>
              </w:rPr>
              <w:t>53.025.992</w:t>
            </w:r>
          </w:p>
        </w:tc>
      </w:tr>
    </w:tbl>
    <w:p w:rsidR="00420A0A" w:rsidRDefault="00420A0A" w:rsidP="00D90120">
      <w:pPr>
        <w:pStyle w:val="texto"/>
        <w:spacing w:after="0"/>
      </w:pPr>
    </w:p>
    <w:p w:rsidR="00420A0A" w:rsidRPr="00771C84" w:rsidRDefault="00420A0A" w:rsidP="00EF1ADE">
      <w:pPr>
        <w:pStyle w:val="texto"/>
        <w:tabs>
          <w:tab w:val="clear" w:pos="2835"/>
          <w:tab w:val="clear" w:pos="3969"/>
          <w:tab w:val="clear" w:pos="5103"/>
          <w:tab w:val="clear" w:pos="6237"/>
          <w:tab w:val="clear" w:pos="7371"/>
        </w:tabs>
        <w:rPr>
          <w:szCs w:val="26"/>
        </w:rPr>
      </w:pPr>
      <w:r w:rsidRPr="00771C84">
        <w:rPr>
          <w:szCs w:val="26"/>
        </w:rPr>
        <w:t xml:space="preserve">Según señala el artículo 6, la Ley Foral contempla la totalidad de la deuda tributaria del </w:t>
      </w:r>
      <w:r w:rsidR="00BD1836">
        <w:rPr>
          <w:szCs w:val="26"/>
        </w:rPr>
        <w:t>club</w:t>
      </w:r>
      <w:r w:rsidRPr="00771C84">
        <w:rPr>
          <w:szCs w:val="26"/>
        </w:rPr>
        <w:t xml:space="preserve"> con la Hacienda Foral a 31 de diciembre de 2014, la cual se extinguirá con el cumplimiento de las operaciones que regula la misma.</w:t>
      </w:r>
      <w:r w:rsidR="00EF1ADE" w:rsidRPr="00EF1ADE">
        <w:rPr>
          <w:szCs w:val="26"/>
        </w:rPr>
        <w:t xml:space="preserve"> </w:t>
      </w:r>
      <w:r w:rsidR="00EF1ADE">
        <w:rPr>
          <w:szCs w:val="26"/>
        </w:rPr>
        <w:t>Así</w:t>
      </w:r>
      <w:r w:rsidR="00E32A4F">
        <w:rPr>
          <w:szCs w:val="26"/>
        </w:rPr>
        <w:t>,</w:t>
      </w:r>
      <w:r w:rsidR="00EF1ADE">
        <w:rPr>
          <w:szCs w:val="26"/>
        </w:rPr>
        <w:t xml:space="preserve"> señala expresamente que quedan sin efecto los aplazamientos, fraccionamientos y</w:t>
      </w:r>
      <w:r w:rsidR="00320D9F">
        <w:rPr>
          <w:szCs w:val="26"/>
        </w:rPr>
        <w:t>/o</w:t>
      </w:r>
      <w:r w:rsidR="00EF1ADE">
        <w:rPr>
          <w:szCs w:val="26"/>
        </w:rPr>
        <w:t xml:space="preserve"> apremio</w:t>
      </w:r>
      <w:r w:rsidR="00320D9F">
        <w:rPr>
          <w:szCs w:val="26"/>
        </w:rPr>
        <w:t>s</w:t>
      </w:r>
      <w:r w:rsidR="00EF1ADE">
        <w:rPr>
          <w:szCs w:val="26"/>
        </w:rPr>
        <w:t xml:space="preserve"> aprobados sobre las deudas existentes a la citada fecha, quedando liberadas todas las garantías que se hubieran constituido en cumplimiento de tales resoluciones.</w:t>
      </w:r>
    </w:p>
    <w:p w:rsidR="00420A0A" w:rsidRPr="00770E9B" w:rsidRDefault="00420A0A" w:rsidP="00771C84">
      <w:pPr>
        <w:pStyle w:val="texto"/>
        <w:tabs>
          <w:tab w:val="clear" w:pos="2835"/>
          <w:tab w:val="clear" w:pos="3969"/>
          <w:tab w:val="clear" w:pos="5103"/>
          <w:tab w:val="clear" w:pos="6237"/>
          <w:tab w:val="clear" w:pos="7371"/>
        </w:tabs>
        <w:rPr>
          <w:b/>
          <w:szCs w:val="26"/>
        </w:rPr>
      </w:pPr>
      <w:r w:rsidRPr="00770E9B">
        <w:rPr>
          <w:b/>
          <w:szCs w:val="26"/>
        </w:rPr>
        <w:t>Extinción de la deuda y diferencial de la misma</w:t>
      </w:r>
    </w:p>
    <w:p w:rsidR="00420A0A" w:rsidRDefault="00420A0A" w:rsidP="005062EE">
      <w:pPr>
        <w:pStyle w:val="texto"/>
        <w:tabs>
          <w:tab w:val="clear" w:pos="2835"/>
          <w:tab w:val="clear" w:pos="3969"/>
          <w:tab w:val="clear" w:pos="5103"/>
          <w:tab w:val="clear" w:pos="6237"/>
          <w:tab w:val="clear" w:pos="7371"/>
        </w:tabs>
        <w:spacing w:after="240"/>
        <w:rPr>
          <w:szCs w:val="26"/>
        </w:rPr>
      </w:pPr>
      <w:r w:rsidRPr="00771C84">
        <w:rPr>
          <w:szCs w:val="26"/>
        </w:rPr>
        <w:t>Para satisfacer la deuda anterior, el club transmite a favor de la Comunidad Foral los siguientes bienes que están detallados en el anexo II de la Ley Foral</w:t>
      </w:r>
      <w:r w:rsidR="00E32A4F">
        <w:rPr>
          <w:szCs w:val="26"/>
        </w:rPr>
        <w:t>:</w:t>
      </w:r>
    </w:p>
    <w:tbl>
      <w:tblPr>
        <w:tblStyle w:val="Tablaconcuadrcula"/>
        <w:tblW w:w="888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9"/>
        <w:gridCol w:w="26"/>
        <w:gridCol w:w="1407"/>
        <w:gridCol w:w="40"/>
        <w:gridCol w:w="1367"/>
        <w:gridCol w:w="52"/>
        <w:gridCol w:w="568"/>
        <w:gridCol w:w="6"/>
        <w:gridCol w:w="637"/>
        <w:gridCol w:w="12"/>
        <w:gridCol w:w="574"/>
        <w:gridCol w:w="11"/>
        <w:gridCol w:w="718"/>
        <w:gridCol w:w="631"/>
      </w:tblGrid>
      <w:tr w:rsidR="00420A0A" w:rsidRPr="00667A7B" w:rsidTr="00A56AFC">
        <w:trPr>
          <w:trHeight w:val="113"/>
        </w:trPr>
        <w:tc>
          <w:tcPr>
            <w:tcW w:w="2839" w:type="dxa"/>
            <w:tcBorders>
              <w:top w:val="single" w:sz="4" w:space="0" w:color="auto"/>
              <w:bottom w:val="single" w:sz="4" w:space="0" w:color="auto"/>
            </w:tcBorders>
            <w:shd w:val="clear" w:color="auto" w:fill="8DB3E2" w:themeFill="text2" w:themeFillTint="66"/>
            <w:vAlign w:val="center"/>
          </w:tcPr>
          <w:p w:rsidR="00420A0A" w:rsidRPr="00667A7B" w:rsidRDefault="00420A0A" w:rsidP="005062EE">
            <w:pPr>
              <w:pStyle w:val="cuadroCabe"/>
              <w:jc w:val="left"/>
              <w:rPr>
                <w:sz w:val="17"/>
                <w:szCs w:val="17"/>
              </w:rPr>
            </w:pPr>
            <w:r w:rsidRPr="00667A7B">
              <w:rPr>
                <w:sz w:val="17"/>
                <w:szCs w:val="17"/>
              </w:rPr>
              <w:t>Denominación</w:t>
            </w:r>
          </w:p>
        </w:tc>
        <w:tc>
          <w:tcPr>
            <w:tcW w:w="1433" w:type="dxa"/>
            <w:gridSpan w:val="2"/>
            <w:tcBorders>
              <w:top w:val="single" w:sz="4" w:space="0" w:color="auto"/>
              <w:bottom w:val="single" w:sz="4" w:space="0" w:color="auto"/>
            </w:tcBorders>
            <w:shd w:val="clear" w:color="auto" w:fill="8DB3E2" w:themeFill="text2" w:themeFillTint="66"/>
            <w:vAlign w:val="center"/>
          </w:tcPr>
          <w:p w:rsidR="00420A0A" w:rsidRPr="00667A7B" w:rsidRDefault="00420A0A" w:rsidP="00667A7B">
            <w:pPr>
              <w:pStyle w:val="cuadroCabe"/>
              <w:jc w:val="right"/>
              <w:rPr>
                <w:sz w:val="17"/>
                <w:szCs w:val="17"/>
              </w:rPr>
            </w:pPr>
            <w:r w:rsidRPr="00667A7B">
              <w:rPr>
                <w:sz w:val="17"/>
                <w:szCs w:val="17"/>
              </w:rPr>
              <w:t>Ref. catastral</w:t>
            </w:r>
          </w:p>
        </w:tc>
        <w:tc>
          <w:tcPr>
            <w:tcW w:w="1407" w:type="dxa"/>
            <w:gridSpan w:val="2"/>
            <w:tcBorders>
              <w:top w:val="single" w:sz="4" w:space="0" w:color="auto"/>
              <w:bottom w:val="single" w:sz="4" w:space="0" w:color="auto"/>
            </w:tcBorders>
            <w:shd w:val="clear" w:color="auto" w:fill="8DB3E2" w:themeFill="text2" w:themeFillTint="66"/>
            <w:vAlign w:val="center"/>
          </w:tcPr>
          <w:p w:rsidR="00420A0A" w:rsidRPr="00667A7B" w:rsidRDefault="00420A0A" w:rsidP="00B34638">
            <w:pPr>
              <w:pStyle w:val="cuadroCabe"/>
              <w:jc w:val="right"/>
              <w:rPr>
                <w:sz w:val="17"/>
                <w:szCs w:val="17"/>
              </w:rPr>
            </w:pPr>
            <w:r w:rsidRPr="00667A7B">
              <w:rPr>
                <w:sz w:val="17"/>
                <w:szCs w:val="17"/>
              </w:rPr>
              <w:t>Reg.propied</w:t>
            </w:r>
            <w:r w:rsidR="00B34638">
              <w:rPr>
                <w:sz w:val="17"/>
                <w:szCs w:val="17"/>
              </w:rPr>
              <w:t>.</w:t>
            </w:r>
            <w:r w:rsidRPr="00667A7B">
              <w:rPr>
                <w:sz w:val="17"/>
                <w:szCs w:val="17"/>
              </w:rPr>
              <w:t xml:space="preserve"> /sección</w:t>
            </w:r>
          </w:p>
        </w:tc>
        <w:tc>
          <w:tcPr>
            <w:tcW w:w="620" w:type="dxa"/>
            <w:gridSpan w:val="2"/>
            <w:tcBorders>
              <w:top w:val="single" w:sz="4" w:space="0" w:color="auto"/>
              <w:bottom w:val="single" w:sz="4" w:space="0" w:color="auto"/>
            </w:tcBorders>
            <w:shd w:val="clear" w:color="auto" w:fill="8DB3E2" w:themeFill="text2" w:themeFillTint="66"/>
            <w:vAlign w:val="center"/>
          </w:tcPr>
          <w:p w:rsidR="00420A0A" w:rsidRPr="00667A7B" w:rsidRDefault="00420A0A" w:rsidP="00667A7B">
            <w:pPr>
              <w:pStyle w:val="cuadroCabe"/>
              <w:jc w:val="right"/>
              <w:rPr>
                <w:sz w:val="17"/>
                <w:szCs w:val="17"/>
              </w:rPr>
            </w:pPr>
            <w:r w:rsidRPr="00667A7B">
              <w:rPr>
                <w:sz w:val="17"/>
                <w:szCs w:val="17"/>
              </w:rPr>
              <w:t>libro</w:t>
            </w:r>
          </w:p>
        </w:tc>
        <w:tc>
          <w:tcPr>
            <w:tcW w:w="643" w:type="dxa"/>
            <w:gridSpan w:val="2"/>
            <w:tcBorders>
              <w:top w:val="single" w:sz="4" w:space="0" w:color="auto"/>
              <w:bottom w:val="single" w:sz="4" w:space="0" w:color="auto"/>
            </w:tcBorders>
            <w:shd w:val="clear" w:color="auto" w:fill="8DB3E2" w:themeFill="text2" w:themeFillTint="66"/>
            <w:vAlign w:val="center"/>
          </w:tcPr>
          <w:p w:rsidR="00420A0A" w:rsidRPr="00667A7B" w:rsidRDefault="00420A0A" w:rsidP="00667A7B">
            <w:pPr>
              <w:pStyle w:val="cuadroCabe"/>
              <w:jc w:val="right"/>
              <w:rPr>
                <w:sz w:val="17"/>
                <w:szCs w:val="17"/>
              </w:rPr>
            </w:pPr>
            <w:r w:rsidRPr="00667A7B">
              <w:rPr>
                <w:sz w:val="17"/>
                <w:szCs w:val="17"/>
              </w:rPr>
              <w:t>tomo</w:t>
            </w:r>
          </w:p>
        </w:tc>
        <w:tc>
          <w:tcPr>
            <w:tcW w:w="597" w:type="dxa"/>
            <w:gridSpan w:val="3"/>
            <w:tcBorders>
              <w:top w:val="single" w:sz="4" w:space="0" w:color="auto"/>
              <w:bottom w:val="single" w:sz="4" w:space="0" w:color="auto"/>
            </w:tcBorders>
            <w:shd w:val="clear" w:color="auto" w:fill="8DB3E2" w:themeFill="text2" w:themeFillTint="66"/>
            <w:vAlign w:val="center"/>
          </w:tcPr>
          <w:p w:rsidR="00420A0A" w:rsidRPr="00667A7B" w:rsidRDefault="00420A0A" w:rsidP="00667A7B">
            <w:pPr>
              <w:pStyle w:val="cuadroCabe"/>
              <w:jc w:val="right"/>
              <w:rPr>
                <w:sz w:val="17"/>
                <w:szCs w:val="17"/>
              </w:rPr>
            </w:pPr>
            <w:r w:rsidRPr="00667A7B">
              <w:rPr>
                <w:sz w:val="17"/>
                <w:szCs w:val="17"/>
              </w:rPr>
              <w:t>folio</w:t>
            </w:r>
          </w:p>
        </w:tc>
        <w:tc>
          <w:tcPr>
            <w:tcW w:w="718" w:type="dxa"/>
            <w:tcBorders>
              <w:top w:val="single" w:sz="4" w:space="0" w:color="auto"/>
              <w:bottom w:val="single" w:sz="4" w:space="0" w:color="auto"/>
            </w:tcBorders>
            <w:shd w:val="clear" w:color="auto" w:fill="8DB3E2" w:themeFill="text2" w:themeFillTint="66"/>
            <w:vAlign w:val="center"/>
          </w:tcPr>
          <w:p w:rsidR="00420A0A" w:rsidRPr="00667A7B" w:rsidRDefault="00420A0A" w:rsidP="00667A7B">
            <w:pPr>
              <w:pStyle w:val="cuadroCabe"/>
              <w:jc w:val="right"/>
              <w:rPr>
                <w:sz w:val="17"/>
                <w:szCs w:val="17"/>
              </w:rPr>
            </w:pPr>
            <w:r w:rsidRPr="00667A7B">
              <w:rPr>
                <w:sz w:val="17"/>
                <w:szCs w:val="17"/>
              </w:rPr>
              <w:t>finca</w:t>
            </w:r>
          </w:p>
        </w:tc>
        <w:tc>
          <w:tcPr>
            <w:tcW w:w="631" w:type="dxa"/>
            <w:tcBorders>
              <w:top w:val="single" w:sz="4" w:space="0" w:color="auto"/>
              <w:bottom w:val="single" w:sz="4" w:space="0" w:color="auto"/>
            </w:tcBorders>
            <w:shd w:val="clear" w:color="auto" w:fill="8DB3E2" w:themeFill="text2" w:themeFillTint="66"/>
            <w:vAlign w:val="center"/>
          </w:tcPr>
          <w:p w:rsidR="00420A0A" w:rsidRPr="00667A7B" w:rsidRDefault="00420A0A" w:rsidP="00667A7B">
            <w:pPr>
              <w:pStyle w:val="cuadroCabe"/>
              <w:jc w:val="right"/>
              <w:rPr>
                <w:sz w:val="17"/>
                <w:szCs w:val="17"/>
              </w:rPr>
            </w:pPr>
            <w:r w:rsidRPr="00667A7B">
              <w:rPr>
                <w:sz w:val="17"/>
                <w:szCs w:val="17"/>
              </w:rPr>
              <w:t>Insc</w:t>
            </w:r>
            <w:r w:rsidR="00667A7B" w:rsidRPr="00667A7B">
              <w:rPr>
                <w:sz w:val="17"/>
                <w:szCs w:val="17"/>
              </w:rPr>
              <w:t>.</w:t>
            </w:r>
          </w:p>
        </w:tc>
      </w:tr>
      <w:tr w:rsidR="00420A0A" w:rsidRPr="005062EE" w:rsidTr="00A56AFC">
        <w:trPr>
          <w:trHeight w:val="113"/>
        </w:trPr>
        <w:tc>
          <w:tcPr>
            <w:tcW w:w="2839" w:type="dxa"/>
            <w:tcBorders>
              <w:top w:val="single" w:sz="4" w:space="0" w:color="auto"/>
              <w:bottom w:val="single" w:sz="2" w:space="0" w:color="auto"/>
            </w:tcBorders>
            <w:vAlign w:val="center"/>
          </w:tcPr>
          <w:p w:rsidR="00420A0A" w:rsidRPr="005062EE" w:rsidRDefault="00420A0A" w:rsidP="005062EE">
            <w:pPr>
              <w:pStyle w:val="cuatexto"/>
              <w:jc w:val="left"/>
              <w:rPr>
                <w:sz w:val="19"/>
                <w:szCs w:val="19"/>
              </w:rPr>
            </w:pPr>
            <w:r w:rsidRPr="005062EE">
              <w:rPr>
                <w:sz w:val="19"/>
                <w:szCs w:val="19"/>
              </w:rPr>
              <w:t>Edificio dotacional deportivo terminado c/Sadar, 59-D (Pamplona)</w:t>
            </w:r>
          </w:p>
        </w:tc>
        <w:tc>
          <w:tcPr>
            <w:tcW w:w="1433" w:type="dxa"/>
            <w:gridSpan w:val="2"/>
            <w:tcBorders>
              <w:top w:val="single" w:sz="4" w:space="0" w:color="auto"/>
              <w:bottom w:val="single" w:sz="2" w:space="0" w:color="auto"/>
            </w:tcBorders>
            <w:vAlign w:val="center"/>
          </w:tcPr>
          <w:p w:rsidR="00420A0A" w:rsidRPr="00667A7B" w:rsidRDefault="00420A0A" w:rsidP="00226C3E">
            <w:pPr>
              <w:pStyle w:val="cuatexto"/>
              <w:rPr>
                <w:sz w:val="18"/>
                <w:szCs w:val="18"/>
              </w:rPr>
            </w:pPr>
            <w:r w:rsidRPr="00667A7B">
              <w:rPr>
                <w:sz w:val="18"/>
                <w:szCs w:val="18"/>
              </w:rPr>
              <w:t>05/1648/01/001</w:t>
            </w:r>
          </w:p>
        </w:tc>
        <w:tc>
          <w:tcPr>
            <w:tcW w:w="1407" w:type="dxa"/>
            <w:gridSpan w:val="2"/>
            <w:tcBorders>
              <w:top w:val="single" w:sz="4" w:space="0" w:color="auto"/>
              <w:bottom w:val="single" w:sz="2" w:space="0" w:color="auto"/>
            </w:tcBorders>
            <w:vAlign w:val="center"/>
          </w:tcPr>
          <w:p w:rsidR="00420A0A" w:rsidRPr="005062EE" w:rsidRDefault="00420A0A" w:rsidP="00226C3E">
            <w:pPr>
              <w:pStyle w:val="cuatexto"/>
              <w:rPr>
                <w:sz w:val="19"/>
                <w:szCs w:val="19"/>
              </w:rPr>
            </w:pPr>
            <w:r w:rsidRPr="005062EE">
              <w:rPr>
                <w:sz w:val="19"/>
                <w:szCs w:val="19"/>
              </w:rPr>
              <w:t>Nº 7 Pamplona</w:t>
            </w:r>
          </w:p>
        </w:tc>
        <w:tc>
          <w:tcPr>
            <w:tcW w:w="620" w:type="dxa"/>
            <w:gridSpan w:val="2"/>
            <w:tcBorders>
              <w:top w:val="single" w:sz="4" w:space="0" w:color="auto"/>
              <w:bottom w:val="single" w:sz="2" w:space="0" w:color="auto"/>
            </w:tcBorders>
            <w:vAlign w:val="center"/>
          </w:tcPr>
          <w:p w:rsidR="00420A0A" w:rsidRPr="005062EE" w:rsidRDefault="00420A0A" w:rsidP="00226C3E">
            <w:pPr>
              <w:pStyle w:val="cuatexto"/>
              <w:jc w:val="right"/>
              <w:rPr>
                <w:sz w:val="19"/>
                <w:szCs w:val="19"/>
              </w:rPr>
            </w:pPr>
            <w:r w:rsidRPr="005062EE">
              <w:rPr>
                <w:sz w:val="19"/>
                <w:szCs w:val="19"/>
              </w:rPr>
              <w:t>508</w:t>
            </w:r>
          </w:p>
        </w:tc>
        <w:tc>
          <w:tcPr>
            <w:tcW w:w="643" w:type="dxa"/>
            <w:gridSpan w:val="2"/>
            <w:tcBorders>
              <w:top w:val="single" w:sz="4" w:space="0" w:color="auto"/>
              <w:bottom w:val="single" w:sz="2" w:space="0" w:color="auto"/>
            </w:tcBorders>
            <w:vAlign w:val="center"/>
          </w:tcPr>
          <w:p w:rsidR="00420A0A" w:rsidRPr="005062EE" w:rsidRDefault="00420A0A" w:rsidP="00226C3E">
            <w:pPr>
              <w:pStyle w:val="cuatexto"/>
              <w:jc w:val="right"/>
              <w:rPr>
                <w:sz w:val="19"/>
                <w:szCs w:val="19"/>
              </w:rPr>
            </w:pPr>
            <w:r w:rsidRPr="005062EE">
              <w:rPr>
                <w:sz w:val="19"/>
                <w:szCs w:val="19"/>
              </w:rPr>
              <w:t>508</w:t>
            </w:r>
          </w:p>
        </w:tc>
        <w:tc>
          <w:tcPr>
            <w:tcW w:w="597" w:type="dxa"/>
            <w:gridSpan w:val="3"/>
            <w:tcBorders>
              <w:top w:val="single" w:sz="4" w:space="0" w:color="auto"/>
              <w:bottom w:val="single" w:sz="2" w:space="0" w:color="auto"/>
            </w:tcBorders>
            <w:vAlign w:val="center"/>
          </w:tcPr>
          <w:p w:rsidR="00420A0A" w:rsidRPr="005062EE" w:rsidRDefault="00420A0A" w:rsidP="00226C3E">
            <w:pPr>
              <w:pStyle w:val="cuatexto"/>
              <w:jc w:val="right"/>
              <w:rPr>
                <w:sz w:val="19"/>
                <w:szCs w:val="19"/>
              </w:rPr>
            </w:pPr>
            <w:r w:rsidRPr="005062EE">
              <w:rPr>
                <w:sz w:val="19"/>
                <w:szCs w:val="19"/>
              </w:rPr>
              <w:t>4</w:t>
            </w:r>
          </w:p>
        </w:tc>
        <w:tc>
          <w:tcPr>
            <w:tcW w:w="718" w:type="dxa"/>
            <w:tcBorders>
              <w:top w:val="single" w:sz="4" w:space="0" w:color="auto"/>
              <w:bottom w:val="single" w:sz="2" w:space="0" w:color="auto"/>
            </w:tcBorders>
            <w:vAlign w:val="center"/>
          </w:tcPr>
          <w:p w:rsidR="00420A0A" w:rsidRPr="005062EE" w:rsidRDefault="00420A0A" w:rsidP="00226C3E">
            <w:pPr>
              <w:pStyle w:val="cuatexto"/>
              <w:jc w:val="right"/>
              <w:rPr>
                <w:sz w:val="19"/>
                <w:szCs w:val="19"/>
              </w:rPr>
            </w:pPr>
            <w:r w:rsidRPr="005062EE">
              <w:rPr>
                <w:sz w:val="19"/>
                <w:szCs w:val="19"/>
              </w:rPr>
              <w:t>17394</w:t>
            </w:r>
          </w:p>
        </w:tc>
        <w:tc>
          <w:tcPr>
            <w:tcW w:w="631" w:type="dxa"/>
            <w:tcBorders>
              <w:top w:val="single" w:sz="4" w:space="0" w:color="auto"/>
              <w:bottom w:val="single" w:sz="2" w:space="0" w:color="auto"/>
            </w:tcBorders>
            <w:vAlign w:val="center"/>
          </w:tcPr>
          <w:p w:rsidR="00420A0A" w:rsidRPr="005062EE" w:rsidRDefault="00420A0A" w:rsidP="00226C3E">
            <w:pPr>
              <w:pStyle w:val="cuatexto"/>
              <w:jc w:val="right"/>
              <w:rPr>
                <w:sz w:val="19"/>
                <w:szCs w:val="19"/>
              </w:rPr>
            </w:pPr>
            <w:r w:rsidRPr="005062EE">
              <w:rPr>
                <w:sz w:val="19"/>
                <w:szCs w:val="19"/>
              </w:rPr>
              <w:t>2ª</w:t>
            </w:r>
          </w:p>
        </w:tc>
      </w:tr>
      <w:tr w:rsidR="00420A0A" w:rsidRPr="005062EE" w:rsidTr="00A56AFC">
        <w:trPr>
          <w:trHeight w:val="113"/>
        </w:trPr>
        <w:tc>
          <w:tcPr>
            <w:tcW w:w="2839" w:type="dxa"/>
            <w:tcBorders>
              <w:top w:val="single" w:sz="2" w:space="0" w:color="auto"/>
              <w:bottom w:val="single" w:sz="2" w:space="0" w:color="auto"/>
            </w:tcBorders>
            <w:vAlign w:val="center"/>
          </w:tcPr>
          <w:p w:rsidR="00420A0A" w:rsidRPr="005062EE" w:rsidRDefault="00420A0A" w:rsidP="005062EE">
            <w:pPr>
              <w:pStyle w:val="cuatexto"/>
              <w:jc w:val="left"/>
              <w:rPr>
                <w:sz w:val="19"/>
                <w:szCs w:val="19"/>
              </w:rPr>
            </w:pPr>
            <w:r w:rsidRPr="005062EE">
              <w:rPr>
                <w:sz w:val="19"/>
                <w:szCs w:val="19"/>
              </w:rPr>
              <w:t>Piso 2ºG c/Alfonso Batallador, 11 (Pamplona)</w:t>
            </w:r>
          </w:p>
        </w:tc>
        <w:tc>
          <w:tcPr>
            <w:tcW w:w="1433" w:type="dxa"/>
            <w:gridSpan w:val="2"/>
            <w:tcBorders>
              <w:top w:val="single" w:sz="2" w:space="0" w:color="auto"/>
              <w:bottom w:val="single" w:sz="2" w:space="0" w:color="auto"/>
            </w:tcBorders>
            <w:vAlign w:val="center"/>
          </w:tcPr>
          <w:p w:rsidR="00420A0A" w:rsidRPr="00667A7B" w:rsidRDefault="00420A0A" w:rsidP="00226C3E">
            <w:pPr>
              <w:pStyle w:val="cuatexto"/>
              <w:rPr>
                <w:sz w:val="18"/>
                <w:szCs w:val="18"/>
              </w:rPr>
            </w:pPr>
            <w:r w:rsidRPr="00667A7B">
              <w:rPr>
                <w:sz w:val="18"/>
                <w:szCs w:val="18"/>
              </w:rPr>
              <w:t>04/0199/01/034</w:t>
            </w:r>
          </w:p>
        </w:tc>
        <w:tc>
          <w:tcPr>
            <w:tcW w:w="1407" w:type="dxa"/>
            <w:gridSpan w:val="2"/>
            <w:tcBorders>
              <w:top w:val="single" w:sz="2" w:space="0" w:color="auto"/>
              <w:bottom w:val="single" w:sz="2" w:space="0" w:color="auto"/>
            </w:tcBorders>
            <w:vAlign w:val="center"/>
          </w:tcPr>
          <w:p w:rsidR="00420A0A" w:rsidRPr="005062EE" w:rsidRDefault="00420A0A" w:rsidP="00226C3E">
            <w:pPr>
              <w:pStyle w:val="cuatexto"/>
              <w:rPr>
                <w:sz w:val="19"/>
                <w:szCs w:val="19"/>
              </w:rPr>
            </w:pPr>
            <w:r w:rsidRPr="005062EE">
              <w:rPr>
                <w:sz w:val="19"/>
                <w:szCs w:val="19"/>
              </w:rPr>
              <w:t>Nº 2 Pamplona /segunda</w:t>
            </w:r>
          </w:p>
        </w:tc>
        <w:tc>
          <w:tcPr>
            <w:tcW w:w="620" w:type="dxa"/>
            <w:gridSpan w:val="2"/>
            <w:tcBorders>
              <w:top w:val="single" w:sz="2" w:space="0" w:color="auto"/>
              <w:bottom w:val="single" w:sz="2" w:space="0" w:color="auto"/>
            </w:tcBorders>
            <w:vAlign w:val="center"/>
          </w:tcPr>
          <w:p w:rsidR="00420A0A" w:rsidRPr="005062EE" w:rsidRDefault="00420A0A" w:rsidP="00226C3E">
            <w:pPr>
              <w:pStyle w:val="cuatexto"/>
              <w:jc w:val="right"/>
              <w:rPr>
                <w:sz w:val="19"/>
                <w:szCs w:val="19"/>
              </w:rPr>
            </w:pPr>
            <w:r w:rsidRPr="005062EE">
              <w:rPr>
                <w:sz w:val="19"/>
                <w:szCs w:val="19"/>
              </w:rPr>
              <w:t>333</w:t>
            </w:r>
          </w:p>
        </w:tc>
        <w:tc>
          <w:tcPr>
            <w:tcW w:w="643" w:type="dxa"/>
            <w:gridSpan w:val="2"/>
            <w:tcBorders>
              <w:top w:val="single" w:sz="2" w:space="0" w:color="auto"/>
              <w:bottom w:val="single" w:sz="2" w:space="0" w:color="auto"/>
            </w:tcBorders>
            <w:vAlign w:val="center"/>
          </w:tcPr>
          <w:p w:rsidR="00420A0A" w:rsidRPr="005062EE" w:rsidRDefault="00420A0A" w:rsidP="00226C3E">
            <w:pPr>
              <w:pStyle w:val="cuatexto"/>
              <w:jc w:val="right"/>
              <w:rPr>
                <w:sz w:val="19"/>
                <w:szCs w:val="19"/>
              </w:rPr>
            </w:pPr>
            <w:r w:rsidRPr="005062EE">
              <w:rPr>
                <w:sz w:val="19"/>
                <w:szCs w:val="19"/>
              </w:rPr>
              <w:t>4328</w:t>
            </w:r>
          </w:p>
        </w:tc>
        <w:tc>
          <w:tcPr>
            <w:tcW w:w="597" w:type="dxa"/>
            <w:gridSpan w:val="3"/>
            <w:tcBorders>
              <w:top w:val="single" w:sz="2" w:space="0" w:color="auto"/>
              <w:bottom w:val="single" w:sz="2" w:space="0" w:color="auto"/>
            </w:tcBorders>
            <w:vAlign w:val="center"/>
          </w:tcPr>
          <w:p w:rsidR="00420A0A" w:rsidRPr="005062EE" w:rsidRDefault="00420A0A" w:rsidP="00226C3E">
            <w:pPr>
              <w:pStyle w:val="cuatexto"/>
              <w:jc w:val="right"/>
              <w:rPr>
                <w:sz w:val="19"/>
                <w:szCs w:val="19"/>
              </w:rPr>
            </w:pPr>
            <w:r w:rsidRPr="005062EE">
              <w:rPr>
                <w:sz w:val="19"/>
                <w:szCs w:val="19"/>
              </w:rPr>
              <w:t>46</w:t>
            </w:r>
          </w:p>
        </w:tc>
        <w:tc>
          <w:tcPr>
            <w:tcW w:w="718" w:type="dxa"/>
            <w:tcBorders>
              <w:top w:val="single" w:sz="2" w:space="0" w:color="auto"/>
              <w:bottom w:val="single" w:sz="2" w:space="0" w:color="auto"/>
            </w:tcBorders>
            <w:vAlign w:val="center"/>
          </w:tcPr>
          <w:p w:rsidR="00420A0A" w:rsidRPr="005062EE" w:rsidRDefault="00420A0A" w:rsidP="00226C3E">
            <w:pPr>
              <w:pStyle w:val="cuatexto"/>
              <w:jc w:val="right"/>
              <w:rPr>
                <w:sz w:val="19"/>
                <w:szCs w:val="19"/>
              </w:rPr>
            </w:pPr>
            <w:r w:rsidRPr="005062EE">
              <w:rPr>
                <w:sz w:val="19"/>
                <w:szCs w:val="19"/>
              </w:rPr>
              <w:t>20175</w:t>
            </w:r>
          </w:p>
        </w:tc>
        <w:tc>
          <w:tcPr>
            <w:tcW w:w="631" w:type="dxa"/>
            <w:tcBorders>
              <w:top w:val="single" w:sz="2" w:space="0" w:color="auto"/>
              <w:bottom w:val="single" w:sz="2" w:space="0" w:color="auto"/>
            </w:tcBorders>
            <w:vAlign w:val="center"/>
          </w:tcPr>
          <w:p w:rsidR="00420A0A" w:rsidRPr="005062EE" w:rsidRDefault="00420A0A" w:rsidP="00226C3E">
            <w:pPr>
              <w:pStyle w:val="cuatexto"/>
              <w:jc w:val="right"/>
              <w:rPr>
                <w:sz w:val="19"/>
                <w:szCs w:val="19"/>
              </w:rPr>
            </w:pPr>
            <w:r w:rsidRPr="005062EE">
              <w:rPr>
                <w:sz w:val="19"/>
                <w:szCs w:val="19"/>
              </w:rPr>
              <w:t>3ª</w:t>
            </w:r>
          </w:p>
        </w:tc>
      </w:tr>
      <w:tr w:rsidR="00420A0A" w:rsidRPr="005062EE" w:rsidTr="00A56AFC">
        <w:trPr>
          <w:trHeight w:val="113"/>
        </w:trPr>
        <w:tc>
          <w:tcPr>
            <w:tcW w:w="2839" w:type="dxa"/>
            <w:tcBorders>
              <w:top w:val="single" w:sz="2" w:space="0" w:color="auto"/>
              <w:bottom w:val="single" w:sz="2" w:space="0" w:color="auto"/>
            </w:tcBorders>
            <w:vAlign w:val="center"/>
          </w:tcPr>
          <w:p w:rsidR="00420A0A" w:rsidRPr="005062EE" w:rsidRDefault="00420A0A" w:rsidP="005062EE">
            <w:pPr>
              <w:pStyle w:val="cuatexto"/>
              <w:jc w:val="left"/>
              <w:rPr>
                <w:sz w:val="19"/>
                <w:szCs w:val="19"/>
              </w:rPr>
            </w:pPr>
            <w:r w:rsidRPr="005062EE">
              <w:rPr>
                <w:sz w:val="19"/>
                <w:szCs w:val="19"/>
              </w:rPr>
              <w:t>Piso 2ºH c/Alfonso Batallador, 11 (Pamplona)</w:t>
            </w:r>
          </w:p>
        </w:tc>
        <w:tc>
          <w:tcPr>
            <w:tcW w:w="1433" w:type="dxa"/>
            <w:gridSpan w:val="2"/>
            <w:tcBorders>
              <w:top w:val="single" w:sz="2" w:space="0" w:color="auto"/>
              <w:bottom w:val="single" w:sz="2" w:space="0" w:color="auto"/>
            </w:tcBorders>
            <w:vAlign w:val="center"/>
          </w:tcPr>
          <w:p w:rsidR="00420A0A" w:rsidRPr="00667A7B" w:rsidRDefault="00420A0A" w:rsidP="00226C3E">
            <w:pPr>
              <w:pStyle w:val="cuatexto"/>
              <w:rPr>
                <w:sz w:val="18"/>
                <w:szCs w:val="18"/>
              </w:rPr>
            </w:pPr>
            <w:r w:rsidRPr="00667A7B">
              <w:rPr>
                <w:sz w:val="18"/>
                <w:szCs w:val="18"/>
              </w:rPr>
              <w:t>04/0199/01/035</w:t>
            </w:r>
          </w:p>
        </w:tc>
        <w:tc>
          <w:tcPr>
            <w:tcW w:w="1407" w:type="dxa"/>
            <w:gridSpan w:val="2"/>
            <w:tcBorders>
              <w:top w:val="single" w:sz="2" w:space="0" w:color="auto"/>
              <w:bottom w:val="single" w:sz="2" w:space="0" w:color="auto"/>
            </w:tcBorders>
            <w:vAlign w:val="center"/>
          </w:tcPr>
          <w:p w:rsidR="00420A0A" w:rsidRPr="005062EE" w:rsidRDefault="00420A0A" w:rsidP="00226C3E">
            <w:pPr>
              <w:pStyle w:val="cuatexto"/>
              <w:rPr>
                <w:sz w:val="19"/>
                <w:szCs w:val="19"/>
              </w:rPr>
            </w:pPr>
            <w:r w:rsidRPr="005062EE">
              <w:rPr>
                <w:sz w:val="19"/>
                <w:szCs w:val="19"/>
              </w:rPr>
              <w:t>Nº 2 Pamplona /segunda</w:t>
            </w:r>
          </w:p>
        </w:tc>
        <w:tc>
          <w:tcPr>
            <w:tcW w:w="620" w:type="dxa"/>
            <w:gridSpan w:val="2"/>
            <w:tcBorders>
              <w:top w:val="single" w:sz="2" w:space="0" w:color="auto"/>
              <w:bottom w:val="single" w:sz="2" w:space="0" w:color="auto"/>
            </w:tcBorders>
            <w:vAlign w:val="center"/>
          </w:tcPr>
          <w:p w:rsidR="00420A0A" w:rsidRPr="005062EE" w:rsidRDefault="00420A0A" w:rsidP="00226C3E">
            <w:pPr>
              <w:pStyle w:val="cuatexto"/>
              <w:jc w:val="right"/>
              <w:rPr>
                <w:sz w:val="19"/>
                <w:szCs w:val="19"/>
              </w:rPr>
            </w:pPr>
            <w:r w:rsidRPr="005062EE">
              <w:rPr>
                <w:sz w:val="19"/>
                <w:szCs w:val="19"/>
              </w:rPr>
              <w:t>333</w:t>
            </w:r>
          </w:p>
        </w:tc>
        <w:tc>
          <w:tcPr>
            <w:tcW w:w="643" w:type="dxa"/>
            <w:gridSpan w:val="2"/>
            <w:tcBorders>
              <w:top w:val="single" w:sz="2" w:space="0" w:color="auto"/>
              <w:bottom w:val="single" w:sz="2" w:space="0" w:color="auto"/>
            </w:tcBorders>
            <w:vAlign w:val="center"/>
          </w:tcPr>
          <w:p w:rsidR="00420A0A" w:rsidRPr="005062EE" w:rsidRDefault="00420A0A" w:rsidP="00226C3E">
            <w:pPr>
              <w:pStyle w:val="cuatexto"/>
              <w:jc w:val="right"/>
              <w:rPr>
                <w:sz w:val="19"/>
                <w:szCs w:val="19"/>
              </w:rPr>
            </w:pPr>
            <w:r w:rsidRPr="005062EE">
              <w:rPr>
                <w:sz w:val="19"/>
                <w:szCs w:val="19"/>
              </w:rPr>
              <w:t>4328</w:t>
            </w:r>
          </w:p>
        </w:tc>
        <w:tc>
          <w:tcPr>
            <w:tcW w:w="597" w:type="dxa"/>
            <w:gridSpan w:val="3"/>
            <w:tcBorders>
              <w:top w:val="single" w:sz="2" w:space="0" w:color="auto"/>
              <w:bottom w:val="single" w:sz="2" w:space="0" w:color="auto"/>
            </w:tcBorders>
            <w:vAlign w:val="center"/>
          </w:tcPr>
          <w:p w:rsidR="00420A0A" w:rsidRPr="005062EE" w:rsidRDefault="00420A0A" w:rsidP="00226C3E">
            <w:pPr>
              <w:pStyle w:val="cuatexto"/>
              <w:jc w:val="right"/>
              <w:rPr>
                <w:sz w:val="19"/>
                <w:szCs w:val="19"/>
              </w:rPr>
            </w:pPr>
            <w:r w:rsidRPr="005062EE">
              <w:rPr>
                <w:sz w:val="19"/>
                <w:szCs w:val="19"/>
              </w:rPr>
              <w:t>49</w:t>
            </w:r>
          </w:p>
        </w:tc>
        <w:tc>
          <w:tcPr>
            <w:tcW w:w="718" w:type="dxa"/>
            <w:tcBorders>
              <w:top w:val="single" w:sz="2" w:space="0" w:color="auto"/>
              <w:bottom w:val="single" w:sz="2" w:space="0" w:color="auto"/>
            </w:tcBorders>
            <w:vAlign w:val="center"/>
          </w:tcPr>
          <w:p w:rsidR="00420A0A" w:rsidRPr="005062EE" w:rsidRDefault="00420A0A" w:rsidP="00226C3E">
            <w:pPr>
              <w:pStyle w:val="cuatexto"/>
              <w:jc w:val="right"/>
              <w:rPr>
                <w:sz w:val="19"/>
                <w:szCs w:val="19"/>
              </w:rPr>
            </w:pPr>
            <w:r w:rsidRPr="005062EE">
              <w:rPr>
                <w:sz w:val="19"/>
                <w:szCs w:val="19"/>
              </w:rPr>
              <w:t>20177</w:t>
            </w:r>
          </w:p>
        </w:tc>
        <w:tc>
          <w:tcPr>
            <w:tcW w:w="631" w:type="dxa"/>
            <w:tcBorders>
              <w:top w:val="single" w:sz="2" w:space="0" w:color="auto"/>
              <w:bottom w:val="single" w:sz="2" w:space="0" w:color="auto"/>
            </w:tcBorders>
            <w:vAlign w:val="center"/>
          </w:tcPr>
          <w:p w:rsidR="00420A0A" w:rsidRPr="005062EE" w:rsidRDefault="00420A0A" w:rsidP="00226C3E">
            <w:pPr>
              <w:pStyle w:val="cuatexto"/>
              <w:jc w:val="right"/>
              <w:rPr>
                <w:sz w:val="19"/>
                <w:szCs w:val="19"/>
              </w:rPr>
            </w:pPr>
            <w:r w:rsidRPr="005062EE">
              <w:rPr>
                <w:sz w:val="19"/>
                <w:szCs w:val="19"/>
              </w:rPr>
              <w:t>3ª</w:t>
            </w:r>
          </w:p>
        </w:tc>
      </w:tr>
      <w:tr w:rsidR="00897122" w:rsidRPr="005062EE" w:rsidTr="00A56AFC">
        <w:trPr>
          <w:trHeight w:val="113"/>
        </w:trPr>
        <w:tc>
          <w:tcPr>
            <w:tcW w:w="2865" w:type="dxa"/>
            <w:gridSpan w:val="2"/>
            <w:tcBorders>
              <w:top w:val="single" w:sz="4" w:space="0" w:color="auto"/>
              <w:bottom w:val="single" w:sz="2" w:space="0" w:color="auto"/>
            </w:tcBorders>
            <w:vAlign w:val="center"/>
          </w:tcPr>
          <w:p w:rsidR="00897122" w:rsidRPr="005062EE" w:rsidRDefault="00897122" w:rsidP="00897122">
            <w:pPr>
              <w:pStyle w:val="cuatexto"/>
              <w:jc w:val="left"/>
              <w:rPr>
                <w:sz w:val="19"/>
                <w:szCs w:val="19"/>
              </w:rPr>
            </w:pPr>
            <w:r w:rsidRPr="005062EE">
              <w:rPr>
                <w:sz w:val="19"/>
                <w:szCs w:val="19"/>
              </w:rPr>
              <w:t xml:space="preserve">Edif. dotacional terminado y terreno Osasuna S-p Parcelas 571 y 819 Pol. 3 Tajonar (Aranguren) </w:t>
            </w:r>
          </w:p>
        </w:tc>
        <w:tc>
          <w:tcPr>
            <w:tcW w:w="1447" w:type="dxa"/>
            <w:gridSpan w:val="2"/>
            <w:tcBorders>
              <w:top w:val="single" w:sz="4" w:space="0" w:color="auto"/>
              <w:bottom w:val="single" w:sz="2" w:space="0" w:color="auto"/>
            </w:tcBorders>
            <w:vAlign w:val="center"/>
          </w:tcPr>
          <w:p w:rsidR="00897122" w:rsidRPr="005062EE" w:rsidRDefault="00897122" w:rsidP="00897122">
            <w:pPr>
              <w:pStyle w:val="cuatexto"/>
              <w:jc w:val="right"/>
              <w:rPr>
                <w:sz w:val="19"/>
                <w:szCs w:val="19"/>
              </w:rPr>
            </w:pPr>
          </w:p>
        </w:tc>
        <w:tc>
          <w:tcPr>
            <w:tcW w:w="1419" w:type="dxa"/>
            <w:gridSpan w:val="2"/>
            <w:tcBorders>
              <w:top w:val="single" w:sz="4" w:space="0" w:color="auto"/>
              <w:bottom w:val="single" w:sz="2" w:space="0" w:color="auto"/>
            </w:tcBorders>
            <w:vAlign w:val="center"/>
          </w:tcPr>
          <w:p w:rsidR="00897122" w:rsidRPr="005062EE" w:rsidRDefault="00897122" w:rsidP="00897122">
            <w:pPr>
              <w:pStyle w:val="cuatexto"/>
              <w:jc w:val="right"/>
              <w:rPr>
                <w:sz w:val="19"/>
                <w:szCs w:val="19"/>
              </w:rPr>
            </w:pPr>
            <w:r w:rsidRPr="005062EE">
              <w:rPr>
                <w:sz w:val="19"/>
                <w:szCs w:val="19"/>
              </w:rPr>
              <w:t>Nº 1 de Aoiz</w:t>
            </w:r>
          </w:p>
        </w:tc>
        <w:tc>
          <w:tcPr>
            <w:tcW w:w="574" w:type="dxa"/>
            <w:gridSpan w:val="2"/>
            <w:tcBorders>
              <w:top w:val="single" w:sz="4" w:space="0" w:color="auto"/>
              <w:bottom w:val="single" w:sz="2" w:space="0" w:color="auto"/>
            </w:tcBorders>
            <w:vAlign w:val="center"/>
          </w:tcPr>
          <w:p w:rsidR="00897122" w:rsidRPr="005062EE" w:rsidRDefault="00897122" w:rsidP="00897122">
            <w:pPr>
              <w:pStyle w:val="cuatexto"/>
              <w:jc w:val="right"/>
              <w:rPr>
                <w:sz w:val="19"/>
                <w:szCs w:val="19"/>
              </w:rPr>
            </w:pPr>
            <w:r w:rsidRPr="005062EE">
              <w:rPr>
                <w:sz w:val="19"/>
                <w:szCs w:val="19"/>
              </w:rPr>
              <w:t>177</w:t>
            </w:r>
          </w:p>
        </w:tc>
        <w:tc>
          <w:tcPr>
            <w:tcW w:w="649" w:type="dxa"/>
            <w:gridSpan w:val="2"/>
            <w:tcBorders>
              <w:top w:val="single" w:sz="4" w:space="0" w:color="auto"/>
              <w:bottom w:val="single" w:sz="2" w:space="0" w:color="auto"/>
            </w:tcBorders>
            <w:vAlign w:val="center"/>
          </w:tcPr>
          <w:p w:rsidR="00897122" w:rsidRPr="005062EE" w:rsidRDefault="00897122" w:rsidP="00897122">
            <w:pPr>
              <w:pStyle w:val="cuatexto"/>
              <w:jc w:val="right"/>
              <w:rPr>
                <w:sz w:val="19"/>
                <w:szCs w:val="19"/>
              </w:rPr>
            </w:pPr>
            <w:r w:rsidRPr="005062EE">
              <w:rPr>
                <w:sz w:val="19"/>
                <w:szCs w:val="19"/>
              </w:rPr>
              <w:t>3383</w:t>
            </w:r>
          </w:p>
        </w:tc>
        <w:tc>
          <w:tcPr>
            <w:tcW w:w="574" w:type="dxa"/>
            <w:tcBorders>
              <w:top w:val="single" w:sz="4" w:space="0" w:color="auto"/>
              <w:bottom w:val="single" w:sz="2" w:space="0" w:color="auto"/>
            </w:tcBorders>
            <w:vAlign w:val="center"/>
          </w:tcPr>
          <w:p w:rsidR="00897122" w:rsidRPr="005062EE" w:rsidRDefault="00897122" w:rsidP="00897122">
            <w:pPr>
              <w:pStyle w:val="cuatexto"/>
              <w:jc w:val="right"/>
              <w:rPr>
                <w:sz w:val="19"/>
                <w:szCs w:val="19"/>
              </w:rPr>
            </w:pPr>
            <w:r w:rsidRPr="005062EE">
              <w:rPr>
                <w:sz w:val="19"/>
                <w:szCs w:val="19"/>
              </w:rPr>
              <w:t>105</w:t>
            </w:r>
          </w:p>
        </w:tc>
        <w:tc>
          <w:tcPr>
            <w:tcW w:w="729" w:type="dxa"/>
            <w:gridSpan w:val="2"/>
            <w:tcBorders>
              <w:top w:val="single" w:sz="4" w:space="0" w:color="auto"/>
              <w:bottom w:val="single" w:sz="2" w:space="0" w:color="auto"/>
            </w:tcBorders>
            <w:vAlign w:val="center"/>
          </w:tcPr>
          <w:p w:rsidR="00897122" w:rsidRPr="005062EE" w:rsidRDefault="00897122" w:rsidP="00897122">
            <w:pPr>
              <w:pStyle w:val="cuatexto"/>
              <w:jc w:val="right"/>
              <w:rPr>
                <w:sz w:val="19"/>
                <w:szCs w:val="19"/>
              </w:rPr>
            </w:pPr>
            <w:r w:rsidRPr="005062EE">
              <w:rPr>
                <w:sz w:val="19"/>
                <w:szCs w:val="19"/>
              </w:rPr>
              <w:t>11039</w:t>
            </w:r>
          </w:p>
        </w:tc>
        <w:tc>
          <w:tcPr>
            <w:tcW w:w="631" w:type="dxa"/>
            <w:tcBorders>
              <w:top w:val="single" w:sz="4" w:space="0" w:color="auto"/>
              <w:bottom w:val="single" w:sz="2" w:space="0" w:color="auto"/>
            </w:tcBorders>
            <w:vAlign w:val="center"/>
          </w:tcPr>
          <w:p w:rsidR="00897122" w:rsidRPr="005062EE" w:rsidRDefault="00897122" w:rsidP="00897122">
            <w:pPr>
              <w:pStyle w:val="cuatexto"/>
              <w:jc w:val="right"/>
              <w:rPr>
                <w:sz w:val="19"/>
                <w:szCs w:val="19"/>
              </w:rPr>
            </w:pPr>
            <w:r>
              <w:rPr>
                <w:sz w:val="19"/>
                <w:szCs w:val="19"/>
              </w:rPr>
              <w:t>1</w:t>
            </w:r>
            <w:r w:rsidRPr="005062EE">
              <w:rPr>
                <w:sz w:val="19"/>
                <w:szCs w:val="19"/>
              </w:rPr>
              <w:t>ª</w:t>
            </w:r>
          </w:p>
        </w:tc>
      </w:tr>
    </w:tbl>
    <w:p w:rsidR="005062EE" w:rsidRDefault="005062EE"/>
    <w:tbl>
      <w:tblPr>
        <w:tblStyle w:val="Tablaconcuadrcula"/>
        <w:tblW w:w="888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8"/>
        <w:gridCol w:w="1448"/>
        <w:gridCol w:w="1420"/>
        <w:gridCol w:w="574"/>
        <w:gridCol w:w="649"/>
        <w:gridCol w:w="574"/>
        <w:gridCol w:w="724"/>
        <w:gridCol w:w="631"/>
      </w:tblGrid>
      <w:tr w:rsidR="005062EE" w:rsidRPr="00667A7B" w:rsidTr="00A56AFC">
        <w:tc>
          <w:tcPr>
            <w:tcW w:w="2868" w:type="dxa"/>
            <w:tcBorders>
              <w:top w:val="single" w:sz="4" w:space="0" w:color="auto"/>
              <w:bottom w:val="single" w:sz="4" w:space="0" w:color="auto"/>
            </w:tcBorders>
            <w:shd w:val="clear" w:color="auto" w:fill="8DB3E2" w:themeFill="text2" w:themeFillTint="66"/>
            <w:vAlign w:val="center"/>
          </w:tcPr>
          <w:p w:rsidR="005062EE" w:rsidRPr="00667A7B" w:rsidRDefault="005062EE" w:rsidP="005062EE">
            <w:pPr>
              <w:pStyle w:val="cuadroCabe"/>
              <w:jc w:val="left"/>
              <w:rPr>
                <w:sz w:val="17"/>
                <w:szCs w:val="17"/>
              </w:rPr>
            </w:pPr>
            <w:r w:rsidRPr="00667A7B">
              <w:rPr>
                <w:sz w:val="17"/>
                <w:szCs w:val="17"/>
              </w:rPr>
              <w:t>Denominación</w:t>
            </w:r>
          </w:p>
        </w:tc>
        <w:tc>
          <w:tcPr>
            <w:tcW w:w="1448" w:type="dxa"/>
            <w:tcBorders>
              <w:top w:val="single" w:sz="4" w:space="0" w:color="auto"/>
              <w:bottom w:val="single" w:sz="4" w:space="0" w:color="auto"/>
            </w:tcBorders>
            <w:shd w:val="clear" w:color="auto" w:fill="8DB3E2" w:themeFill="text2" w:themeFillTint="66"/>
            <w:vAlign w:val="center"/>
          </w:tcPr>
          <w:p w:rsidR="005062EE" w:rsidRPr="00667A7B" w:rsidRDefault="005062EE" w:rsidP="00667A7B">
            <w:pPr>
              <w:pStyle w:val="cuadroCabe"/>
              <w:jc w:val="right"/>
              <w:rPr>
                <w:sz w:val="17"/>
                <w:szCs w:val="17"/>
              </w:rPr>
            </w:pPr>
            <w:r w:rsidRPr="00667A7B">
              <w:rPr>
                <w:sz w:val="17"/>
                <w:szCs w:val="17"/>
              </w:rPr>
              <w:t>Ref. catastral</w:t>
            </w:r>
          </w:p>
        </w:tc>
        <w:tc>
          <w:tcPr>
            <w:tcW w:w="1420" w:type="dxa"/>
            <w:tcBorders>
              <w:top w:val="single" w:sz="4" w:space="0" w:color="auto"/>
              <w:bottom w:val="single" w:sz="4" w:space="0" w:color="auto"/>
            </w:tcBorders>
            <w:shd w:val="clear" w:color="auto" w:fill="8DB3E2" w:themeFill="text2" w:themeFillTint="66"/>
            <w:vAlign w:val="center"/>
          </w:tcPr>
          <w:p w:rsidR="005062EE" w:rsidRPr="00667A7B" w:rsidRDefault="00667A7B" w:rsidP="00B34638">
            <w:pPr>
              <w:pStyle w:val="cuadroCabe"/>
              <w:jc w:val="right"/>
              <w:rPr>
                <w:sz w:val="17"/>
                <w:szCs w:val="17"/>
              </w:rPr>
            </w:pPr>
            <w:r w:rsidRPr="00667A7B">
              <w:rPr>
                <w:sz w:val="17"/>
                <w:szCs w:val="17"/>
              </w:rPr>
              <w:t xml:space="preserve">Reg. </w:t>
            </w:r>
            <w:r w:rsidR="004145E8" w:rsidRPr="00667A7B">
              <w:rPr>
                <w:sz w:val="17"/>
                <w:szCs w:val="17"/>
              </w:rPr>
              <w:t>Propi</w:t>
            </w:r>
            <w:r w:rsidR="004145E8">
              <w:rPr>
                <w:sz w:val="17"/>
                <w:szCs w:val="17"/>
              </w:rPr>
              <w:t>edad</w:t>
            </w:r>
            <w:r w:rsidR="00B34638">
              <w:rPr>
                <w:sz w:val="17"/>
                <w:szCs w:val="17"/>
              </w:rPr>
              <w:t>.</w:t>
            </w:r>
            <w:r w:rsidR="005062EE" w:rsidRPr="00667A7B">
              <w:rPr>
                <w:sz w:val="17"/>
                <w:szCs w:val="17"/>
              </w:rPr>
              <w:t xml:space="preserve"> /sección</w:t>
            </w:r>
          </w:p>
        </w:tc>
        <w:tc>
          <w:tcPr>
            <w:tcW w:w="574" w:type="dxa"/>
            <w:tcBorders>
              <w:top w:val="single" w:sz="4" w:space="0" w:color="auto"/>
              <w:bottom w:val="single" w:sz="4" w:space="0" w:color="auto"/>
            </w:tcBorders>
            <w:shd w:val="clear" w:color="auto" w:fill="8DB3E2" w:themeFill="text2" w:themeFillTint="66"/>
            <w:vAlign w:val="center"/>
          </w:tcPr>
          <w:p w:rsidR="005062EE" w:rsidRPr="00667A7B" w:rsidRDefault="005062EE" w:rsidP="00667A7B">
            <w:pPr>
              <w:pStyle w:val="cuadroCabe"/>
              <w:jc w:val="right"/>
              <w:rPr>
                <w:sz w:val="17"/>
                <w:szCs w:val="17"/>
              </w:rPr>
            </w:pPr>
            <w:r w:rsidRPr="00667A7B">
              <w:rPr>
                <w:sz w:val="17"/>
                <w:szCs w:val="17"/>
              </w:rPr>
              <w:t>libro</w:t>
            </w:r>
          </w:p>
        </w:tc>
        <w:tc>
          <w:tcPr>
            <w:tcW w:w="649" w:type="dxa"/>
            <w:tcBorders>
              <w:top w:val="single" w:sz="4" w:space="0" w:color="auto"/>
              <w:bottom w:val="single" w:sz="4" w:space="0" w:color="auto"/>
            </w:tcBorders>
            <w:shd w:val="clear" w:color="auto" w:fill="8DB3E2" w:themeFill="text2" w:themeFillTint="66"/>
            <w:vAlign w:val="center"/>
          </w:tcPr>
          <w:p w:rsidR="005062EE" w:rsidRPr="00667A7B" w:rsidRDefault="005062EE" w:rsidP="00667A7B">
            <w:pPr>
              <w:pStyle w:val="cuadroCabe"/>
              <w:jc w:val="right"/>
              <w:rPr>
                <w:sz w:val="17"/>
                <w:szCs w:val="17"/>
              </w:rPr>
            </w:pPr>
            <w:r w:rsidRPr="00667A7B">
              <w:rPr>
                <w:sz w:val="17"/>
                <w:szCs w:val="17"/>
              </w:rPr>
              <w:t>tomo</w:t>
            </w:r>
          </w:p>
        </w:tc>
        <w:tc>
          <w:tcPr>
            <w:tcW w:w="574" w:type="dxa"/>
            <w:tcBorders>
              <w:top w:val="single" w:sz="4" w:space="0" w:color="auto"/>
              <w:bottom w:val="single" w:sz="4" w:space="0" w:color="auto"/>
            </w:tcBorders>
            <w:shd w:val="clear" w:color="auto" w:fill="8DB3E2" w:themeFill="text2" w:themeFillTint="66"/>
            <w:vAlign w:val="center"/>
          </w:tcPr>
          <w:p w:rsidR="005062EE" w:rsidRPr="00667A7B" w:rsidRDefault="005062EE" w:rsidP="00667A7B">
            <w:pPr>
              <w:pStyle w:val="cuadroCabe"/>
              <w:jc w:val="right"/>
              <w:rPr>
                <w:sz w:val="17"/>
                <w:szCs w:val="17"/>
              </w:rPr>
            </w:pPr>
            <w:r w:rsidRPr="00667A7B">
              <w:rPr>
                <w:sz w:val="17"/>
                <w:szCs w:val="17"/>
              </w:rPr>
              <w:t>folio</w:t>
            </w:r>
          </w:p>
        </w:tc>
        <w:tc>
          <w:tcPr>
            <w:tcW w:w="724" w:type="dxa"/>
            <w:tcBorders>
              <w:top w:val="single" w:sz="4" w:space="0" w:color="auto"/>
              <w:bottom w:val="single" w:sz="4" w:space="0" w:color="auto"/>
            </w:tcBorders>
            <w:shd w:val="clear" w:color="auto" w:fill="8DB3E2" w:themeFill="text2" w:themeFillTint="66"/>
            <w:vAlign w:val="center"/>
          </w:tcPr>
          <w:p w:rsidR="005062EE" w:rsidRPr="00667A7B" w:rsidRDefault="005062EE" w:rsidP="00667A7B">
            <w:pPr>
              <w:pStyle w:val="cuadroCabe"/>
              <w:jc w:val="right"/>
              <w:rPr>
                <w:sz w:val="17"/>
                <w:szCs w:val="17"/>
              </w:rPr>
            </w:pPr>
            <w:r w:rsidRPr="00667A7B">
              <w:rPr>
                <w:sz w:val="17"/>
                <w:szCs w:val="17"/>
              </w:rPr>
              <w:t>finca</w:t>
            </w:r>
          </w:p>
        </w:tc>
        <w:tc>
          <w:tcPr>
            <w:tcW w:w="631" w:type="dxa"/>
            <w:tcBorders>
              <w:top w:val="single" w:sz="4" w:space="0" w:color="auto"/>
              <w:bottom w:val="single" w:sz="4" w:space="0" w:color="auto"/>
            </w:tcBorders>
            <w:shd w:val="clear" w:color="auto" w:fill="8DB3E2" w:themeFill="text2" w:themeFillTint="66"/>
            <w:vAlign w:val="center"/>
          </w:tcPr>
          <w:p w:rsidR="005062EE" w:rsidRPr="00667A7B" w:rsidRDefault="005062EE" w:rsidP="00667A7B">
            <w:pPr>
              <w:pStyle w:val="cuadroCabe"/>
              <w:jc w:val="right"/>
              <w:rPr>
                <w:sz w:val="17"/>
                <w:szCs w:val="17"/>
              </w:rPr>
            </w:pPr>
            <w:r w:rsidRPr="00667A7B">
              <w:rPr>
                <w:sz w:val="17"/>
                <w:szCs w:val="17"/>
              </w:rPr>
              <w:t>Insc.</w:t>
            </w:r>
          </w:p>
        </w:tc>
      </w:tr>
      <w:tr w:rsidR="005062EE" w:rsidRPr="005062EE" w:rsidTr="00A56AFC">
        <w:tc>
          <w:tcPr>
            <w:tcW w:w="2868" w:type="dxa"/>
            <w:tcBorders>
              <w:top w:val="single" w:sz="2" w:space="0" w:color="auto"/>
              <w:bottom w:val="single" w:sz="2" w:space="0" w:color="auto"/>
            </w:tcBorders>
            <w:vAlign w:val="center"/>
          </w:tcPr>
          <w:p w:rsidR="005062EE" w:rsidRPr="005062EE" w:rsidRDefault="005062EE" w:rsidP="005062EE">
            <w:pPr>
              <w:pStyle w:val="cuatexto"/>
              <w:jc w:val="left"/>
              <w:rPr>
                <w:sz w:val="19"/>
                <w:szCs w:val="19"/>
              </w:rPr>
            </w:pPr>
            <w:r w:rsidRPr="005062EE">
              <w:rPr>
                <w:sz w:val="19"/>
                <w:szCs w:val="19"/>
              </w:rPr>
              <w:t>Suelo urbano no consolidado Terreno u.e. futuro parque empres. parcela 571 Tajonar (Aranguren)</w:t>
            </w:r>
          </w:p>
        </w:tc>
        <w:tc>
          <w:tcPr>
            <w:tcW w:w="1448" w:type="dxa"/>
            <w:tcBorders>
              <w:top w:val="single" w:sz="2" w:space="0" w:color="auto"/>
              <w:bottom w:val="single" w:sz="2" w:space="0" w:color="auto"/>
            </w:tcBorders>
            <w:vAlign w:val="center"/>
          </w:tcPr>
          <w:p w:rsidR="005062EE" w:rsidRPr="005062EE" w:rsidRDefault="005062EE" w:rsidP="00667A7B">
            <w:pPr>
              <w:pStyle w:val="cuatexto"/>
              <w:jc w:val="right"/>
              <w:rPr>
                <w:sz w:val="19"/>
                <w:szCs w:val="19"/>
              </w:rPr>
            </w:pPr>
            <w:r w:rsidRPr="005062EE">
              <w:rPr>
                <w:sz w:val="19"/>
                <w:szCs w:val="19"/>
              </w:rPr>
              <w:t>03/0571/02/001</w:t>
            </w:r>
          </w:p>
          <w:p w:rsidR="005062EE" w:rsidRPr="005062EE" w:rsidRDefault="009E7931" w:rsidP="00667A7B">
            <w:pPr>
              <w:pStyle w:val="cuatexto"/>
              <w:jc w:val="right"/>
              <w:rPr>
                <w:sz w:val="19"/>
                <w:szCs w:val="19"/>
              </w:rPr>
            </w:pPr>
            <w:r>
              <w:rPr>
                <w:sz w:val="19"/>
                <w:szCs w:val="19"/>
              </w:rPr>
              <w:t xml:space="preserve"> </w:t>
            </w:r>
            <w:r w:rsidR="005062EE" w:rsidRPr="005062EE">
              <w:rPr>
                <w:sz w:val="19"/>
                <w:szCs w:val="19"/>
              </w:rPr>
              <w:t>03/0571/03/001</w:t>
            </w:r>
            <w:r w:rsidR="005062EE" w:rsidRPr="005062EE">
              <w:rPr>
                <w:sz w:val="19"/>
                <w:szCs w:val="19"/>
              </w:rPr>
              <w:tab/>
              <w:t>Nº 1 de Aoiz</w:t>
            </w:r>
          </w:p>
        </w:tc>
        <w:tc>
          <w:tcPr>
            <w:tcW w:w="1420" w:type="dxa"/>
            <w:tcBorders>
              <w:top w:val="single" w:sz="2" w:space="0" w:color="auto"/>
              <w:bottom w:val="single" w:sz="2" w:space="0" w:color="auto"/>
            </w:tcBorders>
            <w:vAlign w:val="center"/>
          </w:tcPr>
          <w:p w:rsidR="005062EE" w:rsidRPr="005062EE" w:rsidRDefault="005062EE" w:rsidP="00667A7B">
            <w:pPr>
              <w:pStyle w:val="cuatexto"/>
              <w:jc w:val="right"/>
              <w:rPr>
                <w:sz w:val="19"/>
                <w:szCs w:val="19"/>
              </w:rPr>
            </w:pPr>
            <w:r w:rsidRPr="005062EE">
              <w:rPr>
                <w:sz w:val="19"/>
                <w:szCs w:val="19"/>
              </w:rPr>
              <w:t>Nº 1 de Aoiz</w:t>
            </w:r>
          </w:p>
        </w:tc>
        <w:tc>
          <w:tcPr>
            <w:tcW w:w="574" w:type="dxa"/>
            <w:tcBorders>
              <w:top w:val="single" w:sz="2" w:space="0" w:color="auto"/>
              <w:bottom w:val="single" w:sz="2" w:space="0" w:color="auto"/>
            </w:tcBorders>
            <w:vAlign w:val="center"/>
          </w:tcPr>
          <w:p w:rsidR="005062EE" w:rsidRPr="005062EE" w:rsidRDefault="005062EE" w:rsidP="00667A7B">
            <w:pPr>
              <w:pStyle w:val="cuatexto"/>
              <w:jc w:val="right"/>
              <w:rPr>
                <w:sz w:val="19"/>
                <w:szCs w:val="19"/>
              </w:rPr>
            </w:pPr>
            <w:r w:rsidRPr="005062EE">
              <w:rPr>
                <w:sz w:val="19"/>
                <w:szCs w:val="19"/>
              </w:rPr>
              <w:t>183</w:t>
            </w:r>
          </w:p>
        </w:tc>
        <w:tc>
          <w:tcPr>
            <w:tcW w:w="649" w:type="dxa"/>
            <w:tcBorders>
              <w:top w:val="single" w:sz="2" w:space="0" w:color="auto"/>
              <w:bottom w:val="single" w:sz="2" w:space="0" w:color="auto"/>
            </w:tcBorders>
            <w:vAlign w:val="center"/>
          </w:tcPr>
          <w:p w:rsidR="005062EE" w:rsidRPr="005062EE" w:rsidRDefault="005062EE" w:rsidP="00667A7B">
            <w:pPr>
              <w:pStyle w:val="cuatexto"/>
              <w:jc w:val="right"/>
              <w:rPr>
                <w:sz w:val="19"/>
                <w:szCs w:val="19"/>
              </w:rPr>
            </w:pPr>
            <w:r w:rsidRPr="005062EE">
              <w:rPr>
                <w:sz w:val="19"/>
                <w:szCs w:val="19"/>
              </w:rPr>
              <w:t>3431</w:t>
            </w:r>
          </w:p>
        </w:tc>
        <w:tc>
          <w:tcPr>
            <w:tcW w:w="574" w:type="dxa"/>
            <w:tcBorders>
              <w:top w:val="single" w:sz="2" w:space="0" w:color="auto"/>
              <w:bottom w:val="single" w:sz="2" w:space="0" w:color="auto"/>
            </w:tcBorders>
            <w:vAlign w:val="center"/>
          </w:tcPr>
          <w:p w:rsidR="005062EE" w:rsidRPr="005062EE" w:rsidRDefault="005062EE" w:rsidP="00667A7B">
            <w:pPr>
              <w:pStyle w:val="cuatexto"/>
              <w:jc w:val="right"/>
              <w:rPr>
                <w:sz w:val="19"/>
                <w:szCs w:val="19"/>
              </w:rPr>
            </w:pPr>
            <w:r w:rsidRPr="005062EE">
              <w:rPr>
                <w:sz w:val="19"/>
                <w:szCs w:val="19"/>
              </w:rPr>
              <w:t>172</w:t>
            </w:r>
          </w:p>
        </w:tc>
        <w:tc>
          <w:tcPr>
            <w:tcW w:w="724" w:type="dxa"/>
            <w:tcBorders>
              <w:top w:val="single" w:sz="2" w:space="0" w:color="auto"/>
              <w:bottom w:val="single" w:sz="2" w:space="0" w:color="auto"/>
            </w:tcBorders>
            <w:vAlign w:val="center"/>
          </w:tcPr>
          <w:p w:rsidR="005062EE" w:rsidRPr="005062EE" w:rsidRDefault="005062EE" w:rsidP="00667A7B">
            <w:pPr>
              <w:pStyle w:val="cuatexto"/>
              <w:jc w:val="right"/>
              <w:rPr>
                <w:sz w:val="19"/>
                <w:szCs w:val="19"/>
              </w:rPr>
            </w:pPr>
            <w:r w:rsidRPr="005062EE">
              <w:rPr>
                <w:sz w:val="19"/>
                <w:szCs w:val="19"/>
              </w:rPr>
              <w:t>11485</w:t>
            </w:r>
          </w:p>
        </w:tc>
        <w:tc>
          <w:tcPr>
            <w:tcW w:w="631" w:type="dxa"/>
            <w:tcBorders>
              <w:top w:val="single" w:sz="2" w:space="0" w:color="auto"/>
              <w:bottom w:val="single" w:sz="2" w:space="0" w:color="auto"/>
            </w:tcBorders>
            <w:vAlign w:val="center"/>
          </w:tcPr>
          <w:p w:rsidR="005062EE" w:rsidRPr="005062EE" w:rsidRDefault="005062EE" w:rsidP="00667A7B">
            <w:pPr>
              <w:pStyle w:val="cuatexto"/>
              <w:jc w:val="right"/>
              <w:rPr>
                <w:sz w:val="19"/>
                <w:szCs w:val="19"/>
              </w:rPr>
            </w:pPr>
            <w:r>
              <w:rPr>
                <w:sz w:val="19"/>
                <w:szCs w:val="19"/>
              </w:rPr>
              <w:t>1</w:t>
            </w:r>
            <w:r w:rsidRPr="005062EE">
              <w:rPr>
                <w:sz w:val="19"/>
                <w:szCs w:val="19"/>
              </w:rPr>
              <w:t>ª</w:t>
            </w:r>
          </w:p>
        </w:tc>
      </w:tr>
      <w:tr w:rsidR="005062EE" w:rsidRPr="005062EE" w:rsidTr="00A56AFC">
        <w:tc>
          <w:tcPr>
            <w:tcW w:w="2868" w:type="dxa"/>
            <w:tcBorders>
              <w:top w:val="single" w:sz="2" w:space="0" w:color="auto"/>
              <w:bottom w:val="single" w:sz="2" w:space="0" w:color="auto"/>
            </w:tcBorders>
            <w:vAlign w:val="center"/>
          </w:tcPr>
          <w:p w:rsidR="005062EE" w:rsidRPr="005062EE" w:rsidRDefault="005062EE" w:rsidP="005062EE">
            <w:pPr>
              <w:pStyle w:val="cuatexto"/>
              <w:jc w:val="left"/>
              <w:rPr>
                <w:sz w:val="19"/>
                <w:szCs w:val="19"/>
              </w:rPr>
            </w:pPr>
            <w:r w:rsidRPr="005062EE">
              <w:rPr>
                <w:sz w:val="19"/>
                <w:szCs w:val="19"/>
              </w:rPr>
              <w:t>Suelo urbanizable uso dotacional docente público unidad integrada XXIII, solar so-1 (Pamplona)</w:t>
            </w:r>
          </w:p>
        </w:tc>
        <w:tc>
          <w:tcPr>
            <w:tcW w:w="1448" w:type="dxa"/>
            <w:tcBorders>
              <w:top w:val="single" w:sz="2" w:space="0" w:color="auto"/>
              <w:bottom w:val="single" w:sz="2" w:space="0" w:color="auto"/>
            </w:tcBorders>
            <w:vAlign w:val="center"/>
          </w:tcPr>
          <w:p w:rsidR="005062EE" w:rsidRPr="005062EE" w:rsidRDefault="005062EE" w:rsidP="00667A7B">
            <w:pPr>
              <w:pStyle w:val="cuatexto"/>
              <w:jc w:val="right"/>
              <w:rPr>
                <w:sz w:val="19"/>
                <w:szCs w:val="19"/>
              </w:rPr>
            </w:pPr>
            <w:r w:rsidRPr="005062EE">
              <w:rPr>
                <w:sz w:val="19"/>
                <w:szCs w:val="19"/>
              </w:rPr>
              <w:t>05/1141/01/001</w:t>
            </w:r>
          </w:p>
        </w:tc>
        <w:tc>
          <w:tcPr>
            <w:tcW w:w="1420" w:type="dxa"/>
            <w:tcBorders>
              <w:top w:val="single" w:sz="2" w:space="0" w:color="auto"/>
              <w:bottom w:val="single" w:sz="2" w:space="0" w:color="auto"/>
            </w:tcBorders>
            <w:vAlign w:val="center"/>
          </w:tcPr>
          <w:p w:rsidR="005062EE" w:rsidRPr="005062EE" w:rsidRDefault="005062EE" w:rsidP="00667A7B">
            <w:pPr>
              <w:pStyle w:val="cuatexto"/>
              <w:jc w:val="right"/>
              <w:rPr>
                <w:sz w:val="19"/>
                <w:szCs w:val="19"/>
              </w:rPr>
            </w:pPr>
            <w:r w:rsidRPr="005062EE">
              <w:rPr>
                <w:sz w:val="19"/>
                <w:szCs w:val="19"/>
              </w:rPr>
              <w:t>Nº 7 Pamplona</w:t>
            </w:r>
          </w:p>
        </w:tc>
        <w:tc>
          <w:tcPr>
            <w:tcW w:w="574" w:type="dxa"/>
            <w:tcBorders>
              <w:top w:val="single" w:sz="2" w:space="0" w:color="auto"/>
              <w:bottom w:val="single" w:sz="2" w:space="0" w:color="auto"/>
            </w:tcBorders>
            <w:vAlign w:val="center"/>
          </w:tcPr>
          <w:p w:rsidR="005062EE" w:rsidRPr="005062EE" w:rsidRDefault="005062EE" w:rsidP="00667A7B">
            <w:pPr>
              <w:pStyle w:val="cuatexto"/>
              <w:jc w:val="right"/>
              <w:rPr>
                <w:sz w:val="19"/>
                <w:szCs w:val="19"/>
              </w:rPr>
            </w:pPr>
            <w:r w:rsidRPr="005062EE">
              <w:rPr>
                <w:sz w:val="19"/>
                <w:szCs w:val="19"/>
              </w:rPr>
              <w:t>162</w:t>
            </w:r>
          </w:p>
        </w:tc>
        <w:tc>
          <w:tcPr>
            <w:tcW w:w="649" w:type="dxa"/>
            <w:tcBorders>
              <w:top w:val="single" w:sz="2" w:space="0" w:color="auto"/>
              <w:bottom w:val="single" w:sz="2" w:space="0" w:color="auto"/>
            </w:tcBorders>
            <w:vAlign w:val="center"/>
          </w:tcPr>
          <w:p w:rsidR="005062EE" w:rsidRPr="005062EE" w:rsidRDefault="005062EE" w:rsidP="00667A7B">
            <w:pPr>
              <w:pStyle w:val="cuatexto"/>
              <w:jc w:val="right"/>
              <w:rPr>
                <w:sz w:val="19"/>
                <w:szCs w:val="19"/>
              </w:rPr>
            </w:pPr>
            <w:r w:rsidRPr="005062EE">
              <w:rPr>
                <w:sz w:val="19"/>
                <w:szCs w:val="19"/>
              </w:rPr>
              <w:t>369</w:t>
            </w:r>
          </w:p>
        </w:tc>
        <w:tc>
          <w:tcPr>
            <w:tcW w:w="574" w:type="dxa"/>
            <w:tcBorders>
              <w:top w:val="single" w:sz="2" w:space="0" w:color="auto"/>
              <w:bottom w:val="single" w:sz="2" w:space="0" w:color="auto"/>
            </w:tcBorders>
            <w:vAlign w:val="center"/>
          </w:tcPr>
          <w:p w:rsidR="005062EE" w:rsidRPr="005062EE" w:rsidRDefault="005062EE" w:rsidP="00667A7B">
            <w:pPr>
              <w:pStyle w:val="cuatexto"/>
              <w:jc w:val="right"/>
              <w:rPr>
                <w:sz w:val="19"/>
                <w:szCs w:val="19"/>
              </w:rPr>
            </w:pPr>
            <w:r w:rsidRPr="005062EE">
              <w:rPr>
                <w:sz w:val="19"/>
                <w:szCs w:val="19"/>
              </w:rPr>
              <w:t>126</w:t>
            </w:r>
          </w:p>
        </w:tc>
        <w:tc>
          <w:tcPr>
            <w:tcW w:w="724" w:type="dxa"/>
            <w:tcBorders>
              <w:top w:val="single" w:sz="2" w:space="0" w:color="auto"/>
              <w:bottom w:val="single" w:sz="2" w:space="0" w:color="auto"/>
            </w:tcBorders>
            <w:vAlign w:val="center"/>
          </w:tcPr>
          <w:p w:rsidR="005062EE" w:rsidRPr="005062EE" w:rsidRDefault="005062EE" w:rsidP="00667A7B">
            <w:pPr>
              <w:pStyle w:val="cuatexto"/>
              <w:jc w:val="right"/>
              <w:rPr>
                <w:sz w:val="19"/>
                <w:szCs w:val="19"/>
              </w:rPr>
            </w:pPr>
            <w:r w:rsidRPr="005062EE">
              <w:rPr>
                <w:sz w:val="19"/>
                <w:szCs w:val="19"/>
              </w:rPr>
              <w:t>9871</w:t>
            </w:r>
          </w:p>
        </w:tc>
        <w:tc>
          <w:tcPr>
            <w:tcW w:w="631" w:type="dxa"/>
            <w:tcBorders>
              <w:top w:val="single" w:sz="2" w:space="0" w:color="auto"/>
              <w:bottom w:val="single" w:sz="2" w:space="0" w:color="auto"/>
            </w:tcBorders>
            <w:vAlign w:val="center"/>
          </w:tcPr>
          <w:p w:rsidR="005062EE" w:rsidRPr="005062EE" w:rsidRDefault="005062EE" w:rsidP="00667A7B">
            <w:pPr>
              <w:pStyle w:val="cuatexto"/>
              <w:jc w:val="right"/>
              <w:rPr>
                <w:sz w:val="19"/>
                <w:szCs w:val="19"/>
              </w:rPr>
            </w:pPr>
            <w:r>
              <w:rPr>
                <w:sz w:val="19"/>
                <w:szCs w:val="19"/>
              </w:rPr>
              <w:t>6</w:t>
            </w:r>
            <w:r w:rsidRPr="005062EE">
              <w:rPr>
                <w:sz w:val="19"/>
                <w:szCs w:val="19"/>
              </w:rPr>
              <w:t>ª</w:t>
            </w:r>
          </w:p>
        </w:tc>
      </w:tr>
    </w:tbl>
    <w:p w:rsidR="005062EE" w:rsidRDefault="005062EE"/>
    <w:p w:rsidR="00866278" w:rsidRDefault="00420A0A" w:rsidP="00771C84">
      <w:pPr>
        <w:pStyle w:val="texto"/>
        <w:tabs>
          <w:tab w:val="clear" w:pos="2835"/>
          <w:tab w:val="clear" w:pos="3969"/>
          <w:tab w:val="clear" w:pos="5103"/>
          <w:tab w:val="clear" w:pos="6237"/>
          <w:tab w:val="clear" w:pos="7371"/>
        </w:tabs>
        <w:rPr>
          <w:szCs w:val="26"/>
        </w:rPr>
      </w:pPr>
      <w:r w:rsidRPr="00771C84">
        <w:rPr>
          <w:szCs w:val="26"/>
        </w:rPr>
        <w:t xml:space="preserve">Estos bienes se valorarán de acuerdo con un informe de tasación elaborado por un tercero independiente, </w:t>
      </w:r>
      <w:r w:rsidR="00320D9F">
        <w:rPr>
          <w:szCs w:val="26"/>
        </w:rPr>
        <w:t xml:space="preserve">cuya designación se realizará </w:t>
      </w:r>
      <w:r w:rsidRPr="00771C84">
        <w:rPr>
          <w:szCs w:val="26"/>
        </w:rPr>
        <w:t xml:space="preserve">de común acuerdo entre el Gobierno de Navarra y el citado </w:t>
      </w:r>
      <w:r w:rsidR="00927D1C">
        <w:rPr>
          <w:szCs w:val="26"/>
        </w:rPr>
        <w:t>c</w:t>
      </w:r>
      <w:r w:rsidRPr="00771C84">
        <w:rPr>
          <w:szCs w:val="26"/>
        </w:rPr>
        <w:t xml:space="preserve">lub. </w:t>
      </w:r>
      <w:r w:rsidR="0098757B">
        <w:rPr>
          <w:szCs w:val="26"/>
        </w:rPr>
        <w:t>No se hace mención al tratamiento dado a las cargas que soportan dichos bienes.</w:t>
      </w:r>
    </w:p>
    <w:p w:rsidR="00420A0A" w:rsidRPr="00771C84" w:rsidRDefault="0023437C" w:rsidP="00771C84">
      <w:pPr>
        <w:pStyle w:val="texto"/>
        <w:tabs>
          <w:tab w:val="clear" w:pos="2835"/>
          <w:tab w:val="clear" w:pos="3969"/>
          <w:tab w:val="clear" w:pos="5103"/>
          <w:tab w:val="clear" w:pos="6237"/>
          <w:tab w:val="clear" w:pos="7371"/>
        </w:tabs>
        <w:rPr>
          <w:szCs w:val="26"/>
        </w:rPr>
      </w:pPr>
      <w:r>
        <w:rPr>
          <w:szCs w:val="26"/>
        </w:rPr>
        <w:t>Asimismo</w:t>
      </w:r>
      <w:r w:rsidR="00420A0A" w:rsidRPr="00771C84">
        <w:rPr>
          <w:szCs w:val="26"/>
        </w:rPr>
        <w:t xml:space="preserve"> se declaran los mismos como “bienes de interés general” para la Comunidad Foral de Navarra.</w:t>
      </w:r>
    </w:p>
    <w:p w:rsidR="00420A0A" w:rsidRPr="00771C84" w:rsidRDefault="00420A0A" w:rsidP="00771C84">
      <w:pPr>
        <w:pStyle w:val="texto"/>
        <w:tabs>
          <w:tab w:val="clear" w:pos="2835"/>
          <w:tab w:val="clear" w:pos="3969"/>
          <w:tab w:val="clear" w:pos="5103"/>
          <w:tab w:val="clear" w:pos="6237"/>
          <w:tab w:val="clear" w:pos="7371"/>
        </w:tabs>
        <w:rPr>
          <w:szCs w:val="26"/>
        </w:rPr>
      </w:pPr>
      <w:r w:rsidRPr="00FA5A16">
        <w:rPr>
          <w:rFonts w:ascii="Times New (W1)" w:hAnsi="Times New (W1)"/>
          <w:spacing w:val="2"/>
          <w:szCs w:val="26"/>
        </w:rPr>
        <w:t>El diferencial entre la deuda tributaria no satisfecha con la entrega de los bienes anterior</w:t>
      </w:r>
      <w:r w:rsidR="00866278" w:rsidRPr="00FA5A16">
        <w:rPr>
          <w:rFonts w:ascii="Times New (W1)" w:hAnsi="Times New (W1)"/>
          <w:spacing w:val="2"/>
          <w:szCs w:val="26"/>
        </w:rPr>
        <w:t xml:space="preserve">es </w:t>
      </w:r>
      <w:r w:rsidR="006706E7" w:rsidRPr="00FA5A16">
        <w:rPr>
          <w:rFonts w:ascii="Times New (W1)" w:hAnsi="Times New (W1)"/>
          <w:spacing w:val="2"/>
          <w:szCs w:val="26"/>
        </w:rPr>
        <w:t>lo</w:t>
      </w:r>
      <w:r w:rsidRPr="00FA5A16">
        <w:rPr>
          <w:rFonts w:ascii="Times New (W1)" w:hAnsi="Times New (W1)"/>
          <w:spacing w:val="2"/>
          <w:szCs w:val="26"/>
        </w:rPr>
        <w:t xml:space="preserve"> abonará </w:t>
      </w:r>
      <w:r w:rsidR="006706E7" w:rsidRPr="00FA5A16">
        <w:rPr>
          <w:rFonts w:ascii="Times New (W1)" w:hAnsi="Times New (W1)"/>
          <w:spacing w:val="2"/>
          <w:szCs w:val="26"/>
        </w:rPr>
        <w:t>el c</w:t>
      </w:r>
      <w:r w:rsidRPr="00FA5A16">
        <w:rPr>
          <w:rFonts w:ascii="Times New (W1)" w:hAnsi="Times New (W1)"/>
          <w:spacing w:val="2"/>
          <w:szCs w:val="26"/>
        </w:rPr>
        <w:t>lub a la Hacienda Tributaria de la siguiente forma</w:t>
      </w:r>
      <w:r w:rsidRPr="00771C84">
        <w:rPr>
          <w:szCs w:val="26"/>
        </w:rPr>
        <w:t>:</w:t>
      </w:r>
    </w:p>
    <w:p w:rsidR="00420A0A" w:rsidRPr="00D535E0" w:rsidRDefault="00420A0A"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D535E0">
        <w:rPr>
          <w:szCs w:val="26"/>
        </w:rPr>
        <w:t>Mediante una moratoria de tres años sin intereses, salvo que ascienda a 1ª División, en cuyo caso tal moratoria quedará sin efecto y se exigirán los intereses correspondientes.</w:t>
      </w:r>
    </w:p>
    <w:p w:rsidR="00420A0A" w:rsidRPr="00D535E0" w:rsidRDefault="00420A0A"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D535E0">
        <w:rPr>
          <w:szCs w:val="26"/>
        </w:rPr>
        <w:t>Mediante un aplazamiento a un máximo de 30 años, afectando a sus pago</w:t>
      </w:r>
      <w:r w:rsidR="00771C84" w:rsidRPr="00D535E0">
        <w:rPr>
          <w:szCs w:val="26"/>
        </w:rPr>
        <w:t>s</w:t>
      </w:r>
      <w:r w:rsidRPr="00D535E0">
        <w:rPr>
          <w:szCs w:val="26"/>
        </w:rPr>
        <w:t xml:space="preserve"> los siguientes recursos:</w:t>
      </w:r>
    </w:p>
    <w:p w:rsidR="00420A0A" w:rsidRPr="001E2A02" w:rsidRDefault="001E2A02" w:rsidP="001E2A02">
      <w:pPr>
        <w:pStyle w:val="texto"/>
        <w:tabs>
          <w:tab w:val="clear" w:pos="2835"/>
          <w:tab w:val="clear" w:pos="3969"/>
          <w:tab w:val="clear" w:pos="5103"/>
          <w:tab w:val="clear" w:pos="6237"/>
          <w:tab w:val="clear" w:pos="7371"/>
        </w:tabs>
        <w:rPr>
          <w:szCs w:val="26"/>
        </w:rPr>
      </w:pPr>
      <w:r>
        <w:rPr>
          <w:szCs w:val="26"/>
        </w:rPr>
        <w:t xml:space="preserve">a) </w:t>
      </w:r>
      <w:r w:rsidR="00420A0A" w:rsidRPr="001E2A02">
        <w:rPr>
          <w:szCs w:val="26"/>
        </w:rPr>
        <w:t>El 25 por ciento de los derechos audiovisuales, que serán inmediatamente tra</w:t>
      </w:r>
      <w:r w:rsidR="00E32A4F">
        <w:rPr>
          <w:szCs w:val="26"/>
        </w:rPr>
        <w:t>n</w:t>
      </w:r>
      <w:r w:rsidR="00420A0A" w:rsidRPr="001E2A02">
        <w:rPr>
          <w:szCs w:val="26"/>
        </w:rPr>
        <w:t>sferidos a la Hacienda Foral conforme sean percibidas tras haber finalizado el periodo de moratoria.</w:t>
      </w:r>
    </w:p>
    <w:p w:rsidR="00420A0A" w:rsidRPr="001E2A02" w:rsidRDefault="001E2A02" w:rsidP="001E2A02">
      <w:pPr>
        <w:pStyle w:val="texto"/>
        <w:tabs>
          <w:tab w:val="clear" w:pos="2835"/>
          <w:tab w:val="clear" w:pos="3969"/>
          <w:tab w:val="clear" w:pos="5103"/>
          <w:tab w:val="clear" w:pos="6237"/>
          <w:tab w:val="clear" w:pos="7371"/>
        </w:tabs>
        <w:rPr>
          <w:szCs w:val="26"/>
        </w:rPr>
      </w:pPr>
      <w:r>
        <w:rPr>
          <w:szCs w:val="26"/>
        </w:rPr>
        <w:t xml:space="preserve">b) </w:t>
      </w:r>
      <w:r w:rsidR="00420A0A" w:rsidRPr="001E2A02">
        <w:rPr>
          <w:szCs w:val="26"/>
        </w:rPr>
        <w:t>El 25 por ciento de los derechos de traspaso de jugadores, que serán inmediatamente tra</w:t>
      </w:r>
      <w:r w:rsidR="00E32A4F">
        <w:rPr>
          <w:szCs w:val="26"/>
        </w:rPr>
        <w:t>n</w:t>
      </w:r>
      <w:r w:rsidR="00420A0A" w:rsidRPr="001E2A02">
        <w:rPr>
          <w:szCs w:val="26"/>
        </w:rPr>
        <w:t>sferidos a la Hacienda Foral conforme sean percibidas tras haber finalizado el periodo de moratoria.</w:t>
      </w:r>
    </w:p>
    <w:p w:rsidR="00420A0A" w:rsidRPr="00FA5A16" w:rsidRDefault="001E2A02" w:rsidP="001E2A02">
      <w:pPr>
        <w:pStyle w:val="texto"/>
        <w:tabs>
          <w:tab w:val="clear" w:pos="2835"/>
          <w:tab w:val="clear" w:pos="3969"/>
          <w:tab w:val="clear" w:pos="5103"/>
          <w:tab w:val="clear" w:pos="6237"/>
          <w:tab w:val="clear" w:pos="7371"/>
        </w:tabs>
        <w:rPr>
          <w:rFonts w:ascii="Times New (W1)" w:hAnsi="Times New (W1)"/>
          <w:spacing w:val="-10"/>
          <w:szCs w:val="26"/>
        </w:rPr>
      </w:pPr>
      <w:r>
        <w:rPr>
          <w:szCs w:val="26"/>
        </w:rPr>
        <w:t xml:space="preserve">c) </w:t>
      </w:r>
      <w:r w:rsidR="00420A0A" w:rsidRPr="00FA5A16">
        <w:rPr>
          <w:rFonts w:ascii="Times New (W1)" w:hAnsi="Times New (W1)"/>
          <w:spacing w:val="-10"/>
          <w:szCs w:val="26"/>
        </w:rPr>
        <w:t>El 100 por cien de las cantidades que perciba por patrocino del Gobierno de Navarra.</w:t>
      </w:r>
    </w:p>
    <w:p w:rsidR="00EF1ADE" w:rsidRPr="00770E9B" w:rsidRDefault="00DB7F5A" w:rsidP="00DB7F5A">
      <w:pPr>
        <w:pStyle w:val="texto"/>
        <w:tabs>
          <w:tab w:val="clear" w:pos="2835"/>
          <w:tab w:val="clear" w:pos="3969"/>
          <w:tab w:val="clear" w:pos="5103"/>
          <w:tab w:val="clear" w:pos="6237"/>
          <w:tab w:val="clear" w:pos="7371"/>
        </w:tabs>
        <w:rPr>
          <w:rFonts w:ascii="Times New (W1)" w:hAnsi="Times New (W1)"/>
          <w:spacing w:val="0"/>
          <w:szCs w:val="26"/>
        </w:rPr>
      </w:pPr>
      <w:r w:rsidRPr="00770E9B">
        <w:rPr>
          <w:rFonts w:ascii="Times New (W1)" w:hAnsi="Times New (W1)"/>
          <w:spacing w:val="0"/>
          <w:szCs w:val="26"/>
        </w:rPr>
        <w:t>No se hace mención</w:t>
      </w:r>
      <w:r w:rsidR="0092487A" w:rsidRPr="00770E9B">
        <w:rPr>
          <w:rFonts w:ascii="Times New (W1)" w:hAnsi="Times New (W1)"/>
          <w:spacing w:val="0"/>
          <w:szCs w:val="26"/>
        </w:rPr>
        <w:t xml:space="preserve"> expresa del</w:t>
      </w:r>
      <w:r w:rsidRPr="00770E9B">
        <w:rPr>
          <w:rFonts w:ascii="Times New (W1)" w:hAnsi="Times New (W1)"/>
          <w:spacing w:val="0"/>
          <w:szCs w:val="26"/>
        </w:rPr>
        <w:t xml:space="preserve"> tipo de interés que soportar</w:t>
      </w:r>
      <w:r w:rsidR="007F7DBF" w:rsidRPr="00770E9B">
        <w:rPr>
          <w:rFonts w:ascii="Times New (W1)" w:hAnsi="Times New (W1)"/>
          <w:spacing w:val="0"/>
          <w:szCs w:val="26"/>
        </w:rPr>
        <w:t>ía</w:t>
      </w:r>
      <w:r w:rsidRPr="00770E9B">
        <w:rPr>
          <w:rFonts w:ascii="Times New (W1)" w:hAnsi="Times New (W1)"/>
          <w:spacing w:val="0"/>
          <w:szCs w:val="26"/>
        </w:rPr>
        <w:t xml:space="preserve"> </w:t>
      </w:r>
      <w:r w:rsidR="001E1D08" w:rsidRPr="00770E9B">
        <w:rPr>
          <w:rFonts w:ascii="Times New (W1)" w:hAnsi="Times New (W1)"/>
          <w:spacing w:val="0"/>
          <w:szCs w:val="26"/>
        </w:rPr>
        <w:t>este</w:t>
      </w:r>
      <w:r w:rsidRPr="00770E9B">
        <w:rPr>
          <w:rFonts w:ascii="Times New (W1)" w:hAnsi="Times New (W1)"/>
          <w:spacing w:val="0"/>
          <w:szCs w:val="26"/>
        </w:rPr>
        <w:t xml:space="preserve"> aplazamiento. </w:t>
      </w:r>
    </w:p>
    <w:p w:rsidR="00420A0A" w:rsidRPr="00770E9B" w:rsidRDefault="00420A0A" w:rsidP="00771C84">
      <w:pPr>
        <w:pStyle w:val="texto"/>
        <w:tabs>
          <w:tab w:val="clear" w:pos="2835"/>
          <w:tab w:val="clear" w:pos="3969"/>
          <w:tab w:val="clear" w:pos="5103"/>
          <w:tab w:val="clear" w:pos="6237"/>
          <w:tab w:val="clear" w:pos="7371"/>
        </w:tabs>
        <w:rPr>
          <w:b/>
          <w:szCs w:val="26"/>
        </w:rPr>
      </w:pPr>
      <w:r w:rsidRPr="00770E9B">
        <w:rPr>
          <w:b/>
          <w:szCs w:val="26"/>
        </w:rPr>
        <w:t>Arrendamiento y cesión de uso</w:t>
      </w:r>
    </w:p>
    <w:p w:rsidR="00420A0A" w:rsidRPr="00771C84" w:rsidRDefault="00420A0A" w:rsidP="00771C84">
      <w:pPr>
        <w:pStyle w:val="texto"/>
        <w:tabs>
          <w:tab w:val="clear" w:pos="2835"/>
          <w:tab w:val="clear" w:pos="3969"/>
          <w:tab w:val="clear" w:pos="5103"/>
          <w:tab w:val="clear" w:pos="6237"/>
          <w:tab w:val="clear" w:pos="7371"/>
        </w:tabs>
        <w:rPr>
          <w:szCs w:val="26"/>
        </w:rPr>
      </w:pPr>
      <w:r w:rsidRPr="00771C84">
        <w:rPr>
          <w:szCs w:val="26"/>
        </w:rPr>
        <w:t>Se arrienda</w:t>
      </w:r>
      <w:r w:rsidR="006706E7">
        <w:rPr>
          <w:szCs w:val="26"/>
        </w:rPr>
        <w:t>n</w:t>
      </w:r>
      <w:r w:rsidRPr="00771C84">
        <w:rPr>
          <w:szCs w:val="26"/>
        </w:rPr>
        <w:t xml:space="preserve"> al </w:t>
      </w:r>
      <w:r w:rsidR="006706E7">
        <w:rPr>
          <w:szCs w:val="26"/>
        </w:rPr>
        <w:t>c</w:t>
      </w:r>
      <w:r w:rsidRPr="00771C84">
        <w:rPr>
          <w:szCs w:val="26"/>
        </w:rPr>
        <w:t xml:space="preserve">lub las fincas donde se ubican las instalaciones deportivas de Tajonar y la cesión de uso del </w:t>
      </w:r>
      <w:r w:rsidR="00F956C9">
        <w:rPr>
          <w:szCs w:val="26"/>
        </w:rPr>
        <w:t>e</w:t>
      </w:r>
      <w:r w:rsidRPr="00771C84">
        <w:rPr>
          <w:szCs w:val="26"/>
        </w:rPr>
        <w:t xml:space="preserve">stadio </w:t>
      </w:r>
      <w:r w:rsidR="006706E7">
        <w:rPr>
          <w:szCs w:val="26"/>
        </w:rPr>
        <w:t>E</w:t>
      </w:r>
      <w:r w:rsidRPr="00771C84">
        <w:rPr>
          <w:szCs w:val="26"/>
        </w:rPr>
        <w:t>l Sadar. Este contrato de arrendamiento y de cesión de uso tendrá una vigencia de 30 años.</w:t>
      </w:r>
    </w:p>
    <w:p w:rsidR="00420A0A" w:rsidRPr="00771C84" w:rsidRDefault="00420A0A" w:rsidP="00771C84">
      <w:pPr>
        <w:pStyle w:val="texto"/>
        <w:tabs>
          <w:tab w:val="clear" w:pos="2835"/>
          <w:tab w:val="clear" w:pos="3969"/>
          <w:tab w:val="clear" w:pos="5103"/>
          <w:tab w:val="clear" w:pos="6237"/>
          <w:tab w:val="clear" w:pos="7371"/>
        </w:tabs>
        <w:rPr>
          <w:szCs w:val="26"/>
        </w:rPr>
      </w:pPr>
      <w:r w:rsidRPr="00771C84">
        <w:rPr>
          <w:szCs w:val="26"/>
        </w:rPr>
        <w:t>La renta anual de las fincas arrendadas ascenderá a 75.000 euros –si continúa en 2ª División</w:t>
      </w:r>
      <w:r w:rsidR="006D5937">
        <w:rPr>
          <w:szCs w:val="26"/>
        </w:rPr>
        <w:t>–</w:t>
      </w:r>
      <w:r w:rsidRPr="00771C84">
        <w:rPr>
          <w:szCs w:val="26"/>
        </w:rPr>
        <w:t xml:space="preserve"> o de 150.000 euros –si asciende a 1ª División</w:t>
      </w:r>
      <w:r w:rsidR="006D5937">
        <w:rPr>
          <w:szCs w:val="26"/>
        </w:rPr>
        <w:t>–</w:t>
      </w:r>
      <w:r w:rsidRPr="00771C84">
        <w:rPr>
          <w:szCs w:val="26"/>
        </w:rPr>
        <w:t>. Esta renta se actualizará anualmente de acuerdo con la Ley de Arrendamientos Urbanos.</w:t>
      </w:r>
    </w:p>
    <w:p w:rsidR="00420A0A" w:rsidRPr="00771C84" w:rsidRDefault="00420A0A" w:rsidP="00771C84">
      <w:pPr>
        <w:pStyle w:val="texto"/>
        <w:tabs>
          <w:tab w:val="clear" w:pos="2835"/>
          <w:tab w:val="clear" w:pos="3969"/>
          <w:tab w:val="clear" w:pos="5103"/>
          <w:tab w:val="clear" w:pos="6237"/>
          <w:tab w:val="clear" w:pos="7371"/>
        </w:tabs>
        <w:rPr>
          <w:szCs w:val="26"/>
        </w:rPr>
      </w:pPr>
      <w:r w:rsidRPr="00771C84">
        <w:rPr>
          <w:szCs w:val="26"/>
        </w:rPr>
        <w:t xml:space="preserve">Todos los gastos de mantenimiento y conservación así como los de uso de las anteriores fincas serán por cuenta del </w:t>
      </w:r>
      <w:r w:rsidR="006706E7">
        <w:rPr>
          <w:szCs w:val="26"/>
        </w:rPr>
        <w:t>c</w:t>
      </w:r>
      <w:r w:rsidRPr="00771C84">
        <w:rPr>
          <w:szCs w:val="26"/>
        </w:rPr>
        <w:t>lub.</w:t>
      </w:r>
    </w:p>
    <w:p w:rsidR="00420A0A" w:rsidRPr="00771C84" w:rsidRDefault="00420A0A" w:rsidP="00771C84">
      <w:pPr>
        <w:pStyle w:val="texto"/>
        <w:tabs>
          <w:tab w:val="clear" w:pos="2835"/>
          <w:tab w:val="clear" w:pos="3969"/>
          <w:tab w:val="clear" w:pos="5103"/>
          <w:tab w:val="clear" w:pos="6237"/>
          <w:tab w:val="clear" w:pos="7371"/>
        </w:tabs>
        <w:rPr>
          <w:szCs w:val="26"/>
        </w:rPr>
      </w:pPr>
      <w:r w:rsidRPr="00771C84">
        <w:rPr>
          <w:szCs w:val="26"/>
        </w:rPr>
        <w:t xml:space="preserve">Igualmente el Gobierno se reserva un derecho preferente para promover actividades deportivo-culturales en las anteriores fincas, de acuerdo con el </w:t>
      </w:r>
      <w:r w:rsidR="006706E7">
        <w:rPr>
          <w:szCs w:val="26"/>
        </w:rPr>
        <w:t>c</w:t>
      </w:r>
      <w:r w:rsidRPr="00771C84">
        <w:rPr>
          <w:szCs w:val="26"/>
        </w:rPr>
        <w:t>lub.</w:t>
      </w:r>
    </w:p>
    <w:p w:rsidR="00420A0A" w:rsidRPr="00770E9B" w:rsidRDefault="00420A0A" w:rsidP="007D7049">
      <w:pPr>
        <w:pStyle w:val="texto"/>
        <w:tabs>
          <w:tab w:val="clear" w:pos="2835"/>
          <w:tab w:val="clear" w:pos="3969"/>
          <w:tab w:val="clear" w:pos="5103"/>
          <w:tab w:val="clear" w:pos="6237"/>
          <w:tab w:val="clear" w:pos="7371"/>
        </w:tabs>
        <w:rPr>
          <w:b/>
          <w:szCs w:val="26"/>
        </w:rPr>
      </w:pPr>
      <w:r w:rsidRPr="00770E9B">
        <w:rPr>
          <w:b/>
          <w:szCs w:val="26"/>
        </w:rPr>
        <w:t>Autorización de aval</w:t>
      </w:r>
    </w:p>
    <w:p w:rsidR="00420A0A" w:rsidRPr="00770E9B" w:rsidRDefault="00420A0A" w:rsidP="007D7049">
      <w:pPr>
        <w:pStyle w:val="texto"/>
        <w:tabs>
          <w:tab w:val="clear" w:pos="2835"/>
          <w:tab w:val="clear" w:pos="3969"/>
          <w:tab w:val="clear" w:pos="5103"/>
          <w:tab w:val="clear" w:pos="6237"/>
          <w:tab w:val="clear" w:pos="7371"/>
        </w:tabs>
        <w:rPr>
          <w:rFonts w:ascii="Times New (W1)" w:hAnsi="Times New (W1)"/>
          <w:spacing w:val="4"/>
          <w:szCs w:val="26"/>
        </w:rPr>
      </w:pPr>
      <w:r w:rsidRPr="00770E9B">
        <w:rPr>
          <w:rFonts w:ascii="Times New (W1)" w:hAnsi="Times New (W1)"/>
          <w:spacing w:val="4"/>
          <w:szCs w:val="26"/>
        </w:rPr>
        <w:t xml:space="preserve">Se autoriza al </w:t>
      </w:r>
      <w:r w:rsidR="00F956C9">
        <w:rPr>
          <w:rFonts w:ascii="Times New (W1)" w:hAnsi="Times New (W1)"/>
          <w:spacing w:val="4"/>
          <w:szCs w:val="26"/>
        </w:rPr>
        <w:t>d</w:t>
      </w:r>
      <w:r w:rsidRPr="00770E9B">
        <w:rPr>
          <w:rFonts w:ascii="Times New (W1)" w:hAnsi="Times New (W1)"/>
          <w:spacing w:val="4"/>
          <w:szCs w:val="26"/>
        </w:rPr>
        <w:t xml:space="preserve">epartamento de Economía y Hacienda al otorgamiento de un aval por importe máximo de </w:t>
      </w:r>
      <w:r w:rsidR="00F84B9D" w:rsidRPr="00770E9B">
        <w:rPr>
          <w:rFonts w:ascii="Times New (W1)" w:hAnsi="Times New (W1)"/>
          <w:spacing w:val="4"/>
          <w:szCs w:val="26"/>
        </w:rPr>
        <w:t>cuatro</w:t>
      </w:r>
      <w:r w:rsidRPr="00770E9B">
        <w:rPr>
          <w:rFonts w:ascii="Times New (W1)" w:hAnsi="Times New (W1)"/>
          <w:spacing w:val="4"/>
          <w:szCs w:val="26"/>
        </w:rPr>
        <w:t xml:space="preserve"> millones al objeto de garantizar las operaciones de endeudamiento que precise el </w:t>
      </w:r>
      <w:r w:rsidR="006706E7">
        <w:rPr>
          <w:rFonts w:ascii="Times New (W1)" w:hAnsi="Times New (W1)"/>
          <w:spacing w:val="4"/>
          <w:szCs w:val="26"/>
        </w:rPr>
        <w:t>c</w:t>
      </w:r>
      <w:r w:rsidRPr="00770E9B">
        <w:rPr>
          <w:rFonts w:ascii="Times New (W1)" w:hAnsi="Times New (W1)"/>
          <w:spacing w:val="4"/>
          <w:szCs w:val="26"/>
        </w:rPr>
        <w:t>lub. Este aval tendrá un plazo máximo de 15 años, terminando sus efectos una vez reintegradas las cantidades percibidas.</w:t>
      </w:r>
    </w:p>
    <w:p w:rsidR="00420A0A" w:rsidRPr="00770E9B" w:rsidRDefault="0092487A" w:rsidP="007D7049">
      <w:pPr>
        <w:pStyle w:val="texto"/>
        <w:tabs>
          <w:tab w:val="clear" w:pos="2835"/>
          <w:tab w:val="clear" w:pos="3969"/>
          <w:tab w:val="clear" w:pos="5103"/>
          <w:tab w:val="clear" w:pos="6237"/>
          <w:tab w:val="clear" w:pos="7371"/>
        </w:tabs>
        <w:rPr>
          <w:rFonts w:ascii="Times New (W1)" w:hAnsi="Times New (W1)"/>
          <w:spacing w:val="4"/>
          <w:szCs w:val="26"/>
        </w:rPr>
      </w:pPr>
      <w:r w:rsidRPr="00770E9B">
        <w:rPr>
          <w:rFonts w:ascii="Times New (W1)" w:hAnsi="Times New (W1)"/>
          <w:spacing w:val="4"/>
          <w:szCs w:val="26"/>
        </w:rPr>
        <w:t>S</w:t>
      </w:r>
      <w:r w:rsidR="00420A0A" w:rsidRPr="00770E9B">
        <w:rPr>
          <w:rFonts w:ascii="Times New (W1)" w:hAnsi="Times New (W1)"/>
          <w:spacing w:val="4"/>
          <w:szCs w:val="26"/>
        </w:rPr>
        <w:t xml:space="preserve">e indica que las condiciones de otorgamiento del mismo serán las que contempla la Ley Foral 1/2003, por la que se acordó la concesión al </w:t>
      </w:r>
      <w:r w:rsidR="006706E7">
        <w:rPr>
          <w:rFonts w:ascii="Times New (W1)" w:hAnsi="Times New (W1)"/>
          <w:spacing w:val="4"/>
          <w:szCs w:val="26"/>
        </w:rPr>
        <w:t>c</w:t>
      </w:r>
      <w:r w:rsidR="00420A0A" w:rsidRPr="00770E9B">
        <w:rPr>
          <w:rFonts w:ascii="Times New (W1)" w:hAnsi="Times New (W1)"/>
          <w:spacing w:val="4"/>
          <w:szCs w:val="26"/>
        </w:rPr>
        <w:t>lub de un aval de 18 millones. Igualmente</w:t>
      </w:r>
      <w:r w:rsidR="006706E7">
        <w:rPr>
          <w:rFonts w:ascii="Times New (W1)" w:hAnsi="Times New (W1)"/>
          <w:spacing w:val="4"/>
          <w:szCs w:val="26"/>
        </w:rPr>
        <w:t>,</w:t>
      </w:r>
      <w:r w:rsidR="00420A0A" w:rsidRPr="00770E9B">
        <w:rPr>
          <w:rFonts w:ascii="Times New (W1)" w:hAnsi="Times New (W1)"/>
          <w:spacing w:val="4"/>
          <w:szCs w:val="26"/>
        </w:rPr>
        <w:t xml:space="preserve"> se indica que en caso de novación de las operaciones de endeudamiento garantizadas por este aval de 18 millones, la garantía permanecerá vigente por un plazo máximo de 15 años desde dicha novación.  </w:t>
      </w:r>
    </w:p>
    <w:p w:rsidR="00420A0A" w:rsidRPr="00770E9B" w:rsidRDefault="00420A0A" w:rsidP="007D7049">
      <w:pPr>
        <w:pStyle w:val="texto"/>
        <w:tabs>
          <w:tab w:val="clear" w:pos="2835"/>
          <w:tab w:val="clear" w:pos="3969"/>
          <w:tab w:val="clear" w:pos="5103"/>
          <w:tab w:val="clear" w:pos="6237"/>
          <w:tab w:val="clear" w:pos="7371"/>
        </w:tabs>
        <w:rPr>
          <w:b/>
          <w:szCs w:val="26"/>
        </w:rPr>
      </w:pPr>
      <w:r w:rsidRPr="00770E9B">
        <w:rPr>
          <w:b/>
          <w:szCs w:val="26"/>
        </w:rPr>
        <w:t>Inspección y control y otros requisitos</w:t>
      </w:r>
    </w:p>
    <w:p w:rsidR="00420A0A" w:rsidRPr="007D7049" w:rsidRDefault="00420A0A" w:rsidP="007D7049">
      <w:pPr>
        <w:pStyle w:val="texto"/>
        <w:tabs>
          <w:tab w:val="clear" w:pos="2835"/>
          <w:tab w:val="clear" w:pos="3969"/>
          <w:tab w:val="clear" w:pos="5103"/>
          <w:tab w:val="clear" w:pos="6237"/>
          <w:tab w:val="clear" w:pos="7371"/>
        </w:tabs>
        <w:rPr>
          <w:szCs w:val="26"/>
        </w:rPr>
      </w:pPr>
      <w:r w:rsidRPr="007D7049">
        <w:rPr>
          <w:szCs w:val="26"/>
        </w:rPr>
        <w:t xml:space="preserve">El </w:t>
      </w:r>
      <w:r w:rsidR="006706E7">
        <w:rPr>
          <w:szCs w:val="26"/>
        </w:rPr>
        <w:t>c</w:t>
      </w:r>
      <w:r w:rsidRPr="007D7049">
        <w:rPr>
          <w:szCs w:val="26"/>
        </w:rPr>
        <w:t>lub se compromete a modificar sus estatutos para introducir en los mismos una Comisión de Control, que incluirá un representante de la Administración de la Comunidad Foral al objeto de “</w:t>
      </w:r>
      <w:r w:rsidRPr="00054BF0">
        <w:rPr>
          <w:szCs w:val="26"/>
        </w:rPr>
        <w:t xml:space="preserve">comprobar la solvencia del </w:t>
      </w:r>
      <w:r w:rsidR="00320D9F">
        <w:rPr>
          <w:szCs w:val="26"/>
        </w:rPr>
        <w:t>c</w:t>
      </w:r>
      <w:r w:rsidRPr="00054BF0">
        <w:rPr>
          <w:szCs w:val="26"/>
        </w:rPr>
        <w:t>lub y el cumplimiento de las obligaciones reguladas en esta Ley Foral, pudiendo verificar para ello todos los documentos que se consideren oportunos, hasta el completo pago de la deuda tributaria y la extinción de los avales</w:t>
      </w:r>
      <w:r w:rsidRPr="007D7049">
        <w:rPr>
          <w:szCs w:val="26"/>
        </w:rPr>
        <w:t>.”</w:t>
      </w:r>
    </w:p>
    <w:p w:rsidR="00420A0A" w:rsidRPr="007D7049" w:rsidRDefault="0092487A" w:rsidP="007D7049">
      <w:pPr>
        <w:pStyle w:val="texto"/>
        <w:tabs>
          <w:tab w:val="clear" w:pos="2835"/>
          <w:tab w:val="clear" w:pos="3969"/>
          <w:tab w:val="clear" w:pos="5103"/>
          <w:tab w:val="clear" w:pos="6237"/>
          <w:tab w:val="clear" w:pos="7371"/>
        </w:tabs>
        <w:rPr>
          <w:szCs w:val="26"/>
        </w:rPr>
      </w:pPr>
      <w:r w:rsidRPr="00F956C9">
        <w:rPr>
          <w:szCs w:val="26"/>
        </w:rPr>
        <w:t>En su artículo 7 señala</w:t>
      </w:r>
      <w:r w:rsidR="00420A0A" w:rsidRPr="00F956C9">
        <w:rPr>
          <w:szCs w:val="26"/>
        </w:rPr>
        <w:t xml:space="preserve"> que la aprobación de</w:t>
      </w:r>
      <w:r w:rsidR="00F84B9D" w:rsidRPr="00F956C9">
        <w:rPr>
          <w:szCs w:val="26"/>
        </w:rPr>
        <w:t xml:space="preserve"> la Ley</w:t>
      </w:r>
      <w:r w:rsidR="00420A0A" w:rsidRPr="00F956C9">
        <w:rPr>
          <w:szCs w:val="26"/>
        </w:rPr>
        <w:t xml:space="preserve"> no exime de responsabilidad a los anteriores administradores del </w:t>
      </w:r>
      <w:r w:rsidR="006706E7" w:rsidRPr="00F956C9">
        <w:rPr>
          <w:szCs w:val="26"/>
        </w:rPr>
        <w:t>c</w:t>
      </w:r>
      <w:r w:rsidR="00420A0A" w:rsidRPr="00F956C9">
        <w:rPr>
          <w:szCs w:val="26"/>
        </w:rPr>
        <w:t>lub por aquellos actos u omisiones que hubieren realizado en el desempeño de sus cargos interviniendo culpa o negligencia grave</w:t>
      </w:r>
      <w:r w:rsidR="00420A0A" w:rsidRPr="007D7049">
        <w:rPr>
          <w:szCs w:val="26"/>
        </w:rPr>
        <w:t>.</w:t>
      </w:r>
    </w:p>
    <w:p w:rsidR="00420A0A" w:rsidRPr="007D7049" w:rsidRDefault="00A23A7A" w:rsidP="007D7049">
      <w:pPr>
        <w:pStyle w:val="texto"/>
        <w:tabs>
          <w:tab w:val="clear" w:pos="2835"/>
          <w:tab w:val="clear" w:pos="3969"/>
          <w:tab w:val="clear" w:pos="5103"/>
          <w:tab w:val="clear" w:pos="6237"/>
          <w:tab w:val="clear" w:pos="7371"/>
        </w:tabs>
        <w:rPr>
          <w:szCs w:val="26"/>
        </w:rPr>
      </w:pPr>
      <w:r>
        <w:rPr>
          <w:szCs w:val="26"/>
        </w:rPr>
        <w:t>Igualmente contempla</w:t>
      </w:r>
      <w:r w:rsidR="00420A0A" w:rsidRPr="007D7049">
        <w:rPr>
          <w:szCs w:val="26"/>
        </w:rPr>
        <w:t xml:space="preserve"> los siguientes requisitos:</w:t>
      </w:r>
    </w:p>
    <w:p w:rsidR="00420A0A" w:rsidRPr="00D535E0" w:rsidRDefault="00275693"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Que e</w:t>
      </w:r>
      <w:r w:rsidR="00420A0A" w:rsidRPr="00D535E0">
        <w:rPr>
          <w:szCs w:val="26"/>
        </w:rPr>
        <w:t xml:space="preserve">l Gobierno de Navarra inste y acuerde con el </w:t>
      </w:r>
      <w:r w:rsidR="006706E7">
        <w:rPr>
          <w:szCs w:val="26"/>
        </w:rPr>
        <w:t>c</w:t>
      </w:r>
      <w:r w:rsidR="00420A0A" w:rsidRPr="00D535E0">
        <w:rPr>
          <w:szCs w:val="26"/>
        </w:rPr>
        <w:t xml:space="preserve">lub para que éste </w:t>
      </w:r>
      <w:r>
        <w:rPr>
          <w:szCs w:val="26"/>
        </w:rPr>
        <w:t>contrate</w:t>
      </w:r>
      <w:r w:rsidR="00420A0A" w:rsidRPr="00D535E0">
        <w:rPr>
          <w:szCs w:val="26"/>
        </w:rPr>
        <w:t xml:space="preserve">, a su cargo, </w:t>
      </w:r>
      <w:r w:rsidR="009F06B4" w:rsidRPr="00D535E0">
        <w:rPr>
          <w:szCs w:val="26"/>
        </w:rPr>
        <w:t xml:space="preserve">una auditoría externa </w:t>
      </w:r>
      <w:r w:rsidR="00420A0A" w:rsidRPr="00D535E0">
        <w:rPr>
          <w:szCs w:val="26"/>
        </w:rPr>
        <w:t>del periodo de 2005 a 2014. Dicha auditoría será remitida al Parlamento.</w:t>
      </w:r>
    </w:p>
    <w:p w:rsidR="00420A0A" w:rsidRPr="00D535E0" w:rsidRDefault="00275693"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Que e</w:t>
      </w:r>
      <w:r w:rsidR="00420A0A" w:rsidRPr="00D535E0">
        <w:rPr>
          <w:szCs w:val="26"/>
        </w:rPr>
        <w:t xml:space="preserve">l Gobierno de Navarra inste y acuerde con el </w:t>
      </w:r>
      <w:r w:rsidR="006706E7">
        <w:rPr>
          <w:szCs w:val="26"/>
        </w:rPr>
        <w:t>c</w:t>
      </w:r>
      <w:r w:rsidR="00420A0A" w:rsidRPr="00D535E0">
        <w:rPr>
          <w:szCs w:val="26"/>
        </w:rPr>
        <w:t>lub para que éste le remita los planes de viabilidad y cualquier cambio de su personalidad o situación jurídica, para su remisión posterior al Parlamento.</w:t>
      </w:r>
    </w:p>
    <w:p w:rsidR="007D7049" w:rsidRPr="00D535E0" w:rsidRDefault="00275693"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Que e</w:t>
      </w:r>
      <w:r w:rsidR="00420A0A" w:rsidRPr="00D535E0">
        <w:rPr>
          <w:szCs w:val="26"/>
        </w:rPr>
        <w:t>l Gobierno de Navarra solicit</w:t>
      </w:r>
      <w:r>
        <w:rPr>
          <w:szCs w:val="26"/>
        </w:rPr>
        <w:t>e</w:t>
      </w:r>
      <w:r w:rsidR="00420A0A" w:rsidRPr="00D535E0">
        <w:rPr>
          <w:szCs w:val="26"/>
        </w:rPr>
        <w:t xml:space="preserve"> a la Mesa del Parlamento pedir a la Cámara de Comptos el presente </w:t>
      </w:r>
      <w:r>
        <w:rPr>
          <w:szCs w:val="26"/>
        </w:rPr>
        <w:t>informe</w:t>
      </w:r>
      <w:r w:rsidR="00420A0A" w:rsidRPr="00D535E0">
        <w:rPr>
          <w:szCs w:val="26"/>
        </w:rPr>
        <w:t>.</w:t>
      </w:r>
    </w:p>
    <w:p w:rsidR="00866924" w:rsidRPr="005A247A" w:rsidRDefault="005A247A" w:rsidP="005A247A">
      <w:pPr>
        <w:pStyle w:val="texto"/>
        <w:tabs>
          <w:tab w:val="clear" w:pos="2835"/>
          <w:tab w:val="clear" w:pos="3969"/>
          <w:tab w:val="clear" w:pos="5103"/>
          <w:tab w:val="clear" w:pos="6237"/>
          <w:tab w:val="clear" w:pos="7371"/>
        </w:tabs>
        <w:rPr>
          <w:szCs w:val="26"/>
        </w:rPr>
      </w:pPr>
      <w:bookmarkStart w:id="14" w:name="_Toc309383712"/>
      <w:bookmarkStart w:id="15" w:name="_Toc339016601"/>
      <w:r w:rsidRPr="005A247A">
        <w:rPr>
          <w:szCs w:val="26"/>
        </w:rPr>
        <w:t>Por último hemos de indicar que est</w:t>
      </w:r>
      <w:r w:rsidR="006706E7">
        <w:rPr>
          <w:szCs w:val="26"/>
        </w:rPr>
        <w:t>a</w:t>
      </w:r>
      <w:r w:rsidRPr="005A247A">
        <w:rPr>
          <w:szCs w:val="26"/>
        </w:rPr>
        <w:t xml:space="preserve"> Ley Foral fue denunciada</w:t>
      </w:r>
      <w:r w:rsidR="009918FE">
        <w:rPr>
          <w:szCs w:val="26"/>
        </w:rPr>
        <w:t xml:space="preserve"> de forma anónima</w:t>
      </w:r>
      <w:r w:rsidRPr="005A247A">
        <w:rPr>
          <w:szCs w:val="26"/>
        </w:rPr>
        <w:t xml:space="preserve"> ante la Comisión Europea por su posible consideración como “ayuda de estado”. En abril de 2015, la </w:t>
      </w:r>
      <w:r w:rsidR="00CF001D">
        <w:rPr>
          <w:szCs w:val="26"/>
        </w:rPr>
        <w:t xml:space="preserve">Dirección General de la Competencia de la </w:t>
      </w:r>
      <w:r w:rsidRPr="005A247A">
        <w:rPr>
          <w:szCs w:val="26"/>
        </w:rPr>
        <w:t xml:space="preserve">citada Comisión </w:t>
      </w:r>
      <w:r w:rsidR="00CF001D">
        <w:rPr>
          <w:szCs w:val="26"/>
        </w:rPr>
        <w:t>comunica el</w:t>
      </w:r>
      <w:r w:rsidRPr="005A247A">
        <w:rPr>
          <w:szCs w:val="26"/>
        </w:rPr>
        <w:t xml:space="preserve"> archiv</w:t>
      </w:r>
      <w:r w:rsidR="00CF001D">
        <w:rPr>
          <w:szCs w:val="26"/>
        </w:rPr>
        <w:t>o de</w:t>
      </w:r>
      <w:r w:rsidRPr="005A247A">
        <w:rPr>
          <w:szCs w:val="26"/>
        </w:rPr>
        <w:t xml:space="preserve"> tal denun</w:t>
      </w:r>
      <w:r w:rsidR="00CF001D">
        <w:rPr>
          <w:szCs w:val="26"/>
        </w:rPr>
        <w:t>cia, sin perjuicio de que “</w:t>
      </w:r>
      <w:r w:rsidR="00CF001D" w:rsidRPr="00054BF0">
        <w:rPr>
          <w:szCs w:val="26"/>
        </w:rPr>
        <w:t>podrá reexaminarse el asunto si el denunciante vuelve con nueva evidencia o si surge nueva evidencia de una u otra manera</w:t>
      </w:r>
      <w:r w:rsidR="00CF001D">
        <w:rPr>
          <w:szCs w:val="26"/>
        </w:rPr>
        <w:t>”.</w:t>
      </w:r>
      <w:r w:rsidR="00866924" w:rsidRPr="005A247A">
        <w:rPr>
          <w:szCs w:val="26"/>
        </w:rPr>
        <w:br w:type="page"/>
      </w:r>
    </w:p>
    <w:p w:rsidR="00882BEB" w:rsidRPr="00DF51AE" w:rsidRDefault="00882BEB" w:rsidP="00DF51AE">
      <w:pPr>
        <w:pStyle w:val="atitulo1"/>
      </w:pPr>
      <w:bookmarkStart w:id="16" w:name="_Toc425926949"/>
      <w:bookmarkEnd w:id="14"/>
      <w:bookmarkEnd w:id="15"/>
      <w:r w:rsidRPr="00DF51AE">
        <w:t xml:space="preserve">IV. </w:t>
      </w:r>
      <w:r w:rsidR="00F8186E">
        <w:t>Conclusiones</w:t>
      </w:r>
      <w:bookmarkEnd w:id="7"/>
      <w:bookmarkEnd w:id="8"/>
      <w:bookmarkEnd w:id="9"/>
      <w:bookmarkEnd w:id="16"/>
      <w:r w:rsidRPr="00DF51AE">
        <w:t xml:space="preserve"> </w:t>
      </w:r>
      <w:bookmarkEnd w:id="10"/>
    </w:p>
    <w:p w:rsidR="003E4C43" w:rsidRPr="003E4C43" w:rsidRDefault="003E4C43" w:rsidP="003E4C43">
      <w:pPr>
        <w:pStyle w:val="texto"/>
        <w:tabs>
          <w:tab w:val="clear" w:pos="2835"/>
          <w:tab w:val="clear" w:pos="3969"/>
          <w:tab w:val="clear" w:pos="5103"/>
          <w:tab w:val="clear" w:pos="6237"/>
          <w:tab w:val="clear" w:pos="7371"/>
        </w:tabs>
        <w:rPr>
          <w:szCs w:val="26"/>
        </w:rPr>
      </w:pPr>
      <w:r w:rsidRPr="003E4C43">
        <w:rPr>
          <w:szCs w:val="26"/>
        </w:rPr>
        <w:t>A continuación, se exponen las principales conclusiones obtenidas del trabajo realizado.</w:t>
      </w:r>
    </w:p>
    <w:p w:rsidR="00041F12" w:rsidRDefault="00A452DC" w:rsidP="00A452DC">
      <w:pPr>
        <w:pStyle w:val="atitulo2"/>
        <w:spacing w:before="240"/>
      </w:pPr>
      <w:bookmarkStart w:id="17" w:name="_Toc425926950"/>
      <w:r>
        <w:t>IV.1.</w:t>
      </w:r>
      <w:r w:rsidR="007661FF">
        <w:t xml:space="preserve"> </w:t>
      </w:r>
      <w:r w:rsidR="00095BE9">
        <w:t xml:space="preserve">Cuantificación </w:t>
      </w:r>
      <w:r w:rsidR="00357735">
        <w:t>de la deuda tributaria del Club Atlético Osasuna</w:t>
      </w:r>
      <w:r w:rsidR="0082269E">
        <w:t xml:space="preserve"> </w:t>
      </w:r>
      <w:r w:rsidR="00C32630">
        <w:t xml:space="preserve">a </w:t>
      </w:r>
      <w:r w:rsidR="00C32630" w:rsidRPr="00B00089">
        <w:rPr>
          <w:color w:val="auto"/>
        </w:rPr>
        <w:t>31 de diciembre de 2014</w:t>
      </w:r>
      <w:r w:rsidR="00D41731">
        <w:rPr>
          <w:color w:val="auto"/>
        </w:rPr>
        <w:t xml:space="preserve"> y evolución de su deuda tributaria </w:t>
      </w:r>
      <w:r w:rsidR="00301A23">
        <w:rPr>
          <w:color w:val="auto"/>
        </w:rPr>
        <w:t xml:space="preserve">en </w:t>
      </w:r>
      <w:r w:rsidR="00B43338">
        <w:rPr>
          <w:color w:val="auto"/>
        </w:rPr>
        <w:t>el periodo de 2005 a 2014</w:t>
      </w:r>
      <w:bookmarkEnd w:id="17"/>
    </w:p>
    <w:p w:rsidR="00A25A15" w:rsidRPr="00770E9B" w:rsidRDefault="00770E9B" w:rsidP="00770E9B">
      <w:pPr>
        <w:pStyle w:val="atitulo3"/>
      </w:pPr>
      <w:r>
        <w:t xml:space="preserve">IV.1.1 </w:t>
      </w:r>
      <w:r w:rsidR="00A25A15" w:rsidRPr="00770E9B">
        <w:t>Deuda tributaria</w:t>
      </w:r>
      <w:r w:rsidR="00231A37" w:rsidRPr="00770E9B">
        <w:t xml:space="preserve"> del </w:t>
      </w:r>
      <w:r w:rsidR="00320D9F">
        <w:t>c</w:t>
      </w:r>
      <w:r w:rsidR="00231A37" w:rsidRPr="00770E9B">
        <w:t>lub</w:t>
      </w:r>
      <w:r w:rsidR="00A25A15" w:rsidRPr="00770E9B">
        <w:t xml:space="preserve"> a 31 de diciembre de 2014</w:t>
      </w:r>
    </w:p>
    <w:p w:rsidR="00A4370E" w:rsidRDefault="008F48EB" w:rsidP="00765B5A">
      <w:pPr>
        <w:pStyle w:val="texto"/>
        <w:tabs>
          <w:tab w:val="clear" w:pos="2835"/>
          <w:tab w:val="clear" w:pos="3969"/>
          <w:tab w:val="clear" w:pos="5103"/>
          <w:tab w:val="clear" w:pos="6237"/>
          <w:tab w:val="clear" w:pos="7371"/>
        </w:tabs>
        <w:spacing w:after="240"/>
        <w:rPr>
          <w:rFonts w:ascii="Times New (W1)" w:hAnsi="Times New (W1)"/>
          <w:szCs w:val="26"/>
        </w:rPr>
      </w:pPr>
      <w:r w:rsidRPr="00765B5A">
        <w:rPr>
          <w:rFonts w:ascii="Times New (W1)" w:hAnsi="Times New (W1)"/>
          <w:b/>
          <w:szCs w:val="26"/>
        </w:rPr>
        <w:t xml:space="preserve">1.ª Deuda Tributaria del </w:t>
      </w:r>
      <w:r w:rsidR="00320D9F">
        <w:rPr>
          <w:rFonts w:ascii="Times New (W1)" w:hAnsi="Times New (W1)"/>
          <w:b/>
          <w:szCs w:val="26"/>
        </w:rPr>
        <w:t>c</w:t>
      </w:r>
      <w:r w:rsidRPr="00765B5A">
        <w:rPr>
          <w:rFonts w:ascii="Times New (W1)" w:hAnsi="Times New (W1)"/>
          <w:b/>
          <w:szCs w:val="26"/>
        </w:rPr>
        <w:t>lub</w:t>
      </w:r>
    </w:p>
    <w:p w:rsidR="008F48EB" w:rsidRPr="00765B5A" w:rsidRDefault="008F48EB" w:rsidP="00765B5A">
      <w:pPr>
        <w:pStyle w:val="texto"/>
        <w:tabs>
          <w:tab w:val="clear" w:pos="2835"/>
          <w:tab w:val="clear" w:pos="3969"/>
          <w:tab w:val="clear" w:pos="5103"/>
          <w:tab w:val="clear" w:pos="6237"/>
          <w:tab w:val="clear" w:pos="7371"/>
        </w:tabs>
        <w:spacing w:after="240"/>
        <w:rPr>
          <w:rFonts w:ascii="Times New (W1)" w:hAnsi="Times New (W1)"/>
          <w:szCs w:val="26"/>
        </w:rPr>
      </w:pPr>
      <w:r w:rsidRPr="00765B5A">
        <w:rPr>
          <w:rFonts w:ascii="Times New (W1)" w:hAnsi="Times New (W1)"/>
          <w:szCs w:val="26"/>
        </w:rPr>
        <w:t xml:space="preserve">Por acuerdo del Gobierno de Navarra de 29 de abril de 2015, y en aplicación de la Ley Foral 26/2014, la deuda del </w:t>
      </w:r>
      <w:r w:rsidR="00320D9F">
        <w:rPr>
          <w:rFonts w:ascii="Times New (W1)" w:hAnsi="Times New (W1)"/>
          <w:szCs w:val="26"/>
        </w:rPr>
        <w:t>c</w:t>
      </w:r>
      <w:r w:rsidRPr="00765B5A">
        <w:rPr>
          <w:rFonts w:ascii="Times New (W1)" w:hAnsi="Times New (W1)"/>
          <w:szCs w:val="26"/>
        </w:rPr>
        <w:t>lub a 31 de diciembre de 2014 con la Hacienda Tributaria se cuantifica en 52,82 millones, tal como se detall</w:t>
      </w:r>
      <w:r w:rsidR="006706E7">
        <w:rPr>
          <w:rFonts w:ascii="Times New (W1)" w:hAnsi="Times New (W1)"/>
          <w:szCs w:val="26"/>
        </w:rPr>
        <w:t>a</w:t>
      </w:r>
      <w:r w:rsidRPr="00765B5A">
        <w:rPr>
          <w:rFonts w:ascii="Times New (W1)" w:hAnsi="Times New (W1)"/>
          <w:szCs w:val="26"/>
        </w:rPr>
        <w:t xml:space="preserve"> en el siguiente cuadro:</w:t>
      </w:r>
    </w:p>
    <w:tbl>
      <w:tblPr>
        <w:tblW w:w="8859" w:type="dxa"/>
        <w:tblInd w:w="70"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4039"/>
        <w:gridCol w:w="1276"/>
        <w:gridCol w:w="1270"/>
        <w:gridCol w:w="1101"/>
        <w:gridCol w:w="1173"/>
      </w:tblGrid>
      <w:tr w:rsidR="008F48EB" w:rsidRPr="00023AAB" w:rsidTr="00B34638">
        <w:trPr>
          <w:trHeight w:val="255"/>
        </w:trPr>
        <w:tc>
          <w:tcPr>
            <w:tcW w:w="4039" w:type="dxa"/>
            <w:shd w:val="clear" w:color="auto" w:fill="8DB3E2" w:themeFill="text2" w:themeFillTint="66"/>
            <w:noWrap/>
            <w:vAlign w:val="center"/>
          </w:tcPr>
          <w:p w:rsidR="008F48EB" w:rsidRPr="00023AAB" w:rsidRDefault="008F48EB" w:rsidP="008F48EB">
            <w:pPr>
              <w:pStyle w:val="cuadroCabe"/>
            </w:pPr>
            <w:r w:rsidRPr="00023AAB">
              <w:t>Deuda tributaria a 31 de diciembre de 2014</w:t>
            </w:r>
          </w:p>
        </w:tc>
        <w:tc>
          <w:tcPr>
            <w:tcW w:w="1276" w:type="dxa"/>
            <w:shd w:val="clear" w:color="auto" w:fill="8DB3E2" w:themeFill="text2" w:themeFillTint="66"/>
            <w:noWrap/>
            <w:vAlign w:val="center"/>
          </w:tcPr>
          <w:p w:rsidR="008F48EB" w:rsidRPr="00023AAB" w:rsidRDefault="008F48EB" w:rsidP="008F48EB">
            <w:pPr>
              <w:pStyle w:val="cuadroCabe"/>
              <w:jc w:val="center"/>
            </w:pPr>
            <w:r w:rsidRPr="00023AAB">
              <w:t>Principal</w:t>
            </w:r>
          </w:p>
        </w:tc>
        <w:tc>
          <w:tcPr>
            <w:tcW w:w="1270" w:type="dxa"/>
            <w:shd w:val="clear" w:color="auto" w:fill="8DB3E2" w:themeFill="text2" w:themeFillTint="66"/>
            <w:vAlign w:val="center"/>
          </w:tcPr>
          <w:p w:rsidR="008F48EB" w:rsidRPr="00023AAB" w:rsidRDefault="008F48EB" w:rsidP="008F48EB">
            <w:pPr>
              <w:pStyle w:val="cuadroCabe"/>
              <w:jc w:val="center"/>
            </w:pPr>
            <w:r w:rsidRPr="00023AAB">
              <w:t>Intereses y recargos</w:t>
            </w:r>
          </w:p>
        </w:tc>
        <w:tc>
          <w:tcPr>
            <w:tcW w:w="1101" w:type="dxa"/>
            <w:shd w:val="clear" w:color="auto" w:fill="8DB3E2" w:themeFill="text2" w:themeFillTint="66"/>
            <w:vAlign w:val="center"/>
          </w:tcPr>
          <w:p w:rsidR="008F48EB" w:rsidRPr="00023AAB" w:rsidRDefault="008F48EB" w:rsidP="008F48EB">
            <w:pPr>
              <w:pStyle w:val="cuadroCabe"/>
              <w:jc w:val="center"/>
            </w:pPr>
            <w:r w:rsidRPr="00023AAB">
              <w:t>Intereses a 31/12/2014</w:t>
            </w:r>
          </w:p>
        </w:tc>
        <w:tc>
          <w:tcPr>
            <w:tcW w:w="1173" w:type="dxa"/>
            <w:shd w:val="clear" w:color="auto" w:fill="8DB3E2" w:themeFill="text2" w:themeFillTint="66"/>
            <w:vAlign w:val="center"/>
          </w:tcPr>
          <w:p w:rsidR="008F48EB" w:rsidRPr="00023AAB" w:rsidRDefault="008F48EB" w:rsidP="008F48EB">
            <w:pPr>
              <w:pStyle w:val="cuadroCabe"/>
              <w:jc w:val="center"/>
            </w:pPr>
            <w:r w:rsidRPr="00023AAB">
              <w:t>Total deuda</w:t>
            </w:r>
          </w:p>
        </w:tc>
      </w:tr>
      <w:tr w:rsidR="008F48EB" w:rsidRPr="00023AAB" w:rsidTr="00A56AFC">
        <w:trPr>
          <w:trHeight w:val="340"/>
        </w:trPr>
        <w:tc>
          <w:tcPr>
            <w:tcW w:w="4039" w:type="dxa"/>
            <w:noWrap/>
            <w:vAlign w:val="center"/>
          </w:tcPr>
          <w:p w:rsidR="008F48EB" w:rsidRPr="00023AAB" w:rsidRDefault="008F48EB" w:rsidP="008F48EB">
            <w:pPr>
              <w:pStyle w:val="cuatexto"/>
            </w:pPr>
            <w:r w:rsidRPr="00023AAB">
              <w:t xml:space="preserve">Deuda aplazada </w:t>
            </w:r>
          </w:p>
        </w:tc>
        <w:tc>
          <w:tcPr>
            <w:tcW w:w="1276" w:type="dxa"/>
            <w:noWrap/>
            <w:vAlign w:val="center"/>
          </w:tcPr>
          <w:p w:rsidR="008F48EB" w:rsidRPr="00023AAB" w:rsidRDefault="008F48EB" w:rsidP="008F48EB">
            <w:pPr>
              <w:pStyle w:val="cuatexto"/>
              <w:jc w:val="right"/>
            </w:pPr>
            <w:r w:rsidRPr="00023AAB">
              <w:t>30.744.217</w:t>
            </w:r>
          </w:p>
        </w:tc>
        <w:tc>
          <w:tcPr>
            <w:tcW w:w="1270" w:type="dxa"/>
            <w:vAlign w:val="center"/>
          </w:tcPr>
          <w:p w:rsidR="008F48EB" w:rsidRPr="00023AAB" w:rsidRDefault="008F48EB" w:rsidP="008F48EB">
            <w:pPr>
              <w:pStyle w:val="cuatexto"/>
              <w:jc w:val="right"/>
            </w:pPr>
            <w:r w:rsidRPr="00023AAB">
              <w:t>2.446.901</w:t>
            </w:r>
          </w:p>
        </w:tc>
        <w:tc>
          <w:tcPr>
            <w:tcW w:w="1101" w:type="dxa"/>
            <w:vAlign w:val="center"/>
          </w:tcPr>
          <w:p w:rsidR="008F48EB" w:rsidRPr="00023AAB" w:rsidRDefault="008F48EB" w:rsidP="008F48EB">
            <w:pPr>
              <w:pStyle w:val="cuatexto"/>
              <w:jc w:val="right"/>
            </w:pPr>
            <w:r w:rsidRPr="00023AAB">
              <w:t>3.559.052</w:t>
            </w:r>
          </w:p>
        </w:tc>
        <w:tc>
          <w:tcPr>
            <w:tcW w:w="1173" w:type="dxa"/>
            <w:vAlign w:val="center"/>
          </w:tcPr>
          <w:p w:rsidR="008F48EB" w:rsidRPr="00023AAB" w:rsidRDefault="008F48EB" w:rsidP="008F48EB">
            <w:pPr>
              <w:pStyle w:val="cuatexto"/>
              <w:jc w:val="right"/>
            </w:pPr>
            <w:r w:rsidRPr="00023AAB">
              <w:t>36.750.170</w:t>
            </w:r>
          </w:p>
        </w:tc>
      </w:tr>
      <w:tr w:rsidR="008F48EB" w:rsidRPr="00023AAB" w:rsidTr="00A56AFC">
        <w:trPr>
          <w:trHeight w:val="340"/>
        </w:trPr>
        <w:tc>
          <w:tcPr>
            <w:tcW w:w="4039" w:type="dxa"/>
            <w:noWrap/>
            <w:vAlign w:val="center"/>
          </w:tcPr>
          <w:p w:rsidR="008F48EB" w:rsidRPr="00023AAB" w:rsidRDefault="008F48EB" w:rsidP="008F48EB">
            <w:pPr>
              <w:pStyle w:val="cuatexto"/>
            </w:pPr>
            <w:r w:rsidRPr="00023AAB">
              <w:t>Deuda no aplazada</w:t>
            </w:r>
          </w:p>
        </w:tc>
        <w:tc>
          <w:tcPr>
            <w:tcW w:w="1276" w:type="dxa"/>
            <w:noWrap/>
            <w:vAlign w:val="center"/>
          </w:tcPr>
          <w:p w:rsidR="008F48EB" w:rsidRPr="00023AAB" w:rsidRDefault="008F48EB" w:rsidP="008F48EB">
            <w:pPr>
              <w:pStyle w:val="cuatexto"/>
              <w:jc w:val="right"/>
            </w:pPr>
            <w:r w:rsidRPr="00023AAB">
              <w:t>15.565.335</w:t>
            </w:r>
          </w:p>
        </w:tc>
        <w:tc>
          <w:tcPr>
            <w:tcW w:w="1270" w:type="dxa"/>
            <w:vAlign w:val="center"/>
          </w:tcPr>
          <w:p w:rsidR="008F48EB" w:rsidRPr="00023AAB" w:rsidRDefault="008F48EB" w:rsidP="008F48EB">
            <w:pPr>
              <w:pStyle w:val="cuatexto"/>
              <w:jc w:val="right"/>
            </w:pPr>
            <w:r w:rsidRPr="00023AAB">
              <w:t>52.942</w:t>
            </w:r>
          </w:p>
        </w:tc>
        <w:tc>
          <w:tcPr>
            <w:tcW w:w="1101" w:type="dxa"/>
            <w:vAlign w:val="center"/>
          </w:tcPr>
          <w:p w:rsidR="008F48EB" w:rsidRPr="00023AAB" w:rsidRDefault="008F48EB" w:rsidP="008F48EB">
            <w:pPr>
              <w:pStyle w:val="cuatexto"/>
              <w:jc w:val="right"/>
            </w:pPr>
            <w:r w:rsidRPr="00023AAB">
              <w:t>452.433</w:t>
            </w:r>
          </w:p>
        </w:tc>
        <w:tc>
          <w:tcPr>
            <w:tcW w:w="1173" w:type="dxa"/>
            <w:vAlign w:val="center"/>
          </w:tcPr>
          <w:p w:rsidR="008F48EB" w:rsidRPr="00023AAB" w:rsidRDefault="008F48EB" w:rsidP="008F48EB">
            <w:pPr>
              <w:pStyle w:val="cuatexto"/>
              <w:jc w:val="right"/>
            </w:pPr>
            <w:r w:rsidRPr="00023AAB">
              <w:t>16.070.710</w:t>
            </w:r>
          </w:p>
        </w:tc>
      </w:tr>
      <w:tr w:rsidR="008F48EB" w:rsidRPr="00023AAB" w:rsidTr="00B34638">
        <w:trPr>
          <w:trHeight w:val="255"/>
        </w:trPr>
        <w:tc>
          <w:tcPr>
            <w:tcW w:w="4039" w:type="dxa"/>
            <w:shd w:val="clear" w:color="auto" w:fill="8DB3E2" w:themeFill="text2" w:themeFillTint="66"/>
            <w:noWrap/>
            <w:vAlign w:val="center"/>
          </w:tcPr>
          <w:p w:rsidR="008F48EB" w:rsidRPr="00023AAB" w:rsidRDefault="008F48EB" w:rsidP="00927D1C">
            <w:pPr>
              <w:pStyle w:val="cuadroCabe"/>
            </w:pPr>
            <w:r w:rsidRPr="00023AAB">
              <w:t xml:space="preserve">Total deuda tributaria del </w:t>
            </w:r>
            <w:r w:rsidR="00927D1C">
              <w:t>c</w:t>
            </w:r>
            <w:r w:rsidRPr="00023AAB">
              <w:t>lub a 31/12/2014</w:t>
            </w:r>
          </w:p>
        </w:tc>
        <w:tc>
          <w:tcPr>
            <w:tcW w:w="1276" w:type="dxa"/>
            <w:shd w:val="clear" w:color="auto" w:fill="8DB3E2" w:themeFill="text2" w:themeFillTint="66"/>
            <w:noWrap/>
            <w:vAlign w:val="center"/>
          </w:tcPr>
          <w:p w:rsidR="008F48EB" w:rsidRPr="00023AAB" w:rsidRDefault="008F48EB" w:rsidP="008F48EB">
            <w:pPr>
              <w:pStyle w:val="cuadroCabe"/>
              <w:jc w:val="right"/>
            </w:pPr>
            <w:r w:rsidRPr="00023AAB">
              <w:t>46.309.552</w:t>
            </w:r>
          </w:p>
        </w:tc>
        <w:tc>
          <w:tcPr>
            <w:tcW w:w="1270" w:type="dxa"/>
            <w:shd w:val="clear" w:color="auto" w:fill="8DB3E2" w:themeFill="text2" w:themeFillTint="66"/>
            <w:vAlign w:val="center"/>
          </w:tcPr>
          <w:p w:rsidR="008F48EB" w:rsidRPr="00023AAB" w:rsidRDefault="008F48EB" w:rsidP="008F48EB">
            <w:pPr>
              <w:pStyle w:val="cuadroCabe"/>
              <w:jc w:val="right"/>
            </w:pPr>
            <w:r w:rsidRPr="00023AAB">
              <w:t>2.499.843</w:t>
            </w:r>
          </w:p>
        </w:tc>
        <w:tc>
          <w:tcPr>
            <w:tcW w:w="1101" w:type="dxa"/>
            <w:shd w:val="clear" w:color="auto" w:fill="8DB3E2" w:themeFill="text2" w:themeFillTint="66"/>
            <w:vAlign w:val="center"/>
          </w:tcPr>
          <w:p w:rsidR="008F48EB" w:rsidRPr="00023AAB" w:rsidRDefault="008F48EB" w:rsidP="008F48EB">
            <w:pPr>
              <w:pStyle w:val="cuadroCabe"/>
              <w:jc w:val="right"/>
            </w:pPr>
            <w:r w:rsidRPr="00023AAB">
              <w:t>4.011.485</w:t>
            </w:r>
          </w:p>
        </w:tc>
        <w:tc>
          <w:tcPr>
            <w:tcW w:w="1173" w:type="dxa"/>
            <w:shd w:val="clear" w:color="auto" w:fill="8DB3E2" w:themeFill="text2" w:themeFillTint="66"/>
            <w:vAlign w:val="center"/>
          </w:tcPr>
          <w:p w:rsidR="008F48EB" w:rsidRPr="00023AAB" w:rsidRDefault="008F48EB" w:rsidP="008F48EB">
            <w:pPr>
              <w:pStyle w:val="cuadroCabe"/>
              <w:jc w:val="right"/>
            </w:pPr>
            <w:r w:rsidRPr="00023AAB">
              <w:t>52.820.880</w:t>
            </w:r>
          </w:p>
        </w:tc>
      </w:tr>
    </w:tbl>
    <w:p w:rsidR="008F48EB" w:rsidRPr="00023AAB" w:rsidRDefault="008F48EB" w:rsidP="008F48EB">
      <w:pPr>
        <w:pStyle w:val="texto"/>
        <w:tabs>
          <w:tab w:val="clear" w:pos="2835"/>
          <w:tab w:val="clear" w:pos="3969"/>
          <w:tab w:val="clear" w:pos="5103"/>
          <w:tab w:val="clear" w:pos="6237"/>
          <w:tab w:val="clear" w:pos="7371"/>
        </w:tabs>
        <w:rPr>
          <w:szCs w:val="26"/>
        </w:rPr>
      </w:pPr>
    </w:p>
    <w:p w:rsidR="008F48EB" w:rsidRPr="00023AAB" w:rsidRDefault="008F48EB" w:rsidP="008F48EB">
      <w:pPr>
        <w:pStyle w:val="texto"/>
        <w:tabs>
          <w:tab w:val="clear" w:pos="2835"/>
          <w:tab w:val="clear" w:pos="3969"/>
          <w:tab w:val="clear" w:pos="5103"/>
          <w:tab w:val="clear" w:pos="6237"/>
          <w:tab w:val="clear" w:pos="7371"/>
        </w:tabs>
        <w:rPr>
          <w:szCs w:val="26"/>
        </w:rPr>
      </w:pPr>
      <w:r w:rsidRPr="00023AAB">
        <w:rPr>
          <w:szCs w:val="26"/>
        </w:rPr>
        <w:t>Este acuerdo del Gobierno está respaldado por un informe conjunto de la HTN y de la Dirección General del Presupuesto.</w:t>
      </w:r>
    </w:p>
    <w:p w:rsidR="008F48EB" w:rsidRPr="00023AAB" w:rsidRDefault="006706E7" w:rsidP="008F48EB">
      <w:pPr>
        <w:pStyle w:val="texto"/>
        <w:tabs>
          <w:tab w:val="clear" w:pos="2835"/>
          <w:tab w:val="clear" w:pos="3969"/>
          <w:tab w:val="clear" w:pos="5103"/>
          <w:tab w:val="clear" w:pos="6237"/>
          <w:tab w:val="clear" w:pos="7371"/>
        </w:tabs>
        <w:rPr>
          <w:szCs w:val="26"/>
        </w:rPr>
      </w:pPr>
      <w:r>
        <w:rPr>
          <w:szCs w:val="26"/>
        </w:rPr>
        <w:t>E</w:t>
      </w:r>
      <w:r w:rsidR="008F48EB" w:rsidRPr="00023AAB">
        <w:rPr>
          <w:szCs w:val="26"/>
        </w:rPr>
        <w:t xml:space="preserve">sta Cámara </w:t>
      </w:r>
      <w:r>
        <w:rPr>
          <w:szCs w:val="26"/>
        </w:rPr>
        <w:t xml:space="preserve">ha contrastado </w:t>
      </w:r>
      <w:r w:rsidR="008F48EB" w:rsidRPr="00023AAB">
        <w:rPr>
          <w:szCs w:val="26"/>
        </w:rPr>
        <w:t xml:space="preserve">el importe anterior con los datos de la contabilidad auxiliar de la Hacienda Tributaria y con la documentación que los soporta, </w:t>
      </w:r>
      <w:r w:rsidR="008011A1">
        <w:rPr>
          <w:szCs w:val="26"/>
        </w:rPr>
        <w:t>concluyendo que</w:t>
      </w:r>
      <w:r w:rsidR="008F48EB" w:rsidRPr="00023AAB">
        <w:rPr>
          <w:szCs w:val="26"/>
        </w:rPr>
        <w:t xml:space="preserve"> dicho importe refleja</w:t>
      </w:r>
      <w:r w:rsidR="00864876" w:rsidRPr="00023AAB">
        <w:rPr>
          <w:szCs w:val="26"/>
        </w:rPr>
        <w:t xml:space="preserve"> adecuadamente</w:t>
      </w:r>
      <w:r w:rsidR="008F48EB" w:rsidRPr="00023AAB">
        <w:rPr>
          <w:szCs w:val="26"/>
        </w:rPr>
        <w:t xml:space="preserve"> la deuda del </w:t>
      </w:r>
      <w:r w:rsidR="004D00A7">
        <w:rPr>
          <w:szCs w:val="26"/>
        </w:rPr>
        <w:t>c</w:t>
      </w:r>
      <w:r w:rsidR="008F48EB" w:rsidRPr="00023AAB">
        <w:rPr>
          <w:szCs w:val="26"/>
        </w:rPr>
        <w:t xml:space="preserve">lub con la HTN a la citada fecha.  </w:t>
      </w:r>
    </w:p>
    <w:p w:rsidR="008F48EB" w:rsidRPr="00023AAB" w:rsidRDefault="00864876" w:rsidP="008F48EB">
      <w:pPr>
        <w:pStyle w:val="texto"/>
        <w:tabs>
          <w:tab w:val="clear" w:pos="2835"/>
          <w:tab w:val="clear" w:pos="3969"/>
          <w:tab w:val="clear" w:pos="5103"/>
          <w:tab w:val="clear" w:pos="6237"/>
          <w:tab w:val="clear" w:pos="7371"/>
        </w:tabs>
        <w:rPr>
          <w:szCs w:val="26"/>
        </w:rPr>
      </w:pPr>
      <w:r w:rsidRPr="00023AAB">
        <w:rPr>
          <w:szCs w:val="26"/>
        </w:rPr>
        <w:t>E</w:t>
      </w:r>
      <w:r w:rsidR="008F48EB" w:rsidRPr="00023AAB">
        <w:rPr>
          <w:szCs w:val="26"/>
        </w:rPr>
        <w:t>l citado acuerdo añade que el anterior importe “podría verse alterado como consecuencia de deudas anteriores a 31 de diciembre de 2014 que resulten de eventuales procedimientos de comprobación e investigación que la Hacienda Tributaria de Navarra pueda incoar respecto a los ejercicios no prescritos”.</w:t>
      </w:r>
    </w:p>
    <w:p w:rsidR="004D00A7" w:rsidRPr="00023AAB" w:rsidRDefault="008F48EB" w:rsidP="004D00A7">
      <w:pPr>
        <w:pStyle w:val="texto"/>
        <w:rPr>
          <w:szCs w:val="26"/>
        </w:rPr>
      </w:pPr>
      <w:r w:rsidRPr="00023AAB">
        <w:rPr>
          <w:szCs w:val="26"/>
        </w:rPr>
        <w:t>Por último, se señala que quedan sin efecto cuantas resoluciones de aplazamiento/fraccionamiento y de apremio que se hubiesen aprobado en relación con dicha deuda, quedando liberadas todas las garantías que se hubieran constituido. En esta exclusión no se incluyen los recargos del periodo ejecutivo que pudiesen quedar pendientes de pago en los aplazamientos/fraccionamientos.</w:t>
      </w:r>
    </w:p>
    <w:p w:rsidR="00FA5A16" w:rsidRDefault="00FA5A16">
      <w:pPr>
        <w:spacing w:after="0"/>
        <w:ind w:firstLine="0"/>
        <w:jc w:val="left"/>
        <w:rPr>
          <w:b/>
          <w:spacing w:val="6"/>
          <w:sz w:val="26"/>
          <w:szCs w:val="24"/>
        </w:rPr>
      </w:pPr>
      <w:r>
        <w:rPr>
          <w:b/>
        </w:rPr>
        <w:br w:type="page"/>
      </w:r>
    </w:p>
    <w:p w:rsidR="00A4370E" w:rsidRDefault="00864876" w:rsidP="00765B5A">
      <w:pPr>
        <w:pStyle w:val="texto"/>
        <w:tabs>
          <w:tab w:val="clear" w:pos="2835"/>
          <w:tab w:val="clear" w:pos="3969"/>
          <w:tab w:val="clear" w:pos="5103"/>
          <w:tab w:val="clear" w:pos="6237"/>
          <w:tab w:val="clear" w:pos="7371"/>
        </w:tabs>
        <w:spacing w:after="240"/>
        <w:rPr>
          <w:b/>
        </w:rPr>
      </w:pPr>
      <w:r w:rsidRPr="00023AAB">
        <w:rPr>
          <w:b/>
        </w:rPr>
        <w:t>2.ª Deuda tributaria de</w:t>
      </w:r>
      <w:r w:rsidR="00B34638">
        <w:rPr>
          <w:b/>
        </w:rPr>
        <w:t xml:space="preserve">l </w:t>
      </w:r>
      <w:r w:rsidR="004D00A7">
        <w:rPr>
          <w:b/>
        </w:rPr>
        <w:t>c</w:t>
      </w:r>
      <w:r w:rsidR="00B34638">
        <w:rPr>
          <w:b/>
        </w:rPr>
        <w:t>lub en la Ley Foral 26/2014</w:t>
      </w:r>
    </w:p>
    <w:p w:rsidR="00864876" w:rsidRDefault="00864876" w:rsidP="00765B5A">
      <w:pPr>
        <w:pStyle w:val="texto"/>
        <w:tabs>
          <w:tab w:val="clear" w:pos="2835"/>
          <w:tab w:val="clear" w:pos="3969"/>
          <w:tab w:val="clear" w:pos="5103"/>
          <w:tab w:val="clear" w:pos="6237"/>
          <w:tab w:val="clear" w:pos="7371"/>
        </w:tabs>
        <w:spacing w:after="240"/>
      </w:pPr>
      <w:r w:rsidRPr="00023AAB">
        <w:t xml:space="preserve">En el anexo 1 de la citada Ley Foral se cuantifica la deuda del </w:t>
      </w:r>
      <w:r w:rsidR="006706E7">
        <w:t>c</w:t>
      </w:r>
      <w:r w:rsidRPr="00023AAB">
        <w:t>lub en 53,03 millones, según puede observarse en el cuadro siguiente:</w:t>
      </w:r>
    </w:p>
    <w:tbl>
      <w:tblPr>
        <w:tblW w:w="8859" w:type="dxa"/>
        <w:tblInd w:w="70"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898"/>
        <w:gridCol w:w="1134"/>
        <w:gridCol w:w="1276"/>
        <w:gridCol w:w="1380"/>
        <w:gridCol w:w="1171"/>
      </w:tblGrid>
      <w:tr w:rsidR="00864876" w:rsidRPr="00023AAB" w:rsidTr="009913AD">
        <w:trPr>
          <w:trHeight w:val="284"/>
        </w:trPr>
        <w:tc>
          <w:tcPr>
            <w:tcW w:w="3898" w:type="dxa"/>
            <w:shd w:val="clear" w:color="auto" w:fill="8DB3E2" w:themeFill="text2" w:themeFillTint="66"/>
            <w:noWrap/>
            <w:vAlign w:val="center"/>
          </w:tcPr>
          <w:p w:rsidR="00864876" w:rsidRPr="00023AAB" w:rsidRDefault="00864876" w:rsidP="00EF4CDE">
            <w:pPr>
              <w:pStyle w:val="cuadroCabe"/>
            </w:pPr>
            <w:r w:rsidRPr="00023AAB">
              <w:t>Deuda tributaria a 31</w:t>
            </w:r>
            <w:r w:rsidR="00EF4CDE">
              <w:t>.12.</w:t>
            </w:r>
            <w:r w:rsidRPr="00023AAB">
              <w:t>2014</w:t>
            </w:r>
            <w:r w:rsidR="00F956C9">
              <w:t xml:space="preserve">- </w:t>
            </w:r>
            <w:r w:rsidRPr="00023AAB">
              <w:t>LF26/2014</w:t>
            </w:r>
          </w:p>
        </w:tc>
        <w:tc>
          <w:tcPr>
            <w:tcW w:w="1134" w:type="dxa"/>
            <w:shd w:val="clear" w:color="auto" w:fill="8DB3E2" w:themeFill="text2" w:themeFillTint="66"/>
            <w:noWrap/>
            <w:vAlign w:val="center"/>
          </w:tcPr>
          <w:p w:rsidR="00864876" w:rsidRPr="00023AAB" w:rsidRDefault="00864876" w:rsidP="00EF4CDE">
            <w:pPr>
              <w:pStyle w:val="cuadroCabe"/>
              <w:jc w:val="right"/>
            </w:pPr>
            <w:r w:rsidRPr="00023AAB">
              <w:t>Principal</w:t>
            </w:r>
          </w:p>
        </w:tc>
        <w:tc>
          <w:tcPr>
            <w:tcW w:w="1276" w:type="dxa"/>
            <w:shd w:val="clear" w:color="auto" w:fill="8DB3E2" w:themeFill="text2" w:themeFillTint="66"/>
            <w:vAlign w:val="center"/>
          </w:tcPr>
          <w:p w:rsidR="00864876" w:rsidRPr="00023AAB" w:rsidRDefault="00864876" w:rsidP="00EF4CDE">
            <w:pPr>
              <w:pStyle w:val="cuadroCabe"/>
              <w:jc w:val="right"/>
            </w:pPr>
            <w:r w:rsidRPr="00023AAB">
              <w:t>Intereses y recargos</w:t>
            </w:r>
          </w:p>
        </w:tc>
        <w:tc>
          <w:tcPr>
            <w:tcW w:w="1380" w:type="dxa"/>
            <w:shd w:val="clear" w:color="auto" w:fill="8DB3E2" w:themeFill="text2" w:themeFillTint="66"/>
            <w:vAlign w:val="center"/>
          </w:tcPr>
          <w:p w:rsidR="00864876" w:rsidRPr="00023AAB" w:rsidRDefault="00864876" w:rsidP="00EF4CDE">
            <w:pPr>
              <w:pStyle w:val="cuadroCabe"/>
              <w:jc w:val="right"/>
            </w:pPr>
            <w:r w:rsidRPr="00023AAB">
              <w:t>Intereses a 28/11/2014</w:t>
            </w:r>
          </w:p>
        </w:tc>
        <w:tc>
          <w:tcPr>
            <w:tcW w:w="1171" w:type="dxa"/>
            <w:shd w:val="clear" w:color="auto" w:fill="8DB3E2" w:themeFill="text2" w:themeFillTint="66"/>
            <w:vAlign w:val="center"/>
          </w:tcPr>
          <w:p w:rsidR="00864876" w:rsidRPr="00023AAB" w:rsidRDefault="00864876" w:rsidP="00EF4CDE">
            <w:pPr>
              <w:pStyle w:val="cuadroCabe"/>
              <w:jc w:val="right"/>
            </w:pPr>
            <w:r w:rsidRPr="00023AAB">
              <w:t>Total deuda</w:t>
            </w:r>
          </w:p>
        </w:tc>
      </w:tr>
      <w:tr w:rsidR="00864876" w:rsidRPr="00023AAB" w:rsidTr="009913AD">
        <w:trPr>
          <w:trHeight w:val="284"/>
        </w:trPr>
        <w:tc>
          <w:tcPr>
            <w:tcW w:w="3898" w:type="dxa"/>
            <w:noWrap/>
            <w:vAlign w:val="center"/>
          </w:tcPr>
          <w:p w:rsidR="00864876" w:rsidRPr="00023AAB" w:rsidRDefault="00864876" w:rsidP="00537141">
            <w:pPr>
              <w:pStyle w:val="cuatexto"/>
            </w:pPr>
            <w:r w:rsidRPr="00023AAB">
              <w:t xml:space="preserve">Deuda aplazada </w:t>
            </w:r>
          </w:p>
        </w:tc>
        <w:tc>
          <w:tcPr>
            <w:tcW w:w="1134" w:type="dxa"/>
            <w:noWrap/>
            <w:vAlign w:val="center"/>
          </w:tcPr>
          <w:p w:rsidR="00864876" w:rsidRPr="00023AAB" w:rsidRDefault="00D11EB1" w:rsidP="00EF4CDE">
            <w:pPr>
              <w:pStyle w:val="cuatexto"/>
              <w:jc w:val="right"/>
            </w:pPr>
            <w:r w:rsidRPr="00023AAB">
              <w:t>30.603.718</w:t>
            </w:r>
          </w:p>
        </w:tc>
        <w:tc>
          <w:tcPr>
            <w:tcW w:w="1276" w:type="dxa"/>
            <w:vAlign w:val="center"/>
          </w:tcPr>
          <w:p w:rsidR="00864876" w:rsidRPr="00023AAB" w:rsidRDefault="00D11EB1" w:rsidP="00EF4CDE">
            <w:pPr>
              <w:pStyle w:val="cuatexto"/>
              <w:jc w:val="right"/>
            </w:pPr>
            <w:r w:rsidRPr="00023AAB">
              <w:t>2.379.442</w:t>
            </w:r>
          </w:p>
        </w:tc>
        <w:tc>
          <w:tcPr>
            <w:tcW w:w="1380" w:type="dxa"/>
            <w:vAlign w:val="center"/>
          </w:tcPr>
          <w:p w:rsidR="00864876" w:rsidRPr="00023AAB" w:rsidRDefault="00D11EB1" w:rsidP="00EF4CDE">
            <w:pPr>
              <w:pStyle w:val="cuatexto"/>
              <w:jc w:val="right"/>
            </w:pPr>
            <w:r w:rsidRPr="00023AAB">
              <w:t>3.334.213</w:t>
            </w:r>
          </w:p>
        </w:tc>
        <w:tc>
          <w:tcPr>
            <w:tcW w:w="1171" w:type="dxa"/>
            <w:vAlign w:val="center"/>
          </w:tcPr>
          <w:p w:rsidR="00864876" w:rsidRPr="00023AAB" w:rsidRDefault="00864876" w:rsidP="00EF4CDE">
            <w:pPr>
              <w:pStyle w:val="cuatexto"/>
              <w:jc w:val="right"/>
            </w:pPr>
            <w:r w:rsidRPr="00023AAB">
              <w:t>36.317.373</w:t>
            </w:r>
          </w:p>
        </w:tc>
      </w:tr>
      <w:tr w:rsidR="00864876" w:rsidRPr="00023AAB" w:rsidTr="009913AD">
        <w:trPr>
          <w:trHeight w:val="284"/>
        </w:trPr>
        <w:tc>
          <w:tcPr>
            <w:tcW w:w="3898" w:type="dxa"/>
            <w:noWrap/>
            <w:vAlign w:val="center"/>
          </w:tcPr>
          <w:p w:rsidR="00864876" w:rsidRPr="00023AAB" w:rsidRDefault="00864876" w:rsidP="00537141">
            <w:pPr>
              <w:pStyle w:val="cuatexto"/>
            </w:pPr>
            <w:r w:rsidRPr="00023AAB">
              <w:t>Deuda no aplazada</w:t>
            </w:r>
          </w:p>
        </w:tc>
        <w:tc>
          <w:tcPr>
            <w:tcW w:w="1134" w:type="dxa"/>
            <w:noWrap/>
            <w:vAlign w:val="center"/>
          </w:tcPr>
          <w:p w:rsidR="00864876" w:rsidRPr="00023AAB" w:rsidRDefault="00D11EB1" w:rsidP="00EF4CDE">
            <w:pPr>
              <w:pStyle w:val="cuatexto"/>
              <w:jc w:val="right"/>
            </w:pPr>
            <w:r w:rsidRPr="00023AAB">
              <w:t>16.271.282</w:t>
            </w:r>
          </w:p>
        </w:tc>
        <w:tc>
          <w:tcPr>
            <w:tcW w:w="1276" w:type="dxa"/>
            <w:vAlign w:val="center"/>
          </w:tcPr>
          <w:p w:rsidR="00864876" w:rsidRPr="00023AAB" w:rsidRDefault="00D11EB1" w:rsidP="00EF4CDE">
            <w:pPr>
              <w:pStyle w:val="cuatexto"/>
              <w:jc w:val="right"/>
            </w:pPr>
            <w:r w:rsidRPr="00023AAB">
              <w:t>52.943</w:t>
            </w:r>
          </w:p>
        </w:tc>
        <w:tc>
          <w:tcPr>
            <w:tcW w:w="1380" w:type="dxa"/>
            <w:vAlign w:val="center"/>
          </w:tcPr>
          <w:p w:rsidR="00864876" w:rsidRPr="00023AAB" w:rsidRDefault="00D11EB1" w:rsidP="00EF4CDE">
            <w:pPr>
              <w:pStyle w:val="cuatexto"/>
              <w:jc w:val="right"/>
            </w:pPr>
            <w:r w:rsidRPr="00023AAB">
              <w:t>384.394</w:t>
            </w:r>
          </w:p>
        </w:tc>
        <w:tc>
          <w:tcPr>
            <w:tcW w:w="1171" w:type="dxa"/>
            <w:vAlign w:val="center"/>
          </w:tcPr>
          <w:p w:rsidR="00864876" w:rsidRPr="00023AAB" w:rsidRDefault="00864876" w:rsidP="00EF4CDE">
            <w:pPr>
              <w:pStyle w:val="cuatexto"/>
              <w:jc w:val="right"/>
            </w:pPr>
            <w:r w:rsidRPr="00023AAB">
              <w:t>16.708.619</w:t>
            </w:r>
          </w:p>
        </w:tc>
      </w:tr>
      <w:tr w:rsidR="00864876" w:rsidRPr="00EF4CDE" w:rsidTr="009913AD">
        <w:trPr>
          <w:trHeight w:val="284"/>
        </w:trPr>
        <w:tc>
          <w:tcPr>
            <w:tcW w:w="3898" w:type="dxa"/>
            <w:shd w:val="clear" w:color="auto" w:fill="8DB3E2" w:themeFill="text2" w:themeFillTint="66"/>
            <w:noWrap/>
            <w:vAlign w:val="center"/>
          </w:tcPr>
          <w:p w:rsidR="00864876" w:rsidRPr="00EF4CDE" w:rsidRDefault="00864876" w:rsidP="004D00A7">
            <w:pPr>
              <w:pStyle w:val="cuadroCabe"/>
              <w:rPr>
                <w:rFonts w:cs="Arial"/>
                <w:szCs w:val="18"/>
              </w:rPr>
            </w:pPr>
            <w:r w:rsidRPr="00EF4CDE">
              <w:rPr>
                <w:rFonts w:cs="Arial"/>
                <w:szCs w:val="18"/>
              </w:rPr>
              <w:t xml:space="preserve">Total deuda tributaria del </w:t>
            </w:r>
            <w:r w:rsidR="004D00A7">
              <w:rPr>
                <w:rFonts w:cs="Arial"/>
                <w:szCs w:val="18"/>
              </w:rPr>
              <w:t>c</w:t>
            </w:r>
            <w:r w:rsidRPr="00EF4CDE">
              <w:rPr>
                <w:rFonts w:cs="Arial"/>
                <w:szCs w:val="18"/>
              </w:rPr>
              <w:t>lub- LF 26/2014</w:t>
            </w:r>
          </w:p>
        </w:tc>
        <w:tc>
          <w:tcPr>
            <w:tcW w:w="1134" w:type="dxa"/>
            <w:shd w:val="clear" w:color="auto" w:fill="8DB3E2" w:themeFill="text2" w:themeFillTint="66"/>
            <w:noWrap/>
            <w:vAlign w:val="center"/>
          </w:tcPr>
          <w:p w:rsidR="00864876" w:rsidRPr="00EF4CDE" w:rsidRDefault="00864876" w:rsidP="00EF4CDE">
            <w:pPr>
              <w:pStyle w:val="cuatexto"/>
              <w:jc w:val="right"/>
              <w:rPr>
                <w:rFonts w:ascii="Arial" w:hAnsi="Arial" w:cs="Arial"/>
                <w:sz w:val="18"/>
                <w:szCs w:val="18"/>
              </w:rPr>
            </w:pPr>
            <w:r w:rsidRPr="00EF4CDE">
              <w:rPr>
                <w:rFonts w:ascii="Arial" w:hAnsi="Arial" w:cs="Arial"/>
                <w:sz w:val="18"/>
                <w:szCs w:val="18"/>
              </w:rPr>
              <w:t>46.875.000</w:t>
            </w:r>
          </w:p>
        </w:tc>
        <w:tc>
          <w:tcPr>
            <w:tcW w:w="1276" w:type="dxa"/>
            <w:shd w:val="clear" w:color="auto" w:fill="8DB3E2" w:themeFill="text2" w:themeFillTint="66"/>
            <w:vAlign w:val="center"/>
          </w:tcPr>
          <w:p w:rsidR="00864876" w:rsidRPr="00EF4CDE" w:rsidRDefault="00864876" w:rsidP="00EF4CDE">
            <w:pPr>
              <w:pStyle w:val="cuatexto"/>
              <w:jc w:val="right"/>
              <w:rPr>
                <w:rFonts w:ascii="Arial" w:hAnsi="Arial" w:cs="Arial"/>
                <w:sz w:val="18"/>
                <w:szCs w:val="18"/>
              </w:rPr>
            </w:pPr>
            <w:r w:rsidRPr="00EF4CDE">
              <w:rPr>
                <w:rFonts w:ascii="Arial" w:hAnsi="Arial" w:cs="Arial"/>
                <w:sz w:val="18"/>
                <w:szCs w:val="18"/>
              </w:rPr>
              <w:t>2.432.385</w:t>
            </w:r>
          </w:p>
        </w:tc>
        <w:tc>
          <w:tcPr>
            <w:tcW w:w="1380" w:type="dxa"/>
            <w:shd w:val="clear" w:color="auto" w:fill="8DB3E2" w:themeFill="text2" w:themeFillTint="66"/>
            <w:vAlign w:val="center"/>
          </w:tcPr>
          <w:p w:rsidR="00864876" w:rsidRPr="00EF4CDE" w:rsidRDefault="00864876" w:rsidP="00EF4CDE">
            <w:pPr>
              <w:pStyle w:val="cuatexto"/>
              <w:jc w:val="right"/>
              <w:rPr>
                <w:rFonts w:ascii="Arial" w:hAnsi="Arial" w:cs="Arial"/>
                <w:sz w:val="18"/>
                <w:szCs w:val="18"/>
              </w:rPr>
            </w:pPr>
            <w:r w:rsidRPr="00EF4CDE">
              <w:rPr>
                <w:rFonts w:ascii="Arial" w:hAnsi="Arial" w:cs="Arial"/>
                <w:sz w:val="18"/>
                <w:szCs w:val="18"/>
              </w:rPr>
              <w:t>3.718.607</w:t>
            </w:r>
          </w:p>
        </w:tc>
        <w:tc>
          <w:tcPr>
            <w:tcW w:w="1171" w:type="dxa"/>
            <w:shd w:val="clear" w:color="auto" w:fill="8DB3E2" w:themeFill="text2" w:themeFillTint="66"/>
            <w:vAlign w:val="center"/>
          </w:tcPr>
          <w:p w:rsidR="00864876" w:rsidRPr="00EF4CDE" w:rsidRDefault="00864876" w:rsidP="00EF4CDE">
            <w:pPr>
              <w:pStyle w:val="cuatexto"/>
              <w:jc w:val="right"/>
              <w:rPr>
                <w:rFonts w:ascii="Arial" w:hAnsi="Arial" w:cs="Arial"/>
                <w:sz w:val="18"/>
                <w:szCs w:val="18"/>
              </w:rPr>
            </w:pPr>
            <w:r w:rsidRPr="00EF4CDE">
              <w:rPr>
                <w:rFonts w:ascii="Arial" w:hAnsi="Arial" w:cs="Arial"/>
                <w:sz w:val="18"/>
                <w:szCs w:val="18"/>
              </w:rPr>
              <w:t>53.025.992</w:t>
            </w:r>
          </w:p>
        </w:tc>
      </w:tr>
    </w:tbl>
    <w:p w:rsidR="00864876" w:rsidRPr="00023AAB" w:rsidRDefault="00864876" w:rsidP="00DB5A99">
      <w:pPr>
        <w:pStyle w:val="cuatexto"/>
        <w:ind w:left="720"/>
      </w:pPr>
    </w:p>
    <w:p w:rsidR="00864876" w:rsidRPr="00023AAB" w:rsidRDefault="00864876" w:rsidP="00864876">
      <w:pPr>
        <w:pStyle w:val="texto"/>
        <w:tabs>
          <w:tab w:val="clear" w:pos="2835"/>
          <w:tab w:val="clear" w:pos="3969"/>
          <w:tab w:val="clear" w:pos="5103"/>
          <w:tab w:val="clear" w:pos="6237"/>
          <w:tab w:val="clear" w:pos="7371"/>
          <w:tab w:val="num" w:pos="300"/>
          <w:tab w:val="num" w:pos="720"/>
        </w:tabs>
        <w:rPr>
          <w:szCs w:val="26"/>
        </w:rPr>
      </w:pPr>
      <w:r w:rsidRPr="00023AAB">
        <w:rPr>
          <w:szCs w:val="26"/>
        </w:rPr>
        <w:t>Respecto al importe del acuerdo de Gobierno de Navarra de 29 de abril de 2015, la deuda que contempla la Ley Foral es superior en 205.112 euros. Esta diferencia deriva fundamentalmente de:</w:t>
      </w:r>
    </w:p>
    <w:p w:rsidR="00864876" w:rsidRPr="00023AAB" w:rsidRDefault="00864876" w:rsidP="00864876">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023AAB">
        <w:rPr>
          <w:szCs w:val="26"/>
        </w:rPr>
        <w:t xml:space="preserve"> Los intereses que señala la Ley Foral están calculados hasta el 28 de noviembre de 2014. En el acuerdo del Gobierno de Navarra, ese cálculo se extiende hasta 31 de diciembre de 2014.</w:t>
      </w:r>
    </w:p>
    <w:p w:rsidR="00864876" w:rsidRPr="00023AAB" w:rsidRDefault="00864876" w:rsidP="00864876">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023AAB">
        <w:rPr>
          <w:szCs w:val="26"/>
        </w:rPr>
        <w:t xml:space="preserve">Dentro de la deuda no aplazada, la Ley Foral contiene una estimación de la deuda generada por IVA y retenciones de IRPF hasta el 31 de diciembre de 2014. En el acuerdo del Gobierno, se refiere a la deuda real. </w:t>
      </w:r>
    </w:p>
    <w:p w:rsidR="00A4370E" w:rsidRDefault="00864876" w:rsidP="00D11EB1">
      <w:pPr>
        <w:pStyle w:val="texto"/>
        <w:tabs>
          <w:tab w:val="clear" w:pos="2835"/>
          <w:tab w:val="clear" w:pos="3969"/>
          <w:tab w:val="clear" w:pos="5103"/>
          <w:tab w:val="clear" w:pos="6237"/>
          <w:tab w:val="clear" w:pos="7371"/>
        </w:tabs>
        <w:rPr>
          <w:szCs w:val="26"/>
        </w:rPr>
      </w:pPr>
      <w:r w:rsidRPr="00023AAB">
        <w:rPr>
          <w:b/>
          <w:szCs w:val="26"/>
        </w:rPr>
        <w:t xml:space="preserve">3.ª </w:t>
      </w:r>
      <w:r w:rsidR="00D11EB1" w:rsidRPr="00023AAB">
        <w:rPr>
          <w:b/>
          <w:szCs w:val="26"/>
        </w:rPr>
        <w:t>Análisis de la deuda tributaria</w:t>
      </w:r>
      <w:r w:rsidRPr="00023AAB">
        <w:rPr>
          <w:b/>
          <w:szCs w:val="26"/>
        </w:rPr>
        <w:t xml:space="preserve"> del </w:t>
      </w:r>
      <w:r w:rsidR="004D00A7">
        <w:rPr>
          <w:b/>
          <w:szCs w:val="26"/>
        </w:rPr>
        <w:t>c</w:t>
      </w:r>
      <w:r w:rsidRPr="00023AAB">
        <w:rPr>
          <w:b/>
          <w:szCs w:val="26"/>
        </w:rPr>
        <w:t>lub</w:t>
      </w:r>
      <w:r w:rsidR="00275693">
        <w:rPr>
          <w:b/>
          <w:szCs w:val="26"/>
        </w:rPr>
        <w:t>, según el acuerdo del Gobierno de Navarra</w:t>
      </w:r>
    </w:p>
    <w:p w:rsidR="008F48EB" w:rsidRPr="00023AAB" w:rsidRDefault="008F48EB" w:rsidP="00D11EB1">
      <w:pPr>
        <w:pStyle w:val="texto"/>
        <w:tabs>
          <w:tab w:val="clear" w:pos="2835"/>
          <w:tab w:val="clear" w:pos="3969"/>
          <w:tab w:val="clear" w:pos="5103"/>
          <w:tab w:val="clear" w:pos="6237"/>
          <w:tab w:val="clear" w:pos="7371"/>
        </w:tabs>
        <w:rPr>
          <w:szCs w:val="26"/>
        </w:rPr>
      </w:pPr>
      <w:r w:rsidRPr="00023AAB">
        <w:rPr>
          <w:szCs w:val="26"/>
        </w:rPr>
        <w:t xml:space="preserve">Sobre </w:t>
      </w:r>
      <w:r w:rsidR="00CD3026" w:rsidRPr="00023AAB">
        <w:rPr>
          <w:szCs w:val="26"/>
        </w:rPr>
        <w:t>la deuda pendiente a 31 de diciembre de 2014</w:t>
      </w:r>
      <w:r w:rsidR="00275693">
        <w:rPr>
          <w:szCs w:val="26"/>
        </w:rPr>
        <w:t xml:space="preserve"> -52,82 millones-</w:t>
      </w:r>
      <w:r w:rsidRPr="00023AAB">
        <w:rPr>
          <w:szCs w:val="26"/>
        </w:rPr>
        <w:t>, señalamos los siguientes aspectos:</w:t>
      </w:r>
    </w:p>
    <w:p w:rsidR="008F48EB" w:rsidRPr="00023AAB" w:rsidRDefault="008F48EB" w:rsidP="008F48EB">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023AAB">
        <w:rPr>
          <w:szCs w:val="26"/>
        </w:rPr>
        <w:t xml:space="preserve">El conjunto de intereses y recargos </w:t>
      </w:r>
      <w:r w:rsidR="00D11EB1" w:rsidRPr="00023AAB">
        <w:rPr>
          <w:szCs w:val="26"/>
        </w:rPr>
        <w:t>devengados hasta</w:t>
      </w:r>
      <w:r w:rsidRPr="00023AAB">
        <w:rPr>
          <w:szCs w:val="26"/>
        </w:rPr>
        <w:t xml:space="preserve"> el 31 de diciembre de 201</w:t>
      </w:r>
      <w:r w:rsidR="00275693">
        <w:rPr>
          <w:szCs w:val="26"/>
        </w:rPr>
        <w:t>4</w:t>
      </w:r>
      <w:r w:rsidRPr="00023AAB">
        <w:rPr>
          <w:szCs w:val="26"/>
        </w:rPr>
        <w:t xml:space="preserve"> ascienden a un importe de 6,</w:t>
      </w:r>
      <w:r w:rsidR="00D11EB1" w:rsidRPr="00023AAB">
        <w:rPr>
          <w:szCs w:val="26"/>
        </w:rPr>
        <w:t>51</w:t>
      </w:r>
      <w:r w:rsidRPr="00023AAB">
        <w:rPr>
          <w:szCs w:val="26"/>
        </w:rPr>
        <w:t xml:space="preserve"> millones, es decir, el 12 por ciento de</w:t>
      </w:r>
      <w:r w:rsidR="00275693">
        <w:rPr>
          <w:szCs w:val="26"/>
        </w:rPr>
        <w:t xml:space="preserve"> la deuda total. </w:t>
      </w:r>
    </w:p>
    <w:p w:rsidR="008F48EB" w:rsidRPr="00A4370E" w:rsidRDefault="008F48EB" w:rsidP="008F48EB">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rFonts w:ascii="Times New (W1)" w:hAnsi="Times New (W1)"/>
          <w:spacing w:val="2"/>
          <w:szCs w:val="26"/>
        </w:rPr>
      </w:pPr>
      <w:r w:rsidRPr="00A4370E">
        <w:rPr>
          <w:rFonts w:ascii="Times New (W1)" w:hAnsi="Times New (W1)"/>
          <w:spacing w:val="2"/>
          <w:szCs w:val="26"/>
        </w:rPr>
        <w:t>Con carácter general, esta deuda ha devengad</w:t>
      </w:r>
      <w:r w:rsidR="00275693">
        <w:rPr>
          <w:rFonts w:ascii="Times New (W1)" w:hAnsi="Times New (W1)"/>
          <w:spacing w:val="2"/>
          <w:szCs w:val="26"/>
        </w:rPr>
        <w:t xml:space="preserve">o los intereses y recargos </w:t>
      </w:r>
      <w:r w:rsidRPr="00A4370E">
        <w:rPr>
          <w:rFonts w:ascii="Times New (W1)" w:hAnsi="Times New (W1)"/>
          <w:spacing w:val="2"/>
          <w:szCs w:val="26"/>
        </w:rPr>
        <w:t>que establece la normativa tributaria aplicable.</w:t>
      </w:r>
    </w:p>
    <w:p w:rsidR="008F48EB" w:rsidRPr="00023AAB" w:rsidRDefault="008F48EB" w:rsidP="00EF4CDE">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spacing w:after="240"/>
        <w:ind w:left="0" w:firstLine="289"/>
        <w:rPr>
          <w:szCs w:val="26"/>
        </w:rPr>
      </w:pPr>
      <w:r w:rsidRPr="00023AAB">
        <w:rPr>
          <w:szCs w:val="26"/>
        </w:rPr>
        <w:t xml:space="preserve">La deuda aplazada se refiere a la deuda vigente soportada en los correspondientes expedientes de aplazamiento/fraccionamiento </w:t>
      </w:r>
      <w:r w:rsidR="00316E99" w:rsidRPr="00023AAB">
        <w:rPr>
          <w:szCs w:val="26"/>
        </w:rPr>
        <w:t>vigentes</w:t>
      </w:r>
      <w:r w:rsidRPr="00023AAB">
        <w:rPr>
          <w:szCs w:val="26"/>
        </w:rPr>
        <w:t xml:space="preserve"> y presenta el siguiente desglose:</w:t>
      </w:r>
    </w:p>
    <w:tbl>
      <w:tblPr>
        <w:tblW w:w="8757" w:type="dxa"/>
        <w:jc w:val="center"/>
        <w:tblCellMar>
          <w:left w:w="70" w:type="dxa"/>
          <w:right w:w="70" w:type="dxa"/>
        </w:tblCellMar>
        <w:tblLook w:val="04A0" w:firstRow="1" w:lastRow="0" w:firstColumn="1" w:lastColumn="0" w:noHBand="0" w:noVBand="1"/>
      </w:tblPr>
      <w:tblGrid>
        <w:gridCol w:w="3184"/>
        <w:gridCol w:w="1727"/>
        <w:gridCol w:w="2221"/>
        <w:gridCol w:w="1625"/>
      </w:tblGrid>
      <w:tr w:rsidR="008F48EB" w:rsidRPr="00023AAB" w:rsidTr="009913AD">
        <w:trPr>
          <w:trHeight w:val="300"/>
          <w:jc w:val="center"/>
        </w:trPr>
        <w:tc>
          <w:tcPr>
            <w:tcW w:w="3184" w:type="dxa"/>
            <w:tcBorders>
              <w:top w:val="single" w:sz="4" w:space="0" w:color="auto"/>
              <w:bottom w:val="single" w:sz="4" w:space="0" w:color="auto"/>
            </w:tcBorders>
            <w:shd w:val="clear" w:color="auto" w:fill="8DB3E2" w:themeFill="text2" w:themeFillTint="66"/>
            <w:noWrap/>
            <w:vAlign w:val="center"/>
            <w:hideMark/>
          </w:tcPr>
          <w:p w:rsidR="008F48EB" w:rsidRPr="00023AAB" w:rsidRDefault="008F48EB" w:rsidP="008F48EB">
            <w:pPr>
              <w:pStyle w:val="cuadroCabe"/>
            </w:pPr>
            <w:r w:rsidRPr="00023AAB">
              <w:t xml:space="preserve">Fecha </w:t>
            </w:r>
            <w:r w:rsidR="00F84B9D" w:rsidRPr="00023AAB">
              <w:t xml:space="preserve">Acuerdo del </w:t>
            </w:r>
            <w:r w:rsidRPr="00023AAB">
              <w:t>Aplazamiento</w:t>
            </w:r>
          </w:p>
        </w:tc>
        <w:tc>
          <w:tcPr>
            <w:tcW w:w="1727" w:type="dxa"/>
            <w:tcBorders>
              <w:top w:val="single" w:sz="4" w:space="0" w:color="auto"/>
              <w:bottom w:val="single" w:sz="4" w:space="0" w:color="auto"/>
            </w:tcBorders>
            <w:shd w:val="clear" w:color="auto" w:fill="8DB3E2" w:themeFill="text2" w:themeFillTint="66"/>
            <w:noWrap/>
            <w:vAlign w:val="center"/>
          </w:tcPr>
          <w:p w:rsidR="00C67A19" w:rsidRDefault="008F48EB" w:rsidP="00C67A19">
            <w:pPr>
              <w:pStyle w:val="cuadroCabe"/>
              <w:jc w:val="center"/>
            </w:pPr>
            <w:r w:rsidRPr="00023AAB">
              <w:t>Principal</w:t>
            </w:r>
          </w:p>
          <w:p w:rsidR="008F48EB" w:rsidRPr="00023AAB" w:rsidRDefault="00C67A19" w:rsidP="00C67A19">
            <w:pPr>
              <w:pStyle w:val="cuadroCabe"/>
              <w:jc w:val="center"/>
            </w:pPr>
            <w:r>
              <w:t>pendiente</w:t>
            </w:r>
            <w:r w:rsidR="008F48EB" w:rsidRPr="00EF4CDE">
              <w:rPr>
                <w:vertAlign w:val="superscript"/>
              </w:rPr>
              <w:t xml:space="preserve"> (1)</w:t>
            </w:r>
          </w:p>
        </w:tc>
        <w:tc>
          <w:tcPr>
            <w:tcW w:w="2221" w:type="dxa"/>
            <w:tcBorders>
              <w:top w:val="single" w:sz="4" w:space="0" w:color="auto"/>
              <w:bottom w:val="single" w:sz="4" w:space="0" w:color="auto"/>
            </w:tcBorders>
            <w:shd w:val="clear" w:color="auto" w:fill="8DB3E2" w:themeFill="text2" w:themeFillTint="66"/>
            <w:noWrap/>
            <w:vAlign w:val="center"/>
          </w:tcPr>
          <w:p w:rsidR="008F48EB" w:rsidRPr="00023AAB" w:rsidRDefault="008F48EB" w:rsidP="00EF4CDE">
            <w:pPr>
              <w:pStyle w:val="cuadroCabe"/>
              <w:jc w:val="right"/>
            </w:pPr>
            <w:r w:rsidRPr="00023AAB">
              <w:t>Intereses a</w:t>
            </w:r>
            <w:r w:rsidR="00EF4CDE">
              <w:t xml:space="preserve"> </w:t>
            </w:r>
            <w:r w:rsidRPr="00023AAB">
              <w:t>31/12/2014</w:t>
            </w:r>
          </w:p>
        </w:tc>
        <w:tc>
          <w:tcPr>
            <w:tcW w:w="1625" w:type="dxa"/>
            <w:tcBorders>
              <w:top w:val="single" w:sz="4" w:space="0" w:color="auto"/>
              <w:bottom w:val="single" w:sz="4" w:space="0" w:color="auto"/>
            </w:tcBorders>
            <w:shd w:val="clear" w:color="auto" w:fill="8DB3E2" w:themeFill="text2" w:themeFillTint="66"/>
            <w:noWrap/>
            <w:vAlign w:val="center"/>
          </w:tcPr>
          <w:p w:rsidR="008F48EB" w:rsidRPr="00023AAB" w:rsidRDefault="008F48EB" w:rsidP="00EF4CDE">
            <w:pPr>
              <w:pStyle w:val="cuadroCabe"/>
              <w:jc w:val="right"/>
            </w:pPr>
            <w:r w:rsidRPr="00023AAB">
              <w:t>Total deuda</w:t>
            </w:r>
          </w:p>
        </w:tc>
      </w:tr>
      <w:tr w:rsidR="008F48EB" w:rsidRPr="00023AAB" w:rsidTr="009913AD">
        <w:trPr>
          <w:trHeight w:val="300"/>
          <w:jc w:val="center"/>
        </w:trPr>
        <w:tc>
          <w:tcPr>
            <w:tcW w:w="3184" w:type="dxa"/>
            <w:tcBorders>
              <w:top w:val="single" w:sz="4" w:space="0" w:color="auto"/>
              <w:bottom w:val="single" w:sz="2" w:space="0" w:color="auto"/>
            </w:tcBorders>
            <w:noWrap/>
            <w:vAlign w:val="center"/>
          </w:tcPr>
          <w:p w:rsidR="008F48EB" w:rsidRPr="00023AAB" w:rsidRDefault="008F48EB" w:rsidP="008F48EB">
            <w:pPr>
              <w:pStyle w:val="cuatexto"/>
            </w:pPr>
            <w:r w:rsidRPr="00023AAB">
              <w:t>Mayo, 2009</w:t>
            </w:r>
          </w:p>
        </w:tc>
        <w:tc>
          <w:tcPr>
            <w:tcW w:w="1727" w:type="dxa"/>
            <w:tcBorders>
              <w:top w:val="single" w:sz="4" w:space="0" w:color="auto"/>
              <w:bottom w:val="single" w:sz="2" w:space="0" w:color="auto"/>
            </w:tcBorders>
            <w:noWrap/>
            <w:vAlign w:val="center"/>
          </w:tcPr>
          <w:p w:rsidR="008F48EB" w:rsidRPr="00023AAB" w:rsidRDefault="00FC5C7C" w:rsidP="00EF4CDE">
            <w:pPr>
              <w:spacing w:after="0"/>
              <w:ind w:firstLine="0"/>
              <w:jc w:val="right"/>
              <w:rPr>
                <w:rFonts w:ascii="Arial Narrow" w:hAnsi="Arial Narrow"/>
                <w:spacing w:val="6"/>
                <w:szCs w:val="24"/>
              </w:rPr>
            </w:pPr>
            <w:r w:rsidRPr="00023AAB">
              <w:rPr>
                <w:rFonts w:ascii="Arial Narrow" w:hAnsi="Arial Narrow"/>
                <w:spacing w:val="6"/>
                <w:szCs w:val="24"/>
              </w:rPr>
              <w:t>8.300.083</w:t>
            </w:r>
          </w:p>
        </w:tc>
        <w:tc>
          <w:tcPr>
            <w:tcW w:w="2221" w:type="dxa"/>
            <w:tcBorders>
              <w:top w:val="single" w:sz="4" w:space="0" w:color="auto"/>
              <w:bottom w:val="single" w:sz="2" w:space="0" w:color="auto"/>
            </w:tcBorders>
            <w:noWrap/>
            <w:vAlign w:val="center"/>
          </w:tcPr>
          <w:p w:rsidR="008F48EB" w:rsidRPr="00023AAB" w:rsidRDefault="00FC5C7C" w:rsidP="00EF4CDE">
            <w:pPr>
              <w:spacing w:after="0"/>
              <w:ind w:firstLine="0"/>
              <w:jc w:val="right"/>
              <w:rPr>
                <w:rFonts w:ascii="Arial Narrow" w:hAnsi="Arial Narrow"/>
                <w:spacing w:val="6"/>
                <w:szCs w:val="24"/>
              </w:rPr>
            </w:pPr>
            <w:r w:rsidRPr="00023AAB">
              <w:rPr>
                <w:rFonts w:ascii="Arial Narrow" w:hAnsi="Arial Narrow"/>
                <w:spacing w:val="6"/>
                <w:szCs w:val="24"/>
              </w:rPr>
              <w:t>98.919</w:t>
            </w:r>
          </w:p>
        </w:tc>
        <w:tc>
          <w:tcPr>
            <w:tcW w:w="1625" w:type="dxa"/>
            <w:tcBorders>
              <w:top w:val="single" w:sz="4" w:space="0" w:color="auto"/>
              <w:bottom w:val="single" w:sz="2" w:space="0" w:color="auto"/>
            </w:tcBorders>
            <w:noWrap/>
            <w:vAlign w:val="center"/>
          </w:tcPr>
          <w:p w:rsidR="008F48EB" w:rsidRPr="00023AAB" w:rsidRDefault="00FC5C7C" w:rsidP="00EF4CDE">
            <w:pPr>
              <w:spacing w:after="0"/>
              <w:ind w:firstLine="0"/>
              <w:jc w:val="right"/>
              <w:rPr>
                <w:rFonts w:ascii="Arial Narrow" w:hAnsi="Arial Narrow"/>
                <w:lang w:eastAsia="es-ES"/>
              </w:rPr>
            </w:pPr>
            <w:r w:rsidRPr="00023AAB">
              <w:rPr>
                <w:rFonts w:ascii="Arial Narrow" w:hAnsi="Arial Narrow"/>
                <w:lang w:eastAsia="es-ES"/>
              </w:rPr>
              <w:t>8.399.002</w:t>
            </w:r>
          </w:p>
        </w:tc>
      </w:tr>
      <w:tr w:rsidR="008F48EB" w:rsidRPr="00023AAB" w:rsidTr="009913AD">
        <w:trPr>
          <w:trHeight w:val="300"/>
          <w:jc w:val="center"/>
        </w:trPr>
        <w:tc>
          <w:tcPr>
            <w:tcW w:w="3184" w:type="dxa"/>
            <w:tcBorders>
              <w:top w:val="single" w:sz="2" w:space="0" w:color="auto"/>
              <w:bottom w:val="single" w:sz="2" w:space="0" w:color="auto"/>
            </w:tcBorders>
            <w:noWrap/>
            <w:vAlign w:val="center"/>
            <w:hideMark/>
          </w:tcPr>
          <w:p w:rsidR="008F48EB" w:rsidRPr="00023AAB" w:rsidRDefault="008F48EB" w:rsidP="008F48EB">
            <w:pPr>
              <w:pStyle w:val="cuatexto"/>
            </w:pPr>
            <w:r w:rsidRPr="00023AAB">
              <w:t>Diciembre, 2012</w:t>
            </w:r>
          </w:p>
        </w:tc>
        <w:tc>
          <w:tcPr>
            <w:tcW w:w="1727" w:type="dxa"/>
            <w:tcBorders>
              <w:top w:val="single" w:sz="2" w:space="0" w:color="auto"/>
              <w:bottom w:val="single" w:sz="2" w:space="0" w:color="auto"/>
            </w:tcBorders>
            <w:noWrap/>
            <w:vAlign w:val="center"/>
          </w:tcPr>
          <w:p w:rsidR="008F48EB" w:rsidRPr="00023AAB" w:rsidRDefault="00FC5C7C" w:rsidP="00EF4CDE">
            <w:pPr>
              <w:spacing w:after="0"/>
              <w:ind w:firstLine="0"/>
              <w:jc w:val="right"/>
              <w:rPr>
                <w:rFonts w:ascii="Arial Narrow" w:hAnsi="Arial Narrow"/>
                <w:spacing w:val="6"/>
                <w:szCs w:val="24"/>
              </w:rPr>
            </w:pPr>
            <w:r w:rsidRPr="00023AAB">
              <w:rPr>
                <w:rFonts w:ascii="Arial Narrow" w:hAnsi="Arial Narrow"/>
                <w:spacing w:val="6"/>
                <w:szCs w:val="24"/>
              </w:rPr>
              <w:t>20.6</w:t>
            </w:r>
            <w:r w:rsidR="003A5733" w:rsidRPr="00023AAB">
              <w:rPr>
                <w:rFonts w:ascii="Arial Narrow" w:hAnsi="Arial Narrow"/>
                <w:spacing w:val="6"/>
                <w:szCs w:val="24"/>
              </w:rPr>
              <w:t>53.349</w:t>
            </w:r>
          </w:p>
        </w:tc>
        <w:tc>
          <w:tcPr>
            <w:tcW w:w="2221" w:type="dxa"/>
            <w:tcBorders>
              <w:top w:val="single" w:sz="2" w:space="0" w:color="auto"/>
              <w:bottom w:val="single" w:sz="2" w:space="0" w:color="auto"/>
            </w:tcBorders>
            <w:noWrap/>
            <w:vAlign w:val="center"/>
          </w:tcPr>
          <w:p w:rsidR="008F48EB" w:rsidRPr="00023AAB" w:rsidRDefault="00FC5C7C" w:rsidP="00EF4CDE">
            <w:pPr>
              <w:spacing w:after="0"/>
              <w:ind w:firstLine="0"/>
              <w:jc w:val="right"/>
              <w:rPr>
                <w:rFonts w:ascii="Arial Narrow" w:hAnsi="Arial Narrow"/>
                <w:spacing w:val="6"/>
                <w:szCs w:val="24"/>
              </w:rPr>
            </w:pPr>
            <w:r w:rsidRPr="00023AAB">
              <w:rPr>
                <w:rFonts w:ascii="Arial Narrow" w:hAnsi="Arial Narrow"/>
                <w:spacing w:val="6"/>
                <w:szCs w:val="24"/>
              </w:rPr>
              <w:t>3.131.503</w:t>
            </w:r>
          </w:p>
        </w:tc>
        <w:tc>
          <w:tcPr>
            <w:tcW w:w="1625" w:type="dxa"/>
            <w:tcBorders>
              <w:top w:val="single" w:sz="2" w:space="0" w:color="auto"/>
              <w:bottom w:val="single" w:sz="2" w:space="0" w:color="auto"/>
            </w:tcBorders>
            <w:noWrap/>
            <w:vAlign w:val="center"/>
          </w:tcPr>
          <w:p w:rsidR="008F48EB" w:rsidRPr="00023AAB" w:rsidRDefault="00FC5C7C" w:rsidP="00EF4CDE">
            <w:pPr>
              <w:spacing w:after="0"/>
              <w:ind w:firstLine="0"/>
              <w:jc w:val="right"/>
              <w:rPr>
                <w:rFonts w:ascii="Arial Narrow" w:hAnsi="Arial Narrow"/>
                <w:lang w:val="es-ES" w:eastAsia="es-ES"/>
              </w:rPr>
            </w:pPr>
            <w:r w:rsidRPr="00023AAB">
              <w:rPr>
                <w:rFonts w:ascii="Arial Narrow" w:hAnsi="Arial Narrow"/>
                <w:lang w:val="es-ES" w:eastAsia="es-ES"/>
              </w:rPr>
              <w:t>23.784.852</w:t>
            </w:r>
          </w:p>
        </w:tc>
      </w:tr>
      <w:tr w:rsidR="008F48EB" w:rsidRPr="00023AAB" w:rsidTr="009913AD">
        <w:trPr>
          <w:trHeight w:val="300"/>
          <w:jc w:val="center"/>
        </w:trPr>
        <w:tc>
          <w:tcPr>
            <w:tcW w:w="3184" w:type="dxa"/>
            <w:tcBorders>
              <w:top w:val="single" w:sz="2" w:space="0" w:color="auto"/>
              <w:bottom w:val="single" w:sz="4" w:space="0" w:color="auto"/>
            </w:tcBorders>
            <w:noWrap/>
            <w:vAlign w:val="center"/>
            <w:hideMark/>
          </w:tcPr>
          <w:p w:rsidR="008F48EB" w:rsidRPr="00023AAB" w:rsidRDefault="008F48EB" w:rsidP="008F48EB">
            <w:pPr>
              <w:pStyle w:val="cuatexto"/>
            </w:pPr>
            <w:r w:rsidRPr="00023AAB">
              <w:t>Octubre, 2013</w:t>
            </w:r>
          </w:p>
        </w:tc>
        <w:tc>
          <w:tcPr>
            <w:tcW w:w="1727" w:type="dxa"/>
            <w:tcBorders>
              <w:top w:val="single" w:sz="2" w:space="0" w:color="auto"/>
              <w:bottom w:val="single" w:sz="4" w:space="0" w:color="auto"/>
            </w:tcBorders>
            <w:noWrap/>
            <w:vAlign w:val="center"/>
          </w:tcPr>
          <w:p w:rsidR="008F48EB" w:rsidRPr="00023AAB" w:rsidRDefault="00FC5C7C" w:rsidP="00EF4CDE">
            <w:pPr>
              <w:spacing w:after="0"/>
              <w:ind w:firstLine="0"/>
              <w:jc w:val="right"/>
              <w:rPr>
                <w:rFonts w:ascii="Arial Narrow" w:hAnsi="Arial Narrow"/>
                <w:spacing w:val="6"/>
                <w:szCs w:val="24"/>
              </w:rPr>
            </w:pPr>
            <w:r w:rsidRPr="00023AAB">
              <w:rPr>
                <w:rFonts w:ascii="Arial Narrow" w:hAnsi="Arial Narrow"/>
                <w:spacing w:val="6"/>
                <w:szCs w:val="24"/>
              </w:rPr>
              <w:t>4.2</w:t>
            </w:r>
            <w:r w:rsidR="003A5733" w:rsidRPr="00023AAB">
              <w:rPr>
                <w:rFonts w:ascii="Arial Narrow" w:hAnsi="Arial Narrow"/>
                <w:spacing w:val="6"/>
                <w:szCs w:val="24"/>
              </w:rPr>
              <w:t>37</w:t>
            </w:r>
            <w:r w:rsidRPr="00023AAB">
              <w:rPr>
                <w:rFonts w:ascii="Arial Narrow" w:hAnsi="Arial Narrow"/>
                <w:spacing w:val="6"/>
                <w:szCs w:val="24"/>
              </w:rPr>
              <w:t>.686</w:t>
            </w:r>
          </w:p>
        </w:tc>
        <w:tc>
          <w:tcPr>
            <w:tcW w:w="2221" w:type="dxa"/>
            <w:tcBorders>
              <w:top w:val="single" w:sz="2" w:space="0" w:color="auto"/>
              <w:bottom w:val="single" w:sz="4" w:space="0" w:color="auto"/>
            </w:tcBorders>
            <w:noWrap/>
            <w:vAlign w:val="center"/>
          </w:tcPr>
          <w:p w:rsidR="008F48EB" w:rsidRPr="00023AAB" w:rsidRDefault="00FC5C7C" w:rsidP="00EF4CDE">
            <w:pPr>
              <w:spacing w:after="0"/>
              <w:ind w:firstLine="0"/>
              <w:jc w:val="right"/>
              <w:rPr>
                <w:rFonts w:ascii="Arial Narrow" w:hAnsi="Arial Narrow"/>
                <w:spacing w:val="6"/>
                <w:szCs w:val="24"/>
              </w:rPr>
            </w:pPr>
            <w:r w:rsidRPr="00023AAB">
              <w:rPr>
                <w:rFonts w:ascii="Arial Narrow" w:hAnsi="Arial Narrow"/>
                <w:spacing w:val="6"/>
                <w:szCs w:val="24"/>
              </w:rPr>
              <w:t>328.630</w:t>
            </w:r>
          </w:p>
        </w:tc>
        <w:tc>
          <w:tcPr>
            <w:tcW w:w="1625" w:type="dxa"/>
            <w:tcBorders>
              <w:top w:val="single" w:sz="2" w:space="0" w:color="auto"/>
              <w:bottom w:val="single" w:sz="4" w:space="0" w:color="auto"/>
            </w:tcBorders>
            <w:noWrap/>
            <w:vAlign w:val="center"/>
          </w:tcPr>
          <w:p w:rsidR="008F48EB" w:rsidRPr="00023AAB" w:rsidRDefault="00FC5C7C" w:rsidP="00EF4CDE">
            <w:pPr>
              <w:spacing w:after="0"/>
              <w:ind w:firstLine="0"/>
              <w:jc w:val="right"/>
              <w:rPr>
                <w:rFonts w:ascii="Arial Narrow" w:hAnsi="Arial Narrow"/>
                <w:lang w:val="es-ES" w:eastAsia="es-ES"/>
              </w:rPr>
            </w:pPr>
            <w:r w:rsidRPr="00023AAB">
              <w:rPr>
                <w:rFonts w:ascii="Arial Narrow" w:hAnsi="Arial Narrow"/>
                <w:lang w:val="es-ES" w:eastAsia="es-ES"/>
              </w:rPr>
              <w:t>4.566.316</w:t>
            </w:r>
          </w:p>
        </w:tc>
      </w:tr>
      <w:tr w:rsidR="008F48EB" w:rsidRPr="00023AAB" w:rsidTr="009913AD">
        <w:trPr>
          <w:trHeight w:val="300"/>
          <w:jc w:val="center"/>
        </w:trPr>
        <w:tc>
          <w:tcPr>
            <w:tcW w:w="3184" w:type="dxa"/>
            <w:tcBorders>
              <w:top w:val="single" w:sz="4" w:space="0" w:color="auto"/>
              <w:bottom w:val="single" w:sz="4" w:space="0" w:color="auto"/>
            </w:tcBorders>
            <w:shd w:val="clear" w:color="auto" w:fill="8DB3E2" w:themeFill="text2" w:themeFillTint="66"/>
            <w:noWrap/>
            <w:vAlign w:val="center"/>
          </w:tcPr>
          <w:p w:rsidR="008F48EB" w:rsidRPr="00023AAB" w:rsidRDefault="008F48EB" w:rsidP="00EF4CDE">
            <w:pPr>
              <w:pStyle w:val="cuadroCabe"/>
            </w:pPr>
            <w:r w:rsidRPr="00023AAB">
              <w:t>Total deuda aplazada a 31</w:t>
            </w:r>
            <w:r w:rsidR="00EF4CDE">
              <w:t>.12.</w:t>
            </w:r>
            <w:r w:rsidRPr="00023AAB">
              <w:t>2014</w:t>
            </w:r>
          </w:p>
        </w:tc>
        <w:tc>
          <w:tcPr>
            <w:tcW w:w="1727" w:type="dxa"/>
            <w:tcBorders>
              <w:top w:val="single" w:sz="4" w:space="0" w:color="auto"/>
              <w:bottom w:val="single" w:sz="4" w:space="0" w:color="auto"/>
            </w:tcBorders>
            <w:shd w:val="clear" w:color="auto" w:fill="8DB3E2" w:themeFill="text2" w:themeFillTint="66"/>
            <w:noWrap/>
            <w:vAlign w:val="center"/>
          </w:tcPr>
          <w:p w:rsidR="008F48EB" w:rsidRPr="00023AAB" w:rsidRDefault="00FC5C7C" w:rsidP="00EF4CDE">
            <w:pPr>
              <w:spacing w:after="0"/>
              <w:ind w:firstLine="0"/>
              <w:jc w:val="right"/>
              <w:rPr>
                <w:rFonts w:ascii="Arial" w:hAnsi="Arial" w:cs="Arial"/>
                <w:sz w:val="18"/>
                <w:szCs w:val="18"/>
                <w:lang w:eastAsia="es-ES"/>
              </w:rPr>
            </w:pPr>
            <w:r w:rsidRPr="00023AAB">
              <w:rPr>
                <w:rFonts w:ascii="Arial" w:hAnsi="Arial" w:cs="Arial"/>
                <w:sz w:val="18"/>
                <w:szCs w:val="18"/>
                <w:lang w:eastAsia="es-ES"/>
              </w:rPr>
              <w:t>33.191.118</w:t>
            </w:r>
          </w:p>
        </w:tc>
        <w:tc>
          <w:tcPr>
            <w:tcW w:w="2221" w:type="dxa"/>
            <w:tcBorders>
              <w:top w:val="single" w:sz="4" w:space="0" w:color="auto"/>
              <w:bottom w:val="single" w:sz="4" w:space="0" w:color="auto"/>
            </w:tcBorders>
            <w:shd w:val="clear" w:color="auto" w:fill="8DB3E2" w:themeFill="text2" w:themeFillTint="66"/>
            <w:noWrap/>
            <w:vAlign w:val="center"/>
          </w:tcPr>
          <w:p w:rsidR="008F48EB" w:rsidRPr="00023AAB" w:rsidRDefault="00FC5C7C" w:rsidP="00EF4CDE">
            <w:pPr>
              <w:spacing w:after="0"/>
              <w:ind w:firstLine="0"/>
              <w:jc w:val="right"/>
              <w:rPr>
                <w:rFonts w:ascii="Arial" w:hAnsi="Arial" w:cs="Arial"/>
                <w:sz w:val="18"/>
                <w:szCs w:val="18"/>
                <w:lang w:eastAsia="es-ES"/>
              </w:rPr>
            </w:pPr>
            <w:r w:rsidRPr="00023AAB">
              <w:rPr>
                <w:rFonts w:ascii="Arial" w:hAnsi="Arial" w:cs="Arial"/>
                <w:sz w:val="18"/>
                <w:szCs w:val="18"/>
                <w:lang w:eastAsia="es-ES"/>
              </w:rPr>
              <w:t>3.559.052</w:t>
            </w:r>
          </w:p>
        </w:tc>
        <w:tc>
          <w:tcPr>
            <w:tcW w:w="1625" w:type="dxa"/>
            <w:tcBorders>
              <w:top w:val="single" w:sz="4" w:space="0" w:color="auto"/>
              <w:bottom w:val="single" w:sz="4" w:space="0" w:color="auto"/>
            </w:tcBorders>
            <w:shd w:val="clear" w:color="auto" w:fill="8DB3E2" w:themeFill="text2" w:themeFillTint="66"/>
            <w:noWrap/>
            <w:vAlign w:val="center"/>
          </w:tcPr>
          <w:p w:rsidR="008F48EB" w:rsidRPr="00023AAB" w:rsidRDefault="00FC5C7C" w:rsidP="00EF4CDE">
            <w:pPr>
              <w:spacing w:after="0"/>
              <w:ind w:firstLine="0"/>
              <w:jc w:val="right"/>
              <w:rPr>
                <w:rFonts w:ascii="Arial" w:hAnsi="Arial" w:cs="Arial"/>
                <w:sz w:val="18"/>
                <w:szCs w:val="18"/>
                <w:lang w:eastAsia="es-ES"/>
              </w:rPr>
            </w:pPr>
            <w:r w:rsidRPr="00023AAB">
              <w:rPr>
                <w:rFonts w:ascii="Arial" w:hAnsi="Arial" w:cs="Arial"/>
                <w:sz w:val="18"/>
                <w:szCs w:val="18"/>
                <w:lang w:eastAsia="es-ES"/>
              </w:rPr>
              <w:t>36.750.170</w:t>
            </w:r>
          </w:p>
        </w:tc>
      </w:tr>
    </w:tbl>
    <w:p w:rsidR="00EF4CDE" w:rsidRDefault="00EF4CDE" w:rsidP="00EF4CDE">
      <w:pPr>
        <w:pStyle w:val="cuatexto"/>
        <w:tabs>
          <w:tab w:val="clear" w:pos="2835"/>
          <w:tab w:val="clear" w:pos="3969"/>
          <w:tab w:val="clear" w:pos="5103"/>
          <w:tab w:val="clear" w:pos="6237"/>
          <w:tab w:val="clear" w:pos="7371"/>
        </w:tabs>
        <w:rPr>
          <w:sz w:val="18"/>
          <w:szCs w:val="18"/>
        </w:rPr>
      </w:pPr>
    </w:p>
    <w:p w:rsidR="008F48EB" w:rsidRPr="00EF4CDE" w:rsidRDefault="00EF4CDE" w:rsidP="00EF4CDE">
      <w:pPr>
        <w:pStyle w:val="cuatexto"/>
        <w:tabs>
          <w:tab w:val="clear" w:pos="2835"/>
          <w:tab w:val="clear" w:pos="3969"/>
          <w:tab w:val="clear" w:pos="5103"/>
          <w:tab w:val="clear" w:pos="6237"/>
          <w:tab w:val="clear" w:pos="7371"/>
        </w:tabs>
        <w:rPr>
          <w:sz w:val="18"/>
          <w:szCs w:val="18"/>
        </w:rPr>
      </w:pPr>
      <w:r w:rsidRPr="00EF4CDE">
        <w:rPr>
          <w:sz w:val="18"/>
          <w:szCs w:val="18"/>
          <w:vertAlign w:val="superscript"/>
        </w:rPr>
        <w:t>(1)</w:t>
      </w:r>
      <w:r>
        <w:rPr>
          <w:sz w:val="18"/>
          <w:szCs w:val="18"/>
        </w:rPr>
        <w:t xml:space="preserve"> </w:t>
      </w:r>
      <w:r w:rsidR="008F48EB" w:rsidRPr="00EF4CDE">
        <w:rPr>
          <w:sz w:val="18"/>
          <w:szCs w:val="18"/>
        </w:rPr>
        <w:t>El principal incluye los intereses y recargos devengados hasta la concesión del correspondiente aplazamiento</w:t>
      </w:r>
    </w:p>
    <w:p w:rsidR="00EF4CDE" w:rsidRDefault="00EF4CDE" w:rsidP="00A4370E">
      <w:pPr>
        <w:pStyle w:val="texto"/>
        <w:tabs>
          <w:tab w:val="clear" w:pos="2835"/>
          <w:tab w:val="clear" w:pos="3969"/>
          <w:tab w:val="clear" w:pos="5103"/>
          <w:tab w:val="clear" w:pos="6237"/>
          <w:tab w:val="clear" w:pos="7371"/>
        </w:tabs>
        <w:spacing w:after="0"/>
        <w:rPr>
          <w:szCs w:val="26"/>
        </w:rPr>
      </w:pPr>
    </w:p>
    <w:p w:rsidR="008F48EB" w:rsidRDefault="008F48EB" w:rsidP="008F48EB">
      <w:pPr>
        <w:pStyle w:val="texto"/>
        <w:tabs>
          <w:tab w:val="clear" w:pos="2835"/>
          <w:tab w:val="clear" w:pos="3969"/>
          <w:tab w:val="clear" w:pos="5103"/>
          <w:tab w:val="clear" w:pos="6237"/>
          <w:tab w:val="clear" w:pos="7371"/>
        </w:tabs>
        <w:rPr>
          <w:szCs w:val="26"/>
        </w:rPr>
      </w:pPr>
      <w:r w:rsidRPr="00023AAB">
        <w:rPr>
          <w:szCs w:val="26"/>
        </w:rPr>
        <w:t xml:space="preserve">Sobre estos aplazamientos nos remitimos a la conclusión </w:t>
      </w:r>
      <w:r w:rsidR="00F84B9D" w:rsidRPr="00023AAB">
        <w:rPr>
          <w:szCs w:val="26"/>
        </w:rPr>
        <w:t>10ª.</w:t>
      </w:r>
    </w:p>
    <w:p w:rsidR="008F48EB" w:rsidRDefault="008F48EB" w:rsidP="00B95983">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spacing w:after="0"/>
        <w:ind w:left="0" w:firstLine="289"/>
        <w:rPr>
          <w:szCs w:val="26"/>
        </w:rPr>
      </w:pPr>
      <w:r w:rsidRPr="00023AAB">
        <w:rPr>
          <w:szCs w:val="26"/>
        </w:rPr>
        <w:t>La deuda no aplazada se desglosa en los siguientes impuestos y periodos:</w:t>
      </w:r>
    </w:p>
    <w:p w:rsidR="00316E99" w:rsidRPr="00023AAB" w:rsidRDefault="00316E99" w:rsidP="004504D5">
      <w:pPr>
        <w:pStyle w:val="texto"/>
        <w:tabs>
          <w:tab w:val="clear" w:pos="2835"/>
          <w:tab w:val="clear" w:pos="3969"/>
          <w:tab w:val="clear" w:pos="5103"/>
          <w:tab w:val="clear" w:pos="6237"/>
          <w:tab w:val="clear" w:pos="7371"/>
          <w:tab w:val="left" w:pos="480"/>
          <w:tab w:val="num" w:pos="1948"/>
          <w:tab w:val="num" w:pos="6597"/>
        </w:tabs>
        <w:spacing w:after="0"/>
        <w:ind w:firstLine="0"/>
        <w:rPr>
          <w:szCs w:val="26"/>
        </w:rPr>
      </w:pPr>
    </w:p>
    <w:tbl>
      <w:tblPr>
        <w:tblW w:w="8771" w:type="dxa"/>
        <w:jc w:val="center"/>
        <w:tblCellMar>
          <w:left w:w="70" w:type="dxa"/>
          <w:right w:w="70" w:type="dxa"/>
        </w:tblCellMar>
        <w:tblLook w:val="04A0" w:firstRow="1" w:lastRow="0" w:firstColumn="1" w:lastColumn="0" w:noHBand="0" w:noVBand="1"/>
      </w:tblPr>
      <w:tblGrid>
        <w:gridCol w:w="2513"/>
        <w:gridCol w:w="890"/>
        <w:gridCol w:w="1169"/>
        <w:gridCol w:w="1417"/>
        <w:gridCol w:w="1488"/>
        <w:gridCol w:w="1294"/>
      </w:tblGrid>
      <w:tr w:rsidR="00023AAB" w:rsidRPr="00023AAB" w:rsidTr="00251DEF">
        <w:trPr>
          <w:trHeight w:val="255"/>
          <w:jc w:val="center"/>
        </w:trPr>
        <w:tc>
          <w:tcPr>
            <w:tcW w:w="2513" w:type="dxa"/>
            <w:tcBorders>
              <w:top w:val="single" w:sz="4" w:space="0" w:color="auto"/>
              <w:bottom w:val="single" w:sz="4" w:space="0" w:color="auto"/>
            </w:tcBorders>
            <w:shd w:val="clear" w:color="auto" w:fill="8DB3E2" w:themeFill="text2" w:themeFillTint="66"/>
            <w:noWrap/>
            <w:vAlign w:val="center"/>
            <w:hideMark/>
          </w:tcPr>
          <w:p w:rsidR="008F48EB" w:rsidRPr="00023AAB" w:rsidRDefault="008F48EB" w:rsidP="008F48EB">
            <w:pPr>
              <w:pStyle w:val="cuadroCabe"/>
            </w:pPr>
            <w:r w:rsidRPr="00023AAB">
              <w:t>Impuesto</w:t>
            </w:r>
          </w:p>
        </w:tc>
        <w:tc>
          <w:tcPr>
            <w:tcW w:w="890" w:type="dxa"/>
            <w:tcBorders>
              <w:top w:val="single" w:sz="4" w:space="0" w:color="auto"/>
              <w:bottom w:val="single" w:sz="4" w:space="0" w:color="auto"/>
            </w:tcBorders>
            <w:shd w:val="clear" w:color="auto" w:fill="8DB3E2" w:themeFill="text2" w:themeFillTint="66"/>
            <w:noWrap/>
            <w:vAlign w:val="center"/>
            <w:hideMark/>
          </w:tcPr>
          <w:p w:rsidR="008F48EB" w:rsidRPr="00023AAB" w:rsidRDefault="008F48EB" w:rsidP="004504D5">
            <w:pPr>
              <w:pStyle w:val="cuadroCabe"/>
              <w:jc w:val="right"/>
            </w:pPr>
            <w:r w:rsidRPr="00023AAB">
              <w:t>Año</w:t>
            </w:r>
          </w:p>
        </w:tc>
        <w:tc>
          <w:tcPr>
            <w:tcW w:w="1169" w:type="dxa"/>
            <w:tcBorders>
              <w:top w:val="single" w:sz="4" w:space="0" w:color="auto"/>
              <w:bottom w:val="single" w:sz="4" w:space="0" w:color="auto"/>
            </w:tcBorders>
            <w:shd w:val="clear" w:color="auto" w:fill="8DB3E2" w:themeFill="text2" w:themeFillTint="66"/>
            <w:noWrap/>
            <w:vAlign w:val="center"/>
            <w:hideMark/>
          </w:tcPr>
          <w:p w:rsidR="008F48EB" w:rsidRPr="00023AAB" w:rsidRDefault="008F48EB" w:rsidP="004504D5">
            <w:pPr>
              <w:pStyle w:val="cuadroCabe"/>
              <w:jc w:val="right"/>
            </w:pPr>
            <w:r w:rsidRPr="00023AAB">
              <w:t>Periodo</w:t>
            </w:r>
          </w:p>
        </w:tc>
        <w:tc>
          <w:tcPr>
            <w:tcW w:w="1417" w:type="dxa"/>
            <w:tcBorders>
              <w:top w:val="single" w:sz="4" w:space="0" w:color="auto"/>
              <w:bottom w:val="single" w:sz="4" w:space="0" w:color="auto"/>
            </w:tcBorders>
            <w:shd w:val="clear" w:color="auto" w:fill="8DB3E2" w:themeFill="text2" w:themeFillTint="66"/>
            <w:noWrap/>
            <w:vAlign w:val="center"/>
            <w:hideMark/>
          </w:tcPr>
          <w:p w:rsidR="008F48EB" w:rsidRPr="00023AAB" w:rsidRDefault="00023AAB" w:rsidP="004504D5">
            <w:pPr>
              <w:pStyle w:val="cuadroCabe"/>
              <w:jc w:val="right"/>
            </w:pPr>
            <w:r>
              <w:t>Principal</w:t>
            </w:r>
          </w:p>
        </w:tc>
        <w:tc>
          <w:tcPr>
            <w:tcW w:w="1488" w:type="dxa"/>
            <w:tcBorders>
              <w:top w:val="single" w:sz="4" w:space="0" w:color="auto"/>
              <w:bottom w:val="single" w:sz="4" w:space="0" w:color="auto"/>
            </w:tcBorders>
            <w:shd w:val="clear" w:color="auto" w:fill="8DB3E2" w:themeFill="text2" w:themeFillTint="66"/>
            <w:vAlign w:val="center"/>
            <w:hideMark/>
          </w:tcPr>
          <w:p w:rsidR="008F48EB" w:rsidRPr="00023AAB" w:rsidRDefault="008F48EB" w:rsidP="004504D5">
            <w:pPr>
              <w:pStyle w:val="cuadroCabe"/>
              <w:jc w:val="right"/>
            </w:pPr>
            <w:r w:rsidRPr="00023AAB">
              <w:t>Intereses hasta 31/12/2014</w:t>
            </w:r>
          </w:p>
        </w:tc>
        <w:tc>
          <w:tcPr>
            <w:tcW w:w="1294" w:type="dxa"/>
            <w:tcBorders>
              <w:top w:val="single" w:sz="4" w:space="0" w:color="auto"/>
              <w:bottom w:val="single" w:sz="4" w:space="0" w:color="auto"/>
            </w:tcBorders>
            <w:shd w:val="clear" w:color="auto" w:fill="8DB3E2" w:themeFill="text2" w:themeFillTint="66"/>
            <w:vAlign w:val="center"/>
            <w:hideMark/>
          </w:tcPr>
          <w:p w:rsidR="008F48EB" w:rsidRPr="00023AAB" w:rsidRDefault="008F48EB" w:rsidP="004504D5">
            <w:pPr>
              <w:pStyle w:val="cuadroCabe"/>
              <w:jc w:val="right"/>
            </w:pPr>
            <w:r w:rsidRPr="00023AAB">
              <w:t>Deuda</w:t>
            </w:r>
          </w:p>
          <w:p w:rsidR="008F48EB" w:rsidRPr="00023AAB" w:rsidRDefault="008F48EB" w:rsidP="004504D5">
            <w:pPr>
              <w:pStyle w:val="cuadroCabe"/>
              <w:jc w:val="right"/>
            </w:pPr>
            <w:r w:rsidRPr="00023AAB">
              <w:t>a 31/12/14</w:t>
            </w:r>
          </w:p>
        </w:tc>
      </w:tr>
      <w:tr w:rsidR="00023AAB" w:rsidRPr="00023AAB" w:rsidTr="00A56AFC">
        <w:trPr>
          <w:trHeight w:val="227"/>
          <w:jc w:val="center"/>
        </w:trPr>
        <w:tc>
          <w:tcPr>
            <w:tcW w:w="2513" w:type="dxa"/>
            <w:tcBorders>
              <w:top w:val="single" w:sz="4" w:space="0" w:color="auto"/>
              <w:bottom w:val="single" w:sz="2" w:space="0" w:color="auto"/>
            </w:tcBorders>
            <w:shd w:val="clear" w:color="auto" w:fill="auto"/>
            <w:noWrap/>
            <w:vAlign w:val="center"/>
            <w:hideMark/>
          </w:tcPr>
          <w:p w:rsidR="00023AAB" w:rsidRPr="00023AAB" w:rsidRDefault="00023AAB" w:rsidP="008F48EB">
            <w:pPr>
              <w:pStyle w:val="cuatexto"/>
            </w:pPr>
            <w:r w:rsidRPr="00023AAB">
              <w:t>Ret.capital. Dividendos</w:t>
            </w:r>
          </w:p>
        </w:tc>
        <w:tc>
          <w:tcPr>
            <w:tcW w:w="890" w:type="dxa"/>
            <w:tcBorders>
              <w:top w:val="single" w:sz="4"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2009</w:t>
            </w:r>
          </w:p>
        </w:tc>
        <w:tc>
          <w:tcPr>
            <w:tcW w:w="1169" w:type="dxa"/>
            <w:tcBorders>
              <w:top w:val="single" w:sz="4"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M12</w:t>
            </w:r>
          </w:p>
        </w:tc>
        <w:tc>
          <w:tcPr>
            <w:tcW w:w="1417" w:type="dxa"/>
            <w:tcBorders>
              <w:top w:val="single" w:sz="4"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eastAsia="es-ES"/>
              </w:rPr>
            </w:pPr>
            <w:r w:rsidRPr="00023AAB">
              <w:rPr>
                <w:rFonts w:ascii="Arial Narrow" w:hAnsi="Arial Narrow"/>
                <w:lang w:eastAsia="es-ES"/>
              </w:rPr>
              <w:t>5.544</w:t>
            </w:r>
          </w:p>
        </w:tc>
        <w:tc>
          <w:tcPr>
            <w:tcW w:w="1488" w:type="dxa"/>
            <w:tcBorders>
              <w:top w:val="single" w:sz="4"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eastAsia="es-ES"/>
              </w:rPr>
            </w:pPr>
            <w:r w:rsidRPr="00023AAB">
              <w:rPr>
                <w:rFonts w:ascii="Arial Narrow" w:hAnsi="Arial Narrow"/>
                <w:lang w:eastAsia="es-ES"/>
              </w:rPr>
              <w:t>53.05</w:t>
            </w:r>
            <w:r>
              <w:rPr>
                <w:rFonts w:ascii="Arial Narrow" w:hAnsi="Arial Narrow"/>
                <w:lang w:eastAsia="es-ES"/>
              </w:rPr>
              <w:t>3</w:t>
            </w:r>
          </w:p>
        </w:tc>
        <w:tc>
          <w:tcPr>
            <w:tcW w:w="1294" w:type="dxa"/>
            <w:tcBorders>
              <w:top w:val="single" w:sz="4"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val="es-ES" w:eastAsia="es-ES"/>
              </w:rPr>
              <w:t>58.597</w:t>
            </w:r>
          </w:p>
        </w:tc>
      </w:tr>
      <w:tr w:rsidR="00023AAB" w:rsidRPr="00023AAB" w:rsidTr="00A56AFC">
        <w:trPr>
          <w:trHeight w:val="227"/>
          <w:jc w:val="center"/>
        </w:trPr>
        <w:tc>
          <w:tcPr>
            <w:tcW w:w="2513" w:type="dxa"/>
            <w:tcBorders>
              <w:top w:val="single" w:sz="2" w:space="0" w:color="auto"/>
              <w:bottom w:val="single" w:sz="2" w:space="0" w:color="auto"/>
            </w:tcBorders>
            <w:shd w:val="clear" w:color="auto" w:fill="auto"/>
            <w:noWrap/>
            <w:vAlign w:val="center"/>
            <w:hideMark/>
          </w:tcPr>
          <w:p w:rsidR="00023AAB" w:rsidRPr="00023AAB" w:rsidRDefault="00023AAB" w:rsidP="008F48EB">
            <w:pPr>
              <w:pStyle w:val="cuatexto"/>
            </w:pPr>
            <w:r w:rsidRPr="00023AAB">
              <w:t>IVA</w:t>
            </w:r>
          </w:p>
        </w:tc>
        <w:tc>
          <w:tcPr>
            <w:tcW w:w="890"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2013</w:t>
            </w:r>
          </w:p>
        </w:tc>
        <w:tc>
          <w:tcPr>
            <w:tcW w:w="1169"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M09</w:t>
            </w:r>
          </w:p>
        </w:tc>
        <w:tc>
          <w:tcPr>
            <w:tcW w:w="1417" w:type="dxa"/>
            <w:tcBorders>
              <w:top w:val="single" w:sz="2" w:space="0" w:color="auto"/>
              <w:bottom w:val="single" w:sz="2" w:space="0" w:color="auto"/>
            </w:tcBorders>
            <w:shd w:val="clear" w:color="auto" w:fill="auto"/>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644.872</w:t>
            </w:r>
          </w:p>
        </w:tc>
        <w:tc>
          <w:tcPr>
            <w:tcW w:w="1488"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38.516</w:t>
            </w:r>
          </w:p>
        </w:tc>
        <w:tc>
          <w:tcPr>
            <w:tcW w:w="1294"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val="es-ES" w:eastAsia="es-ES"/>
              </w:rPr>
              <w:t>683.388</w:t>
            </w:r>
          </w:p>
        </w:tc>
      </w:tr>
      <w:tr w:rsidR="00023AAB" w:rsidRPr="00023AAB" w:rsidTr="00A56AFC">
        <w:trPr>
          <w:trHeight w:val="227"/>
          <w:jc w:val="center"/>
        </w:trPr>
        <w:tc>
          <w:tcPr>
            <w:tcW w:w="2513" w:type="dxa"/>
            <w:tcBorders>
              <w:top w:val="single" w:sz="2" w:space="0" w:color="auto"/>
              <w:bottom w:val="single" w:sz="2" w:space="0" w:color="auto"/>
            </w:tcBorders>
            <w:shd w:val="clear" w:color="auto" w:fill="auto"/>
            <w:noWrap/>
            <w:vAlign w:val="center"/>
            <w:hideMark/>
          </w:tcPr>
          <w:p w:rsidR="00023AAB" w:rsidRPr="00023AAB" w:rsidRDefault="00023AAB" w:rsidP="008F48EB">
            <w:pPr>
              <w:pStyle w:val="cuatexto"/>
            </w:pPr>
            <w:r w:rsidRPr="00023AAB">
              <w:t>IVA</w:t>
            </w:r>
          </w:p>
        </w:tc>
        <w:tc>
          <w:tcPr>
            <w:tcW w:w="890"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2013</w:t>
            </w:r>
          </w:p>
        </w:tc>
        <w:tc>
          <w:tcPr>
            <w:tcW w:w="1169"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M10</w:t>
            </w:r>
          </w:p>
        </w:tc>
        <w:tc>
          <w:tcPr>
            <w:tcW w:w="1417"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416.330</w:t>
            </w:r>
          </w:p>
        </w:tc>
        <w:tc>
          <w:tcPr>
            <w:tcW w:w="1488"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23.155</w:t>
            </w:r>
          </w:p>
        </w:tc>
        <w:tc>
          <w:tcPr>
            <w:tcW w:w="1294"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val="es-ES" w:eastAsia="es-ES"/>
              </w:rPr>
              <w:t>439.485</w:t>
            </w:r>
          </w:p>
        </w:tc>
      </w:tr>
      <w:tr w:rsidR="00023AAB" w:rsidRPr="00023AAB" w:rsidTr="00A56AFC">
        <w:trPr>
          <w:trHeight w:val="227"/>
          <w:jc w:val="center"/>
        </w:trPr>
        <w:tc>
          <w:tcPr>
            <w:tcW w:w="2513" w:type="dxa"/>
            <w:tcBorders>
              <w:top w:val="single" w:sz="2" w:space="0" w:color="auto"/>
              <w:bottom w:val="single" w:sz="2" w:space="0" w:color="auto"/>
            </w:tcBorders>
            <w:shd w:val="clear" w:color="auto" w:fill="auto"/>
            <w:noWrap/>
            <w:vAlign w:val="center"/>
            <w:hideMark/>
          </w:tcPr>
          <w:p w:rsidR="00023AAB" w:rsidRPr="00023AAB" w:rsidRDefault="00023AAB" w:rsidP="008F48EB">
            <w:pPr>
              <w:pStyle w:val="cuatexto"/>
            </w:pPr>
            <w:r w:rsidRPr="00023AAB">
              <w:t>Ret.capital. Dividendos</w:t>
            </w:r>
          </w:p>
        </w:tc>
        <w:tc>
          <w:tcPr>
            <w:tcW w:w="890"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2013</w:t>
            </w:r>
          </w:p>
        </w:tc>
        <w:tc>
          <w:tcPr>
            <w:tcW w:w="1169"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M12</w:t>
            </w:r>
          </w:p>
        </w:tc>
        <w:tc>
          <w:tcPr>
            <w:tcW w:w="1417"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69.150</w:t>
            </w:r>
          </w:p>
        </w:tc>
        <w:tc>
          <w:tcPr>
            <w:tcW w:w="1488"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3.164</w:t>
            </w:r>
          </w:p>
        </w:tc>
        <w:tc>
          <w:tcPr>
            <w:tcW w:w="1294"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val="es-ES" w:eastAsia="es-ES"/>
              </w:rPr>
              <w:t>72.314</w:t>
            </w:r>
          </w:p>
        </w:tc>
      </w:tr>
      <w:tr w:rsidR="00023AAB" w:rsidRPr="00023AAB" w:rsidTr="00A56AFC">
        <w:trPr>
          <w:trHeight w:val="227"/>
          <w:jc w:val="center"/>
        </w:trPr>
        <w:tc>
          <w:tcPr>
            <w:tcW w:w="2513" w:type="dxa"/>
            <w:tcBorders>
              <w:top w:val="single" w:sz="2" w:space="0" w:color="auto"/>
              <w:bottom w:val="single" w:sz="2" w:space="0" w:color="auto"/>
            </w:tcBorders>
            <w:shd w:val="clear" w:color="auto" w:fill="auto"/>
            <w:noWrap/>
            <w:vAlign w:val="center"/>
            <w:hideMark/>
          </w:tcPr>
          <w:p w:rsidR="00023AAB" w:rsidRPr="00023AAB" w:rsidRDefault="00023AAB" w:rsidP="008F48EB">
            <w:pPr>
              <w:pStyle w:val="cuatexto"/>
            </w:pPr>
            <w:r w:rsidRPr="00023AAB">
              <w:t>Renta no residentes</w:t>
            </w:r>
          </w:p>
        </w:tc>
        <w:tc>
          <w:tcPr>
            <w:tcW w:w="890"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2013</w:t>
            </w:r>
          </w:p>
        </w:tc>
        <w:tc>
          <w:tcPr>
            <w:tcW w:w="1169"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M12</w:t>
            </w:r>
          </w:p>
        </w:tc>
        <w:tc>
          <w:tcPr>
            <w:tcW w:w="1417"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148.727</w:t>
            </w:r>
          </w:p>
        </w:tc>
        <w:tc>
          <w:tcPr>
            <w:tcW w:w="1488"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6.805</w:t>
            </w:r>
          </w:p>
        </w:tc>
        <w:tc>
          <w:tcPr>
            <w:tcW w:w="1294"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val="es-ES" w:eastAsia="es-ES"/>
              </w:rPr>
              <w:t>155.532</w:t>
            </w:r>
          </w:p>
        </w:tc>
      </w:tr>
      <w:tr w:rsidR="00023AAB" w:rsidRPr="00023AAB" w:rsidTr="00A56AFC">
        <w:trPr>
          <w:trHeight w:val="227"/>
          <w:jc w:val="center"/>
        </w:trPr>
        <w:tc>
          <w:tcPr>
            <w:tcW w:w="2513" w:type="dxa"/>
            <w:tcBorders>
              <w:top w:val="single" w:sz="2" w:space="0" w:color="auto"/>
              <w:bottom w:val="single" w:sz="2" w:space="0" w:color="auto"/>
            </w:tcBorders>
            <w:shd w:val="clear" w:color="auto" w:fill="auto"/>
            <w:noWrap/>
            <w:vAlign w:val="center"/>
            <w:hideMark/>
          </w:tcPr>
          <w:p w:rsidR="00023AAB" w:rsidRPr="00023AAB" w:rsidRDefault="00023AAB" w:rsidP="008F48EB">
            <w:pPr>
              <w:pStyle w:val="cuatexto"/>
            </w:pPr>
            <w:r w:rsidRPr="00023AAB">
              <w:t>IVA</w:t>
            </w:r>
          </w:p>
        </w:tc>
        <w:tc>
          <w:tcPr>
            <w:tcW w:w="890"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2013</w:t>
            </w:r>
          </w:p>
        </w:tc>
        <w:tc>
          <w:tcPr>
            <w:tcW w:w="1169"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M12</w:t>
            </w:r>
          </w:p>
        </w:tc>
        <w:tc>
          <w:tcPr>
            <w:tcW w:w="1417"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418.393</w:t>
            </w:r>
          </w:p>
        </w:tc>
        <w:tc>
          <w:tcPr>
            <w:tcW w:w="1488"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19.143</w:t>
            </w:r>
          </w:p>
        </w:tc>
        <w:tc>
          <w:tcPr>
            <w:tcW w:w="1294"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val="es-ES" w:eastAsia="es-ES"/>
              </w:rPr>
              <w:t>437.536</w:t>
            </w:r>
          </w:p>
        </w:tc>
      </w:tr>
      <w:tr w:rsidR="00023AAB" w:rsidRPr="00023AAB" w:rsidTr="00A56AFC">
        <w:trPr>
          <w:trHeight w:val="227"/>
          <w:jc w:val="center"/>
        </w:trPr>
        <w:tc>
          <w:tcPr>
            <w:tcW w:w="2513" w:type="dxa"/>
            <w:tcBorders>
              <w:top w:val="single" w:sz="2" w:space="0" w:color="auto"/>
              <w:bottom w:val="single" w:sz="2" w:space="0" w:color="auto"/>
            </w:tcBorders>
            <w:shd w:val="clear" w:color="auto" w:fill="auto"/>
            <w:noWrap/>
            <w:vAlign w:val="center"/>
            <w:hideMark/>
          </w:tcPr>
          <w:p w:rsidR="00023AAB" w:rsidRPr="00023AAB" w:rsidRDefault="00023AAB" w:rsidP="008F48EB">
            <w:pPr>
              <w:pStyle w:val="cuatexto"/>
            </w:pPr>
            <w:r w:rsidRPr="00023AAB">
              <w:t>Retenciones IRPF</w:t>
            </w:r>
          </w:p>
        </w:tc>
        <w:tc>
          <w:tcPr>
            <w:tcW w:w="890"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2013</w:t>
            </w:r>
          </w:p>
        </w:tc>
        <w:tc>
          <w:tcPr>
            <w:tcW w:w="1169"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M12</w:t>
            </w:r>
          </w:p>
        </w:tc>
        <w:tc>
          <w:tcPr>
            <w:tcW w:w="1417"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6.199.107</w:t>
            </w:r>
          </w:p>
        </w:tc>
        <w:tc>
          <w:tcPr>
            <w:tcW w:w="1488"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283.630</w:t>
            </w:r>
          </w:p>
        </w:tc>
        <w:tc>
          <w:tcPr>
            <w:tcW w:w="1294"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val="es-ES" w:eastAsia="es-ES"/>
              </w:rPr>
              <w:t>6.482.737</w:t>
            </w:r>
          </w:p>
        </w:tc>
      </w:tr>
      <w:tr w:rsidR="00023AAB" w:rsidRPr="00023AAB" w:rsidTr="00A56AFC">
        <w:trPr>
          <w:trHeight w:val="227"/>
          <w:jc w:val="center"/>
        </w:trPr>
        <w:tc>
          <w:tcPr>
            <w:tcW w:w="2513" w:type="dxa"/>
            <w:tcBorders>
              <w:top w:val="single" w:sz="2" w:space="0" w:color="auto"/>
              <w:bottom w:val="single" w:sz="2" w:space="0" w:color="auto"/>
            </w:tcBorders>
            <w:shd w:val="clear" w:color="auto" w:fill="auto"/>
            <w:noWrap/>
            <w:vAlign w:val="center"/>
          </w:tcPr>
          <w:p w:rsidR="00023AAB" w:rsidRPr="00023AAB" w:rsidRDefault="00023AAB" w:rsidP="008F48EB">
            <w:pPr>
              <w:pStyle w:val="cuatexto"/>
            </w:pPr>
            <w:r w:rsidRPr="00023AAB">
              <w:t>Retenciones IRPF</w:t>
            </w:r>
          </w:p>
        </w:tc>
        <w:tc>
          <w:tcPr>
            <w:tcW w:w="890"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2014</w:t>
            </w:r>
          </w:p>
        </w:tc>
        <w:tc>
          <w:tcPr>
            <w:tcW w:w="1169"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M03</w:t>
            </w:r>
          </w:p>
        </w:tc>
        <w:tc>
          <w:tcPr>
            <w:tcW w:w="1417"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72.790</w:t>
            </w:r>
          </w:p>
        </w:tc>
        <w:tc>
          <w:tcPr>
            <w:tcW w:w="1488"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2.503</w:t>
            </w:r>
          </w:p>
        </w:tc>
        <w:tc>
          <w:tcPr>
            <w:tcW w:w="1294"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val="es-ES" w:eastAsia="es-ES"/>
              </w:rPr>
              <w:t>75.293</w:t>
            </w:r>
          </w:p>
        </w:tc>
      </w:tr>
      <w:tr w:rsidR="00023AAB" w:rsidRPr="00023AAB" w:rsidTr="00A56AFC">
        <w:trPr>
          <w:trHeight w:val="227"/>
          <w:jc w:val="center"/>
        </w:trPr>
        <w:tc>
          <w:tcPr>
            <w:tcW w:w="2513" w:type="dxa"/>
            <w:tcBorders>
              <w:top w:val="single" w:sz="2" w:space="0" w:color="auto"/>
              <w:bottom w:val="single" w:sz="2" w:space="0" w:color="auto"/>
            </w:tcBorders>
            <w:shd w:val="clear" w:color="auto" w:fill="auto"/>
            <w:noWrap/>
            <w:vAlign w:val="center"/>
          </w:tcPr>
          <w:p w:rsidR="00023AAB" w:rsidRPr="00023AAB" w:rsidRDefault="00023AAB" w:rsidP="008F48EB">
            <w:pPr>
              <w:pStyle w:val="cuatexto"/>
            </w:pPr>
            <w:r w:rsidRPr="00023AAB">
              <w:t>Retenciones IRPF</w:t>
            </w:r>
          </w:p>
        </w:tc>
        <w:tc>
          <w:tcPr>
            <w:tcW w:w="890"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2014</w:t>
            </w:r>
          </w:p>
        </w:tc>
        <w:tc>
          <w:tcPr>
            <w:tcW w:w="1169"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M04</w:t>
            </w:r>
          </w:p>
        </w:tc>
        <w:tc>
          <w:tcPr>
            <w:tcW w:w="1417"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64.493</w:t>
            </w:r>
          </w:p>
        </w:tc>
        <w:tc>
          <w:tcPr>
            <w:tcW w:w="1488"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1.988</w:t>
            </w:r>
          </w:p>
        </w:tc>
        <w:tc>
          <w:tcPr>
            <w:tcW w:w="1294"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val="es-ES" w:eastAsia="es-ES"/>
              </w:rPr>
              <w:t>66.481</w:t>
            </w:r>
          </w:p>
        </w:tc>
      </w:tr>
      <w:tr w:rsidR="00023AAB" w:rsidRPr="00023AAB" w:rsidTr="00A56AFC">
        <w:trPr>
          <w:trHeight w:val="227"/>
          <w:jc w:val="center"/>
        </w:trPr>
        <w:tc>
          <w:tcPr>
            <w:tcW w:w="2513" w:type="dxa"/>
            <w:tcBorders>
              <w:top w:val="single" w:sz="2" w:space="0" w:color="auto"/>
              <w:bottom w:val="single" w:sz="2" w:space="0" w:color="auto"/>
            </w:tcBorders>
            <w:shd w:val="clear" w:color="auto" w:fill="auto"/>
            <w:noWrap/>
            <w:vAlign w:val="center"/>
          </w:tcPr>
          <w:p w:rsidR="00023AAB" w:rsidRPr="00023AAB" w:rsidRDefault="00023AAB" w:rsidP="008F48EB">
            <w:pPr>
              <w:pStyle w:val="cuatexto"/>
            </w:pPr>
            <w:r w:rsidRPr="00023AAB">
              <w:t>Retenciones IRPF</w:t>
            </w:r>
          </w:p>
        </w:tc>
        <w:tc>
          <w:tcPr>
            <w:tcW w:w="890"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2014</w:t>
            </w:r>
          </w:p>
        </w:tc>
        <w:tc>
          <w:tcPr>
            <w:tcW w:w="1169"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M05</w:t>
            </w:r>
          </w:p>
        </w:tc>
        <w:tc>
          <w:tcPr>
            <w:tcW w:w="1417"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64.471</w:t>
            </w:r>
          </w:p>
        </w:tc>
        <w:tc>
          <w:tcPr>
            <w:tcW w:w="1488"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1.713</w:t>
            </w:r>
          </w:p>
        </w:tc>
        <w:tc>
          <w:tcPr>
            <w:tcW w:w="1294"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val="es-ES" w:eastAsia="es-ES"/>
              </w:rPr>
              <w:t>66.184</w:t>
            </w:r>
          </w:p>
        </w:tc>
      </w:tr>
      <w:tr w:rsidR="00023AAB" w:rsidRPr="00023AAB" w:rsidTr="00A56AFC">
        <w:trPr>
          <w:trHeight w:val="227"/>
          <w:jc w:val="center"/>
        </w:trPr>
        <w:tc>
          <w:tcPr>
            <w:tcW w:w="2513" w:type="dxa"/>
            <w:tcBorders>
              <w:top w:val="single" w:sz="2" w:space="0" w:color="auto"/>
              <w:bottom w:val="single" w:sz="2" w:space="0" w:color="auto"/>
            </w:tcBorders>
            <w:shd w:val="clear" w:color="auto" w:fill="auto"/>
            <w:noWrap/>
            <w:vAlign w:val="center"/>
            <w:hideMark/>
          </w:tcPr>
          <w:p w:rsidR="00023AAB" w:rsidRPr="00023AAB" w:rsidRDefault="00023AAB" w:rsidP="008F48EB">
            <w:pPr>
              <w:pStyle w:val="cuatexto"/>
            </w:pPr>
            <w:r w:rsidRPr="00023AAB">
              <w:t>IVA</w:t>
            </w:r>
          </w:p>
        </w:tc>
        <w:tc>
          <w:tcPr>
            <w:tcW w:w="890"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2014</w:t>
            </w:r>
          </w:p>
        </w:tc>
        <w:tc>
          <w:tcPr>
            <w:tcW w:w="1169"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M08</w:t>
            </w:r>
          </w:p>
        </w:tc>
        <w:tc>
          <w:tcPr>
            <w:tcW w:w="1417"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540.996</w:t>
            </w:r>
          </w:p>
        </w:tc>
        <w:tc>
          <w:tcPr>
            <w:tcW w:w="1488"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7.411</w:t>
            </w:r>
          </w:p>
        </w:tc>
        <w:tc>
          <w:tcPr>
            <w:tcW w:w="1294"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val="es-ES" w:eastAsia="es-ES"/>
              </w:rPr>
              <w:t>548.407</w:t>
            </w:r>
          </w:p>
        </w:tc>
      </w:tr>
      <w:tr w:rsidR="00023AAB" w:rsidRPr="00023AAB" w:rsidTr="00A56AFC">
        <w:trPr>
          <w:trHeight w:val="227"/>
          <w:jc w:val="center"/>
        </w:trPr>
        <w:tc>
          <w:tcPr>
            <w:tcW w:w="2513" w:type="dxa"/>
            <w:tcBorders>
              <w:top w:val="single" w:sz="2" w:space="0" w:color="auto"/>
              <w:bottom w:val="single" w:sz="2" w:space="0" w:color="auto"/>
            </w:tcBorders>
            <w:shd w:val="clear" w:color="auto" w:fill="auto"/>
            <w:noWrap/>
            <w:vAlign w:val="center"/>
            <w:hideMark/>
          </w:tcPr>
          <w:p w:rsidR="00023AAB" w:rsidRPr="00023AAB" w:rsidRDefault="00023AAB" w:rsidP="008F48EB">
            <w:pPr>
              <w:pStyle w:val="cuatexto"/>
            </w:pPr>
            <w:r w:rsidRPr="00023AAB">
              <w:t>IVA</w:t>
            </w:r>
          </w:p>
        </w:tc>
        <w:tc>
          <w:tcPr>
            <w:tcW w:w="890"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2014</w:t>
            </w:r>
          </w:p>
        </w:tc>
        <w:tc>
          <w:tcPr>
            <w:tcW w:w="1169"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M09</w:t>
            </w:r>
          </w:p>
        </w:tc>
        <w:tc>
          <w:tcPr>
            <w:tcW w:w="1417"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449.782</w:t>
            </w:r>
          </w:p>
        </w:tc>
        <w:tc>
          <w:tcPr>
            <w:tcW w:w="1488"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4.436</w:t>
            </w:r>
          </w:p>
        </w:tc>
        <w:tc>
          <w:tcPr>
            <w:tcW w:w="1294"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val="es-ES" w:eastAsia="es-ES"/>
              </w:rPr>
              <w:t>454.218</w:t>
            </w:r>
          </w:p>
        </w:tc>
      </w:tr>
      <w:tr w:rsidR="00023AAB" w:rsidRPr="00023AAB" w:rsidTr="00A56AFC">
        <w:trPr>
          <w:trHeight w:val="227"/>
          <w:jc w:val="center"/>
        </w:trPr>
        <w:tc>
          <w:tcPr>
            <w:tcW w:w="2513" w:type="dxa"/>
            <w:tcBorders>
              <w:top w:val="single" w:sz="2" w:space="0" w:color="auto"/>
              <w:bottom w:val="single" w:sz="2" w:space="0" w:color="auto"/>
            </w:tcBorders>
            <w:shd w:val="clear" w:color="auto" w:fill="auto"/>
            <w:noWrap/>
            <w:vAlign w:val="center"/>
            <w:hideMark/>
          </w:tcPr>
          <w:p w:rsidR="00023AAB" w:rsidRPr="00023AAB" w:rsidRDefault="00023AAB" w:rsidP="008F48EB">
            <w:pPr>
              <w:pStyle w:val="cuatexto"/>
            </w:pPr>
            <w:r w:rsidRPr="00023AAB">
              <w:t>Retenciones IRPF</w:t>
            </w:r>
          </w:p>
        </w:tc>
        <w:tc>
          <w:tcPr>
            <w:tcW w:w="890"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2014</w:t>
            </w:r>
          </w:p>
        </w:tc>
        <w:tc>
          <w:tcPr>
            <w:tcW w:w="1169"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M09</w:t>
            </w:r>
          </w:p>
        </w:tc>
        <w:tc>
          <w:tcPr>
            <w:tcW w:w="1417"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6.019.333</w:t>
            </w:r>
          </w:p>
        </w:tc>
        <w:tc>
          <w:tcPr>
            <w:tcW w:w="1488"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59.369</w:t>
            </w:r>
          </w:p>
        </w:tc>
        <w:tc>
          <w:tcPr>
            <w:tcW w:w="1294"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val="es-ES" w:eastAsia="es-ES"/>
              </w:rPr>
              <w:t>6.078.702</w:t>
            </w:r>
          </w:p>
        </w:tc>
      </w:tr>
      <w:tr w:rsidR="00023AAB" w:rsidRPr="00023AAB" w:rsidTr="00A56AFC">
        <w:trPr>
          <w:trHeight w:val="227"/>
          <w:jc w:val="center"/>
        </w:trPr>
        <w:tc>
          <w:tcPr>
            <w:tcW w:w="2513" w:type="dxa"/>
            <w:tcBorders>
              <w:top w:val="single" w:sz="2" w:space="0" w:color="auto"/>
              <w:bottom w:val="single" w:sz="2" w:space="0" w:color="auto"/>
            </w:tcBorders>
            <w:shd w:val="clear" w:color="auto" w:fill="auto"/>
            <w:noWrap/>
            <w:vAlign w:val="center"/>
            <w:hideMark/>
          </w:tcPr>
          <w:p w:rsidR="00023AAB" w:rsidRPr="00023AAB" w:rsidRDefault="00023AAB" w:rsidP="008F48EB">
            <w:pPr>
              <w:pStyle w:val="cuatexto"/>
            </w:pPr>
            <w:r w:rsidRPr="00023AAB">
              <w:t>IVA</w:t>
            </w:r>
          </w:p>
        </w:tc>
        <w:tc>
          <w:tcPr>
            <w:tcW w:w="890"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2014</w:t>
            </w:r>
          </w:p>
        </w:tc>
        <w:tc>
          <w:tcPr>
            <w:tcW w:w="1169"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M10</w:t>
            </w:r>
          </w:p>
        </w:tc>
        <w:tc>
          <w:tcPr>
            <w:tcW w:w="1417"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1.860</w:t>
            </w:r>
          </w:p>
        </w:tc>
        <w:tc>
          <w:tcPr>
            <w:tcW w:w="1488"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119</w:t>
            </w:r>
          </w:p>
        </w:tc>
        <w:tc>
          <w:tcPr>
            <w:tcW w:w="1294"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val="es-ES" w:eastAsia="es-ES"/>
              </w:rPr>
              <w:t>1.979</w:t>
            </w:r>
          </w:p>
        </w:tc>
      </w:tr>
      <w:tr w:rsidR="00023AAB" w:rsidRPr="00023AAB" w:rsidTr="00A56AFC">
        <w:trPr>
          <w:trHeight w:val="227"/>
          <w:jc w:val="center"/>
        </w:trPr>
        <w:tc>
          <w:tcPr>
            <w:tcW w:w="2513" w:type="dxa"/>
            <w:tcBorders>
              <w:top w:val="single" w:sz="2" w:space="0" w:color="auto"/>
              <w:bottom w:val="single" w:sz="2" w:space="0" w:color="auto"/>
            </w:tcBorders>
            <w:shd w:val="clear" w:color="auto" w:fill="auto"/>
            <w:noWrap/>
            <w:vAlign w:val="center"/>
            <w:hideMark/>
          </w:tcPr>
          <w:p w:rsidR="00023AAB" w:rsidRPr="00023AAB" w:rsidRDefault="00023AAB" w:rsidP="008F48EB">
            <w:pPr>
              <w:pStyle w:val="cuatexto"/>
            </w:pPr>
            <w:r w:rsidRPr="00023AAB">
              <w:t>Retenciones IRPF</w:t>
            </w:r>
          </w:p>
        </w:tc>
        <w:tc>
          <w:tcPr>
            <w:tcW w:w="890"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2014</w:t>
            </w:r>
          </w:p>
        </w:tc>
        <w:tc>
          <w:tcPr>
            <w:tcW w:w="1169"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M10</w:t>
            </w:r>
          </w:p>
        </w:tc>
        <w:tc>
          <w:tcPr>
            <w:tcW w:w="1417"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66.003</w:t>
            </w:r>
          </w:p>
        </w:tc>
        <w:tc>
          <w:tcPr>
            <w:tcW w:w="1488"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371</w:t>
            </w:r>
          </w:p>
        </w:tc>
        <w:tc>
          <w:tcPr>
            <w:tcW w:w="1294"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val="es-ES" w:eastAsia="es-ES"/>
              </w:rPr>
              <w:t>66.374</w:t>
            </w:r>
          </w:p>
        </w:tc>
      </w:tr>
      <w:tr w:rsidR="00023AAB" w:rsidRPr="00023AAB" w:rsidTr="00A56AFC">
        <w:trPr>
          <w:trHeight w:val="227"/>
          <w:jc w:val="center"/>
        </w:trPr>
        <w:tc>
          <w:tcPr>
            <w:tcW w:w="2513" w:type="dxa"/>
            <w:tcBorders>
              <w:top w:val="single" w:sz="2" w:space="0" w:color="auto"/>
              <w:bottom w:val="single" w:sz="2" w:space="0" w:color="auto"/>
            </w:tcBorders>
            <w:shd w:val="clear" w:color="auto" w:fill="auto"/>
            <w:noWrap/>
            <w:vAlign w:val="center"/>
            <w:hideMark/>
          </w:tcPr>
          <w:p w:rsidR="00023AAB" w:rsidRPr="00023AAB" w:rsidRDefault="00023AAB" w:rsidP="008F48EB">
            <w:pPr>
              <w:pStyle w:val="cuatexto"/>
            </w:pPr>
            <w:r w:rsidRPr="00023AAB">
              <w:t>Sociedades</w:t>
            </w:r>
          </w:p>
        </w:tc>
        <w:tc>
          <w:tcPr>
            <w:tcW w:w="890"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2013</w:t>
            </w:r>
          </w:p>
        </w:tc>
        <w:tc>
          <w:tcPr>
            <w:tcW w:w="1169"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A00</w:t>
            </w:r>
          </w:p>
        </w:tc>
        <w:tc>
          <w:tcPr>
            <w:tcW w:w="1417"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7.413</w:t>
            </w:r>
          </w:p>
        </w:tc>
        <w:tc>
          <w:tcPr>
            <w:tcW w:w="1488"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 </w:t>
            </w:r>
          </w:p>
        </w:tc>
        <w:tc>
          <w:tcPr>
            <w:tcW w:w="1294"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val="es-ES" w:eastAsia="es-ES"/>
              </w:rPr>
              <w:t>7.413</w:t>
            </w:r>
          </w:p>
        </w:tc>
      </w:tr>
      <w:tr w:rsidR="00023AAB" w:rsidRPr="00023AAB" w:rsidTr="00A56AFC">
        <w:trPr>
          <w:trHeight w:val="227"/>
          <w:jc w:val="center"/>
        </w:trPr>
        <w:tc>
          <w:tcPr>
            <w:tcW w:w="2513" w:type="dxa"/>
            <w:tcBorders>
              <w:top w:val="single" w:sz="2" w:space="0" w:color="auto"/>
              <w:bottom w:val="single" w:sz="2" w:space="0" w:color="auto"/>
            </w:tcBorders>
            <w:shd w:val="clear" w:color="auto" w:fill="auto"/>
            <w:noWrap/>
            <w:vAlign w:val="center"/>
            <w:hideMark/>
          </w:tcPr>
          <w:p w:rsidR="00023AAB" w:rsidRPr="00023AAB" w:rsidRDefault="004145E8" w:rsidP="008F48EB">
            <w:pPr>
              <w:pStyle w:val="cuatexto"/>
            </w:pPr>
            <w:r w:rsidRPr="00023AAB">
              <w:t>Ret</w:t>
            </w:r>
            <w:r>
              <w:t xml:space="preserve"> </w:t>
            </w:r>
            <w:r w:rsidRPr="00023AAB">
              <w:t>.arrendamientos</w:t>
            </w:r>
            <w:r w:rsidR="00023AAB" w:rsidRPr="00023AAB">
              <w:t>.</w:t>
            </w:r>
          </w:p>
        </w:tc>
        <w:tc>
          <w:tcPr>
            <w:tcW w:w="890"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2014</w:t>
            </w:r>
          </w:p>
        </w:tc>
        <w:tc>
          <w:tcPr>
            <w:tcW w:w="1169"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M12</w:t>
            </w:r>
          </w:p>
        </w:tc>
        <w:tc>
          <w:tcPr>
            <w:tcW w:w="1417"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1.922</w:t>
            </w:r>
          </w:p>
        </w:tc>
        <w:tc>
          <w:tcPr>
            <w:tcW w:w="1488"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 </w:t>
            </w:r>
          </w:p>
        </w:tc>
        <w:tc>
          <w:tcPr>
            <w:tcW w:w="1294"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val="es-ES" w:eastAsia="es-ES"/>
              </w:rPr>
              <w:t>1.922</w:t>
            </w:r>
          </w:p>
        </w:tc>
      </w:tr>
      <w:tr w:rsidR="00023AAB" w:rsidRPr="00023AAB" w:rsidTr="00A56AFC">
        <w:trPr>
          <w:trHeight w:val="227"/>
          <w:jc w:val="center"/>
        </w:trPr>
        <w:tc>
          <w:tcPr>
            <w:tcW w:w="2513" w:type="dxa"/>
            <w:tcBorders>
              <w:top w:val="single" w:sz="2" w:space="0" w:color="auto"/>
              <w:bottom w:val="single" w:sz="2" w:space="0" w:color="auto"/>
            </w:tcBorders>
            <w:shd w:val="clear" w:color="auto" w:fill="auto"/>
            <w:noWrap/>
            <w:vAlign w:val="center"/>
            <w:hideMark/>
          </w:tcPr>
          <w:p w:rsidR="00023AAB" w:rsidRPr="00023AAB" w:rsidRDefault="00023AAB" w:rsidP="008F48EB">
            <w:pPr>
              <w:pStyle w:val="cuatexto"/>
            </w:pPr>
            <w:r w:rsidRPr="00023AAB">
              <w:t>Ret.capital. dividendos</w:t>
            </w:r>
          </w:p>
        </w:tc>
        <w:tc>
          <w:tcPr>
            <w:tcW w:w="890"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2014</w:t>
            </w:r>
          </w:p>
        </w:tc>
        <w:tc>
          <w:tcPr>
            <w:tcW w:w="1169"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M12</w:t>
            </w:r>
          </w:p>
        </w:tc>
        <w:tc>
          <w:tcPr>
            <w:tcW w:w="1417"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30.300</w:t>
            </w:r>
          </w:p>
        </w:tc>
        <w:tc>
          <w:tcPr>
            <w:tcW w:w="1488"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 </w:t>
            </w:r>
          </w:p>
        </w:tc>
        <w:tc>
          <w:tcPr>
            <w:tcW w:w="1294"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val="es-ES" w:eastAsia="es-ES"/>
              </w:rPr>
              <w:t>30.300</w:t>
            </w:r>
          </w:p>
        </w:tc>
      </w:tr>
      <w:tr w:rsidR="00023AAB" w:rsidRPr="00023AAB" w:rsidTr="00A56AFC">
        <w:trPr>
          <w:trHeight w:val="227"/>
          <w:jc w:val="center"/>
        </w:trPr>
        <w:tc>
          <w:tcPr>
            <w:tcW w:w="2513" w:type="dxa"/>
            <w:tcBorders>
              <w:top w:val="single" w:sz="2" w:space="0" w:color="auto"/>
              <w:bottom w:val="single" w:sz="2" w:space="0" w:color="auto"/>
            </w:tcBorders>
            <w:shd w:val="clear" w:color="auto" w:fill="auto"/>
            <w:noWrap/>
            <w:vAlign w:val="center"/>
            <w:hideMark/>
          </w:tcPr>
          <w:p w:rsidR="00023AAB" w:rsidRPr="00023AAB" w:rsidRDefault="00023AAB" w:rsidP="008F48EB">
            <w:pPr>
              <w:pStyle w:val="cuatexto"/>
            </w:pPr>
            <w:r w:rsidRPr="00023AAB">
              <w:t>IVA</w:t>
            </w:r>
          </w:p>
        </w:tc>
        <w:tc>
          <w:tcPr>
            <w:tcW w:w="890"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2014</w:t>
            </w:r>
          </w:p>
        </w:tc>
        <w:tc>
          <w:tcPr>
            <w:tcW w:w="1169" w:type="dxa"/>
            <w:tcBorders>
              <w:top w:val="single" w:sz="2" w:space="0" w:color="auto"/>
              <w:bottom w:val="single" w:sz="2" w:space="0" w:color="auto"/>
            </w:tcBorders>
            <w:shd w:val="clear" w:color="auto" w:fill="auto"/>
            <w:noWrap/>
            <w:vAlign w:val="center"/>
            <w:hideMark/>
          </w:tcPr>
          <w:p w:rsidR="00023AAB" w:rsidRPr="00023AAB" w:rsidRDefault="00023AAB" w:rsidP="004504D5">
            <w:pPr>
              <w:pStyle w:val="cuatexto"/>
              <w:jc w:val="right"/>
            </w:pPr>
            <w:r w:rsidRPr="00023AAB">
              <w:t>M12</w:t>
            </w:r>
          </w:p>
        </w:tc>
        <w:tc>
          <w:tcPr>
            <w:tcW w:w="1417"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64.657</w:t>
            </w:r>
          </w:p>
        </w:tc>
        <w:tc>
          <w:tcPr>
            <w:tcW w:w="1488"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 </w:t>
            </w:r>
          </w:p>
        </w:tc>
        <w:tc>
          <w:tcPr>
            <w:tcW w:w="1294" w:type="dxa"/>
            <w:tcBorders>
              <w:top w:val="single" w:sz="2" w:space="0" w:color="auto"/>
              <w:bottom w:val="single" w:sz="2"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val="es-ES" w:eastAsia="es-ES"/>
              </w:rPr>
              <w:t>64.657</w:t>
            </w:r>
          </w:p>
        </w:tc>
      </w:tr>
      <w:tr w:rsidR="00023AAB" w:rsidRPr="00023AAB" w:rsidTr="00A56AFC">
        <w:trPr>
          <w:trHeight w:val="227"/>
          <w:jc w:val="center"/>
        </w:trPr>
        <w:tc>
          <w:tcPr>
            <w:tcW w:w="2513" w:type="dxa"/>
            <w:tcBorders>
              <w:top w:val="single" w:sz="2" w:space="0" w:color="auto"/>
              <w:bottom w:val="single" w:sz="4" w:space="0" w:color="auto"/>
            </w:tcBorders>
            <w:shd w:val="clear" w:color="auto" w:fill="auto"/>
            <w:noWrap/>
            <w:vAlign w:val="center"/>
            <w:hideMark/>
          </w:tcPr>
          <w:p w:rsidR="00023AAB" w:rsidRPr="00023AAB" w:rsidRDefault="00023AAB" w:rsidP="008F48EB">
            <w:pPr>
              <w:pStyle w:val="cuatexto"/>
            </w:pPr>
            <w:r w:rsidRPr="00023AAB">
              <w:t>Retenciones IRPF</w:t>
            </w:r>
          </w:p>
        </w:tc>
        <w:tc>
          <w:tcPr>
            <w:tcW w:w="890" w:type="dxa"/>
            <w:tcBorders>
              <w:top w:val="single" w:sz="2" w:space="0" w:color="auto"/>
              <w:bottom w:val="single" w:sz="4" w:space="0" w:color="auto"/>
            </w:tcBorders>
            <w:shd w:val="clear" w:color="auto" w:fill="auto"/>
            <w:noWrap/>
            <w:vAlign w:val="center"/>
            <w:hideMark/>
          </w:tcPr>
          <w:p w:rsidR="00023AAB" w:rsidRPr="00023AAB" w:rsidRDefault="00023AAB" w:rsidP="004504D5">
            <w:pPr>
              <w:pStyle w:val="cuatexto"/>
              <w:jc w:val="right"/>
            </w:pPr>
            <w:r w:rsidRPr="00023AAB">
              <w:t>2014</w:t>
            </w:r>
          </w:p>
        </w:tc>
        <w:tc>
          <w:tcPr>
            <w:tcW w:w="1169" w:type="dxa"/>
            <w:tcBorders>
              <w:top w:val="single" w:sz="2" w:space="0" w:color="auto"/>
              <w:bottom w:val="single" w:sz="4" w:space="0" w:color="auto"/>
            </w:tcBorders>
            <w:shd w:val="clear" w:color="auto" w:fill="auto"/>
            <w:noWrap/>
            <w:vAlign w:val="center"/>
            <w:hideMark/>
          </w:tcPr>
          <w:p w:rsidR="00023AAB" w:rsidRPr="00023AAB" w:rsidRDefault="00023AAB" w:rsidP="004504D5">
            <w:pPr>
              <w:pStyle w:val="cuatexto"/>
              <w:jc w:val="right"/>
            </w:pPr>
            <w:r w:rsidRPr="00023AAB">
              <w:t>M12</w:t>
            </w:r>
          </w:p>
        </w:tc>
        <w:tc>
          <w:tcPr>
            <w:tcW w:w="1417" w:type="dxa"/>
            <w:tcBorders>
              <w:top w:val="single" w:sz="2" w:space="0" w:color="auto"/>
              <w:bottom w:val="single" w:sz="4"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279.191</w:t>
            </w:r>
          </w:p>
        </w:tc>
        <w:tc>
          <w:tcPr>
            <w:tcW w:w="1488" w:type="dxa"/>
            <w:tcBorders>
              <w:top w:val="single" w:sz="2" w:space="0" w:color="auto"/>
              <w:bottom w:val="single" w:sz="4"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eastAsia="es-ES"/>
              </w:rPr>
              <w:t> </w:t>
            </w:r>
          </w:p>
        </w:tc>
        <w:tc>
          <w:tcPr>
            <w:tcW w:w="1294" w:type="dxa"/>
            <w:tcBorders>
              <w:top w:val="single" w:sz="2" w:space="0" w:color="auto"/>
              <w:bottom w:val="single" w:sz="4" w:space="0" w:color="auto"/>
            </w:tcBorders>
            <w:shd w:val="clear" w:color="auto" w:fill="auto"/>
            <w:noWrap/>
            <w:vAlign w:val="center"/>
          </w:tcPr>
          <w:p w:rsidR="00023AAB" w:rsidRPr="00023AAB" w:rsidRDefault="00023AAB" w:rsidP="004504D5">
            <w:pPr>
              <w:spacing w:after="0"/>
              <w:ind w:firstLine="0"/>
              <w:jc w:val="right"/>
              <w:rPr>
                <w:rFonts w:ascii="Arial Narrow" w:hAnsi="Arial Narrow"/>
                <w:lang w:val="es-ES" w:eastAsia="es-ES"/>
              </w:rPr>
            </w:pPr>
            <w:r w:rsidRPr="00023AAB">
              <w:rPr>
                <w:rFonts w:ascii="Arial Narrow" w:hAnsi="Arial Narrow"/>
                <w:lang w:val="es-ES" w:eastAsia="es-ES"/>
              </w:rPr>
              <w:t>279.191</w:t>
            </w:r>
          </w:p>
        </w:tc>
      </w:tr>
      <w:tr w:rsidR="004504D5" w:rsidRPr="004504D5" w:rsidTr="00251DEF">
        <w:trPr>
          <w:trHeight w:val="255"/>
          <w:jc w:val="center"/>
        </w:trPr>
        <w:tc>
          <w:tcPr>
            <w:tcW w:w="3403" w:type="dxa"/>
            <w:gridSpan w:val="2"/>
            <w:tcBorders>
              <w:top w:val="single" w:sz="4" w:space="0" w:color="auto"/>
              <w:bottom w:val="single" w:sz="4" w:space="0" w:color="auto"/>
            </w:tcBorders>
            <w:shd w:val="clear" w:color="auto" w:fill="8DB3E2" w:themeFill="text2" w:themeFillTint="66"/>
            <w:noWrap/>
            <w:vAlign w:val="center"/>
            <w:hideMark/>
          </w:tcPr>
          <w:p w:rsidR="004504D5" w:rsidRPr="004504D5" w:rsidRDefault="004504D5" w:rsidP="004504D5">
            <w:pPr>
              <w:spacing w:after="0"/>
              <w:ind w:firstLine="0"/>
              <w:jc w:val="right"/>
              <w:rPr>
                <w:rFonts w:ascii="Arial" w:hAnsi="Arial" w:cs="Arial"/>
                <w:sz w:val="18"/>
                <w:szCs w:val="18"/>
                <w:lang w:val="es-ES" w:eastAsia="es-ES"/>
              </w:rPr>
            </w:pPr>
            <w:r w:rsidRPr="004504D5">
              <w:rPr>
                <w:rFonts w:ascii="Arial" w:hAnsi="Arial" w:cs="Arial"/>
                <w:sz w:val="18"/>
                <w:szCs w:val="18"/>
              </w:rPr>
              <w:t>Total deuda no aplazada a 31/12/2014</w:t>
            </w:r>
          </w:p>
        </w:tc>
        <w:tc>
          <w:tcPr>
            <w:tcW w:w="1169" w:type="dxa"/>
            <w:tcBorders>
              <w:top w:val="single" w:sz="4" w:space="0" w:color="auto"/>
              <w:bottom w:val="single" w:sz="4" w:space="0" w:color="auto"/>
            </w:tcBorders>
            <w:shd w:val="clear" w:color="auto" w:fill="8DB3E2" w:themeFill="text2" w:themeFillTint="66"/>
            <w:noWrap/>
            <w:vAlign w:val="center"/>
            <w:hideMark/>
          </w:tcPr>
          <w:p w:rsidR="004504D5" w:rsidRPr="004504D5" w:rsidRDefault="004504D5" w:rsidP="004504D5">
            <w:pPr>
              <w:spacing w:after="0"/>
              <w:ind w:firstLine="0"/>
              <w:jc w:val="right"/>
              <w:rPr>
                <w:rFonts w:ascii="Calibri" w:hAnsi="Calibri"/>
                <w:sz w:val="22"/>
                <w:szCs w:val="22"/>
                <w:lang w:val="es-ES" w:eastAsia="es-ES"/>
              </w:rPr>
            </w:pPr>
          </w:p>
        </w:tc>
        <w:tc>
          <w:tcPr>
            <w:tcW w:w="1417" w:type="dxa"/>
            <w:tcBorders>
              <w:top w:val="single" w:sz="4" w:space="0" w:color="auto"/>
              <w:bottom w:val="single" w:sz="4" w:space="0" w:color="auto"/>
            </w:tcBorders>
            <w:shd w:val="clear" w:color="auto" w:fill="8DB3E2" w:themeFill="text2" w:themeFillTint="66"/>
            <w:noWrap/>
            <w:vAlign w:val="center"/>
          </w:tcPr>
          <w:p w:rsidR="004504D5" w:rsidRPr="004504D5" w:rsidRDefault="004504D5" w:rsidP="004504D5">
            <w:pPr>
              <w:spacing w:after="0"/>
              <w:ind w:firstLine="0"/>
              <w:jc w:val="right"/>
              <w:rPr>
                <w:rFonts w:ascii="Arial Narrow" w:hAnsi="Arial Narrow"/>
                <w:bCs/>
                <w:lang w:val="es-ES" w:eastAsia="es-ES"/>
              </w:rPr>
            </w:pPr>
            <w:r w:rsidRPr="004504D5">
              <w:rPr>
                <w:rFonts w:ascii="Arial Narrow" w:hAnsi="Arial Narrow"/>
                <w:bCs/>
                <w:lang w:val="es-ES" w:eastAsia="es-ES"/>
              </w:rPr>
              <w:t>15.565.334</w:t>
            </w:r>
          </w:p>
        </w:tc>
        <w:tc>
          <w:tcPr>
            <w:tcW w:w="1488" w:type="dxa"/>
            <w:tcBorders>
              <w:top w:val="single" w:sz="4" w:space="0" w:color="auto"/>
              <w:bottom w:val="single" w:sz="4" w:space="0" w:color="auto"/>
            </w:tcBorders>
            <w:shd w:val="clear" w:color="auto" w:fill="8DB3E2" w:themeFill="text2" w:themeFillTint="66"/>
            <w:noWrap/>
            <w:vAlign w:val="center"/>
          </w:tcPr>
          <w:p w:rsidR="004504D5" w:rsidRPr="004504D5" w:rsidRDefault="004504D5" w:rsidP="004504D5">
            <w:pPr>
              <w:spacing w:after="0"/>
              <w:ind w:firstLine="0"/>
              <w:jc w:val="right"/>
              <w:rPr>
                <w:rFonts w:ascii="Arial Narrow" w:hAnsi="Arial Narrow"/>
                <w:bCs/>
                <w:lang w:val="es-ES" w:eastAsia="es-ES"/>
              </w:rPr>
            </w:pPr>
            <w:r w:rsidRPr="004504D5">
              <w:rPr>
                <w:rFonts w:ascii="Arial Narrow" w:hAnsi="Arial Narrow"/>
                <w:bCs/>
                <w:lang w:val="es-ES" w:eastAsia="es-ES"/>
              </w:rPr>
              <w:t>505.376</w:t>
            </w:r>
          </w:p>
        </w:tc>
        <w:tc>
          <w:tcPr>
            <w:tcW w:w="1294" w:type="dxa"/>
            <w:tcBorders>
              <w:top w:val="single" w:sz="4" w:space="0" w:color="auto"/>
              <w:bottom w:val="single" w:sz="4" w:space="0" w:color="auto"/>
            </w:tcBorders>
            <w:shd w:val="clear" w:color="auto" w:fill="8DB3E2" w:themeFill="text2" w:themeFillTint="66"/>
            <w:noWrap/>
            <w:vAlign w:val="center"/>
          </w:tcPr>
          <w:p w:rsidR="004504D5" w:rsidRPr="004504D5" w:rsidRDefault="004504D5" w:rsidP="004504D5">
            <w:pPr>
              <w:spacing w:after="0"/>
              <w:ind w:firstLine="0"/>
              <w:jc w:val="right"/>
              <w:rPr>
                <w:rFonts w:ascii="Arial Narrow" w:hAnsi="Arial Narrow"/>
                <w:bCs/>
                <w:lang w:val="es-ES" w:eastAsia="es-ES"/>
              </w:rPr>
            </w:pPr>
            <w:r w:rsidRPr="004504D5">
              <w:rPr>
                <w:rFonts w:ascii="Arial Narrow" w:hAnsi="Arial Narrow"/>
                <w:bCs/>
                <w:lang w:val="es-ES" w:eastAsia="es-ES"/>
              </w:rPr>
              <w:t>16.070.710</w:t>
            </w:r>
          </w:p>
        </w:tc>
      </w:tr>
    </w:tbl>
    <w:p w:rsidR="00023AAB" w:rsidRPr="00023AAB" w:rsidRDefault="00023AAB" w:rsidP="004504D5">
      <w:pPr>
        <w:pStyle w:val="texto"/>
        <w:tabs>
          <w:tab w:val="clear" w:pos="2835"/>
          <w:tab w:val="clear" w:pos="3969"/>
          <w:tab w:val="clear" w:pos="5103"/>
          <w:tab w:val="clear" w:pos="6237"/>
          <w:tab w:val="clear" w:pos="7371"/>
        </w:tabs>
        <w:spacing w:after="0"/>
        <w:ind w:firstLine="0"/>
        <w:rPr>
          <w:szCs w:val="26"/>
        </w:rPr>
      </w:pPr>
    </w:p>
    <w:p w:rsidR="008F48EB" w:rsidRPr="00023AAB" w:rsidRDefault="008F48EB" w:rsidP="008F48EB">
      <w:pPr>
        <w:pStyle w:val="texto"/>
        <w:tabs>
          <w:tab w:val="clear" w:pos="2835"/>
          <w:tab w:val="clear" w:pos="3969"/>
          <w:tab w:val="clear" w:pos="5103"/>
          <w:tab w:val="clear" w:pos="6237"/>
          <w:tab w:val="clear" w:pos="7371"/>
        </w:tabs>
        <w:rPr>
          <w:szCs w:val="26"/>
        </w:rPr>
      </w:pPr>
      <w:r w:rsidRPr="00023AAB">
        <w:rPr>
          <w:szCs w:val="26"/>
        </w:rPr>
        <w:t>De su análisis destacamos:</w:t>
      </w:r>
    </w:p>
    <w:p w:rsidR="008F48EB" w:rsidRPr="00023AAB" w:rsidRDefault="008F48EB" w:rsidP="008F48EB">
      <w:pPr>
        <w:pStyle w:val="texto"/>
        <w:tabs>
          <w:tab w:val="clear" w:pos="2835"/>
          <w:tab w:val="clear" w:pos="3969"/>
          <w:tab w:val="clear" w:pos="5103"/>
          <w:tab w:val="clear" w:pos="6237"/>
          <w:tab w:val="clear" w:pos="7371"/>
        </w:tabs>
        <w:rPr>
          <w:szCs w:val="26"/>
        </w:rPr>
      </w:pPr>
      <w:r w:rsidRPr="00023AAB">
        <w:rPr>
          <w:szCs w:val="26"/>
        </w:rPr>
        <w:t xml:space="preserve">a) Los años origen de tal deuda no aplazada corresponden a 2013 y 2014. </w:t>
      </w:r>
    </w:p>
    <w:p w:rsidR="008F48EB" w:rsidRPr="00023AAB" w:rsidRDefault="008F48EB" w:rsidP="008F48EB">
      <w:pPr>
        <w:pStyle w:val="texto"/>
        <w:tabs>
          <w:tab w:val="clear" w:pos="2835"/>
          <w:tab w:val="clear" w:pos="3969"/>
          <w:tab w:val="clear" w:pos="5103"/>
          <w:tab w:val="clear" w:pos="6237"/>
          <w:tab w:val="clear" w:pos="7371"/>
        </w:tabs>
        <w:rPr>
          <w:szCs w:val="26"/>
        </w:rPr>
      </w:pPr>
      <w:r w:rsidRPr="00023AAB">
        <w:rPr>
          <w:szCs w:val="26"/>
        </w:rPr>
        <w:t>b) Los importes más relevantes hacen referencia tanto a las retenciones de IRPF de am</w:t>
      </w:r>
      <w:r w:rsidR="004504D5">
        <w:rPr>
          <w:szCs w:val="26"/>
        </w:rPr>
        <w:t>bos años –</w:t>
      </w:r>
      <w:r w:rsidRPr="00023AAB">
        <w:rPr>
          <w:szCs w:val="26"/>
        </w:rPr>
        <w:t>que explican el 82 por ciento del total de la deuda considerada</w:t>
      </w:r>
      <w:r w:rsidR="004504D5">
        <w:rPr>
          <w:szCs w:val="26"/>
        </w:rPr>
        <w:t>–</w:t>
      </w:r>
      <w:r w:rsidRPr="00023AAB">
        <w:rPr>
          <w:szCs w:val="26"/>
        </w:rPr>
        <w:t xml:space="preserve"> como al IVA –con el 16 por ciento</w:t>
      </w:r>
      <w:r w:rsidR="004504D5">
        <w:rPr>
          <w:szCs w:val="26"/>
        </w:rPr>
        <w:t>–</w:t>
      </w:r>
      <w:r w:rsidRPr="00023AAB">
        <w:rPr>
          <w:szCs w:val="26"/>
        </w:rPr>
        <w:t>.</w:t>
      </w:r>
    </w:p>
    <w:p w:rsidR="008F48EB" w:rsidRPr="00023AAB" w:rsidRDefault="008F48EB" w:rsidP="008F48EB">
      <w:pPr>
        <w:pStyle w:val="texto"/>
        <w:tabs>
          <w:tab w:val="clear" w:pos="2835"/>
          <w:tab w:val="clear" w:pos="3969"/>
          <w:tab w:val="clear" w:pos="5103"/>
          <w:tab w:val="clear" w:pos="6237"/>
          <w:tab w:val="clear" w:pos="7371"/>
        </w:tabs>
        <w:rPr>
          <w:szCs w:val="26"/>
        </w:rPr>
      </w:pPr>
      <w:r w:rsidRPr="00023AAB">
        <w:rPr>
          <w:szCs w:val="26"/>
        </w:rPr>
        <w:t xml:space="preserve">c) </w:t>
      </w:r>
      <w:r w:rsidRPr="00251DEF">
        <w:rPr>
          <w:rFonts w:ascii="Times New (W1)" w:hAnsi="Times New (W1)"/>
          <w:spacing w:val="0"/>
          <w:szCs w:val="26"/>
        </w:rPr>
        <w:t xml:space="preserve">Sobre la deuda anterior, el </w:t>
      </w:r>
      <w:r w:rsidR="006706E7">
        <w:rPr>
          <w:rFonts w:ascii="Times New (W1)" w:hAnsi="Times New (W1)"/>
          <w:spacing w:val="0"/>
          <w:szCs w:val="26"/>
        </w:rPr>
        <w:t>c</w:t>
      </w:r>
      <w:r w:rsidRPr="00251DEF">
        <w:rPr>
          <w:rFonts w:ascii="Times New (W1)" w:hAnsi="Times New (W1)"/>
          <w:spacing w:val="0"/>
          <w:szCs w:val="26"/>
        </w:rPr>
        <w:t xml:space="preserve">lub pretendía la concesión de los aplazamientos oportunos que, desde octubre de 2013, la HTN no resuelve y/o deniega, abriéndose </w:t>
      </w:r>
      <w:r w:rsidR="00802252" w:rsidRPr="00251DEF">
        <w:rPr>
          <w:rFonts w:ascii="Times New (W1)" w:hAnsi="Times New (W1)"/>
          <w:spacing w:val="0"/>
          <w:szCs w:val="26"/>
        </w:rPr>
        <w:t>u</w:t>
      </w:r>
      <w:r w:rsidRPr="00251DEF">
        <w:rPr>
          <w:rFonts w:ascii="Times New (W1)" w:hAnsi="Times New (W1)"/>
          <w:spacing w:val="0"/>
          <w:szCs w:val="26"/>
        </w:rPr>
        <w:t>n periodo de con</w:t>
      </w:r>
      <w:r w:rsidR="00023AAB" w:rsidRPr="00251DEF">
        <w:rPr>
          <w:rFonts w:ascii="Times New (W1)" w:hAnsi="Times New (W1)"/>
          <w:spacing w:val="0"/>
          <w:szCs w:val="26"/>
        </w:rPr>
        <w:t>v</w:t>
      </w:r>
      <w:r w:rsidRPr="00251DEF">
        <w:rPr>
          <w:rFonts w:ascii="Times New (W1)" w:hAnsi="Times New (W1)"/>
          <w:spacing w:val="0"/>
          <w:szCs w:val="26"/>
        </w:rPr>
        <w:t>er</w:t>
      </w:r>
      <w:r w:rsidR="00023AAB" w:rsidRPr="00251DEF">
        <w:rPr>
          <w:rFonts w:ascii="Times New (W1)" w:hAnsi="Times New (W1)"/>
          <w:spacing w:val="0"/>
          <w:szCs w:val="26"/>
        </w:rPr>
        <w:t>s</w:t>
      </w:r>
      <w:r w:rsidRPr="00251DEF">
        <w:rPr>
          <w:rFonts w:ascii="Times New (W1)" w:hAnsi="Times New (W1)"/>
          <w:spacing w:val="0"/>
          <w:szCs w:val="26"/>
        </w:rPr>
        <w:t>aciones para buscar una solución o fórmula definitiva de pago</w:t>
      </w:r>
      <w:r w:rsidRPr="00251DEF">
        <w:rPr>
          <w:rStyle w:val="Refdenotaalpie"/>
          <w:rFonts w:ascii="Times New (W1)" w:hAnsi="Times New (W1)"/>
          <w:spacing w:val="0"/>
          <w:szCs w:val="26"/>
        </w:rPr>
        <w:footnoteReference w:id="2"/>
      </w:r>
      <w:r w:rsidRPr="00251DEF">
        <w:rPr>
          <w:rFonts w:ascii="Times New (W1)" w:hAnsi="Times New (W1)"/>
          <w:spacing w:val="0"/>
          <w:szCs w:val="26"/>
        </w:rPr>
        <w:t xml:space="preserve">. Sin embargo, en esta </w:t>
      </w:r>
      <w:r w:rsidR="00023AAB" w:rsidRPr="00251DEF">
        <w:rPr>
          <w:rFonts w:ascii="Times New (W1)" w:hAnsi="Times New (W1)"/>
          <w:spacing w:val="0"/>
          <w:szCs w:val="26"/>
        </w:rPr>
        <w:t xml:space="preserve">fase </w:t>
      </w:r>
      <w:r w:rsidRPr="00251DEF">
        <w:rPr>
          <w:rFonts w:ascii="Times New (W1)" w:hAnsi="Times New (W1)"/>
          <w:spacing w:val="0"/>
          <w:szCs w:val="26"/>
        </w:rPr>
        <w:t xml:space="preserve">dimite la anterior Junta Directiva del </w:t>
      </w:r>
      <w:r w:rsidR="00927D1C">
        <w:rPr>
          <w:rFonts w:ascii="Times New (W1)" w:hAnsi="Times New (W1)"/>
          <w:spacing w:val="0"/>
          <w:szCs w:val="26"/>
        </w:rPr>
        <w:t>c</w:t>
      </w:r>
      <w:r w:rsidRPr="00251DEF">
        <w:rPr>
          <w:rFonts w:ascii="Times New (W1)" w:hAnsi="Times New (W1)"/>
          <w:spacing w:val="0"/>
          <w:szCs w:val="26"/>
        </w:rPr>
        <w:t>lub, se constituye la Junta Gestora y se nombra, posteriormente, una nueva directiva</w:t>
      </w:r>
      <w:r w:rsidR="0016510D">
        <w:rPr>
          <w:rFonts w:ascii="Times New (W1)" w:hAnsi="Times New (W1)"/>
          <w:spacing w:val="0"/>
          <w:szCs w:val="26"/>
        </w:rPr>
        <w:t>; p</w:t>
      </w:r>
      <w:r w:rsidRPr="00251DEF">
        <w:rPr>
          <w:rFonts w:ascii="Times New (W1)" w:hAnsi="Times New (W1)"/>
          <w:spacing w:val="0"/>
          <w:szCs w:val="26"/>
        </w:rPr>
        <w:t>or tanto, durante este proceso, la HTN no tiene interlocutor ejecutivo para analizar la situación y encontrar una solución</w:t>
      </w:r>
      <w:r w:rsidR="0016510D">
        <w:rPr>
          <w:rFonts w:ascii="Times New (W1)" w:hAnsi="Times New (W1)"/>
          <w:spacing w:val="0"/>
          <w:szCs w:val="26"/>
        </w:rPr>
        <w:t>.</w:t>
      </w:r>
      <w:r w:rsidR="0016510D" w:rsidRPr="0016510D">
        <w:rPr>
          <w:szCs w:val="26"/>
        </w:rPr>
        <w:t xml:space="preserve"> </w:t>
      </w:r>
      <w:r w:rsidR="0016510D">
        <w:rPr>
          <w:szCs w:val="26"/>
        </w:rPr>
        <w:t>Ante las exigencias y requisitos que señala la Hacienda Foral en aplicación de la vigente normativa, la Junta Gestora del club</w:t>
      </w:r>
      <w:r w:rsidRPr="00251DEF">
        <w:rPr>
          <w:rFonts w:ascii="Times New (W1)" w:hAnsi="Times New (W1)"/>
          <w:spacing w:val="0"/>
          <w:szCs w:val="26"/>
        </w:rPr>
        <w:t xml:space="preserve"> opta, finalmente, por la vía parlamentaria para resolver el pago de su deuda. Estas circunstancias justificarían que no se </w:t>
      </w:r>
      <w:r w:rsidR="003C2FB4">
        <w:rPr>
          <w:rFonts w:ascii="Times New (W1)" w:hAnsi="Times New (W1)"/>
          <w:spacing w:val="0"/>
          <w:szCs w:val="26"/>
        </w:rPr>
        <w:t>resolvieran</w:t>
      </w:r>
      <w:r w:rsidRPr="00251DEF">
        <w:rPr>
          <w:rFonts w:ascii="Times New (W1)" w:hAnsi="Times New (W1)"/>
          <w:spacing w:val="0"/>
          <w:szCs w:val="26"/>
        </w:rPr>
        <w:t xml:space="preserve"> formalmente los aplazamientos solicitados y que la HTN no iniciara el procedimiento de cobro por la vía ejecutiva.</w:t>
      </w:r>
      <w:r w:rsidRPr="00023AAB">
        <w:rPr>
          <w:szCs w:val="26"/>
        </w:rPr>
        <w:t xml:space="preserve"> </w:t>
      </w:r>
    </w:p>
    <w:p w:rsidR="008F48EB" w:rsidRPr="00023AAB" w:rsidRDefault="008F48EB" w:rsidP="00DB5A99">
      <w:pPr>
        <w:pStyle w:val="texto"/>
        <w:tabs>
          <w:tab w:val="clear" w:pos="2835"/>
          <w:tab w:val="clear" w:pos="3969"/>
          <w:tab w:val="clear" w:pos="5103"/>
          <w:tab w:val="clear" w:pos="6237"/>
          <w:tab w:val="clear" w:pos="7371"/>
        </w:tabs>
        <w:rPr>
          <w:szCs w:val="26"/>
        </w:rPr>
      </w:pPr>
      <w:r w:rsidRPr="00023AAB">
        <w:rPr>
          <w:szCs w:val="26"/>
        </w:rPr>
        <w:t>d) El i</w:t>
      </w:r>
      <w:r w:rsidR="00E732F4">
        <w:rPr>
          <w:szCs w:val="26"/>
        </w:rPr>
        <w:t xml:space="preserve">ncumplimiento de las </w:t>
      </w:r>
      <w:r w:rsidRPr="00023AAB">
        <w:rPr>
          <w:szCs w:val="26"/>
        </w:rPr>
        <w:t xml:space="preserve">obligaciones tributarias por el </w:t>
      </w:r>
      <w:r w:rsidR="006706E7">
        <w:rPr>
          <w:szCs w:val="26"/>
        </w:rPr>
        <w:t>c</w:t>
      </w:r>
      <w:r w:rsidRPr="00023AAB">
        <w:rPr>
          <w:szCs w:val="26"/>
        </w:rPr>
        <w:t>lub ha supuesto un incremento en su deuda tributaria no aplazada de 0,5</w:t>
      </w:r>
      <w:r w:rsidR="00DB5A99" w:rsidRPr="00023AAB">
        <w:rPr>
          <w:szCs w:val="26"/>
        </w:rPr>
        <w:t>1</w:t>
      </w:r>
      <w:r w:rsidRPr="00023AAB">
        <w:rPr>
          <w:szCs w:val="26"/>
        </w:rPr>
        <w:t xml:space="preserve"> millones.</w:t>
      </w:r>
    </w:p>
    <w:p w:rsidR="00A25A15" w:rsidRPr="00B95983" w:rsidRDefault="00B95983" w:rsidP="00B95983">
      <w:pPr>
        <w:pStyle w:val="atitulo3"/>
      </w:pPr>
      <w:r>
        <w:t xml:space="preserve">IV.1.2. </w:t>
      </w:r>
      <w:r w:rsidR="00A25A15" w:rsidRPr="00B95983">
        <w:t>Evolución de su deuda tributaria (2005-2014)</w:t>
      </w:r>
    </w:p>
    <w:p w:rsidR="00A53852" w:rsidRDefault="00802252" w:rsidP="00B95983">
      <w:pPr>
        <w:pStyle w:val="texto"/>
        <w:tabs>
          <w:tab w:val="clear" w:pos="2835"/>
          <w:tab w:val="clear" w:pos="3969"/>
          <w:tab w:val="clear" w:pos="5103"/>
          <w:tab w:val="clear" w:pos="6237"/>
          <w:tab w:val="clear" w:pos="7371"/>
        </w:tabs>
        <w:spacing w:after="240"/>
      </w:pPr>
      <w:r w:rsidRPr="00802252">
        <w:t xml:space="preserve">En las </w:t>
      </w:r>
      <w:r>
        <w:t xml:space="preserve">dos </w:t>
      </w:r>
      <w:r w:rsidRPr="00802252">
        <w:t>conclusiones siguientes, se muestra</w:t>
      </w:r>
      <w:r>
        <w:t xml:space="preserve"> tanto</w:t>
      </w:r>
      <w:r w:rsidRPr="00802252">
        <w:t xml:space="preserve"> la evolución</w:t>
      </w:r>
      <w:r>
        <w:t xml:space="preserve"> de los devengos tributarios del </w:t>
      </w:r>
      <w:r w:rsidR="006706E7">
        <w:t>c</w:t>
      </w:r>
      <w:r>
        <w:t>lub como los pagos efectuados por el mismo, todo ello referido al periodo de 2005 a 2014.</w:t>
      </w:r>
      <w:r w:rsidR="00A53852">
        <w:t xml:space="preserve"> Así se observa que el total d</w:t>
      </w:r>
      <w:r w:rsidR="00CD5E0A">
        <w:t xml:space="preserve">evengado </w:t>
      </w:r>
      <w:r w:rsidR="00A53852">
        <w:t>ha ascendido a 98,83 millones, de los que ha pagado un total de 49,97 millones.</w:t>
      </w:r>
    </w:p>
    <w:p w:rsidR="00A4370E" w:rsidRDefault="00231A37" w:rsidP="00B95983">
      <w:pPr>
        <w:pStyle w:val="texto"/>
        <w:tabs>
          <w:tab w:val="clear" w:pos="2835"/>
          <w:tab w:val="clear" w:pos="3969"/>
          <w:tab w:val="clear" w:pos="5103"/>
          <w:tab w:val="clear" w:pos="6237"/>
          <w:tab w:val="clear" w:pos="7371"/>
        </w:tabs>
        <w:spacing w:after="240"/>
        <w:rPr>
          <w:b/>
        </w:rPr>
      </w:pPr>
      <w:r w:rsidRPr="00231A37">
        <w:rPr>
          <w:b/>
        </w:rPr>
        <w:t>4</w:t>
      </w:r>
      <w:r w:rsidR="00B34638">
        <w:rPr>
          <w:b/>
        </w:rPr>
        <w:t>.ª Devengos por año</w:t>
      </w:r>
      <w:r w:rsidR="00997397" w:rsidRPr="00231A37">
        <w:rPr>
          <w:b/>
        </w:rPr>
        <w:t xml:space="preserve"> </w:t>
      </w:r>
    </w:p>
    <w:p w:rsidR="00997397" w:rsidRPr="00997397" w:rsidRDefault="00997397" w:rsidP="00B95983">
      <w:pPr>
        <w:pStyle w:val="texto"/>
        <w:tabs>
          <w:tab w:val="clear" w:pos="2835"/>
          <w:tab w:val="clear" w:pos="3969"/>
          <w:tab w:val="clear" w:pos="5103"/>
          <w:tab w:val="clear" w:pos="6237"/>
          <w:tab w:val="clear" w:pos="7371"/>
        </w:tabs>
        <w:spacing w:after="240"/>
      </w:pPr>
      <w:r w:rsidRPr="00231A37">
        <w:t>Entre 2005 y 2014, los devengos por año contable y por el conjunto de conceptos</w:t>
      </w:r>
      <w:r w:rsidR="00AA4480" w:rsidRPr="00231A37">
        <w:t xml:space="preserve"> tributarios</w:t>
      </w:r>
      <w:r w:rsidRPr="00231A37">
        <w:t xml:space="preserve"> ascienden a 98,83 millones, según pu</w:t>
      </w:r>
      <w:r w:rsidR="00B05882" w:rsidRPr="00231A37">
        <w:t>e</w:t>
      </w:r>
      <w:r w:rsidRPr="00231A37">
        <w:t>de observarse en el cuadro siguiente:</w:t>
      </w:r>
    </w:p>
    <w:tbl>
      <w:tblPr>
        <w:tblW w:w="8821" w:type="dxa"/>
        <w:tblInd w:w="70" w:type="dxa"/>
        <w:tblCellMar>
          <w:left w:w="70" w:type="dxa"/>
          <w:right w:w="70" w:type="dxa"/>
        </w:tblCellMar>
        <w:tblLook w:val="04A0" w:firstRow="1" w:lastRow="0" w:firstColumn="1" w:lastColumn="0" w:noHBand="0" w:noVBand="1"/>
      </w:tblPr>
      <w:tblGrid>
        <w:gridCol w:w="969"/>
        <w:gridCol w:w="1296"/>
        <w:gridCol w:w="1074"/>
        <w:gridCol w:w="1339"/>
        <w:gridCol w:w="1134"/>
        <w:gridCol w:w="969"/>
        <w:gridCol w:w="989"/>
        <w:gridCol w:w="1051"/>
      </w:tblGrid>
      <w:tr w:rsidR="00997397" w:rsidRPr="00B95983" w:rsidTr="00251DEF">
        <w:trPr>
          <w:trHeight w:val="284"/>
        </w:trPr>
        <w:tc>
          <w:tcPr>
            <w:tcW w:w="969" w:type="dxa"/>
            <w:tcBorders>
              <w:top w:val="single" w:sz="4" w:space="0" w:color="auto"/>
              <w:bottom w:val="single" w:sz="4" w:space="0" w:color="auto"/>
            </w:tcBorders>
            <w:shd w:val="clear" w:color="auto" w:fill="8DB3E2" w:themeFill="text2" w:themeFillTint="66"/>
            <w:noWrap/>
            <w:vAlign w:val="center"/>
            <w:hideMark/>
          </w:tcPr>
          <w:p w:rsidR="00997397" w:rsidRPr="00B95983" w:rsidRDefault="00997397" w:rsidP="00997397">
            <w:pPr>
              <w:pStyle w:val="cuadroCabe"/>
              <w:rPr>
                <w:sz w:val="17"/>
                <w:szCs w:val="17"/>
              </w:rPr>
            </w:pPr>
            <w:r w:rsidRPr="00B95983">
              <w:rPr>
                <w:sz w:val="17"/>
                <w:szCs w:val="17"/>
              </w:rPr>
              <w:t xml:space="preserve">Año </w:t>
            </w:r>
          </w:p>
          <w:p w:rsidR="00997397" w:rsidRPr="00B95983" w:rsidRDefault="00997397" w:rsidP="00997397">
            <w:pPr>
              <w:pStyle w:val="cuadroCabe"/>
              <w:rPr>
                <w:sz w:val="17"/>
                <w:szCs w:val="17"/>
              </w:rPr>
            </w:pPr>
            <w:r w:rsidRPr="00B95983">
              <w:rPr>
                <w:sz w:val="17"/>
                <w:szCs w:val="17"/>
              </w:rPr>
              <w:t>contable</w:t>
            </w:r>
          </w:p>
        </w:tc>
        <w:tc>
          <w:tcPr>
            <w:tcW w:w="1296" w:type="dxa"/>
            <w:tcBorders>
              <w:top w:val="single" w:sz="4" w:space="0" w:color="auto"/>
              <w:bottom w:val="single" w:sz="4" w:space="0" w:color="auto"/>
            </w:tcBorders>
            <w:shd w:val="clear" w:color="auto" w:fill="8DB3E2" w:themeFill="text2" w:themeFillTint="66"/>
            <w:noWrap/>
            <w:vAlign w:val="center"/>
            <w:hideMark/>
          </w:tcPr>
          <w:p w:rsidR="00A4370E" w:rsidRDefault="00997397" w:rsidP="00A4370E">
            <w:pPr>
              <w:pStyle w:val="cuadroCabe"/>
              <w:jc w:val="right"/>
              <w:rPr>
                <w:sz w:val="17"/>
                <w:szCs w:val="17"/>
              </w:rPr>
            </w:pPr>
            <w:r w:rsidRPr="00B95983">
              <w:rPr>
                <w:sz w:val="17"/>
                <w:szCs w:val="17"/>
              </w:rPr>
              <w:t>Declaraciones</w:t>
            </w:r>
          </w:p>
          <w:p w:rsidR="00997397" w:rsidRPr="00B95983" w:rsidRDefault="00997397" w:rsidP="00A4370E">
            <w:pPr>
              <w:pStyle w:val="cuadroCabe"/>
              <w:jc w:val="center"/>
              <w:rPr>
                <w:sz w:val="17"/>
                <w:szCs w:val="17"/>
                <w:vertAlign w:val="superscript"/>
              </w:rPr>
            </w:pPr>
            <w:r w:rsidRPr="00B95983">
              <w:rPr>
                <w:sz w:val="17"/>
                <w:szCs w:val="17"/>
                <w:vertAlign w:val="superscript"/>
              </w:rPr>
              <w:t>(1)</w:t>
            </w:r>
          </w:p>
        </w:tc>
        <w:tc>
          <w:tcPr>
            <w:tcW w:w="1074" w:type="dxa"/>
            <w:tcBorders>
              <w:top w:val="single" w:sz="4" w:space="0" w:color="auto"/>
              <w:bottom w:val="single" w:sz="4" w:space="0" w:color="auto"/>
            </w:tcBorders>
            <w:shd w:val="clear" w:color="auto" w:fill="8DB3E2" w:themeFill="text2" w:themeFillTint="66"/>
            <w:noWrap/>
            <w:vAlign w:val="center"/>
            <w:hideMark/>
          </w:tcPr>
          <w:p w:rsidR="00A4370E" w:rsidRDefault="00997397" w:rsidP="00B95983">
            <w:pPr>
              <w:pStyle w:val="cuadroCabe"/>
              <w:jc w:val="right"/>
              <w:rPr>
                <w:sz w:val="17"/>
                <w:szCs w:val="17"/>
              </w:rPr>
            </w:pPr>
            <w:r w:rsidRPr="00B95983">
              <w:rPr>
                <w:sz w:val="17"/>
                <w:szCs w:val="17"/>
              </w:rPr>
              <w:t>Intereses</w:t>
            </w:r>
          </w:p>
          <w:p w:rsidR="00997397" w:rsidRPr="00B95983" w:rsidRDefault="00023AAB" w:rsidP="00A4370E">
            <w:pPr>
              <w:pStyle w:val="cuadroCabe"/>
              <w:jc w:val="center"/>
              <w:rPr>
                <w:sz w:val="17"/>
                <w:szCs w:val="17"/>
              </w:rPr>
            </w:pPr>
            <w:r w:rsidRPr="00B95983">
              <w:rPr>
                <w:sz w:val="17"/>
                <w:szCs w:val="17"/>
                <w:vertAlign w:val="superscript"/>
              </w:rPr>
              <w:t>(2)</w:t>
            </w:r>
          </w:p>
        </w:tc>
        <w:tc>
          <w:tcPr>
            <w:tcW w:w="1339" w:type="dxa"/>
            <w:tcBorders>
              <w:top w:val="single" w:sz="4" w:space="0" w:color="auto"/>
              <w:bottom w:val="single" w:sz="4" w:space="0" w:color="auto"/>
            </w:tcBorders>
            <w:shd w:val="clear" w:color="auto" w:fill="8DB3E2" w:themeFill="text2" w:themeFillTint="66"/>
            <w:noWrap/>
            <w:vAlign w:val="center"/>
            <w:hideMark/>
          </w:tcPr>
          <w:p w:rsidR="00997397" w:rsidRPr="00B95983" w:rsidRDefault="00997397" w:rsidP="00B95983">
            <w:pPr>
              <w:pStyle w:val="cuadroCabe"/>
              <w:jc w:val="right"/>
              <w:rPr>
                <w:sz w:val="17"/>
                <w:szCs w:val="17"/>
              </w:rPr>
            </w:pPr>
            <w:r w:rsidRPr="00B95983">
              <w:rPr>
                <w:sz w:val="17"/>
                <w:szCs w:val="17"/>
              </w:rPr>
              <w:t>Agencia ejec</w:t>
            </w:r>
            <w:r w:rsidR="00B95983">
              <w:rPr>
                <w:sz w:val="17"/>
                <w:szCs w:val="17"/>
              </w:rPr>
              <w:t xml:space="preserve">. </w:t>
            </w:r>
            <w:r w:rsidRPr="00B95983">
              <w:rPr>
                <w:sz w:val="17"/>
                <w:szCs w:val="17"/>
              </w:rPr>
              <w:t>/recargos</w:t>
            </w:r>
          </w:p>
        </w:tc>
        <w:tc>
          <w:tcPr>
            <w:tcW w:w="1134" w:type="dxa"/>
            <w:tcBorders>
              <w:top w:val="single" w:sz="4" w:space="0" w:color="auto"/>
              <w:bottom w:val="single" w:sz="4" w:space="0" w:color="auto"/>
            </w:tcBorders>
            <w:shd w:val="clear" w:color="auto" w:fill="8DB3E2" w:themeFill="text2" w:themeFillTint="66"/>
            <w:noWrap/>
            <w:vAlign w:val="center"/>
            <w:hideMark/>
          </w:tcPr>
          <w:p w:rsidR="00997397" w:rsidRPr="00B95983" w:rsidRDefault="00997397" w:rsidP="00B95983">
            <w:pPr>
              <w:pStyle w:val="cuadroCabe"/>
              <w:tabs>
                <w:tab w:val="clear" w:pos="2835"/>
              </w:tabs>
              <w:jc w:val="right"/>
              <w:rPr>
                <w:sz w:val="17"/>
                <w:szCs w:val="17"/>
              </w:rPr>
            </w:pPr>
            <w:r w:rsidRPr="00B95983">
              <w:rPr>
                <w:sz w:val="17"/>
                <w:szCs w:val="17"/>
              </w:rPr>
              <w:t>Agencia ejec</w:t>
            </w:r>
            <w:r w:rsidR="00B95983">
              <w:rPr>
                <w:sz w:val="17"/>
                <w:szCs w:val="17"/>
              </w:rPr>
              <w:t>.</w:t>
            </w:r>
            <w:r w:rsidRPr="00B95983">
              <w:rPr>
                <w:sz w:val="17"/>
                <w:szCs w:val="17"/>
              </w:rPr>
              <w:t>/costas</w:t>
            </w:r>
          </w:p>
        </w:tc>
        <w:tc>
          <w:tcPr>
            <w:tcW w:w="969" w:type="dxa"/>
            <w:tcBorders>
              <w:top w:val="single" w:sz="4" w:space="0" w:color="auto"/>
              <w:bottom w:val="single" w:sz="4" w:space="0" w:color="auto"/>
            </w:tcBorders>
            <w:shd w:val="clear" w:color="auto" w:fill="8DB3E2" w:themeFill="text2" w:themeFillTint="66"/>
            <w:noWrap/>
            <w:vAlign w:val="center"/>
            <w:hideMark/>
          </w:tcPr>
          <w:p w:rsidR="00A25A15" w:rsidRPr="00B95983" w:rsidRDefault="00997397" w:rsidP="00B95983">
            <w:pPr>
              <w:pStyle w:val="cuadroCabe"/>
              <w:jc w:val="right"/>
              <w:rPr>
                <w:sz w:val="17"/>
                <w:szCs w:val="17"/>
              </w:rPr>
            </w:pPr>
            <w:r w:rsidRPr="00B95983">
              <w:rPr>
                <w:sz w:val="17"/>
                <w:szCs w:val="17"/>
              </w:rPr>
              <w:t xml:space="preserve">Recargo </w:t>
            </w:r>
          </w:p>
          <w:p w:rsidR="00997397" w:rsidRPr="00B95983" w:rsidRDefault="00B95983" w:rsidP="00B95983">
            <w:pPr>
              <w:pStyle w:val="cuadroCabe"/>
              <w:jc w:val="right"/>
              <w:rPr>
                <w:sz w:val="17"/>
                <w:szCs w:val="17"/>
              </w:rPr>
            </w:pPr>
            <w:r w:rsidRPr="00B95983">
              <w:rPr>
                <w:sz w:val="17"/>
                <w:szCs w:val="17"/>
              </w:rPr>
              <w:t>E</w:t>
            </w:r>
            <w:r w:rsidR="00997397" w:rsidRPr="00B95983">
              <w:rPr>
                <w:sz w:val="17"/>
                <w:szCs w:val="17"/>
              </w:rPr>
              <w:t>xtempor</w:t>
            </w:r>
            <w:r>
              <w:rPr>
                <w:sz w:val="17"/>
                <w:szCs w:val="17"/>
              </w:rPr>
              <w:t>.</w:t>
            </w:r>
          </w:p>
        </w:tc>
        <w:tc>
          <w:tcPr>
            <w:tcW w:w="989" w:type="dxa"/>
            <w:tcBorders>
              <w:top w:val="single" w:sz="4" w:space="0" w:color="auto"/>
              <w:bottom w:val="single" w:sz="4" w:space="0" w:color="auto"/>
            </w:tcBorders>
            <w:shd w:val="clear" w:color="auto" w:fill="8DB3E2" w:themeFill="text2" w:themeFillTint="66"/>
            <w:noWrap/>
            <w:vAlign w:val="center"/>
            <w:hideMark/>
          </w:tcPr>
          <w:p w:rsidR="00997397" w:rsidRPr="00B95983" w:rsidRDefault="00997397" w:rsidP="00B95983">
            <w:pPr>
              <w:pStyle w:val="cuadroCabe"/>
              <w:jc w:val="right"/>
              <w:rPr>
                <w:sz w:val="17"/>
                <w:szCs w:val="17"/>
              </w:rPr>
            </w:pPr>
            <w:r w:rsidRPr="00B95983">
              <w:rPr>
                <w:sz w:val="17"/>
                <w:szCs w:val="17"/>
              </w:rPr>
              <w:t>Sanciones</w:t>
            </w:r>
          </w:p>
          <w:p w:rsidR="00997397" w:rsidRPr="00B95983" w:rsidRDefault="00997397" w:rsidP="00B95983">
            <w:pPr>
              <w:pStyle w:val="cuadroCabe"/>
              <w:jc w:val="right"/>
              <w:rPr>
                <w:sz w:val="17"/>
                <w:szCs w:val="17"/>
              </w:rPr>
            </w:pPr>
            <w:r w:rsidRPr="00B95983">
              <w:rPr>
                <w:sz w:val="17"/>
                <w:szCs w:val="17"/>
              </w:rPr>
              <w:t>tributarias</w:t>
            </w:r>
          </w:p>
        </w:tc>
        <w:tc>
          <w:tcPr>
            <w:tcW w:w="1051" w:type="dxa"/>
            <w:tcBorders>
              <w:top w:val="single" w:sz="4" w:space="0" w:color="auto"/>
              <w:bottom w:val="single" w:sz="4" w:space="0" w:color="auto"/>
            </w:tcBorders>
            <w:shd w:val="clear" w:color="auto" w:fill="8DB3E2" w:themeFill="text2" w:themeFillTint="66"/>
            <w:noWrap/>
            <w:vAlign w:val="center"/>
            <w:hideMark/>
          </w:tcPr>
          <w:p w:rsidR="00997397" w:rsidRPr="00B95983" w:rsidRDefault="00997397" w:rsidP="00B95983">
            <w:pPr>
              <w:pStyle w:val="cuadroCabe"/>
              <w:jc w:val="right"/>
              <w:rPr>
                <w:sz w:val="17"/>
                <w:szCs w:val="17"/>
              </w:rPr>
            </w:pPr>
            <w:r w:rsidRPr="00B95983">
              <w:rPr>
                <w:sz w:val="17"/>
                <w:szCs w:val="17"/>
              </w:rPr>
              <w:t xml:space="preserve"> Total </w:t>
            </w:r>
          </w:p>
          <w:p w:rsidR="00997397" w:rsidRPr="00B95983" w:rsidRDefault="00997397" w:rsidP="00B95983">
            <w:pPr>
              <w:pStyle w:val="cuadroCabe"/>
              <w:jc w:val="right"/>
              <w:rPr>
                <w:sz w:val="17"/>
                <w:szCs w:val="17"/>
              </w:rPr>
            </w:pPr>
            <w:r w:rsidRPr="00B95983">
              <w:rPr>
                <w:sz w:val="17"/>
                <w:szCs w:val="17"/>
              </w:rPr>
              <w:t>devengos</w:t>
            </w:r>
          </w:p>
        </w:tc>
      </w:tr>
      <w:tr w:rsidR="00997397" w:rsidRPr="00997397" w:rsidTr="00251DEF">
        <w:trPr>
          <w:trHeight w:val="284"/>
        </w:trPr>
        <w:tc>
          <w:tcPr>
            <w:tcW w:w="969" w:type="dxa"/>
            <w:tcBorders>
              <w:top w:val="single" w:sz="4" w:space="0" w:color="auto"/>
              <w:bottom w:val="single" w:sz="2" w:space="0" w:color="auto"/>
            </w:tcBorders>
            <w:shd w:val="clear" w:color="auto" w:fill="auto"/>
            <w:noWrap/>
            <w:vAlign w:val="center"/>
            <w:hideMark/>
          </w:tcPr>
          <w:p w:rsidR="00997397" w:rsidRPr="00997397" w:rsidRDefault="00997397" w:rsidP="00997397">
            <w:pPr>
              <w:pStyle w:val="cuatexto"/>
            </w:pPr>
            <w:r w:rsidRPr="00997397">
              <w:t>2005</w:t>
            </w:r>
          </w:p>
        </w:tc>
        <w:tc>
          <w:tcPr>
            <w:tcW w:w="1296" w:type="dxa"/>
            <w:tcBorders>
              <w:top w:val="single" w:sz="4"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2.421.255</w:t>
            </w:r>
          </w:p>
        </w:tc>
        <w:tc>
          <w:tcPr>
            <w:tcW w:w="1074" w:type="dxa"/>
            <w:tcBorders>
              <w:top w:val="single" w:sz="4"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20.112</w:t>
            </w:r>
          </w:p>
        </w:tc>
        <w:tc>
          <w:tcPr>
            <w:tcW w:w="1339" w:type="dxa"/>
            <w:tcBorders>
              <w:top w:val="single" w:sz="4"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396.798</w:t>
            </w:r>
          </w:p>
        </w:tc>
        <w:tc>
          <w:tcPr>
            <w:tcW w:w="1134" w:type="dxa"/>
            <w:tcBorders>
              <w:top w:val="single" w:sz="4"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 </w:t>
            </w:r>
          </w:p>
        </w:tc>
        <w:tc>
          <w:tcPr>
            <w:tcW w:w="969" w:type="dxa"/>
            <w:tcBorders>
              <w:top w:val="single" w:sz="4"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 </w:t>
            </w:r>
          </w:p>
        </w:tc>
        <w:tc>
          <w:tcPr>
            <w:tcW w:w="989" w:type="dxa"/>
            <w:tcBorders>
              <w:top w:val="single" w:sz="4"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 </w:t>
            </w:r>
          </w:p>
        </w:tc>
        <w:tc>
          <w:tcPr>
            <w:tcW w:w="1051" w:type="dxa"/>
            <w:tcBorders>
              <w:top w:val="single" w:sz="4"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2.838.165</w:t>
            </w:r>
          </w:p>
        </w:tc>
      </w:tr>
      <w:tr w:rsidR="00997397" w:rsidRPr="00997397" w:rsidTr="00251DEF">
        <w:trPr>
          <w:trHeight w:val="284"/>
        </w:trPr>
        <w:tc>
          <w:tcPr>
            <w:tcW w:w="969" w:type="dxa"/>
            <w:tcBorders>
              <w:top w:val="single" w:sz="2" w:space="0" w:color="auto"/>
              <w:bottom w:val="single" w:sz="2" w:space="0" w:color="auto"/>
            </w:tcBorders>
            <w:shd w:val="clear" w:color="auto" w:fill="auto"/>
            <w:noWrap/>
            <w:vAlign w:val="center"/>
            <w:hideMark/>
          </w:tcPr>
          <w:p w:rsidR="00997397" w:rsidRPr="00997397" w:rsidRDefault="00997397" w:rsidP="00997397">
            <w:pPr>
              <w:pStyle w:val="cuatexto"/>
            </w:pPr>
            <w:r w:rsidRPr="00997397">
              <w:t>2006</w:t>
            </w:r>
          </w:p>
        </w:tc>
        <w:tc>
          <w:tcPr>
            <w:tcW w:w="1296"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3.047.279</w:t>
            </w:r>
          </w:p>
        </w:tc>
        <w:tc>
          <w:tcPr>
            <w:tcW w:w="1074"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26.266</w:t>
            </w:r>
          </w:p>
        </w:tc>
        <w:tc>
          <w:tcPr>
            <w:tcW w:w="1339"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 </w:t>
            </w:r>
          </w:p>
        </w:tc>
        <w:tc>
          <w:tcPr>
            <w:tcW w:w="1134"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 </w:t>
            </w:r>
          </w:p>
        </w:tc>
        <w:tc>
          <w:tcPr>
            <w:tcW w:w="969"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 </w:t>
            </w:r>
          </w:p>
        </w:tc>
        <w:tc>
          <w:tcPr>
            <w:tcW w:w="989"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 </w:t>
            </w:r>
          </w:p>
        </w:tc>
        <w:tc>
          <w:tcPr>
            <w:tcW w:w="1051"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3.073.545</w:t>
            </w:r>
          </w:p>
        </w:tc>
      </w:tr>
      <w:tr w:rsidR="00997397" w:rsidRPr="00997397" w:rsidTr="00251DEF">
        <w:trPr>
          <w:trHeight w:val="284"/>
        </w:trPr>
        <w:tc>
          <w:tcPr>
            <w:tcW w:w="969" w:type="dxa"/>
            <w:tcBorders>
              <w:top w:val="single" w:sz="2" w:space="0" w:color="auto"/>
              <w:bottom w:val="single" w:sz="2" w:space="0" w:color="auto"/>
            </w:tcBorders>
            <w:shd w:val="clear" w:color="auto" w:fill="auto"/>
            <w:noWrap/>
            <w:vAlign w:val="center"/>
            <w:hideMark/>
          </w:tcPr>
          <w:p w:rsidR="00997397" w:rsidRPr="00997397" w:rsidRDefault="00997397" w:rsidP="00997397">
            <w:pPr>
              <w:pStyle w:val="cuatexto"/>
            </w:pPr>
            <w:r w:rsidRPr="00997397">
              <w:t>2007</w:t>
            </w:r>
          </w:p>
        </w:tc>
        <w:tc>
          <w:tcPr>
            <w:tcW w:w="1296"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4.245.087</w:t>
            </w:r>
          </w:p>
        </w:tc>
        <w:tc>
          <w:tcPr>
            <w:tcW w:w="1074"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29.735</w:t>
            </w:r>
          </w:p>
        </w:tc>
        <w:tc>
          <w:tcPr>
            <w:tcW w:w="1339"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 </w:t>
            </w:r>
          </w:p>
        </w:tc>
        <w:tc>
          <w:tcPr>
            <w:tcW w:w="1134"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 </w:t>
            </w:r>
          </w:p>
        </w:tc>
        <w:tc>
          <w:tcPr>
            <w:tcW w:w="969"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22</w:t>
            </w:r>
          </w:p>
        </w:tc>
        <w:tc>
          <w:tcPr>
            <w:tcW w:w="989"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 </w:t>
            </w:r>
          </w:p>
        </w:tc>
        <w:tc>
          <w:tcPr>
            <w:tcW w:w="1051"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4.274.844</w:t>
            </w:r>
          </w:p>
        </w:tc>
      </w:tr>
      <w:tr w:rsidR="00997397" w:rsidRPr="00997397" w:rsidTr="00251DEF">
        <w:trPr>
          <w:trHeight w:val="284"/>
        </w:trPr>
        <w:tc>
          <w:tcPr>
            <w:tcW w:w="969" w:type="dxa"/>
            <w:tcBorders>
              <w:top w:val="single" w:sz="2" w:space="0" w:color="auto"/>
              <w:bottom w:val="single" w:sz="2" w:space="0" w:color="auto"/>
            </w:tcBorders>
            <w:shd w:val="clear" w:color="auto" w:fill="auto"/>
            <w:noWrap/>
            <w:vAlign w:val="center"/>
            <w:hideMark/>
          </w:tcPr>
          <w:p w:rsidR="00997397" w:rsidRPr="00997397" w:rsidRDefault="00997397" w:rsidP="00997397">
            <w:pPr>
              <w:pStyle w:val="cuatexto"/>
            </w:pPr>
            <w:r w:rsidRPr="00997397">
              <w:t>2008</w:t>
            </w:r>
          </w:p>
        </w:tc>
        <w:tc>
          <w:tcPr>
            <w:tcW w:w="1296"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12.900.908</w:t>
            </w:r>
          </w:p>
        </w:tc>
        <w:tc>
          <w:tcPr>
            <w:tcW w:w="1074"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58.140</w:t>
            </w:r>
          </w:p>
        </w:tc>
        <w:tc>
          <w:tcPr>
            <w:tcW w:w="1339"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154.955</w:t>
            </w:r>
          </w:p>
        </w:tc>
        <w:tc>
          <w:tcPr>
            <w:tcW w:w="1134"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 </w:t>
            </w:r>
          </w:p>
        </w:tc>
        <w:tc>
          <w:tcPr>
            <w:tcW w:w="969"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 </w:t>
            </w:r>
          </w:p>
        </w:tc>
        <w:tc>
          <w:tcPr>
            <w:tcW w:w="989"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 </w:t>
            </w:r>
          </w:p>
        </w:tc>
        <w:tc>
          <w:tcPr>
            <w:tcW w:w="1051"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13.114.002</w:t>
            </w:r>
          </w:p>
        </w:tc>
      </w:tr>
      <w:tr w:rsidR="00997397" w:rsidRPr="00997397" w:rsidTr="00251DEF">
        <w:trPr>
          <w:trHeight w:val="284"/>
        </w:trPr>
        <w:tc>
          <w:tcPr>
            <w:tcW w:w="969" w:type="dxa"/>
            <w:tcBorders>
              <w:top w:val="single" w:sz="2" w:space="0" w:color="auto"/>
              <w:bottom w:val="single" w:sz="2" w:space="0" w:color="auto"/>
            </w:tcBorders>
            <w:shd w:val="clear" w:color="auto" w:fill="auto"/>
            <w:noWrap/>
            <w:vAlign w:val="center"/>
            <w:hideMark/>
          </w:tcPr>
          <w:p w:rsidR="00997397" w:rsidRPr="00997397" w:rsidRDefault="00997397" w:rsidP="00997397">
            <w:pPr>
              <w:pStyle w:val="cuatexto"/>
            </w:pPr>
            <w:r w:rsidRPr="00997397">
              <w:t>2009</w:t>
            </w:r>
          </w:p>
        </w:tc>
        <w:tc>
          <w:tcPr>
            <w:tcW w:w="1296"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6.147.301</w:t>
            </w:r>
          </w:p>
        </w:tc>
        <w:tc>
          <w:tcPr>
            <w:tcW w:w="1074"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424.365</w:t>
            </w:r>
          </w:p>
        </w:tc>
        <w:tc>
          <w:tcPr>
            <w:tcW w:w="1339"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 </w:t>
            </w:r>
          </w:p>
        </w:tc>
        <w:tc>
          <w:tcPr>
            <w:tcW w:w="1134"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 </w:t>
            </w:r>
          </w:p>
        </w:tc>
        <w:tc>
          <w:tcPr>
            <w:tcW w:w="969"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1.947.549</w:t>
            </w:r>
          </w:p>
        </w:tc>
        <w:tc>
          <w:tcPr>
            <w:tcW w:w="989"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 </w:t>
            </w:r>
          </w:p>
        </w:tc>
        <w:tc>
          <w:tcPr>
            <w:tcW w:w="1051"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8.519.215</w:t>
            </w:r>
          </w:p>
        </w:tc>
      </w:tr>
      <w:tr w:rsidR="00997397" w:rsidRPr="00997397" w:rsidTr="00251DEF">
        <w:trPr>
          <w:trHeight w:val="284"/>
        </w:trPr>
        <w:tc>
          <w:tcPr>
            <w:tcW w:w="969" w:type="dxa"/>
            <w:tcBorders>
              <w:top w:val="single" w:sz="2" w:space="0" w:color="auto"/>
              <w:bottom w:val="single" w:sz="2" w:space="0" w:color="auto"/>
            </w:tcBorders>
            <w:shd w:val="clear" w:color="auto" w:fill="auto"/>
            <w:noWrap/>
            <w:vAlign w:val="center"/>
            <w:hideMark/>
          </w:tcPr>
          <w:p w:rsidR="00997397" w:rsidRPr="00997397" w:rsidRDefault="00997397" w:rsidP="00997397">
            <w:pPr>
              <w:pStyle w:val="cuatexto"/>
            </w:pPr>
            <w:r w:rsidRPr="00997397">
              <w:t>2010</w:t>
            </w:r>
          </w:p>
        </w:tc>
        <w:tc>
          <w:tcPr>
            <w:tcW w:w="1296"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8.880.866</w:t>
            </w:r>
          </w:p>
        </w:tc>
        <w:tc>
          <w:tcPr>
            <w:tcW w:w="1074"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576.228</w:t>
            </w:r>
          </w:p>
        </w:tc>
        <w:tc>
          <w:tcPr>
            <w:tcW w:w="1339"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1.485.830</w:t>
            </w:r>
          </w:p>
        </w:tc>
        <w:tc>
          <w:tcPr>
            <w:tcW w:w="1134"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4.065</w:t>
            </w:r>
          </w:p>
        </w:tc>
        <w:tc>
          <w:tcPr>
            <w:tcW w:w="969"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272.633</w:t>
            </w:r>
          </w:p>
        </w:tc>
        <w:tc>
          <w:tcPr>
            <w:tcW w:w="989"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 </w:t>
            </w:r>
          </w:p>
        </w:tc>
        <w:tc>
          <w:tcPr>
            <w:tcW w:w="1051"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11.219.622</w:t>
            </w:r>
          </w:p>
        </w:tc>
      </w:tr>
      <w:tr w:rsidR="00997397" w:rsidRPr="00997397" w:rsidTr="00251DEF">
        <w:trPr>
          <w:trHeight w:val="284"/>
        </w:trPr>
        <w:tc>
          <w:tcPr>
            <w:tcW w:w="969" w:type="dxa"/>
            <w:tcBorders>
              <w:top w:val="single" w:sz="2" w:space="0" w:color="auto"/>
              <w:bottom w:val="single" w:sz="2" w:space="0" w:color="auto"/>
            </w:tcBorders>
            <w:shd w:val="clear" w:color="auto" w:fill="auto"/>
            <w:noWrap/>
            <w:vAlign w:val="center"/>
            <w:hideMark/>
          </w:tcPr>
          <w:p w:rsidR="00997397" w:rsidRPr="00997397" w:rsidRDefault="00997397" w:rsidP="00997397">
            <w:pPr>
              <w:pStyle w:val="cuatexto"/>
            </w:pPr>
            <w:r w:rsidRPr="00997397">
              <w:t>2011</w:t>
            </w:r>
          </w:p>
        </w:tc>
        <w:tc>
          <w:tcPr>
            <w:tcW w:w="1296"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10.272.779</w:t>
            </w:r>
          </w:p>
        </w:tc>
        <w:tc>
          <w:tcPr>
            <w:tcW w:w="1074"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377.590</w:t>
            </w:r>
          </w:p>
        </w:tc>
        <w:tc>
          <w:tcPr>
            <w:tcW w:w="1339"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379.971</w:t>
            </w:r>
          </w:p>
        </w:tc>
        <w:tc>
          <w:tcPr>
            <w:tcW w:w="1134"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973</w:t>
            </w:r>
          </w:p>
        </w:tc>
        <w:tc>
          <w:tcPr>
            <w:tcW w:w="969"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17.210</w:t>
            </w:r>
          </w:p>
        </w:tc>
        <w:tc>
          <w:tcPr>
            <w:tcW w:w="989"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78.745</w:t>
            </w:r>
          </w:p>
        </w:tc>
        <w:tc>
          <w:tcPr>
            <w:tcW w:w="1051"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11.127.267</w:t>
            </w:r>
          </w:p>
        </w:tc>
      </w:tr>
      <w:tr w:rsidR="00997397" w:rsidRPr="00997397" w:rsidTr="00251DEF">
        <w:trPr>
          <w:trHeight w:val="284"/>
        </w:trPr>
        <w:tc>
          <w:tcPr>
            <w:tcW w:w="969" w:type="dxa"/>
            <w:tcBorders>
              <w:top w:val="single" w:sz="2" w:space="0" w:color="auto"/>
              <w:bottom w:val="single" w:sz="2" w:space="0" w:color="auto"/>
            </w:tcBorders>
            <w:shd w:val="clear" w:color="auto" w:fill="auto"/>
            <w:noWrap/>
            <w:vAlign w:val="center"/>
            <w:hideMark/>
          </w:tcPr>
          <w:p w:rsidR="00997397" w:rsidRPr="00997397" w:rsidRDefault="00997397" w:rsidP="00997397">
            <w:pPr>
              <w:pStyle w:val="cuatexto"/>
            </w:pPr>
            <w:r w:rsidRPr="00997397">
              <w:t>2012</w:t>
            </w:r>
          </w:p>
        </w:tc>
        <w:tc>
          <w:tcPr>
            <w:tcW w:w="1296"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8.631.037</w:t>
            </w:r>
          </w:p>
        </w:tc>
        <w:tc>
          <w:tcPr>
            <w:tcW w:w="1074"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488.474</w:t>
            </w:r>
          </w:p>
        </w:tc>
        <w:tc>
          <w:tcPr>
            <w:tcW w:w="1339"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8.671</w:t>
            </w:r>
          </w:p>
        </w:tc>
        <w:tc>
          <w:tcPr>
            <w:tcW w:w="1134"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 </w:t>
            </w:r>
          </w:p>
        </w:tc>
        <w:tc>
          <w:tcPr>
            <w:tcW w:w="969"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45.326</w:t>
            </w:r>
          </w:p>
        </w:tc>
        <w:tc>
          <w:tcPr>
            <w:tcW w:w="989"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141.372</w:t>
            </w:r>
          </w:p>
        </w:tc>
        <w:tc>
          <w:tcPr>
            <w:tcW w:w="1051"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9.314.880</w:t>
            </w:r>
          </w:p>
        </w:tc>
      </w:tr>
      <w:tr w:rsidR="00997397" w:rsidRPr="00997397" w:rsidTr="00251DEF">
        <w:trPr>
          <w:trHeight w:val="284"/>
        </w:trPr>
        <w:tc>
          <w:tcPr>
            <w:tcW w:w="969" w:type="dxa"/>
            <w:tcBorders>
              <w:top w:val="single" w:sz="2" w:space="0" w:color="auto"/>
              <w:bottom w:val="single" w:sz="2" w:space="0" w:color="auto"/>
            </w:tcBorders>
            <w:shd w:val="clear" w:color="auto" w:fill="auto"/>
            <w:noWrap/>
            <w:vAlign w:val="center"/>
            <w:hideMark/>
          </w:tcPr>
          <w:p w:rsidR="00997397" w:rsidRPr="00997397" w:rsidRDefault="00997397" w:rsidP="00997397">
            <w:pPr>
              <w:pStyle w:val="cuatexto"/>
            </w:pPr>
            <w:r w:rsidRPr="00997397">
              <w:t>2013</w:t>
            </w:r>
          </w:p>
        </w:tc>
        <w:tc>
          <w:tcPr>
            <w:tcW w:w="1296"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14.233.840</w:t>
            </w:r>
          </w:p>
        </w:tc>
        <w:tc>
          <w:tcPr>
            <w:tcW w:w="1074"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626.485</w:t>
            </w:r>
          </w:p>
        </w:tc>
        <w:tc>
          <w:tcPr>
            <w:tcW w:w="1339"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267.097</w:t>
            </w:r>
          </w:p>
        </w:tc>
        <w:tc>
          <w:tcPr>
            <w:tcW w:w="1134"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4.548</w:t>
            </w:r>
          </w:p>
        </w:tc>
        <w:tc>
          <w:tcPr>
            <w:tcW w:w="969"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39.374</w:t>
            </w:r>
          </w:p>
        </w:tc>
        <w:tc>
          <w:tcPr>
            <w:tcW w:w="989"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1.338.133</w:t>
            </w:r>
          </w:p>
        </w:tc>
        <w:tc>
          <w:tcPr>
            <w:tcW w:w="1051"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16.509.477</w:t>
            </w:r>
          </w:p>
        </w:tc>
      </w:tr>
      <w:tr w:rsidR="00997397" w:rsidRPr="00997397" w:rsidTr="00251DEF">
        <w:trPr>
          <w:trHeight w:val="284"/>
        </w:trPr>
        <w:tc>
          <w:tcPr>
            <w:tcW w:w="969" w:type="dxa"/>
            <w:tcBorders>
              <w:top w:val="single" w:sz="2" w:space="0" w:color="auto"/>
              <w:bottom w:val="single" w:sz="2" w:space="0" w:color="auto"/>
            </w:tcBorders>
            <w:shd w:val="clear" w:color="auto" w:fill="auto"/>
            <w:noWrap/>
            <w:vAlign w:val="center"/>
            <w:hideMark/>
          </w:tcPr>
          <w:p w:rsidR="00997397" w:rsidRPr="00997397" w:rsidRDefault="00997397" w:rsidP="00997397">
            <w:pPr>
              <w:pStyle w:val="cuatexto"/>
            </w:pPr>
            <w:r w:rsidRPr="00997397">
              <w:t>2014</w:t>
            </w:r>
          </w:p>
        </w:tc>
        <w:tc>
          <w:tcPr>
            <w:tcW w:w="1296"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18.002.773</w:t>
            </w:r>
          </w:p>
        </w:tc>
        <w:tc>
          <w:tcPr>
            <w:tcW w:w="1074"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415.304</w:t>
            </w:r>
          </w:p>
        </w:tc>
        <w:tc>
          <w:tcPr>
            <w:tcW w:w="1339"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-656</w:t>
            </w:r>
          </w:p>
        </w:tc>
        <w:tc>
          <w:tcPr>
            <w:tcW w:w="1134"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9.837</w:t>
            </w:r>
          </w:p>
        </w:tc>
        <w:tc>
          <w:tcPr>
            <w:tcW w:w="969"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28.208</w:t>
            </w:r>
          </w:p>
        </w:tc>
        <w:tc>
          <w:tcPr>
            <w:tcW w:w="989"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 </w:t>
            </w:r>
          </w:p>
        </w:tc>
        <w:tc>
          <w:tcPr>
            <w:tcW w:w="1051" w:type="dxa"/>
            <w:tcBorders>
              <w:top w:val="single" w:sz="2" w:space="0" w:color="auto"/>
              <w:bottom w:val="single" w:sz="2" w:space="0" w:color="auto"/>
            </w:tcBorders>
            <w:shd w:val="clear" w:color="auto" w:fill="auto"/>
            <w:noWrap/>
            <w:vAlign w:val="center"/>
            <w:hideMark/>
          </w:tcPr>
          <w:p w:rsidR="00997397" w:rsidRPr="00997397" w:rsidRDefault="00997397" w:rsidP="00B95983">
            <w:pPr>
              <w:pStyle w:val="cuatexto"/>
              <w:jc w:val="right"/>
            </w:pPr>
            <w:r w:rsidRPr="00997397">
              <w:t>18.455.467</w:t>
            </w:r>
          </w:p>
        </w:tc>
      </w:tr>
      <w:tr w:rsidR="00997397" w:rsidRPr="00997397" w:rsidTr="00251DEF">
        <w:trPr>
          <w:trHeight w:val="284"/>
        </w:trPr>
        <w:tc>
          <w:tcPr>
            <w:tcW w:w="969" w:type="dxa"/>
            <w:tcBorders>
              <w:top w:val="single" w:sz="2" w:space="0" w:color="auto"/>
              <w:bottom w:val="single" w:sz="4" w:space="0" w:color="auto"/>
            </w:tcBorders>
            <w:shd w:val="clear" w:color="auto" w:fill="auto"/>
            <w:noWrap/>
            <w:vAlign w:val="center"/>
            <w:hideMark/>
          </w:tcPr>
          <w:p w:rsidR="00997397" w:rsidRPr="00997397" w:rsidRDefault="00997397" w:rsidP="00023AAB">
            <w:pPr>
              <w:pStyle w:val="cuatexto"/>
            </w:pPr>
            <w:r w:rsidRPr="00997397">
              <w:t>2015</w:t>
            </w:r>
            <w:r w:rsidR="00B05882">
              <w:t xml:space="preserve"> </w:t>
            </w:r>
            <w:r w:rsidR="00B05882" w:rsidRPr="00B95983">
              <w:rPr>
                <w:vertAlign w:val="superscript"/>
              </w:rPr>
              <w:t>(</w:t>
            </w:r>
            <w:r w:rsidR="00023AAB" w:rsidRPr="00B95983">
              <w:rPr>
                <w:vertAlign w:val="superscript"/>
              </w:rPr>
              <w:t>3</w:t>
            </w:r>
            <w:r w:rsidR="00B05882" w:rsidRPr="00B95983">
              <w:rPr>
                <w:vertAlign w:val="superscript"/>
              </w:rPr>
              <w:t>)</w:t>
            </w:r>
          </w:p>
        </w:tc>
        <w:tc>
          <w:tcPr>
            <w:tcW w:w="1296" w:type="dxa"/>
            <w:tcBorders>
              <w:top w:val="single" w:sz="2" w:space="0" w:color="auto"/>
              <w:bottom w:val="single" w:sz="4" w:space="0" w:color="auto"/>
            </w:tcBorders>
            <w:shd w:val="clear" w:color="auto" w:fill="auto"/>
            <w:noWrap/>
            <w:vAlign w:val="center"/>
            <w:hideMark/>
          </w:tcPr>
          <w:p w:rsidR="00997397" w:rsidRPr="00997397" w:rsidRDefault="00997397" w:rsidP="00B95983">
            <w:pPr>
              <w:pStyle w:val="cuatexto"/>
              <w:jc w:val="right"/>
            </w:pPr>
            <w:r w:rsidRPr="00997397">
              <w:t>383.483</w:t>
            </w:r>
          </w:p>
        </w:tc>
        <w:tc>
          <w:tcPr>
            <w:tcW w:w="1074" w:type="dxa"/>
            <w:tcBorders>
              <w:top w:val="single" w:sz="2" w:space="0" w:color="auto"/>
              <w:bottom w:val="single" w:sz="4" w:space="0" w:color="auto"/>
            </w:tcBorders>
            <w:shd w:val="clear" w:color="auto" w:fill="auto"/>
            <w:noWrap/>
            <w:vAlign w:val="center"/>
            <w:hideMark/>
          </w:tcPr>
          <w:p w:rsidR="00997397" w:rsidRPr="00997397" w:rsidRDefault="00997397" w:rsidP="00B95983">
            <w:pPr>
              <w:pStyle w:val="cuatexto"/>
              <w:jc w:val="right"/>
            </w:pPr>
            <w:r w:rsidRPr="00997397">
              <w:t>0</w:t>
            </w:r>
          </w:p>
        </w:tc>
        <w:tc>
          <w:tcPr>
            <w:tcW w:w="1339" w:type="dxa"/>
            <w:tcBorders>
              <w:top w:val="single" w:sz="2" w:space="0" w:color="auto"/>
              <w:bottom w:val="single" w:sz="4" w:space="0" w:color="auto"/>
            </w:tcBorders>
            <w:shd w:val="clear" w:color="auto" w:fill="auto"/>
            <w:noWrap/>
            <w:vAlign w:val="center"/>
            <w:hideMark/>
          </w:tcPr>
          <w:p w:rsidR="00997397" w:rsidRPr="00997397" w:rsidRDefault="00997397" w:rsidP="00B95983">
            <w:pPr>
              <w:pStyle w:val="cuatexto"/>
              <w:jc w:val="right"/>
            </w:pPr>
            <w:r w:rsidRPr="00997397">
              <w:t> </w:t>
            </w:r>
          </w:p>
        </w:tc>
        <w:tc>
          <w:tcPr>
            <w:tcW w:w="1134" w:type="dxa"/>
            <w:tcBorders>
              <w:top w:val="single" w:sz="2" w:space="0" w:color="auto"/>
              <w:bottom w:val="single" w:sz="4" w:space="0" w:color="auto"/>
            </w:tcBorders>
            <w:shd w:val="clear" w:color="auto" w:fill="auto"/>
            <w:noWrap/>
            <w:vAlign w:val="center"/>
            <w:hideMark/>
          </w:tcPr>
          <w:p w:rsidR="00997397" w:rsidRPr="00997397" w:rsidRDefault="00997397" w:rsidP="00B95983">
            <w:pPr>
              <w:pStyle w:val="cuatexto"/>
              <w:jc w:val="right"/>
            </w:pPr>
            <w:r w:rsidRPr="00997397">
              <w:t> </w:t>
            </w:r>
          </w:p>
        </w:tc>
        <w:tc>
          <w:tcPr>
            <w:tcW w:w="969" w:type="dxa"/>
            <w:tcBorders>
              <w:top w:val="single" w:sz="2" w:space="0" w:color="auto"/>
              <w:bottom w:val="single" w:sz="4" w:space="0" w:color="auto"/>
            </w:tcBorders>
            <w:shd w:val="clear" w:color="auto" w:fill="auto"/>
            <w:noWrap/>
            <w:vAlign w:val="center"/>
            <w:hideMark/>
          </w:tcPr>
          <w:p w:rsidR="00997397" w:rsidRPr="00997397" w:rsidRDefault="00997397" w:rsidP="00B95983">
            <w:pPr>
              <w:pStyle w:val="cuatexto"/>
              <w:jc w:val="right"/>
            </w:pPr>
            <w:r w:rsidRPr="00997397">
              <w:t> </w:t>
            </w:r>
          </w:p>
        </w:tc>
        <w:tc>
          <w:tcPr>
            <w:tcW w:w="989" w:type="dxa"/>
            <w:tcBorders>
              <w:top w:val="single" w:sz="2" w:space="0" w:color="auto"/>
              <w:bottom w:val="single" w:sz="4" w:space="0" w:color="auto"/>
            </w:tcBorders>
            <w:shd w:val="clear" w:color="auto" w:fill="auto"/>
            <w:noWrap/>
            <w:vAlign w:val="center"/>
            <w:hideMark/>
          </w:tcPr>
          <w:p w:rsidR="00997397" w:rsidRPr="00997397" w:rsidRDefault="00997397" w:rsidP="00B95983">
            <w:pPr>
              <w:pStyle w:val="cuatexto"/>
              <w:jc w:val="right"/>
            </w:pPr>
            <w:r w:rsidRPr="00997397">
              <w:t> </w:t>
            </w:r>
          </w:p>
        </w:tc>
        <w:tc>
          <w:tcPr>
            <w:tcW w:w="1051" w:type="dxa"/>
            <w:tcBorders>
              <w:top w:val="single" w:sz="2" w:space="0" w:color="auto"/>
              <w:bottom w:val="single" w:sz="4" w:space="0" w:color="auto"/>
            </w:tcBorders>
            <w:shd w:val="clear" w:color="auto" w:fill="auto"/>
            <w:noWrap/>
            <w:vAlign w:val="center"/>
            <w:hideMark/>
          </w:tcPr>
          <w:p w:rsidR="00997397" w:rsidRPr="00997397" w:rsidRDefault="00997397" w:rsidP="00B95983">
            <w:pPr>
              <w:pStyle w:val="cuatexto"/>
              <w:jc w:val="right"/>
            </w:pPr>
            <w:r w:rsidRPr="00997397">
              <w:t>383.483</w:t>
            </w:r>
          </w:p>
        </w:tc>
      </w:tr>
      <w:tr w:rsidR="00997397" w:rsidRPr="00B95983" w:rsidTr="00251DEF">
        <w:trPr>
          <w:trHeight w:val="284"/>
        </w:trPr>
        <w:tc>
          <w:tcPr>
            <w:tcW w:w="969" w:type="dxa"/>
            <w:tcBorders>
              <w:top w:val="single" w:sz="4" w:space="0" w:color="auto"/>
              <w:bottom w:val="single" w:sz="4" w:space="0" w:color="auto"/>
            </w:tcBorders>
            <w:shd w:val="clear" w:color="auto" w:fill="8DB3E2" w:themeFill="text2" w:themeFillTint="66"/>
            <w:noWrap/>
            <w:vAlign w:val="center"/>
            <w:hideMark/>
          </w:tcPr>
          <w:p w:rsidR="00997397" w:rsidRPr="00B95983" w:rsidRDefault="00997397" w:rsidP="00B95983">
            <w:pPr>
              <w:pStyle w:val="cuadroCabe"/>
              <w:jc w:val="left"/>
              <w:rPr>
                <w:rFonts w:cs="Arial"/>
                <w:color w:val="000000"/>
                <w:sz w:val="17"/>
                <w:szCs w:val="17"/>
                <w:lang w:val="es-ES" w:eastAsia="es-ES"/>
              </w:rPr>
            </w:pPr>
            <w:r w:rsidRPr="00B95983">
              <w:rPr>
                <w:rFonts w:cs="Arial"/>
                <w:sz w:val="17"/>
                <w:szCs w:val="17"/>
              </w:rPr>
              <w:t>Total devengos</w:t>
            </w:r>
          </w:p>
        </w:tc>
        <w:tc>
          <w:tcPr>
            <w:tcW w:w="1296" w:type="dxa"/>
            <w:tcBorders>
              <w:top w:val="single" w:sz="4" w:space="0" w:color="auto"/>
              <w:bottom w:val="single" w:sz="4" w:space="0" w:color="auto"/>
            </w:tcBorders>
            <w:shd w:val="clear" w:color="auto" w:fill="8DB3E2" w:themeFill="text2" w:themeFillTint="66"/>
            <w:noWrap/>
            <w:vAlign w:val="center"/>
            <w:hideMark/>
          </w:tcPr>
          <w:p w:rsidR="00997397" w:rsidRPr="00B95983" w:rsidRDefault="00997397" w:rsidP="00B95983">
            <w:pPr>
              <w:pStyle w:val="cuatexto"/>
              <w:jc w:val="right"/>
              <w:rPr>
                <w:rFonts w:ascii="Arial" w:hAnsi="Arial" w:cs="Arial"/>
                <w:sz w:val="17"/>
                <w:szCs w:val="17"/>
              </w:rPr>
            </w:pPr>
            <w:r w:rsidRPr="00B95983">
              <w:rPr>
                <w:rFonts w:ascii="Arial" w:hAnsi="Arial" w:cs="Arial"/>
                <w:sz w:val="17"/>
                <w:szCs w:val="17"/>
              </w:rPr>
              <w:t>89.166.608</w:t>
            </w:r>
          </w:p>
        </w:tc>
        <w:tc>
          <w:tcPr>
            <w:tcW w:w="1074" w:type="dxa"/>
            <w:tcBorders>
              <w:top w:val="single" w:sz="4" w:space="0" w:color="auto"/>
              <w:bottom w:val="single" w:sz="4" w:space="0" w:color="auto"/>
            </w:tcBorders>
            <w:shd w:val="clear" w:color="auto" w:fill="8DB3E2" w:themeFill="text2" w:themeFillTint="66"/>
            <w:noWrap/>
            <w:vAlign w:val="center"/>
            <w:hideMark/>
          </w:tcPr>
          <w:p w:rsidR="00997397" w:rsidRPr="00B95983" w:rsidRDefault="00997397" w:rsidP="00B95983">
            <w:pPr>
              <w:pStyle w:val="cuatexto"/>
              <w:jc w:val="right"/>
              <w:rPr>
                <w:rFonts w:ascii="Arial" w:hAnsi="Arial" w:cs="Arial"/>
                <w:sz w:val="17"/>
                <w:szCs w:val="17"/>
              </w:rPr>
            </w:pPr>
            <w:r w:rsidRPr="00B95983">
              <w:rPr>
                <w:rFonts w:ascii="Arial" w:hAnsi="Arial" w:cs="Arial"/>
                <w:sz w:val="17"/>
                <w:szCs w:val="17"/>
              </w:rPr>
              <w:t>3.042.698</w:t>
            </w:r>
          </w:p>
        </w:tc>
        <w:tc>
          <w:tcPr>
            <w:tcW w:w="1339" w:type="dxa"/>
            <w:tcBorders>
              <w:top w:val="single" w:sz="4" w:space="0" w:color="auto"/>
              <w:bottom w:val="single" w:sz="4" w:space="0" w:color="auto"/>
            </w:tcBorders>
            <w:shd w:val="clear" w:color="auto" w:fill="8DB3E2" w:themeFill="text2" w:themeFillTint="66"/>
            <w:noWrap/>
            <w:vAlign w:val="center"/>
            <w:hideMark/>
          </w:tcPr>
          <w:p w:rsidR="00997397" w:rsidRPr="00B95983" w:rsidRDefault="00997397" w:rsidP="00B95983">
            <w:pPr>
              <w:pStyle w:val="cuatexto"/>
              <w:jc w:val="right"/>
              <w:rPr>
                <w:rFonts w:ascii="Arial" w:hAnsi="Arial" w:cs="Arial"/>
                <w:sz w:val="17"/>
                <w:szCs w:val="17"/>
              </w:rPr>
            </w:pPr>
            <w:r w:rsidRPr="00B95983">
              <w:rPr>
                <w:rFonts w:ascii="Arial" w:hAnsi="Arial" w:cs="Arial"/>
                <w:sz w:val="17"/>
                <w:szCs w:val="17"/>
              </w:rPr>
              <w:t>2.692.667</w:t>
            </w:r>
          </w:p>
        </w:tc>
        <w:tc>
          <w:tcPr>
            <w:tcW w:w="1134" w:type="dxa"/>
            <w:tcBorders>
              <w:top w:val="single" w:sz="4" w:space="0" w:color="auto"/>
              <w:bottom w:val="single" w:sz="4" w:space="0" w:color="auto"/>
            </w:tcBorders>
            <w:shd w:val="clear" w:color="auto" w:fill="8DB3E2" w:themeFill="text2" w:themeFillTint="66"/>
            <w:noWrap/>
            <w:vAlign w:val="center"/>
            <w:hideMark/>
          </w:tcPr>
          <w:p w:rsidR="00997397" w:rsidRPr="00B95983" w:rsidRDefault="00997397" w:rsidP="00B95983">
            <w:pPr>
              <w:pStyle w:val="cuatexto"/>
              <w:jc w:val="right"/>
              <w:rPr>
                <w:rFonts w:ascii="Arial" w:hAnsi="Arial" w:cs="Arial"/>
                <w:sz w:val="17"/>
                <w:szCs w:val="17"/>
              </w:rPr>
            </w:pPr>
            <w:r w:rsidRPr="00B95983">
              <w:rPr>
                <w:rFonts w:ascii="Arial" w:hAnsi="Arial" w:cs="Arial"/>
                <w:sz w:val="17"/>
                <w:szCs w:val="17"/>
              </w:rPr>
              <w:t>19.423</w:t>
            </w:r>
          </w:p>
        </w:tc>
        <w:tc>
          <w:tcPr>
            <w:tcW w:w="969" w:type="dxa"/>
            <w:tcBorders>
              <w:top w:val="single" w:sz="4" w:space="0" w:color="auto"/>
              <w:bottom w:val="single" w:sz="4" w:space="0" w:color="auto"/>
            </w:tcBorders>
            <w:shd w:val="clear" w:color="auto" w:fill="8DB3E2" w:themeFill="text2" w:themeFillTint="66"/>
            <w:noWrap/>
            <w:vAlign w:val="center"/>
            <w:hideMark/>
          </w:tcPr>
          <w:p w:rsidR="00997397" w:rsidRPr="00B95983" w:rsidRDefault="00997397" w:rsidP="00B95983">
            <w:pPr>
              <w:pStyle w:val="cuatexto"/>
              <w:jc w:val="right"/>
              <w:rPr>
                <w:rFonts w:ascii="Arial" w:hAnsi="Arial" w:cs="Arial"/>
                <w:sz w:val="17"/>
                <w:szCs w:val="17"/>
              </w:rPr>
            </w:pPr>
            <w:r w:rsidRPr="00B95983">
              <w:rPr>
                <w:rFonts w:ascii="Arial" w:hAnsi="Arial" w:cs="Arial"/>
                <w:sz w:val="17"/>
                <w:szCs w:val="17"/>
              </w:rPr>
              <w:t>2.350.322</w:t>
            </w:r>
          </w:p>
        </w:tc>
        <w:tc>
          <w:tcPr>
            <w:tcW w:w="989" w:type="dxa"/>
            <w:tcBorders>
              <w:top w:val="single" w:sz="4" w:space="0" w:color="auto"/>
              <w:bottom w:val="single" w:sz="4" w:space="0" w:color="auto"/>
            </w:tcBorders>
            <w:shd w:val="clear" w:color="auto" w:fill="8DB3E2" w:themeFill="text2" w:themeFillTint="66"/>
            <w:noWrap/>
            <w:vAlign w:val="center"/>
            <w:hideMark/>
          </w:tcPr>
          <w:p w:rsidR="00997397" w:rsidRPr="00B95983" w:rsidRDefault="00997397" w:rsidP="00B95983">
            <w:pPr>
              <w:pStyle w:val="cuatexto"/>
              <w:jc w:val="right"/>
              <w:rPr>
                <w:rFonts w:ascii="Arial" w:hAnsi="Arial" w:cs="Arial"/>
                <w:sz w:val="17"/>
                <w:szCs w:val="17"/>
              </w:rPr>
            </w:pPr>
            <w:r w:rsidRPr="00B95983">
              <w:rPr>
                <w:rFonts w:ascii="Arial" w:hAnsi="Arial" w:cs="Arial"/>
                <w:sz w:val="17"/>
                <w:szCs w:val="17"/>
              </w:rPr>
              <w:t>1.558.249</w:t>
            </w:r>
          </w:p>
        </w:tc>
        <w:tc>
          <w:tcPr>
            <w:tcW w:w="1051" w:type="dxa"/>
            <w:tcBorders>
              <w:top w:val="single" w:sz="4" w:space="0" w:color="auto"/>
              <w:bottom w:val="single" w:sz="4" w:space="0" w:color="auto"/>
            </w:tcBorders>
            <w:shd w:val="clear" w:color="auto" w:fill="8DB3E2" w:themeFill="text2" w:themeFillTint="66"/>
            <w:noWrap/>
            <w:vAlign w:val="center"/>
            <w:hideMark/>
          </w:tcPr>
          <w:p w:rsidR="00997397" w:rsidRPr="00B95983" w:rsidRDefault="00997397" w:rsidP="00B95983">
            <w:pPr>
              <w:pStyle w:val="cuatexto"/>
              <w:jc w:val="right"/>
              <w:rPr>
                <w:rFonts w:ascii="Arial" w:hAnsi="Arial" w:cs="Arial"/>
                <w:sz w:val="17"/>
                <w:szCs w:val="17"/>
              </w:rPr>
            </w:pPr>
            <w:r w:rsidRPr="00B95983">
              <w:rPr>
                <w:rFonts w:ascii="Arial" w:hAnsi="Arial" w:cs="Arial"/>
                <w:sz w:val="17"/>
                <w:szCs w:val="17"/>
              </w:rPr>
              <w:t>98.829.967</w:t>
            </w:r>
          </w:p>
        </w:tc>
      </w:tr>
    </w:tbl>
    <w:p w:rsidR="00B95983" w:rsidRDefault="00B95983" w:rsidP="00B95983">
      <w:pPr>
        <w:pStyle w:val="cuatexto"/>
        <w:ind w:left="284"/>
      </w:pPr>
    </w:p>
    <w:p w:rsidR="007528E8" w:rsidRPr="00991A21" w:rsidRDefault="001E1E49" w:rsidP="001E1E49">
      <w:pPr>
        <w:pStyle w:val="cuatexto"/>
        <w:ind w:left="284"/>
      </w:pPr>
      <w:r w:rsidRPr="001E1E49">
        <w:rPr>
          <w:vertAlign w:val="superscript"/>
        </w:rPr>
        <w:t>(1)</w:t>
      </w:r>
      <w:r>
        <w:rPr>
          <w:vertAlign w:val="superscript"/>
        </w:rPr>
        <w:t xml:space="preserve"> </w:t>
      </w:r>
      <w:r w:rsidR="00997397" w:rsidRPr="00997397">
        <w:t>Incluye las declaraciones presentadas, rev</w:t>
      </w:r>
      <w:r w:rsidR="00B05882">
        <w:t>isiones y actas</w:t>
      </w:r>
      <w:r w:rsidR="00735658">
        <w:t>.</w:t>
      </w:r>
      <w:r>
        <w:t xml:space="preserve"> </w:t>
      </w:r>
      <w:r w:rsidRPr="001E1E49">
        <w:rPr>
          <w:vertAlign w:val="superscript"/>
        </w:rPr>
        <w:t>(2)</w:t>
      </w:r>
      <w:r>
        <w:rPr>
          <w:vertAlign w:val="superscript"/>
        </w:rPr>
        <w:t xml:space="preserve"> </w:t>
      </w:r>
      <w:r w:rsidR="00023AAB">
        <w:t>Incluye intereses de demora y de aplazamientos</w:t>
      </w:r>
      <w:r>
        <w:t xml:space="preserve">. </w:t>
      </w:r>
      <w:r w:rsidRPr="001E1E49">
        <w:rPr>
          <w:vertAlign w:val="superscript"/>
        </w:rPr>
        <w:t>(3)</w:t>
      </w:r>
      <w:r>
        <w:t xml:space="preserve"> </w:t>
      </w:r>
      <w:r w:rsidR="00B05882" w:rsidRPr="00231A37">
        <w:t>Incluye los impuestos devengados del último periodo de 2014</w:t>
      </w:r>
      <w:r w:rsidR="00735658" w:rsidRPr="00231A37">
        <w:t>.</w:t>
      </w:r>
    </w:p>
    <w:p w:rsidR="00023AAB" w:rsidRDefault="00023AAB" w:rsidP="00A4370E">
      <w:pPr>
        <w:pStyle w:val="texto"/>
        <w:tabs>
          <w:tab w:val="clear" w:pos="2835"/>
          <w:tab w:val="clear" w:pos="3969"/>
          <w:tab w:val="clear" w:pos="5103"/>
          <w:tab w:val="clear" w:pos="6237"/>
          <w:tab w:val="clear" w:pos="7371"/>
        </w:tabs>
        <w:spacing w:after="0"/>
        <w:rPr>
          <w:szCs w:val="26"/>
        </w:rPr>
      </w:pPr>
    </w:p>
    <w:p w:rsidR="00B05882" w:rsidRPr="00B05882" w:rsidRDefault="00B05882" w:rsidP="007E7035">
      <w:pPr>
        <w:pStyle w:val="texto"/>
        <w:tabs>
          <w:tab w:val="clear" w:pos="2835"/>
          <w:tab w:val="clear" w:pos="3969"/>
          <w:tab w:val="clear" w:pos="5103"/>
          <w:tab w:val="clear" w:pos="6237"/>
          <w:tab w:val="clear" w:pos="7371"/>
        </w:tabs>
        <w:rPr>
          <w:szCs w:val="26"/>
        </w:rPr>
      </w:pPr>
      <w:r w:rsidRPr="00B05882">
        <w:rPr>
          <w:szCs w:val="26"/>
        </w:rPr>
        <w:t>Del cuadro anterior señalamos:</w:t>
      </w:r>
    </w:p>
    <w:p w:rsidR="00B05882" w:rsidRDefault="00B05882"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 xml:space="preserve">La primera conclusión que queremos destacar es que una deuda tributaria cuantificada en 89,17 millones, por las decisiones de gestión adoptados por el </w:t>
      </w:r>
      <w:r w:rsidR="006706E7">
        <w:rPr>
          <w:szCs w:val="26"/>
        </w:rPr>
        <w:t>c</w:t>
      </w:r>
      <w:r>
        <w:rPr>
          <w:szCs w:val="26"/>
        </w:rPr>
        <w:t>lub, se transforma en 98,</w:t>
      </w:r>
      <w:r w:rsidR="005E5296">
        <w:rPr>
          <w:szCs w:val="26"/>
        </w:rPr>
        <w:t>8</w:t>
      </w:r>
      <w:r>
        <w:rPr>
          <w:szCs w:val="26"/>
        </w:rPr>
        <w:t xml:space="preserve">3 millones. Es decir, </w:t>
      </w:r>
      <w:r w:rsidR="000974EA">
        <w:rPr>
          <w:szCs w:val="26"/>
        </w:rPr>
        <w:t xml:space="preserve">debido a tales decisiones, </w:t>
      </w:r>
      <w:r>
        <w:rPr>
          <w:szCs w:val="26"/>
        </w:rPr>
        <w:t>ha incrementado su deuda tributaria en 9,66 millones.</w:t>
      </w:r>
    </w:p>
    <w:p w:rsidR="00B05882" w:rsidRDefault="00B05882"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Este incremento p</w:t>
      </w:r>
      <w:r w:rsidR="006347D7">
        <w:rPr>
          <w:szCs w:val="26"/>
        </w:rPr>
        <w:t>ro</w:t>
      </w:r>
      <w:r>
        <w:rPr>
          <w:szCs w:val="26"/>
        </w:rPr>
        <w:t xml:space="preserve">cede básicamente </w:t>
      </w:r>
      <w:r w:rsidR="006347D7">
        <w:rPr>
          <w:szCs w:val="26"/>
        </w:rPr>
        <w:t>en un 32 por ciento de los intereses de demora, un 28 por ciento de recargos en la agencia ejecutiva, un 24 por ciento de recargos por presentación extemporánea de las declaraciones y un 16 por ciento por sanciones tributarias.</w:t>
      </w:r>
      <w:r>
        <w:rPr>
          <w:szCs w:val="26"/>
        </w:rPr>
        <w:t xml:space="preserve"> </w:t>
      </w:r>
    </w:p>
    <w:p w:rsidR="00B34638" w:rsidRPr="00FA5A16" w:rsidRDefault="00735658" w:rsidP="00FA5A16">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spacing w:after="0"/>
        <w:ind w:left="0" w:firstLine="0"/>
        <w:jc w:val="left"/>
        <w:rPr>
          <w:b/>
        </w:rPr>
      </w:pPr>
      <w:r w:rsidRPr="00FA5A16">
        <w:rPr>
          <w:szCs w:val="26"/>
        </w:rPr>
        <w:t>Por años, señalamos que los intereses de demora se producen básicamente entre 2009 a 2014, los recargos de la agencia ejecutiva en 2010, el recargo por extemporánea en 2009 y las sanciones tributarias en 2013.</w:t>
      </w:r>
      <w:r w:rsidR="00B34638" w:rsidRPr="00FA5A16">
        <w:rPr>
          <w:b/>
        </w:rPr>
        <w:br w:type="page"/>
      </w:r>
    </w:p>
    <w:p w:rsidR="00A4370E" w:rsidRDefault="00231A37" w:rsidP="007E7035">
      <w:pPr>
        <w:pStyle w:val="texto"/>
        <w:tabs>
          <w:tab w:val="clear" w:pos="2835"/>
          <w:tab w:val="clear" w:pos="3969"/>
          <w:tab w:val="clear" w:pos="5103"/>
          <w:tab w:val="clear" w:pos="6237"/>
          <w:tab w:val="clear" w:pos="7371"/>
        </w:tabs>
        <w:rPr>
          <w:b/>
        </w:rPr>
      </w:pPr>
      <w:r w:rsidRPr="00231A37">
        <w:rPr>
          <w:b/>
        </w:rPr>
        <w:t>5</w:t>
      </w:r>
      <w:r w:rsidR="00D14709" w:rsidRPr="00231A37">
        <w:rPr>
          <w:b/>
        </w:rPr>
        <w:t>.ª Cobros de la HTN</w:t>
      </w:r>
      <w:r w:rsidR="00B05882" w:rsidRPr="00231A37">
        <w:rPr>
          <w:b/>
        </w:rPr>
        <w:t xml:space="preserve"> por año</w:t>
      </w:r>
      <w:r w:rsidR="00D14709" w:rsidRPr="00231A37">
        <w:rPr>
          <w:b/>
        </w:rPr>
        <w:t xml:space="preserve">. </w:t>
      </w:r>
    </w:p>
    <w:p w:rsidR="00D14709" w:rsidRDefault="00D14709" w:rsidP="00A4370E">
      <w:pPr>
        <w:pStyle w:val="texto"/>
        <w:tabs>
          <w:tab w:val="clear" w:pos="2835"/>
          <w:tab w:val="clear" w:pos="3969"/>
          <w:tab w:val="clear" w:pos="5103"/>
          <w:tab w:val="clear" w:pos="6237"/>
          <w:tab w:val="clear" w:pos="7371"/>
        </w:tabs>
        <w:spacing w:after="240"/>
      </w:pPr>
      <w:r w:rsidRPr="00231A37">
        <w:t xml:space="preserve">Entre 2005 y 20014, el </w:t>
      </w:r>
      <w:r w:rsidR="006706E7">
        <w:t>c</w:t>
      </w:r>
      <w:r w:rsidRPr="00231A37">
        <w:t>lub pag</w:t>
      </w:r>
      <w:r w:rsidR="00A53852">
        <w:t>ó</w:t>
      </w:r>
      <w:r w:rsidRPr="00231A37">
        <w:t xml:space="preserve"> –incluid</w:t>
      </w:r>
      <w:r w:rsidR="00023AAB">
        <w:t>os los cobro</w:t>
      </w:r>
      <w:r w:rsidR="00C86843">
        <w:t>s</w:t>
      </w:r>
      <w:r w:rsidR="00023AAB">
        <w:t xml:space="preserve"> por</w:t>
      </w:r>
      <w:r w:rsidRPr="00231A37">
        <w:t xml:space="preserve"> compensaci</w:t>
      </w:r>
      <w:r w:rsidR="00023AAB">
        <w:t>ón</w:t>
      </w:r>
      <w:r w:rsidR="00B34638">
        <w:t>–</w:t>
      </w:r>
      <w:r w:rsidRPr="00231A37">
        <w:t xml:space="preserve"> a la Hacienda un total de 49,97 millones, de acuerdo con el siguiente detalle:</w:t>
      </w:r>
    </w:p>
    <w:tbl>
      <w:tblPr>
        <w:tblW w:w="8880" w:type="dxa"/>
        <w:tblInd w:w="70" w:type="dxa"/>
        <w:tblCellMar>
          <w:left w:w="70" w:type="dxa"/>
          <w:right w:w="70" w:type="dxa"/>
        </w:tblCellMar>
        <w:tblLook w:val="04A0" w:firstRow="1" w:lastRow="0" w:firstColumn="1" w:lastColumn="0" w:noHBand="0" w:noVBand="1"/>
      </w:tblPr>
      <w:tblGrid>
        <w:gridCol w:w="2552"/>
        <w:gridCol w:w="2322"/>
        <w:gridCol w:w="1185"/>
        <w:gridCol w:w="1407"/>
        <w:gridCol w:w="1414"/>
      </w:tblGrid>
      <w:tr w:rsidR="00D14709" w:rsidRPr="00D14709" w:rsidTr="00251DEF">
        <w:trPr>
          <w:trHeight w:val="284"/>
        </w:trPr>
        <w:tc>
          <w:tcPr>
            <w:tcW w:w="2552" w:type="dxa"/>
            <w:tcBorders>
              <w:top w:val="single" w:sz="4" w:space="0" w:color="auto"/>
              <w:bottom w:val="single" w:sz="4" w:space="0" w:color="auto"/>
            </w:tcBorders>
            <w:shd w:val="clear" w:color="auto" w:fill="8DB3E2" w:themeFill="text2" w:themeFillTint="66"/>
            <w:noWrap/>
            <w:vAlign w:val="center"/>
            <w:hideMark/>
          </w:tcPr>
          <w:p w:rsidR="00D14709" w:rsidRPr="00D14709" w:rsidRDefault="00D14709" w:rsidP="00D14709">
            <w:pPr>
              <w:pStyle w:val="cuadroCabe"/>
            </w:pPr>
            <w:r>
              <w:t>Año</w:t>
            </w:r>
            <w:r w:rsidR="007E7035">
              <w:t xml:space="preserve"> contable</w:t>
            </w:r>
          </w:p>
        </w:tc>
        <w:tc>
          <w:tcPr>
            <w:tcW w:w="2322" w:type="dxa"/>
            <w:tcBorders>
              <w:top w:val="single" w:sz="4" w:space="0" w:color="auto"/>
              <w:bottom w:val="single" w:sz="4" w:space="0" w:color="auto"/>
            </w:tcBorders>
            <w:shd w:val="clear" w:color="auto" w:fill="8DB3E2" w:themeFill="text2" w:themeFillTint="66"/>
            <w:noWrap/>
            <w:vAlign w:val="center"/>
            <w:hideMark/>
          </w:tcPr>
          <w:p w:rsidR="00D14709" w:rsidRPr="00D14709" w:rsidRDefault="00D14709" w:rsidP="00A4370E">
            <w:pPr>
              <w:pStyle w:val="cuadroCabe"/>
              <w:jc w:val="right"/>
            </w:pPr>
            <w:r w:rsidRPr="00D14709">
              <w:t>Gesti</w:t>
            </w:r>
            <w:r>
              <w:t>ón</w:t>
            </w:r>
            <w:r w:rsidRPr="00D14709">
              <w:t xml:space="preserve"> ordinaria</w:t>
            </w:r>
          </w:p>
        </w:tc>
        <w:tc>
          <w:tcPr>
            <w:tcW w:w="1185" w:type="dxa"/>
            <w:tcBorders>
              <w:top w:val="single" w:sz="4" w:space="0" w:color="auto"/>
              <w:bottom w:val="single" w:sz="4" w:space="0" w:color="auto"/>
            </w:tcBorders>
            <w:shd w:val="clear" w:color="auto" w:fill="8DB3E2" w:themeFill="text2" w:themeFillTint="66"/>
            <w:noWrap/>
            <w:vAlign w:val="center"/>
            <w:hideMark/>
          </w:tcPr>
          <w:p w:rsidR="00D14709" w:rsidRPr="00D14709" w:rsidRDefault="00D14709" w:rsidP="00A4370E">
            <w:pPr>
              <w:pStyle w:val="cuadroCabe"/>
              <w:jc w:val="right"/>
            </w:pPr>
            <w:r w:rsidRPr="00D14709">
              <w:t>Ejecutiva</w:t>
            </w:r>
          </w:p>
        </w:tc>
        <w:tc>
          <w:tcPr>
            <w:tcW w:w="1407" w:type="dxa"/>
            <w:tcBorders>
              <w:top w:val="single" w:sz="4" w:space="0" w:color="auto"/>
              <w:bottom w:val="single" w:sz="4" w:space="0" w:color="auto"/>
            </w:tcBorders>
            <w:shd w:val="clear" w:color="auto" w:fill="8DB3E2" w:themeFill="text2" w:themeFillTint="66"/>
            <w:noWrap/>
            <w:vAlign w:val="center"/>
            <w:hideMark/>
          </w:tcPr>
          <w:p w:rsidR="00D14709" w:rsidRPr="00D14709" w:rsidRDefault="00D14709" w:rsidP="00A4370E">
            <w:pPr>
              <w:pStyle w:val="cuadroCabe"/>
              <w:jc w:val="right"/>
            </w:pPr>
            <w:r w:rsidRPr="00D14709">
              <w:t>Aplazamiento</w:t>
            </w:r>
          </w:p>
        </w:tc>
        <w:tc>
          <w:tcPr>
            <w:tcW w:w="1414" w:type="dxa"/>
            <w:tcBorders>
              <w:top w:val="single" w:sz="4" w:space="0" w:color="auto"/>
              <w:bottom w:val="single" w:sz="4" w:space="0" w:color="auto"/>
            </w:tcBorders>
            <w:shd w:val="clear" w:color="auto" w:fill="8DB3E2" w:themeFill="text2" w:themeFillTint="66"/>
            <w:noWrap/>
            <w:vAlign w:val="center"/>
            <w:hideMark/>
          </w:tcPr>
          <w:p w:rsidR="00D14709" w:rsidRPr="00D14709" w:rsidRDefault="00D14709" w:rsidP="00A4370E">
            <w:pPr>
              <w:pStyle w:val="cuadroCabe"/>
              <w:jc w:val="right"/>
            </w:pPr>
            <w:r>
              <w:t xml:space="preserve">Total </w:t>
            </w:r>
            <w:r w:rsidRPr="00D14709">
              <w:t>Cobros</w:t>
            </w:r>
          </w:p>
        </w:tc>
      </w:tr>
      <w:tr w:rsidR="00D14709" w:rsidRPr="00D14709" w:rsidTr="00251DEF">
        <w:trPr>
          <w:trHeight w:val="284"/>
        </w:trPr>
        <w:tc>
          <w:tcPr>
            <w:tcW w:w="2552" w:type="dxa"/>
            <w:tcBorders>
              <w:top w:val="single" w:sz="4" w:space="0" w:color="auto"/>
              <w:bottom w:val="single" w:sz="2" w:space="0" w:color="auto"/>
            </w:tcBorders>
            <w:shd w:val="clear" w:color="auto" w:fill="auto"/>
            <w:noWrap/>
            <w:vAlign w:val="center"/>
            <w:hideMark/>
          </w:tcPr>
          <w:p w:rsidR="00D14709" w:rsidRPr="00D14709" w:rsidRDefault="00D14709" w:rsidP="00D14709">
            <w:pPr>
              <w:pStyle w:val="cuatexto"/>
            </w:pPr>
            <w:r w:rsidRPr="00D14709">
              <w:t>2005</w:t>
            </w:r>
          </w:p>
        </w:tc>
        <w:tc>
          <w:tcPr>
            <w:tcW w:w="2322" w:type="dxa"/>
            <w:tcBorders>
              <w:top w:val="single" w:sz="4" w:space="0" w:color="auto"/>
              <w:bottom w:val="single" w:sz="2" w:space="0" w:color="auto"/>
            </w:tcBorders>
            <w:shd w:val="clear" w:color="auto" w:fill="auto"/>
            <w:noWrap/>
            <w:vAlign w:val="center"/>
            <w:hideMark/>
          </w:tcPr>
          <w:p w:rsidR="00D14709" w:rsidRPr="00D14709" w:rsidRDefault="00D14709" w:rsidP="00A4370E">
            <w:pPr>
              <w:pStyle w:val="cuatexto"/>
              <w:jc w:val="right"/>
            </w:pPr>
            <w:r w:rsidRPr="00D14709">
              <w:t>437.264</w:t>
            </w:r>
          </w:p>
        </w:tc>
        <w:tc>
          <w:tcPr>
            <w:tcW w:w="1185" w:type="dxa"/>
            <w:tcBorders>
              <w:top w:val="single" w:sz="4" w:space="0" w:color="auto"/>
              <w:bottom w:val="single" w:sz="2" w:space="0" w:color="auto"/>
            </w:tcBorders>
            <w:shd w:val="clear" w:color="auto" w:fill="auto"/>
            <w:noWrap/>
            <w:vAlign w:val="center"/>
            <w:hideMark/>
          </w:tcPr>
          <w:p w:rsidR="00D14709" w:rsidRPr="00D14709" w:rsidRDefault="00D14709" w:rsidP="00A4370E">
            <w:pPr>
              <w:pStyle w:val="cuatexto"/>
              <w:jc w:val="right"/>
            </w:pPr>
            <w:r w:rsidRPr="00D14709">
              <w:t>2.400.901</w:t>
            </w:r>
          </w:p>
        </w:tc>
        <w:tc>
          <w:tcPr>
            <w:tcW w:w="1407" w:type="dxa"/>
            <w:tcBorders>
              <w:top w:val="single" w:sz="4" w:space="0" w:color="auto"/>
              <w:bottom w:val="single" w:sz="2" w:space="0" w:color="auto"/>
            </w:tcBorders>
            <w:shd w:val="clear" w:color="auto" w:fill="auto"/>
            <w:noWrap/>
            <w:vAlign w:val="center"/>
            <w:hideMark/>
          </w:tcPr>
          <w:p w:rsidR="00D14709" w:rsidRPr="00D14709" w:rsidRDefault="00D14709" w:rsidP="00A4370E">
            <w:pPr>
              <w:pStyle w:val="cuatexto"/>
              <w:jc w:val="right"/>
            </w:pPr>
          </w:p>
        </w:tc>
        <w:tc>
          <w:tcPr>
            <w:tcW w:w="1414" w:type="dxa"/>
            <w:tcBorders>
              <w:top w:val="single" w:sz="4" w:space="0" w:color="auto"/>
              <w:bottom w:val="single" w:sz="2" w:space="0" w:color="auto"/>
            </w:tcBorders>
            <w:shd w:val="clear" w:color="auto" w:fill="auto"/>
            <w:noWrap/>
            <w:vAlign w:val="center"/>
            <w:hideMark/>
          </w:tcPr>
          <w:p w:rsidR="00D14709" w:rsidRPr="00D14709" w:rsidRDefault="00D14709" w:rsidP="00A4370E">
            <w:pPr>
              <w:pStyle w:val="cuatexto"/>
              <w:jc w:val="right"/>
            </w:pPr>
            <w:r w:rsidRPr="00D14709">
              <w:t>2.838.165</w:t>
            </w:r>
          </w:p>
        </w:tc>
      </w:tr>
      <w:tr w:rsidR="00D14709" w:rsidRPr="00D14709" w:rsidTr="00251DEF">
        <w:trPr>
          <w:trHeight w:val="284"/>
        </w:trPr>
        <w:tc>
          <w:tcPr>
            <w:tcW w:w="2552" w:type="dxa"/>
            <w:tcBorders>
              <w:top w:val="single" w:sz="2" w:space="0" w:color="auto"/>
              <w:bottom w:val="single" w:sz="2" w:space="0" w:color="auto"/>
            </w:tcBorders>
            <w:shd w:val="clear" w:color="auto" w:fill="auto"/>
            <w:noWrap/>
            <w:vAlign w:val="center"/>
            <w:hideMark/>
          </w:tcPr>
          <w:p w:rsidR="00D14709" w:rsidRPr="00D14709" w:rsidRDefault="00D14709" w:rsidP="00D14709">
            <w:pPr>
              <w:pStyle w:val="cuatexto"/>
            </w:pPr>
            <w:r w:rsidRPr="00D14709">
              <w:t>2006</w:t>
            </w:r>
          </w:p>
        </w:tc>
        <w:tc>
          <w:tcPr>
            <w:tcW w:w="2322" w:type="dxa"/>
            <w:tcBorders>
              <w:top w:val="single" w:sz="2" w:space="0" w:color="auto"/>
              <w:bottom w:val="single" w:sz="2" w:space="0" w:color="auto"/>
            </w:tcBorders>
            <w:shd w:val="clear" w:color="auto" w:fill="auto"/>
            <w:noWrap/>
            <w:vAlign w:val="center"/>
            <w:hideMark/>
          </w:tcPr>
          <w:p w:rsidR="00D14709" w:rsidRPr="00D14709" w:rsidRDefault="00D14709" w:rsidP="00A4370E">
            <w:pPr>
              <w:pStyle w:val="cuatexto"/>
              <w:jc w:val="right"/>
            </w:pPr>
            <w:r w:rsidRPr="00D14709">
              <w:t>1.946.051</w:t>
            </w:r>
          </w:p>
        </w:tc>
        <w:tc>
          <w:tcPr>
            <w:tcW w:w="1185" w:type="dxa"/>
            <w:tcBorders>
              <w:top w:val="single" w:sz="2" w:space="0" w:color="auto"/>
              <w:bottom w:val="single" w:sz="2" w:space="0" w:color="auto"/>
            </w:tcBorders>
            <w:shd w:val="clear" w:color="auto" w:fill="auto"/>
            <w:noWrap/>
            <w:vAlign w:val="center"/>
            <w:hideMark/>
          </w:tcPr>
          <w:p w:rsidR="00D14709" w:rsidRPr="00D14709" w:rsidRDefault="00D14709" w:rsidP="00A4370E">
            <w:pPr>
              <w:pStyle w:val="cuatexto"/>
              <w:jc w:val="right"/>
            </w:pPr>
          </w:p>
        </w:tc>
        <w:tc>
          <w:tcPr>
            <w:tcW w:w="1407" w:type="dxa"/>
            <w:tcBorders>
              <w:top w:val="single" w:sz="2" w:space="0" w:color="auto"/>
              <w:bottom w:val="single" w:sz="2" w:space="0" w:color="auto"/>
            </w:tcBorders>
            <w:shd w:val="clear" w:color="auto" w:fill="auto"/>
            <w:noWrap/>
            <w:vAlign w:val="center"/>
            <w:hideMark/>
          </w:tcPr>
          <w:p w:rsidR="00D14709" w:rsidRPr="00D14709" w:rsidRDefault="00D14709" w:rsidP="00A4370E">
            <w:pPr>
              <w:pStyle w:val="cuatexto"/>
              <w:jc w:val="right"/>
            </w:pPr>
            <w:r w:rsidRPr="00D14709">
              <w:t>1.226.693</w:t>
            </w:r>
          </w:p>
        </w:tc>
        <w:tc>
          <w:tcPr>
            <w:tcW w:w="1414" w:type="dxa"/>
            <w:tcBorders>
              <w:top w:val="single" w:sz="2" w:space="0" w:color="auto"/>
              <w:bottom w:val="single" w:sz="2" w:space="0" w:color="auto"/>
            </w:tcBorders>
            <w:shd w:val="clear" w:color="auto" w:fill="auto"/>
            <w:noWrap/>
            <w:vAlign w:val="center"/>
            <w:hideMark/>
          </w:tcPr>
          <w:p w:rsidR="00D14709" w:rsidRPr="00D14709" w:rsidRDefault="00D14709" w:rsidP="00A4370E">
            <w:pPr>
              <w:pStyle w:val="cuatexto"/>
              <w:jc w:val="right"/>
            </w:pPr>
            <w:r w:rsidRPr="00D14709">
              <w:t>3.172.744</w:t>
            </w:r>
          </w:p>
        </w:tc>
      </w:tr>
      <w:tr w:rsidR="00D14709" w:rsidRPr="00D14709" w:rsidTr="00251DEF">
        <w:trPr>
          <w:trHeight w:val="284"/>
        </w:trPr>
        <w:tc>
          <w:tcPr>
            <w:tcW w:w="2552" w:type="dxa"/>
            <w:tcBorders>
              <w:top w:val="single" w:sz="2" w:space="0" w:color="auto"/>
              <w:bottom w:val="single" w:sz="2" w:space="0" w:color="auto"/>
            </w:tcBorders>
            <w:shd w:val="clear" w:color="auto" w:fill="auto"/>
            <w:noWrap/>
            <w:vAlign w:val="center"/>
            <w:hideMark/>
          </w:tcPr>
          <w:p w:rsidR="00D14709" w:rsidRPr="00D14709" w:rsidRDefault="00D14709" w:rsidP="00D14709">
            <w:pPr>
              <w:pStyle w:val="cuatexto"/>
            </w:pPr>
            <w:r w:rsidRPr="00D14709">
              <w:t>2007</w:t>
            </w:r>
          </w:p>
        </w:tc>
        <w:tc>
          <w:tcPr>
            <w:tcW w:w="2322" w:type="dxa"/>
            <w:tcBorders>
              <w:top w:val="single" w:sz="2" w:space="0" w:color="auto"/>
              <w:bottom w:val="single" w:sz="2" w:space="0" w:color="auto"/>
            </w:tcBorders>
            <w:shd w:val="clear" w:color="auto" w:fill="auto"/>
            <w:noWrap/>
            <w:vAlign w:val="center"/>
            <w:hideMark/>
          </w:tcPr>
          <w:p w:rsidR="00D14709" w:rsidRPr="00D14709" w:rsidRDefault="00D14709" w:rsidP="00A4370E">
            <w:pPr>
              <w:pStyle w:val="cuatexto"/>
              <w:jc w:val="right"/>
            </w:pPr>
            <w:r w:rsidRPr="00D14709">
              <w:t>4.103.173</w:t>
            </w:r>
          </w:p>
        </w:tc>
        <w:tc>
          <w:tcPr>
            <w:tcW w:w="1185" w:type="dxa"/>
            <w:tcBorders>
              <w:top w:val="single" w:sz="2" w:space="0" w:color="auto"/>
              <w:bottom w:val="single" w:sz="2" w:space="0" w:color="auto"/>
            </w:tcBorders>
            <w:shd w:val="clear" w:color="auto" w:fill="auto"/>
            <w:noWrap/>
            <w:vAlign w:val="center"/>
            <w:hideMark/>
          </w:tcPr>
          <w:p w:rsidR="00D14709" w:rsidRPr="00D14709" w:rsidRDefault="00D14709" w:rsidP="00A4370E">
            <w:pPr>
              <w:pStyle w:val="cuatexto"/>
              <w:jc w:val="right"/>
            </w:pPr>
          </w:p>
        </w:tc>
        <w:tc>
          <w:tcPr>
            <w:tcW w:w="1407" w:type="dxa"/>
            <w:tcBorders>
              <w:top w:val="single" w:sz="2" w:space="0" w:color="auto"/>
              <w:bottom w:val="single" w:sz="2" w:space="0" w:color="auto"/>
            </w:tcBorders>
            <w:shd w:val="clear" w:color="auto" w:fill="auto"/>
            <w:noWrap/>
            <w:vAlign w:val="center"/>
            <w:hideMark/>
          </w:tcPr>
          <w:p w:rsidR="00D14709" w:rsidRPr="00D14709" w:rsidRDefault="00D14709" w:rsidP="00A4370E">
            <w:pPr>
              <w:pStyle w:val="cuatexto"/>
              <w:jc w:val="right"/>
            </w:pPr>
          </w:p>
        </w:tc>
        <w:tc>
          <w:tcPr>
            <w:tcW w:w="1414" w:type="dxa"/>
            <w:tcBorders>
              <w:top w:val="single" w:sz="2" w:space="0" w:color="auto"/>
              <w:bottom w:val="single" w:sz="2" w:space="0" w:color="auto"/>
            </w:tcBorders>
            <w:shd w:val="clear" w:color="auto" w:fill="auto"/>
            <w:noWrap/>
            <w:vAlign w:val="center"/>
            <w:hideMark/>
          </w:tcPr>
          <w:p w:rsidR="00D14709" w:rsidRPr="00D14709" w:rsidRDefault="00D14709" w:rsidP="00A4370E">
            <w:pPr>
              <w:pStyle w:val="cuatexto"/>
              <w:jc w:val="right"/>
            </w:pPr>
            <w:r w:rsidRPr="00D14709">
              <w:t>4.103.173</w:t>
            </w:r>
          </w:p>
        </w:tc>
      </w:tr>
      <w:tr w:rsidR="00D14709" w:rsidRPr="00D14709" w:rsidTr="00251DEF">
        <w:trPr>
          <w:trHeight w:val="284"/>
        </w:trPr>
        <w:tc>
          <w:tcPr>
            <w:tcW w:w="2552" w:type="dxa"/>
            <w:tcBorders>
              <w:top w:val="single" w:sz="2" w:space="0" w:color="auto"/>
              <w:bottom w:val="single" w:sz="2" w:space="0" w:color="auto"/>
            </w:tcBorders>
            <w:shd w:val="clear" w:color="auto" w:fill="auto"/>
            <w:noWrap/>
            <w:vAlign w:val="center"/>
            <w:hideMark/>
          </w:tcPr>
          <w:p w:rsidR="00D14709" w:rsidRPr="00D14709" w:rsidRDefault="00D14709" w:rsidP="00D14709">
            <w:pPr>
              <w:pStyle w:val="cuatexto"/>
            </w:pPr>
            <w:r w:rsidRPr="00D14709">
              <w:t>2008</w:t>
            </w:r>
          </w:p>
        </w:tc>
        <w:tc>
          <w:tcPr>
            <w:tcW w:w="2322" w:type="dxa"/>
            <w:tcBorders>
              <w:top w:val="single" w:sz="2" w:space="0" w:color="auto"/>
              <w:bottom w:val="single" w:sz="2" w:space="0" w:color="auto"/>
            </w:tcBorders>
            <w:shd w:val="clear" w:color="auto" w:fill="auto"/>
            <w:noWrap/>
            <w:vAlign w:val="center"/>
            <w:hideMark/>
          </w:tcPr>
          <w:p w:rsidR="00D14709" w:rsidRPr="00D14709" w:rsidRDefault="00D14709" w:rsidP="00A4370E">
            <w:pPr>
              <w:pStyle w:val="cuatexto"/>
              <w:jc w:val="right"/>
            </w:pPr>
            <w:r w:rsidRPr="00D14709">
              <w:t>2.307.118</w:t>
            </w:r>
          </w:p>
        </w:tc>
        <w:tc>
          <w:tcPr>
            <w:tcW w:w="1185" w:type="dxa"/>
            <w:tcBorders>
              <w:top w:val="single" w:sz="2" w:space="0" w:color="auto"/>
              <w:bottom w:val="single" w:sz="2" w:space="0" w:color="auto"/>
            </w:tcBorders>
            <w:shd w:val="clear" w:color="auto" w:fill="auto"/>
            <w:noWrap/>
            <w:vAlign w:val="center"/>
            <w:hideMark/>
          </w:tcPr>
          <w:p w:rsidR="00D14709" w:rsidRPr="00D14709" w:rsidRDefault="00D14709" w:rsidP="00A4370E">
            <w:pPr>
              <w:pStyle w:val="cuatexto"/>
              <w:jc w:val="right"/>
            </w:pPr>
            <w:r w:rsidRPr="00D14709">
              <w:t>3.623</w:t>
            </w:r>
          </w:p>
        </w:tc>
        <w:tc>
          <w:tcPr>
            <w:tcW w:w="1407" w:type="dxa"/>
            <w:tcBorders>
              <w:top w:val="single" w:sz="2" w:space="0" w:color="auto"/>
              <w:bottom w:val="single" w:sz="2" w:space="0" w:color="auto"/>
            </w:tcBorders>
            <w:shd w:val="clear" w:color="auto" w:fill="auto"/>
            <w:noWrap/>
            <w:vAlign w:val="center"/>
            <w:hideMark/>
          </w:tcPr>
          <w:p w:rsidR="00D14709" w:rsidRPr="00D14709" w:rsidRDefault="00D14709" w:rsidP="00A4370E">
            <w:pPr>
              <w:pStyle w:val="cuatexto"/>
              <w:jc w:val="right"/>
            </w:pPr>
            <w:r w:rsidRPr="00D14709">
              <w:t>1.481.529</w:t>
            </w:r>
          </w:p>
        </w:tc>
        <w:tc>
          <w:tcPr>
            <w:tcW w:w="1414" w:type="dxa"/>
            <w:tcBorders>
              <w:top w:val="single" w:sz="2" w:space="0" w:color="auto"/>
              <w:bottom w:val="single" w:sz="2" w:space="0" w:color="auto"/>
            </w:tcBorders>
            <w:shd w:val="clear" w:color="auto" w:fill="auto"/>
            <w:noWrap/>
            <w:vAlign w:val="center"/>
            <w:hideMark/>
          </w:tcPr>
          <w:p w:rsidR="00D14709" w:rsidRPr="00D14709" w:rsidRDefault="00D14709" w:rsidP="00A4370E">
            <w:pPr>
              <w:pStyle w:val="cuatexto"/>
              <w:jc w:val="right"/>
            </w:pPr>
            <w:r w:rsidRPr="00D14709">
              <w:t>3.792.270</w:t>
            </w:r>
          </w:p>
        </w:tc>
      </w:tr>
      <w:tr w:rsidR="00D14709" w:rsidRPr="00D14709" w:rsidTr="00251DEF">
        <w:trPr>
          <w:trHeight w:val="284"/>
        </w:trPr>
        <w:tc>
          <w:tcPr>
            <w:tcW w:w="2552" w:type="dxa"/>
            <w:tcBorders>
              <w:top w:val="single" w:sz="2" w:space="0" w:color="auto"/>
              <w:bottom w:val="single" w:sz="2" w:space="0" w:color="auto"/>
            </w:tcBorders>
            <w:shd w:val="clear" w:color="auto" w:fill="auto"/>
            <w:noWrap/>
            <w:vAlign w:val="center"/>
            <w:hideMark/>
          </w:tcPr>
          <w:p w:rsidR="00D14709" w:rsidRPr="00D14709" w:rsidRDefault="00D14709" w:rsidP="00D14709">
            <w:pPr>
              <w:pStyle w:val="cuatexto"/>
            </w:pPr>
            <w:r w:rsidRPr="00D14709">
              <w:t>2009</w:t>
            </w:r>
          </w:p>
        </w:tc>
        <w:tc>
          <w:tcPr>
            <w:tcW w:w="2322" w:type="dxa"/>
            <w:tcBorders>
              <w:top w:val="single" w:sz="2" w:space="0" w:color="auto"/>
              <w:bottom w:val="single" w:sz="2" w:space="0" w:color="auto"/>
            </w:tcBorders>
            <w:shd w:val="clear" w:color="auto" w:fill="auto"/>
            <w:noWrap/>
            <w:vAlign w:val="center"/>
            <w:hideMark/>
          </w:tcPr>
          <w:p w:rsidR="00D14709" w:rsidRPr="00D14709" w:rsidRDefault="00D14709" w:rsidP="00A4370E">
            <w:pPr>
              <w:pStyle w:val="cuatexto"/>
              <w:jc w:val="right"/>
            </w:pPr>
            <w:r w:rsidRPr="00D14709">
              <w:t>393.911</w:t>
            </w:r>
          </w:p>
        </w:tc>
        <w:tc>
          <w:tcPr>
            <w:tcW w:w="1185" w:type="dxa"/>
            <w:tcBorders>
              <w:top w:val="single" w:sz="2" w:space="0" w:color="auto"/>
              <w:bottom w:val="single" w:sz="2" w:space="0" w:color="auto"/>
            </w:tcBorders>
            <w:shd w:val="clear" w:color="auto" w:fill="auto"/>
            <w:noWrap/>
            <w:vAlign w:val="center"/>
            <w:hideMark/>
          </w:tcPr>
          <w:p w:rsidR="00D14709" w:rsidRPr="00D14709" w:rsidRDefault="00D14709" w:rsidP="00A4370E">
            <w:pPr>
              <w:pStyle w:val="cuatexto"/>
              <w:jc w:val="right"/>
            </w:pPr>
            <w:r w:rsidRPr="00D14709">
              <w:t>12.169</w:t>
            </w:r>
          </w:p>
        </w:tc>
        <w:tc>
          <w:tcPr>
            <w:tcW w:w="1407" w:type="dxa"/>
            <w:tcBorders>
              <w:top w:val="single" w:sz="2" w:space="0" w:color="auto"/>
              <w:bottom w:val="single" w:sz="2" w:space="0" w:color="auto"/>
            </w:tcBorders>
            <w:shd w:val="clear" w:color="auto" w:fill="auto"/>
            <w:noWrap/>
            <w:vAlign w:val="center"/>
            <w:hideMark/>
          </w:tcPr>
          <w:p w:rsidR="00D14709" w:rsidRPr="00D14709" w:rsidRDefault="00D14709" w:rsidP="00A4370E">
            <w:pPr>
              <w:pStyle w:val="cuatexto"/>
              <w:jc w:val="right"/>
            </w:pPr>
            <w:r w:rsidRPr="00D14709">
              <w:t>784.628</w:t>
            </w:r>
          </w:p>
        </w:tc>
        <w:tc>
          <w:tcPr>
            <w:tcW w:w="1414" w:type="dxa"/>
            <w:tcBorders>
              <w:top w:val="single" w:sz="2" w:space="0" w:color="auto"/>
              <w:bottom w:val="single" w:sz="2" w:space="0" w:color="auto"/>
            </w:tcBorders>
            <w:shd w:val="clear" w:color="auto" w:fill="auto"/>
            <w:noWrap/>
            <w:vAlign w:val="center"/>
            <w:hideMark/>
          </w:tcPr>
          <w:p w:rsidR="00D14709" w:rsidRPr="00D14709" w:rsidRDefault="00D14709" w:rsidP="00A4370E">
            <w:pPr>
              <w:pStyle w:val="cuatexto"/>
              <w:jc w:val="right"/>
            </w:pPr>
            <w:r w:rsidRPr="00D14709">
              <w:t>1.190.708</w:t>
            </w:r>
          </w:p>
        </w:tc>
      </w:tr>
      <w:tr w:rsidR="00D14709" w:rsidRPr="00D14709" w:rsidTr="00251DEF">
        <w:trPr>
          <w:trHeight w:val="284"/>
        </w:trPr>
        <w:tc>
          <w:tcPr>
            <w:tcW w:w="2552" w:type="dxa"/>
            <w:tcBorders>
              <w:top w:val="single" w:sz="2" w:space="0" w:color="auto"/>
              <w:bottom w:val="single" w:sz="2" w:space="0" w:color="auto"/>
            </w:tcBorders>
            <w:shd w:val="clear" w:color="auto" w:fill="auto"/>
            <w:noWrap/>
            <w:vAlign w:val="center"/>
            <w:hideMark/>
          </w:tcPr>
          <w:p w:rsidR="00D14709" w:rsidRPr="00D14709" w:rsidRDefault="00D14709" w:rsidP="00D14709">
            <w:pPr>
              <w:pStyle w:val="cuatexto"/>
            </w:pPr>
            <w:r w:rsidRPr="00D14709">
              <w:t>2010</w:t>
            </w:r>
          </w:p>
        </w:tc>
        <w:tc>
          <w:tcPr>
            <w:tcW w:w="2322" w:type="dxa"/>
            <w:tcBorders>
              <w:top w:val="single" w:sz="2" w:space="0" w:color="auto"/>
              <w:bottom w:val="single" w:sz="2" w:space="0" w:color="auto"/>
            </w:tcBorders>
            <w:shd w:val="clear" w:color="auto" w:fill="auto"/>
            <w:noWrap/>
            <w:vAlign w:val="center"/>
            <w:hideMark/>
          </w:tcPr>
          <w:p w:rsidR="00D14709" w:rsidRPr="00D14709" w:rsidRDefault="00D14709" w:rsidP="00A4370E">
            <w:pPr>
              <w:pStyle w:val="cuatexto"/>
              <w:jc w:val="right"/>
            </w:pPr>
            <w:r w:rsidRPr="00D14709">
              <w:t>998.563</w:t>
            </w:r>
          </w:p>
        </w:tc>
        <w:tc>
          <w:tcPr>
            <w:tcW w:w="1185" w:type="dxa"/>
            <w:tcBorders>
              <w:top w:val="single" w:sz="2" w:space="0" w:color="auto"/>
              <w:bottom w:val="single" w:sz="2" w:space="0" w:color="auto"/>
            </w:tcBorders>
            <w:shd w:val="clear" w:color="auto" w:fill="auto"/>
            <w:noWrap/>
            <w:vAlign w:val="center"/>
            <w:hideMark/>
          </w:tcPr>
          <w:p w:rsidR="00D14709" w:rsidRPr="00D14709" w:rsidRDefault="00D14709" w:rsidP="00A4370E">
            <w:pPr>
              <w:pStyle w:val="cuatexto"/>
              <w:jc w:val="right"/>
            </w:pPr>
            <w:r w:rsidRPr="00D14709">
              <w:t>21.140</w:t>
            </w:r>
          </w:p>
        </w:tc>
        <w:tc>
          <w:tcPr>
            <w:tcW w:w="1407" w:type="dxa"/>
            <w:tcBorders>
              <w:top w:val="single" w:sz="2" w:space="0" w:color="auto"/>
              <w:bottom w:val="single" w:sz="2" w:space="0" w:color="auto"/>
            </w:tcBorders>
            <w:shd w:val="clear" w:color="auto" w:fill="auto"/>
            <w:noWrap/>
            <w:vAlign w:val="center"/>
            <w:hideMark/>
          </w:tcPr>
          <w:p w:rsidR="00D14709" w:rsidRPr="00D14709" w:rsidRDefault="00D14709" w:rsidP="00A4370E">
            <w:pPr>
              <w:pStyle w:val="cuatexto"/>
              <w:jc w:val="right"/>
            </w:pPr>
            <w:r w:rsidRPr="00D14709">
              <w:t>1.878.998</w:t>
            </w:r>
          </w:p>
        </w:tc>
        <w:tc>
          <w:tcPr>
            <w:tcW w:w="1414" w:type="dxa"/>
            <w:tcBorders>
              <w:top w:val="single" w:sz="2" w:space="0" w:color="auto"/>
              <w:bottom w:val="single" w:sz="2" w:space="0" w:color="auto"/>
            </w:tcBorders>
            <w:shd w:val="clear" w:color="auto" w:fill="auto"/>
            <w:noWrap/>
            <w:vAlign w:val="center"/>
            <w:hideMark/>
          </w:tcPr>
          <w:p w:rsidR="00D14709" w:rsidRPr="00D14709" w:rsidRDefault="00D14709" w:rsidP="00A4370E">
            <w:pPr>
              <w:pStyle w:val="cuatexto"/>
              <w:jc w:val="right"/>
            </w:pPr>
            <w:r w:rsidRPr="00D14709">
              <w:t>2.898.701</w:t>
            </w:r>
          </w:p>
        </w:tc>
      </w:tr>
      <w:tr w:rsidR="00D14709" w:rsidRPr="00D14709" w:rsidTr="00251DEF">
        <w:trPr>
          <w:trHeight w:val="284"/>
        </w:trPr>
        <w:tc>
          <w:tcPr>
            <w:tcW w:w="2552" w:type="dxa"/>
            <w:tcBorders>
              <w:top w:val="single" w:sz="2" w:space="0" w:color="auto"/>
              <w:bottom w:val="single" w:sz="2" w:space="0" w:color="auto"/>
            </w:tcBorders>
            <w:shd w:val="clear" w:color="auto" w:fill="auto"/>
            <w:noWrap/>
            <w:vAlign w:val="center"/>
            <w:hideMark/>
          </w:tcPr>
          <w:p w:rsidR="00D14709" w:rsidRPr="00D14709" w:rsidRDefault="00D14709" w:rsidP="00D14709">
            <w:pPr>
              <w:pStyle w:val="cuatexto"/>
            </w:pPr>
            <w:r w:rsidRPr="00D14709">
              <w:t>2011</w:t>
            </w:r>
          </w:p>
        </w:tc>
        <w:tc>
          <w:tcPr>
            <w:tcW w:w="2322" w:type="dxa"/>
            <w:tcBorders>
              <w:top w:val="single" w:sz="2" w:space="0" w:color="auto"/>
              <w:bottom w:val="single" w:sz="2" w:space="0" w:color="auto"/>
            </w:tcBorders>
            <w:shd w:val="clear" w:color="auto" w:fill="auto"/>
            <w:noWrap/>
            <w:vAlign w:val="center"/>
            <w:hideMark/>
          </w:tcPr>
          <w:p w:rsidR="00D14709" w:rsidRPr="00D14709" w:rsidRDefault="00D14709" w:rsidP="00A4370E">
            <w:pPr>
              <w:pStyle w:val="cuatexto"/>
              <w:jc w:val="right"/>
            </w:pPr>
            <w:r w:rsidRPr="00D14709">
              <w:t>2.001.361</w:t>
            </w:r>
          </w:p>
        </w:tc>
        <w:tc>
          <w:tcPr>
            <w:tcW w:w="1185" w:type="dxa"/>
            <w:tcBorders>
              <w:top w:val="single" w:sz="2" w:space="0" w:color="auto"/>
              <w:bottom w:val="single" w:sz="2" w:space="0" w:color="auto"/>
            </w:tcBorders>
            <w:shd w:val="clear" w:color="auto" w:fill="auto"/>
            <w:noWrap/>
            <w:vAlign w:val="center"/>
            <w:hideMark/>
          </w:tcPr>
          <w:p w:rsidR="00D14709" w:rsidRPr="00D14709" w:rsidRDefault="00D14709" w:rsidP="00A4370E">
            <w:pPr>
              <w:pStyle w:val="cuatexto"/>
              <w:jc w:val="right"/>
            </w:pPr>
            <w:r w:rsidRPr="00D14709">
              <w:t>4.065</w:t>
            </w:r>
          </w:p>
        </w:tc>
        <w:tc>
          <w:tcPr>
            <w:tcW w:w="1407" w:type="dxa"/>
            <w:tcBorders>
              <w:top w:val="single" w:sz="2" w:space="0" w:color="auto"/>
              <w:bottom w:val="single" w:sz="2" w:space="0" w:color="auto"/>
            </w:tcBorders>
            <w:shd w:val="clear" w:color="auto" w:fill="auto"/>
            <w:noWrap/>
            <w:vAlign w:val="center"/>
            <w:hideMark/>
          </w:tcPr>
          <w:p w:rsidR="00D14709" w:rsidRPr="00D14709" w:rsidRDefault="00D14709" w:rsidP="00A4370E">
            <w:pPr>
              <w:pStyle w:val="cuatexto"/>
              <w:jc w:val="right"/>
            </w:pPr>
            <w:r w:rsidRPr="00D14709">
              <w:t>4.100.634</w:t>
            </w:r>
          </w:p>
        </w:tc>
        <w:tc>
          <w:tcPr>
            <w:tcW w:w="1414" w:type="dxa"/>
            <w:tcBorders>
              <w:top w:val="single" w:sz="2" w:space="0" w:color="auto"/>
              <w:bottom w:val="single" w:sz="2" w:space="0" w:color="auto"/>
            </w:tcBorders>
            <w:shd w:val="clear" w:color="auto" w:fill="auto"/>
            <w:noWrap/>
            <w:vAlign w:val="center"/>
            <w:hideMark/>
          </w:tcPr>
          <w:p w:rsidR="00D14709" w:rsidRPr="00D14709" w:rsidRDefault="00D14709" w:rsidP="00A4370E">
            <w:pPr>
              <w:pStyle w:val="cuatexto"/>
              <w:jc w:val="right"/>
            </w:pPr>
            <w:r w:rsidRPr="00D14709">
              <w:t>6.106.060</w:t>
            </w:r>
          </w:p>
        </w:tc>
      </w:tr>
      <w:tr w:rsidR="00D14709" w:rsidRPr="00D14709" w:rsidTr="00251DEF">
        <w:trPr>
          <w:trHeight w:val="284"/>
        </w:trPr>
        <w:tc>
          <w:tcPr>
            <w:tcW w:w="2552" w:type="dxa"/>
            <w:tcBorders>
              <w:top w:val="single" w:sz="2" w:space="0" w:color="auto"/>
              <w:bottom w:val="single" w:sz="2" w:space="0" w:color="auto"/>
            </w:tcBorders>
            <w:shd w:val="clear" w:color="auto" w:fill="auto"/>
            <w:noWrap/>
            <w:vAlign w:val="center"/>
            <w:hideMark/>
          </w:tcPr>
          <w:p w:rsidR="00D14709" w:rsidRPr="00D14709" w:rsidRDefault="00D14709" w:rsidP="00D14709">
            <w:pPr>
              <w:pStyle w:val="cuatexto"/>
            </w:pPr>
            <w:r w:rsidRPr="00D14709">
              <w:t>2012</w:t>
            </w:r>
          </w:p>
        </w:tc>
        <w:tc>
          <w:tcPr>
            <w:tcW w:w="2322" w:type="dxa"/>
            <w:tcBorders>
              <w:top w:val="single" w:sz="2" w:space="0" w:color="auto"/>
              <w:bottom w:val="single" w:sz="2" w:space="0" w:color="auto"/>
            </w:tcBorders>
            <w:shd w:val="clear" w:color="auto" w:fill="auto"/>
            <w:noWrap/>
            <w:vAlign w:val="center"/>
            <w:hideMark/>
          </w:tcPr>
          <w:p w:rsidR="00D14709" w:rsidRPr="00D14709" w:rsidRDefault="00D14709" w:rsidP="00A4370E">
            <w:pPr>
              <w:pStyle w:val="cuatexto"/>
              <w:jc w:val="right"/>
            </w:pPr>
            <w:r w:rsidRPr="00D14709">
              <w:t>1.751.086</w:t>
            </w:r>
          </w:p>
        </w:tc>
        <w:tc>
          <w:tcPr>
            <w:tcW w:w="1185" w:type="dxa"/>
            <w:tcBorders>
              <w:top w:val="single" w:sz="2" w:space="0" w:color="auto"/>
              <w:bottom w:val="single" w:sz="2" w:space="0" w:color="auto"/>
            </w:tcBorders>
            <w:shd w:val="clear" w:color="auto" w:fill="auto"/>
            <w:noWrap/>
            <w:vAlign w:val="center"/>
            <w:hideMark/>
          </w:tcPr>
          <w:p w:rsidR="00D14709" w:rsidRPr="00D14709" w:rsidRDefault="00D14709" w:rsidP="00A4370E">
            <w:pPr>
              <w:pStyle w:val="cuatexto"/>
              <w:jc w:val="right"/>
            </w:pPr>
            <w:r w:rsidRPr="00D14709">
              <w:t>77.898</w:t>
            </w:r>
          </w:p>
        </w:tc>
        <w:tc>
          <w:tcPr>
            <w:tcW w:w="1407" w:type="dxa"/>
            <w:tcBorders>
              <w:top w:val="single" w:sz="2" w:space="0" w:color="auto"/>
              <w:bottom w:val="single" w:sz="2" w:space="0" w:color="auto"/>
            </w:tcBorders>
            <w:shd w:val="clear" w:color="auto" w:fill="auto"/>
            <w:noWrap/>
            <w:vAlign w:val="center"/>
            <w:hideMark/>
          </w:tcPr>
          <w:p w:rsidR="00D14709" w:rsidRPr="00D14709" w:rsidRDefault="00D14709" w:rsidP="00A4370E">
            <w:pPr>
              <w:pStyle w:val="cuatexto"/>
              <w:jc w:val="right"/>
            </w:pPr>
            <w:r w:rsidRPr="00D14709">
              <w:t>4.072.812</w:t>
            </w:r>
          </w:p>
        </w:tc>
        <w:tc>
          <w:tcPr>
            <w:tcW w:w="1414" w:type="dxa"/>
            <w:tcBorders>
              <w:top w:val="single" w:sz="2" w:space="0" w:color="auto"/>
              <w:bottom w:val="single" w:sz="2" w:space="0" w:color="auto"/>
            </w:tcBorders>
            <w:shd w:val="clear" w:color="auto" w:fill="auto"/>
            <w:noWrap/>
            <w:vAlign w:val="center"/>
            <w:hideMark/>
          </w:tcPr>
          <w:p w:rsidR="00D14709" w:rsidRPr="00D14709" w:rsidRDefault="00D14709" w:rsidP="00A4370E">
            <w:pPr>
              <w:pStyle w:val="cuatexto"/>
              <w:jc w:val="right"/>
            </w:pPr>
            <w:r w:rsidRPr="00D14709">
              <w:t>5.901.797</w:t>
            </w:r>
          </w:p>
        </w:tc>
      </w:tr>
      <w:tr w:rsidR="00D14709" w:rsidRPr="00D14709" w:rsidTr="00251DEF">
        <w:trPr>
          <w:trHeight w:val="284"/>
        </w:trPr>
        <w:tc>
          <w:tcPr>
            <w:tcW w:w="2552" w:type="dxa"/>
            <w:tcBorders>
              <w:top w:val="single" w:sz="2" w:space="0" w:color="auto"/>
              <w:bottom w:val="single" w:sz="2" w:space="0" w:color="auto"/>
            </w:tcBorders>
            <w:shd w:val="clear" w:color="auto" w:fill="auto"/>
            <w:noWrap/>
            <w:vAlign w:val="center"/>
            <w:hideMark/>
          </w:tcPr>
          <w:p w:rsidR="00D14709" w:rsidRPr="00D14709" w:rsidRDefault="00D14709" w:rsidP="00D14709">
            <w:pPr>
              <w:pStyle w:val="cuatexto"/>
            </w:pPr>
            <w:r w:rsidRPr="00D14709">
              <w:t>2013</w:t>
            </w:r>
          </w:p>
        </w:tc>
        <w:tc>
          <w:tcPr>
            <w:tcW w:w="2322" w:type="dxa"/>
            <w:tcBorders>
              <w:top w:val="single" w:sz="2" w:space="0" w:color="auto"/>
              <w:bottom w:val="single" w:sz="2" w:space="0" w:color="auto"/>
            </w:tcBorders>
            <w:shd w:val="clear" w:color="auto" w:fill="auto"/>
            <w:noWrap/>
            <w:vAlign w:val="center"/>
            <w:hideMark/>
          </w:tcPr>
          <w:p w:rsidR="00D14709" w:rsidRPr="00D14709" w:rsidRDefault="00D14709" w:rsidP="00A4370E">
            <w:pPr>
              <w:pStyle w:val="cuatexto"/>
              <w:jc w:val="right"/>
            </w:pPr>
            <w:r w:rsidRPr="00D14709">
              <w:t>7.073.724</w:t>
            </w:r>
          </w:p>
        </w:tc>
        <w:tc>
          <w:tcPr>
            <w:tcW w:w="1185" w:type="dxa"/>
            <w:tcBorders>
              <w:top w:val="single" w:sz="2" w:space="0" w:color="auto"/>
              <w:bottom w:val="single" w:sz="2" w:space="0" w:color="auto"/>
            </w:tcBorders>
            <w:shd w:val="clear" w:color="auto" w:fill="auto"/>
            <w:noWrap/>
            <w:vAlign w:val="center"/>
            <w:hideMark/>
          </w:tcPr>
          <w:p w:rsidR="00D14709" w:rsidRPr="00D14709" w:rsidRDefault="00D14709" w:rsidP="00A4370E">
            <w:pPr>
              <w:pStyle w:val="cuatexto"/>
              <w:jc w:val="right"/>
            </w:pPr>
            <w:r w:rsidRPr="00D14709">
              <w:t>2.921.766</w:t>
            </w:r>
          </w:p>
        </w:tc>
        <w:tc>
          <w:tcPr>
            <w:tcW w:w="1407" w:type="dxa"/>
            <w:tcBorders>
              <w:top w:val="single" w:sz="2" w:space="0" w:color="auto"/>
              <w:bottom w:val="single" w:sz="2" w:space="0" w:color="auto"/>
            </w:tcBorders>
            <w:shd w:val="clear" w:color="auto" w:fill="auto"/>
            <w:noWrap/>
            <w:vAlign w:val="center"/>
            <w:hideMark/>
          </w:tcPr>
          <w:p w:rsidR="00D14709" w:rsidRPr="00D14709" w:rsidRDefault="00D14709" w:rsidP="00A4370E">
            <w:pPr>
              <w:pStyle w:val="cuatexto"/>
              <w:jc w:val="right"/>
            </w:pPr>
            <w:r w:rsidRPr="00D14709">
              <w:t>2.563.883</w:t>
            </w:r>
          </w:p>
        </w:tc>
        <w:tc>
          <w:tcPr>
            <w:tcW w:w="1414" w:type="dxa"/>
            <w:tcBorders>
              <w:top w:val="single" w:sz="2" w:space="0" w:color="auto"/>
              <w:bottom w:val="single" w:sz="2" w:space="0" w:color="auto"/>
            </w:tcBorders>
            <w:shd w:val="clear" w:color="auto" w:fill="auto"/>
            <w:noWrap/>
            <w:vAlign w:val="center"/>
            <w:hideMark/>
          </w:tcPr>
          <w:p w:rsidR="00D14709" w:rsidRPr="00D14709" w:rsidRDefault="00D14709" w:rsidP="00A4370E">
            <w:pPr>
              <w:pStyle w:val="cuatexto"/>
              <w:jc w:val="right"/>
            </w:pPr>
            <w:r w:rsidRPr="00D14709">
              <w:t>12.559.373</w:t>
            </w:r>
          </w:p>
        </w:tc>
      </w:tr>
      <w:tr w:rsidR="00D14709" w:rsidRPr="00D14709" w:rsidTr="00251DEF">
        <w:trPr>
          <w:trHeight w:val="284"/>
        </w:trPr>
        <w:tc>
          <w:tcPr>
            <w:tcW w:w="2552" w:type="dxa"/>
            <w:tcBorders>
              <w:top w:val="single" w:sz="2" w:space="0" w:color="auto"/>
              <w:bottom w:val="single" w:sz="4" w:space="0" w:color="auto"/>
            </w:tcBorders>
            <w:shd w:val="clear" w:color="auto" w:fill="auto"/>
            <w:noWrap/>
            <w:vAlign w:val="center"/>
            <w:hideMark/>
          </w:tcPr>
          <w:p w:rsidR="00D14709" w:rsidRPr="00D14709" w:rsidRDefault="00D14709" w:rsidP="00D14709">
            <w:pPr>
              <w:pStyle w:val="cuatexto"/>
            </w:pPr>
            <w:r w:rsidRPr="00D14709">
              <w:t>2014</w:t>
            </w:r>
          </w:p>
        </w:tc>
        <w:tc>
          <w:tcPr>
            <w:tcW w:w="2322" w:type="dxa"/>
            <w:tcBorders>
              <w:top w:val="single" w:sz="2" w:space="0" w:color="auto"/>
              <w:bottom w:val="single" w:sz="4" w:space="0" w:color="auto"/>
            </w:tcBorders>
            <w:shd w:val="clear" w:color="auto" w:fill="auto"/>
            <w:noWrap/>
            <w:vAlign w:val="center"/>
            <w:hideMark/>
          </w:tcPr>
          <w:p w:rsidR="00D14709" w:rsidRPr="00D14709" w:rsidRDefault="00D14709" w:rsidP="00A4370E">
            <w:pPr>
              <w:pStyle w:val="cuatexto"/>
              <w:jc w:val="right"/>
            </w:pPr>
            <w:r w:rsidRPr="00D14709">
              <w:t>4.416.636</w:t>
            </w:r>
          </w:p>
        </w:tc>
        <w:tc>
          <w:tcPr>
            <w:tcW w:w="1185" w:type="dxa"/>
            <w:tcBorders>
              <w:top w:val="single" w:sz="2" w:space="0" w:color="auto"/>
              <w:bottom w:val="single" w:sz="4" w:space="0" w:color="auto"/>
            </w:tcBorders>
            <w:shd w:val="clear" w:color="auto" w:fill="auto"/>
            <w:noWrap/>
            <w:vAlign w:val="center"/>
            <w:hideMark/>
          </w:tcPr>
          <w:p w:rsidR="00D14709" w:rsidRPr="00D14709" w:rsidRDefault="00D14709" w:rsidP="00A4370E">
            <w:pPr>
              <w:pStyle w:val="cuatexto"/>
              <w:jc w:val="right"/>
            </w:pPr>
            <w:r w:rsidRPr="00D14709">
              <w:t>31.029</w:t>
            </w:r>
          </w:p>
        </w:tc>
        <w:tc>
          <w:tcPr>
            <w:tcW w:w="1407" w:type="dxa"/>
            <w:tcBorders>
              <w:top w:val="single" w:sz="2" w:space="0" w:color="auto"/>
              <w:bottom w:val="single" w:sz="4" w:space="0" w:color="auto"/>
            </w:tcBorders>
            <w:shd w:val="clear" w:color="auto" w:fill="auto"/>
            <w:noWrap/>
            <w:vAlign w:val="center"/>
            <w:hideMark/>
          </w:tcPr>
          <w:p w:rsidR="00D14709" w:rsidRPr="00D14709" w:rsidRDefault="00D14709" w:rsidP="00A4370E">
            <w:pPr>
              <w:pStyle w:val="cuatexto"/>
              <w:jc w:val="right"/>
            </w:pPr>
            <w:r w:rsidRPr="00D14709">
              <w:t>2.954.797</w:t>
            </w:r>
          </w:p>
        </w:tc>
        <w:tc>
          <w:tcPr>
            <w:tcW w:w="1414" w:type="dxa"/>
            <w:tcBorders>
              <w:top w:val="single" w:sz="2" w:space="0" w:color="auto"/>
              <w:bottom w:val="single" w:sz="4" w:space="0" w:color="auto"/>
            </w:tcBorders>
            <w:shd w:val="clear" w:color="auto" w:fill="auto"/>
            <w:noWrap/>
            <w:vAlign w:val="center"/>
            <w:hideMark/>
          </w:tcPr>
          <w:p w:rsidR="00D14709" w:rsidRPr="00D14709" w:rsidRDefault="00D14709" w:rsidP="00A4370E">
            <w:pPr>
              <w:pStyle w:val="cuatexto"/>
              <w:jc w:val="right"/>
            </w:pPr>
            <w:r w:rsidRPr="00D14709">
              <w:t>7.402.462</w:t>
            </w:r>
          </w:p>
        </w:tc>
      </w:tr>
      <w:tr w:rsidR="00D14709" w:rsidRPr="00D14709" w:rsidTr="001A76F5">
        <w:trPr>
          <w:trHeight w:val="255"/>
        </w:trPr>
        <w:tc>
          <w:tcPr>
            <w:tcW w:w="2552" w:type="dxa"/>
            <w:tcBorders>
              <w:top w:val="single" w:sz="4" w:space="0" w:color="auto"/>
              <w:bottom w:val="single" w:sz="4" w:space="0" w:color="auto"/>
            </w:tcBorders>
            <w:shd w:val="clear" w:color="auto" w:fill="8DB3E2" w:themeFill="text2" w:themeFillTint="66"/>
            <w:noWrap/>
            <w:vAlign w:val="center"/>
            <w:hideMark/>
          </w:tcPr>
          <w:p w:rsidR="00D14709" w:rsidRPr="00D14709" w:rsidRDefault="00D14709" w:rsidP="00D14709">
            <w:pPr>
              <w:pStyle w:val="cuadroCabe"/>
            </w:pPr>
            <w:r w:rsidRPr="00D14709">
              <w:t>Total Cobros</w:t>
            </w:r>
          </w:p>
        </w:tc>
        <w:tc>
          <w:tcPr>
            <w:tcW w:w="2322" w:type="dxa"/>
            <w:tcBorders>
              <w:top w:val="single" w:sz="4" w:space="0" w:color="auto"/>
              <w:bottom w:val="single" w:sz="4" w:space="0" w:color="auto"/>
            </w:tcBorders>
            <w:shd w:val="clear" w:color="auto" w:fill="8DB3E2" w:themeFill="text2" w:themeFillTint="66"/>
            <w:noWrap/>
            <w:vAlign w:val="center"/>
            <w:hideMark/>
          </w:tcPr>
          <w:p w:rsidR="00D14709" w:rsidRPr="00D14709" w:rsidRDefault="00D14709" w:rsidP="00A4370E">
            <w:pPr>
              <w:pStyle w:val="cuadroCabe"/>
              <w:jc w:val="right"/>
            </w:pPr>
            <w:r w:rsidRPr="00D14709">
              <w:t>25.428.887</w:t>
            </w:r>
          </w:p>
        </w:tc>
        <w:tc>
          <w:tcPr>
            <w:tcW w:w="1185" w:type="dxa"/>
            <w:tcBorders>
              <w:top w:val="single" w:sz="4" w:space="0" w:color="auto"/>
              <w:bottom w:val="single" w:sz="4" w:space="0" w:color="auto"/>
            </w:tcBorders>
            <w:shd w:val="clear" w:color="auto" w:fill="8DB3E2" w:themeFill="text2" w:themeFillTint="66"/>
            <w:noWrap/>
            <w:vAlign w:val="center"/>
            <w:hideMark/>
          </w:tcPr>
          <w:p w:rsidR="00D14709" w:rsidRPr="00D14709" w:rsidRDefault="00D14709" w:rsidP="00A4370E">
            <w:pPr>
              <w:pStyle w:val="cuadroCabe"/>
              <w:jc w:val="right"/>
            </w:pPr>
            <w:r w:rsidRPr="00D14709">
              <w:t>5.472.591</w:t>
            </w:r>
          </w:p>
        </w:tc>
        <w:tc>
          <w:tcPr>
            <w:tcW w:w="1407" w:type="dxa"/>
            <w:tcBorders>
              <w:top w:val="single" w:sz="4" w:space="0" w:color="auto"/>
              <w:bottom w:val="single" w:sz="4" w:space="0" w:color="auto"/>
            </w:tcBorders>
            <w:shd w:val="clear" w:color="auto" w:fill="8DB3E2" w:themeFill="text2" w:themeFillTint="66"/>
            <w:noWrap/>
            <w:vAlign w:val="center"/>
            <w:hideMark/>
          </w:tcPr>
          <w:p w:rsidR="00D14709" w:rsidRPr="00D14709" w:rsidRDefault="00D14709" w:rsidP="00A4370E">
            <w:pPr>
              <w:pStyle w:val="cuadroCabe"/>
              <w:jc w:val="right"/>
            </w:pPr>
            <w:r w:rsidRPr="00D14709">
              <w:t>19.063.975</w:t>
            </w:r>
          </w:p>
        </w:tc>
        <w:tc>
          <w:tcPr>
            <w:tcW w:w="1414" w:type="dxa"/>
            <w:tcBorders>
              <w:top w:val="single" w:sz="4" w:space="0" w:color="auto"/>
              <w:bottom w:val="single" w:sz="4" w:space="0" w:color="auto"/>
            </w:tcBorders>
            <w:shd w:val="clear" w:color="auto" w:fill="8DB3E2" w:themeFill="text2" w:themeFillTint="66"/>
            <w:noWrap/>
            <w:vAlign w:val="center"/>
            <w:hideMark/>
          </w:tcPr>
          <w:p w:rsidR="00D14709" w:rsidRPr="00D14709" w:rsidRDefault="00D14709" w:rsidP="00A4370E">
            <w:pPr>
              <w:pStyle w:val="cuadroCabe"/>
              <w:jc w:val="right"/>
            </w:pPr>
            <w:r w:rsidRPr="00D14709">
              <w:t>49.965.453</w:t>
            </w:r>
          </w:p>
        </w:tc>
      </w:tr>
    </w:tbl>
    <w:p w:rsidR="00D14709" w:rsidRDefault="00D14709" w:rsidP="001A76F5">
      <w:pPr>
        <w:pStyle w:val="texto"/>
        <w:tabs>
          <w:tab w:val="clear" w:pos="2835"/>
          <w:tab w:val="clear" w:pos="3969"/>
          <w:tab w:val="clear" w:pos="5103"/>
          <w:tab w:val="clear" w:pos="6237"/>
          <w:tab w:val="clear" w:pos="7371"/>
        </w:tabs>
        <w:spacing w:after="0"/>
        <w:rPr>
          <w:szCs w:val="26"/>
        </w:rPr>
      </w:pPr>
    </w:p>
    <w:p w:rsidR="00D14709" w:rsidRPr="00D14709" w:rsidRDefault="00D14709" w:rsidP="00D14709">
      <w:pPr>
        <w:pStyle w:val="texto"/>
        <w:tabs>
          <w:tab w:val="clear" w:pos="2835"/>
          <w:tab w:val="clear" w:pos="3969"/>
          <w:tab w:val="clear" w:pos="5103"/>
          <w:tab w:val="clear" w:pos="6237"/>
          <w:tab w:val="clear" w:pos="7371"/>
        </w:tabs>
        <w:rPr>
          <w:szCs w:val="26"/>
        </w:rPr>
      </w:pPr>
      <w:r w:rsidRPr="00D14709">
        <w:rPr>
          <w:szCs w:val="26"/>
        </w:rPr>
        <w:t>De estos cobros, señalamos los siguientes aspectos:</w:t>
      </w:r>
    </w:p>
    <w:p w:rsidR="00BE03DA" w:rsidRPr="00023AAB" w:rsidRDefault="00BE03DA"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023AAB">
        <w:rPr>
          <w:szCs w:val="26"/>
        </w:rPr>
        <w:t xml:space="preserve">Sobre el total de devengos de dicho periodo </w:t>
      </w:r>
      <w:r w:rsidR="00AA44FE" w:rsidRPr="00023AAB">
        <w:rPr>
          <w:szCs w:val="26"/>
        </w:rPr>
        <w:t xml:space="preserve">–prácticamente </w:t>
      </w:r>
      <w:r w:rsidR="007E7035" w:rsidRPr="00023AAB">
        <w:rPr>
          <w:szCs w:val="26"/>
        </w:rPr>
        <w:t>99</w:t>
      </w:r>
      <w:r w:rsidRPr="00023AAB">
        <w:rPr>
          <w:szCs w:val="26"/>
        </w:rPr>
        <w:t xml:space="preserve"> millones, incluidos todos los impuestos, intereses, recargos y sanciones</w:t>
      </w:r>
      <w:r w:rsidR="001A76F5">
        <w:rPr>
          <w:szCs w:val="26"/>
        </w:rPr>
        <w:t>–</w:t>
      </w:r>
      <w:r w:rsidRPr="00023AAB">
        <w:rPr>
          <w:szCs w:val="26"/>
        </w:rPr>
        <w:t xml:space="preserve"> lo cobrado es aproximadamente el 50 por ciento. </w:t>
      </w:r>
    </w:p>
    <w:p w:rsidR="00BE03DA" w:rsidRDefault="00BE03DA"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En cuanto a su procedimiento de cobro, el 51 por ciento se realiza por gestión ordinaria, un 38 por ciento procede de aplazamientos y un 11 por ciento por la vía ejecutiva.</w:t>
      </w:r>
    </w:p>
    <w:p w:rsidR="00BE03DA" w:rsidRDefault="00BE03DA"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 xml:space="preserve">Se observa en los últimos años, y especialmente en 2013, un esfuerzo importante del </w:t>
      </w:r>
      <w:r w:rsidR="006706E7">
        <w:rPr>
          <w:szCs w:val="26"/>
        </w:rPr>
        <w:t>c</w:t>
      </w:r>
      <w:r>
        <w:rPr>
          <w:szCs w:val="26"/>
        </w:rPr>
        <w:t>lub para efectuar el pago de sus obligaciones tributarias. Así entre 20</w:t>
      </w:r>
      <w:r w:rsidR="00247870">
        <w:rPr>
          <w:szCs w:val="26"/>
        </w:rPr>
        <w:t>1</w:t>
      </w:r>
      <w:r w:rsidR="006706E7">
        <w:rPr>
          <w:szCs w:val="26"/>
        </w:rPr>
        <w:t>1 y 2014</w:t>
      </w:r>
      <w:r>
        <w:rPr>
          <w:szCs w:val="26"/>
        </w:rPr>
        <w:t xml:space="preserve"> </w:t>
      </w:r>
      <w:r w:rsidR="00247870">
        <w:rPr>
          <w:szCs w:val="26"/>
        </w:rPr>
        <w:t>se han realizado</w:t>
      </w:r>
      <w:r>
        <w:rPr>
          <w:szCs w:val="26"/>
        </w:rPr>
        <w:t xml:space="preserve"> el 64 por ciento del total</w:t>
      </w:r>
      <w:r w:rsidR="007E7035">
        <w:rPr>
          <w:szCs w:val="26"/>
        </w:rPr>
        <w:t xml:space="preserve"> de pagos realizados</w:t>
      </w:r>
      <w:r w:rsidR="00D82D84">
        <w:rPr>
          <w:szCs w:val="26"/>
        </w:rPr>
        <w:t xml:space="preserve"> en el periodo analizado</w:t>
      </w:r>
      <w:r>
        <w:rPr>
          <w:szCs w:val="26"/>
        </w:rPr>
        <w:t>.</w:t>
      </w:r>
    </w:p>
    <w:p w:rsidR="000540D1" w:rsidRPr="00023AAB" w:rsidRDefault="00D82D84" w:rsidP="00AF2C44">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023AAB">
        <w:rPr>
          <w:szCs w:val="26"/>
        </w:rPr>
        <w:t>De los pagos anteriores, en torno a seis millones tienen su origen en recargos e intereses devengados por el incumplimiento de sus obligaciones fiscales.</w:t>
      </w:r>
    </w:p>
    <w:p w:rsidR="002B1F9B" w:rsidRDefault="002B1F9B" w:rsidP="002B1F9B">
      <w:pPr>
        <w:pStyle w:val="atitulo2"/>
        <w:spacing w:before="240"/>
      </w:pPr>
      <w:bookmarkStart w:id="18" w:name="_Toc425926951"/>
      <w:r>
        <w:t xml:space="preserve">IV.2. </w:t>
      </w:r>
      <w:r w:rsidR="00B00089">
        <w:t>Cumplimiento de</w:t>
      </w:r>
      <w:r w:rsidR="009F06B4">
        <w:t xml:space="preserve"> la normativa tributaria por la HTN</w:t>
      </w:r>
      <w:bookmarkEnd w:id="18"/>
    </w:p>
    <w:p w:rsidR="001C28AC" w:rsidRDefault="001A76F5" w:rsidP="001A76F5">
      <w:pPr>
        <w:pStyle w:val="atitulo3"/>
      </w:pPr>
      <w:r>
        <w:t xml:space="preserve">IV.2.1. </w:t>
      </w:r>
      <w:r w:rsidR="001C28AC">
        <w:t>Presentación declaraciones de IVA y de retenciones de IRPF</w:t>
      </w:r>
    </w:p>
    <w:p w:rsidR="001A76F5" w:rsidRDefault="00231A37" w:rsidP="001C28AC">
      <w:pPr>
        <w:pStyle w:val="texto"/>
        <w:tabs>
          <w:tab w:val="clear" w:pos="2835"/>
          <w:tab w:val="clear" w:pos="3969"/>
          <w:tab w:val="clear" w:pos="5103"/>
          <w:tab w:val="clear" w:pos="6237"/>
          <w:tab w:val="clear" w:pos="7371"/>
        </w:tabs>
        <w:rPr>
          <w:b/>
        </w:rPr>
      </w:pPr>
      <w:r>
        <w:rPr>
          <w:b/>
        </w:rPr>
        <w:t>6</w:t>
      </w:r>
      <w:r w:rsidR="001C28AC" w:rsidRPr="00B81909">
        <w:rPr>
          <w:b/>
        </w:rPr>
        <w:t xml:space="preserve">.ª </w:t>
      </w:r>
      <w:r w:rsidR="00B34638">
        <w:rPr>
          <w:b/>
        </w:rPr>
        <w:t>Presentación de declaraciones</w:t>
      </w:r>
    </w:p>
    <w:p w:rsidR="001C28AC" w:rsidRDefault="001C28AC" w:rsidP="001C28AC">
      <w:pPr>
        <w:pStyle w:val="texto"/>
        <w:tabs>
          <w:tab w:val="clear" w:pos="2835"/>
          <w:tab w:val="clear" w:pos="3969"/>
          <w:tab w:val="clear" w:pos="5103"/>
          <w:tab w:val="clear" w:pos="6237"/>
          <w:tab w:val="clear" w:pos="7371"/>
        </w:tabs>
      </w:pPr>
      <w:r w:rsidRPr="009803E3">
        <w:t>De acuerdo con la información analizada, señalamos</w:t>
      </w:r>
      <w:r>
        <w:t>:</w:t>
      </w:r>
    </w:p>
    <w:p w:rsidR="001C28AC" w:rsidRPr="009803E3" w:rsidRDefault="001C28AC" w:rsidP="001C28AC">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9803E3">
        <w:rPr>
          <w:szCs w:val="26"/>
        </w:rPr>
        <w:t>Declaraciones de IVA. En el periodo revisado, solo el 3</w:t>
      </w:r>
      <w:r w:rsidR="00023AAB">
        <w:rPr>
          <w:szCs w:val="26"/>
        </w:rPr>
        <w:t>7</w:t>
      </w:r>
      <w:r w:rsidRPr="009803E3">
        <w:rPr>
          <w:szCs w:val="26"/>
        </w:rPr>
        <w:t xml:space="preserve"> por ciento de las declaraciones mensuales fueron presentadas</w:t>
      </w:r>
      <w:r w:rsidR="00745FC7">
        <w:rPr>
          <w:szCs w:val="26"/>
        </w:rPr>
        <w:t xml:space="preserve"> por el </w:t>
      </w:r>
      <w:r w:rsidR="006706E7">
        <w:rPr>
          <w:szCs w:val="26"/>
        </w:rPr>
        <w:t>c</w:t>
      </w:r>
      <w:r w:rsidR="00745FC7">
        <w:rPr>
          <w:szCs w:val="26"/>
        </w:rPr>
        <w:t>lub</w:t>
      </w:r>
      <w:r w:rsidRPr="009803E3">
        <w:rPr>
          <w:szCs w:val="26"/>
        </w:rPr>
        <w:t xml:space="preserve"> dentro de los plazos legales que señala la legislación. Al respecto destacamos:</w:t>
      </w:r>
    </w:p>
    <w:p w:rsidR="001C28AC" w:rsidRDefault="0095536A" w:rsidP="001C28AC">
      <w:pPr>
        <w:pStyle w:val="texto"/>
        <w:tabs>
          <w:tab w:val="clear" w:pos="2835"/>
          <w:tab w:val="clear" w:pos="3969"/>
          <w:tab w:val="clear" w:pos="5103"/>
          <w:tab w:val="clear" w:pos="6237"/>
          <w:tab w:val="clear" w:pos="7371"/>
        </w:tabs>
      </w:pPr>
      <w:r>
        <w:t>a)</w:t>
      </w:r>
      <w:r w:rsidR="001C28AC">
        <w:t xml:space="preserve"> </w:t>
      </w:r>
      <w:r w:rsidR="003C2FB4">
        <w:t xml:space="preserve">En noviembre de 2008, el club presenta declaraciones complementarias </w:t>
      </w:r>
      <w:r w:rsidR="00C9403F">
        <w:t>relativas al periodo de</w:t>
      </w:r>
      <w:r w:rsidR="003C2FB4">
        <w:t xml:space="preserve"> 2005 hasta </w:t>
      </w:r>
      <w:r w:rsidR="006706E7">
        <w:t>junio de 2008</w:t>
      </w:r>
      <w:r w:rsidR="003C2FB4">
        <w:t>.</w:t>
      </w:r>
      <w:r w:rsidR="001C28AC">
        <w:t xml:space="preserve"> Esta presentación deriva de la actua</w:t>
      </w:r>
      <w:r w:rsidR="003C2FB4">
        <w:t xml:space="preserve">ción </w:t>
      </w:r>
      <w:r w:rsidR="001C28AC">
        <w:t xml:space="preserve">de la HTN (ver conclusión </w:t>
      </w:r>
      <w:r w:rsidR="005E5296">
        <w:t>14ª</w:t>
      </w:r>
      <w:r w:rsidR="001C28AC">
        <w:t>)</w:t>
      </w:r>
      <w:r w:rsidR="005E5296">
        <w:t>.</w:t>
      </w:r>
    </w:p>
    <w:p w:rsidR="001C28AC" w:rsidRPr="009803E3" w:rsidRDefault="0095536A" w:rsidP="001C28AC">
      <w:pPr>
        <w:pStyle w:val="texto"/>
        <w:tabs>
          <w:tab w:val="clear" w:pos="2835"/>
          <w:tab w:val="clear" w:pos="3969"/>
          <w:tab w:val="clear" w:pos="5103"/>
          <w:tab w:val="clear" w:pos="6237"/>
          <w:tab w:val="clear" w:pos="7371"/>
        </w:tabs>
      </w:pPr>
      <w:r>
        <w:t>b)</w:t>
      </w:r>
      <w:r w:rsidR="001C28AC">
        <w:t xml:space="preserve"> </w:t>
      </w:r>
      <w:r w:rsidR="0023437C">
        <w:t>Asimismo</w:t>
      </w:r>
      <w:r w:rsidR="001C28AC">
        <w:t xml:space="preserve">, se presentan declaraciones mensuales de IVA de forma conjunta, por ejemplo, cuando el </w:t>
      </w:r>
      <w:r w:rsidR="006706E7">
        <w:t>c</w:t>
      </w:r>
      <w:r w:rsidR="001C28AC">
        <w:t xml:space="preserve">lub solicita un aplazamiento/fraccionamiento de su deuda. </w:t>
      </w:r>
    </w:p>
    <w:p w:rsidR="001C28AC" w:rsidRPr="009803E3" w:rsidRDefault="0095536A" w:rsidP="001C28AC">
      <w:pPr>
        <w:pStyle w:val="texto"/>
        <w:tabs>
          <w:tab w:val="clear" w:pos="2835"/>
          <w:tab w:val="clear" w:pos="3969"/>
          <w:tab w:val="clear" w:pos="5103"/>
          <w:tab w:val="clear" w:pos="6237"/>
          <w:tab w:val="clear" w:pos="7371"/>
        </w:tabs>
      </w:pPr>
      <w:r>
        <w:t>c)</w:t>
      </w:r>
      <w:r w:rsidR="001C28AC">
        <w:t xml:space="preserve"> Desde mediados de 2012, sin embargo, se observa que el </w:t>
      </w:r>
      <w:r w:rsidR="006706E7">
        <w:t>c</w:t>
      </w:r>
      <w:r w:rsidR="001C28AC">
        <w:t>lub va cumpliendo de manera más rigurosa con la fecha de presentación de las mismas.</w:t>
      </w:r>
    </w:p>
    <w:p w:rsidR="00A53852" w:rsidRPr="003C2FB4" w:rsidRDefault="001C28AC" w:rsidP="003C2FB4">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42111F">
        <w:rPr>
          <w:szCs w:val="26"/>
        </w:rPr>
        <w:t xml:space="preserve">Declaraciones de retención de IRPF. El </w:t>
      </w:r>
      <w:r w:rsidR="00023AAB">
        <w:rPr>
          <w:szCs w:val="26"/>
        </w:rPr>
        <w:t>51</w:t>
      </w:r>
      <w:r w:rsidRPr="0042111F">
        <w:rPr>
          <w:szCs w:val="26"/>
        </w:rPr>
        <w:t xml:space="preserve"> por ciento de las declaraciones presentadas por el club se realizaron </w:t>
      </w:r>
      <w:r w:rsidR="0023437C">
        <w:rPr>
          <w:szCs w:val="26"/>
        </w:rPr>
        <w:t>dentro</w:t>
      </w:r>
      <w:r w:rsidRPr="0042111F">
        <w:rPr>
          <w:szCs w:val="26"/>
        </w:rPr>
        <w:t xml:space="preserve"> de plazo.</w:t>
      </w:r>
      <w:r>
        <w:rPr>
          <w:szCs w:val="26"/>
        </w:rPr>
        <w:t xml:space="preserve"> Sobre este impuesto, son válidos los comentarios anteriores relativos a su presentación conjunta en el momento en que el </w:t>
      </w:r>
      <w:r w:rsidR="006706E7">
        <w:rPr>
          <w:szCs w:val="26"/>
        </w:rPr>
        <w:t>c</w:t>
      </w:r>
      <w:r>
        <w:rPr>
          <w:szCs w:val="26"/>
        </w:rPr>
        <w:t xml:space="preserve">lub solicita un aplazamiento de su deuda. </w:t>
      </w:r>
      <w:r w:rsidR="00A53852" w:rsidRPr="00A53852">
        <w:t xml:space="preserve">  </w:t>
      </w:r>
    </w:p>
    <w:p w:rsidR="001C28AC" w:rsidRPr="0023437C" w:rsidRDefault="001C28AC" w:rsidP="00A56AFC">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spacing w:after="240"/>
        <w:ind w:left="0" w:firstLine="289"/>
        <w:rPr>
          <w:szCs w:val="26"/>
        </w:rPr>
      </w:pPr>
      <w:r w:rsidRPr="0023437C">
        <w:rPr>
          <w:szCs w:val="26"/>
        </w:rPr>
        <w:t>Sobre estas declaraciones presentadas fuera de plazo, la HTN aplicó los correspondientes r</w:t>
      </w:r>
      <w:r w:rsidR="005E5296">
        <w:rPr>
          <w:szCs w:val="26"/>
        </w:rPr>
        <w:t>ecargos por extemporáneas</w:t>
      </w:r>
      <w:r w:rsidRPr="0023437C">
        <w:rPr>
          <w:szCs w:val="26"/>
        </w:rPr>
        <w:t xml:space="preserve"> (ver conclusión </w:t>
      </w:r>
      <w:r w:rsidR="005E5296">
        <w:rPr>
          <w:szCs w:val="26"/>
        </w:rPr>
        <w:t>7ª</w:t>
      </w:r>
      <w:r w:rsidRPr="0023437C">
        <w:rPr>
          <w:szCs w:val="26"/>
        </w:rPr>
        <w:t>)</w:t>
      </w:r>
      <w:r w:rsidR="005E5296">
        <w:rPr>
          <w:szCs w:val="26"/>
        </w:rPr>
        <w:t>.</w:t>
      </w:r>
    </w:p>
    <w:p w:rsidR="00110757" w:rsidRPr="00110757" w:rsidRDefault="001A76F5" w:rsidP="001A76F5">
      <w:pPr>
        <w:pStyle w:val="atitulo3"/>
      </w:pPr>
      <w:r>
        <w:t xml:space="preserve">IV.2.2. </w:t>
      </w:r>
      <w:r w:rsidR="00110757" w:rsidRPr="00110757">
        <w:t xml:space="preserve">Recargos por presentación </w:t>
      </w:r>
      <w:r w:rsidR="00A53852">
        <w:t>fuera de plazo</w:t>
      </w:r>
      <w:r w:rsidR="00B17A34">
        <w:t xml:space="preserve"> en IVA y retenciones de IRPF</w:t>
      </w:r>
    </w:p>
    <w:p w:rsidR="001A76F5" w:rsidRDefault="00231A37" w:rsidP="001A76F5">
      <w:pPr>
        <w:pStyle w:val="texto"/>
        <w:tabs>
          <w:tab w:val="clear" w:pos="2835"/>
          <w:tab w:val="clear" w:pos="3969"/>
          <w:tab w:val="clear" w:pos="5103"/>
          <w:tab w:val="clear" w:pos="6237"/>
          <w:tab w:val="clear" w:pos="7371"/>
        </w:tabs>
        <w:spacing w:after="240"/>
        <w:rPr>
          <w:b/>
        </w:rPr>
      </w:pPr>
      <w:r>
        <w:rPr>
          <w:b/>
        </w:rPr>
        <w:t>7</w:t>
      </w:r>
      <w:r w:rsidR="00813289" w:rsidRPr="00B81909">
        <w:rPr>
          <w:b/>
        </w:rPr>
        <w:t>.ª</w:t>
      </w:r>
      <w:r w:rsidR="00813289">
        <w:rPr>
          <w:b/>
        </w:rPr>
        <w:t xml:space="preserve"> Recargos de extemporá</w:t>
      </w:r>
      <w:r w:rsidR="00B17A34">
        <w:rPr>
          <w:b/>
        </w:rPr>
        <w:t>nea</w:t>
      </w:r>
      <w:r w:rsidR="00813289">
        <w:rPr>
          <w:b/>
        </w:rPr>
        <w:t xml:space="preserve"> </w:t>
      </w:r>
    </w:p>
    <w:p w:rsidR="005E5296" w:rsidRDefault="00265C7E" w:rsidP="001A76F5">
      <w:pPr>
        <w:pStyle w:val="texto"/>
        <w:tabs>
          <w:tab w:val="clear" w:pos="2835"/>
          <w:tab w:val="clear" w:pos="3969"/>
          <w:tab w:val="clear" w:pos="5103"/>
          <w:tab w:val="clear" w:pos="6237"/>
          <w:tab w:val="clear" w:pos="7371"/>
        </w:tabs>
        <w:spacing w:after="240"/>
      </w:pPr>
      <w:r>
        <w:t xml:space="preserve">La </w:t>
      </w:r>
      <w:r w:rsidR="006101F0">
        <w:t>Hacienda</w:t>
      </w:r>
      <w:r>
        <w:t xml:space="preserve"> Tributaria</w:t>
      </w:r>
      <w:r w:rsidR="006101F0">
        <w:t xml:space="preserve"> ha liquidado por declaraciones</w:t>
      </w:r>
      <w:r w:rsidR="00813289">
        <w:t xml:space="preserve"> </w:t>
      </w:r>
      <w:r w:rsidR="00B17A34">
        <w:t>de estos impuestos</w:t>
      </w:r>
      <w:r w:rsidR="006101F0">
        <w:t xml:space="preserve"> presentadas fuera de plazo un importe de</w:t>
      </w:r>
      <w:r w:rsidR="00B17A34">
        <w:t xml:space="preserve"> 2,34 millones, según el siguiente detalle:</w:t>
      </w:r>
    </w:p>
    <w:tbl>
      <w:tblPr>
        <w:tblW w:w="8789" w:type="dxa"/>
        <w:tblInd w:w="70"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6884"/>
        <w:gridCol w:w="1905"/>
      </w:tblGrid>
      <w:tr w:rsidR="00B17A34" w:rsidRPr="00137ECE" w:rsidTr="00B34638">
        <w:trPr>
          <w:trHeight w:val="300"/>
        </w:trPr>
        <w:tc>
          <w:tcPr>
            <w:tcW w:w="6884" w:type="dxa"/>
            <w:shd w:val="clear" w:color="auto" w:fill="8DB3E2" w:themeFill="text2" w:themeFillTint="66"/>
            <w:noWrap/>
            <w:vAlign w:val="center"/>
          </w:tcPr>
          <w:p w:rsidR="00B17A34" w:rsidRPr="00137ECE" w:rsidRDefault="00B17A34" w:rsidP="008F48EB">
            <w:pPr>
              <w:pStyle w:val="cuadroCabe"/>
            </w:pPr>
            <w:r>
              <w:t>Recargos por extemporánea</w:t>
            </w:r>
          </w:p>
        </w:tc>
        <w:tc>
          <w:tcPr>
            <w:tcW w:w="1905" w:type="dxa"/>
            <w:shd w:val="clear" w:color="auto" w:fill="8DB3E2" w:themeFill="text2" w:themeFillTint="66"/>
            <w:noWrap/>
            <w:vAlign w:val="center"/>
          </w:tcPr>
          <w:p w:rsidR="00B17A34" w:rsidRPr="00137ECE" w:rsidRDefault="00B17A34" w:rsidP="008F48EB">
            <w:pPr>
              <w:pStyle w:val="cuadroCabe"/>
              <w:jc w:val="center"/>
            </w:pPr>
            <w:r>
              <w:t>Importe</w:t>
            </w:r>
            <w:r w:rsidR="006101F0">
              <w:t xml:space="preserve"> liquidado</w:t>
            </w:r>
          </w:p>
        </w:tc>
      </w:tr>
      <w:tr w:rsidR="00B17A34" w:rsidRPr="00BD2F85" w:rsidTr="00B34638">
        <w:trPr>
          <w:trHeight w:val="300"/>
        </w:trPr>
        <w:tc>
          <w:tcPr>
            <w:tcW w:w="6884" w:type="dxa"/>
            <w:noWrap/>
            <w:vAlign w:val="center"/>
          </w:tcPr>
          <w:p w:rsidR="00B17A34" w:rsidRPr="00137ECE" w:rsidRDefault="00B17A34" w:rsidP="008F48EB">
            <w:pPr>
              <w:pStyle w:val="cuatexto"/>
            </w:pPr>
            <w:r>
              <w:t>IVA</w:t>
            </w:r>
          </w:p>
        </w:tc>
        <w:tc>
          <w:tcPr>
            <w:tcW w:w="1905" w:type="dxa"/>
            <w:noWrap/>
            <w:vAlign w:val="center"/>
          </w:tcPr>
          <w:p w:rsidR="00B17A34" w:rsidRPr="00BD2F85" w:rsidRDefault="00B17A34" w:rsidP="008F48EB">
            <w:pPr>
              <w:pStyle w:val="cuatexto"/>
              <w:jc w:val="right"/>
            </w:pPr>
            <w:r>
              <w:t>2.264.582</w:t>
            </w:r>
          </w:p>
        </w:tc>
      </w:tr>
      <w:tr w:rsidR="00B17A34" w:rsidRPr="00BD2F85" w:rsidTr="00B34638">
        <w:trPr>
          <w:trHeight w:val="300"/>
        </w:trPr>
        <w:tc>
          <w:tcPr>
            <w:tcW w:w="6884" w:type="dxa"/>
            <w:noWrap/>
            <w:vAlign w:val="center"/>
          </w:tcPr>
          <w:p w:rsidR="00B17A34" w:rsidRPr="00137ECE" w:rsidRDefault="00B17A34" w:rsidP="008F48EB">
            <w:pPr>
              <w:pStyle w:val="cuatexto"/>
            </w:pPr>
            <w:r>
              <w:t>Retenciones IRPF</w:t>
            </w:r>
          </w:p>
        </w:tc>
        <w:tc>
          <w:tcPr>
            <w:tcW w:w="1905" w:type="dxa"/>
            <w:noWrap/>
            <w:vAlign w:val="center"/>
          </w:tcPr>
          <w:p w:rsidR="00B17A34" w:rsidRPr="00BD2F85" w:rsidRDefault="00B17A34" w:rsidP="008F48EB">
            <w:pPr>
              <w:pStyle w:val="cuatexto"/>
              <w:jc w:val="right"/>
            </w:pPr>
            <w:r>
              <w:t>73.876</w:t>
            </w:r>
          </w:p>
        </w:tc>
      </w:tr>
      <w:tr w:rsidR="00B17A34" w:rsidRPr="001A76F5" w:rsidTr="00B34638">
        <w:trPr>
          <w:trHeight w:val="300"/>
        </w:trPr>
        <w:tc>
          <w:tcPr>
            <w:tcW w:w="6884" w:type="dxa"/>
            <w:shd w:val="clear" w:color="auto" w:fill="8DB3E2" w:themeFill="text2" w:themeFillTint="66"/>
            <w:noWrap/>
            <w:vAlign w:val="center"/>
          </w:tcPr>
          <w:p w:rsidR="00B17A34" w:rsidRPr="001A76F5" w:rsidRDefault="00B17A34" w:rsidP="008F48EB">
            <w:pPr>
              <w:pStyle w:val="cuadroCabe"/>
              <w:rPr>
                <w:rFonts w:cs="Arial"/>
                <w:szCs w:val="18"/>
              </w:rPr>
            </w:pPr>
            <w:r w:rsidRPr="001A76F5">
              <w:rPr>
                <w:rFonts w:cs="Arial"/>
                <w:szCs w:val="18"/>
              </w:rPr>
              <w:t xml:space="preserve">Total </w:t>
            </w:r>
            <w:r w:rsidR="006101F0" w:rsidRPr="001A76F5">
              <w:rPr>
                <w:rFonts w:cs="Arial"/>
                <w:szCs w:val="18"/>
              </w:rPr>
              <w:t>liquidado</w:t>
            </w:r>
          </w:p>
        </w:tc>
        <w:tc>
          <w:tcPr>
            <w:tcW w:w="1905" w:type="dxa"/>
            <w:shd w:val="clear" w:color="auto" w:fill="8DB3E2" w:themeFill="text2" w:themeFillTint="66"/>
            <w:noWrap/>
            <w:vAlign w:val="center"/>
          </w:tcPr>
          <w:p w:rsidR="00B17A34" w:rsidRPr="001A76F5" w:rsidRDefault="00B17A34" w:rsidP="008F48EB">
            <w:pPr>
              <w:pStyle w:val="cuatexto"/>
              <w:jc w:val="right"/>
              <w:rPr>
                <w:rFonts w:ascii="Arial" w:hAnsi="Arial" w:cs="Arial"/>
                <w:sz w:val="18"/>
                <w:szCs w:val="18"/>
              </w:rPr>
            </w:pPr>
            <w:r w:rsidRPr="001A76F5">
              <w:rPr>
                <w:rFonts w:ascii="Arial" w:hAnsi="Arial" w:cs="Arial"/>
                <w:sz w:val="18"/>
                <w:szCs w:val="18"/>
              </w:rPr>
              <w:t>2.338.458</w:t>
            </w:r>
          </w:p>
        </w:tc>
      </w:tr>
    </w:tbl>
    <w:p w:rsidR="00B17A34" w:rsidRDefault="00B17A34" w:rsidP="001A76F5">
      <w:pPr>
        <w:pStyle w:val="texto"/>
        <w:tabs>
          <w:tab w:val="clear" w:pos="2835"/>
          <w:tab w:val="clear" w:pos="3969"/>
          <w:tab w:val="clear" w:pos="5103"/>
          <w:tab w:val="clear" w:pos="6237"/>
          <w:tab w:val="clear" w:pos="7371"/>
        </w:tabs>
        <w:spacing w:after="0"/>
      </w:pPr>
    </w:p>
    <w:p w:rsidR="00B17A34" w:rsidRDefault="00B17A34" w:rsidP="001C28AC">
      <w:pPr>
        <w:pStyle w:val="texto"/>
        <w:tabs>
          <w:tab w:val="clear" w:pos="2835"/>
          <w:tab w:val="clear" w:pos="3969"/>
          <w:tab w:val="clear" w:pos="5103"/>
          <w:tab w:val="clear" w:pos="6237"/>
          <w:tab w:val="clear" w:pos="7371"/>
        </w:tabs>
      </w:pPr>
      <w:r>
        <w:t>De la revisión efectuada destacamos:</w:t>
      </w:r>
    </w:p>
    <w:p w:rsidR="00813289" w:rsidRPr="00251DEF" w:rsidRDefault="00265C7E" w:rsidP="00CB3217">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rFonts w:ascii="Times New (W1)" w:hAnsi="Times New (W1)"/>
          <w:spacing w:val="0"/>
          <w:szCs w:val="26"/>
        </w:rPr>
      </w:pPr>
      <w:r w:rsidRPr="00B06746">
        <w:rPr>
          <w:szCs w:val="26"/>
        </w:rPr>
        <w:t>En las declaraciones de IVA y</w:t>
      </w:r>
      <w:r w:rsidR="00813289" w:rsidRPr="00B06746">
        <w:rPr>
          <w:szCs w:val="26"/>
        </w:rPr>
        <w:t xml:space="preserve"> </w:t>
      </w:r>
      <w:r w:rsidR="007A1DB0" w:rsidRPr="00B06746">
        <w:rPr>
          <w:szCs w:val="26"/>
        </w:rPr>
        <w:t xml:space="preserve">como resultado de las actuaciones de la HTN efectuadas en </w:t>
      </w:r>
      <w:r w:rsidR="007A1DB0" w:rsidRPr="00251DEF">
        <w:rPr>
          <w:szCs w:val="26"/>
        </w:rPr>
        <w:t xml:space="preserve">2008, se liquidaron recargos por extemporánea de este impuesto desde 2004; </w:t>
      </w:r>
      <w:r w:rsidR="00524C20" w:rsidRPr="00251DEF">
        <w:rPr>
          <w:szCs w:val="26"/>
        </w:rPr>
        <w:t>posteriormente</w:t>
      </w:r>
      <w:r w:rsidR="007A1DB0" w:rsidRPr="00251DEF">
        <w:rPr>
          <w:szCs w:val="26"/>
        </w:rPr>
        <w:t xml:space="preserve"> se han ido liquidando</w:t>
      </w:r>
      <w:r w:rsidR="001707A0" w:rsidRPr="00251DEF">
        <w:rPr>
          <w:szCs w:val="26"/>
        </w:rPr>
        <w:t>, en su caso,</w:t>
      </w:r>
      <w:r w:rsidR="007A1DB0" w:rsidRPr="00251DEF">
        <w:rPr>
          <w:szCs w:val="26"/>
        </w:rPr>
        <w:t xml:space="preserve"> los recargos correspondientes. </w:t>
      </w:r>
    </w:p>
    <w:p w:rsidR="00C9403F" w:rsidRPr="00C9403F" w:rsidRDefault="00524C20" w:rsidP="00C9403F">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251DEF">
        <w:rPr>
          <w:szCs w:val="26"/>
        </w:rPr>
        <w:t xml:space="preserve">En retenciones de IRPF, sin embargo, el importe del cuadro anterior se refiere exclusivamente a las </w:t>
      </w:r>
      <w:r w:rsidRPr="00B34638">
        <w:rPr>
          <w:szCs w:val="26"/>
        </w:rPr>
        <w:t>declaraciones de 2009 a 2012, liquidados en 2013</w:t>
      </w:r>
      <w:r w:rsidR="008051E4">
        <w:rPr>
          <w:szCs w:val="26"/>
        </w:rPr>
        <w:t>; n</w:t>
      </w:r>
      <w:r w:rsidRPr="00B34638">
        <w:rPr>
          <w:szCs w:val="26"/>
        </w:rPr>
        <w:t>o constan liquidaciones</w:t>
      </w:r>
      <w:r w:rsidR="00B06746" w:rsidRPr="00B34638">
        <w:rPr>
          <w:szCs w:val="26"/>
        </w:rPr>
        <w:t xml:space="preserve"> de este recargo sobre</w:t>
      </w:r>
      <w:r w:rsidRPr="00B34638">
        <w:rPr>
          <w:szCs w:val="26"/>
        </w:rPr>
        <w:t xml:space="preserve"> años anteriores, aunque s</w:t>
      </w:r>
      <w:r w:rsidR="006706E7">
        <w:rPr>
          <w:szCs w:val="26"/>
        </w:rPr>
        <w:t>í</w:t>
      </w:r>
      <w:r w:rsidRPr="00B34638">
        <w:rPr>
          <w:szCs w:val="26"/>
        </w:rPr>
        <w:t xml:space="preserve"> consta que hay declaraciones que se presentan fuera de plazo.</w:t>
      </w:r>
      <w:r w:rsidR="00C9403F" w:rsidRPr="00C9403F">
        <w:rPr>
          <w:szCs w:val="26"/>
        </w:rPr>
        <w:t xml:space="preserve">  </w:t>
      </w:r>
    </w:p>
    <w:p w:rsidR="008051E4" w:rsidRDefault="008051E4" w:rsidP="00FA5A16">
      <w:pPr>
        <w:pStyle w:val="texto"/>
        <w:tabs>
          <w:tab w:val="clear" w:pos="2835"/>
          <w:tab w:val="clear" w:pos="3969"/>
          <w:tab w:val="clear" w:pos="5103"/>
          <w:tab w:val="clear" w:pos="6237"/>
          <w:tab w:val="clear" w:pos="7371"/>
        </w:tabs>
      </w:pPr>
    </w:p>
    <w:p w:rsidR="008051E4" w:rsidRDefault="008051E4">
      <w:pPr>
        <w:spacing w:after="0"/>
        <w:ind w:firstLine="0"/>
        <w:jc w:val="left"/>
        <w:rPr>
          <w:rFonts w:ascii="Arial" w:hAnsi="Arial"/>
          <w:i/>
          <w:iCs/>
          <w:color w:val="000000"/>
          <w:spacing w:val="10"/>
          <w:kern w:val="28"/>
          <w:sz w:val="25"/>
          <w:szCs w:val="26"/>
        </w:rPr>
      </w:pPr>
      <w:r>
        <w:br w:type="page"/>
      </w:r>
    </w:p>
    <w:p w:rsidR="001C28AC" w:rsidRPr="00C9403F" w:rsidRDefault="001A76F5" w:rsidP="00C9403F">
      <w:pPr>
        <w:pStyle w:val="atitulo3"/>
      </w:pPr>
      <w:r>
        <w:t xml:space="preserve">IV.2.3. </w:t>
      </w:r>
      <w:r w:rsidR="001C28AC">
        <w:t>Requerimientos</w:t>
      </w:r>
    </w:p>
    <w:p w:rsidR="001A76F5" w:rsidRDefault="00231A37" w:rsidP="00CB3217">
      <w:pPr>
        <w:pStyle w:val="texto"/>
        <w:tabs>
          <w:tab w:val="clear" w:pos="2835"/>
          <w:tab w:val="clear" w:pos="3969"/>
          <w:tab w:val="clear" w:pos="5103"/>
          <w:tab w:val="clear" w:pos="6237"/>
          <w:tab w:val="clear" w:pos="7371"/>
        </w:tabs>
        <w:rPr>
          <w:b/>
        </w:rPr>
      </w:pPr>
      <w:r>
        <w:rPr>
          <w:b/>
        </w:rPr>
        <w:t>8</w:t>
      </w:r>
      <w:r w:rsidR="001C28AC" w:rsidRPr="00B81909">
        <w:rPr>
          <w:b/>
        </w:rPr>
        <w:t>.ª</w:t>
      </w:r>
      <w:r w:rsidR="001C28AC">
        <w:rPr>
          <w:b/>
        </w:rPr>
        <w:t xml:space="preserve"> Requerimientos de</w:t>
      </w:r>
      <w:r w:rsidR="00B34638">
        <w:rPr>
          <w:b/>
        </w:rPr>
        <w:t xml:space="preserve"> la Hacienda Tributaria</w:t>
      </w:r>
    </w:p>
    <w:p w:rsidR="00DD1035" w:rsidRDefault="001C28AC" w:rsidP="00CB3217">
      <w:pPr>
        <w:pStyle w:val="texto"/>
        <w:tabs>
          <w:tab w:val="clear" w:pos="2835"/>
          <w:tab w:val="clear" w:pos="3969"/>
          <w:tab w:val="clear" w:pos="5103"/>
          <w:tab w:val="clear" w:pos="6237"/>
          <w:tab w:val="clear" w:pos="7371"/>
        </w:tabs>
      </w:pPr>
      <w:r>
        <w:t>Además de las peticiones de información y de cumplimiento expreso de sus oblig</w:t>
      </w:r>
      <w:r w:rsidR="006706E7">
        <w:t>aciones fiscales realizadas al c</w:t>
      </w:r>
      <w:r>
        <w:t xml:space="preserve">lub por parte de las distintas unidades de la HTN en el ejercicio de las distintas actuaciones efectuadas, ésta remitió al </w:t>
      </w:r>
      <w:r w:rsidR="006706E7">
        <w:t>c</w:t>
      </w:r>
      <w:r>
        <w:t>lub los siguientes requerimientos oficiales:</w:t>
      </w:r>
    </w:p>
    <w:p w:rsidR="001C28AC" w:rsidRPr="00DD1035" w:rsidRDefault="001C28AC" w:rsidP="00DD1035">
      <w:pPr>
        <w:spacing w:after="200" w:line="276" w:lineRule="auto"/>
        <w:jc w:val="left"/>
        <w:rPr>
          <w:spacing w:val="6"/>
          <w:sz w:val="26"/>
          <w:szCs w:val="24"/>
        </w:rPr>
      </w:pPr>
      <w:r w:rsidRPr="00DD1035">
        <w:rPr>
          <w:spacing w:val="6"/>
          <w:sz w:val="26"/>
          <w:szCs w:val="24"/>
        </w:rPr>
        <w:t>a) Requerimientos de presentación de declaraciones:</w:t>
      </w:r>
    </w:p>
    <w:tbl>
      <w:tblPr>
        <w:tblW w:w="8815" w:type="dxa"/>
        <w:jc w:val="center"/>
        <w:tblInd w:w="122" w:type="dxa"/>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1198"/>
        <w:gridCol w:w="904"/>
        <w:gridCol w:w="4965"/>
        <w:gridCol w:w="1748"/>
      </w:tblGrid>
      <w:tr w:rsidR="001C28AC" w:rsidRPr="00686928" w:rsidTr="00B34638">
        <w:trPr>
          <w:trHeight w:val="227"/>
          <w:jc w:val="center"/>
        </w:trPr>
        <w:tc>
          <w:tcPr>
            <w:tcW w:w="1198" w:type="dxa"/>
            <w:tcBorders>
              <w:top w:val="single" w:sz="4" w:space="0" w:color="auto"/>
              <w:bottom w:val="single" w:sz="4" w:space="0" w:color="auto"/>
            </w:tcBorders>
            <w:shd w:val="clear" w:color="auto" w:fill="8DB3E2" w:themeFill="text2" w:themeFillTint="66"/>
            <w:noWrap/>
            <w:vAlign w:val="center"/>
          </w:tcPr>
          <w:p w:rsidR="001C28AC" w:rsidRPr="00686928" w:rsidRDefault="001C28AC" w:rsidP="0095536A">
            <w:pPr>
              <w:spacing w:after="0"/>
              <w:ind w:firstLine="0"/>
              <w:jc w:val="left"/>
              <w:rPr>
                <w:rFonts w:ascii="Arial" w:hAnsi="Arial" w:cs="Arial"/>
                <w:sz w:val="17"/>
                <w:szCs w:val="17"/>
                <w:lang w:val="es-ES" w:eastAsia="es-ES"/>
              </w:rPr>
            </w:pPr>
            <w:r w:rsidRPr="00686928">
              <w:rPr>
                <w:rFonts w:ascii="Arial" w:hAnsi="Arial" w:cs="Arial"/>
                <w:sz w:val="17"/>
                <w:szCs w:val="17"/>
                <w:lang w:val="es-ES" w:eastAsia="es-ES"/>
              </w:rPr>
              <w:t>Año</w:t>
            </w:r>
          </w:p>
        </w:tc>
        <w:tc>
          <w:tcPr>
            <w:tcW w:w="904" w:type="dxa"/>
            <w:tcBorders>
              <w:top w:val="single" w:sz="4" w:space="0" w:color="auto"/>
              <w:bottom w:val="single" w:sz="4" w:space="0" w:color="auto"/>
            </w:tcBorders>
            <w:shd w:val="clear" w:color="auto" w:fill="8DB3E2" w:themeFill="text2" w:themeFillTint="66"/>
            <w:noWrap/>
            <w:vAlign w:val="center"/>
          </w:tcPr>
          <w:p w:rsidR="001C28AC" w:rsidRPr="00686928" w:rsidRDefault="001C28AC" w:rsidP="0095536A">
            <w:pPr>
              <w:spacing w:after="0"/>
              <w:ind w:firstLine="0"/>
              <w:jc w:val="right"/>
              <w:rPr>
                <w:rFonts w:ascii="Arial" w:hAnsi="Arial" w:cs="Arial"/>
                <w:sz w:val="18"/>
                <w:szCs w:val="18"/>
                <w:lang w:val="es-ES" w:eastAsia="es-ES"/>
              </w:rPr>
            </w:pPr>
            <w:r w:rsidRPr="00686928">
              <w:rPr>
                <w:rFonts w:ascii="Arial" w:hAnsi="Arial" w:cs="Arial"/>
                <w:sz w:val="18"/>
                <w:szCs w:val="18"/>
                <w:lang w:val="es-ES" w:eastAsia="es-ES"/>
              </w:rPr>
              <w:t>Número</w:t>
            </w:r>
          </w:p>
        </w:tc>
        <w:tc>
          <w:tcPr>
            <w:tcW w:w="4965" w:type="dxa"/>
            <w:tcBorders>
              <w:top w:val="single" w:sz="4" w:space="0" w:color="auto"/>
              <w:bottom w:val="single" w:sz="4" w:space="0" w:color="auto"/>
            </w:tcBorders>
            <w:shd w:val="clear" w:color="auto" w:fill="8DB3E2" w:themeFill="text2" w:themeFillTint="66"/>
            <w:noWrap/>
            <w:vAlign w:val="center"/>
          </w:tcPr>
          <w:p w:rsidR="001C28AC" w:rsidRPr="00686928" w:rsidRDefault="001C28AC" w:rsidP="0095536A">
            <w:pPr>
              <w:spacing w:after="0"/>
              <w:ind w:left="501" w:firstLine="0"/>
              <w:jc w:val="left"/>
              <w:rPr>
                <w:rFonts w:ascii="Arial" w:hAnsi="Arial" w:cs="Arial"/>
                <w:sz w:val="18"/>
                <w:szCs w:val="18"/>
                <w:lang w:val="es-ES" w:eastAsia="es-ES"/>
              </w:rPr>
            </w:pPr>
            <w:r w:rsidRPr="00686928">
              <w:rPr>
                <w:rFonts w:ascii="Arial" w:hAnsi="Arial" w:cs="Arial"/>
                <w:sz w:val="18"/>
                <w:szCs w:val="18"/>
                <w:lang w:val="es-ES" w:eastAsia="es-ES"/>
              </w:rPr>
              <w:t>Incumplimientos requeridos</w:t>
            </w:r>
          </w:p>
        </w:tc>
        <w:tc>
          <w:tcPr>
            <w:tcW w:w="1748" w:type="dxa"/>
            <w:tcBorders>
              <w:top w:val="single" w:sz="4" w:space="0" w:color="auto"/>
              <w:bottom w:val="single" w:sz="4" w:space="0" w:color="auto"/>
            </w:tcBorders>
            <w:shd w:val="clear" w:color="auto" w:fill="8DB3E2" w:themeFill="text2" w:themeFillTint="66"/>
            <w:noWrap/>
            <w:vAlign w:val="center"/>
          </w:tcPr>
          <w:p w:rsidR="001C28AC" w:rsidRPr="00686928" w:rsidRDefault="001C28AC" w:rsidP="001A76F5">
            <w:pPr>
              <w:spacing w:after="0"/>
              <w:ind w:firstLine="0"/>
              <w:jc w:val="center"/>
              <w:rPr>
                <w:rFonts w:ascii="Arial" w:hAnsi="Arial" w:cs="Arial"/>
                <w:sz w:val="18"/>
                <w:szCs w:val="18"/>
                <w:lang w:val="es-ES" w:eastAsia="es-ES"/>
              </w:rPr>
            </w:pPr>
            <w:r w:rsidRPr="00686928">
              <w:rPr>
                <w:rFonts w:ascii="Arial" w:hAnsi="Arial" w:cs="Arial"/>
                <w:sz w:val="18"/>
                <w:szCs w:val="18"/>
                <w:lang w:val="es-ES" w:eastAsia="es-ES"/>
              </w:rPr>
              <w:t>Fecha notificación</w:t>
            </w:r>
          </w:p>
        </w:tc>
      </w:tr>
      <w:tr w:rsidR="001C28AC" w:rsidRPr="00686928" w:rsidTr="00B34638">
        <w:trPr>
          <w:trHeight w:val="227"/>
          <w:jc w:val="center"/>
        </w:trPr>
        <w:tc>
          <w:tcPr>
            <w:tcW w:w="1198" w:type="dxa"/>
            <w:tcBorders>
              <w:top w:val="single" w:sz="4" w:space="0" w:color="auto"/>
              <w:bottom w:val="single" w:sz="2" w:space="0" w:color="auto"/>
            </w:tcBorders>
            <w:shd w:val="clear" w:color="auto" w:fill="auto"/>
            <w:noWrap/>
            <w:vAlign w:val="center"/>
          </w:tcPr>
          <w:p w:rsidR="001C28AC" w:rsidRPr="00686928" w:rsidRDefault="001C28AC" w:rsidP="0095536A">
            <w:pPr>
              <w:spacing w:after="0"/>
              <w:ind w:firstLine="0"/>
              <w:jc w:val="left"/>
              <w:rPr>
                <w:rFonts w:ascii="Arial Narrow" w:hAnsi="Arial Narrow" w:cs="Arial"/>
                <w:lang w:val="es-ES" w:eastAsia="es-ES"/>
              </w:rPr>
            </w:pPr>
            <w:r w:rsidRPr="00686928">
              <w:rPr>
                <w:rFonts w:ascii="Arial Narrow" w:hAnsi="Arial Narrow" w:cs="Arial"/>
                <w:lang w:val="es-ES" w:eastAsia="es-ES"/>
              </w:rPr>
              <w:t>2006</w:t>
            </w:r>
          </w:p>
          <w:p w:rsidR="001C28AC" w:rsidRPr="00686928" w:rsidRDefault="001C28AC" w:rsidP="0095536A">
            <w:pPr>
              <w:spacing w:after="0"/>
              <w:ind w:firstLine="0"/>
              <w:jc w:val="left"/>
              <w:rPr>
                <w:rFonts w:ascii="Arial Narrow" w:hAnsi="Arial Narrow" w:cs="Arial"/>
                <w:lang w:val="es-ES" w:eastAsia="es-ES"/>
              </w:rPr>
            </w:pPr>
          </w:p>
          <w:p w:rsidR="001C28AC" w:rsidRPr="00686928" w:rsidRDefault="001C28AC" w:rsidP="0095536A">
            <w:pPr>
              <w:spacing w:after="0"/>
              <w:ind w:firstLine="0"/>
              <w:jc w:val="left"/>
              <w:rPr>
                <w:rFonts w:ascii="Arial Narrow" w:hAnsi="Arial Narrow" w:cs="Arial"/>
                <w:lang w:val="es-ES" w:eastAsia="es-ES"/>
              </w:rPr>
            </w:pPr>
          </w:p>
          <w:p w:rsidR="001C28AC" w:rsidRPr="00686928" w:rsidRDefault="001C28AC" w:rsidP="0095536A">
            <w:pPr>
              <w:spacing w:after="0"/>
              <w:ind w:firstLine="0"/>
              <w:jc w:val="left"/>
              <w:rPr>
                <w:rFonts w:ascii="Arial Narrow" w:hAnsi="Arial Narrow" w:cs="Arial"/>
                <w:lang w:val="es-ES" w:eastAsia="es-ES"/>
              </w:rPr>
            </w:pPr>
          </w:p>
          <w:p w:rsidR="001C28AC" w:rsidRPr="00686928" w:rsidRDefault="001C28AC" w:rsidP="0095536A">
            <w:pPr>
              <w:spacing w:after="0"/>
              <w:ind w:firstLine="0"/>
              <w:jc w:val="left"/>
              <w:rPr>
                <w:rFonts w:ascii="Arial Narrow" w:hAnsi="Arial Narrow" w:cs="Arial"/>
                <w:lang w:val="es-ES" w:eastAsia="es-ES"/>
              </w:rPr>
            </w:pPr>
          </w:p>
        </w:tc>
        <w:tc>
          <w:tcPr>
            <w:tcW w:w="904" w:type="dxa"/>
            <w:tcBorders>
              <w:top w:val="single" w:sz="4" w:space="0" w:color="auto"/>
              <w:bottom w:val="single" w:sz="2" w:space="0" w:color="auto"/>
            </w:tcBorders>
            <w:shd w:val="clear" w:color="auto" w:fill="auto"/>
            <w:noWrap/>
            <w:vAlign w:val="center"/>
          </w:tcPr>
          <w:p w:rsidR="001C28AC" w:rsidRPr="00686928" w:rsidRDefault="001C28AC" w:rsidP="0095536A">
            <w:pPr>
              <w:spacing w:after="0"/>
              <w:ind w:firstLine="0"/>
              <w:jc w:val="right"/>
              <w:rPr>
                <w:rFonts w:ascii="Arial Narrow" w:hAnsi="Arial Narrow" w:cs="Arial"/>
                <w:lang w:val="es-ES" w:eastAsia="es-ES"/>
              </w:rPr>
            </w:pPr>
            <w:r w:rsidRPr="00686928">
              <w:rPr>
                <w:rFonts w:ascii="Arial Narrow" w:hAnsi="Arial Narrow" w:cs="Arial"/>
                <w:lang w:val="es-ES" w:eastAsia="es-ES"/>
              </w:rPr>
              <w:t>3878</w:t>
            </w:r>
          </w:p>
          <w:p w:rsidR="001C28AC" w:rsidRPr="00686928" w:rsidRDefault="001C28AC" w:rsidP="0095536A">
            <w:pPr>
              <w:spacing w:after="0"/>
              <w:ind w:firstLine="0"/>
              <w:jc w:val="right"/>
              <w:rPr>
                <w:rFonts w:ascii="Arial Narrow" w:hAnsi="Arial Narrow" w:cs="Arial"/>
                <w:lang w:val="es-ES" w:eastAsia="es-ES"/>
              </w:rPr>
            </w:pPr>
          </w:p>
          <w:p w:rsidR="001C28AC" w:rsidRPr="00686928" w:rsidRDefault="001C28AC" w:rsidP="0095536A">
            <w:pPr>
              <w:spacing w:after="0"/>
              <w:ind w:firstLine="0"/>
              <w:jc w:val="right"/>
              <w:rPr>
                <w:rFonts w:ascii="Arial Narrow" w:hAnsi="Arial Narrow" w:cs="Arial"/>
                <w:lang w:val="es-ES" w:eastAsia="es-ES"/>
              </w:rPr>
            </w:pPr>
          </w:p>
          <w:p w:rsidR="001C28AC" w:rsidRPr="00686928" w:rsidRDefault="001C28AC" w:rsidP="0095536A">
            <w:pPr>
              <w:spacing w:after="0"/>
              <w:ind w:firstLine="0"/>
              <w:jc w:val="right"/>
              <w:rPr>
                <w:rFonts w:ascii="Arial Narrow" w:hAnsi="Arial Narrow" w:cs="Arial"/>
                <w:lang w:val="es-ES" w:eastAsia="es-ES"/>
              </w:rPr>
            </w:pPr>
          </w:p>
          <w:p w:rsidR="001C28AC" w:rsidRPr="00686928" w:rsidRDefault="001C28AC" w:rsidP="0095536A">
            <w:pPr>
              <w:spacing w:after="0"/>
              <w:ind w:firstLine="0"/>
              <w:jc w:val="right"/>
              <w:rPr>
                <w:rFonts w:ascii="Arial Narrow" w:hAnsi="Arial Narrow" w:cs="Arial"/>
                <w:lang w:val="es-ES" w:eastAsia="es-ES"/>
              </w:rPr>
            </w:pPr>
          </w:p>
        </w:tc>
        <w:tc>
          <w:tcPr>
            <w:tcW w:w="4965" w:type="dxa"/>
            <w:tcBorders>
              <w:top w:val="single" w:sz="4" w:space="0" w:color="auto"/>
              <w:bottom w:val="single" w:sz="2" w:space="0" w:color="auto"/>
            </w:tcBorders>
            <w:shd w:val="clear" w:color="auto" w:fill="auto"/>
            <w:noWrap/>
            <w:vAlign w:val="center"/>
          </w:tcPr>
          <w:p w:rsidR="001C28AC" w:rsidRPr="00E007FE" w:rsidRDefault="001C28AC" w:rsidP="00E007FE">
            <w:pPr>
              <w:spacing w:after="0"/>
              <w:ind w:left="75" w:firstLine="0"/>
              <w:jc w:val="left"/>
              <w:rPr>
                <w:rFonts w:ascii="Arial Narrow" w:hAnsi="Arial Narrow" w:cs="Arial"/>
                <w:lang w:val="es-ES" w:eastAsia="es-ES"/>
              </w:rPr>
            </w:pPr>
            <w:r w:rsidRPr="00E007FE">
              <w:rPr>
                <w:rFonts w:ascii="Arial Narrow" w:hAnsi="Arial Narrow" w:cs="Arial"/>
                <w:lang w:val="es-ES" w:eastAsia="es-ES"/>
              </w:rPr>
              <w:t>2003 Sociedades</w:t>
            </w:r>
          </w:p>
          <w:p w:rsidR="001C28AC" w:rsidRPr="00E007FE" w:rsidRDefault="001C28AC" w:rsidP="00E007FE">
            <w:pPr>
              <w:spacing w:after="0"/>
              <w:ind w:left="75" w:firstLine="0"/>
              <w:jc w:val="left"/>
              <w:rPr>
                <w:rFonts w:ascii="Arial Narrow" w:hAnsi="Arial Narrow" w:cs="Arial"/>
                <w:lang w:val="es-ES" w:eastAsia="es-ES"/>
              </w:rPr>
            </w:pPr>
            <w:r w:rsidRPr="00E007FE">
              <w:rPr>
                <w:rFonts w:ascii="Arial Narrow" w:hAnsi="Arial Narrow" w:cs="Arial"/>
                <w:lang w:val="es-ES" w:eastAsia="es-ES"/>
              </w:rPr>
              <w:t>2003 Operaciones terceros</w:t>
            </w:r>
          </w:p>
          <w:p w:rsidR="001C28AC" w:rsidRPr="00E007FE" w:rsidRDefault="001C28AC" w:rsidP="00E007FE">
            <w:pPr>
              <w:spacing w:after="0"/>
              <w:ind w:left="75" w:firstLine="0"/>
              <w:jc w:val="left"/>
              <w:rPr>
                <w:rFonts w:ascii="Arial Narrow" w:hAnsi="Arial Narrow" w:cs="Arial"/>
                <w:lang w:val="es-ES" w:eastAsia="es-ES"/>
              </w:rPr>
            </w:pPr>
            <w:r w:rsidRPr="00E007FE">
              <w:rPr>
                <w:rFonts w:ascii="Arial Narrow" w:hAnsi="Arial Narrow" w:cs="Arial"/>
                <w:lang w:val="es-ES" w:eastAsia="es-ES"/>
              </w:rPr>
              <w:t>2004 Sociedades</w:t>
            </w:r>
          </w:p>
          <w:p w:rsidR="001C28AC" w:rsidRPr="00E007FE" w:rsidRDefault="001C28AC" w:rsidP="00E007FE">
            <w:pPr>
              <w:spacing w:after="0"/>
              <w:ind w:left="75" w:firstLine="0"/>
              <w:jc w:val="left"/>
              <w:rPr>
                <w:rFonts w:ascii="Arial Narrow" w:hAnsi="Arial Narrow" w:cs="Arial"/>
                <w:lang w:val="es-ES" w:eastAsia="es-ES"/>
              </w:rPr>
            </w:pPr>
            <w:r w:rsidRPr="00E007FE">
              <w:rPr>
                <w:rFonts w:ascii="Arial Narrow" w:hAnsi="Arial Narrow" w:cs="Arial"/>
                <w:lang w:val="es-ES" w:eastAsia="es-ES"/>
              </w:rPr>
              <w:t>2004 Operaciones terceros</w:t>
            </w:r>
          </w:p>
          <w:p w:rsidR="001C28AC" w:rsidRPr="00E007FE" w:rsidRDefault="001C28AC" w:rsidP="00E007FE">
            <w:pPr>
              <w:spacing w:after="0"/>
              <w:ind w:left="75" w:firstLine="0"/>
              <w:jc w:val="left"/>
              <w:rPr>
                <w:rFonts w:ascii="Arial Narrow" w:hAnsi="Arial Narrow" w:cs="Arial"/>
                <w:lang w:val="es-ES" w:eastAsia="es-ES"/>
              </w:rPr>
            </w:pPr>
            <w:r w:rsidRPr="00E007FE">
              <w:rPr>
                <w:rFonts w:ascii="Arial Narrow" w:hAnsi="Arial Narrow" w:cs="Arial"/>
                <w:lang w:val="es-ES" w:eastAsia="es-ES"/>
              </w:rPr>
              <w:t>2004 Rec</w:t>
            </w:r>
            <w:r w:rsidR="00E007FE" w:rsidRPr="00E007FE">
              <w:rPr>
                <w:rFonts w:ascii="Arial Narrow" w:hAnsi="Arial Narrow" w:cs="Arial"/>
                <w:lang w:val="es-ES" w:eastAsia="es-ES"/>
              </w:rPr>
              <w:t>apitulativa de operaciones intracomunitarias</w:t>
            </w:r>
            <w:r w:rsidRPr="00E007FE">
              <w:rPr>
                <w:rFonts w:ascii="Arial Narrow" w:hAnsi="Arial Narrow" w:cs="Arial"/>
                <w:lang w:val="es-ES" w:eastAsia="es-ES"/>
              </w:rPr>
              <w:t xml:space="preserve"> IVA 2º </w:t>
            </w:r>
            <w:r w:rsidR="00E007FE" w:rsidRPr="00E007FE">
              <w:rPr>
                <w:rFonts w:ascii="Arial Narrow" w:hAnsi="Arial Narrow" w:cs="Arial"/>
                <w:lang w:val="es-ES" w:eastAsia="es-ES"/>
              </w:rPr>
              <w:t>T</w:t>
            </w:r>
          </w:p>
        </w:tc>
        <w:tc>
          <w:tcPr>
            <w:tcW w:w="1748" w:type="dxa"/>
            <w:tcBorders>
              <w:top w:val="single" w:sz="4" w:space="0" w:color="auto"/>
              <w:bottom w:val="single" w:sz="2" w:space="0" w:color="auto"/>
            </w:tcBorders>
            <w:shd w:val="clear" w:color="auto" w:fill="auto"/>
            <w:noWrap/>
            <w:vAlign w:val="center"/>
          </w:tcPr>
          <w:p w:rsidR="001C28AC" w:rsidRPr="00686928" w:rsidRDefault="001C28AC" w:rsidP="0095536A">
            <w:pPr>
              <w:spacing w:after="0"/>
              <w:ind w:firstLine="0"/>
              <w:jc w:val="right"/>
              <w:rPr>
                <w:rFonts w:ascii="Arial Narrow" w:hAnsi="Arial Narrow" w:cs="Arial"/>
                <w:lang w:val="es-ES" w:eastAsia="es-ES"/>
              </w:rPr>
            </w:pPr>
            <w:r w:rsidRPr="00686928">
              <w:rPr>
                <w:rFonts w:ascii="Arial Narrow" w:hAnsi="Arial Narrow" w:cs="Arial"/>
                <w:lang w:val="es-ES" w:eastAsia="es-ES"/>
              </w:rPr>
              <w:t>23/03/2006</w:t>
            </w:r>
          </w:p>
          <w:p w:rsidR="001C28AC" w:rsidRPr="00686928" w:rsidRDefault="001C28AC" w:rsidP="0095536A">
            <w:pPr>
              <w:spacing w:after="0"/>
              <w:ind w:firstLine="0"/>
              <w:jc w:val="right"/>
              <w:rPr>
                <w:rFonts w:ascii="Arial Narrow" w:hAnsi="Arial Narrow" w:cs="Arial"/>
                <w:lang w:val="es-ES" w:eastAsia="es-ES"/>
              </w:rPr>
            </w:pPr>
          </w:p>
          <w:p w:rsidR="001C28AC" w:rsidRPr="00686928" w:rsidRDefault="001C28AC" w:rsidP="0095536A">
            <w:pPr>
              <w:spacing w:after="0"/>
              <w:ind w:firstLine="0"/>
              <w:jc w:val="right"/>
              <w:rPr>
                <w:rFonts w:ascii="Arial Narrow" w:hAnsi="Arial Narrow" w:cs="Arial"/>
                <w:lang w:val="es-ES" w:eastAsia="es-ES"/>
              </w:rPr>
            </w:pPr>
          </w:p>
          <w:p w:rsidR="001C28AC" w:rsidRPr="00686928" w:rsidRDefault="001C28AC" w:rsidP="0095536A">
            <w:pPr>
              <w:spacing w:after="0"/>
              <w:ind w:firstLine="0"/>
              <w:jc w:val="right"/>
              <w:rPr>
                <w:rFonts w:ascii="Arial Narrow" w:hAnsi="Arial Narrow" w:cs="Arial"/>
                <w:lang w:val="es-ES" w:eastAsia="es-ES"/>
              </w:rPr>
            </w:pPr>
          </w:p>
          <w:p w:rsidR="001C28AC" w:rsidRPr="00686928" w:rsidRDefault="001C28AC" w:rsidP="0095536A">
            <w:pPr>
              <w:spacing w:after="0"/>
              <w:ind w:firstLine="0"/>
              <w:jc w:val="right"/>
              <w:rPr>
                <w:rFonts w:ascii="Arial Narrow" w:hAnsi="Arial Narrow" w:cs="Arial"/>
                <w:lang w:val="es-ES" w:eastAsia="es-ES"/>
              </w:rPr>
            </w:pPr>
          </w:p>
        </w:tc>
      </w:tr>
      <w:tr w:rsidR="001C28AC" w:rsidRPr="00686928" w:rsidTr="00B34638">
        <w:trPr>
          <w:trHeight w:val="227"/>
          <w:jc w:val="center"/>
        </w:trPr>
        <w:tc>
          <w:tcPr>
            <w:tcW w:w="1198" w:type="dxa"/>
            <w:shd w:val="clear" w:color="auto" w:fill="auto"/>
            <w:noWrap/>
            <w:vAlign w:val="center"/>
          </w:tcPr>
          <w:p w:rsidR="001C28AC" w:rsidRPr="00686928" w:rsidRDefault="001C28AC" w:rsidP="0095536A">
            <w:pPr>
              <w:spacing w:after="0"/>
              <w:ind w:firstLine="0"/>
              <w:jc w:val="left"/>
              <w:rPr>
                <w:rFonts w:ascii="Arial Narrow" w:hAnsi="Arial Narrow" w:cs="Arial"/>
                <w:lang w:val="es-ES" w:eastAsia="es-ES"/>
              </w:rPr>
            </w:pPr>
            <w:r w:rsidRPr="00686928">
              <w:rPr>
                <w:rFonts w:ascii="Arial Narrow" w:hAnsi="Arial Narrow" w:cs="Arial"/>
                <w:lang w:val="es-ES" w:eastAsia="es-ES"/>
              </w:rPr>
              <w:t>2006</w:t>
            </w:r>
          </w:p>
          <w:p w:rsidR="001C28AC" w:rsidRPr="00686928" w:rsidRDefault="001C28AC" w:rsidP="0095536A">
            <w:pPr>
              <w:spacing w:after="0"/>
              <w:ind w:firstLine="0"/>
              <w:jc w:val="left"/>
              <w:rPr>
                <w:rFonts w:ascii="Arial Narrow" w:hAnsi="Arial Narrow" w:cs="Arial"/>
                <w:lang w:val="es-ES" w:eastAsia="es-ES"/>
              </w:rPr>
            </w:pPr>
          </w:p>
          <w:p w:rsidR="001C28AC" w:rsidRPr="00686928" w:rsidRDefault="001C28AC" w:rsidP="0095536A">
            <w:pPr>
              <w:spacing w:after="0"/>
              <w:ind w:firstLine="0"/>
              <w:jc w:val="left"/>
              <w:rPr>
                <w:rFonts w:ascii="Arial Narrow" w:hAnsi="Arial Narrow" w:cs="Arial"/>
                <w:lang w:val="es-ES" w:eastAsia="es-ES"/>
              </w:rPr>
            </w:pPr>
          </w:p>
          <w:p w:rsidR="001C28AC" w:rsidRPr="00686928" w:rsidRDefault="001C28AC" w:rsidP="0095536A">
            <w:pPr>
              <w:spacing w:after="0"/>
              <w:ind w:firstLine="0"/>
              <w:jc w:val="left"/>
              <w:rPr>
                <w:rFonts w:ascii="Arial Narrow" w:hAnsi="Arial Narrow" w:cs="Arial"/>
                <w:lang w:val="es-ES" w:eastAsia="es-ES"/>
              </w:rPr>
            </w:pPr>
          </w:p>
        </w:tc>
        <w:tc>
          <w:tcPr>
            <w:tcW w:w="904" w:type="dxa"/>
            <w:shd w:val="clear" w:color="auto" w:fill="auto"/>
            <w:noWrap/>
            <w:vAlign w:val="center"/>
          </w:tcPr>
          <w:p w:rsidR="001C28AC" w:rsidRPr="00686928" w:rsidRDefault="001C28AC" w:rsidP="0095536A">
            <w:pPr>
              <w:spacing w:after="0"/>
              <w:ind w:firstLine="0"/>
              <w:jc w:val="right"/>
              <w:rPr>
                <w:rFonts w:ascii="Arial Narrow" w:hAnsi="Arial Narrow" w:cs="Arial"/>
                <w:lang w:val="es-ES" w:eastAsia="es-ES"/>
              </w:rPr>
            </w:pPr>
            <w:r w:rsidRPr="00686928">
              <w:rPr>
                <w:rFonts w:ascii="Arial Narrow" w:hAnsi="Arial Narrow" w:cs="Arial"/>
                <w:lang w:val="es-ES" w:eastAsia="es-ES"/>
              </w:rPr>
              <w:t>8217</w:t>
            </w:r>
          </w:p>
          <w:p w:rsidR="001C28AC" w:rsidRPr="00686928" w:rsidRDefault="001C28AC" w:rsidP="0095536A">
            <w:pPr>
              <w:spacing w:after="0"/>
              <w:ind w:firstLine="0"/>
              <w:jc w:val="right"/>
              <w:rPr>
                <w:rFonts w:ascii="Arial Narrow" w:hAnsi="Arial Narrow" w:cs="Arial"/>
                <w:lang w:val="es-ES" w:eastAsia="es-ES"/>
              </w:rPr>
            </w:pPr>
          </w:p>
          <w:p w:rsidR="001C28AC" w:rsidRPr="00686928" w:rsidRDefault="001C28AC" w:rsidP="0095536A">
            <w:pPr>
              <w:spacing w:after="0"/>
              <w:ind w:firstLine="0"/>
              <w:jc w:val="right"/>
              <w:rPr>
                <w:rFonts w:ascii="Arial Narrow" w:hAnsi="Arial Narrow" w:cs="Arial"/>
                <w:lang w:val="es-ES" w:eastAsia="es-ES"/>
              </w:rPr>
            </w:pPr>
          </w:p>
          <w:p w:rsidR="001C28AC" w:rsidRPr="00686928" w:rsidRDefault="001C28AC" w:rsidP="0095536A">
            <w:pPr>
              <w:spacing w:after="0"/>
              <w:ind w:firstLine="0"/>
              <w:jc w:val="right"/>
              <w:rPr>
                <w:rFonts w:ascii="Arial Narrow" w:hAnsi="Arial Narrow" w:cs="Arial"/>
                <w:lang w:val="es-ES" w:eastAsia="es-ES"/>
              </w:rPr>
            </w:pPr>
          </w:p>
        </w:tc>
        <w:tc>
          <w:tcPr>
            <w:tcW w:w="4965" w:type="dxa"/>
            <w:shd w:val="clear" w:color="auto" w:fill="auto"/>
            <w:noWrap/>
            <w:vAlign w:val="center"/>
          </w:tcPr>
          <w:p w:rsidR="001C28AC" w:rsidRPr="00E007FE" w:rsidRDefault="001C28AC" w:rsidP="00E007FE">
            <w:pPr>
              <w:spacing w:after="0"/>
              <w:ind w:left="75" w:firstLine="0"/>
              <w:jc w:val="left"/>
              <w:rPr>
                <w:rFonts w:ascii="Arial Narrow" w:hAnsi="Arial Narrow" w:cs="Arial"/>
                <w:lang w:val="es-ES" w:eastAsia="es-ES"/>
              </w:rPr>
            </w:pPr>
            <w:r w:rsidRPr="00E007FE">
              <w:rPr>
                <w:rFonts w:ascii="Arial Narrow" w:hAnsi="Arial Narrow" w:cs="Arial"/>
                <w:lang w:val="es-ES" w:eastAsia="es-ES"/>
              </w:rPr>
              <w:t>2005 IVA anual</w:t>
            </w:r>
          </w:p>
          <w:p w:rsidR="001C28AC" w:rsidRPr="00E007FE" w:rsidRDefault="001C28AC" w:rsidP="00E007FE">
            <w:pPr>
              <w:spacing w:after="0"/>
              <w:ind w:left="75" w:firstLine="0"/>
              <w:jc w:val="left"/>
              <w:rPr>
                <w:rFonts w:ascii="Arial Narrow" w:hAnsi="Arial Narrow" w:cs="Arial"/>
                <w:lang w:val="es-ES" w:eastAsia="es-ES"/>
              </w:rPr>
            </w:pPr>
            <w:r w:rsidRPr="00E007FE">
              <w:rPr>
                <w:rFonts w:ascii="Arial Narrow" w:hAnsi="Arial Narrow" w:cs="Arial"/>
                <w:lang w:val="es-ES" w:eastAsia="es-ES"/>
              </w:rPr>
              <w:t>2005 IVA mensual diciembre</w:t>
            </w:r>
          </w:p>
          <w:p w:rsidR="001C28AC" w:rsidRPr="00E007FE" w:rsidRDefault="001C28AC" w:rsidP="00E007FE">
            <w:pPr>
              <w:spacing w:after="0"/>
              <w:ind w:left="75" w:firstLine="0"/>
              <w:jc w:val="left"/>
              <w:rPr>
                <w:rFonts w:ascii="Arial Narrow" w:hAnsi="Arial Narrow" w:cs="Arial"/>
                <w:lang w:val="es-ES" w:eastAsia="es-ES"/>
              </w:rPr>
            </w:pPr>
            <w:r w:rsidRPr="00E007FE">
              <w:rPr>
                <w:rFonts w:ascii="Arial Narrow" w:hAnsi="Arial Narrow" w:cs="Arial"/>
                <w:lang w:val="es-ES" w:eastAsia="es-ES"/>
              </w:rPr>
              <w:t>2006 IVA mensual enero</w:t>
            </w:r>
          </w:p>
          <w:p w:rsidR="001C28AC" w:rsidRPr="00E007FE" w:rsidRDefault="001C28AC" w:rsidP="00E007FE">
            <w:pPr>
              <w:spacing w:after="0"/>
              <w:ind w:left="75" w:firstLine="0"/>
              <w:jc w:val="left"/>
              <w:rPr>
                <w:rFonts w:ascii="Arial Narrow" w:hAnsi="Arial Narrow" w:cs="Arial"/>
                <w:lang w:val="es-ES" w:eastAsia="es-ES"/>
              </w:rPr>
            </w:pPr>
            <w:r w:rsidRPr="00E007FE">
              <w:rPr>
                <w:rFonts w:ascii="Arial Narrow" w:hAnsi="Arial Narrow" w:cs="Arial"/>
                <w:lang w:val="es-ES" w:eastAsia="es-ES"/>
              </w:rPr>
              <w:t>2006 IVA mensual febrero</w:t>
            </w:r>
          </w:p>
        </w:tc>
        <w:tc>
          <w:tcPr>
            <w:tcW w:w="1748" w:type="dxa"/>
            <w:shd w:val="clear" w:color="auto" w:fill="auto"/>
            <w:noWrap/>
            <w:vAlign w:val="center"/>
          </w:tcPr>
          <w:p w:rsidR="001C28AC" w:rsidRPr="00686928" w:rsidRDefault="001C28AC" w:rsidP="0095536A">
            <w:pPr>
              <w:spacing w:after="0"/>
              <w:ind w:firstLine="0"/>
              <w:jc w:val="right"/>
              <w:rPr>
                <w:rFonts w:ascii="Arial Narrow" w:hAnsi="Arial Narrow" w:cs="Arial"/>
                <w:lang w:val="es-ES" w:eastAsia="es-ES"/>
              </w:rPr>
            </w:pPr>
            <w:r w:rsidRPr="00686928">
              <w:rPr>
                <w:rFonts w:ascii="Arial Narrow" w:hAnsi="Arial Narrow" w:cs="Arial"/>
                <w:lang w:val="es-ES" w:eastAsia="es-ES"/>
              </w:rPr>
              <w:t>15/06/2006</w:t>
            </w:r>
          </w:p>
          <w:p w:rsidR="001C28AC" w:rsidRPr="00686928" w:rsidRDefault="001C28AC" w:rsidP="0095536A">
            <w:pPr>
              <w:spacing w:after="0"/>
              <w:ind w:firstLine="0"/>
              <w:jc w:val="right"/>
              <w:rPr>
                <w:rFonts w:ascii="Arial Narrow" w:hAnsi="Arial Narrow" w:cs="Arial"/>
                <w:lang w:val="es-ES" w:eastAsia="es-ES"/>
              </w:rPr>
            </w:pPr>
          </w:p>
          <w:p w:rsidR="001C28AC" w:rsidRPr="00686928" w:rsidRDefault="001C28AC" w:rsidP="0095536A">
            <w:pPr>
              <w:spacing w:after="0"/>
              <w:ind w:firstLine="0"/>
              <w:jc w:val="right"/>
              <w:rPr>
                <w:rFonts w:ascii="Arial Narrow" w:hAnsi="Arial Narrow" w:cs="Arial"/>
                <w:lang w:val="es-ES" w:eastAsia="es-ES"/>
              </w:rPr>
            </w:pPr>
          </w:p>
          <w:p w:rsidR="001C28AC" w:rsidRPr="00686928" w:rsidRDefault="001C28AC" w:rsidP="0095536A">
            <w:pPr>
              <w:spacing w:after="0"/>
              <w:ind w:firstLine="0"/>
              <w:jc w:val="right"/>
              <w:rPr>
                <w:rFonts w:ascii="Arial Narrow" w:hAnsi="Arial Narrow" w:cs="Arial"/>
                <w:lang w:val="es-ES" w:eastAsia="es-ES"/>
              </w:rPr>
            </w:pPr>
          </w:p>
        </w:tc>
      </w:tr>
      <w:tr w:rsidR="001C28AC" w:rsidRPr="00686928" w:rsidTr="00B34638">
        <w:trPr>
          <w:trHeight w:val="227"/>
          <w:jc w:val="center"/>
        </w:trPr>
        <w:tc>
          <w:tcPr>
            <w:tcW w:w="1198" w:type="dxa"/>
            <w:shd w:val="clear" w:color="auto" w:fill="auto"/>
            <w:noWrap/>
            <w:vAlign w:val="center"/>
          </w:tcPr>
          <w:p w:rsidR="001C28AC" w:rsidRPr="00686928" w:rsidRDefault="001C28AC" w:rsidP="0095536A">
            <w:pPr>
              <w:spacing w:after="0"/>
              <w:ind w:firstLine="0"/>
              <w:jc w:val="left"/>
              <w:rPr>
                <w:rFonts w:ascii="Arial Narrow" w:hAnsi="Arial Narrow" w:cs="Arial"/>
                <w:lang w:val="es-ES" w:eastAsia="es-ES"/>
              </w:rPr>
            </w:pPr>
            <w:r w:rsidRPr="00686928">
              <w:rPr>
                <w:rFonts w:ascii="Arial Narrow" w:hAnsi="Arial Narrow" w:cs="Arial"/>
                <w:lang w:val="es-ES" w:eastAsia="es-ES"/>
              </w:rPr>
              <w:t>2006</w:t>
            </w:r>
          </w:p>
        </w:tc>
        <w:tc>
          <w:tcPr>
            <w:tcW w:w="904" w:type="dxa"/>
            <w:shd w:val="clear" w:color="auto" w:fill="auto"/>
            <w:noWrap/>
            <w:vAlign w:val="center"/>
          </w:tcPr>
          <w:p w:rsidR="001C28AC" w:rsidRPr="00686928" w:rsidRDefault="001C28AC" w:rsidP="0095536A">
            <w:pPr>
              <w:spacing w:after="0"/>
              <w:ind w:firstLine="0"/>
              <w:jc w:val="right"/>
              <w:rPr>
                <w:rFonts w:ascii="Arial Narrow" w:hAnsi="Arial Narrow" w:cs="Arial"/>
                <w:lang w:val="es-ES" w:eastAsia="es-ES"/>
              </w:rPr>
            </w:pPr>
            <w:r w:rsidRPr="00686928">
              <w:rPr>
                <w:rFonts w:ascii="Arial Narrow" w:hAnsi="Arial Narrow" w:cs="Arial"/>
                <w:lang w:val="es-ES" w:eastAsia="es-ES"/>
              </w:rPr>
              <w:t>12792</w:t>
            </w:r>
          </w:p>
        </w:tc>
        <w:tc>
          <w:tcPr>
            <w:tcW w:w="4965" w:type="dxa"/>
            <w:shd w:val="clear" w:color="auto" w:fill="auto"/>
            <w:noWrap/>
            <w:vAlign w:val="center"/>
          </w:tcPr>
          <w:p w:rsidR="001C28AC" w:rsidRPr="00E007FE" w:rsidRDefault="001C28AC" w:rsidP="00F141B9">
            <w:pPr>
              <w:spacing w:after="0"/>
              <w:ind w:left="75" w:firstLine="0"/>
              <w:jc w:val="left"/>
              <w:rPr>
                <w:rFonts w:ascii="Arial Narrow" w:hAnsi="Arial Narrow" w:cs="Arial"/>
                <w:lang w:val="es-ES" w:eastAsia="es-ES"/>
              </w:rPr>
            </w:pPr>
            <w:r w:rsidRPr="00E007FE">
              <w:rPr>
                <w:rFonts w:ascii="Arial Narrow" w:hAnsi="Arial Narrow" w:cs="Arial"/>
                <w:lang w:val="es-ES" w:eastAsia="es-ES"/>
              </w:rPr>
              <w:t xml:space="preserve">2005 </w:t>
            </w:r>
            <w:r w:rsidR="00F141B9">
              <w:rPr>
                <w:rFonts w:ascii="Arial Narrow" w:hAnsi="Arial Narrow" w:cs="Arial"/>
                <w:lang w:val="es-ES" w:eastAsia="es-ES"/>
              </w:rPr>
              <w:t>Modelo 180</w:t>
            </w:r>
            <w:r w:rsidRPr="00E007FE">
              <w:rPr>
                <w:rFonts w:ascii="Arial Narrow" w:hAnsi="Arial Narrow" w:cs="Arial"/>
                <w:lang w:val="es-ES" w:eastAsia="es-ES"/>
              </w:rPr>
              <w:t xml:space="preserve"> </w:t>
            </w:r>
            <w:r w:rsidR="00E007FE" w:rsidRPr="00E007FE">
              <w:rPr>
                <w:rFonts w:ascii="Arial Narrow" w:hAnsi="Arial Narrow" w:cs="Arial"/>
                <w:lang w:val="es-ES" w:eastAsia="es-ES"/>
              </w:rPr>
              <w:t>Retenciones arrendamientos anual</w:t>
            </w:r>
            <w:r w:rsidR="00E007FE">
              <w:rPr>
                <w:rFonts w:ascii="Arial Narrow" w:hAnsi="Arial Narrow" w:cs="Arial"/>
                <w:lang w:val="es-ES" w:eastAsia="es-ES"/>
              </w:rPr>
              <w:t xml:space="preserve"> </w:t>
            </w:r>
          </w:p>
        </w:tc>
        <w:tc>
          <w:tcPr>
            <w:tcW w:w="1748" w:type="dxa"/>
            <w:shd w:val="clear" w:color="auto" w:fill="auto"/>
            <w:noWrap/>
            <w:vAlign w:val="center"/>
          </w:tcPr>
          <w:p w:rsidR="001C28AC" w:rsidRPr="00686928" w:rsidRDefault="001C28AC" w:rsidP="0095536A">
            <w:pPr>
              <w:spacing w:after="0"/>
              <w:ind w:firstLine="0"/>
              <w:jc w:val="right"/>
              <w:rPr>
                <w:rFonts w:ascii="Arial Narrow" w:hAnsi="Arial Narrow" w:cs="Arial"/>
                <w:lang w:val="es-ES" w:eastAsia="es-ES"/>
              </w:rPr>
            </w:pPr>
            <w:r w:rsidRPr="00686928">
              <w:rPr>
                <w:rFonts w:ascii="Arial Narrow" w:hAnsi="Arial Narrow" w:cs="Arial"/>
                <w:lang w:val="es-ES" w:eastAsia="es-ES"/>
              </w:rPr>
              <w:t>10/08/2006</w:t>
            </w:r>
          </w:p>
        </w:tc>
      </w:tr>
      <w:tr w:rsidR="001C28AC" w:rsidRPr="00686928" w:rsidTr="00B34638">
        <w:trPr>
          <w:trHeight w:val="227"/>
          <w:jc w:val="center"/>
        </w:trPr>
        <w:tc>
          <w:tcPr>
            <w:tcW w:w="1198" w:type="dxa"/>
            <w:shd w:val="clear" w:color="auto" w:fill="auto"/>
            <w:noWrap/>
            <w:vAlign w:val="center"/>
          </w:tcPr>
          <w:p w:rsidR="001C28AC" w:rsidRPr="00686928" w:rsidRDefault="001C28AC" w:rsidP="0095536A">
            <w:pPr>
              <w:spacing w:after="0"/>
              <w:ind w:firstLine="0"/>
              <w:jc w:val="left"/>
              <w:rPr>
                <w:rFonts w:ascii="Arial Narrow" w:hAnsi="Arial Narrow" w:cs="Arial"/>
                <w:lang w:val="es-ES" w:eastAsia="es-ES"/>
              </w:rPr>
            </w:pPr>
            <w:r w:rsidRPr="00686928">
              <w:rPr>
                <w:rFonts w:ascii="Arial Narrow" w:hAnsi="Arial Narrow" w:cs="Arial"/>
                <w:lang w:val="es-ES" w:eastAsia="es-ES"/>
              </w:rPr>
              <w:t>2006</w:t>
            </w:r>
          </w:p>
        </w:tc>
        <w:tc>
          <w:tcPr>
            <w:tcW w:w="904" w:type="dxa"/>
            <w:shd w:val="clear" w:color="auto" w:fill="auto"/>
            <w:noWrap/>
            <w:vAlign w:val="center"/>
          </w:tcPr>
          <w:p w:rsidR="001C28AC" w:rsidRPr="00686928" w:rsidRDefault="001C28AC" w:rsidP="0095536A">
            <w:pPr>
              <w:spacing w:after="0"/>
              <w:ind w:firstLine="0"/>
              <w:jc w:val="right"/>
              <w:rPr>
                <w:rFonts w:ascii="Arial Narrow" w:hAnsi="Arial Narrow" w:cs="Arial"/>
                <w:lang w:val="es-ES" w:eastAsia="es-ES"/>
              </w:rPr>
            </w:pPr>
            <w:r w:rsidRPr="00686928">
              <w:rPr>
                <w:rFonts w:ascii="Arial Narrow" w:hAnsi="Arial Narrow" w:cs="Arial"/>
                <w:lang w:val="es-ES" w:eastAsia="es-ES"/>
              </w:rPr>
              <w:t>18980</w:t>
            </w:r>
          </w:p>
        </w:tc>
        <w:tc>
          <w:tcPr>
            <w:tcW w:w="4965" w:type="dxa"/>
            <w:shd w:val="clear" w:color="auto" w:fill="auto"/>
            <w:noWrap/>
            <w:vAlign w:val="center"/>
          </w:tcPr>
          <w:p w:rsidR="001C28AC" w:rsidRPr="00E007FE" w:rsidRDefault="001C28AC" w:rsidP="00E007FE">
            <w:pPr>
              <w:spacing w:after="0"/>
              <w:ind w:left="75" w:firstLine="0"/>
              <w:jc w:val="left"/>
              <w:rPr>
                <w:rFonts w:ascii="Arial Narrow" w:hAnsi="Arial Narrow" w:cs="Arial"/>
                <w:lang w:val="es-ES" w:eastAsia="es-ES"/>
              </w:rPr>
            </w:pPr>
            <w:r w:rsidRPr="00E007FE">
              <w:rPr>
                <w:rFonts w:ascii="Arial Narrow" w:hAnsi="Arial Narrow" w:cs="Arial"/>
                <w:lang w:val="es-ES" w:eastAsia="es-ES"/>
              </w:rPr>
              <w:t xml:space="preserve">2004 </w:t>
            </w:r>
            <w:r w:rsidR="00E007FE" w:rsidRPr="00E007FE">
              <w:rPr>
                <w:rFonts w:ascii="Arial Narrow" w:hAnsi="Arial Narrow" w:cs="Arial"/>
                <w:lang w:val="es-ES" w:eastAsia="es-ES"/>
              </w:rPr>
              <w:t>Recapitulativa de operaciones intracomunitarias IVA 4º T</w:t>
            </w:r>
          </w:p>
          <w:p w:rsidR="001C28AC" w:rsidRPr="00E007FE" w:rsidRDefault="001C28AC" w:rsidP="00E007FE">
            <w:pPr>
              <w:spacing w:after="0"/>
              <w:ind w:left="75" w:firstLine="0"/>
              <w:jc w:val="left"/>
              <w:rPr>
                <w:rFonts w:ascii="Arial Narrow" w:hAnsi="Arial Narrow" w:cs="Arial"/>
                <w:lang w:val="es-ES" w:eastAsia="es-ES"/>
              </w:rPr>
            </w:pPr>
            <w:r w:rsidRPr="00E007FE">
              <w:rPr>
                <w:rFonts w:ascii="Arial Narrow" w:hAnsi="Arial Narrow" w:cs="Arial"/>
                <w:lang w:val="es-ES" w:eastAsia="es-ES"/>
              </w:rPr>
              <w:t>2005 Sociedades</w:t>
            </w:r>
          </w:p>
          <w:p w:rsidR="001C28AC" w:rsidRPr="00E007FE" w:rsidRDefault="001C28AC" w:rsidP="00E007FE">
            <w:pPr>
              <w:spacing w:after="0"/>
              <w:ind w:left="75" w:firstLine="0"/>
              <w:jc w:val="left"/>
              <w:rPr>
                <w:rFonts w:ascii="Arial Narrow" w:hAnsi="Arial Narrow" w:cs="Arial"/>
                <w:lang w:val="es-ES" w:eastAsia="es-ES"/>
              </w:rPr>
            </w:pPr>
            <w:r w:rsidRPr="00E007FE">
              <w:rPr>
                <w:rFonts w:ascii="Arial Narrow" w:hAnsi="Arial Narrow" w:cs="Arial"/>
                <w:lang w:val="es-ES" w:eastAsia="es-ES"/>
              </w:rPr>
              <w:t>2006 IVA mensual Junio</w:t>
            </w:r>
          </w:p>
        </w:tc>
        <w:tc>
          <w:tcPr>
            <w:tcW w:w="1748" w:type="dxa"/>
            <w:shd w:val="clear" w:color="auto" w:fill="auto"/>
            <w:noWrap/>
            <w:vAlign w:val="center"/>
          </w:tcPr>
          <w:p w:rsidR="001C28AC" w:rsidRPr="00686928" w:rsidRDefault="001C28AC" w:rsidP="0095536A">
            <w:pPr>
              <w:spacing w:after="0"/>
              <w:ind w:firstLine="0"/>
              <w:jc w:val="right"/>
              <w:rPr>
                <w:rFonts w:ascii="Arial Narrow" w:hAnsi="Arial Narrow" w:cs="Arial"/>
                <w:lang w:val="es-ES" w:eastAsia="es-ES"/>
              </w:rPr>
            </w:pPr>
            <w:r w:rsidRPr="00686928">
              <w:rPr>
                <w:rFonts w:ascii="Arial Narrow" w:hAnsi="Arial Narrow" w:cs="Arial"/>
                <w:lang w:val="es-ES" w:eastAsia="es-ES"/>
              </w:rPr>
              <w:t>05/12/2006</w:t>
            </w:r>
          </w:p>
        </w:tc>
      </w:tr>
      <w:tr w:rsidR="001C28AC" w:rsidRPr="00686928" w:rsidTr="00B34638">
        <w:trPr>
          <w:trHeight w:val="227"/>
          <w:jc w:val="center"/>
        </w:trPr>
        <w:tc>
          <w:tcPr>
            <w:tcW w:w="1198" w:type="dxa"/>
            <w:shd w:val="clear" w:color="auto" w:fill="auto"/>
            <w:noWrap/>
            <w:vAlign w:val="center"/>
          </w:tcPr>
          <w:p w:rsidR="001C28AC" w:rsidRPr="00686928" w:rsidRDefault="001C28AC" w:rsidP="0095536A">
            <w:pPr>
              <w:spacing w:after="0"/>
              <w:ind w:firstLine="0"/>
              <w:jc w:val="left"/>
              <w:rPr>
                <w:rFonts w:ascii="Arial Narrow" w:hAnsi="Arial Narrow" w:cs="Arial"/>
                <w:lang w:val="es-ES" w:eastAsia="es-ES"/>
              </w:rPr>
            </w:pPr>
            <w:r w:rsidRPr="00686928">
              <w:rPr>
                <w:rFonts w:ascii="Arial Narrow" w:hAnsi="Arial Narrow" w:cs="Arial"/>
                <w:lang w:val="es-ES" w:eastAsia="es-ES"/>
              </w:rPr>
              <w:t>2007</w:t>
            </w:r>
          </w:p>
        </w:tc>
        <w:tc>
          <w:tcPr>
            <w:tcW w:w="904" w:type="dxa"/>
            <w:shd w:val="clear" w:color="auto" w:fill="auto"/>
            <w:noWrap/>
            <w:vAlign w:val="center"/>
          </w:tcPr>
          <w:p w:rsidR="001C28AC" w:rsidRPr="00686928" w:rsidRDefault="001C28AC" w:rsidP="0095536A">
            <w:pPr>
              <w:spacing w:after="0"/>
              <w:ind w:firstLine="0"/>
              <w:jc w:val="right"/>
              <w:rPr>
                <w:rFonts w:ascii="Arial Narrow" w:hAnsi="Arial Narrow" w:cs="Arial"/>
                <w:lang w:val="es-ES" w:eastAsia="es-ES"/>
              </w:rPr>
            </w:pPr>
            <w:r w:rsidRPr="00686928">
              <w:rPr>
                <w:rFonts w:ascii="Arial Narrow" w:hAnsi="Arial Narrow" w:cs="Arial"/>
                <w:lang w:val="es-ES" w:eastAsia="es-ES"/>
              </w:rPr>
              <w:t>1320</w:t>
            </w:r>
          </w:p>
        </w:tc>
        <w:tc>
          <w:tcPr>
            <w:tcW w:w="4965" w:type="dxa"/>
            <w:shd w:val="clear" w:color="auto" w:fill="auto"/>
            <w:noWrap/>
            <w:vAlign w:val="center"/>
          </w:tcPr>
          <w:p w:rsidR="001C28AC" w:rsidRPr="00E007FE" w:rsidRDefault="001C28AC" w:rsidP="00E007FE">
            <w:pPr>
              <w:spacing w:after="0"/>
              <w:ind w:left="75" w:firstLine="0"/>
              <w:jc w:val="left"/>
              <w:rPr>
                <w:rFonts w:ascii="Arial Narrow" w:hAnsi="Arial Narrow" w:cs="Arial"/>
                <w:lang w:val="es-ES" w:eastAsia="es-ES"/>
              </w:rPr>
            </w:pPr>
            <w:r w:rsidRPr="00E007FE">
              <w:rPr>
                <w:rFonts w:ascii="Arial Narrow" w:hAnsi="Arial Narrow" w:cs="Arial"/>
                <w:lang w:val="es-ES" w:eastAsia="es-ES"/>
              </w:rPr>
              <w:t>2005 Operaciones terceros</w:t>
            </w:r>
          </w:p>
        </w:tc>
        <w:tc>
          <w:tcPr>
            <w:tcW w:w="1748" w:type="dxa"/>
            <w:shd w:val="clear" w:color="auto" w:fill="auto"/>
            <w:noWrap/>
            <w:vAlign w:val="center"/>
          </w:tcPr>
          <w:p w:rsidR="001C28AC" w:rsidRPr="00686928" w:rsidRDefault="001C28AC" w:rsidP="0095536A">
            <w:pPr>
              <w:spacing w:after="0"/>
              <w:ind w:firstLine="0"/>
              <w:jc w:val="right"/>
              <w:rPr>
                <w:rFonts w:ascii="Arial Narrow" w:hAnsi="Arial Narrow" w:cs="Arial"/>
                <w:lang w:val="es-ES" w:eastAsia="es-ES"/>
              </w:rPr>
            </w:pPr>
            <w:r w:rsidRPr="00686928">
              <w:rPr>
                <w:rFonts w:ascii="Arial Narrow" w:hAnsi="Arial Narrow" w:cs="Arial"/>
                <w:lang w:val="es-ES" w:eastAsia="es-ES"/>
              </w:rPr>
              <w:t>14/03/2007</w:t>
            </w:r>
          </w:p>
        </w:tc>
      </w:tr>
      <w:tr w:rsidR="001C28AC" w:rsidRPr="00686928" w:rsidTr="00B34638">
        <w:trPr>
          <w:trHeight w:val="227"/>
          <w:jc w:val="center"/>
        </w:trPr>
        <w:tc>
          <w:tcPr>
            <w:tcW w:w="1198" w:type="dxa"/>
            <w:shd w:val="clear" w:color="auto" w:fill="auto"/>
            <w:noWrap/>
            <w:vAlign w:val="center"/>
          </w:tcPr>
          <w:p w:rsidR="001C28AC" w:rsidRPr="00686928" w:rsidRDefault="001C28AC" w:rsidP="0095536A">
            <w:pPr>
              <w:spacing w:after="0"/>
              <w:ind w:firstLine="0"/>
              <w:jc w:val="left"/>
              <w:rPr>
                <w:rFonts w:ascii="Arial Narrow" w:hAnsi="Arial Narrow" w:cs="Arial"/>
                <w:lang w:val="es-ES" w:eastAsia="es-ES"/>
              </w:rPr>
            </w:pPr>
            <w:r w:rsidRPr="00686928">
              <w:rPr>
                <w:rFonts w:ascii="Arial Narrow" w:hAnsi="Arial Narrow" w:cs="Arial"/>
                <w:lang w:val="es-ES" w:eastAsia="es-ES"/>
              </w:rPr>
              <w:t>2010</w:t>
            </w:r>
          </w:p>
          <w:p w:rsidR="001C28AC" w:rsidRPr="00686928" w:rsidRDefault="001C28AC" w:rsidP="0095536A">
            <w:pPr>
              <w:spacing w:after="0"/>
              <w:ind w:firstLine="0"/>
              <w:jc w:val="left"/>
              <w:rPr>
                <w:rFonts w:ascii="Arial Narrow" w:hAnsi="Arial Narrow" w:cs="Arial"/>
                <w:lang w:val="es-ES" w:eastAsia="es-ES"/>
              </w:rPr>
            </w:pPr>
          </w:p>
          <w:p w:rsidR="001C28AC" w:rsidRPr="00686928" w:rsidRDefault="001C28AC" w:rsidP="0095536A">
            <w:pPr>
              <w:spacing w:after="0"/>
              <w:ind w:firstLine="0"/>
              <w:jc w:val="left"/>
              <w:rPr>
                <w:rFonts w:ascii="Arial Narrow" w:hAnsi="Arial Narrow" w:cs="Arial"/>
                <w:lang w:val="es-ES" w:eastAsia="es-ES"/>
              </w:rPr>
            </w:pPr>
          </w:p>
          <w:p w:rsidR="001C28AC" w:rsidRPr="00686928" w:rsidRDefault="001C28AC" w:rsidP="0095536A">
            <w:pPr>
              <w:spacing w:after="0"/>
              <w:ind w:firstLine="0"/>
              <w:jc w:val="left"/>
              <w:rPr>
                <w:rFonts w:ascii="Arial Narrow" w:hAnsi="Arial Narrow" w:cs="Arial"/>
                <w:lang w:val="es-ES" w:eastAsia="es-ES"/>
              </w:rPr>
            </w:pPr>
          </w:p>
        </w:tc>
        <w:tc>
          <w:tcPr>
            <w:tcW w:w="904" w:type="dxa"/>
            <w:shd w:val="clear" w:color="auto" w:fill="auto"/>
            <w:noWrap/>
            <w:vAlign w:val="center"/>
          </w:tcPr>
          <w:p w:rsidR="001C28AC" w:rsidRPr="00686928" w:rsidRDefault="001C28AC" w:rsidP="0095536A">
            <w:pPr>
              <w:spacing w:after="0"/>
              <w:ind w:firstLine="0"/>
              <w:jc w:val="right"/>
              <w:rPr>
                <w:rFonts w:ascii="Arial Narrow" w:hAnsi="Arial Narrow" w:cs="Arial"/>
                <w:lang w:val="es-ES" w:eastAsia="es-ES"/>
              </w:rPr>
            </w:pPr>
            <w:r w:rsidRPr="00686928">
              <w:rPr>
                <w:rFonts w:ascii="Arial Narrow" w:hAnsi="Arial Narrow" w:cs="Arial"/>
                <w:lang w:val="es-ES" w:eastAsia="es-ES"/>
              </w:rPr>
              <w:t>61215</w:t>
            </w:r>
          </w:p>
          <w:p w:rsidR="001C28AC" w:rsidRPr="00686928" w:rsidRDefault="001C28AC" w:rsidP="0095536A">
            <w:pPr>
              <w:spacing w:after="0"/>
              <w:ind w:firstLine="0"/>
              <w:jc w:val="right"/>
              <w:rPr>
                <w:rFonts w:ascii="Arial Narrow" w:hAnsi="Arial Narrow" w:cs="Arial"/>
                <w:lang w:val="es-ES" w:eastAsia="es-ES"/>
              </w:rPr>
            </w:pPr>
          </w:p>
          <w:p w:rsidR="001C28AC" w:rsidRPr="00686928" w:rsidRDefault="001C28AC" w:rsidP="0095536A">
            <w:pPr>
              <w:spacing w:after="0"/>
              <w:ind w:firstLine="0"/>
              <w:jc w:val="right"/>
              <w:rPr>
                <w:rFonts w:ascii="Arial Narrow" w:hAnsi="Arial Narrow" w:cs="Arial"/>
                <w:lang w:val="es-ES" w:eastAsia="es-ES"/>
              </w:rPr>
            </w:pPr>
          </w:p>
          <w:p w:rsidR="001C28AC" w:rsidRPr="00686928" w:rsidRDefault="001C28AC" w:rsidP="0095536A">
            <w:pPr>
              <w:spacing w:after="0"/>
              <w:ind w:firstLine="0"/>
              <w:jc w:val="right"/>
              <w:rPr>
                <w:rFonts w:ascii="Arial Narrow" w:hAnsi="Arial Narrow" w:cs="Arial"/>
                <w:lang w:val="es-ES" w:eastAsia="es-ES"/>
              </w:rPr>
            </w:pPr>
          </w:p>
        </w:tc>
        <w:tc>
          <w:tcPr>
            <w:tcW w:w="4965" w:type="dxa"/>
            <w:shd w:val="clear" w:color="auto" w:fill="auto"/>
            <w:noWrap/>
            <w:vAlign w:val="center"/>
          </w:tcPr>
          <w:p w:rsidR="001C28AC" w:rsidRPr="00E007FE" w:rsidRDefault="001C28AC" w:rsidP="00E007FE">
            <w:pPr>
              <w:spacing w:after="0"/>
              <w:ind w:left="75" w:firstLine="0"/>
              <w:jc w:val="left"/>
              <w:rPr>
                <w:rFonts w:ascii="Arial Narrow" w:hAnsi="Arial Narrow" w:cs="Arial"/>
                <w:lang w:val="es-ES" w:eastAsia="es-ES"/>
              </w:rPr>
            </w:pPr>
            <w:r w:rsidRPr="00E007FE">
              <w:rPr>
                <w:rFonts w:ascii="Arial Narrow" w:hAnsi="Arial Narrow" w:cs="Arial"/>
                <w:lang w:val="es-ES" w:eastAsia="es-ES"/>
              </w:rPr>
              <w:t>2010 Retención trabajo junio</w:t>
            </w:r>
          </w:p>
          <w:p w:rsidR="001C28AC" w:rsidRPr="00E007FE" w:rsidRDefault="001C28AC" w:rsidP="00E007FE">
            <w:pPr>
              <w:spacing w:after="0"/>
              <w:ind w:left="75" w:firstLine="0"/>
              <w:jc w:val="left"/>
              <w:rPr>
                <w:rFonts w:ascii="Arial Narrow" w:hAnsi="Arial Narrow" w:cs="Arial"/>
                <w:lang w:val="es-ES" w:eastAsia="es-ES"/>
              </w:rPr>
            </w:pPr>
            <w:r w:rsidRPr="00E007FE">
              <w:rPr>
                <w:rFonts w:ascii="Arial Narrow" w:hAnsi="Arial Narrow" w:cs="Arial"/>
                <w:lang w:val="es-ES" w:eastAsia="es-ES"/>
              </w:rPr>
              <w:t>2010 Retención trabajo julio</w:t>
            </w:r>
          </w:p>
          <w:p w:rsidR="001C28AC" w:rsidRPr="00E007FE" w:rsidRDefault="001C28AC" w:rsidP="00E007FE">
            <w:pPr>
              <w:spacing w:after="0"/>
              <w:ind w:left="75" w:firstLine="0"/>
              <w:jc w:val="left"/>
              <w:rPr>
                <w:rFonts w:ascii="Arial Narrow" w:hAnsi="Arial Narrow" w:cs="Arial"/>
                <w:lang w:val="es-ES" w:eastAsia="es-ES"/>
              </w:rPr>
            </w:pPr>
            <w:r w:rsidRPr="00E007FE">
              <w:rPr>
                <w:rFonts w:ascii="Arial Narrow" w:hAnsi="Arial Narrow" w:cs="Arial"/>
                <w:lang w:val="es-ES" w:eastAsia="es-ES"/>
              </w:rPr>
              <w:t>2010 Retención trabajo agosto</w:t>
            </w:r>
          </w:p>
          <w:p w:rsidR="001C28AC" w:rsidRPr="00E007FE" w:rsidRDefault="001C28AC" w:rsidP="00E007FE">
            <w:pPr>
              <w:spacing w:after="0"/>
              <w:ind w:left="75" w:firstLine="0"/>
              <w:jc w:val="left"/>
              <w:rPr>
                <w:rFonts w:ascii="Arial Narrow" w:hAnsi="Arial Narrow" w:cs="Arial"/>
                <w:lang w:val="es-ES" w:eastAsia="es-ES"/>
              </w:rPr>
            </w:pPr>
            <w:r w:rsidRPr="00E007FE">
              <w:rPr>
                <w:rFonts w:ascii="Arial Narrow" w:hAnsi="Arial Narrow" w:cs="Arial"/>
                <w:lang w:val="es-ES" w:eastAsia="es-ES"/>
              </w:rPr>
              <w:t>2010 Retención trabajo septiembre</w:t>
            </w:r>
          </w:p>
        </w:tc>
        <w:tc>
          <w:tcPr>
            <w:tcW w:w="1748" w:type="dxa"/>
            <w:shd w:val="clear" w:color="auto" w:fill="auto"/>
            <w:noWrap/>
            <w:vAlign w:val="center"/>
          </w:tcPr>
          <w:p w:rsidR="001C28AC" w:rsidRPr="00686928" w:rsidRDefault="001C28AC" w:rsidP="0095536A">
            <w:pPr>
              <w:spacing w:after="0"/>
              <w:ind w:firstLine="0"/>
              <w:jc w:val="right"/>
              <w:rPr>
                <w:rFonts w:ascii="Arial Narrow" w:hAnsi="Arial Narrow" w:cs="Arial"/>
                <w:lang w:val="es-ES" w:eastAsia="es-ES"/>
              </w:rPr>
            </w:pPr>
            <w:r w:rsidRPr="00686928">
              <w:rPr>
                <w:rFonts w:ascii="Arial Narrow" w:hAnsi="Arial Narrow" w:cs="Arial"/>
                <w:lang w:val="es-ES" w:eastAsia="es-ES"/>
              </w:rPr>
              <w:t>13/12/2010</w:t>
            </w:r>
          </w:p>
          <w:p w:rsidR="001C28AC" w:rsidRPr="00686928" w:rsidRDefault="001C28AC" w:rsidP="0095536A">
            <w:pPr>
              <w:spacing w:after="0"/>
              <w:ind w:firstLine="0"/>
              <w:jc w:val="right"/>
              <w:rPr>
                <w:rFonts w:ascii="Arial Narrow" w:hAnsi="Arial Narrow" w:cs="Arial"/>
                <w:lang w:val="es-ES" w:eastAsia="es-ES"/>
              </w:rPr>
            </w:pPr>
          </w:p>
          <w:p w:rsidR="001C28AC" w:rsidRPr="00686928" w:rsidRDefault="001C28AC" w:rsidP="0095536A">
            <w:pPr>
              <w:spacing w:after="0"/>
              <w:ind w:firstLine="0"/>
              <w:jc w:val="right"/>
              <w:rPr>
                <w:rFonts w:ascii="Arial Narrow" w:hAnsi="Arial Narrow" w:cs="Arial"/>
                <w:lang w:val="es-ES" w:eastAsia="es-ES"/>
              </w:rPr>
            </w:pPr>
          </w:p>
          <w:p w:rsidR="001C28AC" w:rsidRPr="00686928" w:rsidRDefault="001C28AC" w:rsidP="0095536A">
            <w:pPr>
              <w:spacing w:after="0"/>
              <w:ind w:firstLine="0"/>
              <w:jc w:val="right"/>
              <w:rPr>
                <w:rFonts w:ascii="Arial Narrow" w:hAnsi="Arial Narrow" w:cs="Arial"/>
                <w:lang w:val="es-ES" w:eastAsia="es-ES"/>
              </w:rPr>
            </w:pPr>
          </w:p>
        </w:tc>
      </w:tr>
      <w:tr w:rsidR="001C28AC" w:rsidRPr="00686928" w:rsidTr="00B34638">
        <w:trPr>
          <w:trHeight w:val="227"/>
          <w:jc w:val="center"/>
        </w:trPr>
        <w:tc>
          <w:tcPr>
            <w:tcW w:w="1198" w:type="dxa"/>
            <w:shd w:val="clear" w:color="auto" w:fill="auto"/>
            <w:noWrap/>
            <w:vAlign w:val="center"/>
          </w:tcPr>
          <w:p w:rsidR="001C28AC" w:rsidRPr="00686928" w:rsidRDefault="001C28AC" w:rsidP="0095536A">
            <w:pPr>
              <w:spacing w:after="0"/>
              <w:ind w:firstLine="0"/>
              <w:jc w:val="left"/>
              <w:rPr>
                <w:rFonts w:ascii="Arial Narrow" w:hAnsi="Arial Narrow" w:cs="Arial"/>
                <w:lang w:val="es-ES" w:eastAsia="es-ES"/>
              </w:rPr>
            </w:pPr>
            <w:r w:rsidRPr="00686928">
              <w:rPr>
                <w:rFonts w:ascii="Arial Narrow" w:hAnsi="Arial Narrow" w:cs="Arial"/>
                <w:lang w:val="es-ES" w:eastAsia="es-ES"/>
              </w:rPr>
              <w:t>2011</w:t>
            </w:r>
          </w:p>
          <w:p w:rsidR="001C28AC" w:rsidRPr="00686928" w:rsidRDefault="001C28AC" w:rsidP="0095536A">
            <w:pPr>
              <w:spacing w:after="0"/>
              <w:ind w:firstLine="0"/>
              <w:jc w:val="left"/>
              <w:rPr>
                <w:rFonts w:ascii="Arial Narrow" w:hAnsi="Arial Narrow" w:cs="Arial"/>
                <w:lang w:val="es-ES" w:eastAsia="es-ES"/>
              </w:rPr>
            </w:pPr>
          </w:p>
          <w:p w:rsidR="001C28AC" w:rsidRPr="00686928" w:rsidRDefault="001C28AC" w:rsidP="0095536A">
            <w:pPr>
              <w:spacing w:after="0"/>
              <w:ind w:firstLine="0"/>
              <w:jc w:val="left"/>
              <w:rPr>
                <w:rFonts w:ascii="Arial Narrow" w:hAnsi="Arial Narrow" w:cs="Arial"/>
                <w:lang w:val="es-ES" w:eastAsia="es-ES"/>
              </w:rPr>
            </w:pPr>
          </w:p>
        </w:tc>
        <w:tc>
          <w:tcPr>
            <w:tcW w:w="904" w:type="dxa"/>
            <w:shd w:val="clear" w:color="auto" w:fill="auto"/>
            <w:noWrap/>
            <w:vAlign w:val="center"/>
          </w:tcPr>
          <w:p w:rsidR="001C28AC" w:rsidRPr="00686928" w:rsidRDefault="001C28AC" w:rsidP="0095536A">
            <w:pPr>
              <w:spacing w:after="0"/>
              <w:ind w:firstLine="0"/>
              <w:jc w:val="right"/>
              <w:rPr>
                <w:rFonts w:ascii="Arial Narrow" w:hAnsi="Arial Narrow" w:cs="Arial"/>
                <w:lang w:val="es-ES" w:eastAsia="es-ES"/>
              </w:rPr>
            </w:pPr>
            <w:r w:rsidRPr="00686928">
              <w:rPr>
                <w:rFonts w:ascii="Arial Narrow" w:hAnsi="Arial Narrow" w:cs="Arial"/>
                <w:lang w:val="es-ES" w:eastAsia="es-ES"/>
              </w:rPr>
              <w:t>53939</w:t>
            </w:r>
          </w:p>
          <w:p w:rsidR="001C28AC" w:rsidRPr="00686928" w:rsidRDefault="001C28AC" w:rsidP="0095536A">
            <w:pPr>
              <w:spacing w:after="0"/>
              <w:ind w:firstLine="0"/>
              <w:jc w:val="right"/>
              <w:rPr>
                <w:rFonts w:ascii="Arial Narrow" w:hAnsi="Arial Narrow" w:cs="Arial"/>
                <w:lang w:val="es-ES" w:eastAsia="es-ES"/>
              </w:rPr>
            </w:pPr>
          </w:p>
          <w:p w:rsidR="001C28AC" w:rsidRPr="00686928" w:rsidRDefault="001C28AC" w:rsidP="0095536A">
            <w:pPr>
              <w:spacing w:after="0"/>
              <w:ind w:firstLine="0"/>
              <w:jc w:val="right"/>
              <w:rPr>
                <w:rFonts w:ascii="Arial Narrow" w:hAnsi="Arial Narrow" w:cs="Arial"/>
                <w:lang w:val="es-ES" w:eastAsia="es-ES"/>
              </w:rPr>
            </w:pPr>
          </w:p>
        </w:tc>
        <w:tc>
          <w:tcPr>
            <w:tcW w:w="4965" w:type="dxa"/>
            <w:shd w:val="clear" w:color="auto" w:fill="auto"/>
            <w:noWrap/>
            <w:vAlign w:val="center"/>
          </w:tcPr>
          <w:p w:rsidR="001C28AC" w:rsidRPr="00E007FE" w:rsidRDefault="001C28AC" w:rsidP="00E007FE">
            <w:pPr>
              <w:spacing w:after="0"/>
              <w:ind w:left="75" w:firstLine="0"/>
              <w:jc w:val="left"/>
              <w:rPr>
                <w:rFonts w:ascii="Arial Narrow" w:hAnsi="Arial Narrow" w:cs="Arial"/>
                <w:lang w:val="es-ES" w:eastAsia="es-ES"/>
              </w:rPr>
            </w:pPr>
            <w:r w:rsidRPr="00E007FE">
              <w:rPr>
                <w:rFonts w:ascii="Arial Narrow" w:hAnsi="Arial Narrow" w:cs="Arial"/>
                <w:lang w:val="es-ES" w:eastAsia="es-ES"/>
              </w:rPr>
              <w:t>2008 Sociedades</w:t>
            </w:r>
          </w:p>
          <w:p w:rsidR="001C28AC" w:rsidRPr="00E007FE" w:rsidRDefault="001C28AC" w:rsidP="00E007FE">
            <w:pPr>
              <w:spacing w:after="0"/>
              <w:ind w:left="75" w:firstLine="0"/>
              <w:jc w:val="left"/>
              <w:rPr>
                <w:rFonts w:ascii="Arial Narrow" w:hAnsi="Arial Narrow" w:cs="Arial"/>
                <w:lang w:val="es-ES" w:eastAsia="es-ES"/>
              </w:rPr>
            </w:pPr>
            <w:r w:rsidRPr="00E007FE">
              <w:rPr>
                <w:rFonts w:ascii="Arial Narrow" w:hAnsi="Arial Narrow" w:cs="Arial"/>
                <w:lang w:val="es-ES" w:eastAsia="es-ES"/>
              </w:rPr>
              <w:t>2009 Sociedades</w:t>
            </w:r>
          </w:p>
          <w:p w:rsidR="001C28AC" w:rsidRPr="00E007FE" w:rsidRDefault="001C28AC" w:rsidP="00E007FE">
            <w:pPr>
              <w:spacing w:after="0"/>
              <w:ind w:left="75" w:firstLine="0"/>
              <w:jc w:val="left"/>
              <w:rPr>
                <w:rFonts w:ascii="Arial Narrow" w:hAnsi="Arial Narrow" w:cs="Arial"/>
                <w:lang w:val="es-ES" w:eastAsia="es-ES"/>
              </w:rPr>
            </w:pPr>
            <w:r w:rsidRPr="00E007FE">
              <w:rPr>
                <w:rFonts w:ascii="Arial Narrow" w:hAnsi="Arial Narrow" w:cs="Arial"/>
                <w:lang w:val="es-ES" w:eastAsia="es-ES"/>
              </w:rPr>
              <w:t>2010 P</w:t>
            </w:r>
            <w:r w:rsidR="00E007FE" w:rsidRPr="00E007FE">
              <w:rPr>
                <w:rFonts w:ascii="Arial Narrow" w:hAnsi="Arial Narrow" w:cs="Arial"/>
                <w:lang w:val="es-ES" w:eastAsia="es-ES"/>
              </w:rPr>
              <w:t>ago a cuenta Sociedades</w:t>
            </w:r>
            <w:r w:rsidRPr="00E007FE">
              <w:rPr>
                <w:rFonts w:ascii="Arial Narrow" w:hAnsi="Arial Narrow" w:cs="Arial"/>
                <w:lang w:val="es-ES" w:eastAsia="es-ES"/>
              </w:rPr>
              <w:t xml:space="preserve"> octubre</w:t>
            </w:r>
          </w:p>
        </w:tc>
        <w:tc>
          <w:tcPr>
            <w:tcW w:w="1748" w:type="dxa"/>
            <w:shd w:val="clear" w:color="auto" w:fill="auto"/>
            <w:noWrap/>
            <w:vAlign w:val="center"/>
          </w:tcPr>
          <w:p w:rsidR="001C28AC" w:rsidRPr="00686928" w:rsidRDefault="001C28AC" w:rsidP="0095536A">
            <w:pPr>
              <w:spacing w:after="0"/>
              <w:ind w:firstLine="0"/>
              <w:jc w:val="right"/>
              <w:rPr>
                <w:rFonts w:ascii="Arial Narrow" w:hAnsi="Arial Narrow" w:cs="Arial"/>
                <w:lang w:val="es-ES" w:eastAsia="es-ES"/>
              </w:rPr>
            </w:pPr>
            <w:r w:rsidRPr="00686928">
              <w:rPr>
                <w:rFonts w:ascii="Arial Narrow" w:hAnsi="Arial Narrow" w:cs="Arial"/>
                <w:lang w:val="es-ES" w:eastAsia="es-ES"/>
              </w:rPr>
              <w:t>30/09/2011</w:t>
            </w:r>
          </w:p>
          <w:p w:rsidR="001C28AC" w:rsidRPr="00686928" w:rsidRDefault="001C28AC" w:rsidP="0095536A">
            <w:pPr>
              <w:spacing w:after="0"/>
              <w:ind w:firstLine="0"/>
              <w:jc w:val="right"/>
              <w:rPr>
                <w:rFonts w:ascii="Arial Narrow" w:hAnsi="Arial Narrow" w:cs="Arial"/>
                <w:lang w:val="es-ES" w:eastAsia="es-ES"/>
              </w:rPr>
            </w:pPr>
          </w:p>
          <w:p w:rsidR="001C28AC" w:rsidRPr="00686928" w:rsidRDefault="001C28AC" w:rsidP="0095536A">
            <w:pPr>
              <w:spacing w:after="0"/>
              <w:ind w:firstLine="0"/>
              <w:jc w:val="right"/>
              <w:rPr>
                <w:rFonts w:ascii="Arial Narrow" w:hAnsi="Arial Narrow" w:cs="Arial"/>
                <w:lang w:val="es-ES" w:eastAsia="es-ES"/>
              </w:rPr>
            </w:pPr>
          </w:p>
        </w:tc>
      </w:tr>
      <w:tr w:rsidR="001C28AC" w:rsidRPr="00686928" w:rsidTr="00B34638">
        <w:trPr>
          <w:trHeight w:val="227"/>
          <w:jc w:val="center"/>
        </w:trPr>
        <w:tc>
          <w:tcPr>
            <w:tcW w:w="1198" w:type="dxa"/>
            <w:shd w:val="clear" w:color="auto" w:fill="auto"/>
            <w:noWrap/>
            <w:vAlign w:val="center"/>
          </w:tcPr>
          <w:p w:rsidR="001C28AC" w:rsidRPr="00686928" w:rsidRDefault="001C28AC" w:rsidP="0095536A">
            <w:pPr>
              <w:spacing w:after="0"/>
              <w:ind w:firstLine="0"/>
              <w:jc w:val="left"/>
              <w:rPr>
                <w:rFonts w:ascii="Arial Narrow" w:hAnsi="Arial Narrow" w:cs="Arial"/>
                <w:lang w:val="es-ES" w:eastAsia="es-ES"/>
              </w:rPr>
            </w:pPr>
            <w:r w:rsidRPr="00686928">
              <w:rPr>
                <w:rFonts w:ascii="Arial Narrow" w:hAnsi="Arial Narrow" w:cs="Arial"/>
                <w:lang w:val="es-ES" w:eastAsia="es-ES"/>
              </w:rPr>
              <w:t>2012</w:t>
            </w:r>
          </w:p>
          <w:p w:rsidR="001C28AC" w:rsidRPr="00686928" w:rsidRDefault="001C28AC" w:rsidP="0095536A">
            <w:pPr>
              <w:spacing w:after="0"/>
              <w:ind w:firstLine="0"/>
              <w:jc w:val="left"/>
              <w:rPr>
                <w:rFonts w:ascii="Arial Narrow" w:hAnsi="Arial Narrow" w:cs="Arial"/>
                <w:lang w:val="es-ES" w:eastAsia="es-ES"/>
              </w:rPr>
            </w:pPr>
          </w:p>
        </w:tc>
        <w:tc>
          <w:tcPr>
            <w:tcW w:w="904" w:type="dxa"/>
            <w:shd w:val="clear" w:color="auto" w:fill="auto"/>
            <w:noWrap/>
            <w:vAlign w:val="center"/>
          </w:tcPr>
          <w:p w:rsidR="001C28AC" w:rsidRPr="00686928" w:rsidRDefault="001C28AC" w:rsidP="0095536A">
            <w:pPr>
              <w:spacing w:after="0"/>
              <w:ind w:firstLine="0"/>
              <w:jc w:val="right"/>
              <w:rPr>
                <w:rFonts w:ascii="Arial Narrow" w:hAnsi="Arial Narrow" w:cs="Arial"/>
                <w:lang w:val="es-ES" w:eastAsia="es-ES"/>
              </w:rPr>
            </w:pPr>
            <w:r w:rsidRPr="00686928">
              <w:rPr>
                <w:rFonts w:ascii="Arial Narrow" w:hAnsi="Arial Narrow" w:cs="Arial"/>
                <w:lang w:val="es-ES" w:eastAsia="es-ES"/>
              </w:rPr>
              <w:t>2197</w:t>
            </w:r>
          </w:p>
          <w:p w:rsidR="001C28AC" w:rsidRPr="00686928" w:rsidRDefault="001C28AC" w:rsidP="0095536A">
            <w:pPr>
              <w:spacing w:after="0"/>
              <w:ind w:firstLine="0"/>
              <w:jc w:val="right"/>
              <w:rPr>
                <w:rFonts w:ascii="Arial Narrow" w:hAnsi="Arial Narrow" w:cs="Arial"/>
                <w:lang w:val="es-ES" w:eastAsia="es-ES"/>
              </w:rPr>
            </w:pPr>
          </w:p>
        </w:tc>
        <w:tc>
          <w:tcPr>
            <w:tcW w:w="4965" w:type="dxa"/>
            <w:shd w:val="clear" w:color="auto" w:fill="auto"/>
            <w:noWrap/>
            <w:vAlign w:val="center"/>
          </w:tcPr>
          <w:p w:rsidR="001C28AC" w:rsidRPr="00E007FE" w:rsidRDefault="001C28AC" w:rsidP="00E007FE">
            <w:pPr>
              <w:spacing w:after="0"/>
              <w:ind w:left="75" w:firstLine="0"/>
              <w:jc w:val="left"/>
              <w:rPr>
                <w:rFonts w:ascii="Arial Narrow" w:hAnsi="Arial Narrow" w:cs="Arial"/>
                <w:lang w:val="es-ES" w:eastAsia="es-ES"/>
              </w:rPr>
            </w:pPr>
            <w:r w:rsidRPr="00E007FE">
              <w:rPr>
                <w:rFonts w:ascii="Arial Narrow" w:hAnsi="Arial Narrow" w:cs="Arial"/>
                <w:lang w:val="es-ES" w:eastAsia="es-ES"/>
              </w:rPr>
              <w:t xml:space="preserve">2010 </w:t>
            </w:r>
            <w:r w:rsidR="00E007FE" w:rsidRPr="00E007FE">
              <w:rPr>
                <w:rFonts w:ascii="Arial Narrow" w:hAnsi="Arial Narrow" w:cs="Arial"/>
                <w:lang w:val="es-ES" w:eastAsia="es-ES"/>
              </w:rPr>
              <w:t>Recapitulativa de operaciones intracomunitarias IVA 1º T</w:t>
            </w:r>
          </w:p>
          <w:p w:rsidR="001C28AC" w:rsidRPr="00E007FE" w:rsidRDefault="001C28AC" w:rsidP="00E007FE">
            <w:pPr>
              <w:spacing w:after="0"/>
              <w:ind w:left="75" w:firstLine="0"/>
              <w:jc w:val="left"/>
              <w:rPr>
                <w:rFonts w:ascii="Arial Narrow" w:hAnsi="Arial Narrow" w:cs="Arial"/>
                <w:lang w:val="es-ES" w:eastAsia="es-ES"/>
              </w:rPr>
            </w:pPr>
            <w:r w:rsidRPr="00E007FE">
              <w:rPr>
                <w:rFonts w:ascii="Arial Narrow" w:hAnsi="Arial Narrow" w:cs="Arial"/>
                <w:lang w:val="es-ES" w:eastAsia="es-ES"/>
              </w:rPr>
              <w:t>2011 Retención trabajo noviembre</w:t>
            </w:r>
          </w:p>
        </w:tc>
        <w:tc>
          <w:tcPr>
            <w:tcW w:w="1748" w:type="dxa"/>
            <w:shd w:val="clear" w:color="auto" w:fill="auto"/>
            <w:noWrap/>
            <w:vAlign w:val="center"/>
          </w:tcPr>
          <w:p w:rsidR="001C28AC" w:rsidRPr="00686928" w:rsidRDefault="001C28AC" w:rsidP="0095536A">
            <w:pPr>
              <w:spacing w:after="0"/>
              <w:ind w:firstLine="0"/>
              <w:jc w:val="right"/>
              <w:rPr>
                <w:rFonts w:ascii="Arial Narrow" w:hAnsi="Arial Narrow" w:cs="Arial"/>
                <w:lang w:val="es-ES" w:eastAsia="es-ES"/>
              </w:rPr>
            </w:pPr>
            <w:r w:rsidRPr="00686928">
              <w:rPr>
                <w:rFonts w:ascii="Arial Narrow" w:hAnsi="Arial Narrow" w:cs="Arial"/>
                <w:lang w:val="es-ES" w:eastAsia="es-ES"/>
              </w:rPr>
              <w:t>27/02/2012</w:t>
            </w:r>
          </w:p>
          <w:p w:rsidR="001C28AC" w:rsidRPr="00686928" w:rsidRDefault="001C28AC" w:rsidP="0095536A">
            <w:pPr>
              <w:spacing w:after="0"/>
              <w:ind w:firstLine="0"/>
              <w:jc w:val="right"/>
              <w:rPr>
                <w:rFonts w:ascii="Arial Narrow" w:hAnsi="Arial Narrow" w:cs="Arial"/>
                <w:lang w:val="es-ES" w:eastAsia="es-ES"/>
              </w:rPr>
            </w:pPr>
          </w:p>
        </w:tc>
      </w:tr>
      <w:tr w:rsidR="001C28AC" w:rsidRPr="00686928" w:rsidTr="00B34638">
        <w:trPr>
          <w:trHeight w:val="227"/>
          <w:jc w:val="center"/>
        </w:trPr>
        <w:tc>
          <w:tcPr>
            <w:tcW w:w="1198" w:type="dxa"/>
            <w:shd w:val="clear" w:color="auto" w:fill="auto"/>
            <w:noWrap/>
            <w:vAlign w:val="center"/>
          </w:tcPr>
          <w:p w:rsidR="001C28AC" w:rsidRPr="00686928" w:rsidRDefault="001C28AC" w:rsidP="0095536A">
            <w:pPr>
              <w:spacing w:after="0"/>
              <w:ind w:firstLine="0"/>
              <w:jc w:val="left"/>
              <w:rPr>
                <w:rFonts w:ascii="Arial Narrow" w:hAnsi="Arial Narrow" w:cs="Arial"/>
                <w:lang w:val="es-ES" w:eastAsia="es-ES"/>
              </w:rPr>
            </w:pPr>
            <w:r w:rsidRPr="00686928">
              <w:rPr>
                <w:rFonts w:ascii="Arial Narrow" w:hAnsi="Arial Narrow" w:cs="Arial"/>
                <w:lang w:val="es-ES" w:eastAsia="es-ES"/>
              </w:rPr>
              <w:t>2012</w:t>
            </w:r>
          </w:p>
          <w:p w:rsidR="001C28AC" w:rsidRPr="00686928" w:rsidRDefault="001C28AC" w:rsidP="0095536A">
            <w:pPr>
              <w:spacing w:after="0"/>
              <w:ind w:firstLine="0"/>
              <w:jc w:val="left"/>
              <w:rPr>
                <w:rFonts w:ascii="Arial Narrow" w:hAnsi="Arial Narrow" w:cs="Arial"/>
                <w:lang w:val="es-ES" w:eastAsia="es-ES"/>
              </w:rPr>
            </w:pPr>
          </w:p>
          <w:p w:rsidR="001C28AC" w:rsidRPr="00686928" w:rsidRDefault="001C28AC" w:rsidP="0095536A">
            <w:pPr>
              <w:spacing w:after="0"/>
              <w:ind w:firstLine="0"/>
              <w:jc w:val="left"/>
              <w:rPr>
                <w:rFonts w:ascii="Arial Narrow" w:hAnsi="Arial Narrow" w:cs="Arial"/>
                <w:lang w:val="es-ES" w:eastAsia="es-ES"/>
              </w:rPr>
            </w:pPr>
          </w:p>
          <w:p w:rsidR="001C28AC" w:rsidRPr="00686928" w:rsidRDefault="001C28AC" w:rsidP="0095536A">
            <w:pPr>
              <w:spacing w:after="0"/>
              <w:ind w:firstLine="0"/>
              <w:jc w:val="left"/>
              <w:rPr>
                <w:rFonts w:ascii="Arial Narrow" w:hAnsi="Arial Narrow" w:cs="Arial"/>
                <w:lang w:val="es-ES" w:eastAsia="es-ES"/>
              </w:rPr>
            </w:pPr>
          </w:p>
          <w:p w:rsidR="001C28AC" w:rsidRPr="00686928" w:rsidRDefault="001C28AC" w:rsidP="0095536A">
            <w:pPr>
              <w:spacing w:after="0"/>
              <w:ind w:firstLine="0"/>
              <w:jc w:val="left"/>
              <w:rPr>
                <w:rFonts w:ascii="Arial Narrow" w:hAnsi="Arial Narrow" w:cs="Arial"/>
                <w:lang w:val="es-ES" w:eastAsia="es-ES"/>
              </w:rPr>
            </w:pPr>
          </w:p>
          <w:p w:rsidR="001C28AC" w:rsidRPr="00686928" w:rsidRDefault="001C28AC" w:rsidP="0095536A">
            <w:pPr>
              <w:spacing w:after="0"/>
              <w:ind w:firstLine="0"/>
              <w:jc w:val="left"/>
              <w:rPr>
                <w:rFonts w:ascii="Arial Narrow" w:hAnsi="Arial Narrow" w:cs="Arial"/>
                <w:lang w:val="es-ES" w:eastAsia="es-ES"/>
              </w:rPr>
            </w:pPr>
          </w:p>
        </w:tc>
        <w:tc>
          <w:tcPr>
            <w:tcW w:w="904" w:type="dxa"/>
            <w:shd w:val="clear" w:color="auto" w:fill="auto"/>
            <w:noWrap/>
            <w:vAlign w:val="center"/>
          </w:tcPr>
          <w:p w:rsidR="001C28AC" w:rsidRPr="00686928" w:rsidRDefault="001C28AC" w:rsidP="0095536A">
            <w:pPr>
              <w:spacing w:after="0"/>
              <w:ind w:firstLine="0"/>
              <w:jc w:val="right"/>
              <w:rPr>
                <w:rFonts w:ascii="Arial Narrow" w:hAnsi="Arial Narrow" w:cs="Arial"/>
                <w:lang w:val="es-ES" w:eastAsia="es-ES"/>
              </w:rPr>
            </w:pPr>
            <w:r w:rsidRPr="00686928">
              <w:rPr>
                <w:rFonts w:ascii="Arial Narrow" w:hAnsi="Arial Narrow" w:cs="Arial"/>
                <w:lang w:val="es-ES" w:eastAsia="es-ES"/>
              </w:rPr>
              <w:t>7692</w:t>
            </w:r>
          </w:p>
          <w:p w:rsidR="001C28AC" w:rsidRPr="00686928" w:rsidRDefault="001C28AC" w:rsidP="0095536A">
            <w:pPr>
              <w:spacing w:after="0"/>
              <w:ind w:firstLine="0"/>
              <w:jc w:val="right"/>
              <w:rPr>
                <w:rFonts w:ascii="Arial Narrow" w:hAnsi="Arial Narrow" w:cs="Arial"/>
                <w:lang w:val="es-ES" w:eastAsia="es-ES"/>
              </w:rPr>
            </w:pPr>
          </w:p>
          <w:p w:rsidR="001C28AC" w:rsidRPr="00686928" w:rsidRDefault="001C28AC" w:rsidP="0095536A">
            <w:pPr>
              <w:spacing w:after="0"/>
              <w:ind w:firstLine="0"/>
              <w:jc w:val="right"/>
              <w:rPr>
                <w:rFonts w:ascii="Arial Narrow" w:hAnsi="Arial Narrow" w:cs="Arial"/>
                <w:lang w:val="es-ES" w:eastAsia="es-ES"/>
              </w:rPr>
            </w:pPr>
          </w:p>
          <w:p w:rsidR="001C28AC" w:rsidRPr="00686928" w:rsidRDefault="001C28AC" w:rsidP="0095536A">
            <w:pPr>
              <w:spacing w:after="0"/>
              <w:ind w:firstLine="0"/>
              <w:jc w:val="right"/>
              <w:rPr>
                <w:rFonts w:ascii="Arial Narrow" w:hAnsi="Arial Narrow" w:cs="Arial"/>
                <w:lang w:val="es-ES" w:eastAsia="es-ES"/>
              </w:rPr>
            </w:pPr>
          </w:p>
          <w:p w:rsidR="001C28AC" w:rsidRPr="00686928" w:rsidRDefault="001C28AC" w:rsidP="0095536A">
            <w:pPr>
              <w:spacing w:after="0"/>
              <w:ind w:firstLine="0"/>
              <w:jc w:val="right"/>
              <w:rPr>
                <w:rFonts w:ascii="Arial Narrow" w:hAnsi="Arial Narrow" w:cs="Arial"/>
                <w:lang w:val="es-ES" w:eastAsia="es-ES"/>
              </w:rPr>
            </w:pPr>
          </w:p>
          <w:p w:rsidR="001C28AC" w:rsidRPr="00686928" w:rsidRDefault="001C28AC" w:rsidP="0095536A">
            <w:pPr>
              <w:spacing w:after="0"/>
              <w:ind w:firstLine="0"/>
              <w:jc w:val="right"/>
              <w:rPr>
                <w:rFonts w:ascii="Arial Narrow" w:hAnsi="Arial Narrow" w:cs="Arial"/>
                <w:lang w:val="es-ES" w:eastAsia="es-ES"/>
              </w:rPr>
            </w:pPr>
          </w:p>
        </w:tc>
        <w:tc>
          <w:tcPr>
            <w:tcW w:w="4965" w:type="dxa"/>
            <w:shd w:val="clear" w:color="auto" w:fill="auto"/>
            <w:noWrap/>
            <w:vAlign w:val="center"/>
          </w:tcPr>
          <w:p w:rsidR="001C28AC" w:rsidRPr="00E007FE" w:rsidRDefault="001C28AC" w:rsidP="00E007FE">
            <w:pPr>
              <w:spacing w:after="0"/>
              <w:ind w:left="75" w:firstLine="0"/>
              <w:jc w:val="left"/>
              <w:rPr>
                <w:rFonts w:ascii="Arial Narrow" w:hAnsi="Arial Narrow" w:cs="Arial"/>
                <w:lang w:val="es-ES" w:eastAsia="es-ES"/>
              </w:rPr>
            </w:pPr>
            <w:r w:rsidRPr="00E007FE">
              <w:rPr>
                <w:rFonts w:ascii="Arial Narrow" w:hAnsi="Arial Narrow" w:cs="Arial"/>
                <w:lang w:val="es-ES" w:eastAsia="es-ES"/>
              </w:rPr>
              <w:t>2012 IVA mensual enero</w:t>
            </w:r>
          </w:p>
          <w:p w:rsidR="001C28AC" w:rsidRPr="00E007FE" w:rsidRDefault="001C28AC" w:rsidP="00E007FE">
            <w:pPr>
              <w:spacing w:after="0"/>
              <w:ind w:left="75" w:firstLine="0"/>
              <w:jc w:val="left"/>
              <w:rPr>
                <w:rFonts w:ascii="Arial Narrow" w:hAnsi="Arial Narrow" w:cs="Arial"/>
                <w:lang w:val="es-ES" w:eastAsia="es-ES"/>
              </w:rPr>
            </w:pPr>
            <w:r w:rsidRPr="00E007FE">
              <w:rPr>
                <w:rFonts w:ascii="Arial Narrow" w:hAnsi="Arial Narrow" w:cs="Arial"/>
                <w:lang w:val="es-ES" w:eastAsia="es-ES"/>
              </w:rPr>
              <w:t>2012 IVA mensual febrero</w:t>
            </w:r>
          </w:p>
          <w:p w:rsidR="001C28AC" w:rsidRPr="00E007FE" w:rsidRDefault="001C28AC" w:rsidP="00E007FE">
            <w:pPr>
              <w:spacing w:after="0"/>
              <w:ind w:left="75" w:firstLine="0"/>
              <w:jc w:val="left"/>
              <w:rPr>
                <w:rFonts w:ascii="Arial Narrow" w:hAnsi="Arial Narrow" w:cs="Arial"/>
                <w:lang w:val="es-ES" w:eastAsia="es-ES"/>
              </w:rPr>
            </w:pPr>
            <w:r w:rsidRPr="00E007FE">
              <w:rPr>
                <w:rFonts w:ascii="Arial Narrow" w:hAnsi="Arial Narrow" w:cs="Arial"/>
                <w:lang w:val="es-ES" w:eastAsia="es-ES"/>
              </w:rPr>
              <w:t>2012 IVA mensual marzo</w:t>
            </w:r>
          </w:p>
          <w:p w:rsidR="001C28AC" w:rsidRPr="00E007FE" w:rsidRDefault="001C28AC" w:rsidP="00E007FE">
            <w:pPr>
              <w:spacing w:after="0"/>
              <w:ind w:left="75" w:firstLine="0"/>
              <w:jc w:val="left"/>
              <w:rPr>
                <w:rFonts w:ascii="Arial Narrow" w:hAnsi="Arial Narrow" w:cs="Arial"/>
                <w:lang w:val="es-ES" w:eastAsia="es-ES"/>
              </w:rPr>
            </w:pPr>
            <w:r w:rsidRPr="00E007FE">
              <w:rPr>
                <w:rFonts w:ascii="Arial Narrow" w:hAnsi="Arial Narrow" w:cs="Arial"/>
                <w:lang w:val="es-ES" w:eastAsia="es-ES"/>
              </w:rPr>
              <w:t>2012 Retenciones trabajo enero</w:t>
            </w:r>
          </w:p>
          <w:p w:rsidR="001C28AC" w:rsidRPr="00E007FE" w:rsidRDefault="001C28AC" w:rsidP="00E007FE">
            <w:pPr>
              <w:spacing w:after="0"/>
              <w:ind w:left="75" w:firstLine="0"/>
              <w:jc w:val="left"/>
              <w:rPr>
                <w:rFonts w:ascii="Arial Narrow" w:hAnsi="Arial Narrow" w:cs="Arial"/>
                <w:lang w:val="es-ES" w:eastAsia="es-ES"/>
              </w:rPr>
            </w:pPr>
            <w:r w:rsidRPr="00E007FE">
              <w:rPr>
                <w:rFonts w:ascii="Arial Narrow" w:hAnsi="Arial Narrow" w:cs="Arial"/>
                <w:lang w:val="es-ES" w:eastAsia="es-ES"/>
              </w:rPr>
              <w:t>2012 Retenciones trabajo febrero</w:t>
            </w:r>
          </w:p>
          <w:p w:rsidR="001C28AC" w:rsidRPr="00E007FE" w:rsidRDefault="001C28AC" w:rsidP="00E007FE">
            <w:pPr>
              <w:spacing w:after="0"/>
              <w:ind w:left="75" w:firstLine="0"/>
              <w:jc w:val="left"/>
              <w:rPr>
                <w:rFonts w:ascii="Arial Narrow" w:hAnsi="Arial Narrow" w:cs="Arial"/>
                <w:lang w:val="es-ES" w:eastAsia="es-ES"/>
              </w:rPr>
            </w:pPr>
            <w:r w:rsidRPr="00E007FE">
              <w:rPr>
                <w:rFonts w:ascii="Arial Narrow" w:hAnsi="Arial Narrow" w:cs="Arial"/>
                <w:lang w:val="es-ES" w:eastAsia="es-ES"/>
              </w:rPr>
              <w:t>2012 Retenciones trabajo marzo</w:t>
            </w:r>
          </w:p>
        </w:tc>
        <w:tc>
          <w:tcPr>
            <w:tcW w:w="1748" w:type="dxa"/>
            <w:shd w:val="clear" w:color="auto" w:fill="auto"/>
            <w:noWrap/>
            <w:vAlign w:val="center"/>
          </w:tcPr>
          <w:p w:rsidR="001C28AC" w:rsidRPr="00686928" w:rsidRDefault="001C28AC" w:rsidP="0095536A">
            <w:pPr>
              <w:spacing w:after="0"/>
              <w:ind w:firstLine="0"/>
              <w:jc w:val="right"/>
              <w:rPr>
                <w:rFonts w:ascii="Arial Narrow" w:hAnsi="Arial Narrow" w:cs="Arial"/>
                <w:lang w:val="es-ES" w:eastAsia="es-ES"/>
              </w:rPr>
            </w:pPr>
            <w:r w:rsidRPr="00686928">
              <w:rPr>
                <w:rFonts w:ascii="Arial Narrow" w:hAnsi="Arial Narrow" w:cs="Arial"/>
                <w:lang w:val="es-ES" w:eastAsia="es-ES"/>
              </w:rPr>
              <w:t>31/05/2012</w:t>
            </w:r>
          </w:p>
          <w:p w:rsidR="001C28AC" w:rsidRPr="00686928" w:rsidRDefault="001C28AC" w:rsidP="0095536A">
            <w:pPr>
              <w:spacing w:after="0"/>
              <w:ind w:firstLine="0"/>
              <w:jc w:val="right"/>
              <w:rPr>
                <w:rFonts w:ascii="Arial Narrow" w:hAnsi="Arial Narrow" w:cs="Arial"/>
                <w:lang w:val="es-ES" w:eastAsia="es-ES"/>
              </w:rPr>
            </w:pPr>
          </w:p>
          <w:p w:rsidR="001C28AC" w:rsidRPr="00686928" w:rsidRDefault="001C28AC" w:rsidP="0095536A">
            <w:pPr>
              <w:spacing w:after="0"/>
              <w:ind w:firstLine="0"/>
              <w:jc w:val="right"/>
              <w:rPr>
                <w:rFonts w:ascii="Arial Narrow" w:hAnsi="Arial Narrow" w:cs="Arial"/>
                <w:lang w:val="es-ES" w:eastAsia="es-ES"/>
              </w:rPr>
            </w:pPr>
          </w:p>
          <w:p w:rsidR="001C28AC" w:rsidRPr="00686928" w:rsidRDefault="001C28AC" w:rsidP="0095536A">
            <w:pPr>
              <w:spacing w:after="0"/>
              <w:ind w:firstLine="0"/>
              <w:jc w:val="right"/>
              <w:rPr>
                <w:rFonts w:ascii="Arial Narrow" w:hAnsi="Arial Narrow" w:cs="Arial"/>
                <w:lang w:val="es-ES" w:eastAsia="es-ES"/>
              </w:rPr>
            </w:pPr>
          </w:p>
          <w:p w:rsidR="001C28AC" w:rsidRPr="00686928" w:rsidRDefault="001C28AC" w:rsidP="0095536A">
            <w:pPr>
              <w:spacing w:after="0"/>
              <w:ind w:firstLine="0"/>
              <w:jc w:val="right"/>
              <w:rPr>
                <w:rFonts w:ascii="Arial Narrow" w:hAnsi="Arial Narrow" w:cs="Arial"/>
                <w:lang w:val="es-ES" w:eastAsia="es-ES"/>
              </w:rPr>
            </w:pPr>
          </w:p>
          <w:p w:rsidR="001C28AC" w:rsidRPr="00686928" w:rsidRDefault="001C28AC" w:rsidP="0095536A">
            <w:pPr>
              <w:spacing w:after="0"/>
              <w:ind w:firstLine="0"/>
              <w:jc w:val="right"/>
              <w:rPr>
                <w:rFonts w:ascii="Arial Narrow" w:hAnsi="Arial Narrow" w:cs="Arial"/>
                <w:lang w:val="es-ES" w:eastAsia="es-ES"/>
              </w:rPr>
            </w:pPr>
          </w:p>
        </w:tc>
      </w:tr>
      <w:tr w:rsidR="001C28AC" w:rsidRPr="00686928" w:rsidTr="00B34638">
        <w:trPr>
          <w:trHeight w:val="227"/>
          <w:jc w:val="center"/>
        </w:trPr>
        <w:tc>
          <w:tcPr>
            <w:tcW w:w="1198" w:type="dxa"/>
            <w:shd w:val="clear" w:color="auto" w:fill="auto"/>
            <w:noWrap/>
            <w:vAlign w:val="center"/>
          </w:tcPr>
          <w:p w:rsidR="001C28AC" w:rsidRPr="00686928" w:rsidRDefault="001C28AC" w:rsidP="0095536A">
            <w:pPr>
              <w:spacing w:after="0"/>
              <w:ind w:firstLine="0"/>
              <w:jc w:val="left"/>
              <w:rPr>
                <w:rFonts w:ascii="Arial Narrow" w:hAnsi="Arial Narrow" w:cs="Arial"/>
                <w:lang w:val="es-ES" w:eastAsia="es-ES"/>
              </w:rPr>
            </w:pPr>
            <w:r w:rsidRPr="00686928">
              <w:rPr>
                <w:rFonts w:ascii="Arial Narrow" w:hAnsi="Arial Narrow" w:cs="Arial"/>
                <w:lang w:val="es-ES" w:eastAsia="es-ES"/>
              </w:rPr>
              <w:t>2014</w:t>
            </w:r>
          </w:p>
        </w:tc>
        <w:tc>
          <w:tcPr>
            <w:tcW w:w="904" w:type="dxa"/>
            <w:shd w:val="clear" w:color="auto" w:fill="auto"/>
            <w:noWrap/>
            <w:vAlign w:val="center"/>
          </w:tcPr>
          <w:p w:rsidR="001C28AC" w:rsidRPr="00686928" w:rsidRDefault="001C28AC" w:rsidP="0095536A">
            <w:pPr>
              <w:spacing w:after="0"/>
              <w:ind w:firstLine="0"/>
              <w:jc w:val="right"/>
              <w:rPr>
                <w:rFonts w:ascii="Arial Narrow" w:hAnsi="Arial Narrow" w:cs="Arial"/>
                <w:lang w:val="es-ES" w:eastAsia="es-ES"/>
              </w:rPr>
            </w:pPr>
            <w:r w:rsidRPr="00686928">
              <w:rPr>
                <w:rFonts w:ascii="Arial Narrow" w:hAnsi="Arial Narrow" w:cs="Arial"/>
                <w:lang w:val="es-ES" w:eastAsia="es-ES"/>
              </w:rPr>
              <w:t>11905</w:t>
            </w:r>
          </w:p>
        </w:tc>
        <w:tc>
          <w:tcPr>
            <w:tcW w:w="4965" w:type="dxa"/>
            <w:shd w:val="clear" w:color="auto" w:fill="auto"/>
            <w:noWrap/>
            <w:vAlign w:val="center"/>
          </w:tcPr>
          <w:p w:rsidR="001C28AC" w:rsidRPr="00E007FE" w:rsidRDefault="001C28AC" w:rsidP="00E007FE">
            <w:pPr>
              <w:spacing w:after="0"/>
              <w:ind w:left="75" w:firstLine="0"/>
              <w:jc w:val="left"/>
              <w:rPr>
                <w:rFonts w:ascii="Arial Narrow" w:hAnsi="Arial Narrow" w:cs="Arial"/>
                <w:lang w:val="es-ES" w:eastAsia="es-ES"/>
              </w:rPr>
            </w:pPr>
            <w:r w:rsidRPr="00E007FE">
              <w:rPr>
                <w:rFonts w:ascii="Arial Narrow" w:hAnsi="Arial Narrow" w:cs="Arial"/>
                <w:lang w:val="es-ES" w:eastAsia="es-ES"/>
              </w:rPr>
              <w:t>2013 Modelo 193 Rentas de Capital</w:t>
            </w:r>
          </w:p>
        </w:tc>
        <w:tc>
          <w:tcPr>
            <w:tcW w:w="1748" w:type="dxa"/>
            <w:shd w:val="clear" w:color="auto" w:fill="auto"/>
            <w:noWrap/>
            <w:vAlign w:val="center"/>
          </w:tcPr>
          <w:p w:rsidR="001C28AC" w:rsidRPr="00686928" w:rsidRDefault="001C28AC" w:rsidP="0095536A">
            <w:pPr>
              <w:spacing w:after="0"/>
              <w:ind w:firstLine="0"/>
              <w:jc w:val="right"/>
              <w:rPr>
                <w:rFonts w:ascii="Arial Narrow" w:hAnsi="Arial Narrow" w:cs="Arial"/>
                <w:lang w:val="es-ES" w:eastAsia="es-ES"/>
              </w:rPr>
            </w:pPr>
            <w:r w:rsidRPr="00686928">
              <w:rPr>
                <w:rFonts w:ascii="Arial Narrow" w:hAnsi="Arial Narrow" w:cs="Arial"/>
                <w:lang w:val="es-ES" w:eastAsia="es-ES"/>
              </w:rPr>
              <w:t>07/08/2014</w:t>
            </w:r>
          </w:p>
        </w:tc>
      </w:tr>
    </w:tbl>
    <w:p w:rsidR="001C28AC" w:rsidRPr="00CD3026" w:rsidRDefault="001C28AC" w:rsidP="001A76F5">
      <w:pPr>
        <w:spacing w:after="0"/>
        <w:ind w:firstLine="0"/>
        <w:jc w:val="left"/>
        <w:rPr>
          <w:spacing w:val="6"/>
          <w:sz w:val="26"/>
          <w:szCs w:val="24"/>
        </w:rPr>
      </w:pPr>
    </w:p>
    <w:p w:rsidR="001C28AC" w:rsidRPr="00DD1035" w:rsidRDefault="001C28AC" w:rsidP="00DD1035">
      <w:pPr>
        <w:spacing w:after="200" w:line="276" w:lineRule="auto"/>
        <w:jc w:val="left"/>
        <w:rPr>
          <w:spacing w:val="6"/>
          <w:sz w:val="26"/>
          <w:szCs w:val="24"/>
        </w:rPr>
      </w:pPr>
      <w:r w:rsidRPr="00DD1035">
        <w:rPr>
          <w:spacing w:val="6"/>
          <w:sz w:val="26"/>
          <w:szCs w:val="24"/>
        </w:rPr>
        <w:t>b) Requerimientos en el procedimiento sancionador</w:t>
      </w:r>
      <w:r w:rsidR="00B34638">
        <w:rPr>
          <w:spacing w:val="6"/>
          <w:sz w:val="26"/>
          <w:szCs w:val="24"/>
        </w:rPr>
        <w:t>:</w:t>
      </w:r>
    </w:p>
    <w:tbl>
      <w:tblPr>
        <w:tblW w:w="8881" w:type="dxa"/>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1577"/>
        <w:gridCol w:w="1158"/>
        <w:gridCol w:w="4547"/>
        <w:gridCol w:w="1599"/>
      </w:tblGrid>
      <w:tr w:rsidR="001C28AC" w:rsidRPr="00686928" w:rsidTr="00251DEF">
        <w:trPr>
          <w:trHeight w:val="227"/>
          <w:jc w:val="center"/>
        </w:trPr>
        <w:tc>
          <w:tcPr>
            <w:tcW w:w="1577" w:type="dxa"/>
            <w:tcBorders>
              <w:top w:val="single" w:sz="4" w:space="0" w:color="auto"/>
              <w:bottom w:val="single" w:sz="4" w:space="0" w:color="auto"/>
            </w:tcBorders>
            <w:shd w:val="clear" w:color="auto" w:fill="8DB3E2" w:themeFill="text2" w:themeFillTint="66"/>
            <w:noWrap/>
            <w:vAlign w:val="center"/>
          </w:tcPr>
          <w:p w:rsidR="001C28AC" w:rsidRPr="00686928" w:rsidRDefault="001C28AC" w:rsidP="00251DEF">
            <w:pPr>
              <w:spacing w:after="0"/>
              <w:ind w:firstLine="0"/>
              <w:jc w:val="left"/>
              <w:rPr>
                <w:rFonts w:ascii="Arial" w:hAnsi="Arial" w:cs="Arial"/>
                <w:sz w:val="17"/>
                <w:szCs w:val="17"/>
                <w:lang w:val="es-ES" w:eastAsia="es-ES"/>
              </w:rPr>
            </w:pPr>
            <w:r w:rsidRPr="00686928">
              <w:rPr>
                <w:rFonts w:ascii="Arial" w:hAnsi="Arial" w:cs="Arial"/>
                <w:sz w:val="17"/>
                <w:szCs w:val="17"/>
                <w:lang w:val="es-ES" w:eastAsia="es-ES"/>
              </w:rPr>
              <w:t>Año</w:t>
            </w:r>
          </w:p>
        </w:tc>
        <w:tc>
          <w:tcPr>
            <w:tcW w:w="1158" w:type="dxa"/>
            <w:tcBorders>
              <w:top w:val="single" w:sz="4" w:space="0" w:color="auto"/>
              <w:bottom w:val="single" w:sz="4" w:space="0" w:color="auto"/>
            </w:tcBorders>
            <w:shd w:val="clear" w:color="auto" w:fill="8DB3E2" w:themeFill="text2" w:themeFillTint="66"/>
            <w:noWrap/>
            <w:vAlign w:val="center"/>
          </w:tcPr>
          <w:p w:rsidR="001C28AC" w:rsidRPr="00686928" w:rsidRDefault="001C28AC" w:rsidP="00251DEF">
            <w:pPr>
              <w:spacing w:after="0"/>
              <w:ind w:firstLine="0"/>
              <w:jc w:val="right"/>
              <w:rPr>
                <w:rFonts w:ascii="Arial" w:hAnsi="Arial" w:cs="Arial"/>
                <w:sz w:val="18"/>
                <w:szCs w:val="18"/>
                <w:lang w:val="es-ES" w:eastAsia="es-ES"/>
              </w:rPr>
            </w:pPr>
            <w:r w:rsidRPr="00686928">
              <w:rPr>
                <w:rFonts w:ascii="Arial" w:hAnsi="Arial" w:cs="Arial"/>
                <w:sz w:val="18"/>
                <w:szCs w:val="18"/>
                <w:lang w:val="es-ES" w:eastAsia="es-ES"/>
              </w:rPr>
              <w:t>Número</w:t>
            </w:r>
          </w:p>
        </w:tc>
        <w:tc>
          <w:tcPr>
            <w:tcW w:w="4547" w:type="dxa"/>
            <w:tcBorders>
              <w:top w:val="single" w:sz="4" w:space="0" w:color="auto"/>
              <w:bottom w:val="single" w:sz="4" w:space="0" w:color="auto"/>
            </w:tcBorders>
            <w:shd w:val="clear" w:color="auto" w:fill="8DB3E2" w:themeFill="text2" w:themeFillTint="66"/>
            <w:noWrap/>
            <w:vAlign w:val="center"/>
          </w:tcPr>
          <w:p w:rsidR="001C28AC" w:rsidRPr="00686928" w:rsidRDefault="001C28AC" w:rsidP="00251DEF">
            <w:pPr>
              <w:spacing w:after="0"/>
              <w:ind w:left="712" w:firstLine="0"/>
              <w:jc w:val="left"/>
              <w:rPr>
                <w:rFonts w:ascii="Arial" w:hAnsi="Arial" w:cs="Arial"/>
                <w:sz w:val="18"/>
                <w:szCs w:val="18"/>
                <w:lang w:val="es-ES" w:eastAsia="es-ES"/>
              </w:rPr>
            </w:pPr>
            <w:r w:rsidRPr="00686928">
              <w:rPr>
                <w:rFonts w:ascii="Arial" w:hAnsi="Arial" w:cs="Arial"/>
                <w:sz w:val="18"/>
                <w:szCs w:val="18"/>
                <w:lang w:val="es-ES" w:eastAsia="es-ES"/>
              </w:rPr>
              <w:t>Concepto</w:t>
            </w:r>
          </w:p>
        </w:tc>
        <w:tc>
          <w:tcPr>
            <w:tcW w:w="1599" w:type="dxa"/>
            <w:tcBorders>
              <w:top w:val="single" w:sz="4" w:space="0" w:color="auto"/>
              <w:bottom w:val="single" w:sz="4" w:space="0" w:color="auto"/>
            </w:tcBorders>
            <w:shd w:val="clear" w:color="auto" w:fill="8DB3E2" w:themeFill="text2" w:themeFillTint="66"/>
            <w:noWrap/>
            <w:vAlign w:val="center"/>
          </w:tcPr>
          <w:p w:rsidR="001C28AC" w:rsidRPr="00686928" w:rsidRDefault="001C28AC" w:rsidP="00251DEF">
            <w:pPr>
              <w:spacing w:after="0"/>
              <w:ind w:firstLine="0"/>
              <w:jc w:val="right"/>
              <w:rPr>
                <w:rFonts w:ascii="Arial" w:hAnsi="Arial" w:cs="Arial"/>
                <w:sz w:val="18"/>
                <w:szCs w:val="18"/>
                <w:lang w:val="es-ES" w:eastAsia="es-ES"/>
              </w:rPr>
            </w:pPr>
            <w:r w:rsidRPr="00686928">
              <w:rPr>
                <w:rFonts w:ascii="Arial" w:hAnsi="Arial" w:cs="Arial"/>
                <w:sz w:val="18"/>
                <w:szCs w:val="18"/>
                <w:lang w:val="es-ES" w:eastAsia="es-ES"/>
              </w:rPr>
              <w:t>Fecha notificación</w:t>
            </w:r>
          </w:p>
        </w:tc>
      </w:tr>
      <w:tr w:rsidR="001C28AC" w:rsidRPr="00686928" w:rsidTr="00251DEF">
        <w:trPr>
          <w:trHeight w:val="255"/>
          <w:jc w:val="center"/>
        </w:trPr>
        <w:tc>
          <w:tcPr>
            <w:tcW w:w="1577" w:type="dxa"/>
            <w:tcBorders>
              <w:bottom w:val="single" w:sz="2" w:space="0" w:color="auto"/>
            </w:tcBorders>
            <w:shd w:val="clear" w:color="auto" w:fill="auto"/>
            <w:noWrap/>
            <w:vAlign w:val="center"/>
          </w:tcPr>
          <w:p w:rsidR="001C28AC" w:rsidRPr="00686928" w:rsidRDefault="001C28AC" w:rsidP="00251DEF">
            <w:pPr>
              <w:spacing w:after="0"/>
              <w:ind w:firstLine="0"/>
              <w:jc w:val="left"/>
              <w:rPr>
                <w:rFonts w:ascii="Arial Narrow" w:hAnsi="Arial Narrow" w:cs="Arial"/>
                <w:lang w:val="es-ES" w:eastAsia="es-ES"/>
              </w:rPr>
            </w:pPr>
            <w:r w:rsidRPr="00686928">
              <w:rPr>
                <w:rFonts w:ascii="Arial Narrow" w:hAnsi="Arial Narrow" w:cs="Arial"/>
                <w:lang w:val="es-ES" w:eastAsia="es-ES"/>
              </w:rPr>
              <w:t>2009</w:t>
            </w:r>
          </w:p>
        </w:tc>
        <w:tc>
          <w:tcPr>
            <w:tcW w:w="1158" w:type="dxa"/>
            <w:tcBorders>
              <w:bottom w:val="single" w:sz="2" w:space="0" w:color="auto"/>
            </w:tcBorders>
            <w:shd w:val="clear" w:color="auto" w:fill="auto"/>
            <w:noWrap/>
            <w:vAlign w:val="center"/>
          </w:tcPr>
          <w:p w:rsidR="001C28AC" w:rsidRPr="00686928" w:rsidRDefault="001C28AC" w:rsidP="00251DEF">
            <w:pPr>
              <w:spacing w:after="0"/>
              <w:ind w:firstLine="0"/>
              <w:jc w:val="right"/>
              <w:rPr>
                <w:rFonts w:ascii="Arial Narrow" w:hAnsi="Arial Narrow" w:cs="Arial"/>
                <w:lang w:val="es-ES" w:eastAsia="es-ES"/>
              </w:rPr>
            </w:pPr>
            <w:r w:rsidRPr="00686928">
              <w:rPr>
                <w:rFonts w:ascii="Arial Narrow" w:hAnsi="Arial Narrow" w:cs="Arial"/>
                <w:lang w:val="es-ES" w:eastAsia="es-ES"/>
              </w:rPr>
              <w:t>200023</w:t>
            </w:r>
          </w:p>
        </w:tc>
        <w:tc>
          <w:tcPr>
            <w:tcW w:w="4547" w:type="dxa"/>
            <w:tcBorders>
              <w:bottom w:val="single" w:sz="2" w:space="0" w:color="auto"/>
            </w:tcBorders>
            <w:shd w:val="clear" w:color="auto" w:fill="auto"/>
            <w:noWrap/>
            <w:vAlign w:val="center"/>
          </w:tcPr>
          <w:p w:rsidR="001C28AC" w:rsidRPr="00686928" w:rsidRDefault="001C28AC" w:rsidP="00251DEF">
            <w:pPr>
              <w:spacing w:after="0"/>
              <w:ind w:left="712" w:firstLine="0"/>
              <w:jc w:val="left"/>
              <w:rPr>
                <w:rFonts w:ascii="Arial Narrow" w:hAnsi="Arial Narrow" w:cs="Arial"/>
                <w:lang w:val="es-ES" w:eastAsia="es-ES"/>
              </w:rPr>
            </w:pPr>
            <w:r w:rsidRPr="00686928">
              <w:rPr>
                <w:rFonts w:ascii="Arial Narrow" w:hAnsi="Arial Narrow" w:cs="Arial"/>
                <w:lang w:val="es-ES" w:eastAsia="es-ES"/>
              </w:rPr>
              <w:t>IVA mensual  05 201004 412</w:t>
            </w:r>
          </w:p>
        </w:tc>
        <w:tc>
          <w:tcPr>
            <w:tcW w:w="1599" w:type="dxa"/>
            <w:tcBorders>
              <w:bottom w:val="single" w:sz="2" w:space="0" w:color="auto"/>
            </w:tcBorders>
            <w:shd w:val="clear" w:color="auto" w:fill="auto"/>
            <w:noWrap/>
            <w:vAlign w:val="center"/>
          </w:tcPr>
          <w:p w:rsidR="001C28AC" w:rsidRPr="00686928" w:rsidRDefault="001C28AC" w:rsidP="00251DEF">
            <w:pPr>
              <w:spacing w:after="0"/>
              <w:ind w:firstLine="0"/>
              <w:jc w:val="right"/>
              <w:rPr>
                <w:rFonts w:ascii="Arial Narrow" w:hAnsi="Arial Narrow" w:cs="Arial"/>
                <w:lang w:val="es-ES" w:eastAsia="es-ES"/>
              </w:rPr>
            </w:pPr>
          </w:p>
        </w:tc>
      </w:tr>
      <w:tr w:rsidR="001C28AC" w:rsidRPr="00686928" w:rsidTr="00251DEF">
        <w:trPr>
          <w:trHeight w:val="255"/>
          <w:jc w:val="center"/>
        </w:trPr>
        <w:tc>
          <w:tcPr>
            <w:tcW w:w="1577" w:type="dxa"/>
            <w:shd w:val="clear" w:color="auto" w:fill="auto"/>
            <w:noWrap/>
            <w:vAlign w:val="center"/>
          </w:tcPr>
          <w:p w:rsidR="001C28AC" w:rsidRPr="00686928" w:rsidRDefault="001C28AC" w:rsidP="00251DEF">
            <w:pPr>
              <w:spacing w:after="0"/>
              <w:ind w:firstLine="0"/>
              <w:jc w:val="left"/>
              <w:rPr>
                <w:rFonts w:ascii="Arial Narrow" w:hAnsi="Arial Narrow" w:cs="Arial"/>
                <w:lang w:val="es-ES" w:eastAsia="es-ES"/>
              </w:rPr>
            </w:pPr>
            <w:r w:rsidRPr="00686928">
              <w:rPr>
                <w:rFonts w:ascii="Arial Narrow" w:hAnsi="Arial Narrow" w:cs="Arial"/>
                <w:lang w:val="es-ES" w:eastAsia="es-ES"/>
              </w:rPr>
              <w:t>2009</w:t>
            </w:r>
          </w:p>
        </w:tc>
        <w:tc>
          <w:tcPr>
            <w:tcW w:w="1158" w:type="dxa"/>
            <w:shd w:val="clear" w:color="auto" w:fill="auto"/>
            <w:noWrap/>
            <w:vAlign w:val="center"/>
          </w:tcPr>
          <w:p w:rsidR="001C28AC" w:rsidRPr="00686928" w:rsidRDefault="001C28AC" w:rsidP="00251DEF">
            <w:pPr>
              <w:spacing w:after="0"/>
              <w:ind w:firstLine="0"/>
              <w:jc w:val="right"/>
              <w:rPr>
                <w:rFonts w:ascii="Arial Narrow" w:hAnsi="Arial Narrow" w:cs="Arial"/>
                <w:lang w:val="es-ES" w:eastAsia="es-ES"/>
              </w:rPr>
            </w:pPr>
            <w:r w:rsidRPr="00686928">
              <w:rPr>
                <w:rFonts w:ascii="Arial Narrow" w:hAnsi="Arial Narrow" w:cs="Arial"/>
                <w:lang w:val="es-ES" w:eastAsia="es-ES"/>
              </w:rPr>
              <w:t>200024</w:t>
            </w:r>
          </w:p>
        </w:tc>
        <w:tc>
          <w:tcPr>
            <w:tcW w:w="4547" w:type="dxa"/>
            <w:shd w:val="clear" w:color="auto" w:fill="auto"/>
            <w:noWrap/>
            <w:vAlign w:val="center"/>
          </w:tcPr>
          <w:p w:rsidR="001C28AC" w:rsidRPr="00686928" w:rsidRDefault="001C28AC" w:rsidP="00251DEF">
            <w:pPr>
              <w:spacing w:after="0"/>
              <w:ind w:left="712" w:firstLine="0"/>
              <w:jc w:val="left"/>
              <w:rPr>
                <w:rFonts w:ascii="Arial Narrow" w:hAnsi="Arial Narrow" w:cs="Arial"/>
                <w:lang w:val="es-ES" w:eastAsia="es-ES"/>
              </w:rPr>
            </w:pPr>
            <w:r w:rsidRPr="00686928">
              <w:rPr>
                <w:rFonts w:ascii="Arial Narrow" w:hAnsi="Arial Narrow" w:cs="Arial"/>
                <w:lang w:val="es-ES" w:eastAsia="es-ES"/>
              </w:rPr>
              <w:t>IVA mensual  06 200867 101</w:t>
            </w:r>
          </w:p>
        </w:tc>
        <w:tc>
          <w:tcPr>
            <w:tcW w:w="1599" w:type="dxa"/>
            <w:shd w:val="clear" w:color="auto" w:fill="auto"/>
            <w:noWrap/>
            <w:vAlign w:val="center"/>
          </w:tcPr>
          <w:p w:rsidR="001C28AC" w:rsidRPr="00686928" w:rsidRDefault="001C28AC" w:rsidP="00251DEF">
            <w:pPr>
              <w:spacing w:after="0"/>
              <w:ind w:firstLine="0"/>
              <w:jc w:val="right"/>
              <w:rPr>
                <w:rFonts w:ascii="Arial Narrow" w:hAnsi="Arial Narrow" w:cs="Arial"/>
                <w:lang w:val="es-ES" w:eastAsia="es-ES"/>
              </w:rPr>
            </w:pPr>
          </w:p>
        </w:tc>
      </w:tr>
      <w:tr w:rsidR="001C28AC" w:rsidRPr="00686928" w:rsidTr="00251DEF">
        <w:trPr>
          <w:trHeight w:val="255"/>
          <w:jc w:val="center"/>
        </w:trPr>
        <w:tc>
          <w:tcPr>
            <w:tcW w:w="1577" w:type="dxa"/>
            <w:shd w:val="clear" w:color="auto" w:fill="auto"/>
            <w:noWrap/>
            <w:vAlign w:val="center"/>
          </w:tcPr>
          <w:p w:rsidR="001C28AC" w:rsidRPr="00686928" w:rsidRDefault="001C28AC" w:rsidP="00251DEF">
            <w:pPr>
              <w:spacing w:after="0"/>
              <w:ind w:firstLine="0"/>
              <w:jc w:val="left"/>
              <w:rPr>
                <w:rFonts w:ascii="Arial Narrow" w:hAnsi="Arial Narrow" w:cs="Arial"/>
                <w:lang w:val="es-ES" w:eastAsia="es-ES"/>
              </w:rPr>
            </w:pPr>
            <w:r w:rsidRPr="00686928">
              <w:rPr>
                <w:rFonts w:ascii="Arial Narrow" w:hAnsi="Arial Narrow" w:cs="Arial"/>
                <w:lang w:val="es-ES" w:eastAsia="es-ES"/>
              </w:rPr>
              <w:t>2009</w:t>
            </w:r>
          </w:p>
        </w:tc>
        <w:tc>
          <w:tcPr>
            <w:tcW w:w="1158" w:type="dxa"/>
            <w:shd w:val="clear" w:color="auto" w:fill="auto"/>
            <w:noWrap/>
            <w:vAlign w:val="center"/>
          </w:tcPr>
          <w:p w:rsidR="001C28AC" w:rsidRPr="00686928" w:rsidRDefault="001C28AC" w:rsidP="00251DEF">
            <w:pPr>
              <w:spacing w:after="0"/>
              <w:ind w:firstLine="0"/>
              <w:jc w:val="right"/>
              <w:rPr>
                <w:rFonts w:ascii="Arial Narrow" w:hAnsi="Arial Narrow" w:cs="Arial"/>
                <w:lang w:val="es-ES" w:eastAsia="es-ES"/>
              </w:rPr>
            </w:pPr>
            <w:r w:rsidRPr="00686928">
              <w:rPr>
                <w:rFonts w:ascii="Arial Narrow" w:hAnsi="Arial Narrow" w:cs="Arial"/>
                <w:lang w:val="es-ES" w:eastAsia="es-ES"/>
              </w:rPr>
              <w:t>200025</w:t>
            </w:r>
          </w:p>
        </w:tc>
        <w:tc>
          <w:tcPr>
            <w:tcW w:w="4547" w:type="dxa"/>
            <w:shd w:val="clear" w:color="auto" w:fill="auto"/>
            <w:noWrap/>
            <w:vAlign w:val="center"/>
          </w:tcPr>
          <w:p w:rsidR="001C28AC" w:rsidRPr="00686928" w:rsidRDefault="001C28AC" w:rsidP="00251DEF">
            <w:pPr>
              <w:spacing w:after="0"/>
              <w:ind w:left="712" w:firstLine="0"/>
              <w:jc w:val="left"/>
              <w:rPr>
                <w:rFonts w:ascii="Arial Narrow" w:hAnsi="Arial Narrow" w:cs="Arial"/>
                <w:lang w:val="es-ES" w:eastAsia="es-ES"/>
              </w:rPr>
            </w:pPr>
            <w:r w:rsidRPr="00686928">
              <w:rPr>
                <w:rFonts w:ascii="Arial Narrow" w:hAnsi="Arial Narrow" w:cs="Arial"/>
                <w:lang w:val="es-ES" w:eastAsia="es-ES"/>
              </w:rPr>
              <w:t>IVA mensual  06 200868 102</w:t>
            </w:r>
          </w:p>
        </w:tc>
        <w:tc>
          <w:tcPr>
            <w:tcW w:w="1599" w:type="dxa"/>
            <w:shd w:val="clear" w:color="auto" w:fill="auto"/>
            <w:noWrap/>
            <w:vAlign w:val="center"/>
          </w:tcPr>
          <w:p w:rsidR="001C28AC" w:rsidRPr="00686928" w:rsidRDefault="001C28AC" w:rsidP="00251DEF">
            <w:pPr>
              <w:spacing w:after="0"/>
              <w:ind w:firstLine="0"/>
              <w:jc w:val="right"/>
              <w:rPr>
                <w:rFonts w:ascii="Arial Narrow" w:hAnsi="Arial Narrow" w:cs="Arial"/>
                <w:lang w:val="es-ES" w:eastAsia="es-ES"/>
              </w:rPr>
            </w:pPr>
          </w:p>
        </w:tc>
      </w:tr>
      <w:tr w:rsidR="001C28AC" w:rsidRPr="00686928" w:rsidTr="00251DEF">
        <w:trPr>
          <w:trHeight w:val="255"/>
          <w:jc w:val="center"/>
        </w:trPr>
        <w:tc>
          <w:tcPr>
            <w:tcW w:w="1577" w:type="dxa"/>
            <w:shd w:val="clear" w:color="auto" w:fill="auto"/>
            <w:noWrap/>
            <w:vAlign w:val="center"/>
          </w:tcPr>
          <w:p w:rsidR="001C28AC" w:rsidRPr="00686928" w:rsidRDefault="001C28AC" w:rsidP="00251DEF">
            <w:pPr>
              <w:spacing w:after="0"/>
              <w:ind w:firstLine="0"/>
              <w:jc w:val="left"/>
              <w:rPr>
                <w:rFonts w:ascii="Arial Narrow" w:hAnsi="Arial Narrow" w:cs="Arial"/>
                <w:lang w:val="es-ES" w:eastAsia="es-ES"/>
              </w:rPr>
            </w:pPr>
            <w:r w:rsidRPr="00686928">
              <w:rPr>
                <w:rFonts w:ascii="Arial Narrow" w:hAnsi="Arial Narrow" w:cs="Arial"/>
                <w:lang w:val="es-ES" w:eastAsia="es-ES"/>
              </w:rPr>
              <w:t>2009</w:t>
            </w:r>
          </w:p>
        </w:tc>
        <w:tc>
          <w:tcPr>
            <w:tcW w:w="1158" w:type="dxa"/>
            <w:shd w:val="clear" w:color="auto" w:fill="auto"/>
            <w:noWrap/>
            <w:vAlign w:val="center"/>
          </w:tcPr>
          <w:p w:rsidR="001C28AC" w:rsidRPr="00686928" w:rsidRDefault="001C28AC" w:rsidP="00251DEF">
            <w:pPr>
              <w:spacing w:after="0"/>
              <w:ind w:firstLine="0"/>
              <w:jc w:val="right"/>
              <w:rPr>
                <w:rFonts w:ascii="Arial Narrow" w:hAnsi="Arial Narrow" w:cs="Arial"/>
                <w:lang w:val="es-ES" w:eastAsia="es-ES"/>
              </w:rPr>
            </w:pPr>
            <w:r w:rsidRPr="00686928">
              <w:rPr>
                <w:rFonts w:ascii="Arial Narrow" w:hAnsi="Arial Narrow" w:cs="Arial"/>
                <w:lang w:val="es-ES" w:eastAsia="es-ES"/>
              </w:rPr>
              <w:t>200026</w:t>
            </w:r>
          </w:p>
        </w:tc>
        <w:tc>
          <w:tcPr>
            <w:tcW w:w="4547" w:type="dxa"/>
            <w:shd w:val="clear" w:color="auto" w:fill="auto"/>
            <w:noWrap/>
            <w:vAlign w:val="center"/>
          </w:tcPr>
          <w:p w:rsidR="001C28AC" w:rsidRPr="00686928" w:rsidRDefault="001C28AC" w:rsidP="00251DEF">
            <w:pPr>
              <w:spacing w:after="0"/>
              <w:ind w:left="712" w:firstLine="0"/>
              <w:jc w:val="left"/>
              <w:rPr>
                <w:rFonts w:ascii="Arial Narrow" w:hAnsi="Arial Narrow" w:cs="Arial"/>
                <w:lang w:val="es-ES" w:eastAsia="es-ES"/>
              </w:rPr>
            </w:pPr>
            <w:r w:rsidRPr="00686928">
              <w:rPr>
                <w:rFonts w:ascii="Arial Narrow" w:hAnsi="Arial Narrow" w:cs="Arial"/>
                <w:lang w:val="es-ES" w:eastAsia="es-ES"/>
              </w:rPr>
              <w:t>IVA mensual  06 200872 206</w:t>
            </w:r>
          </w:p>
        </w:tc>
        <w:tc>
          <w:tcPr>
            <w:tcW w:w="1599" w:type="dxa"/>
            <w:shd w:val="clear" w:color="auto" w:fill="auto"/>
            <w:noWrap/>
            <w:vAlign w:val="center"/>
          </w:tcPr>
          <w:p w:rsidR="001C28AC" w:rsidRPr="00686928" w:rsidRDefault="001C28AC" w:rsidP="00251DEF">
            <w:pPr>
              <w:spacing w:after="0"/>
              <w:ind w:firstLine="0"/>
              <w:jc w:val="right"/>
              <w:rPr>
                <w:rFonts w:ascii="Arial Narrow" w:hAnsi="Arial Narrow" w:cs="Arial"/>
                <w:lang w:val="es-ES" w:eastAsia="es-ES"/>
              </w:rPr>
            </w:pPr>
          </w:p>
        </w:tc>
      </w:tr>
      <w:tr w:rsidR="001C28AC" w:rsidRPr="00686928" w:rsidTr="00251DEF">
        <w:trPr>
          <w:trHeight w:val="255"/>
          <w:jc w:val="center"/>
        </w:trPr>
        <w:tc>
          <w:tcPr>
            <w:tcW w:w="1577" w:type="dxa"/>
            <w:shd w:val="clear" w:color="auto" w:fill="auto"/>
            <w:noWrap/>
            <w:vAlign w:val="center"/>
          </w:tcPr>
          <w:p w:rsidR="001C28AC" w:rsidRPr="00686928" w:rsidRDefault="001C28AC" w:rsidP="00251DEF">
            <w:pPr>
              <w:spacing w:after="0"/>
              <w:ind w:firstLine="0"/>
              <w:jc w:val="left"/>
              <w:rPr>
                <w:rFonts w:ascii="Arial Narrow" w:hAnsi="Arial Narrow" w:cs="Arial"/>
                <w:lang w:val="es-ES" w:eastAsia="es-ES"/>
              </w:rPr>
            </w:pPr>
            <w:r w:rsidRPr="00686928">
              <w:rPr>
                <w:rFonts w:ascii="Arial Narrow" w:hAnsi="Arial Narrow" w:cs="Arial"/>
                <w:lang w:val="es-ES" w:eastAsia="es-ES"/>
              </w:rPr>
              <w:t>2011</w:t>
            </w:r>
          </w:p>
        </w:tc>
        <w:tc>
          <w:tcPr>
            <w:tcW w:w="1158" w:type="dxa"/>
            <w:shd w:val="clear" w:color="auto" w:fill="auto"/>
            <w:noWrap/>
            <w:vAlign w:val="center"/>
          </w:tcPr>
          <w:p w:rsidR="001C28AC" w:rsidRPr="00686928" w:rsidRDefault="001C28AC" w:rsidP="00251DEF">
            <w:pPr>
              <w:spacing w:after="0"/>
              <w:ind w:firstLine="0"/>
              <w:jc w:val="right"/>
              <w:rPr>
                <w:rFonts w:ascii="Arial Narrow" w:hAnsi="Arial Narrow" w:cs="Arial"/>
                <w:lang w:val="es-ES" w:eastAsia="es-ES"/>
              </w:rPr>
            </w:pPr>
            <w:r w:rsidRPr="00686928">
              <w:rPr>
                <w:rFonts w:ascii="Arial Narrow" w:hAnsi="Arial Narrow" w:cs="Arial"/>
                <w:lang w:val="es-ES" w:eastAsia="es-ES"/>
              </w:rPr>
              <w:t>3659</w:t>
            </w:r>
          </w:p>
        </w:tc>
        <w:tc>
          <w:tcPr>
            <w:tcW w:w="4547" w:type="dxa"/>
            <w:shd w:val="clear" w:color="auto" w:fill="auto"/>
            <w:noWrap/>
            <w:vAlign w:val="center"/>
          </w:tcPr>
          <w:p w:rsidR="001C28AC" w:rsidRPr="00686928" w:rsidRDefault="001C28AC" w:rsidP="00251DEF">
            <w:pPr>
              <w:spacing w:after="0"/>
              <w:ind w:left="712" w:firstLine="0"/>
              <w:jc w:val="left"/>
              <w:rPr>
                <w:rFonts w:ascii="Arial Narrow" w:hAnsi="Arial Narrow" w:cs="Arial"/>
                <w:lang w:val="es-ES" w:eastAsia="es-ES"/>
              </w:rPr>
            </w:pPr>
            <w:r>
              <w:rPr>
                <w:rFonts w:ascii="Arial Narrow" w:hAnsi="Arial Narrow" w:cs="Arial"/>
                <w:lang w:val="es-ES" w:eastAsia="es-ES"/>
              </w:rPr>
              <w:t>IVA 2010</w:t>
            </w:r>
            <w:r w:rsidRPr="00686928">
              <w:rPr>
                <w:rFonts w:ascii="Arial Narrow" w:hAnsi="Arial Narrow" w:cs="Arial"/>
                <w:lang w:val="es-ES" w:eastAsia="es-ES"/>
              </w:rPr>
              <w:t xml:space="preserve"> m</w:t>
            </w:r>
            <w:r>
              <w:rPr>
                <w:rFonts w:ascii="Arial Narrow" w:hAnsi="Arial Narrow" w:cs="Arial"/>
                <w:lang w:val="es-ES" w:eastAsia="es-ES"/>
              </w:rPr>
              <w:t>odelo</w:t>
            </w:r>
            <w:r w:rsidRPr="00686928">
              <w:rPr>
                <w:rFonts w:ascii="Arial Narrow" w:hAnsi="Arial Narrow" w:cs="Arial"/>
                <w:lang w:val="es-ES" w:eastAsia="es-ES"/>
              </w:rPr>
              <w:t xml:space="preserve"> 190</w:t>
            </w:r>
          </w:p>
        </w:tc>
        <w:tc>
          <w:tcPr>
            <w:tcW w:w="1599" w:type="dxa"/>
            <w:shd w:val="clear" w:color="auto" w:fill="auto"/>
            <w:noWrap/>
            <w:vAlign w:val="center"/>
          </w:tcPr>
          <w:p w:rsidR="001C28AC" w:rsidRPr="00686928" w:rsidRDefault="001C28AC" w:rsidP="00251DEF">
            <w:pPr>
              <w:spacing w:after="0"/>
              <w:ind w:firstLine="0"/>
              <w:jc w:val="right"/>
              <w:rPr>
                <w:rFonts w:ascii="Arial Narrow" w:hAnsi="Arial Narrow" w:cs="Arial"/>
                <w:lang w:val="es-ES" w:eastAsia="es-ES"/>
              </w:rPr>
            </w:pPr>
            <w:r w:rsidRPr="00686928">
              <w:rPr>
                <w:rFonts w:ascii="Arial Narrow" w:hAnsi="Arial Narrow" w:cs="Arial"/>
                <w:lang w:val="es-ES" w:eastAsia="es-ES"/>
              </w:rPr>
              <w:t>01/06/2011</w:t>
            </w:r>
          </w:p>
        </w:tc>
      </w:tr>
      <w:tr w:rsidR="001C28AC" w:rsidRPr="00686928" w:rsidTr="00251DEF">
        <w:trPr>
          <w:trHeight w:val="255"/>
          <w:jc w:val="center"/>
        </w:trPr>
        <w:tc>
          <w:tcPr>
            <w:tcW w:w="1577" w:type="dxa"/>
            <w:shd w:val="clear" w:color="auto" w:fill="auto"/>
            <w:noWrap/>
            <w:vAlign w:val="center"/>
          </w:tcPr>
          <w:p w:rsidR="001C28AC" w:rsidRPr="00686928" w:rsidRDefault="001C28AC" w:rsidP="00251DEF">
            <w:pPr>
              <w:spacing w:after="0"/>
              <w:ind w:firstLine="0"/>
              <w:jc w:val="left"/>
              <w:rPr>
                <w:rFonts w:ascii="Arial Narrow" w:hAnsi="Arial Narrow" w:cs="Arial"/>
                <w:lang w:val="es-ES" w:eastAsia="es-ES"/>
              </w:rPr>
            </w:pPr>
            <w:r w:rsidRPr="00686928">
              <w:rPr>
                <w:rFonts w:ascii="Arial Narrow" w:hAnsi="Arial Narrow" w:cs="Arial"/>
                <w:lang w:val="es-ES" w:eastAsia="es-ES"/>
              </w:rPr>
              <w:t>2012</w:t>
            </w:r>
          </w:p>
        </w:tc>
        <w:tc>
          <w:tcPr>
            <w:tcW w:w="1158" w:type="dxa"/>
            <w:shd w:val="clear" w:color="auto" w:fill="auto"/>
            <w:noWrap/>
            <w:vAlign w:val="center"/>
          </w:tcPr>
          <w:p w:rsidR="001C28AC" w:rsidRPr="00686928" w:rsidRDefault="001C28AC" w:rsidP="00251DEF">
            <w:pPr>
              <w:spacing w:after="0"/>
              <w:ind w:firstLine="0"/>
              <w:jc w:val="right"/>
              <w:rPr>
                <w:rFonts w:ascii="Arial Narrow" w:hAnsi="Arial Narrow" w:cs="Arial"/>
                <w:lang w:val="es-ES" w:eastAsia="es-ES"/>
              </w:rPr>
            </w:pPr>
            <w:r w:rsidRPr="00686928">
              <w:rPr>
                <w:rFonts w:ascii="Arial Narrow" w:hAnsi="Arial Narrow" w:cs="Arial"/>
                <w:lang w:val="es-ES" w:eastAsia="es-ES"/>
              </w:rPr>
              <w:t>200595</w:t>
            </w:r>
          </w:p>
        </w:tc>
        <w:tc>
          <w:tcPr>
            <w:tcW w:w="4547" w:type="dxa"/>
            <w:shd w:val="clear" w:color="auto" w:fill="auto"/>
            <w:noWrap/>
            <w:vAlign w:val="center"/>
          </w:tcPr>
          <w:p w:rsidR="001C28AC" w:rsidRPr="00686928" w:rsidRDefault="001C28AC" w:rsidP="00251DEF">
            <w:pPr>
              <w:spacing w:after="0"/>
              <w:ind w:left="712" w:firstLine="0"/>
              <w:jc w:val="left"/>
              <w:rPr>
                <w:rFonts w:ascii="Arial Narrow" w:hAnsi="Arial Narrow" w:cs="Arial"/>
                <w:lang w:val="es-ES" w:eastAsia="es-ES"/>
              </w:rPr>
            </w:pPr>
            <w:r w:rsidRPr="00686928">
              <w:rPr>
                <w:rFonts w:ascii="Arial Narrow" w:hAnsi="Arial Narrow" w:cs="Arial"/>
                <w:lang w:val="es-ES" w:eastAsia="es-ES"/>
              </w:rPr>
              <w:t>IVA mensual  12 677985 101</w:t>
            </w:r>
          </w:p>
        </w:tc>
        <w:tc>
          <w:tcPr>
            <w:tcW w:w="1599" w:type="dxa"/>
            <w:shd w:val="clear" w:color="auto" w:fill="auto"/>
            <w:noWrap/>
            <w:vAlign w:val="center"/>
          </w:tcPr>
          <w:p w:rsidR="001C28AC" w:rsidRPr="00686928" w:rsidRDefault="001C28AC" w:rsidP="00251DEF">
            <w:pPr>
              <w:spacing w:after="0"/>
              <w:ind w:firstLine="0"/>
              <w:jc w:val="right"/>
              <w:rPr>
                <w:rFonts w:ascii="Arial Narrow" w:hAnsi="Arial Narrow" w:cs="Arial"/>
                <w:lang w:val="es-ES" w:eastAsia="es-ES"/>
              </w:rPr>
            </w:pPr>
            <w:r w:rsidRPr="00686928">
              <w:rPr>
                <w:rFonts w:ascii="Arial Narrow" w:hAnsi="Arial Narrow" w:cs="Arial"/>
                <w:lang w:val="es-ES" w:eastAsia="es-ES"/>
              </w:rPr>
              <w:t>04/07/2012</w:t>
            </w:r>
          </w:p>
        </w:tc>
      </w:tr>
      <w:tr w:rsidR="001C28AC" w:rsidRPr="00686928" w:rsidTr="00251DEF">
        <w:trPr>
          <w:trHeight w:val="255"/>
          <w:jc w:val="center"/>
        </w:trPr>
        <w:tc>
          <w:tcPr>
            <w:tcW w:w="1577" w:type="dxa"/>
            <w:tcBorders>
              <w:bottom w:val="single" w:sz="2" w:space="0" w:color="auto"/>
            </w:tcBorders>
            <w:shd w:val="clear" w:color="auto" w:fill="auto"/>
            <w:noWrap/>
            <w:vAlign w:val="center"/>
          </w:tcPr>
          <w:p w:rsidR="001C28AC" w:rsidRPr="00686928" w:rsidRDefault="001C28AC" w:rsidP="00251DEF">
            <w:pPr>
              <w:spacing w:after="0"/>
              <w:ind w:firstLine="0"/>
              <w:jc w:val="left"/>
              <w:rPr>
                <w:rFonts w:ascii="Arial Narrow" w:hAnsi="Arial Narrow" w:cs="Arial"/>
                <w:lang w:val="es-ES" w:eastAsia="es-ES"/>
              </w:rPr>
            </w:pPr>
            <w:r w:rsidRPr="00686928">
              <w:rPr>
                <w:rFonts w:ascii="Arial Narrow" w:hAnsi="Arial Narrow" w:cs="Arial"/>
                <w:lang w:val="es-ES" w:eastAsia="es-ES"/>
              </w:rPr>
              <w:t>2012</w:t>
            </w:r>
          </w:p>
        </w:tc>
        <w:tc>
          <w:tcPr>
            <w:tcW w:w="1158" w:type="dxa"/>
            <w:tcBorders>
              <w:bottom w:val="single" w:sz="2" w:space="0" w:color="auto"/>
            </w:tcBorders>
            <w:shd w:val="clear" w:color="auto" w:fill="auto"/>
            <w:noWrap/>
            <w:vAlign w:val="center"/>
          </w:tcPr>
          <w:p w:rsidR="001C28AC" w:rsidRPr="00686928" w:rsidRDefault="001C28AC" w:rsidP="00251DEF">
            <w:pPr>
              <w:spacing w:after="0"/>
              <w:ind w:firstLine="0"/>
              <w:jc w:val="right"/>
              <w:rPr>
                <w:rFonts w:ascii="Arial Narrow" w:hAnsi="Arial Narrow" w:cs="Arial"/>
                <w:lang w:val="es-ES" w:eastAsia="es-ES"/>
              </w:rPr>
            </w:pPr>
            <w:r w:rsidRPr="00686928">
              <w:rPr>
                <w:rFonts w:ascii="Arial Narrow" w:hAnsi="Arial Narrow" w:cs="Arial"/>
                <w:lang w:val="es-ES" w:eastAsia="es-ES"/>
              </w:rPr>
              <w:t>200596</w:t>
            </w:r>
          </w:p>
        </w:tc>
        <w:tc>
          <w:tcPr>
            <w:tcW w:w="4547" w:type="dxa"/>
            <w:tcBorders>
              <w:bottom w:val="single" w:sz="2" w:space="0" w:color="auto"/>
            </w:tcBorders>
            <w:shd w:val="clear" w:color="auto" w:fill="auto"/>
            <w:noWrap/>
            <w:vAlign w:val="center"/>
          </w:tcPr>
          <w:p w:rsidR="001C28AC" w:rsidRPr="00686928" w:rsidRDefault="001C28AC" w:rsidP="00251DEF">
            <w:pPr>
              <w:spacing w:after="0"/>
              <w:ind w:left="712" w:firstLine="0"/>
              <w:jc w:val="left"/>
              <w:rPr>
                <w:rFonts w:ascii="Arial Narrow" w:hAnsi="Arial Narrow" w:cs="Arial"/>
                <w:lang w:val="es-ES" w:eastAsia="es-ES"/>
              </w:rPr>
            </w:pPr>
            <w:r w:rsidRPr="00686928">
              <w:rPr>
                <w:rFonts w:ascii="Arial Narrow" w:hAnsi="Arial Narrow" w:cs="Arial"/>
                <w:lang w:val="es-ES" w:eastAsia="es-ES"/>
              </w:rPr>
              <w:t>IVA mensual  12 677991 102</w:t>
            </w:r>
          </w:p>
        </w:tc>
        <w:tc>
          <w:tcPr>
            <w:tcW w:w="1599" w:type="dxa"/>
            <w:tcBorders>
              <w:bottom w:val="single" w:sz="2" w:space="0" w:color="auto"/>
            </w:tcBorders>
            <w:shd w:val="clear" w:color="auto" w:fill="auto"/>
            <w:noWrap/>
            <w:vAlign w:val="center"/>
          </w:tcPr>
          <w:p w:rsidR="001C28AC" w:rsidRPr="00686928" w:rsidRDefault="001C28AC" w:rsidP="00251DEF">
            <w:pPr>
              <w:spacing w:after="0"/>
              <w:ind w:firstLine="0"/>
              <w:jc w:val="right"/>
              <w:rPr>
                <w:rFonts w:ascii="Arial Narrow" w:hAnsi="Arial Narrow" w:cs="Arial"/>
                <w:lang w:val="es-ES" w:eastAsia="es-ES"/>
              </w:rPr>
            </w:pPr>
            <w:r w:rsidRPr="00686928">
              <w:rPr>
                <w:rFonts w:ascii="Arial Narrow" w:hAnsi="Arial Narrow" w:cs="Arial"/>
                <w:lang w:val="es-ES" w:eastAsia="es-ES"/>
              </w:rPr>
              <w:t>04/07/2012</w:t>
            </w:r>
          </w:p>
        </w:tc>
      </w:tr>
      <w:tr w:rsidR="001C28AC" w:rsidRPr="00686928" w:rsidTr="00251DEF">
        <w:trPr>
          <w:trHeight w:val="255"/>
          <w:jc w:val="center"/>
        </w:trPr>
        <w:tc>
          <w:tcPr>
            <w:tcW w:w="1577" w:type="dxa"/>
            <w:tcBorders>
              <w:bottom w:val="single" w:sz="4" w:space="0" w:color="auto"/>
            </w:tcBorders>
            <w:shd w:val="clear" w:color="auto" w:fill="auto"/>
            <w:noWrap/>
            <w:vAlign w:val="center"/>
          </w:tcPr>
          <w:p w:rsidR="001C28AC" w:rsidRPr="00686928" w:rsidRDefault="001C28AC" w:rsidP="00251DEF">
            <w:pPr>
              <w:spacing w:after="0"/>
              <w:ind w:firstLine="0"/>
              <w:jc w:val="left"/>
              <w:rPr>
                <w:rFonts w:ascii="Arial Narrow" w:hAnsi="Arial Narrow" w:cs="Arial"/>
                <w:lang w:val="es-ES" w:eastAsia="es-ES"/>
              </w:rPr>
            </w:pPr>
            <w:r w:rsidRPr="00686928">
              <w:rPr>
                <w:rFonts w:ascii="Arial Narrow" w:hAnsi="Arial Narrow" w:cs="Arial"/>
                <w:lang w:val="es-ES" w:eastAsia="es-ES"/>
              </w:rPr>
              <w:t>2012</w:t>
            </w:r>
          </w:p>
        </w:tc>
        <w:tc>
          <w:tcPr>
            <w:tcW w:w="1158" w:type="dxa"/>
            <w:tcBorders>
              <w:bottom w:val="single" w:sz="4" w:space="0" w:color="auto"/>
            </w:tcBorders>
            <w:shd w:val="clear" w:color="auto" w:fill="auto"/>
            <w:noWrap/>
            <w:vAlign w:val="center"/>
          </w:tcPr>
          <w:p w:rsidR="001C28AC" w:rsidRPr="00686928" w:rsidRDefault="001C28AC" w:rsidP="00251DEF">
            <w:pPr>
              <w:spacing w:after="0"/>
              <w:ind w:firstLine="0"/>
              <w:jc w:val="right"/>
              <w:rPr>
                <w:rFonts w:ascii="Arial Narrow" w:hAnsi="Arial Narrow" w:cs="Arial"/>
                <w:lang w:val="es-ES" w:eastAsia="es-ES"/>
              </w:rPr>
            </w:pPr>
            <w:r w:rsidRPr="00686928">
              <w:rPr>
                <w:rFonts w:ascii="Arial Narrow" w:hAnsi="Arial Narrow" w:cs="Arial"/>
                <w:lang w:val="es-ES" w:eastAsia="es-ES"/>
              </w:rPr>
              <w:t>200597</w:t>
            </w:r>
          </w:p>
        </w:tc>
        <w:tc>
          <w:tcPr>
            <w:tcW w:w="4547" w:type="dxa"/>
            <w:tcBorders>
              <w:bottom w:val="single" w:sz="4" w:space="0" w:color="auto"/>
            </w:tcBorders>
            <w:shd w:val="clear" w:color="auto" w:fill="auto"/>
            <w:noWrap/>
            <w:vAlign w:val="center"/>
          </w:tcPr>
          <w:p w:rsidR="001C28AC" w:rsidRPr="00686928" w:rsidRDefault="001C28AC" w:rsidP="00251DEF">
            <w:pPr>
              <w:spacing w:after="0"/>
              <w:ind w:left="712" w:firstLine="0"/>
              <w:jc w:val="left"/>
              <w:rPr>
                <w:rFonts w:ascii="Arial Narrow" w:hAnsi="Arial Narrow" w:cs="Arial"/>
                <w:lang w:val="es-ES" w:eastAsia="es-ES"/>
              </w:rPr>
            </w:pPr>
            <w:r w:rsidRPr="00686928">
              <w:rPr>
                <w:rFonts w:ascii="Arial Narrow" w:hAnsi="Arial Narrow" w:cs="Arial"/>
                <w:lang w:val="es-ES" w:eastAsia="es-ES"/>
              </w:rPr>
              <w:t>IVA mensual  12 678022 103</w:t>
            </w:r>
          </w:p>
        </w:tc>
        <w:tc>
          <w:tcPr>
            <w:tcW w:w="1599" w:type="dxa"/>
            <w:tcBorders>
              <w:bottom w:val="single" w:sz="4" w:space="0" w:color="auto"/>
            </w:tcBorders>
            <w:shd w:val="clear" w:color="auto" w:fill="auto"/>
            <w:noWrap/>
            <w:vAlign w:val="center"/>
          </w:tcPr>
          <w:p w:rsidR="001C28AC" w:rsidRPr="00686928" w:rsidRDefault="001C28AC" w:rsidP="00251DEF">
            <w:pPr>
              <w:spacing w:after="0"/>
              <w:ind w:firstLine="0"/>
              <w:jc w:val="right"/>
              <w:rPr>
                <w:rFonts w:ascii="Arial Narrow" w:hAnsi="Arial Narrow" w:cs="Arial"/>
                <w:lang w:val="es-ES" w:eastAsia="es-ES"/>
              </w:rPr>
            </w:pPr>
            <w:r w:rsidRPr="00686928">
              <w:rPr>
                <w:rFonts w:ascii="Arial Narrow" w:hAnsi="Arial Narrow" w:cs="Arial"/>
                <w:lang w:val="es-ES" w:eastAsia="es-ES"/>
              </w:rPr>
              <w:t>04/07/2012</w:t>
            </w:r>
          </w:p>
        </w:tc>
      </w:tr>
    </w:tbl>
    <w:p w:rsidR="00DD1035" w:rsidRPr="00DD1035" w:rsidRDefault="001C28AC" w:rsidP="00DD1035">
      <w:pPr>
        <w:spacing w:after="200"/>
        <w:jc w:val="left"/>
        <w:rPr>
          <w:spacing w:val="6"/>
          <w:sz w:val="26"/>
          <w:szCs w:val="24"/>
        </w:rPr>
      </w:pPr>
      <w:r w:rsidRPr="00DD1035">
        <w:rPr>
          <w:spacing w:val="6"/>
          <w:sz w:val="26"/>
          <w:szCs w:val="24"/>
        </w:rPr>
        <w:t>c) Otros requerimientos</w:t>
      </w:r>
      <w:r w:rsidR="00B34638">
        <w:rPr>
          <w:spacing w:val="6"/>
          <w:sz w:val="26"/>
          <w:szCs w:val="24"/>
        </w:rPr>
        <w:t>:</w:t>
      </w:r>
    </w:p>
    <w:tbl>
      <w:tblPr>
        <w:tblW w:w="8797" w:type="dxa"/>
        <w:jc w:val="center"/>
        <w:tblInd w:w="-583" w:type="dxa"/>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1196"/>
        <w:gridCol w:w="2118"/>
        <w:gridCol w:w="5483"/>
      </w:tblGrid>
      <w:tr w:rsidR="001C28AC" w:rsidRPr="00686928" w:rsidTr="00B34638">
        <w:trPr>
          <w:trHeight w:val="284"/>
          <w:jc w:val="center"/>
        </w:trPr>
        <w:tc>
          <w:tcPr>
            <w:tcW w:w="1196" w:type="dxa"/>
            <w:tcBorders>
              <w:top w:val="single" w:sz="4" w:space="0" w:color="auto"/>
              <w:bottom w:val="single" w:sz="4" w:space="0" w:color="auto"/>
            </w:tcBorders>
            <w:shd w:val="clear" w:color="auto" w:fill="8DB3E2" w:themeFill="text2" w:themeFillTint="66"/>
            <w:noWrap/>
            <w:vAlign w:val="center"/>
          </w:tcPr>
          <w:p w:rsidR="001C28AC" w:rsidRPr="00686928" w:rsidRDefault="001C28AC" w:rsidP="0095536A">
            <w:pPr>
              <w:spacing w:after="0"/>
              <w:ind w:firstLine="0"/>
              <w:jc w:val="left"/>
              <w:rPr>
                <w:rFonts w:ascii="Arial" w:hAnsi="Arial" w:cs="Arial"/>
                <w:sz w:val="17"/>
                <w:szCs w:val="17"/>
                <w:lang w:val="es-ES" w:eastAsia="es-ES"/>
              </w:rPr>
            </w:pPr>
            <w:r w:rsidRPr="00686928">
              <w:rPr>
                <w:rFonts w:ascii="Arial" w:hAnsi="Arial" w:cs="Arial"/>
                <w:sz w:val="17"/>
                <w:szCs w:val="17"/>
                <w:lang w:val="es-ES" w:eastAsia="es-ES"/>
              </w:rPr>
              <w:t>Año</w:t>
            </w:r>
          </w:p>
        </w:tc>
        <w:tc>
          <w:tcPr>
            <w:tcW w:w="2118" w:type="dxa"/>
            <w:tcBorders>
              <w:top w:val="single" w:sz="4" w:space="0" w:color="auto"/>
              <w:bottom w:val="single" w:sz="4" w:space="0" w:color="auto"/>
            </w:tcBorders>
            <w:shd w:val="clear" w:color="auto" w:fill="8DB3E2" w:themeFill="text2" w:themeFillTint="66"/>
            <w:noWrap/>
            <w:vAlign w:val="center"/>
          </w:tcPr>
          <w:p w:rsidR="001C28AC" w:rsidRPr="00686928" w:rsidRDefault="001C28AC" w:rsidP="0095536A">
            <w:pPr>
              <w:spacing w:after="0"/>
              <w:ind w:firstLine="0"/>
              <w:jc w:val="left"/>
              <w:rPr>
                <w:rFonts w:ascii="Arial" w:hAnsi="Arial" w:cs="Arial"/>
                <w:sz w:val="18"/>
                <w:szCs w:val="18"/>
                <w:lang w:val="es-ES" w:eastAsia="es-ES"/>
              </w:rPr>
            </w:pPr>
            <w:r w:rsidRPr="00686928">
              <w:rPr>
                <w:rFonts w:ascii="Arial" w:hAnsi="Arial" w:cs="Arial"/>
                <w:sz w:val="18"/>
                <w:szCs w:val="18"/>
                <w:lang w:val="es-ES" w:eastAsia="es-ES"/>
              </w:rPr>
              <w:t>Concepto</w:t>
            </w:r>
          </w:p>
        </w:tc>
        <w:tc>
          <w:tcPr>
            <w:tcW w:w="5483" w:type="dxa"/>
            <w:tcBorders>
              <w:top w:val="single" w:sz="4" w:space="0" w:color="auto"/>
              <w:bottom w:val="single" w:sz="4" w:space="0" w:color="auto"/>
            </w:tcBorders>
            <w:shd w:val="clear" w:color="auto" w:fill="8DB3E2" w:themeFill="text2" w:themeFillTint="66"/>
            <w:noWrap/>
            <w:vAlign w:val="center"/>
          </w:tcPr>
          <w:p w:rsidR="001C28AC" w:rsidRPr="00686928" w:rsidRDefault="001C28AC" w:rsidP="0095536A">
            <w:pPr>
              <w:spacing w:after="0"/>
              <w:ind w:firstLine="0"/>
              <w:jc w:val="left"/>
              <w:rPr>
                <w:rFonts w:ascii="Arial" w:hAnsi="Arial" w:cs="Arial"/>
                <w:sz w:val="18"/>
                <w:szCs w:val="18"/>
                <w:lang w:val="es-ES" w:eastAsia="es-ES"/>
              </w:rPr>
            </w:pPr>
          </w:p>
        </w:tc>
      </w:tr>
      <w:tr w:rsidR="001C28AC" w:rsidRPr="00686928" w:rsidTr="00B34638">
        <w:trPr>
          <w:trHeight w:val="284"/>
          <w:jc w:val="center"/>
        </w:trPr>
        <w:tc>
          <w:tcPr>
            <w:tcW w:w="1196" w:type="dxa"/>
            <w:tcBorders>
              <w:bottom w:val="single" w:sz="2" w:space="0" w:color="auto"/>
            </w:tcBorders>
            <w:shd w:val="clear" w:color="auto" w:fill="auto"/>
            <w:noWrap/>
            <w:vAlign w:val="center"/>
          </w:tcPr>
          <w:p w:rsidR="001C28AC" w:rsidRPr="00686928" w:rsidRDefault="001C28AC" w:rsidP="0095536A">
            <w:pPr>
              <w:spacing w:after="0"/>
              <w:ind w:firstLine="0"/>
              <w:jc w:val="left"/>
              <w:rPr>
                <w:rFonts w:ascii="Arial Narrow" w:hAnsi="Arial Narrow" w:cs="Arial"/>
                <w:lang w:val="es-ES" w:eastAsia="es-ES"/>
              </w:rPr>
            </w:pPr>
            <w:r w:rsidRPr="00686928">
              <w:rPr>
                <w:rFonts w:ascii="Arial Narrow" w:hAnsi="Arial Narrow" w:cs="Arial"/>
                <w:lang w:val="es-ES" w:eastAsia="es-ES"/>
              </w:rPr>
              <w:t>20</w:t>
            </w:r>
            <w:r>
              <w:rPr>
                <w:rFonts w:ascii="Arial Narrow" w:hAnsi="Arial Narrow" w:cs="Arial"/>
                <w:lang w:val="es-ES" w:eastAsia="es-ES"/>
              </w:rPr>
              <w:t>09</w:t>
            </w:r>
          </w:p>
        </w:tc>
        <w:tc>
          <w:tcPr>
            <w:tcW w:w="2118" w:type="dxa"/>
            <w:tcBorders>
              <w:bottom w:val="single" w:sz="2" w:space="0" w:color="auto"/>
            </w:tcBorders>
            <w:shd w:val="clear" w:color="auto" w:fill="auto"/>
            <w:noWrap/>
            <w:vAlign w:val="center"/>
          </w:tcPr>
          <w:p w:rsidR="001C28AC" w:rsidRPr="00686928" w:rsidRDefault="001C28AC" w:rsidP="0095536A">
            <w:pPr>
              <w:spacing w:after="0"/>
              <w:ind w:firstLine="0"/>
              <w:jc w:val="left"/>
              <w:rPr>
                <w:rFonts w:ascii="Arial Narrow" w:hAnsi="Arial Narrow" w:cs="Arial"/>
                <w:lang w:val="es-ES" w:eastAsia="es-ES"/>
              </w:rPr>
            </w:pPr>
            <w:r w:rsidRPr="00686928">
              <w:rPr>
                <w:rFonts w:ascii="Arial Narrow" w:hAnsi="Arial Narrow" w:cs="Arial"/>
                <w:lang w:val="es-ES" w:eastAsia="es-ES"/>
              </w:rPr>
              <w:t>Transmisiones patrimoniales y AJD</w:t>
            </w:r>
          </w:p>
        </w:tc>
        <w:tc>
          <w:tcPr>
            <w:tcW w:w="5483" w:type="dxa"/>
            <w:tcBorders>
              <w:bottom w:val="single" w:sz="2" w:space="0" w:color="auto"/>
            </w:tcBorders>
            <w:shd w:val="clear" w:color="auto" w:fill="auto"/>
            <w:noWrap/>
            <w:vAlign w:val="center"/>
          </w:tcPr>
          <w:p w:rsidR="001C28AC" w:rsidRPr="00686928" w:rsidRDefault="001C28AC" w:rsidP="0095536A">
            <w:pPr>
              <w:spacing w:after="0"/>
              <w:ind w:firstLine="0"/>
              <w:jc w:val="left"/>
              <w:rPr>
                <w:rFonts w:ascii="Arial Narrow" w:hAnsi="Arial Narrow" w:cs="Arial"/>
                <w:lang w:val="es-ES" w:eastAsia="es-ES"/>
              </w:rPr>
            </w:pPr>
            <w:r w:rsidRPr="00686928">
              <w:rPr>
                <w:rFonts w:ascii="Arial Narrow" w:hAnsi="Arial Narrow" w:cs="Arial"/>
                <w:lang w:val="es-ES" w:eastAsia="es-ES"/>
              </w:rPr>
              <w:t xml:space="preserve">Escritura constitución de prenda sin desplazamiento por 240.000 €. </w:t>
            </w:r>
          </w:p>
          <w:p w:rsidR="001C28AC" w:rsidRPr="00686928" w:rsidRDefault="001C28AC" w:rsidP="0095536A">
            <w:pPr>
              <w:spacing w:after="0"/>
              <w:ind w:firstLine="0"/>
              <w:jc w:val="left"/>
              <w:rPr>
                <w:rFonts w:ascii="Arial Narrow" w:hAnsi="Arial Narrow" w:cs="Arial"/>
                <w:lang w:val="es-ES" w:eastAsia="es-ES"/>
              </w:rPr>
            </w:pPr>
            <w:r w:rsidRPr="00686928">
              <w:rPr>
                <w:rFonts w:ascii="Arial Narrow" w:hAnsi="Arial Narrow" w:cs="Arial"/>
                <w:lang w:val="es-ES" w:eastAsia="es-ES"/>
              </w:rPr>
              <w:t>No aportan escritura</w:t>
            </w:r>
          </w:p>
        </w:tc>
      </w:tr>
      <w:tr w:rsidR="001C28AC" w:rsidRPr="00686928" w:rsidTr="00B34638">
        <w:trPr>
          <w:trHeight w:val="284"/>
          <w:jc w:val="center"/>
        </w:trPr>
        <w:tc>
          <w:tcPr>
            <w:tcW w:w="1196" w:type="dxa"/>
            <w:tcBorders>
              <w:bottom w:val="single" w:sz="2" w:space="0" w:color="auto"/>
            </w:tcBorders>
            <w:shd w:val="clear" w:color="auto" w:fill="auto"/>
            <w:noWrap/>
            <w:vAlign w:val="center"/>
          </w:tcPr>
          <w:p w:rsidR="001C28AC" w:rsidRPr="00686928" w:rsidRDefault="001C28AC" w:rsidP="0095536A">
            <w:pPr>
              <w:spacing w:after="0"/>
              <w:ind w:firstLine="0"/>
              <w:jc w:val="left"/>
              <w:rPr>
                <w:rFonts w:ascii="Arial Narrow" w:hAnsi="Arial Narrow" w:cs="Arial"/>
                <w:lang w:val="es-ES" w:eastAsia="es-ES"/>
              </w:rPr>
            </w:pPr>
            <w:r w:rsidRPr="00686928">
              <w:rPr>
                <w:rFonts w:ascii="Arial Narrow" w:hAnsi="Arial Narrow" w:cs="Arial"/>
                <w:lang w:val="es-ES" w:eastAsia="es-ES"/>
              </w:rPr>
              <w:t>2013</w:t>
            </w:r>
          </w:p>
        </w:tc>
        <w:tc>
          <w:tcPr>
            <w:tcW w:w="2118" w:type="dxa"/>
            <w:tcBorders>
              <w:bottom w:val="single" w:sz="2" w:space="0" w:color="auto"/>
            </w:tcBorders>
            <w:shd w:val="clear" w:color="auto" w:fill="auto"/>
            <w:noWrap/>
            <w:vAlign w:val="center"/>
          </w:tcPr>
          <w:p w:rsidR="001C28AC" w:rsidRPr="00686928" w:rsidRDefault="001C28AC" w:rsidP="0095536A">
            <w:pPr>
              <w:spacing w:after="0"/>
              <w:ind w:firstLine="0"/>
              <w:jc w:val="left"/>
              <w:rPr>
                <w:rFonts w:ascii="Arial Narrow" w:hAnsi="Arial Narrow" w:cs="Arial"/>
                <w:lang w:val="es-ES" w:eastAsia="es-ES"/>
              </w:rPr>
            </w:pPr>
            <w:r w:rsidRPr="00686928">
              <w:rPr>
                <w:rFonts w:ascii="Arial Narrow" w:hAnsi="Arial Narrow" w:cs="Arial"/>
                <w:lang w:val="es-ES" w:eastAsia="es-ES"/>
              </w:rPr>
              <w:t>IVA</w:t>
            </w:r>
          </w:p>
        </w:tc>
        <w:tc>
          <w:tcPr>
            <w:tcW w:w="5483" w:type="dxa"/>
            <w:tcBorders>
              <w:bottom w:val="single" w:sz="2" w:space="0" w:color="auto"/>
            </w:tcBorders>
            <w:shd w:val="clear" w:color="auto" w:fill="auto"/>
            <w:noWrap/>
            <w:vAlign w:val="center"/>
          </w:tcPr>
          <w:p w:rsidR="001C28AC" w:rsidRPr="00686928" w:rsidRDefault="001C28AC" w:rsidP="0095536A">
            <w:pPr>
              <w:spacing w:after="0"/>
              <w:ind w:firstLine="0"/>
              <w:jc w:val="left"/>
              <w:rPr>
                <w:rFonts w:ascii="Arial Narrow" w:hAnsi="Arial Narrow" w:cs="Arial"/>
                <w:lang w:val="es-ES" w:eastAsia="es-ES"/>
              </w:rPr>
            </w:pPr>
            <w:r w:rsidRPr="00686928">
              <w:rPr>
                <w:rFonts w:ascii="Arial Narrow" w:hAnsi="Arial Narrow" w:cs="Arial"/>
                <w:lang w:val="es-ES" w:eastAsia="es-ES"/>
              </w:rPr>
              <w:t xml:space="preserve">Libros de facturas emitidas, recibidas </w:t>
            </w:r>
            <w:r>
              <w:rPr>
                <w:rFonts w:ascii="Arial Narrow" w:hAnsi="Arial Narrow" w:cs="Arial"/>
                <w:lang w:val="es-ES" w:eastAsia="es-ES"/>
              </w:rPr>
              <w:t>y</w:t>
            </w:r>
            <w:r w:rsidRPr="00686928">
              <w:rPr>
                <w:rFonts w:ascii="Arial Narrow" w:hAnsi="Arial Narrow" w:cs="Arial"/>
                <w:lang w:val="es-ES" w:eastAsia="es-ES"/>
              </w:rPr>
              <w:t xml:space="preserve"> bienes</w:t>
            </w:r>
            <w:r>
              <w:rPr>
                <w:rFonts w:ascii="Arial Narrow" w:hAnsi="Arial Narrow" w:cs="Arial"/>
                <w:lang w:val="es-ES" w:eastAsia="es-ES"/>
              </w:rPr>
              <w:t xml:space="preserve"> de inversión</w:t>
            </w:r>
            <w:r w:rsidRPr="00686928">
              <w:rPr>
                <w:rFonts w:ascii="Arial Narrow" w:hAnsi="Arial Narrow" w:cs="Arial"/>
                <w:lang w:val="es-ES" w:eastAsia="es-ES"/>
              </w:rPr>
              <w:t>.</w:t>
            </w:r>
          </w:p>
          <w:p w:rsidR="001C28AC" w:rsidRPr="00686928" w:rsidRDefault="001C28AC" w:rsidP="0095536A">
            <w:pPr>
              <w:spacing w:after="0"/>
              <w:ind w:firstLine="0"/>
              <w:jc w:val="left"/>
              <w:rPr>
                <w:rFonts w:ascii="Arial Narrow" w:hAnsi="Arial Narrow" w:cs="Arial"/>
                <w:lang w:val="es-ES" w:eastAsia="es-ES"/>
              </w:rPr>
            </w:pPr>
            <w:r w:rsidRPr="00686928">
              <w:rPr>
                <w:rFonts w:ascii="Arial Narrow" w:hAnsi="Arial Narrow" w:cs="Arial"/>
                <w:lang w:val="es-ES" w:eastAsia="es-ES"/>
              </w:rPr>
              <w:t>Acusado el 23/10/2013. No responden</w:t>
            </w:r>
          </w:p>
        </w:tc>
      </w:tr>
      <w:tr w:rsidR="001C28AC" w:rsidRPr="00686928" w:rsidTr="00B34638">
        <w:trPr>
          <w:trHeight w:val="284"/>
          <w:jc w:val="center"/>
        </w:trPr>
        <w:tc>
          <w:tcPr>
            <w:tcW w:w="1196" w:type="dxa"/>
            <w:shd w:val="clear" w:color="auto" w:fill="auto"/>
            <w:noWrap/>
            <w:vAlign w:val="center"/>
          </w:tcPr>
          <w:p w:rsidR="001C28AC" w:rsidRPr="00686928" w:rsidRDefault="001C28AC" w:rsidP="0095536A">
            <w:pPr>
              <w:spacing w:after="0"/>
              <w:ind w:firstLine="0"/>
              <w:jc w:val="left"/>
              <w:rPr>
                <w:rFonts w:ascii="Arial Narrow" w:hAnsi="Arial Narrow" w:cs="Arial"/>
                <w:lang w:val="es-ES" w:eastAsia="es-ES"/>
              </w:rPr>
            </w:pPr>
            <w:r w:rsidRPr="00686928">
              <w:rPr>
                <w:rFonts w:ascii="Arial Narrow" w:hAnsi="Arial Narrow" w:cs="Arial"/>
                <w:lang w:val="es-ES" w:eastAsia="es-ES"/>
              </w:rPr>
              <w:t>2013</w:t>
            </w:r>
          </w:p>
        </w:tc>
        <w:tc>
          <w:tcPr>
            <w:tcW w:w="2118" w:type="dxa"/>
            <w:shd w:val="clear" w:color="auto" w:fill="auto"/>
            <w:noWrap/>
            <w:vAlign w:val="center"/>
          </w:tcPr>
          <w:p w:rsidR="001C28AC" w:rsidRPr="00686928" w:rsidRDefault="001C28AC" w:rsidP="0095536A">
            <w:pPr>
              <w:spacing w:after="0"/>
              <w:ind w:firstLine="0"/>
              <w:jc w:val="left"/>
              <w:rPr>
                <w:rFonts w:ascii="Arial Narrow" w:hAnsi="Arial Narrow" w:cs="Arial"/>
                <w:lang w:val="es-ES" w:eastAsia="es-ES"/>
              </w:rPr>
            </w:pPr>
            <w:r w:rsidRPr="00686928">
              <w:rPr>
                <w:rFonts w:ascii="Arial Narrow" w:hAnsi="Arial Narrow" w:cs="Arial"/>
                <w:lang w:val="es-ES" w:eastAsia="es-ES"/>
              </w:rPr>
              <w:t>IVA</w:t>
            </w:r>
          </w:p>
        </w:tc>
        <w:tc>
          <w:tcPr>
            <w:tcW w:w="5483" w:type="dxa"/>
            <w:shd w:val="clear" w:color="auto" w:fill="auto"/>
            <w:noWrap/>
            <w:vAlign w:val="center"/>
          </w:tcPr>
          <w:p w:rsidR="001C28AC" w:rsidRPr="00686928" w:rsidRDefault="001C28AC" w:rsidP="0095536A">
            <w:pPr>
              <w:spacing w:after="0"/>
              <w:ind w:firstLine="0"/>
              <w:jc w:val="left"/>
              <w:rPr>
                <w:rFonts w:ascii="Arial Narrow" w:hAnsi="Arial Narrow" w:cs="Arial"/>
                <w:lang w:val="es-ES" w:eastAsia="es-ES"/>
              </w:rPr>
            </w:pPr>
            <w:r w:rsidRPr="00686928">
              <w:rPr>
                <w:rFonts w:ascii="Arial Narrow" w:hAnsi="Arial Narrow" w:cs="Arial"/>
                <w:lang w:val="es-ES" w:eastAsia="es-ES"/>
              </w:rPr>
              <w:t>Libro facturas recibidas de 2012. Acusado el 17/01/2014. No responden</w:t>
            </w:r>
          </w:p>
        </w:tc>
      </w:tr>
    </w:tbl>
    <w:p w:rsidR="001C28AC" w:rsidRDefault="001C28AC" w:rsidP="001A76F5">
      <w:pPr>
        <w:pStyle w:val="texto"/>
        <w:tabs>
          <w:tab w:val="clear" w:pos="2835"/>
          <w:tab w:val="clear" w:pos="3969"/>
          <w:tab w:val="clear" w:pos="5103"/>
          <w:tab w:val="clear" w:pos="6237"/>
          <w:tab w:val="clear" w:pos="7371"/>
        </w:tabs>
        <w:spacing w:after="0"/>
      </w:pPr>
    </w:p>
    <w:p w:rsidR="001C28AC" w:rsidRPr="00CB3217" w:rsidRDefault="001C28AC" w:rsidP="00CB3217">
      <w:pPr>
        <w:pStyle w:val="texto"/>
        <w:tabs>
          <w:tab w:val="clear" w:pos="2835"/>
          <w:tab w:val="clear" w:pos="3969"/>
          <w:tab w:val="clear" w:pos="5103"/>
          <w:tab w:val="clear" w:pos="6237"/>
          <w:tab w:val="clear" w:pos="7371"/>
        </w:tabs>
        <w:rPr>
          <w:szCs w:val="26"/>
        </w:rPr>
      </w:pPr>
      <w:r w:rsidRPr="00DD1035">
        <w:rPr>
          <w:szCs w:val="26"/>
        </w:rPr>
        <w:t xml:space="preserve">Como puede apreciarse, prácticamente en todos los ejercicios, constan requerimientos oficiales de la Hacienda Tributaria al </w:t>
      </w:r>
      <w:r w:rsidR="006706E7">
        <w:rPr>
          <w:szCs w:val="26"/>
        </w:rPr>
        <w:t>c</w:t>
      </w:r>
      <w:r w:rsidRPr="00DD1035">
        <w:rPr>
          <w:szCs w:val="26"/>
        </w:rPr>
        <w:t xml:space="preserve">lub con motivo de sus distintos incumplimientos fiscales y se plasmaron en distintas actuaciones por parte de la citada HTN. </w:t>
      </w:r>
    </w:p>
    <w:p w:rsidR="00B00089" w:rsidRPr="00B00089" w:rsidRDefault="001A76F5" w:rsidP="001A76F5">
      <w:pPr>
        <w:pStyle w:val="atitulo3"/>
      </w:pPr>
      <w:r>
        <w:t xml:space="preserve">IV.2.4. </w:t>
      </w:r>
      <w:r w:rsidR="00B00089" w:rsidRPr="00B00089">
        <w:t>Aplazamientos</w:t>
      </w:r>
      <w:r w:rsidR="00A85B47">
        <w:t xml:space="preserve"> y fraccionamientos</w:t>
      </w:r>
    </w:p>
    <w:p w:rsidR="001A76F5" w:rsidRDefault="00231A37" w:rsidP="009641D2">
      <w:pPr>
        <w:pStyle w:val="texto"/>
        <w:tabs>
          <w:tab w:val="clear" w:pos="2835"/>
          <w:tab w:val="clear" w:pos="3969"/>
          <w:tab w:val="clear" w:pos="5103"/>
          <w:tab w:val="clear" w:pos="6237"/>
          <w:tab w:val="clear" w:pos="7371"/>
        </w:tabs>
        <w:rPr>
          <w:b/>
          <w:szCs w:val="26"/>
        </w:rPr>
      </w:pPr>
      <w:r>
        <w:rPr>
          <w:b/>
        </w:rPr>
        <w:t>9</w:t>
      </w:r>
      <w:r w:rsidR="009641D2" w:rsidRPr="00847245">
        <w:rPr>
          <w:b/>
        </w:rPr>
        <w:t>.ª</w:t>
      </w:r>
      <w:r w:rsidR="009641D2">
        <w:rPr>
          <w:szCs w:val="26"/>
        </w:rPr>
        <w:t xml:space="preserve"> </w:t>
      </w:r>
      <w:r w:rsidR="00E43758" w:rsidRPr="00F4123E">
        <w:rPr>
          <w:b/>
          <w:szCs w:val="26"/>
        </w:rPr>
        <w:t>Entre</w:t>
      </w:r>
      <w:r w:rsidR="009641D2" w:rsidRPr="00F4123E">
        <w:rPr>
          <w:b/>
          <w:szCs w:val="26"/>
        </w:rPr>
        <w:t xml:space="preserve"> 2001 </w:t>
      </w:r>
      <w:r w:rsidR="004453B1">
        <w:rPr>
          <w:b/>
          <w:szCs w:val="26"/>
        </w:rPr>
        <w:t>y</w:t>
      </w:r>
      <w:r w:rsidR="009641D2" w:rsidRPr="00F4123E">
        <w:rPr>
          <w:b/>
          <w:szCs w:val="26"/>
        </w:rPr>
        <w:t xml:space="preserve"> 2005</w:t>
      </w:r>
    </w:p>
    <w:p w:rsidR="009641D2" w:rsidRDefault="007528E8" w:rsidP="009641D2">
      <w:pPr>
        <w:pStyle w:val="texto"/>
        <w:tabs>
          <w:tab w:val="clear" w:pos="2835"/>
          <w:tab w:val="clear" w:pos="3969"/>
          <w:tab w:val="clear" w:pos="5103"/>
          <w:tab w:val="clear" w:pos="6237"/>
          <w:tab w:val="clear" w:pos="7371"/>
        </w:tabs>
        <w:rPr>
          <w:szCs w:val="26"/>
        </w:rPr>
      </w:pPr>
      <w:r>
        <w:rPr>
          <w:szCs w:val="26"/>
        </w:rPr>
        <w:t xml:space="preserve">En ese periodo, </w:t>
      </w:r>
      <w:r w:rsidR="009641D2">
        <w:rPr>
          <w:szCs w:val="26"/>
        </w:rPr>
        <w:t xml:space="preserve">no se tramita ningún aplazamiento debido a que, con la concesión del aval </w:t>
      </w:r>
      <w:r w:rsidR="00B34638">
        <w:rPr>
          <w:szCs w:val="26"/>
        </w:rPr>
        <w:t xml:space="preserve">de 18 millones por el Gobierno </w:t>
      </w:r>
      <w:r w:rsidR="009641D2">
        <w:rPr>
          <w:szCs w:val="26"/>
        </w:rPr>
        <w:t>–aprobado por la Ley Foral 1/2003</w:t>
      </w:r>
      <w:r w:rsidR="00CA40CB">
        <w:rPr>
          <w:szCs w:val="26"/>
        </w:rPr>
        <w:t>–</w:t>
      </w:r>
      <w:r w:rsidR="009641D2">
        <w:rPr>
          <w:szCs w:val="26"/>
        </w:rPr>
        <w:t>, y como requisito</w:t>
      </w:r>
      <w:r w:rsidR="0065117C">
        <w:rPr>
          <w:szCs w:val="26"/>
        </w:rPr>
        <w:t xml:space="preserve"> previo</w:t>
      </w:r>
      <w:r w:rsidR="009641D2">
        <w:rPr>
          <w:szCs w:val="26"/>
        </w:rPr>
        <w:t xml:space="preserve"> para su concesión, el </w:t>
      </w:r>
      <w:r w:rsidR="006706E7">
        <w:rPr>
          <w:szCs w:val="26"/>
        </w:rPr>
        <w:t>c</w:t>
      </w:r>
      <w:r w:rsidR="009641D2">
        <w:rPr>
          <w:szCs w:val="26"/>
        </w:rPr>
        <w:t>lub liquidó todas su</w:t>
      </w:r>
      <w:r w:rsidR="000B20F0">
        <w:rPr>
          <w:szCs w:val="26"/>
        </w:rPr>
        <w:t>s</w:t>
      </w:r>
      <w:r w:rsidR="009641D2">
        <w:rPr>
          <w:szCs w:val="26"/>
        </w:rPr>
        <w:t xml:space="preserve"> deudas tributarias incluyendo </w:t>
      </w:r>
      <w:r w:rsidR="00B00089">
        <w:rPr>
          <w:szCs w:val="26"/>
        </w:rPr>
        <w:t>los aplazamientos vigentes</w:t>
      </w:r>
      <w:r w:rsidR="009641D2">
        <w:rPr>
          <w:szCs w:val="26"/>
        </w:rPr>
        <w:t xml:space="preserve">. </w:t>
      </w:r>
    </w:p>
    <w:p w:rsidR="009641D2" w:rsidRDefault="009641D2" w:rsidP="00CA40CB">
      <w:pPr>
        <w:pStyle w:val="texto"/>
        <w:tabs>
          <w:tab w:val="clear" w:pos="2835"/>
          <w:tab w:val="clear" w:pos="3969"/>
          <w:tab w:val="clear" w:pos="5103"/>
          <w:tab w:val="clear" w:pos="6237"/>
          <w:tab w:val="clear" w:pos="7371"/>
        </w:tabs>
        <w:spacing w:after="240"/>
        <w:rPr>
          <w:szCs w:val="26"/>
        </w:rPr>
      </w:pPr>
      <w:r>
        <w:rPr>
          <w:szCs w:val="26"/>
        </w:rPr>
        <w:t xml:space="preserve">Por tanto, a 23 de mayo de 2003, el </w:t>
      </w:r>
      <w:r w:rsidR="00344465">
        <w:rPr>
          <w:szCs w:val="26"/>
        </w:rPr>
        <w:t>c</w:t>
      </w:r>
      <w:r>
        <w:rPr>
          <w:szCs w:val="26"/>
        </w:rPr>
        <w:t xml:space="preserve">lub canceló toda su deuda tributaria </w:t>
      </w:r>
      <w:r w:rsidR="00E43758">
        <w:rPr>
          <w:szCs w:val="26"/>
        </w:rPr>
        <w:t>por un importe de</w:t>
      </w:r>
      <w:r>
        <w:rPr>
          <w:szCs w:val="26"/>
        </w:rPr>
        <w:t xml:space="preserve"> 4,27 millones, de acuerdo con el siguiente detalle:</w:t>
      </w:r>
    </w:p>
    <w:tbl>
      <w:tblPr>
        <w:tblW w:w="8839" w:type="dxa"/>
        <w:jc w:val="center"/>
        <w:tblInd w:w="51" w:type="dxa"/>
        <w:tblCellMar>
          <w:left w:w="70" w:type="dxa"/>
          <w:right w:w="70" w:type="dxa"/>
        </w:tblCellMar>
        <w:tblLook w:val="04A0" w:firstRow="1" w:lastRow="0" w:firstColumn="1" w:lastColumn="0" w:noHBand="0" w:noVBand="1"/>
      </w:tblPr>
      <w:tblGrid>
        <w:gridCol w:w="7194"/>
        <w:gridCol w:w="1645"/>
      </w:tblGrid>
      <w:tr w:rsidR="009641D2" w:rsidRPr="00137ECE" w:rsidTr="00B34638">
        <w:trPr>
          <w:trHeight w:val="300"/>
          <w:jc w:val="center"/>
        </w:trPr>
        <w:tc>
          <w:tcPr>
            <w:tcW w:w="7194" w:type="dxa"/>
            <w:tcBorders>
              <w:top w:val="single" w:sz="4" w:space="0" w:color="auto"/>
              <w:left w:val="nil"/>
              <w:bottom w:val="single" w:sz="4" w:space="0" w:color="auto"/>
              <w:right w:val="nil"/>
            </w:tcBorders>
            <w:shd w:val="clear" w:color="auto" w:fill="8DB3E2" w:themeFill="text2" w:themeFillTint="66"/>
            <w:noWrap/>
            <w:vAlign w:val="center"/>
          </w:tcPr>
          <w:p w:rsidR="009641D2" w:rsidRPr="00137ECE" w:rsidRDefault="009641D2" w:rsidP="00F067B5">
            <w:pPr>
              <w:pStyle w:val="cuadroCabe"/>
            </w:pPr>
            <w:r>
              <w:t>Impuesto</w:t>
            </w:r>
          </w:p>
        </w:tc>
        <w:tc>
          <w:tcPr>
            <w:tcW w:w="1645" w:type="dxa"/>
            <w:tcBorders>
              <w:top w:val="single" w:sz="4" w:space="0" w:color="auto"/>
              <w:left w:val="nil"/>
              <w:bottom w:val="single" w:sz="4" w:space="0" w:color="auto"/>
              <w:right w:val="nil"/>
            </w:tcBorders>
            <w:shd w:val="clear" w:color="auto" w:fill="8DB3E2" w:themeFill="text2" w:themeFillTint="66"/>
            <w:noWrap/>
            <w:vAlign w:val="center"/>
          </w:tcPr>
          <w:p w:rsidR="009641D2" w:rsidRPr="00137ECE" w:rsidRDefault="009641D2" w:rsidP="00CA40CB">
            <w:pPr>
              <w:pStyle w:val="cuadroCabe"/>
              <w:jc w:val="right"/>
            </w:pPr>
            <w:r>
              <w:t>Importe</w:t>
            </w:r>
          </w:p>
        </w:tc>
      </w:tr>
      <w:tr w:rsidR="009641D2" w:rsidRPr="00137ECE" w:rsidTr="00B34638">
        <w:trPr>
          <w:trHeight w:val="300"/>
          <w:jc w:val="center"/>
        </w:trPr>
        <w:tc>
          <w:tcPr>
            <w:tcW w:w="7194" w:type="dxa"/>
            <w:tcBorders>
              <w:top w:val="single" w:sz="4" w:space="0" w:color="auto"/>
              <w:bottom w:val="single" w:sz="2" w:space="0" w:color="auto"/>
            </w:tcBorders>
            <w:noWrap/>
            <w:vAlign w:val="center"/>
          </w:tcPr>
          <w:p w:rsidR="009641D2" w:rsidRPr="00137ECE" w:rsidRDefault="009641D2" w:rsidP="00F067B5">
            <w:pPr>
              <w:pStyle w:val="cuatexto"/>
            </w:pPr>
            <w:r>
              <w:t>Retenciones de trabajo (2001 a 2003)</w:t>
            </w:r>
          </w:p>
        </w:tc>
        <w:tc>
          <w:tcPr>
            <w:tcW w:w="1645" w:type="dxa"/>
            <w:tcBorders>
              <w:top w:val="single" w:sz="4" w:space="0" w:color="auto"/>
              <w:bottom w:val="single" w:sz="2" w:space="0" w:color="auto"/>
            </w:tcBorders>
            <w:noWrap/>
            <w:vAlign w:val="center"/>
          </w:tcPr>
          <w:p w:rsidR="009641D2" w:rsidRPr="00137ECE" w:rsidRDefault="009641D2" w:rsidP="00CA40CB">
            <w:pPr>
              <w:pStyle w:val="cuatexto"/>
              <w:jc w:val="right"/>
            </w:pPr>
            <w:r>
              <w:t>1.546.723</w:t>
            </w:r>
          </w:p>
        </w:tc>
      </w:tr>
      <w:tr w:rsidR="009641D2" w:rsidRPr="00137ECE" w:rsidTr="00B34638">
        <w:trPr>
          <w:trHeight w:val="300"/>
          <w:jc w:val="center"/>
        </w:trPr>
        <w:tc>
          <w:tcPr>
            <w:tcW w:w="7194" w:type="dxa"/>
            <w:tcBorders>
              <w:top w:val="single" w:sz="2" w:space="0" w:color="auto"/>
              <w:bottom w:val="single" w:sz="2" w:space="0" w:color="auto"/>
            </w:tcBorders>
            <w:noWrap/>
            <w:vAlign w:val="center"/>
          </w:tcPr>
          <w:p w:rsidR="009641D2" w:rsidRPr="00137ECE" w:rsidRDefault="009641D2" w:rsidP="00F067B5">
            <w:pPr>
              <w:pStyle w:val="cuatexto"/>
            </w:pPr>
            <w:r>
              <w:t>IVA (2002 y 2003)</w:t>
            </w:r>
          </w:p>
        </w:tc>
        <w:tc>
          <w:tcPr>
            <w:tcW w:w="1645" w:type="dxa"/>
            <w:tcBorders>
              <w:top w:val="single" w:sz="2" w:space="0" w:color="auto"/>
              <w:bottom w:val="single" w:sz="2" w:space="0" w:color="auto"/>
            </w:tcBorders>
            <w:noWrap/>
            <w:vAlign w:val="center"/>
          </w:tcPr>
          <w:p w:rsidR="009641D2" w:rsidRPr="00137ECE" w:rsidRDefault="009641D2" w:rsidP="00CA40CB">
            <w:pPr>
              <w:pStyle w:val="cuatexto"/>
              <w:jc w:val="right"/>
            </w:pPr>
            <w:r>
              <w:t>987.079</w:t>
            </w:r>
          </w:p>
        </w:tc>
      </w:tr>
      <w:tr w:rsidR="009641D2" w:rsidRPr="00137ECE" w:rsidTr="00B34638">
        <w:trPr>
          <w:trHeight w:val="300"/>
          <w:jc w:val="center"/>
        </w:trPr>
        <w:tc>
          <w:tcPr>
            <w:tcW w:w="7194" w:type="dxa"/>
            <w:tcBorders>
              <w:top w:val="single" w:sz="2" w:space="0" w:color="auto"/>
              <w:bottom w:val="single" w:sz="2" w:space="0" w:color="auto"/>
            </w:tcBorders>
            <w:noWrap/>
            <w:vAlign w:val="center"/>
          </w:tcPr>
          <w:p w:rsidR="009641D2" w:rsidRPr="00137ECE" w:rsidRDefault="009641D2" w:rsidP="00F067B5">
            <w:pPr>
              <w:pStyle w:val="cuatexto"/>
            </w:pPr>
            <w:r>
              <w:t>Otros impuestos (2002 y 2003)</w:t>
            </w:r>
          </w:p>
        </w:tc>
        <w:tc>
          <w:tcPr>
            <w:tcW w:w="1645" w:type="dxa"/>
            <w:tcBorders>
              <w:top w:val="single" w:sz="2" w:space="0" w:color="auto"/>
              <w:bottom w:val="single" w:sz="2" w:space="0" w:color="auto"/>
            </w:tcBorders>
            <w:noWrap/>
            <w:vAlign w:val="center"/>
          </w:tcPr>
          <w:p w:rsidR="009641D2" w:rsidRPr="00137ECE" w:rsidRDefault="009641D2" w:rsidP="00CA40CB">
            <w:pPr>
              <w:pStyle w:val="cuatexto"/>
              <w:jc w:val="right"/>
            </w:pPr>
            <w:r>
              <w:t>47.174</w:t>
            </w:r>
          </w:p>
        </w:tc>
      </w:tr>
      <w:tr w:rsidR="009641D2" w:rsidRPr="00137ECE" w:rsidTr="00B34638">
        <w:trPr>
          <w:trHeight w:val="300"/>
          <w:jc w:val="center"/>
        </w:trPr>
        <w:tc>
          <w:tcPr>
            <w:tcW w:w="7194" w:type="dxa"/>
            <w:tcBorders>
              <w:top w:val="single" w:sz="2" w:space="0" w:color="auto"/>
              <w:bottom w:val="single" w:sz="4" w:space="0" w:color="auto"/>
            </w:tcBorders>
            <w:noWrap/>
            <w:vAlign w:val="center"/>
          </w:tcPr>
          <w:p w:rsidR="009641D2" w:rsidRPr="00137ECE" w:rsidRDefault="009641D2" w:rsidP="009F06B4">
            <w:pPr>
              <w:pStyle w:val="cuatexto"/>
            </w:pPr>
            <w:r>
              <w:t xml:space="preserve">Expedientes de </w:t>
            </w:r>
            <w:r w:rsidR="009F06B4">
              <w:t>fraccionamiento</w:t>
            </w:r>
          </w:p>
        </w:tc>
        <w:tc>
          <w:tcPr>
            <w:tcW w:w="1645" w:type="dxa"/>
            <w:tcBorders>
              <w:top w:val="single" w:sz="2" w:space="0" w:color="auto"/>
              <w:bottom w:val="single" w:sz="4" w:space="0" w:color="auto"/>
            </w:tcBorders>
            <w:noWrap/>
            <w:vAlign w:val="center"/>
          </w:tcPr>
          <w:p w:rsidR="009641D2" w:rsidRPr="00137ECE" w:rsidRDefault="009641D2" w:rsidP="00CA40CB">
            <w:pPr>
              <w:pStyle w:val="cuatexto"/>
              <w:jc w:val="right"/>
            </w:pPr>
            <w:r>
              <w:t>1.686.822</w:t>
            </w:r>
          </w:p>
        </w:tc>
      </w:tr>
      <w:tr w:rsidR="009641D2" w:rsidRPr="00137ECE" w:rsidTr="00B34638">
        <w:trPr>
          <w:trHeight w:val="300"/>
          <w:jc w:val="center"/>
        </w:trPr>
        <w:tc>
          <w:tcPr>
            <w:tcW w:w="7194" w:type="dxa"/>
            <w:tcBorders>
              <w:top w:val="single" w:sz="4" w:space="0" w:color="auto"/>
              <w:bottom w:val="single" w:sz="4" w:space="0" w:color="auto"/>
            </w:tcBorders>
            <w:shd w:val="clear" w:color="auto" w:fill="8DB3E2" w:themeFill="text2" w:themeFillTint="66"/>
            <w:noWrap/>
            <w:vAlign w:val="center"/>
          </w:tcPr>
          <w:p w:rsidR="009641D2" w:rsidRPr="00137ECE" w:rsidRDefault="009641D2" w:rsidP="00F067B5">
            <w:pPr>
              <w:pStyle w:val="cuadroCabe"/>
            </w:pPr>
            <w:r>
              <w:t xml:space="preserve">Total cancelado </w:t>
            </w:r>
            <w:r w:rsidR="00E43758">
              <w:t xml:space="preserve">a </w:t>
            </w:r>
            <w:r>
              <w:t>23 de mayo 2003</w:t>
            </w:r>
          </w:p>
        </w:tc>
        <w:tc>
          <w:tcPr>
            <w:tcW w:w="1645" w:type="dxa"/>
            <w:tcBorders>
              <w:top w:val="single" w:sz="4" w:space="0" w:color="auto"/>
              <w:bottom w:val="single" w:sz="4" w:space="0" w:color="auto"/>
            </w:tcBorders>
            <w:shd w:val="clear" w:color="auto" w:fill="8DB3E2" w:themeFill="text2" w:themeFillTint="66"/>
            <w:noWrap/>
            <w:vAlign w:val="center"/>
          </w:tcPr>
          <w:p w:rsidR="009641D2" w:rsidRPr="00137ECE" w:rsidRDefault="009641D2" w:rsidP="00CA40CB">
            <w:pPr>
              <w:pStyle w:val="cuadroCabe"/>
              <w:jc w:val="right"/>
            </w:pPr>
            <w:r>
              <w:t>4.267.799</w:t>
            </w:r>
          </w:p>
        </w:tc>
      </w:tr>
    </w:tbl>
    <w:p w:rsidR="009641D2" w:rsidRDefault="009641D2" w:rsidP="00CA40CB">
      <w:pPr>
        <w:pStyle w:val="texto"/>
        <w:tabs>
          <w:tab w:val="clear" w:pos="2835"/>
          <w:tab w:val="clear" w:pos="3969"/>
          <w:tab w:val="clear" w:pos="5103"/>
          <w:tab w:val="clear" w:pos="6237"/>
          <w:tab w:val="clear" w:pos="7371"/>
        </w:tabs>
        <w:spacing w:after="0"/>
        <w:ind w:firstLine="0"/>
        <w:rPr>
          <w:szCs w:val="26"/>
        </w:rPr>
      </w:pPr>
    </w:p>
    <w:p w:rsidR="009641D2" w:rsidRDefault="009641D2" w:rsidP="009641D2">
      <w:pPr>
        <w:pStyle w:val="texto"/>
        <w:tabs>
          <w:tab w:val="clear" w:pos="2835"/>
          <w:tab w:val="clear" w:pos="3969"/>
          <w:tab w:val="clear" w:pos="5103"/>
          <w:tab w:val="clear" w:pos="6237"/>
          <w:tab w:val="clear" w:pos="7371"/>
        </w:tabs>
        <w:rPr>
          <w:szCs w:val="26"/>
        </w:rPr>
      </w:pPr>
      <w:r>
        <w:rPr>
          <w:szCs w:val="26"/>
        </w:rPr>
        <w:t xml:space="preserve">Los </w:t>
      </w:r>
      <w:r w:rsidR="00E43758">
        <w:rPr>
          <w:szCs w:val="26"/>
        </w:rPr>
        <w:t>citados</w:t>
      </w:r>
      <w:r>
        <w:rPr>
          <w:szCs w:val="26"/>
        </w:rPr>
        <w:t xml:space="preserve"> expedientes de </w:t>
      </w:r>
      <w:r w:rsidR="009F06B4">
        <w:rPr>
          <w:szCs w:val="26"/>
        </w:rPr>
        <w:t>fraccionamiento</w:t>
      </w:r>
      <w:r>
        <w:rPr>
          <w:szCs w:val="26"/>
        </w:rPr>
        <w:t xml:space="preserve"> corresponden a deuda tributaria devengada en los ejercicios de 1999 y de 2000.</w:t>
      </w:r>
    </w:p>
    <w:p w:rsidR="00F3083F" w:rsidRDefault="00F3083F" w:rsidP="009641D2">
      <w:pPr>
        <w:pStyle w:val="texto"/>
        <w:tabs>
          <w:tab w:val="clear" w:pos="2835"/>
          <w:tab w:val="clear" w:pos="3969"/>
          <w:tab w:val="clear" w:pos="5103"/>
          <w:tab w:val="clear" w:pos="6237"/>
          <w:tab w:val="clear" w:pos="7371"/>
        </w:tabs>
        <w:rPr>
          <w:szCs w:val="26"/>
        </w:rPr>
      </w:pPr>
      <w:r>
        <w:rPr>
          <w:szCs w:val="26"/>
        </w:rPr>
        <w:t xml:space="preserve">A pesar de la operación anterior, a 31 de diciembre de 2003, el </w:t>
      </w:r>
      <w:r w:rsidR="00344465">
        <w:rPr>
          <w:szCs w:val="26"/>
        </w:rPr>
        <w:t>c</w:t>
      </w:r>
      <w:r>
        <w:rPr>
          <w:szCs w:val="26"/>
        </w:rPr>
        <w:t>lub ya presenta una deuda tributaria de 0,82 millones de principal que se traduce en 1,01 millones con intereses y recargos de apremio</w:t>
      </w:r>
      <w:r w:rsidR="0066091C">
        <w:rPr>
          <w:szCs w:val="26"/>
        </w:rPr>
        <w:t>;</w:t>
      </w:r>
      <w:r>
        <w:rPr>
          <w:szCs w:val="26"/>
        </w:rPr>
        <w:t xml:space="preserve"> </w:t>
      </w:r>
      <w:r w:rsidR="0066091C">
        <w:rPr>
          <w:szCs w:val="26"/>
        </w:rPr>
        <w:t>e</w:t>
      </w:r>
      <w:r>
        <w:rPr>
          <w:szCs w:val="26"/>
        </w:rPr>
        <w:t>sta deuda corresponde a retenciones de trabajo de junio de 2003.</w:t>
      </w:r>
      <w:r w:rsidR="0066091C">
        <w:rPr>
          <w:szCs w:val="26"/>
        </w:rPr>
        <w:t xml:space="preserve"> Además no presenta declaración mensual de IVA de los últimos seis meses.</w:t>
      </w:r>
    </w:p>
    <w:p w:rsidR="00F3083F" w:rsidRDefault="0066091C" w:rsidP="0066091C">
      <w:pPr>
        <w:pStyle w:val="texto"/>
        <w:tabs>
          <w:tab w:val="clear" w:pos="2835"/>
          <w:tab w:val="clear" w:pos="3969"/>
          <w:tab w:val="clear" w:pos="5103"/>
          <w:tab w:val="clear" w:pos="6237"/>
          <w:tab w:val="clear" w:pos="7371"/>
        </w:tabs>
        <w:rPr>
          <w:szCs w:val="26"/>
        </w:rPr>
      </w:pPr>
      <w:r>
        <w:rPr>
          <w:szCs w:val="26"/>
        </w:rPr>
        <w:t xml:space="preserve">En 2004, si bien su saldo contable de </w:t>
      </w:r>
      <w:r w:rsidR="00927C98">
        <w:rPr>
          <w:szCs w:val="26"/>
        </w:rPr>
        <w:t xml:space="preserve">la </w:t>
      </w:r>
      <w:r>
        <w:rPr>
          <w:szCs w:val="26"/>
        </w:rPr>
        <w:t>deuda tributaria es cero, no presentó declaración mensual de IVA de diez meses.</w:t>
      </w:r>
    </w:p>
    <w:p w:rsidR="0066091C" w:rsidRDefault="0066091C" w:rsidP="0066091C">
      <w:pPr>
        <w:pStyle w:val="texto"/>
        <w:tabs>
          <w:tab w:val="clear" w:pos="2835"/>
          <w:tab w:val="clear" w:pos="3969"/>
          <w:tab w:val="clear" w:pos="5103"/>
          <w:tab w:val="clear" w:pos="6237"/>
          <w:tab w:val="clear" w:pos="7371"/>
        </w:tabs>
        <w:rPr>
          <w:szCs w:val="26"/>
        </w:rPr>
      </w:pPr>
      <w:r>
        <w:rPr>
          <w:szCs w:val="26"/>
        </w:rPr>
        <w:t>La no presentación de las anteriores declaraciones de IVA generaron en 2009</w:t>
      </w:r>
      <w:r w:rsidR="00A86761">
        <w:rPr>
          <w:szCs w:val="26"/>
        </w:rPr>
        <w:t xml:space="preserve">, </w:t>
      </w:r>
      <w:r w:rsidR="000B1805">
        <w:rPr>
          <w:szCs w:val="26"/>
        </w:rPr>
        <w:t>entre otros efectos,</w:t>
      </w:r>
      <w:r>
        <w:rPr>
          <w:szCs w:val="26"/>
        </w:rPr>
        <w:t xml:space="preserve"> los correspondientes recargos por extemporánea</w:t>
      </w:r>
      <w:r w:rsidR="000B1805">
        <w:rPr>
          <w:szCs w:val="26"/>
        </w:rPr>
        <w:t>.</w:t>
      </w:r>
    </w:p>
    <w:p w:rsidR="00CA40CB" w:rsidRPr="00EF715B" w:rsidRDefault="00CA40CB" w:rsidP="0066091C">
      <w:pPr>
        <w:pStyle w:val="texto"/>
        <w:tabs>
          <w:tab w:val="clear" w:pos="2835"/>
          <w:tab w:val="clear" w:pos="3969"/>
          <w:tab w:val="clear" w:pos="5103"/>
          <w:tab w:val="clear" w:pos="6237"/>
          <w:tab w:val="clear" w:pos="7371"/>
        </w:tabs>
        <w:rPr>
          <w:szCs w:val="26"/>
        </w:rPr>
      </w:pPr>
    </w:p>
    <w:p w:rsidR="00CA40CB" w:rsidRDefault="00231A37" w:rsidP="009C493E">
      <w:pPr>
        <w:pStyle w:val="texto"/>
        <w:tabs>
          <w:tab w:val="clear" w:pos="2835"/>
          <w:tab w:val="clear" w:pos="3969"/>
          <w:tab w:val="clear" w:pos="5103"/>
          <w:tab w:val="clear" w:pos="6237"/>
          <w:tab w:val="clear" w:pos="7371"/>
        </w:tabs>
        <w:rPr>
          <w:szCs w:val="26"/>
        </w:rPr>
      </w:pPr>
      <w:r>
        <w:rPr>
          <w:b/>
        </w:rPr>
        <w:t>10</w:t>
      </w:r>
      <w:r w:rsidR="00EF715B" w:rsidRPr="00EF715B">
        <w:rPr>
          <w:b/>
        </w:rPr>
        <w:t>.ª</w:t>
      </w:r>
      <w:r w:rsidR="00EF715B">
        <w:t xml:space="preserve"> </w:t>
      </w:r>
      <w:r w:rsidR="009641D2" w:rsidRPr="00F4123E">
        <w:rPr>
          <w:b/>
        </w:rPr>
        <w:t>D</w:t>
      </w:r>
      <w:r w:rsidR="007528E8">
        <w:rPr>
          <w:b/>
        </w:rPr>
        <w:t>e</w:t>
      </w:r>
      <w:r w:rsidR="009641D2" w:rsidRPr="00F4123E">
        <w:rPr>
          <w:b/>
        </w:rPr>
        <w:t xml:space="preserve"> 2006</w:t>
      </w:r>
      <w:r w:rsidR="007528E8">
        <w:rPr>
          <w:b/>
        </w:rPr>
        <w:t xml:space="preserve"> a 2014</w:t>
      </w:r>
      <w:r w:rsidR="007528E8">
        <w:rPr>
          <w:szCs w:val="26"/>
        </w:rPr>
        <w:t xml:space="preserve"> </w:t>
      </w:r>
    </w:p>
    <w:p w:rsidR="009641D2" w:rsidRDefault="007528E8" w:rsidP="00CA40CB">
      <w:pPr>
        <w:pStyle w:val="texto"/>
        <w:tabs>
          <w:tab w:val="clear" w:pos="2835"/>
          <w:tab w:val="clear" w:pos="3969"/>
          <w:tab w:val="clear" w:pos="5103"/>
          <w:tab w:val="clear" w:pos="6237"/>
          <w:tab w:val="clear" w:pos="7371"/>
        </w:tabs>
        <w:spacing w:after="240"/>
        <w:rPr>
          <w:szCs w:val="26"/>
        </w:rPr>
      </w:pPr>
      <w:r>
        <w:rPr>
          <w:szCs w:val="26"/>
        </w:rPr>
        <w:t xml:space="preserve">En </w:t>
      </w:r>
      <w:r w:rsidR="005E5296">
        <w:rPr>
          <w:szCs w:val="26"/>
        </w:rPr>
        <w:t>este periodo</w:t>
      </w:r>
      <w:r>
        <w:rPr>
          <w:szCs w:val="26"/>
        </w:rPr>
        <w:t xml:space="preserve">, </w:t>
      </w:r>
      <w:r w:rsidR="00CF61D7">
        <w:rPr>
          <w:szCs w:val="26"/>
        </w:rPr>
        <w:t xml:space="preserve">se </w:t>
      </w:r>
      <w:r w:rsidR="00F067B5">
        <w:rPr>
          <w:szCs w:val="26"/>
        </w:rPr>
        <w:t>concedi</w:t>
      </w:r>
      <w:r w:rsidR="00CF61D7">
        <w:rPr>
          <w:szCs w:val="26"/>
        </w:rPr>
        <w:t>eron</w:t>
      </w:r>
      <w:r w:rsidR="00F067B5">
        <w:rPr>
          <w:szCs w:val="26"/>
        </w:rPr>
        <w:t xml:space="preserve"> al </w:t>
      </w:r>
      <w:r w:rsidR="006706E7">
        <w:rPr>
          <w:szCs w:val="26"/>
        </w:rPr>
        <w:t>c</w:t>
      </w:r>
      <w:r w:rsidR="00F067B5">
        <w:rPr>
          <w:szCs w:val="26"/>
        </w:rPr>
        <w:t>lub</w:t>
      </w:r>
      <w:r w:rsidR="002312AF">
        <w:rPr>
          <w:szCs w:val="26"/>
        </w:rPr>
        <w:t>,</w:t>
      </w:r>
      <w:r w:rsidR="00F067B5">
        <w:rPr>
          <w:szCs w:val="26"/>
        </w:rPr>
        <w:t xml:space="preserve"> mediante el oportuno acuerdo del órgano competente</w:t>
      </w:r>
      <w:r w:rsidR="002312AF">
        <w:rPr>
          <w:szCs w:val="26"/>
        </w:rPr>
        <w:t>,</w:t>
      </w:r>
      <w:r w:rsidR="00F067B5">
        <w:rPr>
          <w:szCs w:val="26"/>
        </w:rPr>
        <w:t xml:space="preserve"> un total de s</w:t>
      </w:r>
      <w:r w:rsidR="00DF04B0">
        <w:rPr>
          <w:szCs w:val="26"/>
        </w:rPr>
        <w:t>eis</w:t>
      </w:r>
      <w:r w:rsidR="00F067B5">
        <w:rPr>
          <w:szCs w:val="26"/>
        </w:rPr>
        <w:t xml:space="preserve"> </w:t>
      </w:r>
      <w:r w:rsidR="00DF04B0">
        <w:rPr>
          <w:szCs w:val="26"/>
        </w:rPr>
        <w:t>fraccionamientos y un aplazamiento</w:t>
      </w:r>
      <w:r w:rsidR="00F067B5">
        <w:rPr>
          <w:szCs w:val="26"/>
        </w:rPr>
        <w:t xml:space="preserve"> por importe</w:t>
      </w:r>
      <w:r w:rsidR="007735E1">
        <w:rPr>
          <w:rStyle w:val="Refdenotaalpie"/>
          <w:szCs w:val="26"/>
        </w:rPr>
        <w:footnoteReference w:id="3"/>
      </w:r>
      <w:r w:rsidR="00900D9F">
        <w:rPr>
          <w:szCs w:val="26"/>
        </w:rPr>
        <w:t xml:space="preserve"> de</w:t>
      </w:r>
      <w:r w:rsidR="00F067B5">
        <w:rPr>
          <w:szCs w:val="26"/>
        </w:rPr>
        <w:t xml:space="preserve"> 5</w:t>
      </w:r>
      <w:r w:rsidR="00F63D32">
        <w:rPr>
          <w:szCs w:val="26"/>
        </w:rPr>
        <w:t>1,07</w:t>
      </w:r>
      <w:r w:rsidR="00553A5E">
        <w:rPr>
          <w:szCs w:val="26"/>
        </w:rPr>
        <w:t xml:space="preserve"> millones y se le </w:t>
      </w:r>
      <w:r w:rsidR="00F067B5">
        <w:rPr>
          <w:szCs w:val="26"/>
        </w:rPr>
        <w:t>denega</w:t>
      </w:r>
      <w:r w:rsidR="00553A5E">
        <w:rPr>
          <w:szCs w:val="26"/>
        </w:rPr>
        <w:t>ron</w:t>
      </w:r>
      <w:r w:rsidR="000A244E">
        <w:rPr>
          <w:szCs w:val="26"/>
        </w:rPr>
        <w:t xml:space="preserve"> otros</w:t>
      </w:r>
      <w:r w:rsidR="00F067B5">
        <w:rPr>
          <w:szCs w:val="26"/>
        </w:rPr>
        <w:t xml:space="preserve"> dos por 3,7</w:t>
      </w:r>
      <w:r w:rsidR="00BE1DC7">
        <w:rPr>
          <w:szCs w:val="26"/>
        </w:rPr>
        <w:t>4</w:t>
      </w:r>
      <w:r w:rsidR="00F067B5">
        <w:rPr>
          <w:szCs w:val="26"/>
        </w:rPr>
        <w:t xml:space="preserve"> millones, </w:t>
      </w:r>
      <w:r w:rsidR="002A1F1D">
        <w:rPr>
          <w:szCs w:val="26"/>
        </w:rPr>
        <w:t xml:space="preserve">tal como puede </w:t>
      </w:r>
      <w:r w:rsidR="008748C1">
        <w:rPr>
          <w:szCs w:val="26"/>
        </w:rPr>
        <w:t>observarse</w:t>
      </w:r>
      <w:r w:rsidR="002A1F1D">
        <w:rPr>
          <w:szCs w:val="26"/>
        </w:rPr>
        <w:t xml:space="preserve"> en el cuadro siguiente</w:t>
      </w:r>
      <w:r w:rsidR="00EF715B">
        <w:rPr>
          <w:szCs w:val="26"/>
        </w:rPr>
        <w:t>:</w:t>
      </w:r>
    </w:p>
    <w:tbl>
      <w:tblPr>
        <w:tblW w:w="8748" w:type="dxa"/>
        <w:jc w:val="center"/>
        <w:tblCellMar>
          <w:left w:w="70" w:type="dxa"/>
          <w:right w:w="70" w:type="dxa"/>
        </w:tblCellMar>
        <w:tblLook w:val="04A0" w:firstRow="1" w:lastRow="0" w:firstColumn="1" w:lastColumn="0" w:noHBand="0" w:noVBand="1"/>
      </w:tblPr>
      <w:tblGrid>
        <w:gridCol w:w="1756"/>
        <w:gridCol w:w="2833"/>
        <w:gridCol w:w="1651"/>
        <w:gridCol w:w="1456"/>
        <w:gridCol w:w="1052"/>
      </w:tblGrid>
      <w:tr w:rsidR="00DF04B0" w:rsidRPr="00CA40CB" w:rsidTr="00CA40CB">
        <w:trPr>
          <w:trHeight w:val="255"/>
          <w:jc w:val="center"/>
        </w:trPr>
        <w:tc>
          <w:tcPr>
            <w:tcW w:w="1756" w:type="dxa"/>
            <w:tcBorders>
              <w:top w:val="single" w:sz="4" w:space="0" w:color="auto"/>
              <w:bottom w:val="single" w:sz="4" w:space="0" w:color="auto"/>
            </w:tcBorders>
            <w:shd w:val="clear" w:color="auto" w:fill="8DB3E2" w:themeFill="text2" w:themeFillTint="66"/>
            <w:noWrap/>
            <w:vAlign w:val="center"/>
            <w:hideMark/>
          </w:tcPr>
          <w:p w:rsidR="00B00089" w:rsidRPr="00CA40CB" w:rsidRDefault="00B00089" w:rsidP="00CA40CB">
            <w:pPr>
              <w:pStyle w:val="cuadroCabe"/>
              <w:jc w:val="left"/>
            </w:pPr>
            <w:r w:rsidRPr="00CA40CB">
              <w:t>Fecha Resolución</w:t>
            </w:r>
          </w:p>
        </w:tc>
        <w:tc>
          <w:tcPr>
            <w:tcW w:w="2833" w:type="dxa"/>
            <w:tcBorders>
              <w:top w:val="single" w:sz="4" w:space="0" w:color="auto"/>
              <w:bottom w:val="single" w:sz="4" w:space="0" w:color="auto"/>
            </w:tcBorders>
            <w:shd w:val="clear" w:color="auto" w:fill="8DB3E2" w:themeFill="text2" w:themeFillTint="66"/>
            <w:noWrap/>
            <w:vAlign w:val="center"/>
            <w:hideMark/>
          </w:tcPr>
          <w:p w:rsidR="00B00089" w:rsidRPr="00CA40CB" w:rsidRDefault="00B00089" w:rsidP="00CA40CB">
            <w:pPr>
              <w:pStyle w:val="cuadroCabe"/>
              <w:jc w:val="left"/>
            </w:pPr>
            <w:r w:rsidRPr="00CA40CB">
              <w:t>Resolución</w:t>
            </w:r>
          </w:p>
        </w:tc>
        <w:tc>
          <w:tcPr>
            <w:tcW w:w="1651" w:type="dxa"/>
            <w:tcBorders>
              <w:top w:val="single" w:sz="4" w:space="0" w:color="auto"/>
              <w:bottom w:val="single" w:sz="4" w:space="0" w:color="auto"/>
            </w:tcBorders>
            <w:shd w:val="clear" w:color="auto" w:fill="8DB3E2" w:themeFill="text2" w:themeFillTint="66"/>
            <w:noWrap/>
            <w:vAlign w:val="center"/>
            <w:hideMark/>
          </w:tcPr>
          <w:p w:rsidR="00DF04B0" w:rsidRPr="00CA40CB" w:rsidRDefault="00B00089" w:rsidP="00CA40CB">
            <w:pPr>
              <w:pStyle w:val="cuadroCabe"/>
              <w:jc w:val="left"/>
            </w:pPr>
            <w:r w:rsidRPr="00CA40CB">
              <w:t>Apla</w:t>
            </w:r>
            <w:r w:rsidR="00DF04B0" w:rsidRPr="00CA40CB">
              <w:t>zamiento /</w:t>
            </w:r>
          </w:p>
          <w:p w:rsidR="00B00089" w:rsidRPr="00CA40CB" w:rsidRDefault="00DF04B0" w:rsidP="00CA40CB">
            <w:pPr>
              <w:pStyle w:val="cuadroCabe"/>
              <w:jc w:val="left"/>
            </w:pPr>
            <w:r w:rsidRPr="00CA40CB">
              <w:t>Fraccionamiento</w:t>
            </w:r>
            <w:r w:rsidR="00B00089" w:rsidRPr="00CA40CB">
              <w:t xml:space="preserve"> </w:t>
            </w:r>
          </w:p>
        </w:tc>
        <w:tc>
          <w:tcPr>
            <w:tcW w:w="1456" w:type="dxa"/>
            <w:tcBorders>
              <w:top w:val="single" w:sz="4" w:space="0" w:color="auto"/>
              <w:bottom w:val="single" w:sz="4" w:space="0" w:color="auto"/>
            </w:tcBorders>
            <w:shd w:val="clear" w:color="auto" w:fill="8DB3E2" w:themeFill="text2" w:themeFillTint="66"/>
            <w:noWrap/>
            <w:vAlign w:val="center"/>
            <w:hideMark/>
          </w:tcPr>
          <w:p w:rsidR="00B00089" w:rsidRPr="00CA40CB" w:rsidRDefault="00B00089" w:rsidP="00CA40CB">
            <w:pPr>
              <w:pStyle w:val="cuadroCabe"/>
              <w:jc w:val="right"/>
            </w:pPr>
            <w:r w:rsidRPr="00CA40CB">
              <w:t xml:space="preserve">Importe </w:t>
            </w:r>
          </w:p>
          <w:p w:rsidR="00B00089" w:rsidRPr="00CA40CB" w:rsidRDefault="00B00089" w:rsidP="00CA40CB">
            <w:pPr>
              <w:pStyle w:val="cuadroCabe"/>
              <w:jc w:val="right"/>
            </w:pPr>
            <w:r w:rsidRPr="00CA40CB">
              <w:t>aplazamiento</w:t>
            </w:r>
          </w:p>
        </w:tc>
        <w:tc>
          <w:tcPr>
            <w:tcW w:w="1052" w:type="dxa"/>
            <w:tcBorders>
              <w:top w:val="single" w:sz="4" w:space="0" w:color="auto"/>
              <w:bottom w:val="single" w:sz="4" w:space="0" w:color="auto"/>
            </w:tcBorders>
            <w:shd w:val="clear" w:color="auto" w:fill="8DB3E2" w:themeFill="text2" w:themeFillTint="66"/>
            <w:vAlign w:val="center"/>
          </w:tcPr>
          <w:p w:rsidR="00DF04B0" w:rsidRPr="00CA40CB" w:rsidRDefault="00DF04B0" w:rsidP="00CA40CB">
            <w:pPr>
              <w:pStyle w:val="cuadroCabe"/>
              <w:jc w:val="right"/>
            </w:pPr>
            <w:r w:rsidRPr="00CA40CB">
              <w:t>Plazo</w:t>
            </w:r>
            <w:r w:rsidR="009C493E" w:rsidRPr="00CA40CB">
              <w:t xml:space="preserve"> </w:t>
            </w:r>
          </w:p>
          <w:p w:rsidR="00B00089" w:rsidRPr="00CA40CB" w:rsidRDefault="009C493E" w:rsidP="00CA40CB">
            <w:pPr>
              <w:pStyle w:val="cuadroCabe"/>
              <w:jc w:val="right"/>
            </w:pPr>
            <w:r w:rsidRPr="00CA40CB">
              <w:t>(meses)</w:t>
            </w:r>
          </w:p>
        </w:tc>
      </w:tr>
      <w:tr w:rsidR="00DF04B0" w:rsidRPr="00CA40CB" w:rsidTr="00CA40CB">
        <w:trPr>
          <w:trHeight w:val="255"/>
          <w:jc w:val="center"/>
        </w:trPr>
        <w:tc>
          <w:tcPr>
            <w:tcW w:w="1756" w:type="dxa"/>
            <w:tcBorders>
              <w:top w:val="single" w:sz="4" w:space="0" w:color="auto"/>
              <w:bottom w:val="single" w:sz="2" w:space="0" w:color="auto"/>
            </w:tcBorders>
            <w:noWrap/>
            <w:vAlign w:val="center"/>
            <w:hideMark/>
          </w:tcPr>
          <w:p w:rsidR="009C493E" w:rsidRPr="00CA40CB" w:rsidRDefault="009C493E" w:rsidP="00CA40CB">
            <w:pPr>
              <w:pStyle w:val="cuatexto"/>
              <w:jc w:val="left"/>
            </w:pPr>
            <w:r w:rsidRPr="00CA40CB">
              <w:t>Abril, 2006</w:t>
            </w:r>
          </w:p>
        </w:tc>
        <w:tc>
          <w:tcPr>
            <w:tcW w:w="2833" w:type="dxa"/>
            <w:tcBorders>
              <w:top w:val="single" w:sz="4" w:space="0" w:color="auto"/>
              <w:bottom w:val="single" w:sz="2" w:space="0" w:color="auto"/>
            </w:tcBorders>
            <w:noWrap/>
            <w:vAlign w:val="center"/>
            <w:hideMark/>
          </w:tcPr>
          <w:p w:rsidR="009C493E" w:rsidRPr="00CA40CB" w:rsidRDefault="009C493E" w:rsidP="00CA40CB">
            <w:pPr>
              <w:pStyle w:val="cuatexto"/>
              <w:jc w:val="left"/>
            </w:pPr>
            <w:r w:rsidRPr="00CA40CB">
              <w:t xml:space="preserve">Resolución del Dtor Grte HTN </w:t>
            </w:r>
          </w:p>
        </w:tc>
        <w:tc>
          <w:tcPr>
            <w:tcW w:w="1651" w:type="dxa"/>
            <w:tcBorders>
              <w:top w:val="single" w:sz="4" w:space="0" w:color="auto"/>
              <w:bottom w:val="single" w:sz="2" w:space="0" w:color="auto"/>
            </w:tcBorders>
            <w:noWrap/>
            <w:vAlign w:val="center"/>
            <w:hideMark/>
          </w:tcPr>
          <w:p w:rsidR="009C493E" w:rsidRPr="00CA40CB" w:rsidRDefault="009C493E" w:rsidP="00CA40CB">
            <w:pPr>
              <w:pStyle w:val="cuatexto"/>
              <w:jc w:val="left"/>
            </w:pPr>
            <w:r w:rsidRPr="00CA40CB">
              <w:t>Concedido</w:t>
            </w:r>
          </w:p>
        </w:tc>
        <w:tc>
          <w:tcPr>
            <w:tcW w:w="1456" w:type="dxa"/>
            <w:tcBorders>
              <w:top w:val="single" w:sz="4" w:space="0" w:color="auto"/>
              <w:bottom w:val="single" w:sz="2" w:space="0" w:color="auto"/>
            </w:tcBorders>
            <w:noWrap/>
            <w:vAlign w:val="center"/>
            <w:hideMark/>
          </w:tcPr>
          <w:p w:rsidR="009C493E" w:rsidRPr="00CA40CB" w:rsidRDefault="009C493E" w:rsidP="00CA40CB">
            <w:pPr>
              <w:pStyle w:val="cuatexto"/>
              <w:jc w:val="right"/>
            </w:pPr>
            <w:r w:rsidRPr="00CA40CB">
              <w:t>1.200.427</w:t>
            </w:r>
          </w:p>
        </w:tc>
        <w:tc>
          <w:tcPr>
            <w:tcW w:w="1052" w:type="dxa"/>
            <w:tcBorders>
              <w:top w:val="single" w:sz="4" w:space="0" w:color="auto"/>
              <w:bottom w:val="single" w:sz="2" w:space="0" w:color="auto"/>
            </w:tcBorders>
            <w:vAlign w:val="center"/>
          </w:tcPr>
          <w:p w:rsidR="009C493E" w:rsidRPr="00CA40CB" w:rsidRDefault="009C493E" w:rsidP="00CA40CB">
            <w:pPr>
              <w:pStyle w:val="cuatexto"/>
              <w:jc w:val="right"/>
            </w:pPr>
            <w:r w:rsidRPr="00CA40CB">
              <w:t>3</w:t>
            </w:r>
          </w:p>
        </w:tc>
      </w:tr>
      <w:tr w:rsidR="00DF04B0" w:rsidRPr="00CA40CB" w:rsidTr="00CA40CB">
        <w:trPr>
          <w:trHeight w:val="255"/>
          <w:jc w:val="center"/>
        </w:trPr>
        <w:tc>
          <w:tcPr>
            <w:tcW w:w="1756" w:type="dxa"/>
            <w:tcBorders>
              <w:top w:val="single" w:sz="2" w:space="0" w:color="auto"/>
              <w:bottom w:val="single" w:sz="2" w:space="0" w:color="auto"/>
            </w:tcBorders>
            <w:noWrap/>
            <w:vAlign w:val="center"/>
            <w:hideMark/>
          </w:tcPr>
          <w:p w:rsidR="009C493E" w:rsidRPr="00CA40CB" w:rsidRDefault="009C493E" w:rsidP="00CA40CB">
            <w:pPr>
              <w:pStyle w:val="cuatexto"/>
              <w:jc w:val="left"/>
            </w:pPr>
            <w:r w:rsidRPr="00CA40CB">
              <w:t>Junio, 2008</w:t>
            </w:r>
          </w:p>
        </w:tc>
        <w:tc>
          <w:tcPr>
            <w:tcW w:w="2833" w:type="dxa"/>
            <w:tcBorders>
              <w:top w:val="single" w:sz="2" w:space="0" w:color="auto"/>
              <w:bottom w:val="single" w:sz="2" w:space="0" w:color="auto"/>
            </w:tcBorders>
            <w:noWrap/>
            <w:vAlign w:val="center"/>
            <w:hideMark/>
          </w:tcPr>
          <w:p w:rsidR="009C493E" w:rsidRPr="00CA40CB" w:rsidRDefault="009C493E" w:rsidP="00CA40CB">
            <w:pPr>
              <w:pStyle w:val="cuatexto"/>
              <w:jc w:val="left"/>
            </w:pPr>
            <w:r w:rsidRPr="00CA40CB">
              <w:t>Acuerdo Gobierno Navarra</w:t>
            </w:r>
          </w:p>
        </w:tc>
        <w:tc>
          <w:tcPr>
            <w:tcW w:w="1651" w:type="dxa"/>
            <w:tcBorders>
              <w:top w:val="single" w:sz="2" w:space="0" w:color="auto"/>
              <w:bottom w:val="single" w:sz="2" w:space="0" w:color="auto"/>
            </w:tcBorders>
            <w:noWrap/>
            <w:vAlign w:val="center"/>
            <w:hideMark/>
          </w:tcPr>
          <w:p w:rsidR="009C493E" w:rsidRPr="00CA40CB" w:rsidRDefault="009C493E" w:rsidP="00CA40CB">
            <w:pPr>
              <w:pStyle w:val="cuatexto"/>
              <w:jc w:val="left"/>
            </w:pPr>
            <w:r w:rsidRPr="00CA40CB">
              <w:t>Concedido</w:t>
            </w:r>
          </w:p>
        </w:tc>
        <w:tc>
          <w:tcPr>
            <w:tcW w:w="1456" w:type="dxa"/>
            <w:tcBorders>
              <w:top w:val="single" w:sz="2" w:space="0" w:color="auto"/>
              <w:bottom w:val="single" w:sz="2" w:space="0" w:color="auto"/>
            </w:tcBorders>
            <w:noWrap/>
            <w:vAlign w:val="center"/>
            <w:hideMark/>
          </w:tcPr>
          <w:p w:rsidR="009C493E" w:rsidRPr="00CA40CB" w:rsidRDefault="00F63D32" w:rsidP="00CA40CB">
            <w:pPr>
              <w:pStyle w:val="cuatexto"/>
              <w:jc w:val="right"/>
            </w:pPr>
            <w:r w:rsidRPr="00CA40CB">
              <w:t>2.118.000</w:t>
            </w:r>
          </w:p>
        </w:tc>
        <w:tc>
          <w:tcPr>
            <w:tcW w:w="1052" w:type="dxa"/>
            <w:tcBorders>
              <w:top w:val="single" w:sz="2" w:space="0" w:color="auto"/>
              <w:bottom w:val="single" w:sz="2" w:space="0" w:color="auto"/>
            </w:tcBorders>
            <w:vAlign w:val="center"/>
          </w:tcPr>
          <w:p w:rsidR="009C493E" w:rsidRPr="00CA40CB" w:rsidRDefault="009C493E" w:rsidP="00CA40CB">
            <w:pPr>
              <w:pStyle w:val="cuatexto"/>
              <w:jc w:val="right"/>
            </w:pPr>
            <w:r w:rsidRPr="00CA40CB">
              <w:t>3</w:t>
            </w:r>
          </w:p>
        </w:tc>
      </w:tr>
      <w:tr w:rsidR="00DF04B0" w:rsidRPr="00CA40CB" w:rsidTr="00CA40CB">
        <w:trPr>
          <w:trHeight w:val="255"/>
          <w:jc w:val="center"/>
        </w:trPr>
        <w:tc>
          <w:tcPr>
            <w:tcW w:w="1756" w:type="dxa"/>
            <w:tcBorders>
              <w:top w:val="single" w:sz="2" w:space="0" w:color="auto"/>
              <w:bottom w:val="single" w:sz="2" w:space="0" w:color="auto"/>
            </w:tcBorders>
            <w:noWrap/>
            <w:vAlign w:val="center"/>
            <w:hideMark/>
          </w:tcPr>
          <w:p w:rsidR="009C493E" w:rsidRPr="00CA40CB" w:rsidRDefault="009C493E" w:rsidP="00CA40CB">
            <w:pPr>
              <w:pStyle w:val="cuatexto"/>
              <w:jc w:val="left"/>
            </w:pPr>
            <w:r w:rsidRPr="00CA40CB">
              <w:t>Mayo, 2009</w:t>
            </w:r>
          </w:p>
        </w:tc>
        <w:tc>
          <w:tcPr>
            <w:tcW w:w="2833" w:type="dxa"/>
            <w:tcBorders>
              <w:top w:val="single" w:sz="2" w:space="0" w:color="auto"/>
              <w:bottom w:val="single" w:sz="2" w:space="0" w:color="auto"/>
            </w:tcBorders>
            <w:noWrap/>
            <w:vAlign w:val="center"/>
          </w:tcPr>
          <w:p w:rsidR="009C493E" w:rsidRPr="00CA40CB" w:rsidRDefault="009C493E" w:rsidP="00CA40CB">
            <w:pPr>
              <w:pStyle w:val="cuatexto"/>
              <w:jc w:val="left"/>
            </w:pPr>
            <w:r w:rsidRPr="00CA40CB">
              <w:t>Acuerdo Gobierno Navarra</w:t>
            </w:r>
          </w:p>
        </w:tc>
        <w:tc>
          <w:tcPr>
            <w:tcW w:w="1651" w:type="dxa"/>
            <w:tcBorders>
              <w:top w:val="single" w:sz="2" w:space="0" w:color="auto"/>
              <w:bottom w:val="single" w:sz="2" w:space="0" w:color="auto"/>
            </w:tcBorders>
            <w:noWrap/>
            <w:vAlign w:val="center"/>
            <w:hideMark/>
          </w:tcPr>
          <w:p w:rsidR="009C493E" w:rsidRPr="00CA40CB" w:rsidRDefault="009C493E" w:rsidP="00CA40CB">
            <w:pPr>
              <w:pStyle w:val="cuatexto"/>
              <w:jc w:val="left"/>
            </w:pPr>
            <w:r w:rsidRPr="00CA40CB">
              <w:t>Concedido</w:t>
            </w:r>
          </w:p>
        </w:tc>
        <w:tc>
          <w:tcPr>
            <w:tcW w:w="1456" w:type="dxa"/>
            <w:tcBorders>
              <w:top w:val="single" w:sz="2" w:space="0" w:color="auto"/>
              <w:bottom w:val="single" w:sz="2" w:space="0" w:color="auto"/>
            </w:tcBorders>
            <w:noWrap/>
            <w:vAlign w:val="center"/>
            <w:hideMark/>
          </w:tcPr>
          <w:p w:rsidR="009C493E" w:rsidRPr="00CA40CB" w:rsidRDefault="009C493E" w:rsidP="00CA40CB">
            <w:pPr>
              <w:pStyle w:val="cuatexto"/>
              <w:jc w:val="right"/>
            </w:pPr>
            <w:r w:rsidRPr="00CA40CB">
              <w:t>17.317.273</w:t>
            </w:r>
          </w:p>
        </w:tc>
        <w:tc>
          <w:tcPr>
            <w:tcW w:w="1052" w:type="dxa"/>
            <w:tcBorders>
              <w:top w:val="single" w:sz="2" w:space="0" w:color="auto"/>
              <w:bottom w:val="single" w:sz="2" w:space="0" w:color="auto"/>
            </w:tcBorders>
            <w:vAlign w:val="center"/>
          </w:tcPr>
          <w:p w:rsidR="009C493E" w:rsidRPr="00CA40CB" w:rsidRDefault="009C493E" w:rsidP="00CA40CB">
            <w:pPr>
              <w:pStyle w:val="cuatexto"/>
              <w:jc w:val="right"/>
            </w:pPr>
            <w:r w:rsidRPr="00CA40CB">
              <w:t>120</w:t>
            </w:r>
          </w:p>
        </w:tc>
      </w:tr>
      <w:tr w:rsidR="00DF04B0" w:rsidRPr="00CA40CB" w:rsidTr="00CA40CB">
        <w:trPr>
          <w:trHeight w:val="255"/>
          <w:jc w:val="center"/>
        </w:trPr>
        <w:tc>
          <w:tcPr>
            <w:tcW w:w="1756" w:type="dxa"/>
            <w:tcBorders>
              <w:top w:val="single" w:sz="2" w:space="0" w:color="auto"/>
              <w:bottom w:val="single" w:sz="2" w:space="0" w:color="auto"/>
            </w:tcBorders>
            <w:noWrap/>
            <w:vAlign w:val="center"/>
            <w:hideMark/>
          </w:tcPr>
          <w:p w:rsidR="009C493E" w:rsidRPr="00CA40CB" w:rsidRDefault="009C493E" w:rsidP="00CA40CB">
            <w:pPr>
              <w:pStyle w:val="cuatexto"/>
              <w:jc w:val="left"/>
            </w:pPr>
            <w:r w:rsidRPr="00CA40CB">
              <w:t>Noviembre, 2010</w:t>
            </w:r>
          </w:p>
        </w:tc>
        <w:tc>
          <w:tcPr>
            <w:tcW w:w="2833" w:type="dxa"/>
            <w:tcBorders>
              <w:top w:val="single" w:sz="2" w:space="0" w:color="auto"/>
              <w:bottom w:val="single" w:sz="2" w:space="0" w:color="auto"/>
            </w:tcBorders>
            <w:noWrap/>
            <w:vAlign w:val="center"/>
          </w:tcPr>
          <w:p w:rsidR="009C493E" w:rsidRPr="00CA40CB" w:rsidRDefault="009C493E" w:rsidP="00CA40CB">
            <w:pPr>
              <w:pStyle w:val="cuatexto"/>
              <w:jc w:val="left"/>
            </w:pPr>
            <w:r w:rsidRPr="00CA40CB">
              <w:t>Acuerdo Gobierno Navarra</w:t>
            </w:r>
          </w:p>
        </w:tc>
        <w:tc>
          <w:tcPr>
            <w:tcW w:w="1651" w:type="dxa"/>
            <w:tcBorders>
              <w:top w:val="single" w:sz="2" w:space="0" w:color="auto"/>
              <w:bottom w:val="single" w:sz="2" w:space="0" w:color="auto"/>
            </w:tcBorders>
            <w:noWrap/>
            <w:vAlign w:val="center"/>
            <w:hideMark/>
          </w:tcPr>
          <w:p w:rsidR="009C493E" w:rsidRPr="00CA40CB" w:rsidRDefault="009C493E" w:rsidP="00CA40CB">
            <w:pPr>
              <w:pStyle w:val="cuatexto"/>
              <w:jc w:val="left"/>
            </w:pPr>
            <w:r w:rsidRPr="00CA40CB">
              <w:t>Concedido</w:t>
            </w:r>
          </w:p>
        </w:tc>
        <w:tc>
          <w:tcPr>
            <w:tcW w:w="1456" w:type="dxa"/>
            <w:tcBorders>
              <w:top w:val="single" w:sz="2" w:space="0" w:color="auto"/>
              <w:bottom w:val="single" w:sz="2" w:space="0" w:color="auto"/>
            </w:tcBorders>
            <w:noWrap/>
            <w:vAlign w:val="center"/>
            <w:hideMark/>
          </w:tcPr>
          <w:p w:rsidR="009C493E" w:rsidRPr="00CA40CB" w:rsidRDefault="009C493E" w:rsidP="00CA40CB">
            <w:pPr>
              <w:pStyle w:val="cuatexto"/>
              <w:jc w:val="right"/>
            </w:pPr>
            <w:r w:rsidRPr="00CA40CB">
              <w:t>9.746.976</w:t>
            </w:r>
          </w:p>
        </w:tc>
        <w:tc>
          <w:tcPr>
            <w:tcW w:w="1052" w:type="dxa"/>
            <w:tcBorders>
              <w:top w:val="single" w:sz="2" w:space="0" w:color="auto"/>
              <w:bottom w:val="single" w:sz="2" w:space="0" w:color="auto"/>
            </w:tcBorders>
            <w:vAlign w:val="center"/>
          </w:tcPr>
          <w:p w:rsidR="009C493E" w:rsidRPr="00CA40CB" w:rsidRDefault="00CA40CB" w:rsidP="00CA40CB">
            <w:pPr>
              <w:pStyle w:val="cuatexto"/>
              <w:jc w:val="right"/>
            </w:pPr>
            <w:r w:rsidRPr="00CA40CB">
              <w:rPr>
                <w:vertAlign w:val="superscript"/>
              </w:rPr>
              <w:t>(1)</w:t>
            </w:r>
            <w:r>
              <w:t xml:space="preserve"> </w:t>
            </w:r>
            <w:r w:rsidR="009C493E" w:rsidRPr="00CA40CB">
              <w:t>84</w:t>
            </w:r>
          </w:p>
        </w:tc>
      </w:tr>
      <w:tr w:rsidR="00DF04B0" w:rsidRPr="00CA40CB" w:rsidTr="00CA40CB">
        <w:trPr>
          <w:trHeight w:val="255"/>
          <w:jc w:val="center"/>
        </w:trPr>
        <w:tc>
          <w:tcPr>
            <w:tcW w:w="1756" w:type="dxa"/>
            <w:tcBorders>
              <w:top w:val="single" w:sz="2" w:space="0" w:color="auto"/>
              <w:bottom w:val="single" w:sz="2" w:space="0" w:color="auto"/>
            </w:tcBorders>
            <w:noWrap/>
            <w:vAlign w:val="center"/>
            <w:hideMark/>
          </w:tcPr>
          <w:p w:rsidR="009C493E" w:rsidRPr="00CA40CB" w:rsidRDefault="009C493E" w:rsidP="00CA40CB">
            <w:pPr>
              <w:pStyle w:val="cuatexto"/>
              <w:jc w:val="left"/>
            </w:pPr>
            <w:r w:rsidRPr="00CA40CB">
              <w:t>Junio, 2011</w:t>
            </w:r>
          </w:p>
        </w:tc>
        <w:tc>
          <w:tcPr>
            <w:tcW w:w="2833" w:type="dxa"/>
            <w:tcBorders>
              <w:top w:val="single" w:sz="2" w:space="0" w:color="auto"/>
              <w:bottom w:val="single" w:sz="2" w:space="0" w:color="auto"/>
            </w:tcBorders>
            <w:noWrap/>
            <w:vAlign w:val="center"/>
          </w:tcPr>
          <w:p w:rsidR="009C493E" w:rsidRPr="00CA40CB" w:rsidRDefault="009C493E" w:rsidP="00CA40CB">
            <w:pPr>
              <w:pStyle w:val="cuatexto"/>
              <w:jc w:val="left"/>
            </w:pPr>
            <w:r w:rsidRPr="00CA40CB">
              <w:t>Acuerdo Gobierno Navarra</w:t>
            </w:r>
          </w:p>
        </w:tc>
        <w:tc>
          <w:tcPr>
            <w:tcW w:w="1651" w:type="dxa"/>
            <w:tcBorders>
              <w:top w:val="single" w:sz="2" w:space="0" w:color="auto"/>
              <w:bottom w:val="single" w:sz="2" w:space="0" w:color="auto"/>
            </w:tcBorders>
            <w:noWrap/>
            <w:vAlign w:val="center"/>
            <w:hideMark/>
          </w:tcPr>
          <w:p w:rsidR="009C493E" w:rsidRPr="00CA40CB" w:rsidRDefault="009C493E" w:rsidP="00CA40CB">
            <w:pPr>
              <w:pStyle w:val="cuatexto"/>
              <w:jc w:val="left"/>
            </w:pPr>
            <w:r w:rsidRPr="00CA40CB">
              <w:t>Concedido</w:t>
            </w:r>
          </w:p>
        </w:tc>
        <w:tc>
          <w:tcPr>
            <w:tcW w:w="1456" w:type="dxa"/>
            <w:tcBorders>
              <w:top w:val="single" w:sz="2" w:space="0" w:color="auto"/>
              <w:bottom w:val="single" w:sz="2" w:space="0" w:color="auto"/>
            </w:tcBorders>
            <w:noWrap/>
            <w:vAlign w:val="center"/>
            <w:hideMark/>
          </w:tcPr>
          <w:p w:rsidR="009C493E" w:rsidRPr="00CA40CB" w:rsidRDefault="009C493E" w:rsidP="00CA40CB">
            <w:pPr>
              <w:pStyle w:val="cuatexto"/>
              <w:jc w:val="right"/>
            </w:pPr>
            <w:r w:rsidRPr="00CA40CB">
              <w:t>7.727.936</w:t>
            </w:r>
          </w:p>
        </w:tc>
        <w:tc>
          <w:tcPr>
            <w:tcW w:w="1052" w:type="dxa"/>
            <w:tcBorders>
              <w:top w:val="single" w:sz="2" w:space="0" w:color="auto"/>
              <w:bottom w:val="single" w:sz="2" w:space="0" w:color="auto"/>
            </w:tcBorders>
            <w:vAlign w:val="center"/>
          </w:tcPr>
          <w:p w:rsidR="009C493E" w:rsidRPr="00CA40CB" w:rsidRDefault="00CA40CB" w:rsidP="00CA40CB">
            <w:pPr>
              <w:pStyle w:val="cuatexto"/>
              <w:jc w:val="right"/>
            </w:pPr>
            <w:r w:rsidRPr="00CA40CB">
              <w:rPr>
                <w:vertAlign w:val="superscript"/>
              </w:rPr>
              <w:t>(2)</w:t>
            </w:r>
            <w:r>
              <w:rPr>
                <w:vertAlign w:val="superscript"/>
              </w:rPr>
              <w:t xml:space="preserve"> </w:t>
            </w:r>
            <w:r w:rsidR="009C493E" w:rsidRPr="00CA40CB">
              <w:t>60</w:t>
            </w:r>
          </w:p>
        </w:tc>
      </w:tr>
      <w:tr w:rsidR="00DF04B0" w:rsidRPr="00CA40CB" w:rsidTr="00CA40CB">
        <w:trPr>
          <w:trHeight w:val="255"/>
          <w:jc w:val="center"/>
        </w:trPr>
        <w:tc>
          <w:tcPr>
            <w:tcW w:w="1756" w:type="dxa"/>
            <w:tcBorders>
              <w:top w:val="single" w:sz="2" w:space="0" w:color="auto"/>
              <w:bottom w:val="single" w:sz="2" w:space="0" w:color="auto"/>
            </w:tcBorders>
            <w:noWrap/>
            <w:vAlign w:val="center"/>
            <w:hideMark/>
          </w:tcPr>
          <w:p w:rsidR="009C493E" w:rsidRPr="00CA40CB" w:rsidRDefault="009C493E" w:rsidP="00CA40CB">
            <w:pPr>
              <w:pStyle w:val="cuatexto"/>
              <w:jc w:val="left"/>
            </w:pPr>
            <w:r w:rsidRPr="00CA40CB">
              <w:t>Diciembre, 2012</w:t>
            </w:r>
          </w:p>
        </w:tc>
        <w:tc>
          <w:tcPr>
            <w:tcW w:w="2833" w:type="dxa"/>
            <w:tcBorders>
              <w:top w:val="single" w:sz="2" w:space="0" w:color="auto"/>
              <w:bottom w:val="single" w:sz="2" w:space="0" w:color="auto"/>
            </w:tcBorders>
            <w:noWrap/>
            <w:vAlign w:val="center"/>
          </w:tcPr>
          <w:p w:rsidR="009C493E" w:rsidRPr="00CA40CB" w:rsidRDefault="009C493E" w:rsidP="00CA40CB">
            <w:pPr>
              <w:pStyle w:val="cuatexto"/>
              <w:jc w:val="left"/>
            </w:pPr>
            <w:r w:rsidRPr="00CA40CB">
              <w:t>Acuerdo Gobierno Navarra</w:t>
            </w:r>
          </w:p>
        </w:tc>
        <w:tc>
          <w:tcPr>
            <w:tcW w:w="1651" w:type="dxa"/>
            <w:tcBorders>
              <w:top w:val="single" w:sz="2" w:space="0" w:color="auto"/>
              <w:bottom w:val="single" w:sz="2" w:space="0" w:color="auto"/>
            </w:tcBorders>
            <w:noWrap/>
            <w:vAlign w:val="center"/>
            <w:hideMark/>
          </w:tcPr>
          <w:p w:rsidR="009C493E" w:rsidRPr="00CA40CB" w:rsidRDefault="009C493E" w:rsidP="00CA40CB">
            <w:pPr>
              <w:pStyle w:val="cuatexto"/>
              <w:jc w:val="left"/>
            </w:pPr>
            <w:r w:rsidRPr="00CA40CB">
              <w:t>Concedido</w:t>
            </w:r>
          </w:p>
        </w:tc>
        <w:tc>
          <w:tcPr>
            <w:tcW w:w="1456" w:type="dxa"/>
            <w:tcBorders>
              <w:top w:val="single" w:sz="2" w:space="0" w:color="auto"/>
              <w:bottom w:val="single" w:sz="2" w:space="0" w:color="auto"/>
            </w:tcBorders>
            <w:noWrap/>
            <w:vAlign w:val="center"/>
            <w:hideMark/>
          </w:tcPr>
          <w:p w:rsidR="009C493E" w:rsidRPr="00CA40CB" w:rsidRDefault="009C493E" w:rsidP="00CA40CB">
            <w:pPr>
              <w:pStyle w:val="cuatexto"/>
              <w:jc w:val="right"/>
            </w:pPr>
            <w:r w:rsidRPr="00CA40CB">
              <w:t>8.293.855</w:t>
            </w:r>
          </w:p>
        </w:tc>
        <w:tc>
          <w:tcPr>
            <w:tcW w:w="1052" w:type="dxa"/>
            <w:tcBorders>
              <w:top w:val="single" w:sz="2" w:space="0" w:color="auto"/>
              <w:bottom w:val="single" w:sz="2" w:space="0" w:color="auto"/>
            </w:tcBorders>
            <w:vAlign w:val="center"/>
          </w:tcPr>
          <w:p w:rsidR="009C493E" w:rsidRPr="00CA40CB" w:rsidRDefault="009C493E" w:rsidP="00CA40CB">
            <w:pPr>
              <w:pStyle w:val="cuatexto"/>
              <w:jc w:val="right"/>
            </w:pPr>
            <w:r w:rsidRPr="00CA40CB">
              <w:t>120</w:t>
            </w:r>
          </w:p>
        </w:tc>
      </w:tr>
      <w:tr w:rsidR="00DF04B0" w:rsidRPr="00CA40CB" w:rsidTr="00CA40CB">
        <w:trPr>
          <w:trHeight w:val="255"/>
          <w:jc w:val="center"/>
        </w:trPr>
        <w:tc>
          <w:tcPr>
            <w:tcW w:w="1756" w:type="dxa"/>
            <w:tcBorders>
              <w:top w:val="single" w:sz="2" w:space="0" w:color="auto"/>
              <w:bottom w:val="single" w:sz="2" w:space="0" w:color="auto"/>
            </w:tcBorders>
            <w:noWrap/>
            <w:vAlign w:val="center"/>
            <w:hideMark/>
          </w:tcPr>
          <w:p w:rsidR="009C493E" w:rsidRPr="00CA40CB" w:rsidRDefault="009C493E" w:rsidP="00CA40CB">
            <w:pPr>
              <w:pStyle w:val="cuatexto"/>
              <w:jc w:val="left"/>
            </w:pPr>
            <w:r w:rsidRPr="00CA40CB">
              <w:t>Marzo, 2013</w:t>
            </w:r>
          </w:p>
        </w:tc>
        <w:tc>
          <w:tcPr>
            <w:tcW w:w="2833" w:type="dxa"/>
            <w:tcBorders>
              <w:top w:val="single" w:sz="2" w:space="0" w:color="auto"/>
              <w:bottom w:val="single" w:sz="2" w:space="0" w:color="auto"/>
            </w:tcBorders>
            <w:noWrap/>
            <w:vAlign w:val="center"/>
          </w:tcPr>
          <w:p w:rsidR="009C493E" w:rsidRPr="00CA40CB" w:rsidRDefault="009C493E" w:rsidP="00CA40CB">
            <w:pPr>
              <w:pStyle w:val="cuatexto"/>
              <w:jc w:val="left"/>
            </w:pPr>
            <w:r w:rsidRPr="00CA40CB">
              <w:t>Acuerdo Gobierno Navarra</w:t>
            </w:r>
          </w:p>
        </w:tc>
        <w:tc>
          <w:tcPr>
            <w:tcW w:w="1651" w:type="dxa"/>
            <w:tcBorders>
              <w:top w:val="single" w:sz="2" w:space="0" w:color="auto"/>
              <w:bottom w:val="single" w:sz="2" w:space="0" w:color="auto"/>
            </w:tcBorders>
            <w:noWrap/>
            <w:vAlign w:val="center"/>
            <w:hideMark/>
          </w:tcPr>
          <w:p w:rsidR="009C493E" w:rsidRPr="00CA40CB" w:rsidRDefault="009C493E" w:rsidP="00CA40CB">
            <w:pPr>
              <w:pStyle w:val="cuatexto"/>
              <w:jc w:val="left"/>
            </w:pPr>
            <w:r w:rsidRPr="00CA40CB">
              <w:t>Denegado</w:t>
            </w:r>
          </w:p>
        </w:tc>
        <w:tc>
          <w:tcPr>
            <w:tcW w:w="1456" w:type="dxa"/>
            <w:tcBorders>
              <w:top w:val="single" w:sz="2" w:space="0" w:color="auto"/>
              <w:bottom w:val="single" w:sz="2" w:space="0" w:color="auto"/>
            </w:tcBorders>
            <w:noWrap/>
            <w:vAlign w:val="center"/>
            <w:hideMark/>
          </w:tcPr>
          <w:p w:rsidR="009C493E" w:rsidRPr="00CA40CB" w:rsidRDefault="009C493E" w:rsidP="00CA40CB">
            <w:pPr>
              <w:pStyle w:val="cuatexto"/>
              <w:jc w:val="right"/>
            </w:pPr>
            <w:r w:rsidRPr="00CA40CB">
              <w:t>2.5</w:t>
            </w:r>
            <w:r w:rsidR="00AF0554" w:rsidRPr="00CA40CB">
              <w:t>69</w:t>
            </w:r>
            <w:r w:rsidRPr="00CA40CB">
              <w:t>.836</w:t>
            </w:r>
          </w:p>
        </w:tc>
        <w:tc>
          <w:tcPr>
            <w:tcW w:w="1052" w:type="dxa"/>
            <w:tcBorders>
              <w:top w:val="single" w:sz="2" w:space="0" w:color="auto"/>
              <w:bottom w:val="single" w:sz="2" w:space="0" w:color="auto"/>
            </w:tcBorders>
            <w:vAlign w:val="center"/>
          </w:tcPr>
          <w:p w:rsidR="009C493E" w:rsidRPr="00CA40CB" w:rsidRDefault="009C493E" w:rsidP="00CA40CB">
            <w:pPr>
              <w:pStyle w:val="cuatexto"/>
              <w:jc w:val="right"/>
            </w:pPr>
          </w:p>
        </w:tc>
      </w:tr>
      <w:tr w:rsidR="00DF04B0" w:rsidRPr="00CA40CB" w:rsidTr="00CA40CB">
        <w:trPr>
          <w:trHeight w:val="255"/>
          <w:jc w:val="center"/>
        </w:trPr>
        <w:tc>
          <w:tcPr>
            <w:tcW w:w="1756" w:type="dxa"/>
            <w:tcBorders>
              <w:top w:val="single" w:sz="2" w:space="0" w:color="auto"/>
              <w:bottom w:val="single" w:sz="2" w:space="0" w:color="auto"/>
            </w:tcBorders>
            <w:noWrap/>
            <w:vAlign w:val="center"/>
            <w:hideMark/>
          </w:tcPr>
          <w:p w:rsidR="009C493E" w:rsidRPr="00CA40CB" w:rsidRDefault="009C493E" w:rsidP="00CA40CB">
            <w:pPr>
              <w:pStyle w:val="cuatexto"/>
              <w:jc w:val="left"/>
            </w:pPr>
            <w:r w:rsidRPr="00CA40CB">
              <w:t>Octubre, 2013</w:t>
            </w:r>
          </w:p>
        </w:tc>
        <w:tc>
          <w:tcPr>
            <w:tcW w:w="2833" w:type="dxa"/>
            <w:tcBorders>
              <w:top w:val="single" w:sz="2" w:space="0" w:color="auto"/>
              <w:bottom w:val="single" w:sz="2" w:space="0" w:color="auto"/>
            </w:tcBorders>
            <w:noWrap/>
            <w:vAlign w:val="center"/>
          </w:tcPr>
          <w:p w:rsidR="009C493E" w:rsidRPr="00CA40CB" w:rsidRDefault="009C493E" w:rsidP="00CA40CB">
            <w:pPr>
              <w:pStyle w:val="cuatexto"/>
              <w:jc w:val="left"/>
            </w:pPr>
            <w:r w:rsidRPr="00CA40CB">
              <w:t>Acuerdo Gobierno Navarra</w:t>
            </w:r>
          </w:p>
        </w:tc>
        <w:tc>
          <w:tcPr>
            <w:tcW w:w="1651" w:type="dxa"/>
            <w:tcBorders>
              <w:top w:val="single" w:sz="2" w:space="0" w:color="auto"/>
              <w:bottom w:val="single" w:sz="2" w:space="0" w:color="auto"/>
            </w:tcBorders>
            <w:noWrap/>
            <w:vAlign w:val="center"/>
            <w:hideMark/>
          </w:tcPr>
          <w:p w:rsidR="009C493E" w:rsidRPr="00CA40CB" w:rsidRDefault="009C493E" w:rsidP="00CA40CB">
            <w:pPr>
              <w:pStyle w:val="cuatexto"/>
              <w:jc w:val="left"/>
            </w:pPr>
            <w:r w:rsidRPr="00CA40CB">
              <w:t>Concedido</w:t>
            </w:r>
          </w:p>
        </w:tc>
        <w:tc>
          <w:tcPr>
            <w:tcW w:w="1456" w:type="dxa"/>
            <w:tcBorders>
              <w:top w:val="single" w:sz="2" w:space="0" w:color="auto"/>
              <w:bottom w:val="single" w:sz="2" w:space="0" w:color="auto"/>
            </w:tcBorders>
            <w:noWrap/>
            <w:vAlign w:val="center"/>
            <w:hideMark/>
          </w:tcPr>
          <w:p w:rsidR="009C493E" w:rsidRPr="00CA40CB" w:rsidRDefault="009C493E" w:rsidP="00CA40CB">
            <w:pPr>
              <w:pStyle w:val="cuatexto"/>
              <w:jc w:val="right"/>
            </w:pPr>
            <w:r w:rsidRPr="00CA40CB">
              <w:t>4.665.343</w:t>
            </w:r>
          </w:p>
        </w:tc>
        <w:tc>
          <w:tcPr>
            <w:tcW w:w="1052" w:type="dxa"/>
            <w:tcBorders>
              <w:top w:val="single" w:sz="2" w:space="0" w:color="auto"/>
              <w:bottom w:val="single" w:sz="2" w:space="0" w:color="auto"/>
            </w:tcBorders>
            <w:vAlign w:val="center"/>
          </w:tcPr>
          <w:p w:rsidR="009C493E" w:rsidRPr="00CA40CB" w:rsidRDefault="009C493E" w:rsidP="00CA40CB">
            <w:pPr>
              <w:pStyle w:val="cuatexto"/>
              <w:jc w:val="right"/>
            </w:pPr>
            <w:r w:rsidRPr="00CA40CB">
              <w:t>60</w:t>
            </w:r>
          </w:p>
        </w:tc>
      </w:tr>
      <w:tr w:rsidR="00DF04B0" w:rsidRPr="00CA40CB" w:rsidTr="00CA40CB">
        <w:trPr>
          <w:trHeight w:val="255"/>
          <w:jc w:val="center"/>
        </w:trPr>
        <w:tc>
          <w:tcPr>
            <w:tcW w:w="1756" w:type="dxa"/>
            <w:tcBorders>
              <w:top w:val="single" w:sz="2" w:space="0" w:color="auto"/>
              <w:bottom w:val="single" w:sz="2" w:space="0" w:color="auto"/>
            </w:tcBorders>
            <w:noWrap/>
            <w:vAlign w:val="center"/>
            <w:hideMark/>
          </w:tcPr>
          <w:p w:rsidR="009C493E" w:rsidRPr="00CA40CB" w:rsidRDefault="009C493E" w:rsidP="00CA40CB">
            <w:pPr>
              <w:pStyle w:val="cuatexto"/>
              <w:jc w:val="left"/>
            </w:pPr>
            <w:r w:rsidRPr="00CA40CB">
              <w:t>Noviembre, 2013</w:t>
            </w:r>
          </w:p>
        </w:tc>
        <w:tc>
          <w:tcPr>
            <w:tcW w:w="2833" w:type="dxa"/>
            <w:tcBorders>
              <w:top w:val="single" w:sz="2" w:space="0" w:color="auto"/>
              <w:bottom w:val="single" w:sz="2" w:space="0" w:color="auto"/>
            </w:tcBorders>
            <w:noWrap/>
            <w:vAlign w:val="center"/>
            <w:hideMark/>
          </w:tcPr>
          <w:p w:rsidR="009C493E" w:rsidRPr="00CA40CB" w:rsidRDefault="009C493E" w:rsidP="00CA40CB">
            <w:pPr>
              <w:pStyle w:val="cuatexto"/>
              <w:jc w:val="left"/>
            </w:pPr>
            <w:r w:rsidRPr="00CA40CB">
              <w:t xml:space="preserve">Resolución del Dtor Grte HTN </w:t>
            </w:r>
          </w:p>
        </w:tc>
        <w:tc>
          <w:tcPr>
            <w:tcW w:w="1651" w:type="dxa"/>
            <w:tcBorders>
              <w:top w:val="single" w:sz="2" w:space="0" w:color="auto"/>
              <w:bottom w:val="single" w:sz="2" w:space="0" w:color="auto"/>
            </w:tcBorders>
            <w:noWrap/>
            <w:vAlign w:val="center"/>
            <w:hideMark/>
          </w:tcPr>
          <w:p w:rsidR="009C493E" w:rsidRPr="00CA40CB" w:rsidRDefault="009C493E" w:rsidP="00CA40CB">
            <w:pPr>
              <w:pStyle w:val="cuatexto"/>
              <w:jc w:val="left"/>
            </w:pPr>
            <w:r w:rsidRPr="00CA40CB">
              <w:t>Denegado</w:t>
            </w:r>
          </w:p>
        </w:tc>
        <w:tc>
          <w:tcPr>
            <w:tcW w:w="1456" w:type="dxa"/>
            <w:tcBorders>
              <w:top w:val="single" w:sz="2" w:space="0" w:color="auto"/>
              <w:bottom w:val="single" w:sz="2" w:space="0" w:color="auto"/>
            </w:tcBorders>
            <w:noWrap/>
            <w:vAlign w:val="center"/>
            <w:hideMark/>
          </w:tcPr>
          <w:p w:rsidR="009C493E" w:rsidRPr="00CA40CB" w:rsidRDefault="009C493E" w:rsidP="00CA40CB">
            <w:pPr>
              <w:pStyle w:val="cuatexto"/>
              <w:jc w:val="right"/>
            </w:pPr>
            <w:r w:rsidRPr="00CA40CB">
              <w:t>1.173.792</w:t>
            </w:r>
          </w:p>
        </w:tc>
        <w:tc>
          <w:tcPr>
            <w:tcW w:w="1052" w:type="dxa"/>
            <w:tcBorders>
              <w:top w:val="single" w:sz="2" w:space="0" w:color="auto"/>
              <w:bottom w:val="single" w:sz="2" w:space="0" w:color="auto"/>
            </w:tcBorders>
            <w:vAlign w:val="center"/>
          </w:tcPr>
          <w:p w:rsidR="009C493E" w:rsidRPr="00CA40CB" w:rsidRDefault="009C493E" w:rsidP="00CA40CB">
            <w:pPr>
              <w:pStyle w:val="cuatexto"/>
              <w:jc w:val="right"/>
            </w:pPr>
          </w:p>
        </w:tc>
      </w:tr>
      <w:tr w:rsidR="00DF04B0" w:rsidRPr="00CA40CB" w:rsidTr="00CA40CB">
        <w:trPr>
          <w:trHeight w:val="255"/>
          <w:jc w:val="center"/>
        </w:trPr>
        <w:tc>
          <w:tcPr>
            <w:tcW w:w="6240" w:type="dxa"/>
            <w:gridSpan w:val="3"/>
            <w:tcBorders>
              <w:top w:val="single" w:sz="2" w:space="0" w:color="auto"/>
              <w:bottom w:val="single" w:sz="4" w:space="0" w:color="auto"/>
            </w:tcBorders>
            <w:shd w:val="clear" w:color="auto" w:fill="auto"/>
            <w:noWrap/>
            <w:vAlign w:val="center"/>
          </w:tcPr>
          <w:p w:rsidR="009C493E" w:rsidRPr="00CA40CB" w:rsidRDefault="009C493E" w:rsidP="00CA40CB">
            <w:pPr>
              <w:pStyle w:val="cuadroCabe"/>
              <w:jc w:val="left"/>
            </w:pPr>
            <w:r w:rsidRPr="00CA40CB">
              <w:t>Total aplazamientos</w:t>
            </w:r>
            <w:r w:rsidR="00F63D32" w:rsidRPr="00CA40CB">
              <w:t>/fraccionamientos</w:t>
            </w:r>
            <w:r w:rsidRPr="00CA40CB">
              <w:t xml:space="preserve"> solicitados</w:t>
            </w:r>
          </w:p>
        </w:tc>
        <w:tc>
          <w:tcPr>
            <w:tcW w:w="1456" w:type="dxa"/>
            <w:tcBorders>
              <w:top w:val="single" w:sz="2" w:space="0" w:color="auto"/>
              <w:bottom w:val="single" w:sz="4" w:space="0" w:color="auto"/>
            </w:tcBorders>
            <w:shd w:val="clear" w:color="auto" w:fill="auto"/>
            <w:noWrap/>
            <w:vAlign w:val="center"/>
          </w:tcPr>
          <w:p w:rsidR="009C493E" w:rsidRPr="00CA40CB" w:rsidRDefault="00F63D32" w:rsidP="00CA40CB">
            <w:pPr>
              <w:pStyle w:val="cuadroCabe"/>
              <w:jc w:val="right"/>
            </w:pPr>
            <w:r w:rsidRPr="00CA40CB">
              <w:t>54.813.438</w:t>
            </w:r>
          </w:p>
        </w:tc>
        <w:tc>
          <w:tcPr>
            <w:tcW w:w="1052" w:type="dxa"/>
            <w:tcBorders>
              <w:top w:val="single" w:sz="2" w:space="0" w:color="auto"/>
              <w:bottom w:val="single" w:sz="4" w:space="0" w:color="auto"/>
            </w:tcBorders>
            <w:shd w:val="clear" w:color="auto" w:fill="auto"/>
            <w:vAlign w:val="center"/>
          </w:tcPr>
          <w:p w:rsidR="009C493E" w:rsidRPr="00CA40CB" w:rsidRDefault="009C493E" w:rsidP="00CA40CB">
            <w:pPr>
              <w:pStyle w:val="cuadroCabe"/>
              <w:jc w:val="right"/>
            </w:pPr>
          </w:p>
        </w:tc>
      </w:tr>
      <w:tr w:rsidR="00DF04B0" w:rsidRPr="00CA40CB" w:rsidTr="00CA40CB">
        <w:trPr>
          <w:trHeight w:val="255"/>
          <w:jc w:val="center"/>
        </w:trPr>
        <w:tc>
          <w:tcPr>
            <w:tcW w:w="6240" w:type="dxa"/>
            <w:gridSpan w:val="3"/>
            <w:tcBorders>
              <w:top w:val="single" w:sz="4" w:space="0" w:color="auto"/>
              <w:bottom w:val="single" w:sz="4" w:space="0" w:color="auto"/>
            </w:tcBorders>
            <w:shd w:val="clear" w:color="auto" w:fill="8DB3E2" w:themeFill="text2" w:themeFillTint="66"/>
            <w:noWrap/>
            <w:vAlign w:val="center"/>
          </w:tcPr>
          <w:p w:rsidR="009C493E" w:rsidRPr="00CA40CB" w:rsidRDefault="009C493E" w:rsidP="00CA40CB">
            <w:pPr>
              <w:pStyle w:val="cuadroCabe"/>
              <w:jc w:val="left"/>
            </w:pPr>
            <w:r w:rsidRPr="00CA40CB">
              <w:t>Total aplazamientos</w:t>
            </w:r>
            <w:r w:rsidR="00F63D32" w:rsidRPr="00CA40CB">
              <w:t>/fraccionamientos</w:t>
            </w:r>
            <w:r w:rsidRPr="00CA40CB">
              <w:t xml:space="preserve"> concedidos</w:t>
            </w:r>
          </w:p>
        </w:tc>
        <w:tc>
          <w:tcPr>
            <w:tcW w:w="1456" w:type="dxa"/>
            <w:tcBorders>
              <w:top w:val="single" w:sz="4" w:space="0" w:color="auto"/>
              <w:bottom w:val="single" w:sz="4" w:space="0" w:color="auto"/>
            </w:tcBorders>
            <w:shd w:val="clear" w:color="auto" w:fill="8DB3E2" w:themeFill="text2" w:themeFillTint="66"/>
            <w:noWrap/>
            <w:vAlign w:val="center"/>
          </w:tcPr>
          <w:p w:rsidR="009C493E" w:rsidRPr="00CA40CB" w:rsidRDefault="00F63D32" w:rsidP="00CA40CB">
            <w:pPr>
              <w:pStyle w:val="cuadroCabe"/>
              <w:jc w:val="right"/>
            </w:pPr>
            <w:r w:rsidRPr="00CA40CB">
              <w:t>51.069.810</w:t>
            </w:r>
          </w:p>
        </w:tc>
        <w:tc>
          <w:tcPr>
            <w:tcW w:w="1052" w:type="dxa"/>
            <w:tcBorders>
              <w:top w:val="single" w:sz="4" w:space="0" w:color="auto"/>
              <w:bottom w:val="single" w:sz="4" w:space="0" w:color="auto"/>
            </w:tcBorders>
            <w:shd w:val="clear" w:color="auto" w:fill="8DB3E2" w:themeFill="text2" w:themeFillTint="66"/>
            <w:vAlign w:val="center"/>
          </w:tcPr>
          <w:p w:rsidR="009C493E" w:rsidRPr="00CA40CB" w:rsidRDefault="009C493E" w:rsidP="00CA40CB">
            <w:pPr>
              <w:pStyle w:val="cuadroCabe"/>
              <w:jc w:val="right"/>
            </w:pPr>
          </w:p>
        </w:tc>
      </w:tr>
    </w:tbl>
    <w:p w:rsidR="00CA40CB" w:rsidRDefault="00CA40CB" w:rsidP="00CA40CB">
      <w:pPr>
        <w:pStyle w:val="cuatexto"/>
        <w:jc w:val="left"/>
        <w:rPr>
          <w:sz w:val="16"/>
          <w:szCs w:val="16"/>
        </w:rPr>
      </w:pPr>
    </w:p>
    <w:p w:rsidR="00EF715B" w:rsidRPr="00196A28" w:rsidRDefault="00CA40CB" w:rsidP="00CA40CB">
      <w:pPr>
        <w:pStyle w:val="cuatexto"/>
        <w:ind w:left="66"/>
        <w:jc w:val="left"/>
        <w:rPr>
          <w:sz w:val="16"/>
          <w:szCs w:val="16"/>
        </w:rPr>
      </w:pPr>
      <w:r w:rsidRPr="00CA40CB">
        <w:rPr>
          <w:szCs w:val="20"/>
          <w:vertAlign w:val="superscript"/>
        </w:rPr>
        <w:t>(1)</w:t>
      </w:r>
      <w:r>
        <w:rPr>
          <w:sz w:val="16"/>
          <w:szCs w:val="16"/>
        </w:rPr>
        <w:t xml:space="preserve"> </w:t>
      </w:r>
      <w:r w:rsidR="009C493E" w:rsidRPr="00196A28">
        <w:rPr>
          <w:sz w:val="16"/>
          <w:szCs w:val="16"/>
        </w:rPr>
        <w:t xml:space="preserve">Por Acuerdo del Gobierno de Navarra de diciembre de 2012, se </w:t>
      </w:r>
      <w:r w:rsidR="00F63D32" w:rsidRPr="00196A28">
        <w:rPr>
          <w:sz w:val="16"/>
          <w:szCs w:val="16"/>
        </w:rPr>
        <w:t xml:space="preserve">renegocia el mismo y se </w:t>
      </w:r>
      <w:r w:rsidR="009C493E" w:rsidRPr="00196A28">
        <w:rPr>
          <w:sz w:val="16"/>
          <w:szCs w:val="16"/>
        </w:rPr>
        <w:t>prorroga el plazo en 60 meses, hasta 2022.</w:t>
      </w:r>
    </w:p>
    <w:p w:rsidR="00150A1E" w:rsidRPr="002E07F2" w:rsidRDefault="00CA40CB" w:rsidP="00CA40CB">
      <w:pPr>
        <w:pStyle w:val="cuatexto"/>
        <w:ind w:left="66"/>
        <w:jc w:val="left"/>
        <w:rPr>
          <w:sz w:val="16"/>
          <w:szCs w:val="16"/>
        </w:rPr>
      </w:pPr>
      <w:r w:rsidRPr="00CA40CB">
        <w:rPr>
          <w:szCs w:val="20"/>
          <w:vertAlign w:val="superscript"/>
        </w:rPr>
        <w:t>(2)</w:t>
      </w:r>
      <w:r>
        <w:rPr>
          <w:sz w:val="16"/>
          <w:szCs w:val="16"/>
        </w:rPr>
        <w:t xml:space="preserve"> </w:t>
      </w:r>
      <w:r w:rsidR="009C493E" w:rsidRPr="00196A28">
        <w:rPr>
          <w:sz w:val="16"/>
          <w:szCs w:val="16"/>
        </w:rPr>
        <w:t>Por Acuerdo del Gobierno de Navarra de diciembre de 2012, se</w:t>
      </w:r>
      <w:r w:rsidR="00F63D32" w:rsidRPr="00196A28">
        <w:rPr>
          <w:sz w:val="16"/>
          <w:szCs w:val="16"/>
        </w:rPr>
        <w:t xml:space="preserve"> renegocia el mismo y se</w:t>
      </w:r>
      <w:r w:rsidR="009C493E" w:rsidRPr="00196A28">
        <w:rPr>
          <w:sz w:val="16"/>
          <w:szCs w:val="16"/>
        </w:rPr>
        <w:t xml:space="preserve"> prorroga el plazo en 60 meses, hasta 2021.</w:t>
      </w:r>
    </w:p>
    <w:p w:rsidR="00CA40CB" w:rsidRDefault="00CA40CB" w:rsidP="00CA40CB">
      <w:pPr>
        <w:pStyle w:val="texto"/>
        <w:tabs>
          <w:tab w:val="clear" w:pos="2835"/>
          <w:tab w:val="clear" w:pos="3969"/>
          <w:tab w:val="clear" w:pos="5103"/>
          <w:tab w:val="clear" w:pos="6237"/>
          <w:tab w:val="clear" w:pos="7371"/>
        </w:tabs>
        <w:spacing w:after="0"/>
        <w:rPr>
          <w:szCs w:val="26"/>
        </w:rPr>
      </w:pPr>
    </w:p>
    <w:p w:rsidR="00F63D32" w:rsidRDefault="00A85B47" w:rsidP="00196A28">
      <w:pPr>
        <w:pStyle w:val="texto"/>
        <w:tabs>
          <w:tab w:val="clear" w:pos="2835"/>
          <w:tab w:val="clear" w:pos="3969"/>
          <w:tab w:val="clear" w:pos="5103"/>
          <w:tab w:val="clear" w:pos="6237"/>
          <w:tab w:val="clear" w:pos="7371"/>
        </w:tabs>
        <w:rPr>
          <w:szCs w:val="26"/>
        </w:rPr>
      </w:pPr>
      <w:r>
        <w:rPr>
          <w:szCs w:val="26"/>
        </w:rPr>
        <w:t>Sobre los aspectos generales de los mismos, destacamos:</w:t>
      </w:r>
    </w:p>
    <w:p w:rsidR="0039420E" w:rsidRDefault="00900D9F"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Los acuerdos anteriores pueden contener varios aplazamientos</w:t>
      </w:r>
      <w:r w:rsidR="00150A1E">
        <w:rPr>
          <w:szCs w:val="26"/>
        </w:rPr>
        <w:t>/fraccionamientos</w:t>
      </w:r>
      <w:r>
        <w:rPr>
          <w:szCs w:val="26"/>
        </w:rPr>
        <w:t xml:space="preserve"> e incluso la renegociación de otros anteriores.</w:t>
      </w:r>
      <w:r w:rsidR="00F63D32">
        <w:rPr>
          <w:szCs w:val="26"/>
        </w:rPr>
        <w:t xml:space="preserve"> Así</w:t>
      </w:r>
      <w:r w:rsidR="00B34638">
        <w:rPr>
          <w:szCs w:val="26"/>
        </w:rPr>
        <w:t>,:</w:t>
      </w:r>
    </w:p>
    <w:p w:rsidR="0039420E" w:rsidRDefault="0039420E" w:rsidP="0039420E">
      <w:pPr>
        <w:pStyle w:val="texto"/>
        <w:tabs>
          <w:tab w:val="clear" w:pos="2835"/>
          <w:tab w:val="clear" w:pos="3969"/>
          <w:tab w:val="clear" w:pos="5103"/>
          <w:tab w:val="clear" w:pos="6237"/>
          <w:tab w:val="clear" w:pos="7371"/>
          <w:tab w:val="num" w:pos="4920"/>
        </w:tabs>
        <w:rPr>
          <w:szCs w:val="26"/>
        </w:rPr>
      </w:pPr>
      <w:r>
        <w:rPr>
          <w:szCs w:val="26"/>
        </w:rPr>
        <w:t>a) E</w:t>
      </w:r>
      <w:r w:rsidR="00F63D32">
        <w:rPr>
          <w:szCs w:val="26"/>
        </w:rPr>
        <w:t xml:space="preserve">n el </w:t>
      </w:r>
      <w:r w:rsidR="00150A1E">
        <w:rPr>
          <w:szCs w:val="26"/>
        </w:rPr>
        <w:t>fraccionamiento</w:t>
      </w:r>
      <w:r w:rsidR="00F63D32">
        <w:rPr>
          <w:szCs w:val="26"/>
        </w:rPr>
        <w:t xml:space="preserve"> de 2012, el Gobierno </w:t>
      </w:r>
      <w:r w:rsidR="004453B1">
        <w:rPr>
          <w:szCs w:val="26"/>
        </w:rPr>
        <w:t xml:space="preserve">concede </w:t>
      </w:r>
      <w:r w:rsidR="00F63D32">
        <w:rPr>
          <w:szCs w:val="26"/>
        </w:rPr>
        <w:t xml:space="preserve">un total de 22,09 millones, procedentes del saldo pendiente de los </w:t>
      </w:r>
      <w:r w:rsidR="00150A1E">
        <w:rPr>
          <w:szCs w:val="26"/>
        </w:rPr>
        <w:t>fraccionamientos</w:t>
      </w:r>
      <w:r w:rsidR="00F63D32">
        <w:rPr>
          <w:szCs w:val="26"/>
        </w:rPr>
        <w:t xml:space="preserve"> </w:t>
      </w:r>
      <w:r w:rsidR="00481CA1">
        <w:rPr>
          <w:szCs w:val="26"/>
        </w:rPr>
        <w:t>concedidos en</w:t>
      </w:r>
      <w:r w:rsidR="00F63D32">
        <w:rPr>
          <w:szCs w:val="26"/>
        </w:rPr>
        <w:t xml:space="preserve"> 2010 y 2011 </w:t>
      </w:r>
      <w:r w:rsidR="00CA40CB">
        <w:rPr>
          <w:szCs w:val="26"/>
        </w:rPr>
        <w:t>–</w:t>
      </w:r>
      <w:r w:rsidR="00F63D32">
        <w:rPr>
          <w:szCs w:val="26"/>
        </w:rPr>
        <w:t>8,80 y 4,99 millones, respectivamente</w:t>
      </w:r>
      <w:r w:rsidR="00CA40CB">
        <w:rPr>
          <w:szCs w:val="26"/>
        </w:rPr>
        <w:t>–</w:t>
      </w:r>
      <w:r w:rsidR="00F63D32">
        <w:rPr>
          <w:szCs w:val="26"/>
        </w:rPr>
        <w:t xml:space="preserve"> y de nueva deuda generada en 2012 </w:t>
      </w:r>
      <w:r w:rsidR="00CA40CB">
        <w:rPr>
          <w:szCs w:val="26"/>
        </w:rPr>
        <w:t>–</w:t>
      </w:r>
      <w:r w:rsidR="00F63D32">
        <w:rPr>
          <w:szCs w:val="26"/>
        </w:rPr>
        <w:t>8,29 millones</w:t>
      </w:r>
      <w:r w:rsidR="00CA40CB">
        <w:rPr>
          <w:szCs w:val="26"/>
        </w:rPr>
        <w:t>–</w:t>
      </w:r>
      <w:r w:rsidR="00F63D32">
        <w:rPr>
          <w:szCs w:val="26"/>
        </w:rPr>
        <w:t>.</w:t>
      </w:r>
      <w:r>
        <w:rPr>
          <w:szCs w:val="26"/>
        </w:rPr>
        <w:t xml:space="preserve"> </w:t>
      </w:r>
    </w:p>
    <w:p w:rsidR="00EE1485" w:rsidRDefault="0039420E" w:rsidP="007E7035">
      <w:pPr>
        <w:pStyle w:val="texto"/>
        <w:tabs>
          <w:tab w:val="clear" w:pos="2835"/>
          <w:tab w:val="clear" w:pos="3969"/>
          <w:tab w:val="clear" w:pos="5103"/>
          <w:tab w:val="clear" w:pos="6237"/>
          <w:tab w:val="clear" w:pos="7371"/>
          <w:tab w:val="num" w:pos="4920"/>
        </w:tabs>
        <w:rPr>
          <w:szCs w:val="26"/>
        </w:rPr>
      </w:pPr>
      <w:r>
        <w:rPr>
          <w:szCs w:val="26"/>
        </w:rPr>
        <w:t xml:space="preserve">b) El acuerdo de 2013 incluye dos </w:t>
      </w:r>
      <w:r w:rsidR="00150A1E">
        <w:rPr>
          <w:szCs w:val="26"/>
        </w:rPr>
        <w:t>fraccionamientos</w:t>
      </w:r>
      <w:r>
        <w:rPr>
          <w:szCs w:val="26"/>
        </w:rPr>
        <w:t xml:space="preserve"> de deuda, uno por retenciones de IRPF </w:t>
      </w:r>
      <w:r w:rsidR="00CA40CB">
        <w:rPr>
          <w:szCs w:val="26"/>
        </w:rPr>
        <w:t>–</w:t>
      </w:r>
      <w:r>
        <w:rPr>
          <w:szCs w:val="26"/>
        </w:rPr>
        <w:t>3,33 millones</w:t>
      </w:r>
      <w:r w:rsidR="00CA40CB">
        <w:rPr>
          <w:szCs w:val="26"/>
        </w:rPr>
        <w:t>–</w:t>
      </w:r>
      <w:r>
        <w:rPr>
          <w:szCs w:val="26"/>
        </w:rPr>
        <w:t xml:space="preserve"> y otro por sanciones tributarias </w:t>
      </w:r>
      <w:r w:rsidR="00CA40CB">
        <w:rPr>
          <w:szCs w:val="26"/>
        </w:rPr>
        <w:t>–</w:t>
      </w:r>
      <w:r>
        <w:rPr>
          <w:szCs w:val="26"/>
        </w:rPr>
        <w:t>1,34 millones</w:t>
      </w:r>
      <w:r w:rsidR="00CA40CB">
        <w:rPr>
          <w:szCs w:val="26"/>
        </w:rPr>
        <w:t>–</w:t>
      </w:r>
      <w:r>
        <w:rPr>
          <w:szCs w:val="26"/>
        </w:rPr>
        <w:t>.</w:t>
      </w:r>
      <w:r w:rsidR="00F63D32">
        <w:rPr>
          <w:szCs w:val="26"/>
        </w:rPr>
        <w:t xml:space="preserve"> </w:t>
      </w:r>
    </w:p>
    <w:p w:rsidR="00B00089" w:rsidRPr="0052315A" w:rsidRDefault="009F5BAD"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En relación con los plazos</w:t>
      </w:r>
      <w:r w:rsidR="00514672">
        <w:rPr>
          <w:szCs w:val="26"/>
        </w:rPr>
        <w:t>, el primero de ellos</w:t>
      </w:r>
      <w:r w:rsidR="00B06746">
        <w:rPr>
          <w:szCs w:val="26"/>
        </w:rPr>
        <w:t xml:space="preserve"> –el de 2006</w:t>
      </w:r>
      <w:r w:rsidR="00B34638">
        <w:rPr>
          <w:szCs w:val="26"/>
        </w:rPr>
        <w:t>–</w:t>
      </w:r>
      <w:r w:rsidR="00514672">
        <w:rPr>
          <w:szCs w:val="26"/>
        </w:rPr>
        <w:t xml:space="preserve"> es un aplazamiento a tres meses; los fraccionamientos</w:t>
      </w:r>
      <w:r w:rsidR="009C493E" w:rsidRPr="0052315A">
        <w:rPr>
          <w:szCs w:val="26"/>
        </w:rPr>
        <w:t xml:space="preserve">, </w:t>
      </w:r>
      <w:r>
        <w:rPr>
          <w:szCs w:val="26"/>
        </w:rPr>
        <w:t>inicialmente</w:t>
      </w:r>
      <w:r w:rsidR="006706E7">
        <w:rPr>
          <w:szCs w:val="26"/>
        </w:rPr>
        <w:t>,</w:t>
      </w:r>
      <w:r>
        <w:rPr>
          <w:szCs w:val="26"/>
        </w:rPr>
        <w:t xml:space="preserve"> </w:t>
      </w:r>
      <w:r w:rsidR="00514672">
        <w:rPr>
          <w:szCs w:val="26"/>
        </w:rPr>
        <w:t>se</w:t>
      </w:r>
      <w:r w:rsidR="0052315A" w:rsidRPr="0052315A">
        <w:rPr>
          <w:szCs w:val="26"/>
        </w:rPr>
        <w:t xml:space="preserve"> conc</w:t>
      </w:r>
      <w:r w:rsidR="0052315A">
        <w:rPr>
          <w:szCs w:val="26"/>
        </w:rPr>
        <w:t>e</w:t>
      </w:r>
      <w:r w:rsidR="00514672">
        <w:rPr>
          <w:szCs w:val="26"/>
        </w:rPr>
        <w:t>de</w:t>
      </w:r>
      <w:r w:rsidR="006706E7">
        <w:rPr>
          <w:szCs w:val="26"/>
        </w:rPr>
        <w:t>n</w:t>
      </w:r>
      <w:r w:rsidR="0052315A" w:rsidRPr="0052315A">
        <w:rPr>
          <w:szCs w:val="26"/>
        </w:rPr>
        <w:t xml:space="preserve"> a muy corto plazo –tres meses</w:t>
      </w:r>
      <w:r w:rsidR="000D2433">
        <w:rPr>
          <w:szCs w:val="26"/>
        </w:rPr>
        <w:t>,</w:t>
      </w:r>
      <w:r>
        <w:rPr>
          <w:szCs w:val="26"/>
        </w:rPr>
        <w:t xml:space="preserve"> para el primer </w:t>
      </w:r>
      <w:r w:rsidR="0013637D">
        <w:rPr>
          <w:szCs w:val="26"/>
        </w:rPr>
        <w:t>de ellos</w:t>
      </w:r>
      <w:r w:rsidR="00B34638">
        <w:rPr>
          <w:szCs w:val="26"/>
        </w:rPr>
        <w:t>–</w:t>
      </w:r>
      <w:r w:rsidR="0052315A" w:rsidRPr="0052315A">
        <w:rPr>
          <w:szCs w:val="26"/>
        </w:rPr>
        <w:t>, para posteriormente alargar los mismos un mínimo de cinco años y un máximo de 12 años.</w:t>
      </w:r>
    </w:p>
    <w:p w:rsidR="00150A1E" w:rsidRDefault="009527B2" w:rsidP="00745FC7">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La naturaleza de la deuda tributaria aplazada es la siguiente,</w:t>
      </w:r>
      <w:r w:rsidR="004E15EC" w:rsidRPr="004C1D9B">
        <w:rPr>
          <w:szCs w:val="26"/>
        </w:rPr>
        <w:t xml:space="preserve"> si bien conviene precisar que no siempre </w:t>
      </w:r>
      <w:r w:rsidR="00EA7B05" w:rsidRPr="004C1D9B">
        <w:rPr>
          <w:szCs w:val="26"/>
        </w:rPr>
        <w:t>alude</w:t>
      </w:r>
      <w:r w:rsidR="004E15EC" w:rsidRPr="004C1D9B">
        <w:rPr>
          <w:szCs w:val="26"/>
        </w:rPr>
        <w:t xml:space="preserve"> a un año completo dado que el </w:t>
      </w:r>
      <w:r w:rsidR="006706E7">
        <w:rPr>
          <w:szCs w:val="26"/>
        </w:rPr>
        <w:t>c</w:t>
      </w:r>
      <w:r w:rsidR="004E15EC" w:rsidRPr="004C1D9B">
        <w:rPr>
          <w:szCs w:val="26"/>
        </w:rPr>
        <w:t>lub ha podido presentar y realizar el pago de algún mes del mismo</w:t>
      </w:r>
      <w:r w:rsidR="00872CF4" w:rsidRPr="004C1D9B">
        <w:rPr>
          <w:szCs w:val="26"/>
        </w:rPr>
        <w:t>:</w:t>
      </w:r>
    </w:p>
    <w:p w:rsidR="00CA40CB" w:rsidRDefault="00CA40CB" w:rsidP="00CA40CB">
      <w:pPr>
        <w:pStyle w:val="texto"/>
        <w:tabs>
          <w:tab w:val="clear" w:pos="2835"/>
          <w:tab w:val="clear" w:pos="3969"/>
          <w:tab w:val="clear" w:pos="5103"/>
          <w:tab w:val="clear" w:pos="6237"/>
          <w:tab w:val="clear" w:pos="7371"/>
          <w:tab w:val="left" w:pos="480"/>
          <w:tab w:val="num" w:pos="1948"/>
          <w:tab w:val="num" w:pos="6597"/>
        </w:tabs>
        <w:ind w:left="290" w:firstLine="0"/>
        <w:rPr>
          <w:szCs w:val="26"/>
        </w:rPr>
      </w:pPr>
    </w:p>
    <w:tbl>
      <w:tblPr>
        <w:tblW w:w="8840" w:type="dxa"/>
        <w:jc w:val="center"/>
        <w:tblCellMar>
          <w:left w:w="70" w:type="dxa"/>
          <w:right w:w="70" w:type="dxa"/>
        </w:tblCellMar>
        <w:tblLook w:val="04A0" w:firstRow="1" w:lastRow="0" w:firstColumn="1" w:lastColumn="0" w:noHBand="0" w:noVBand="1"/>
      </w:tblPr>
      <w:tblGrid>
        <w:gridCol w:w="1586"/>
        <w:gridCol w:w="4648"/>
        <w:gridCol w:w="1303"/>
        <w:gridCol w:w="1303"/>
      </w:tblGrid>
      <w:tr w:rsidR="00EA7B05" w:rsidRPr="00137ECE" w:rsidTr="00EE634C">
        <w:trPr>
          <w:trHeight w:val="255"/>
          <w:jc w:val="center"/>
        </w:trPr>
        <w:tc>
          <w:tcPr>
            <w:tcW w:w="1586" w:type="dxa"/>
            <w:tcBorders>
              <w:top w:val="single" w:sz="4" w:space="0" w:color="auto"/>
              <w:left w:val="nil"/>
              <w:bottom w:val="single" w:sz="4" w:space="0" w:color="auto"/>
              <w:right w:val="nil"/>
            </w:tcBorders>
            <w:shd w:val="clear" w:color="auto" w:fill="8DB3E2" w:themeFill="text2" w:themeFillTint="66"/>
            <w:noWrap/>
            <w:vAlign w:val="center"/>
            <w:hideMark/>
          </w:tcPr>
          <w:p w:rsidR="00EA7B05" w:rsidRDefault="00EA7B05" w:rsidP="00635B1F">
            <w:pPr>
              <w:pStyle w:val="cuadroCabe"/>
            </w:pPr>
            <w:r w:rsidRPr="00137ECE">
              <w:t xml:space="preserve">Fecha </w:t>
            </w:r>
          </w:p>
          <w:p w:rsidR="00EA7B05" w:rsidRPr="00137ECE" w:rsidRDefault="00EA7B05" w:rsidP="00635B1F">
            <w:pPr>
              <w:pStyle w:val="cuadroCabe"/>
            </w:pPr>
            <w:r w:rsidRPr="00137ECE">
              <w:t>Resolución</w:t>
            </w:r>
          </w:p>
        </w:tc>
        <w:tc>
          <w:tcPr>
            <w:tcW w:w="4648" w:type="dxa"/>
            <w:tcBorders>
              <w:top w:val="single" w:sz="4" w:space="0" w:color="auto"/>
              <w:left w:val="nil"/>
              <w:bottom w:val="single" w:sz="4" w:space="0" w:color="auto"/>
              <w:right w:val="nil"/>
            </w:tcBorders>
            <w:shd w:val="clear" w:color="auto" w:fill="8DB3E2" w:themeFill="text2" w:themeFillTint="66"/>
            <w:noWrap/>
            <w:vAlign w:val="center"/>
          </w:tcPr>
          <w:p w:rsidR="00EA7B05" w:rsidRPr="00137ECE" w:rsidRDefault="00EA7B05" w:rsidP="00635B1F">
            <w:pPr>
              <w:pStyle w:val="cuadroCabe"/>
            </w:pPr>
            <w:r>
              <w:t>Deuda tributaria</w:t>
            </w:r>
          </w:p>
        </w:tc>
        <w:tc>
          <w:tcPr>
            <w:tcW w:w="1303" w:type="dxa"/>
            <w:tcBorders>
              <w:top w:val="single" w:sz="4" w:space="0" w:color="auto"/>
              <w:left w:val="nil"/>
              <w:bottom w:val="single" w:sz="4" w:space="0" w:color="auto"/>
              <w:right w:val="nil"/>
            </w:tcBorders>
            <w:shd w:val="clear" w:color="auto" w:fill="8DB3E2" w:themeFill="text2" w:themeFillTint="66"/>
            <w:noWrap/>
            <w:vAlign w:val="center"/>
            <w:hideMark/>
          </w:tcPr>
          <w:p w:rsidR="00EA7B05" w:rsidRPr="00137ECE" w:rsidRDefault="00EA7B05" w:rsidP="00635B1F">
            <w:pPr>
              <w:pStyle w:val="cuadroCabe"/>
            </w:pPr>
            <w:r w:rsidRPr="00137ECE">
              <w:t xml:space="preserve">Aplazamiento </w:t>
            </w:r>
          </w:p>
        </w:tc>
        <w:tc>
          <w:tcPr>
            <w:tcW w:w="1303" w:type="dxa"/>
            <w:tcBorders>
              <w:top w:val="single" w:sz="4" w:space="0" w:color="auto"/>
              <w:left w:val="nil"/>
              <w:bottom w:val="single" w:sz="4" w:space="0" w:color="auto"/>
              <w:right w:val="nil"/>
            </w:tcBorders>
            <w:shd w:val="clear" w:color="auto" w:fill="8DB3E2" w:themeFill="text2" w:themeFillTint="66"/>
            <w:vAlign w:val="center"/>
          </w:tcPr>
          <w:p w:rsidR="00EA7B05" w:rsidRDefault="00EA7B05" w:rsidP="00CA40CB">
            <w:pPr>
              <w:pStyle w:val="cuadroCabe"/>
              <w:jc w:val="right"/>
            </w:pPr>
            <w:r w:rsidRPr="00137ECE">
              <w:t>Importe</w:t>
            </w:r>
            <w:r>
              <w:t xml:space="preserve"> </w:t>
            </w:r>
          </w:p>
          <w:p w:rsidR="00EA7B05" w:rsidRPr="00137ECE" w:rsidRDefault="00EA7B05" w:rsidP="00CA40CB">
            <w:pPr>
              <w:pStyle w:val="cuadroCabe"/>
              <w:jc w:val="right"/>
            </w:pPr>
            <w:r>
              <w:t>aplazamiento</w:t>
            </w:r>
          </w:p>
        </w:tc>
      </w:tr>
      <w:tr w:rsidR="00EA7B05" w:rsidRPr="00137ECE" w:rsidTr="00EE634C">
        <w:trPr>
          <w:trHeight w:val="255"/>
          <w:jc w:val="center"/>
        </w:trPr>
        <w:tc>
          <w:tcPr>
            <w:tcW w:w="1586" w:type="dxa"/>
            <w:tcBorders>
              <w:top w:val="single" w:sz="4" w:space="0" w:color="auto"/>
              <w:bottom w:val="single" w:sz="2" w:space="0" w:color="auto"/>
            </w:tcBorders>
            <w:noWrap/>
            <w:vAlign w:val="center"/>
            <w:hideMark/>
          </w:tcPr>
          <w:p w:rsidR="00EA7B05" w:rsidRPr="00137ECE" w:rsidRDefault="00EA7B05" w:rsidP="00635B1F">
            <w:pPr>
              <w:pStyle w:val="cuatexto"/>
            </w:pPr>
            <w:r w:rsidRPr="00137ECE">
              <w:t>Abril, 2006</w:t>
            </w:r>
          </w:p>
        </w:tc>
        <w:tc>
          <w:tcPr>
            <w:tcW w:w="4648" w:type="dxa"/>
            <w:tcBorders>
              <w:top w:val="single" w:sz="4" w:space="0" w:color="auto"/>
              <w:bottom w:val="single" w:sz="2" w:space="0" w:color="auto"/>
            </w:tcBorders>
            <w:noWrap/>
            <w:vAlign w:val="center"/>
          </w:tcPr>
          <w:p w:rsidR="00EA7B05" w:rsidRPr="00137ECE" w:rsidRDefault="00EA7B05" w:rsidP="00734BCF">
            <w:pPr>
              <w:pStyle w:val="cuatexto"/>
            </w:pPr>
            <w:r>
              <w:t xml:space="preserve">Retenciones IRPF diciembre 2005 </w:t>
            </w:r>
          </w:p>
        </w:tc>
        <w:tc>
          <w:tcPr>
            <w:tcW w:w="1303" w:type="dxa"/>
            <w:tcBorders>
              <w:top w:val="single" w:sz="4" w:space="0" w:color="auto"/>
              <w:bottom w:val="single" w:sz="2" w:space="0" w:color="auto"/>
            </w:tcBorders>
            <w:noWrap/>
            <w:vAlign w:val="center"/>
            <w:hideMark/>
          </w:tcPr>
          <w:p w:rsidR="00EA7B05" w:rsidRPr="00137ECE" w:rsidRDefault="00EA7B05" w:rsidP="00635B1F">
            <w:pPr>
              <w:pStyle w:val="cuatexto"/>
            </w:pPr>
            <w:r w:rsidRPr="00137ECE">
              <w:t>Concedido</w:t>
            </w:r>
          </w:p>
        </w:tc>
        <w:tc>
          <w:tcPr>
            <w:tcW w:w="1303" w:type="dxa"/>
            <w:tcBorders>
              <w:top w:val="single" w:sz="4" w:space="0" w:color="auto"/>
              <w:bottom w:val="single" w:sz="2" w:space="0" w:color="auto"/>
            </w:tcBorders>
            <w:vAlign w:val="center"/>
          </w:tcPr>
          <w:p w:rsidR="00EA7B05" w:rsidRPr="00137ECE" w:rsidRDefault="00EA7B05" w:rsidP="00CA40CB">
            <w:pPr>
              <w:pStyle w:val="cuatexto"/>
              <w:jc w:val="right"/>
            </w:pPr>
            <w:r w:rsidRPr="00137ECE">
              <w:t>1.200.427</w:t>
            </w:r>
          </w:p>
        </w:tc>
      </w:tr>
      <w:tr w:rsidR="00EA7B05" w:rsidRPr="00137ECE" w:rsidTr="00EE634C">
        <w:trPr>
          <w:trHeight w:val="255"/>
          <w:jc w:val="center"/>
        </w:trPr>
        <w:tc>
          <w:tcPr>
            <w:tcW w:w="1586" w:type="dxa"/>
            <w:tcBorders>
              <w:top w:val="single" w:sz="2" w:space="0" w:color="auto"/>
              <w:bottom w:val="single" w:sz="2" w:space="0" w:color="auto"/>
            </w:tcBorders>
            <w:noWrap/>
            <w:vAlign w:val="center"/>
            <w:hideMark/>
          </w:tcPr>
          <w:p w:rsidR="00EA7B05" w:rsidRPr="00137ECE" w:rsidRDefault="00EA7B05" w:rsidP="00635B1F">
            <w:pPr>
              <w:pStyle w:val="cuatexto"/>
            </w:pPr>
            <w:r w:rsidRPr="00137ECE">
              <w:t>Junio, 2008</w:t>
            </w:r>
          </w:p>
        </w:tc>
        <w:tc>
          <w:tcPr>
            <w:tcW w:w="4648" w:type="dxa"/>
            <w:tcBorders>
              <w:top w:val="single" w:sz="2" w:space="0" w:color="auto"/>
              <w:bottom w:val="single" w:sz="2" w:space="0" w:color="auto"/>
            </w:tcBorders>
            <w:noWrap/>
            <w:vAlign w:val="center"/>
          </w:tcPr>
          <w:p w:rsidR="00EA7B05" w:rsidRPr="00137ECE" w:rsidRDefault="00EA7B05" w:rsidP="00635B1F">
            <w:pPr>
              <w:pStyle w:val="cuatexto"/>
            </w:pPr>
            <w:r>
              <w:t>Retenciones IRPF y otros impuestos, diciembre 2007</w:t>
            </w:r>
          </w:p>
        </w:tc>
        <w:tc>
          <w:tcPr>
            <w:tcW w:w="1303" w:type="dxa"/>
            <w:tcBorders>
              <w:top w:val="single" w:sz="2" w:space="0" w:color="auto"/>
              <w:bottom w:val="single" w:sz="2" w:space="0" w:color="auto"/>
            </w:tcBorders>
            <w:noWrap/>
            <w:vAlign w:val="center"/>
            <w:hideMark/>
          </w:tcPr>
          <w:p w:rsidR="00EA7B05" w:rsidRPr="00137ECE" w:rsidRDefault="00EA7B05" w:rsidP="00635B1F">
            <w:pPr>
              <w:pStyle w:val="cuatexto"/>
            </w:pPr>
            <w:r w:rsidRPr="00137ECE">
              <w:t>Concedido</w:t>
            </w:r>
          </w:p>
        </w:tc>
        <w:tc>
          <w:tcPr>
            <w:tcW w:w="1303" w:type="dxa"/>
            <w:tcBorders>
              <w:top w:val="single" w:sz="2" w:space="0" w:color="auto"/>
              <w:bottom w:val="single" w:sz="2" w:space="0" w:color="auto"/>
            </w:tcBorders>
            <w:vAlign w:val="center"/>
          </w:tcPr>
          <w:p w:rsidR="00EA7B05" w:rsidRPr="00137ECE" w:rsidRDefault="00922B2B" w:rsidP="00CA40CB">
            <w:pPr>
              <w:pStyle w:val="cuatexto"/>
              <w:jc w:val="right"/>
            </w:pPr>
            <w:r>
              <w:t>2.118.000</w:t>
            </w:r>
          </w:p>
        </w:tc>
      </w:tr>
      <w:tr w:rsidR="00EA7B05" w:rsidRPr="00137ECE" w:rsidTr="00EE634C">
        <w:trPr>
          <w:trHeight w:val="255"/>
          <w:jc w:val="center"/>
        </w:trPr>
        <w:tc>
          <w:tcPr>
            <w:tcW w:w="1586" w:type="dxa"/>
            <w:tcBorders>
              <w:top w:val="single" w:sz="2" w:space="0" w:color="auto"/>
              <w:bottom w:val="single" w:sz="2" w:space="0" w:color="auto"/>
            </w:tcBorders>
            <w:noWrap/>
            <w:vAlign w:val="center"/>
            <w:hideMark/>
          </w:tcPr>
          <w:p w:rsidR="00EA7B05" w:rsidRPr="00137ECE" w:rsidRDefault="00EA7B05" w:rsidP="00635B1F">
            <w:pPr>
              <w:pStyle w:val="cuatexto"/>
            </w:pPr>
            <w:r w:rsidRPr="00137ECE">
              <w:t>Mayo, 2009</w:t>
            </w:r>
          </w:p>
        </w:tc>
        <w:tc>
          <w:tcPr>
            <w:tcW w:w="4648" w:type="dxa"/>
            <w:tcBorders>
              <w:top w:val="single" w:sz="2" w:space="0" w:color="auto"/>
              <w:bottom w:val="single" w:sz="2" w:space="0" w:color="auto"/>
            </w:tcBorders>
            <w:noWrap/>
            <w:vAlign w:val="center"/>
          </w:tcPr>
          <w:p w:rsidR="00EA7B05" w:rsidRPr="00137ECE" w:rsidRDefault="00EA7B05" w:rsidP="004E15EC">
            <w:pPr>
              <w:pStyle w:val="cuatexto"/>
            </w:pPr>
            <w:r>
              <w:t>IVA de 2004 a 2009, retenciones de IRPF 2008, renta no residentes 2008 y 2009 y recargos extemporáneos</w:t>
            </w:r>
          </w:p>
        </w:tc>
        <w:tc>
          <w:tcPr>
            <w:tcW w:w="1303" w:type="dxa"/>
            <w:tcBorders>
              <w:top w:val="single" w:sz="2" w:space="0" w:color="auto"/>
              <w:bottom w:val="single" w:sz="2" w:space="0" w:color="auto"/>
            </w:tcBorders>
            <w:noWrap/>
            <w:vAlign w:val="center"/>
            <w:hideMark/>
          </w:tcPr>
          <w:p w:rsidR="00EA7B05" w:rsidRPr="00137ECE" w:rsidRDefault="00EA7B05" w:rsidP="00635B1F">
            <w:pPr>
              <w:pStyle w:val="cuatexto"/>
            </w:pPr>
            <w:r w:rsidRPr="00137ECE">
              <w:t>Concedido</w:t>
            </w:r>
          </w:p>
        </w:tc>
        <w:tc>
          <w:tcPr>
            <w:tcW w:w="1303" w:type="dxa"/>
            <w:tcBorders>
              <w:top w:val="single" w:sz="2" w:space="0" w:color="auto"/>
              <w:bottom w:val="single" w:sz="2" w:space="0" w:color="auto"/>
            </w:tcBorders>
            <w:vAlign w:val="center"/>
          </w:tcPr>
          <w:p w:rsidR="00EA7B05" w:rsidRPr="00137ECE" w:rsidRDefault="00EA7B05" w:rsidP="00CA40CB">
            <w:pPr>
              <w:pStyle w:val="cuatexto"/>
              <w:jc w:val="right"/>
            </w:pPr>
            <w:r w:rsidRPr="00137ECE">
              <w:t>17.317.273</w:t>
            </w:r>
          </w:p>
        </w:tc>
      </w:tr>
      <w:tr w:rsidR="00EA7B05" w:rsidRPr="00137ECE" w:rsidTr="00EE634C">
        <w:trPr>
          <w:trHeight w:val="255"/>
          <w:jc w:val="center"/>
        </w:trPr>
        <w:tc>
          <w:tcPr>
            <w:tcW w:w="1586" w:type="dxa"/>
            <w:tcBorders>
              <w:top w:val="single" w:sz="2" w:space="0" w:color="auto"/>
              <w:bottom w:val="single" w:sz="2" w:space="0" w:color="auto"/>
            </w:tcBorders>
            <w:noWrap/>
            <w:vAlign w:val="center"/>
            <w:hideMark/>
          </w:tcPr>
          <w:p w:rsidR="00EA7B05" w:rsidRPr="00137ECE" w:rsidRDefault="00EA7B05" w:rsidP="00635B1F">
            <w:pPr>
              <w:pStyle w:val="cuatexto"/>
            </w:pPr>
            <w:r w:rsidRPr="00137ECE">
              <w:t>Noviembre, 2</w:t>
            </w:r>
            <w:r>
              <w:t>0</w:t>
            </w:r>
            <w:r w:rsidRPr="00137ECE">
              <w:t>10</w:t>
            </w:r>
          </w:p>
        </w:tc>
        <w:tc>
          <w:tcPr>
            <w:tcW w:w="4648" w:type="dxa"/>
            <w:tcBorders>
              <w:top w:val="single" w:sz="2" w:space="0" w:color="auto"/>
              <w:bottom w:val="single" w:sz="2" w:space="0" w:color="auto"/>
            </w:tcBorders>
            <w:noWrap/>
            <w:vAlign w:val="center"/>
          </w:tcPr>
          <w:p w:rsidR="00EA7B05" w:rsidRPr="00137ECE" w:rsidRDefault="00EA7B05" w:rsidP="007C103C">
            <w:pPr>
              <w:pStyle w:val="cuatexto"/>
            </w:pPr>
            <w:r>
              <w:t xml:space="preserve">Deuda en la agencia ejecutiva por retenciones de IRPF e IVA 2009, diversos meses de retenciones de IRPF e IVA 2010 y recargos por extemporánea. </w:t>
            </w:r>
          </w:p>
        </w:tc>
        <w:tc>
          <w:tcPr>
            <w:tcW w:w="1303" w:type="dxa"/>
            <w:tcBorders>
              <w:top w:val="single" w:sz="2" w:space="0" w:color="auto"/>
              <w:bottom w:val="single" w:sz="2" w:space="0" w:color="auto"/>
            </w:tcBorders>
            <w:noWrap/>
            <w:vAlign w:val="center"/>
            <w:hideMark/>
          </w:tcPr>
          <w:p w:rsidR="00EA7B05" w:rsidRPr="00137ECE" w:rsidRDefault="00EA7B05" w:rsidP="00635B1F">
            <w:pPr>
              <w:pStyle w:val="cuatexto"/>
            </w:pPr>
            <w:r w:rsidRPr="00137ECE">
              <w:t>Concedido</w:t>
            </w:r>
          </w:p>
        </w:tc>
        <w:tc>
          <w:tcPr>
            <w:tcW w:w="1303" w:type="dxa"/>
            <w:tcBorders>
              <w:top w:val="single" w:sz="2" w:space="0" w:color="auto"/>
              <w:bottom w:val="single" w:sz="2" w:space="0" w:color="auto"/>
            </w:tcBorders>
            <w:vAlign w:val="center"/>
          </w:tcPr>
          <w:p w:rsidR="00EA7B05" w:rsidRPr="00137ECE" w:rsidRDefault="00EA7B05" w:rsidP="00CA40CB">
            <w:pPr>
              <w:pStyle w:val="cuatexto"/>
              <w:jc w:val="right"/>
            </w:pPr>
            <w:r w:rsidRPr="00137ECE">
              <w:t>9.746.976</w:t>
            </w:r>
          </w:p>
        </w:tc>
      </w:tr>
      <w:tr w:rsidR="00EA7B05" w:rsidRPr="00137ECE" w:rsidTr="00EE634C">
        <w:trPr>
          <w:trHeight w:val="255"/>
          <w:jc w:val="center"/>
        </w:trPr>
        <w:tc>
          <w:tcPr>
            <w:tcW w:w="1586" w:type="dxa"/>
            <w:tcBorders>
              <w:top w:val="single" w:sz="2" w:space="0" w:color="auto"/>
              <w:bottom w:val="single" w:sz="2" w:space="0" w:color="auto"/>
            </w:tcBorders>
            <w:noWrap/>
            <w:vAlign w:val="center"/>
            <w:hideMark/>
          </w:tcPr>
          <w:p w:rsidR="00EA7B05" w:rsidRPr="00137ECE" w:rsidRDefault="00EA7B05" w:rsidP="00635B1F">
            <w:pPr>
              <w:pStyle w:val="cuatexto"/>
            </w:pPr>
            <w:r w:rsidRPr="00137ECE">
              <w:t>Junio, 2011</w:t>
            </w:r>
          </w:p>
        </w:tc>
        <w:tc>
          <w:tcPr>
            <w:tcW w:w="4648" w:type="dxa"/>
            <w:tcBorders>
              <w:top w:val="single" w:sz="2" w:space="0" w:color="auto"/>
              <w:bottom w:val="single" w:sz="2" w:space="0" w:color="auto"/>
            </w:tcBorders>
            <w:noWrap/>
            <w:vAlign w:val="center"/>
          </w:tcPr>
          <w:p w:rsidR="00EA7B05" w:rsidRPr="00137ECE" w:rsidRDefault="00EA7B05" w:rsidP="00635B1F">
            <w:pPr>
              <w:pStyle w:val="cuatexto"/>
            </w:pPr>
            <w:r>
              <w:t>Retenciones IRPF de 2010, IVA 2011 y deuda en la agencia ejecutiva IVA 2011.</w:t>
            </w:r>
          </w:p>
        </w:tc>
        <w:tc>
          <w:tcPr>
            <w:tcW w:w="1303" w:type="dxa"/>
            <w:tcBorders>
              <w:top w:val="single" w:sz="2" w:space="0" w:color="auto"/>
              <w:bottom w:val="single" w:sz="2" w:space="0" w:color="auto"/>
            </w:tcBorders>
            <w:noWrap/>
            <w:vAlign w:val="center"/>
            <w:hideMark/>
          </w:tcPr>
          <w:p w:rsidR="00EA7B05" w:rsidRPr="00137ECE" w:rsidRDefault="00EA7B05" w:rsidP="00635B1F">
            <w:pPr>
              <w:pStyle w:val="cuatexto"/>
            </w:pPr>
            <w:r w:rsidRPr="00137ECE">
              <w:t>Concedido</w:t>
            </w:r>
          </w:p>
        </w:tc>
        <w:tc>
          <w:tcPr>
            <w:tcW w:w="1303" w:type="dxa"/>
            <w:tcBorders>
              <w:top w:val="single" w:sz="2" w:space="0" w:color="auto"/>
              <w:bottom w:val="single" w:sz="2" w:space="0" w:color="auto"/>
            </w:tcBorders>
            <w:vAlign w:val="center"/>
          </w:tcPr>
          <w:p w:rsidR="00EA7B05" w:rsidRPr="00137ECE" w:rsidRDefault="00EA7B05" w:rsidP="00CA40CB">
            <w:pPr>
              <w:pStyle w:val="cuatexto"/>
              <w:jc w:val="right"/>
            </w:pPr>
            <w:r w:rsidRPr="00137ECE">
              <w:t>7.727.936</w:t>
            </w:r>
          </w:p>
        </w:tc>
      </w:tr>
      <w:tr w:rsidR="00EA7B05" w:rsidRPr="00137ECE" w:rsidTr="00EE634C">
        <w:trPr>
          <w:trHeight w:val="255"/>
          <w:jc w:val="center"/>
        </w:trPr>
        <w:tc>
          <w:tcPr>
            <w:tcW w:w="1586" w:type="dxa"/>
            <w:tcBorders>
              <w:top w:val="single" w:sz="2" w:space="0" w:color="auto"/>
              <w:bottom w:val="single" w:sz="2" w:space="0" w:color="auto"/>
            </w:tcBorders>
            <w:noWrap/>
            <w:vAlign w:val="center"/>
            <w:hideMark/>
          </w:tcPr>
          <w:p w:rsidR="00EA7B05" w:rsidRPr="00137ECE" w:rsidRDefault="00EA7B05" w:rsidP="00635B1F">
            <w:pPr>
              <w:pStyle w:val="cuatexto"/>
            </w:pPr>
            <w:r w:rsidRPr="00137ECE">
              <w:t>Diciembre, 2012</w:t>
            </w:r>
          </w:p>
        </w:tc>
        <w:tc>
          <w:tcPr>
            <w:tcW w:w="4648" w:type="dxa"/>
            <w:tcBorders>
              <w:top w:val="single" w:sz="2" w:space="0" w:color="auto"/>
              <w:bottom w:val="single" w:sz="2" w:space="0" w:color="auto"/>
            </w:tcBorders>
            <w:noWrap/>
            <w:vAlign w:val="center"/>
          </w:tcPr>
          <w:p w:rsidR="00EA7B05" w:rsidRPr="00137ECE" w:rsidRDefault="00EA7B05" w:rsidP="003363BC">
            <w:pPr>
              <w:pStyle w:val="cuatexto"/>
            </w:pPr>
            <w:r>
              <w:t>Retenciones de IRPF e IVA 2011 y 2012 y deuda en la agencia ejecutiva IVA 201</w:t>
            </w:r>
            <w:r w:rsidR="003363BC">
              <w:t>1. Ampliación de plazos de aplazamiento concedidos en 2010 y 2011</w:t>
            </w:r>
          </w:p>
        </w:tc>
        <w:tc>
          <w:tcPr>
            <w:tcW w:w="1303" w:type="dxa"/>
            <w:tcBorders>
              <w:top w:val="single" w:sz="2" w:space="0" w:color="auto"/>
              <w:bottom w:val="single" w:sz="2" w:space="0" w:color="auto"/>
            </w:tcBorders>
            <w:noWrap/>
            <w:vAlign w:val="center"/>
            <w:hideMark/>
          </w:tcPr>
          <w:p w:rsidR="00EA7B05" w:rsidRPr="00137ECE" w:rsidRDefault="00EA7B05" w:rsidP="00635B1F">
            <w:pPr>
              <w:pStyle w:val="cuatexto"/>
            </w:pPr>
            <w:r w:rsidRPr="00137ECE">
              <w:t>Concedido</w:t>
            </w:r>
          </w:p>
        </w:tc>
        <w:tc>
          <w:tcPr>
            <w:tcW w:w="1303" w:type="dxa"/>
            <w:tcBorders>
              <w:top w:val="single" w:sz="2" w:space="0" w:color="auto"/>
              <w:bottom w:val="single" w:sz="2" w:space="0" w:color="auto"/>
            </w:tcBorders>
            <w:vAlign w:val="center"/>
          </w:tcPr>
          <w:p w:rsidR="00EA7B05" w:rsidRPr="00137ECE" w:rsidRDefault="00EA7B05" w:rsidP="00CA40CB">
            <w:pPr>
              <w:pStyle w:val="cuatexto"/>
              <w:jc w:val="right"/>
            </w:pPr>
            <w:r w:rsidRPr="00137ECE">
              <w:t>8.293.855</w:t>
            </w:r>
          </w:p>
        </w:tc>
      </w:tr>
      <w:tr w:rsidR="00EA7B05" w:rsidRPr="00137ECE" w:rsidTr="00EE634C">
        <w:trPr>
          <w:trHeight w:val="255"/>
          <w:jc w:val="center"/>
        </w:trPr>
        <w:tc>
          <w:tcPr>
            <w:tcW w:w="1586" w:type="dxa"/>
            <w:tcBorders>
              <w:top w:val="single" w:sz="2" w:space="0" w:color="auto"/>
              <w:bottom w:val="single" w:sz="2" w:space="0" w:color="auto"/>
            </w:tcBorders>
            <w:noWrap/>
            <w:vAlign w:val="center"/>
            <w:hideMark/>
          </w:tcPr>
          <w:p w:rsidR="00EA7B05" w:rsidRPr="00137ECE" w:rsidRDefault="00EA7B05" w:rsidP="00635B1F">
            <w:pPr>
              <w:pStyle w:val="cuatexto"/>
            </w:pPr>
            <w:r w:rsidRPr="00137ECE">
              <w:t>Marzo, 2013</w:t>
            </w:r>
          </w:p>
        </w:tc>
        <w:tc>
          <w:tcPr>
            <w:tcW w:w="4648" w:type="dxa"/>
            <w:tcBorders>
              <w:top w:val="single" w:sz="2" w:space="0" w:color="auto"/>
              <w:bottom w:val="single" w:sz="2" w:space="0" w:color="auto"/>
            </w:tcBorders>
            <w:noWrap/>
            <w:vAlign w:val="center"/>
          </w:tcPr>
          <w:p w:rsidR="00EA7B05" w:rsidRPr="00137ECE" w:rsidRDefault="00EA7B05" w:rsidP="00635B1F">
            <w:pPr>
              <w:pStyle w:val="cuatexto"/>
            </w:pPr>
            <w:r>
              <w:t>Retenciones de IRPF diciembre 2012</w:t>
            </w:r>
          </w:p>
        </w:tc>
        <w:tc>
          <w:tcPr>
            <w:tcW w:w="1303" w:type="dxa"/>
            <w:tcBorders>
              <w:top w:val="single" w:sz="2" w:space="0" w:color="auto"/>
              <w:bottom w:val="single" w:sz="2" w:space="0" w:color="auto"/>
            </w:tcBorders>
            <w:noWrap/>
            <w:vAlign w:val="center"/>
            <w:hideMark/>
          </w:tcPr>
          <w:p w:rsidR="00EA7B05" w:rsidRPr="00137ECE" w:rsidRDefault="00EA7B05" w:rsidP="00635B1F">
            <w:pPr>
              <w:pStyle w:val="cuatexto"/>
            </w:pPr>
            <w:r w:rsidRPr="00137ECE">
              <w:t>Denegado</w:t>
            </w:r>
          </w:p>
        </w:tc>
        <w:tc>
          <w:tcPr>
            <w:tcW w:w="1303" w:type="dxa"/>
            <w:tcBorders>
              <w:top w:val="single" w:sz="2" w:space="0" w:color="auto"/>
              <w:bottom w:val="single" w:sz="2" w:space="0" w:color="auto"/>
            </w:tcBorders>
            <w:vAlign w:val="center"/>
          </w:tcPr>
          <w:p w:rsidR="00EA7B05" w:rsidRPr="00137ECE" w:rsidRDefault="00EA7B05" w:rsidP="00CA40CB">
            <w:pPr>
              <w:pStyle w:val="cuatexto"/>
              <w:jc w:val="right"/>
            </w:pPr>
            <w:r w:rsidRPr="002A1F1D">
              <w:t>2.5</w:t>
            </w:r>
            <w:r w:rsidR="00922B2B">
              <w:t>69</w:t>
            </w:r>
            <w:r w:rsidRPr="002A1F1D">
              <w:t>.836</w:t>
            </w:r>
          </w:p>
        </w:tc>
      </w:tr>
      <w:tr w:rsidR="00EA7B05" w:rsidRPr="00137ECE" w:rsidTr="00EE634C">
        <w:trPr>
          <w:trHeight w:val="255"/>
          <w:jc w:val="center"/>
        </w:trPr>
        <w:tc>
          <w:tcPr>
            <w:tcW w:w="1586" w:type="dxa"/>
            <w:tcBorders>
              <w:top w:val="single" w:sz="2" w:space="0" w:color="auto"/>
              <w:bottom w:val="single" w:sz="2" w:space="0" w:color="auto"/>
            </w:tcBorders>
            <w:noWrap/>
            <w:vAlign w:val="center"/>
            <w:hideMark/>
          </w:tcPr>
          <w:p w:rsidR="00EA7B05" w:rsidRPr="00137ECE" w:rsidRDefault="00EA7B05" w:rsidP="00635B1F">
            <w:pPr>
              <w:pStyle w:val="cuatexto"/>
            </w:pPr>
            <w:r w:rsidRPr="00137ECE">
              <w:t>Octubre, 2013</w:t>
            </w:r>
          </w:p>
        </w:tc>
        <w:tc>
          <w:tcPr>
            <w:tcW w:w="4648" w:type="dxa"/>
            <w:tcBorders>
              <w:top w:val="single" w:sz="2" w:space="0" w:color="auto"/>
              <w:bottom w:val="single" w:sz="2" w:space="0" w:color="auto"/>
            </w:tcBorders>
            <w:noWrap/>
            <w:vAlign w:val="center"/>
          </w:tcPr>
          <w:p w:rsidR="00EA7B05" w:rsidRPr="00137ECE" w:rsidRDefault="00481CA1" w:rsidP="00481CA1">
            <w:pPr>
              <w:pStyle w:val="cuatexto"/>
            </w:pPr>
            <w:r>
              <w:t>Sanción tributaria y r</w:t>
            </w:r>
            <w:r w:rsidR="008C5383">
              <w:t>etenciones de IRPF</w:t>
            </w:r>
            <w:r w:rsidR="00127527">
              <w:t xml:space="preserve"> 2007 a 2011</w:t>
            </w:r>
          </w:p>
        </w:tc>
        <w:tc>
          <w:tcPr>
            <w:tcW w:w="1303" w:type="dxa"/>
            <w:tcBorders>
              <w:top w:val="single" w:sz="2" w:space="0" w:color="auto"/>
              <w:bottom w:val="single" w:sz="2" w:space="0" w:color="auto"/>
            </w:tcBorders>
            <w:noWrap/>
            <w:vAlign w:val="center"/>
            <w:hideMark/>
          </w:tcPr>
          <w:p w:rsidR="00EA7B05" w:rsidRPr="00137ECE" w:rsidRDefault="00EA7B05" w:rsidP="00635B1F">
            <w:pPr>
              <w:pStyle w:val="cuatexto"/>
            </w:pPr>
            <w:r w:rsidRPr="00137ECE">
              <w:t>Concedido</w:t>
            </w:r>
          </w:p>
        </w:tc>
        <w:tc>
          <w:tcPr>
            <w:tcW w:w="1303" w:type="dxa"/>
            <w:tcBorders>
              <w:top w:val="single" w:sz="2" w:space="0" w:color="auto"/>
              <w:bottom w:val="single" w:sz="2" w:space="0" w:color="auto"/>
            </w:tcBorders>
            <w:vAlign w:val="center"/>
          </w:tcPr>
          <w:p w:rsidR="00EA7B05" w:rsidRPr="00137ECE" w:rsidRDefault="00EA7B05" w:rsidP="00CA40CB">
            <w:pPr>
              <w:pStyle w:val="cuatexto"/>
              <w:jc w:val="right"/>
            </w:pPr>
            <w:r w:rsidRPr="00137ECE">
              <w:t>4.665.343</w:t>
            </w:r>
          </w:p>
        </w:tc>
      </w:tr>
      <w:tr w:rsidR="00EA7B05" w:rsidRPr="00137ECE" w:rsidTr="00EE634C">
        <w:trPr>
          <w:trHeight w:val="255"/>
          <w:jc w:val="center"/>
        </w:trPr>
        <w:tc>
          <w:tcPr>
            <w:tcW w:w="1586" w:type="dxa"/>
            <w:tcBorders>
              <w:top w:val="single" w:sz="2" w:space="0" w:color="auto"/>
              <w:bottom w:val="single" w:sz="4" w:space="0" w:color="auto"/>
            </w:tcBorders>
            <w:noWrap/>
            <w:vAlign w:val="center"/>
            <w:hideMark/>
          </w:tcPr>
          <w:p w:rsidR="00EA7B05" w:rsidRPr="00137ECE" w:rsidRDefault="00EA7B05" w:rsidP="00635B1F">
            <w:pPr>
              <w:pStyle w:val="cuatexto"/>
            </w:pPr>
            <w:r w:rsidRPr="00137ECE">
              <w:t>Noviembre, 2013</w:t>
            </w:r>
          </w:p>
        </w:tc>
        <w:tc>
          <w:tcPr>
            <w:tcW w:w="4648" w:type="dxa"/>
            <w:tcBorders>
              <w:top w:val="single" w:sz="2" w:space="0" w:color="auto"/>
              <w:bottom w:val="single" w:sz="4" w:space="0" w:color="auto"/>
            </w:tcBorders>
            <w:noWrap/>
            <w:vAlign w:val="center"/>
          </w:tcPr>
          <w:p w:rsidR="00EA7B05" w:rsidRPr="00137ECE" w:rsidRDefault="00EA7B05" w:rsidP="00635B1F">
            <w:pPr>
              <w:pStyle w:val="cuatexto"/>
            </w:pPr>
            <w:r>
              <w:t>IVA septiembre 2013</w:t>
            </w:r>
          </w:p>
        </w:tc>
        <w:tc>
          <w:tcPr>
            <w:tcW w:w="1303" w:type="dxa"/>
            <w:tcBorders>
              <w:top w:val="single" w:sz="2" w:space="0" w:color="auto"/>
              <w:bottom w:val="single" w:sz="4" w:space="0" w:color="auto"/>
            </w:tcBorders>
            <w:noWrap/>
            <w:vAlign w:val="center"/>
            <w:hideMark/>
          </w:tcPr>
          <w:p w:rsidR="00EA7B05" w:rsidRPr="00137ECE" w:rsidRDefault="00EA7B05" w:rsidP="00635B1F">
            <w:pPr>
              <w:pStyle w:val="cuatexto"/>
            </w:pPr>
            <w:r w:rsidRPr="00137ECE">
              <w:t>Denegado</w:t>
            </w:r>
          </w:p>
        </w:tc>
        <w:tc>
          <w:tcPr>
            <w:tcW w:w="1303" w:type="dxa"/>
            <w:tcBorders>
              <w:top w:val="single" w:sz="2" w:space="0" w:color="auto"/>
              <w:bottom w:val="single" w:sz="4" w:space="0" w:color="auto"/>
            </w:tcBorders>
            <w:vAlign w:val="center"/>
          </w:tcPr>
          <w:p w:rsidR="00EA7B05" w:rsidRPr="00137ECE" w:rsidRDefault="00EA7B05" w:rsidP="00CA40CB">
            <w:pPr>
              <w:pStyle w:val="cuatexto"/>
              <w:jc w:val="right"/>
            </w:pPr>
            <w:r w:rsidRPr="002A1F1D">
              <w:t>1.173.792</w:t>
            </w:r>
          </w:p>
        </w:tc>
      </w:tr>
    </w:tbl>
    <w:p w:rsidR="00872CF4" w:rsidRPr="00A90586" w:rsidRDefault="00872CF4" w:rsidP="00EE634C">
      <w:pPr>
        <w:pStyle w:val="texto"/>
        <w:tabs>
          <w:tab w:val="clear" w:pos="2835"/>
          <w:tab w:val="clear" w:pos="3969"/>
          <w:tab w:val="clear" w:pos="5103"/>
          <w:tab w:val="clear" w:pos="6237"/>
          <w:tab w:val="clear" w:pos="7371"/>
        </w:tabs>
        <w:spacing w:after="0"/>
        <w:rPr>
          <w:szCs w:val="26"/>
        </w:rPr>
      </w:pPr>
    </w:p>
    <w:p w:rsidR="004453B1" w:rsidRPr="00EE00A7" w:rsidRDefault="004453B1" w:rsidP="00EF715B">
      <w:pPr>
        <w:pStyle w:val="texto"/>
        <w:tabs>
          <w:tab w:val="clear" w:pos="2835"/>
          <w:tab w:val="clear" w:pos="3969"/>
          <w:tab w:val="clear" w:pos="5103"/>
          <w:tab w:val="clear" w:pos="6237"/>
          <w:tab w:val="clear" w:pos="7371"/>
        </w:tabs>
        <w:rPr>
          <w:szCs w:val="26"/>
        </w:rPr>
      </w:pPr>
      <w:r w:rsidRPr="00EE00A7">
        <w:rPr>
          <w:szCs w:val="26"/>
        </w:rPr>
        <w:t>Sobre las retenciones</w:t>
      </w:r>
      <w:r w:rsidR="00EE00A7" w:rsidRPr="00EE00A7">
        <w:rPr>
          <w:szCs w:val="26"/>
        </w:rPr>
        <w:t xml:space="preserve"> de IRPF, señalamos que</w:t>
      </w:r>
      <w:r w:rsidR="00B06746">
        <w:rPr>
          <w:szCs w:val="26"/>
        </w:rPr>
        <w:t>, con carácter general, en</w:t>
      </w:r>
      <w:r w:rsidR="00EE00A7" w:rsidRPr="00EE00A7">
        <w:rPr>
          <w:szCs w:val="26"/>
        </w:rPr>
        <w:t xml:space="preserve"> </w:t>
      </w:r>
      <w:r w:rsidR="00553A5E">
        <w:rPr>
          <w:szCs w:val="26"/>
        </w:rPr>
        <w:t>los</w:t>
      </w:r>
      <w:r w:rsidR="00EE00A7" w:rsidRPr="00EE00A7">
        <w:rPr>
          <w:szCs w:val="26"/>
        </w:rPr>
        <w:t xml:space="preserve"> mes</w:t>
      </w:r>
      <w:r w:rsidR="00553A5E">
        <w:rPr>
          <w:szCs w:val="26"/>
        </w:rPr>
        <w:t>es</w:t>
      </w:r>
      <w:r w:rsidR="00EE00A7" w:rsidRPr="00EE00A7">
        <w:rPr>
          <w:szCs w:val="26"/>
        </w:rPr>
        <w:t xml:space="preserve"> de diciembre se </w:t>
      </w:r>
      <w:r w:rsidR="00231A37" w:rsidRPr="00EE00A7">
        <w:rPr>
          <w:szCs w:val="26"/>
        </w:rPr>
        <w:t>concentra</w:t>
      </w:r>
      <w:r w:rsidR="00EE00A7" w:rsidRPr="00EE00A7">
        <w:rPr>
          <w:szCs w:val="26"/>
        </w:rPr>
        <w:t xml:space="preserve"> el mayor volumen de este impuesto dado que coincide con el pago de la ficha a jugadores.</w:t>
      </w:r>
    </w:p>
    <w:p w:rsidR="0031219F" w:rsidRPr="001E5C1F" w:rsidRDefault="000B1805"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1E5C1F">
        <w:rPr>
          <w:szCs w:val="26"/>
        </w:rPr>
        <w:t xml:space="preserve">Se han </w:t>
      </w:r>
      <w:r w:rsidR="002312AF" w:rsidRPr="001E5C1F">
        <w:rPr>
          <w:szCs w:val="26"/>
        </w:rPr>
        <w:t>tramita</w:t>
      </w:r>
      <w:r w:rsidRPr="001E5C1F">
        <w:rPr>
          <w:szCs w:val="26"/>
        </w:rPr>
        <w:t>do</w:t>
      </w:r>
      <w:r w:rsidR="00EA7B05" w:rsidRPr="001E5C1F">
        <w:rPr>
          <w:szCs w:val="26"/>
        </w:rPr>
        <w:t xml:space="preserve"> </w:t>
      </w:r>
      <w:r w:rsidR="009F5BAD" w:rsidRPr="001E5C1F">
        <w:rPr>
          <w:szCs w:val="26"/>
        </w:rPr>
        <w:t>según</w:t>
      </w:r>
      <w:r w:rsidR="00EA7B05" w:rsidRPr="001E5C1F">
        <w:rPr>
          <w:szCs w:val="26"/>
        </w:rPr>
        <w:t xml:space="preserve"> la normativa tributaria excepto el de</w:t>
      </w:r>
      <w:r w:rsidR="0031219F" w:rsidRPr="001E5C1F">
        <w:rPr>
          <w:szCs w:val="26"/>
        </w:rPr>
        <w:t xml:space="preserve"> mayo de 2009</w:t>
      </w:r>
      <w:r w:rsidR="00E43758" w:rsidRPr="001E5C1F">
        <w:rPr>
          <w:szCs w:val="26"/>
        </w:rPr>
        <w:t>,</w:t>
      </w:r>
      <w:r w:rsidR="0031219F" w:rsidRPr="001E5C1F">
        <w:rPr>
          <w:szCs w:val="26"/>
        </w:rPr>
        <w:t xml:space="preserve"> </w:t>
      </w:r>
      <w:r w:rsidR="00EA7B05" w:rsidRPr="001E5C1F">
        <w:rPr>
          <w:szCs w:val="26"/>
        </w:rPr>
        <w:t>que se realiza al amparo de la Ley Foral 3/200</w:t>
      </w:r>
      <w:r w:rsidR="00A85B47" w:rsidRPr="001E5C1F">
        <w:rPr>
          <w:szCs w:val="26"/>
        </w:rPr>
        <w:t>0</w:t>
      </w:r>
      <w:r w:rsidR="00EA7B05" w:rsidRPr="001E5C1F">
        <w:rPr>
          <w:szCs w:val="26"/>
        </w:rPr>
        <w:t>, de Salvamento y Reestructuración de em</w:t>
      </w:r>
      <w:r w:rsidR="004C1D9B" w:rsidRPr="001E5C1F">
        <w:rPr>
          <w:szCs w:val="26"/>
        </w:rPr>
        <w:t xml:space="preserve">presas en crisis y su </w:t>
      </w:r>
      <w:r w:rsidR="00EA7B05" w:rsidRPr="001E5C1F">
        <w:rPr>
          <w:szCs w:val="26"/>
        </w:rPr>
        <w:t>desarrollo</w:t>
      </w:r>
      <w:r w:rsidR="004C1D9B" w:rsidRPr="001E5C1F">
        <w:rPr>
          <w:szCs w:val="26"/>
        </w:rPr>
        <w:t xml:space="preserve"> posterior</w:t>
      </w:r>
      <w:r w:rsidR="00EA7B05" w:rsidRPr="001E5C1F">
        <w:rPr>
          <w:szCs w:val="26"/>
        </w:rPr>
        <w:t>.</w:t>
      </w:r>
      <w:r w:rsidR="009527B2" w:rsidRPr="001E5C1F">
        <w:rPr>
          <w:szCs w:val="26"/>
        </w:rPr>
        <w:t xml:space="preserve"> Ello implicó, entre otros, </w:t>
      </w:r>
      <w:r w:rsidR="00D14B06" w:rsidRPr="001E5C1F">
        <w:rPr>
          <w:szCs w:val="26"/>
        </w:rPr>
        <w:t>los siguientes aspectos relevantes</w:t>
      </w:r>
      <w:r w:rsidR="009527B2" w:rsidRPr="001E5C1F">
        <w:rPr>
          <w:szCs w:val="26"/>
        </w:rPr>
        <w:t>: su tramitación</w:t>
      </w:r>
      <w:r w:rsidRPr="001E5C1F">
        <w:rPr>
          <w:szCs w:val="26"/>
        </w:rPr>
        <w:t xml:space="preserve"> y control se gesti</w:t>
      </w:r>
      <w:r w:rsidR="00344465">
        <w:rPr>
          <w:szCs w:val="26"/>
        </w:rPr>
        <w:t>onó</w:t>
      </w:r>
      <w:r w:rsidR="00D14B06" w:rsidRPr="001E5C1F">
        <w:rPr>
          <w:szCs w:val="26"/>
        </w:rPr>
        <w:t xml:space="preserve"> fundamentalmente</w:t>
      </w:r>
      <w:r w:rsidRPr="001E5C1F">
        <w:rPr>
          <w:szCs w:val="26"/>
        </w:rPr>
        <w:t xml:space="preserve"> por</w:t>
      </w:r>
      <w:r w:rsidR="009527B2" w:rsidRPr="001E5C1F">
        <w:rPr>
          <w:szCs w:val="26"/>
        </w:rPr>
        <w:t xml:space="preserve"> el </w:t>
      </w:r>
      <w:r w:rsidR="00344465">
        <w:rPr>
          <w:szCs w:val="26"/>
        </w:rPr>
        <w:t xml:space="preserve">entonces </w:t>
      </w:r>
      <w:r w:rsidR="009527B2" w:rsidRPr="001E5C1F">
        <w:rPr>
          <w:szCs w:val="26"/>
        </w:rPr>
        <w:t>departamento de Industria</w:t>
      </w:r>
      <w:r w:rsidR="001E5C1F" w:rsidRPr="001E5C1F">
        <w:rPr>
          <w:szCs w:val="26"/>
        </w:rPr>
        <w:t xml:space="preserve"> y</w:t>
      </w:r>
      <w:r w:rsidR="009527B2" w:rsidRPr="001E5C1F">
        <w:rPr>
          <w:szCs w:val="26"/>
        </w:rPr>
        <w:t xml:space="preserve"> el tipo de interés aplica</w:t>
      </w:r>
      <w:r w:rsidRPr="001E5C1F">
        <w:rPr>
          <w:szCs w:val="26"/>
        </w:rPr>
        <w:t xml:space="preserve">do </w:t>
      </w:r>
      <w:r w:rsidR="009527B2" w:rsidRPr="001E5C1F">
        <w:rPr>
          <w:szCs w:val="26"/>
        </w:rPr>
        <w:t>es sustancialmente inferior al tipo tributario</w:t>
      </w:r>
      <w:r w:rsidR="00E7495B" w:rsidRPr="001E5C1F">
        <w:rPr>
          <w:szCs w:val="26"/>
        </w:rPr>
        <w:t xml:space="preserve"> aplicado a estas figuras</w:t>
      </w:r>
      <w:r w:rsidR="009527B2" w:rsidRPr="001E5C1F">
        <w:rPr>
          <w:szCs w:val="26"/>
        </w:rPr>
        <w:t xml:space="preserve"> –el</w:t>
      </w:r>
      <w:r w:rsidR="00A23F00" w:rsidRPr="001E5C1F">
        <w:rPr>
          <w:szCs w:val="26"/>
        </w:rPr>
        <w:t xml:space="preserve"> 1,7 frente al 5 por ciento</w:t>
      </w:r>
      <w:r w:rsidR="00EE634C">
        <w:rPr>
          <w:szCs w:val="26"/>
        </w:rPr>
        <w:t>–</w:t>
      </w:r>
      <w:r w:rsidR="001E5C1F" w:rsidRPr="001E5C1F">
        <w:rPr>
          <w:szCs w:val="26"/>
        </w:rPr>
        <w:t>.</w:t>
      </w:r>
      <w:r w:rsidR="00D14B06" w:rsidRPr="001E5C1F">
        <w:rPr>
          <w:szCs w:val="26"/>
        </w:rPr>
        <w:t xml:space="preserve"> </w:t>
      </w:r>
      <w:r w:rsidR="004F41AB">
        <w:rPr>
          <w:szCs w:val="26"/>
        </w:rPr>
        <w:t xml:space="preserve">    </w:t>
      </w:r>
    </w:p>
    <w:p w:rsidR="0035334F" w:rsidRPr="00D535E0" w:rsidRDefault="0035334F"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D535E0">
        <w:rPr>
          <w:szCs w:val="26"/>
        </w:rPr>
        <w:t xml:space="preserve">De la propia revisión de los expedientes que acompañan a los acuerdos, se observa la existencia de </w:t>
      </w:r>
      <w:r w:rsidR="00150A1E">
        <w:rPr>
          <w:szCs w:val="26"/>
        </w:rPr>
        <w:t>conversaciones</w:t>
      </w:r>
      <w:r w:rsidRPr="00D535E0">
        <w:rPr>
          <w:szCs w:val="26"/>
        </w:rPr>
        <w:t xml:space="preserve"> previas y exigencia de documentación por parte de</w:t>
      </w:r>
      <w:r w:rsidR="0013637D">
        <w:rPr>
          <w:szCs w:val="26"/>
        </w:rPr>
        <w:t xml:space="preserve"> la HTN antes de la </w:t>
      </w:r>
      <w:r w:rsidRPr="00D535E0">
        <w:rPr>
          <w:szCs w:val="26"/>
        </w:rPr>
        <w:t>concesión formal del aplazamiento/fraccionamiento; igualmente desde la fecha de la solicitud hasta la conce</w:t>
      </w:r>
      <w:r w:rsidR="00EE00A7">
        <w:rPr>
          <w:szCs w:val="26"/>
        </w:rPr>
        <w:t xml:space="preserve">sión, </w:t>
      </w:r>
      <w:r w:rsidRPr="00D535E0">
        <w:rPr>
          <w:szCs w:val="26"/>
        </w:rPr>
        <w:t xml:space="preserve">el </w:t>
      </w:r>
      <w:r w:rsidR="006706E7">
        <w:rPr>
          <w:szCs w:val="26"/>
        </w:rPr>
        <w:t>c</w:t>
      </w:r>
      <w:r w:rsidRPr="00D535E0">
        <w:rPr>
          <w:szCs w:val="26"/>
        </w:rPr>
        <w:t xml:space="preserve">lub </w:t>
      </w:r>
      <w:r w:rsidR="00F4123E">
        <w:rPr>
          <w:szCs w:val="26"/>
        </w:rPr>
        <w:t>realizó</w:t>
      </w:r>
      <w:r w:rsidR="00EE00A7">
        <w:rPr>
          <w:szCs w:val="26"/>
        </w:rPr>
        <w:t>, en algunos supuestos,</w:t>
      </w:r>
      <w:r w:rsidRPr="00D535E0">
        <w:rPr>
          <w:szCs w:val="26"/>
        </w:rPr>
        <w:t xml:space="preserve"> pagos concretos sobre las cantidades adeudadas y solicitadas previamente.</w:t>
      </w:r>
    </w:p>
    <w:p w:rsidR="005E5296" w:rsidRDefault="005E5296" w:rsidP="005E5296">
      <w:pPr>
        <w:pStyle w:val="texto"/>
        <w:tabs>
          <w:tab w:val="clear" w:pos="2835"/>
          <w:tab w:val="clear" w:pos="3969"/>
          <w:tab w:val="clear" w:pos="5103"/>
          <w:tab w:val="clear" w:pos="6237"/>
          <w:tab w:val="clear" w:pos="7371"/>
          <w:tab w:val="num" w:pos="300"/>
        </w:tabs>
        <w:rPr>
          <w:szCs w:val="26"/>
        </w:rPr>
      </w:pPr>
      <w:r w:rsidRPr="009527B2">
        <w:rPr>
          <w:szCs w:val="26"/>
        </w:rPr>
        <w:t>El conjunto de los anteriores aplazamientos</w:t>
      </w:r>
      <w:r>
        <w:rPr>
          <w:szCs w:val="26"/>
        </w:rPr>
        <w:t xml:space="preserve"> de deuda</w:t>
      </w:r>
      <w:r w:rsidRPr="009527B2">
        <w:rPr>
          <w:szCs w:val="26"/>
        </w:rPr>
        <w:t xml:space="preserve"> pone de relieve que, una vez que el </w:t>
      </w:r>
      <w:r w:rsidR="006706E7">
        <w:rPr>
          <w:szCs w:val="26"/>
        </w:rPr>
        <w:t>c</w:t>
      </w:r>
      <w:r w:rsidRPr="009527B2">
        <w:rPr>
          <w:szCs w:val="26"/>
        </w:rPr>
        <w:t xml:space="preserve">lub se puso al día del pago de sus deudas tributarias en mayo de 2003, desde mediados de dicho año vuelve a incumplir reiteradamente en vía ordinaria sus obligaciones fiscales de presentación y pago, precisando la solicitud </w:t>
      </w:r>
      <w:r>
        <w:rPr>
          <w:szCs w:val="26"/>
        </w:rPr>
        <w:t>reiterada</w:t>
      </w:r>
      <w:r w:rsidRPr="009527B2">
        <w:rPr>
          <w:szCs w:val="26"/>
        </w:rPr>
        <w:t xml:space="preserve"> de aplazamientos</w:t>
      </w:r>
      <w:r>
        <w:rPr>
          <w:szCs w:val="26"/>
        </w:rPr>
        <w:t xml:space="preserve"> de su deuda tributaria</w:t>
      </w:r>
      <w:r w:rsidRPr="009527B2">
        <w:rPr>
          <w:szCs w:val="26"/>
        </w:rPr>
        <w:t>, además de soportar los recargos e intereses correspondientes.</w:t>
      </w:r>
    </w:p>
    <w:p w:rsidR="005E5296" w:rsidRPr="005E5296" w:rsidRDefault="005E5296" w:rsidP="005E5296">
      <w:pPr>
        <w:pStyle w:val="texto"/>
        <w:tabs>
          <w:tab w:val="clear" w:pos="2835"/>
          <w:tab w:val="clear" w:pos="3969"/>
          <w:tab w:val="clear" w:pos="5103"/>
          <w:tab w:val="clear" w:pos="6237"/>
          <w:tab w:val="clear" w:pos="7371"/>
          <w:tab w:val="num" w:pos="300"/>
        </w:tabs>
        <w:rPr>
          <w:szCs w:val="26"/>
        </w:rPr>
      </w:pPr>
      <w:r w:rsidRPr="005E5296">
        <w:rPr>
          <w:szCs w:val="26"/>
        </w:rPr>
        <w:t xml:space="preserve">A 31 de diciembre de 2014, el saldo pendiente de los anteriores aplazamientos, incluyendo </w:t>
      </w:r>
      <w:r w:rsidR="00B805FF">
        <w:rPr>
          <w:szCs w:val="26"/>
        </w:rPr>
        <w:t>recargos e intereses devengados hasta esa fecha</w:t>
      </w:r>
      <w:r w:rsidRPr="005E5296">
        <w:rPr>
          <w:szCs w:val="26"/>
        </w:rPr>
        <w:t xml:space="preserve">, ascendía a 36,75 millones; el importe del principal era de 30,74 millones. </w:t>
      </w:r>
    </w:p>
    <w:p w:rsidR="00196A28" w:rsidRPr="00EE00A7" w:rsidRDefault="0013637D" w:rsidP="00F4123E">
      <w:pPr>
        <w:pStyle w:val="texto"/>
        <w:tabs>
          <w:tab w:val="clear" w:pos="2835"/>
          <w:tab w:val="clear" w:pos="3969"/>
          <w:tab w:val="clear" w:pos="5103"/>
          <w:tab w:val="clear" w:pos="6237"/>
          <w:tab w:val="clear" w:pos="7371"/>
          <w:tab w:val="num" w:pos="300"/>
        </w:tabs>
        <w:rPr>
          <w:szCs w:val="26"/>
        </w:rPr>
      </w:pPr>
      <w:r w:rsidRPr="00EE00A7">
        <w:rPr>
          <w:szCs w:val="26"/>
        </w:rPr>
        <w:t>Por otra parte, conviene precisar que, e</w:t>
      </w:r>
      <w:r w:rsidR="00196A28" w:rsidRPr="00EE00A7">
        <w:rPr>
          <w:szCs w:val="26"/>
        </w:rPr>
        <w:t xml:space="preserve">n el periodo analizado y al objeto de adaptar la legislación tributaria de aplazamientos/fraccionamientos a la situación </w:t>
      </w:r>
      <w:r w:rsidR="00324269">
        <w:rPr>
          <w:szCs w:val="26"/>
        </w:rPr>
        <w:t xml:space="preserve">de crisis </w:t>
      </w:r>
      <w:r w:rsidR="00196A28" w:rsidRPr="00EE00A7">
        <w:rPr>
          <w:szCs w:val="26"/>
        </w:rPr>
        <w:t>económica, se va modificando</w:t>
      </w:r>
      <w:r w:rsidR="005E5296">
        <w:rPr>
          <w:szCs w:val="26"/>
        </w:rPr>
        <w:t xml:space="preserve"> anualmente, desde 2009, </w:t>
      </w:r>
      <w:r w:rsidR="00196A28" w:rsidRPr="00EE00A7">
        <w:rPr>
          <w:szCs w:val="26"/>
        </w:rPr>
        <w:t>una serie de requisitos para su concesión –importes mínimos, plazos, porcentaje de pago a cuenta previo, dispensa de garantías…</w:t>
      </w:r>
      <w:r w:rsidR="00EE634C">
        <w:rPr>
          <w:szCs w:val="26"/>
        </w:rPr>
        <w:t>–</w:t>
      </w:r>
      <w:r w:rsidR="00196A28" w:rsidRPr="00EE00A7">
        <w:rPr>
          <w:szCs w:val="26"/>
        </w:rPr>
        <w:t xml:space="preserve"> así como el límite del número de aplazamientos vivos para solicitar otro nuevo</w:t>
      </w:r>
      <w:r w:rsidR="00324269">
        <w:rPr>
          <w:szCs w:val="26"/>
        </w:rPr>
        <w:t>; esta adaptación tiene como finalidad facilitar</w:t>
      </w:r>
      <w:r w:rsidR="000035B7">
        <w:rPr>
          <w:szCs w:val="26"/>
        </w:rPr>
        <w:t xml:space="preserve"> la</w:t>
      </w:r>
      <w:r w:rsidR="00324269">
        <w:rPr>
          <w:szCs w:val="26"/>
        </w:rPr>
        <w:t xml:space="preserve"> concesión de aplazamiento a los contribuyentes con dificultades financieras al objeto de que cumplan con su obligaciones tributarias</w:t>
      </w:r>
      <w:r w:rsidR="00196A28" w:rsidRPr="00EE00A7">
        <w:rPr>
          <w:szCs w:val="26"/>
        </w:rPr>
        <w:t xml:space="preserve">. </w:t>
      </w:r>
      <w:r w:rsidR="0023437C" w:rsidRPr="00EE00A7">
        <w:rPr>
          <w:szCs w:val="26"/>
        </w:rPr>
        <w:t>Asimismo</w:t>
      </w:r>
      <w:r w:rsidR="00196A28" w:rsidRPr="00EE00A7">
        <w:rPr>
          <w:szCs w:val="26"/>
        </w:rPr>
        <w:t xml:space="preserve">, la propia normativa contempla la aplicación en la concesión del principio de excepcionalidad por parte del órgano competente para dictar la resolución, cuando concurran diversas circunstancias. </w:t>
      </w:r>
    </w:p>
    <w:p w:rsidR="00EE634C" w:rsidRDefault="00231A37" w:rsidP="007528E8">
      <w:pPr>
        <w:pStyle w:val="texto"/>
        <w:tabs>
          <w:tab w:val="clear" w:pos="2835"/>
          <w:tab w:val="clear" w:pos="3969"/>
          <w:tab w:val="clear" w:pos="5103"/>
          <w:tab w:val="clear" w:pos="6237"/>
          <w:tab w:val="clear" w:pos="7371"/>
        </w:tabs>
      </w:pPr>
      <w:r>
        <w:rPr>
          <w:b/>
        </w:rPr>
        <w:t>11</w:t>
      </w:r>
      <w:r w:rsidR="00B81909" w:rsidRPr="00B81909">
        <w:rPr>
          <w:b/>
        </w:rPr>
        <w:t xml:space="preserve">.ª </w:t>
      </w:r>
      <w:r w:rsidR="009F5BAD" w:rsidRPr="007528E8">
        <w:rPr>
          <w:b/>
        </w:rPr>
        <w:t>Revisión de los expedientes de aplazamiento</w:t>
      </w:r>
      <w:r w:rsidR="007528E8">
        <w:rPr>
          <w:b/>
        </w:rPr>
        <w:t>/</w:t>
      </w:r>
      <w:r w:rsidR="009F5BAD" w:rsidRPr="007528E8">
        <w:rPr>
          <w:b/>
        </w:rPr>
        <w:t>fraccionamiento</w:t>
      </w:r>
    </w:p>
    <w:p w:rsidR="004762E0" w:rsidRDefault="006361C4" w:rsidP="007528E8">
      <w:pPr>
        <w:pStyle w:val="texto"/>
        <w:tabs>
          <w:tab w:val="clear" w:pos="2835"/>
          <w:tab w:val="clear" w:pos="3969"/>
          <w:tab w:val="clear" w:pos="5103"/>
          <w:tab w:val="clear" w:pos="6237"/>
          <w:tab w:val="clear" w:pos="7371"/>
        </w:tabs>
      </w:pPr>
      <w:r>
        <w:t>De la revisión realizada, destacamos:</w:t>
      </w:r>
    </w:p>
    <w:p w:rsidR="00B57392" w:rsidRPr="00D535E0" w:rsidRDefault="00B57392"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D535E0">
        <w:rPr>
          <w:szCs w:val="26"/>
        </w:rPr>
        <w:t xml:space="preserve">Todos los expedientes incluyen el informe de valoración emitido por el </w:t>
      </w:r>
      <w:r w:rsidR="005F1C7E">
        <w:rPr>
          <w:szCs w:val="26"/>
        </w:rPr>
        <w:t>s</w:t>
      </w:r>
      <w:r w:rsidRPr="00D535E0">
        <w:rPr>
          <w:szCs w:val="26"/>
        </w:rPr>
        <w:t>ervicio de Recaudación. En el concedido al amparo de la Ley Foral de Salva</w:t>
      </w:r>
      <w:r w:rsidR="00EC6A20" w:rsidRPr="00D535E0">
        <w:rPr>
          <w:szCs w:val="26"/>
        </w:rPr>
        <w:t xml:space="preserve">mento de </w:t>
      </w:r>
      <w:r w:rsidR="00D57390">
        <w:rPr>
          <w:szCs w:val="26"/>
        </w:rPr>
        <w:t>E</w:t>
      </w:r>
      <w:r w:rsidR="00EC6A20" w:rsidRPr="00D535E0">
        <w:rPr>
          <w:szCs w:val="26"/>
        </w:rPr>
        <w:t xml:space="preserve">mpresas en </w:t>
      </w:r>
      <w:r w:rsidR="00D57390">
        <w:rPr>
          <w:szCs w:val="26"/>
        </w:rPr>
        <w:t>C</w:t>
      </w:r>
      <w:r w:rsidR="00EC6A20" w:rsidRPr="00D535E0">
        <w:rPr>
          <w:szCs w:val="26"/>
        </w:rPr>
        <w:t xml:space="preserve">risis </w:t>
      </w:r>
      <w:r w:rsidR="00B8548A" w:rsidRPr="00D535E0">
        <w:rPr>
          <w:szCs w:val="26"/>
        </w:rPr>
        <w:t>incluye</w:t>
      </w:r>
      <w:r w:rsidR="00EC6A20" w:rsidRPr="00D535E0">
        <w:rPr>
          <w:szCs w:val="26"/>
        </w:rPr>
        <w:t>, además,</w:t>
      </w:r>
      <w:r w:rsidR="00B8548A" w:rsidRPr="00D535E0">
        <w:rPr>
          <w:szCs w:val="26"/>
        </w:rPr>
        <w:t xml:space="preserve"> un</w:t>
      </w:r>
      <w:r w:rsidRPr="00D535E0">
        <w:rPr>
          <w:szCs w:val="26"/>
        </w:rPr>
        <w:t xml:space="preserve"> informe </w:t>
      </w:r>
      <w:r w:rsidR="00B8548A" w:rsidRPr="00D535E0">
        <w:rPr>
          <w:szCs w:val="26"/>
        </w:rPr>
        <w:t>de</w:t>
      </w:r>
      <w:r w:rsidRPr="00D535E0">
        <w:rPr>
          <w:szCs w:val="26"/>
        </w:rPr>
        <w:t xml:space="preserve"> la sección de Reordenación Industrial.</w:t>
      </w:r>
    </w:p>
    <w:p w:rsidR="00D64B04" w:rsidRPr="00D535E0" w:rsidRDefault="0013637D"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 xml:space="preserve">Todos </w:t>
      </w:r>
      <w:r w:rsidR="00D64B04" w:rsidRPr="00D535E0">
        <w:rPr>
          <w:szCs w:val="26"/>
        </w:rPr>
        <w:t>han sido resueltos por órgano competente, a tenor de los límites por importe que señala la normativa.</w:t>
      </w:r>
    </w:p>
    <w:p w:rsidR="007E7D02" w:rsidRPr="00D535E0" w:rsidRDefault="007E7D02"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D535E0">
        <w:rPr>
          <w:szCs w:val="26"/>
        </w:rPr>
        <w:t xml:space="preserve">Las cantidades aplazadas están gravadas con el tipo de interés de demora </w:t>
      </w:r>
      <w:r w:rsidR="00205EDE" w:rsidRPr="00D535E0">
        <w:rPr>
          <w:szCs w:val="26"/>
        </w:rPr>
        <w:t>vigente</w:t>
      </w:r>
      <w:r w:rsidRPr="00D535E0">
        <w:rPr>
          <w:szCs w:val="26"/>
        </w:rPr>
        <w:t xml:space="preserve"> en el correspondiente ejercicio.</w:t>
      </w:r>
      <w:r w:rsidR="00205EDE" w:rsidRPr="00D535E0">
        <w:rPr>
          <w:szCs w:val="26"/>
        </w:rPr>
        <w:t xml:space="preserve"> Como ya hemos comentado, al gestionado por el </w:t>
      </w:r>
      <w:r w:rsidR="005F1C7E">
        <w:rPr>
          <w:szCs w:val="26"/>
        </w:rPr>
        <w:t xml:space="preserve">entonces </w:t>
      </w:r>
      <w:r w:rsidR="00205EDE" w:rsidRPr="00D535E0">
        <w:rPr>
          <w:szCs w:val="26"/>
        </w:rPr>
        <w:t>departamento de Industria se le aplica</w:t>
      </w:r>
      <w:r w:rsidR="00553A5E" w:rsidRPr="00D535E0">
        <w:rPr>
          <w:szCs w:val="26"/>
        </w:rPr>
        <w:t>,</w:t>
      </w:r>
      <w:r w:rsidR="00553A5E">
        <w:rPr>
          <w:szCs w:val="26"/>
        </w:rPr>
        <w:t xml:space="preserve"> de acuerdo con lo previsto en la Ley Foral 3/2000,</w:t>
      </w:r>
      <w:r w:rsidR="00205EDE" w:rsidRPr="00D535E0">
        <w:rPr>
          <w:szCs w:val="26"/>
        </w:rPr>
        <w:t xml:space="preserve"> un tipo sensiblemente inferior al de naturaleza tributaria.</w:t>
      </w:r>
    </w:p>
    <w:p w:rsidR="00B06369" w:rsidRPr="00111893" w:rsidRDefault="00B06369"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rsidRPr="00111893">
        <w:rPr>
          <w:szCs w:val="26"/>
        </w:rPr>
        <w:t>El Reglamento de Recaudación permite el aplazamiento o fraccionamiento de las deudas, tanto en período voluntario como ejecutivo, siempre que la situación económico-financiera del deudor le impida, transitoriamente, hacer frente a su pago en tiempo y</w:t>
      </w:r>
      <w:r w:rsidRPr="00111893">
        <w:t xml:space="preserve"> que el solicitante quede al corriente en sus obligaciones tributarias con la concesión del aplazamiento, </w:t>
      </w:r>
      <w:r w:rsidR="00CB320E" w:rsidRPr="00111893">
        <w:t xml:space="preserve">excepto que la deuda esté en ejecutiva. Esta obligación de estar al corriente </w:t>
      </w:r>
      <w:r w:rsidR="00405265">
        <w:t xml:space="preserve">se </w:t>
      </w:r>
      <w:r w:rsidR="00CB320E" w:rsidRPr="00111893">
        <w:t>deberá mantener durante la vigencia del aplazamiento.</w:t>
      </w:r>
      <w:r w:rsidRPr="00111893">
        <w:t xml:space="preserve"> </w:t>
      </w:r>
    </w:p>
    <w:p w:rsidR="00B06369" w:rsidRDefault="00B06369" w:rsidP="00B06369">
      <w:pPr>
        <w:pStyle w:val="texto"/>
        <w:tabs>
          <w:tab w:val="clear" w:pos="2835"/>
          <w:tab w:val="clear" w:pos="3969"/>
          <w:tab w:val="clear" w:pos="5103"/>
          <w:tab w:val="clear" w:pos="6237"/>
          <w:tab w:val="clear" w:pos="7371"/>
        </w:tabs>
      </w:pPr>
      <w:r w:rsidRPr="00B06369">
        <w:t xml:space="preserve">En determinados </w:t>
      </w:r>
      <w:r w:rsidR="00EC6A20">
        <w:t>supuestos</w:t>
      </w:r>
      <w:r w:rsidRPr="00B06369">
        <w:t xml:space="preserve"> el Informe de Recaudación hace constar que</w:t>
      </w:r>
      <w:r w:rsidR="00EC6A20">
        <w:t xml:space="preserve"> la situación</w:t>
      </w:r>
      <w:r w:rsidRPr="00B06369">
        <w:t xml:space="preserve"> económico-financiera</w:t>
      </w:r>
      <w:r w:rsidR="00EC6A20">
        <w:t xml:space="preserve"> del </w:t>
      </w:r>
      <w:r w:rsidR="00D57390">
        <w:t>c</w:t>
      </w:r>
      <w:r w:rsidR="00EC6A20">
        <w:t>lub le</w:t>
      </w:r>
      <w:r w:rsidRPr="00B06369">
        <w:t xml:space="preserve"> impide transitoriamente hacer frente al pago de la cantidad adeudada</w:t>
      </w:r>
      <w:r>
        <w:t>; en otros supuestos</w:t>
      </w:r>
      <w:r w:rsidRPr="00B06369">
        <w:t>, se señala que la mejor solución para el cobro de la deuda es la concesión del aplazamiento</w:t>
      </w:r>
      <w:r>
        <w:t>.</w:t>
      </w:r>
    </w:p>
    <w:p w:rsidR="00D64B04" w:rsidRPr="00D535E0" w:rsidRDefault="00B06369"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D535E0">
        <w:rPr>
          <w:szCs w:val="26"/>
        </w:rPr>
        <w:t xml:space="preserve">Por otra parte, es notorio que el </w:t>
      </w:r>
      <w:r w:rsidR="00D57390">
        <w:rPr>
          <w:szCs w:val="26"/>
        </w:rPr>
        <w:t>c</w:t>
      </w:r>
      <w:r w:rsidRPr="00D535E0">
        <w:rPr>
          <w:szCs w:val="26"/>
        </w:rPr>
        <w:t>lub, teniendo deuda aplazada, ha incurrido en nuevas deudas y/o no ha respetado los plazos de pago de los aplazamientos</w:t>
      </w:r>
      <w:r w:rsidR="009F5BAD" w:rsidRPr="00D535E0">
        <w:rPr>
          <w:szCs w:val="26"/>
        </w:rPr>
        <w:t>/fraccionamientos</w:t>
      </w:r>
      <w:r w:rsidRPr="00D535E0">
        <w:rPr>
          <w:szCs w:val="26"/>
        </w:rPr>
        <w:t xml:space="preserve"> concedidos</w:t>
      </w:r>
      <w:r w:rsidR="00D64B04" w:rsidRPr="00D535E0">
        <w:rPr>
          <w:szCs w:val="26"/>
        </w:rPr>
        <w:t>. A este respecto</w:t>
      </w:r>
      <w:r w:rsidR="00D57390">
        <w:rPr>
          <w:szCs w:val="26"/>
        </w:rPr>
        <w:t>,</w:t>
      </w:r>
      <w:r w:rsidR="00D64B04" w:rsidRPr="00D535E0">
        <w:rPr>
          <w:szCs w:val="26"/>
        </w:rPr>
        <w:t xml:space="preserve"> el Reglamento de Recaudación indica en resumen que, llegado el vencimiento del aplazamiento de deuda ordinaria sin que el deudor efectúe el pago, pasará a período ejecutivo, devengando intereses; si el aplazamiento es de deuda en apremio, el impago determina la ejecución de la garantía, aplicándose el líquido obtenido al pago de la deuda pendiente, siguiendo el apremio sobre la deuda no cubierta.  </w:t>
      </w:r>
    </w:p>
    <w:p w:rsidR="00D64B04" w:rsidRDefault="00D64B04" w:rsidP="00D64B04">
      <w:pPr>
        <w:pStyle w:val="texto"/>
        <w:tabs>
          <w:tab w:val="clear" w:pos="2835"/>
          <w:tab w:val="clear" w:pos="3969"/>
          <w:tab w:val="clear" w:pos="5103"/>
          <w:tab w:val="clear" w:pos="6237"/>
          <w:tab w:val="clear" w:pos="7371"/>
        </w:tabs>
      </w:pPr>
      <w:r w:rsidRPr="00D64B04">
        <w:t>En fraccionamientos, vencido uno cualquiera de los plazos sin pago, se consideran vencidos el mismo día los plazos restantes. Si es deuda en vía ordinaria</w:t>
      </w:r>
      <w:r w:rsidR="00D57390">
        <w:t>,</w:t>
      </w:r>
      <w:r w:rsidRPr="00D64B04">
        <w:t xml:space="preserve"> todos los plazos pendientes pasan a apremio</w:t>
      </w:r>
      <w:r>
        <w:t>;</w:t>
      </w:r>
      <w:r w:rsidRPr="00D64B04">
        <w:t xml:space="preserve"> </w:t>
      </w:r>
      <w:r>
        <w:t>s</w:t>
      </w:r>
      <w:r w:rsidRPr="00D64B04">
        <w:t>i el fraccionamiento era de deuda en apremio</w:t>
      </w:r>
      <w:r w:rsidR="00D57390">
        <w:t>,</w:t>
      </w:r>
      <w:r w:rsidRPr="00D64B04">
        <w:t xml:space="preserve"> se ha de proceder a la ejecución de la garantía y demás medios de ejecución forzosa. </w:t>
      </w:r>
    </w:p>
    <w:p w:rsidR="00290D1E" w:rsidRPr="00D64B04" w:rsidRDefault="00290D1E" w:rsidP="00D64B04">
      <w:pPr>
        <w:pStyle w:val="texto"/>
        <w:tabs>
          <w:tab w:val="clear" w:pos="2835"/>
          <w:tab w:val="clear" w:pos="3969"/>
          <w:tab w:val="clear" w:pos="5103"/>
          <w:tab w:val="clear" w:pos="6237"/>
          <w:tab w:val="clear" w:pos="7371"/>
        </w:tabs>
      </w:pPr>
      <w:r>
        <w:t>No obstante, señalamos que con carácter excepcional es posible un reaplazamiento de la deuda en vía ejecutiva.</w:t>
      </w:r>
    </w:p>
    <w:p w:rsidR="003041DF" w:rsidRPr="00D535E0" w:rsidRDefault="00B15CB9"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D535E0">
        <w:rPr>
          <w:szCs w:val="26"/>
        </w:rPr>
        <w:t>Retenciones de IRPF</w:t>
      </w:r>
      <w:r w:rsidR="003041DF" w:rsidRPr="00D535E0">
        <w:rPr>
          <w:szCs w:val="26"/>
        </w:rPr>
        <w:t xml:space="preserve">. Con carácter general, salvo circunstancias excepcionales, no pueden ser objeto de aplazamiento o fraccionamiento, antes del inicio del período ejecutivo las retenciones y pagos a cuenta </w:t>
      </w:r>
      <w:r w:rsidR="00927C98" w:rsidRPr="00D535E0">
        <w:rPr>
          <w:szCs w:val="26"/>
        </w:rPr>
        <w:t>correspondientes</w:t>
      </w:r>
      <w:r w:rsidR="003041DF" w:rsidRPr="00D535E0">
        <w:rPr>
          <w:szCs w:val="26"/>
        </w:rPr>
        <w:t xml:space="preserve"> al IRPF y sociedades, salvo que se garanticen, exclusivamente, mediante  aval solidario</w:t>
      </w:r>
      <w:r w:rsidR="00405265">
        <w:rPr>
          <w:szCs w:val="26"/>
        </w:rPr>
        <w:t xml:space="preserve"> de entidad financiera</w:t>
      </w:r>
      <w:r w:rsidR="003041DF" w:rsidRPr="00D535E0">
        <w:rPr>
          <w:szCs w:val="26"/>
        </w:rPr>
        <w:t xml:space="preserve">. </w:t>
      </w:r>
    </w:p>
    <w:p w:rsidR="00B15CB9" w:rsidRDefault="00D57390" w:rsidP="003041DF">
      <w:pPr>
        <w:pStyle w:val="texto"/>
        <w:tabs>
          <w:tab w:val="clear" w:pos="2835"/>
          <w:tab w:val="clear" w:pos="3969"/>
          <w:tab w:val="clear" w:pos="5103"/>
          <w:tab w:val="clear" w:pos="6237"/>
          <w:tab w:val="clear" w:pos="7371"/>
        </w:tabs>
      </w:pPr>
      <w:r>
        <w:t xml:space="preserve">Todos los aplazamientos, excepto uno, </w:t>
      </w:r>
      <w:r w:rsidR="003041DF" w:rsidRPr="003041DF">
        <w:t>solicitan aplazar</w:t>
      </w:r>
      <w:r w:rsidR="00B06369">
        <w:t>, entre otros conceptos,</w:t>
      </w:r>
      <w:r w:rsidR="003041DF" w:rsidRPr="003041DF">
        <w:t xml:space="preserve"> deuda por IRPF y en n</w:t>
      </w:r>
      <w:r w:rsidR="00B06369">
        <w:t>i</w:t>
      </w:r>
      <w:r w:rsidR="003041DF" w:rsidRPr="003041DF">
        <w:t xml:space="preserve">nguno de ellos se ha garantizado </w:t>
      </w:r>
      <w:r w:rsidR="00B06369">
        <w:t>tal deuda</w:t>
      </w:r>
      <w:r w:rsidR="003041DF" w:rsidRPr="003041DF">
        <w:t xml:space="preserve"> mediante </w:t>
      </w:r>
      <w:r w:rsidR="00B06369">
        <w:t xml:space="preserve">el citado </w:t>
      </w:r>
      <w:r w:rsidR="003041DF" w:rsidRPr="003041DF">
        <w:t xml:space="preserve">aval solidario. </w:t>
      </w:r>
    </w:p>
    <w:p w:rsidR="00E97198" w:rsidRPr="00E97198" w:rsidRDefault="009F5BAD" w:rsidP="00E97198">
      <w:pPr>
        <w:pStyle w:val="texto"/>
        <w:tabs>
          <w:tab w:val="clear" w:pos="2835"/>
          <w:tab w:val="clear" w:pos="3969"/>
          <w:tab w:val="clear" w:pos="5103"/>
          <w:tab w:val="clear" w:pos="6237"/>
          <w:tab w:val="clear" w:pos="7371"/>
        </w:tabs>
      </w:pPr>
      <w:r>
        <w:t>En consecuencia,</w:t>
      </w:r>
      <w:r w:rsidR="00E97198" w:rsidRPr="00E97198">
        <w:t xml:space="preserve"> tales aplazamientos no podían</w:t>
      </w:r>
      <w:r w:rsidR="000035B7">
        <w:t>, en principio,</w:t>
      </w:r>
      <w:r w:rsidR="00E97198" w:rsidRPr="00E97198">
        <w:t xml:space="preserve"> haberse concedido</w:t>
      </w:r>
      <w:r w:rsidR="000035B7">
        <w:t xml:space="preserve"> </w:t>
      </w:r>
      <w:r w:rsidR="00405265">
        <w:t>antes del inicio del periodo ejecutivo</w:t>
      </w:r>
      <w:r w:rsidR="00E97198" w:rsidRPr="00E97198">
        <w:t xml:space="preserve">, por referirse a retenciones de IRPF y no haberse garantizado mediante aval. La misma opinión sostenían expresamente dos </w:t>
      </w:r>
      <w:r w:rsidR="005F1C7E">
        <w:t>i</w:t>
      </w:r>
      <w:r w:rsidR="00E97198" w:rsidRPr="00E97198">
        <w:t xml:space="preserve">nformes de Recaudación: el previo al </w:t>
      </w:r>
      <w:r w:rsidR="005F1C7E">
        <w:t>a</w:t>
      </w:r>
      <w:r w:rsidR="00E97198" w:rsidRPr="00E97198">
        <w:t>cuerdo del G</w:t>
      </w:r>
      <w:r w:rsidR="00E97198">
        <w:t>obierno de Navarra de marzo de 2013</w:t>
      </w:r>
      <w:r w:rsidR="00E97198" w:rsidRPr="00E97198">
        <w:t>, denegando el aplazamiento</w:t>
      </w:r>
      <w:r w:rsidR="00E97198">
        <w:t xml:space="preserve"> dado</w:t>
      </w:r>
      <w:r w:rsidR="00E97198" w:rsidRPr="00E97198">
        <w:t xml:space="preserve"> que el IRPF no se puede aplazar salvo garantía por aval solidario</w:t>
      </w:r>
      <w:r w:rsidR="00D57390">
        <w:t>,</w:t>
      </w:r>
      <w:r w:rsidR="00E97198" w:rsidRPr="00E97198">
        <w:t xml:space="preserve"> y el que informaba una solicitud de aplazamiento IRPF de d</w:t>
      </w:r>
      <w:r w:rsidR="00E97198">
        <w:t>iciembre de 2006</w:t>
      </w:r>
      <w:r w:rsidR="00E97198" w:rsidRPr="00E97198">
        <w:t xml:space="preserve">. </w:t>
      </w:r>
    </w:p>
    <w:p w:rsidR="00E97198" w:rsidRDefault="00E97198" w:rsidP="00E97198">
      <w:pPr>
        <w:pStyle w:val="texto"/>
        <w:tabs>
          <w:tab w:val="clear" w:pos="2835"/>
          <w:tab w:val="clear" w:pos="3969"/>
          <w:tab w:val="clear" w:pos="5103"/>
          <w:tab w:val="clear" w:pos="6237"/>
          <w:tab w:val="clear" w:pos="7371"/>
        </w:tabs>
      </w:pPr>
      <w:r w:rsidRPr="00E97198">
        <w:t>Sin embargo, antes y desp</w:t>
      </w:r>
      <w:r>
        <w:t>ués</w:t>
      </w:r>
      <w:r w:rsidRPr="00E97198">
        <w:t xml:space="preserve"> de los dos</w:t>
      </w:r>
      <w:r w:rsidR="000A244E">
        <w:t xml:space="preserve"> informes citados</w:t>
      </w:r>
      <w:r w:rsidRPr="00E97198">
        <w:t xml:space="preserve">, fueron autorizados </w:t>
      </w:r>
      <w:r w:rsidR="009F5BAD">
        <w:t>fraccionamientos</w:t>
      </w:r>
      <w:r w:rsidRPr="00E97198">
        <w:t xml:space="preserve"> de IRPF sin aval bancario. El</w:t>
      </w:r>
      <w:r>
        <w:t xml:space="preserve"> </w:t>
      </w:r>
      <w:r w:rsidR="005F1C7E">
        <w:t>s</w:t>
      </w:r>
      <w:r w:rsidRPr="00051483">
        <w:t xml:space="preserve">ervicio de Recaudación </w:t>
      </w:r>
      <w:r w:rsidRPr="00E97198">
        <w:t>considera</w:t>
      </w:r>
      <w:r w:rsidR="000A244E">
        <w:t>ba</w:t>
      </w:r>
      <w:r>
        <w:t xml:space="preserve"> o bien</w:t>
      </w:r>
      <w:r w:rsidRPr="00E97198">
        <w:t xml:space="preserve"> que la garantía ofrecida e</w:t>
      </w:r>
      <w:r w:rsidR="0013637D">
        <w:t>ra</w:t>
      </w:r>
      <w:r w:rsidRPr="00E97198">
        <w:t xml:space="preserve"> bastante para cub</w:t>
      </w:r>
      <w:r>
        <w:t>r</w:t>
      </w:r>
      <w:r w:rsidRPr="00E97198">
        <w:t>ir el importe de la deuda aplazada, o bien lo fundamenta en</w:t>
      </w:r>
      <w:r>
        <w:t xml:space="preserve"> la excepcionalidad </w:t>
      </w:r>
      <w:r w:rsidR="00EE00A7">
        <w:t>legal del</w:t>
      </w:r>
      <w:r>
        <w:t xml:space="preserve"> órgano</w:t>
      </w:r>
      <w:r w:rsidRPr="00E97198">
        <w:t xml:space="preserve"> competente para dispensar, total o parcialmente de la prestación de garantía cuando el deudor carezca de bienes o derechos suficientes para garantizar la deuda y la ejecución de su patrimonio afectara al mantenimiento de su cap</w:t>
      </w:r>
      <w:r>
        <w:t>a</w:t>
      </w:r>
      <w:r w:rsidRPr="00E97198">
        <w:t>cidad producti</w:t>
      </w:r>
      <w:r>
        <w:t>va y nivel de empl</w:t>
      </w:r>
      <w:r w:rsidRPr="00E97198">
        <w:t>eo o produjera graves quebrantos para los intereses de la H</w:t>
      </w:r>
      <w:r>
        <w:t>acienda Foral.</w:t>
      </w:r>
      <w:r w:rsidRPr="00E97198">
        <w:t xml:space="preserve"> </w:t>
      </w:r>
    </w:p>
    <w:p w:rsidR="00E97198" w:rsidRPr="00E97198" w:rsidRDefault="00E97198" w:rsidP="00E97198">
      <w:pPr>
        <w:pStyle w:val="texto"/>
        <w:tabs>
          <w:tab w:val="clear" w:pos="2835"/>
          <w:tab w:val="clear" w:pos="3969"/>
          <w:tab w:val="clear" w:pos="5103"/>
          <w:tab w:val="clear" w:pos="6237"/>
          <w:tab w:val="clear" w:pos="7371"/>
        </w:tabs>
      </w:pPr>
      <w:r>
        <w:t>En definitiva, el argumento que prevalece es que</w:t>
      </w:r>
      <w:r w:rsidR="00182A49">
        <w:t>,</w:t>
      </w:r>
      <w:r>
        <w:t xml:space="preserve"> si se quiere cobrar la deuda, la mejor opción</w:t>
      </w:r>
      <w:r w:rsidR="006361C4">
        <w:t xml:space="preserve"> para la Hacienda</w:t>
      </w:r>
      <w:r>
        <w:t xml:space="preserve"> es aplazarla.</w:t>
      </w:r>
      <w:r w:rsidRPr="00E97198">
        <w:t xml:space="preserve"> </w:t>
      </w:r>
    </w:p>
    <w:p w:rsidR="00787A78" w:rsidRPr="00EE634C" w:rsidRDefault="00787A78"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rFonts w:ascii="Times New (W1)" w:hAnsi="Times New (W1)"/>
          <w:spacing w:val="2"/>
        </w:rPr>
      </w:pPr>
      <w:r w:rsidRPr="00EE634C">
        <w:rPr>
          <w:rFonts w:ascii="Times New (W1)" w:hAnsi="Times New (W1)"/>
          <w:spacing w:val="2"/>
        </w:rPr>
        <w:t>Otras causas de inaplazabilidad de deudas</w:t>
      </w:r>
      <w:r w:rsidR="00B34638">
        <w:rPr>
          <w:rFonts w:ascii="Times New (W1)" w:hAnsi="Times New (W1)"/>
          <w:spacing w:val="2"/>
        </w:rPr>
        <w:t>.</w:t>
      </w:r>
      <w:r w:rsidRPr="00EE634C">
        <w:rPr>
          <w:rFonts w:ascii="Times New (W1)" w:hAnsi="Times New (W1)"/>
          <w:spacing w:val="2"/>
        </w:rPr>
        <w:t xml:space="preserve"> La normativa señala básicamente:</w:t>
      </w:r>
    </w:p>
    <w:p w:rsidR="00787A78" w:rsidRPr="00787A78" w:rsidRDefault="00787A78" w:rsidP="00787A78">
      <w:pPr>
        <w:pStyle w:val="texto"/>
        <w:tabs>
          <w:tab w:val="clear" w:pos="2835"/>
          <w:tab w:val="clear" w:pos="3969"/>
          <w:tab w:val="clear" w:pos="5103"/>
          <w:tab w:val="clear" w:pos="6237"/>
          <w:tab w:val="clear" w:pos="7371"/>
        </w:tabs>
      </w:pPr>
      <w:r>
        <w:t>a) P</w:t>
      </w:r>
      <w:r w:rsidRPr="00787A78">
        <w:t>odrán ser causas de denegación la insuficiente demostración de la capacidad de generación de recursos</w:t>
      </w:r>
      <w:r>
        <w:t xml:space="preserve"> por el sujeto pasivo</w:t>
      </w:r>
      <w:r w:rsidRPr="00787A78">
        <w:t xml:space="preserve"> para hacer frente a los plazos del aplazamiento o bien que el importe de la deuda a aplazar exceda a los fondos propios o patrimonio neto del titular de la deuda. En ninguno de los informes de recaudación examinados se han considerado estas cuestiones ni, por tanto, han sido causa denegatoria de aplazamiento alguno. </w:t>
      </w:r>
    </w:p>
    <w:p w:rsidR="0013637D" w:rsidRDefault="00787A78" w:rsidP="00787A78">
      <w:pPr>
        <w:pStyle w:val="texto"/>
        <w:tabs>
          <w:tab w:val="clear" w:pos="2835"/>
          <w:tab w:val="clear" w:pos="3969"/>
          <w:tab w:val="clear" w:pos="5103"/>
          <w:tab w:val="clear" w:pos="6237"/>
          <w:tab w:val="clear" w:pos="7371"/>
        </w:tabs>
      </w:pPr>
      <w:r>
        <w:t xml:space="preserve">b) </w:t>
      </w:r>
      <w:r w:rsidRPr="00787A78">
        <w:t xml:space="preserve">Existencia de </w:t>
      </w:r>
      <w:r w:rsidR="001905AE">
        <w:t>tres</w:t>
      </w:r>
      <w:r w:rsidRPr="00787A78">
        <w:t xml:space="preserve"> o más aplazamientos</w:t>
      </w:r>
      <w:r w:rsidR="009F5BAD">
        <w:t>/fraccionamientos</w:t>
      </w:r>
      <w:r w:rsidRPr="00787A78">
        <w:t xml:space="preserve"> vivos</w:t>
      </w:r>
      <w:r w:rsidR="00051483">
        <w:t xml:space="preserve"> previos</w:t>
      </w:r>
      <w:r w:rsidRPr="00787A78">
        <w:t xml:space="preserve"> como causa de denegación automática</w:t>
      </w:r>
      <w:r w:rsidR="0013637D">
        <w:t>, salvo circunstancias excepcionales</w:t>
      </w:r>
      <w:r w:rsidRPr="00787A78">
        <w:t xml:space="preserve">. </w:t>
      </w:r>
    </w:p>
    <w:p w:rsidR="00787A78" w:rsidRPr="0058102C" w:rsidRDefault="00787A78" w:rsidP="00787A78">
      <w:pPr>
        <w:pStyle w:val="texto"/>
        <w:tabs>
          <w:tab w:val="clear" w:pos="2835"/>
          <w:tab w:val="clear" w:pos="3969"/>
          <w:tab w:val="clear" w:pos="5103"/>
          <w:tab w:val="clear" w:pos="6237"/>
          <w:tab w:val="clear" w:pos="7371"/>
        </w:tabs>
        <w:rPr>
          <w:rFonts w:ascii="Times New (W1)" w:hAnsi="Times New (W1)"/>
          <w:spacing w:val="0"/>
        </w:rPr>
      </w:pPr>
      <w:r w:rsidRPr="0058102C">
        <w:rPr>
          <w:rFonts w:ascii="Times New (W1)" w:hAnsi="Times New (W1)"/>
          <w:spacing w:val="0"/>
        </w:rPr>
        <w:t>Hasta el ejercicio 2011, no se incurrió en</w:t>
      </w:r>
      <w:r w:rsidR="00051483" w:rsidRPr="0058102C">
        <w:rPr>
          <w:rFonts w:ascii="Times New (W1)" w:hAnsi="Times New (W1)"/>
          <w:spacing w:val="0"/>
        </w:rPr>
        <w:t xml:space="preserve"> esta</w:t>
      </w:r>
      <w:r w:rsidRPr="0058102C">
        <w:rPr>
          <w:rFonts w:ascii="Times New (W1)" w:hAnsi="Times New (W1)"/>
          <w:spacing w:val="0"/>
        </w:rPr>
        <w:t xml:space="preserve"> causa automática de inadmisión.</w:t>
      </w:r>
    </w:p>
    <w:p w:rsidR="00787A78" w:rsidRDefault="00787A78" w:rsidP="00EE634C">
      <w:pPr>
        <w:pStyle w:val="texto"/>
        <w:tabs>
          <w:tab w:val="clear" w:pos="2835"/>
          <w:tab w:val="clear" w:pos="3969"/>
          <w:tab w:val="clear" w:pos="5103"/>
          <w:tab w:val="clear" w:pos="6237"/>
          <w:tab w:val="clear" w:pos="7371"/>
        </w:tabs>
        <w:spacing w:after="180"/>
      </w:pPr>
      <w:r w:rsidRPr="00787A78">
        <w:t xml:space="preserve">El </w:t>
      </w:r>
      <w:r w:rsidR="009F5BAD">
        <w:t>fraccionamiento</w:t>
      </w:r>
      <w:r w:rsidRPr="00787A78">
        <w:t xml:space="preserve"> resuelto por Acuerdo del G</w:t>
      </w:r>
      <w:r>
        <w:t>obierno de diciembre de 2012</w:t>
      </w:r>
      <w:r w:rsidRPr="00787A78">
        <w:t xml:space="preserve"> se aprobó cuando existían otros tres </w:t>
      </w:r>
      <w:r w:rsidR="009F5BAD">
        <w:t>fraccionamientos</w:t>
      </w:r>
      <w:r w:rsidRPr="00787A78">
        <w:t xml:space="preserve"> previos vivos</w:t>
      </w:r>
      <w:r w:rsidR="005103CA">
        <w:t>; p</w:t>
      </w:r>
      <w:r w:rsidRPr="00787A78">
        <w:t xml:space="preserve">or tanto, incurría en </w:t>
      </w:r>
      <w:r>
        <w:t xml:space="preserve">posible </w:t>
      </w:r>
      <w:r w:rsidRPr="00787A78">
        <w:t xml:space="preserve">causa automática de inadmisión, caso de no estar garantizado en la forma prevista. </w:t>
      </w:r>
      <w:r>
        <w:t>A</w:t>
      </w:r>
      <w:r w:rsidR="00A1253C">
        <w:t xml:space="preserve"> este respecto</w:t>
      </w:r>
      <w:r>
        <w:t xml:space="preserve">, </w:t>
      </w:r>
      <w:r w:rsidRPr="00787A78">
        <w:t xml:space="preserve">el </w:t>
      </w:r>
      <w:r w:rsidR="00051483">
        <w:t>i</w:t>
      </w:r>
      <w:r w:rsidRPr="00787A78">
        <w:t>nforme de</w:t>
      </w:r>
      <w:r w:rsidR="00051483">
        <w:t>l servicio de</w:t>
      </w:r>
      <w:r w:rsidRPr="00787A78">
        <w:t xml:space="preserve"> Recaudación </w:t>
      </w:r>
      <w:r>
        <w:t xml:space="preserve">previo </w:t>
      </w:r>
      <w:r w:rsidRPr="00787A78">
        <w:t>estima</w:t>
      </w:r>
      <w:r w:rsidR="00A1253C">
        <w:t xml:space="preserve"> </w:t>
      </w:r>
      <w:r w:rsidRPr="00787A78">
        <w:t>suficientes las garantías ofrecidas para hacer frente a la totalidad de los vencimientos de los aplazamientos vivos</w:t>
      </w:r>
      <w:r>
        <w:t xml:space="preserve"> </w:t>
      </w:r>
      <w:r w:rsidRPr="00787A78">
        <w:t xml:space="preserve">y los que resulten del citado </w:t>
      </w:r>
      <w:r w:rsidR="009F5BAD">
        <w:t>a</w:t>
      </w:r>
      <w:r w:rsidRPr="00787A78">
        <w:t xml:space="preserve">cuerdo. Por tanto, no concurre causa de denegación automática. </w:t>
      </w:r>
    </w:p>
    <w:p w:rsidR="00787A78" w:rsidRDefault="00787A78" w:rsidP="00EE634C">
      <w:pPr>
        <w:pStyle w:val="texto"/>
        <w:tabs>
          <w:tab w:val="clear" w:pos="2835"/>
          <w:tab w:val="clear" w:pos="3969"/>
          <w:tab w:val="clear" w:pos="5103"/>
          <w:tab w:val="clear" w:pos="6237"/>
          <w:tab w:val="clear" w:pos="7371"/>
        </w:tabs>
        <w:spacing w:after="180"/>
      </w:pPr>
      <w:r>
        <w:t xml:space="preserve">Posteriormente, en 2013, </w:t>
      </w:r>
      <w:r w:rsidRPr="00787A78">
        <w:t xml:space="preserve">la norma fue modificada, de modo que se requería como causa de inadmisión la concurrencia de cuatro o más </w:t>
      </w:r>
      <w:r w:rsidR="009F5BAD">
        <w:t>fraccionamientos</w:t>
      </w:r>
      <w:r w:rsidRPr="00787A78">
        <w:t>.</w:t>
      </w:r>
      <w:r>
        <w:t xml:space="preserve"> Resultado de ello, p</w:t>
      </w:r>
      <w:r w:rsidR="009F5BAD">
        <w:t xml:space="preserve">udo autorizarse el </w:t>
      </w:r>
      <w:r>
        <w:t>de octubre de 2013.</w:t>
      </w:r>
    </w:p>
    <w:p w:rsidR="009C6AB1" w:rsidRDefault="00635B1F" w:rsidP="00EE634C">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spacing w:after="180"/>
        <w:ind w:left="0" w:firstLine="290"/>
      </w:pPr>
      <w:r>
        <w:t>Garantías.</w:t>
      </w:r>
      <w:r w:rsidR="00B06746">
        <w:t xml:space="preserve"> </w:t>
      </w:r>
      <w:r>
        <w:t>Como garantía para la concesión</w:t>
      </w:r>
      <w:r w:rsidR="00405265">
        <w:t xml:space="preserve"> de</w:t>
      </w:r>
      <w:r>
        <w:t xml:space="preserve"> aplazamientos</w:t>
      </w:r>
      <w:r w:rsidR="009F5BAD">
        <w:t>/fraccio</w:t>
      </w:r>
      <w:r w:rsidR="00EE634C">
        <w:t>-</w:t>
      </w:r>
      <w:r w:rsidR="009F5BAD">
        <w:t>namientos</w:t>
      </w:r>
      <w:r>
        <w:t xml:space="preserve">, </w:t>
      </w:r>
      <w:r w:rsidR="009C6AB1">
        <w:t>la Ley Foral Tributaria</w:t>
      </w:r>
      <w:r w:rsidR="009C6AB1" w:rsidRPr="009C6AB1">
        <w:t xml:space="preserve"> </w:t>
      </w:r>
      <w:r w:rsidR="009C6AB1" w:rsidRPr="00635B1F">
        <w:t xml:space="preserve">señala que se </w:t>
      </w:r>
      <w:r w:rsidR="009C6AB1">
        <w:t>desarrollará</w:t>
      </w:r>
      <w:r w:rsidR="009C6AB1" w:rsidRPr="00635B1F">
        <w:t>n las condiciones y límites máximos a garantizar po</w:t>
      </w:r>
      <w:r w:rsidR="009C6AB1">
        <w:t xml:space="preserve">r cada tipo de garantía. No </w:t>
      </w:r>
      <w:r w:rsidR="009C6AB1" w:rsidRPr="00635B1F">
        <w:t>consta tal desarrollo normativo</w:t>
      </w:r>
      <w:r w:rsidR="009C6AB1">
        <w:t xml:space="preserve">. </w:t>
      </w:r>
    </w:p>
    <w:p w:rsidR="00635B1F" w:rsidRPr="00635B1F" w:rsidRDefault="009C6AB1" w:rsidP="00EE634C">
      <w:pPr>
        <w:pStyle w:val="texto"/>
        <w:tabs>
          <w:tab w:val="clear" w:pos="2835"/>
          <w:tab w:val="clear" w:pos="3969"/>
          <w:tab w:val="clear" w:pos="5103"/>
          <w:tab w:val="clear" w:pos="6237"/>
          <w:tab w:val="clear" w:pos="7371"/>
        </w:tabs>
        <w:spacing w:after="180"/>
      </w:pPr>
      <w:r>
        <w:t>E</w:t>
      </w:r>
      <w:r w:rsidR="00635B1F">
        <w:t>l Reglamento</w:t>
      </w:r>
      <w:r>
        <w:t xml:space="preserve">, por su parte, </w:t>
      </w:r>
      <w:r w:rsidR="00635B1F">
        <w:t xml:space="preserve"> establece</w:t>
      </w:r>
      <w:r>
        <w:t xml:space="preserve"> </w:t>
      </w:r>
      <w:r w:rsidR="00635B1F">
        <w:t>como regla la presentación por el sujeto pasivo de un aval</w:t>
      </w:r>
      <w:r w:rsidR="00635B1F" w:rsidRPr="00635B1F">
        <w:t xml:space="preserve"> solidario de entidad financiera</w:t>
      </w:r>
      <w:r w:rsidR="00635B1F">
        <w:t>. Solo ante la imposibilidad de presentar aval suficiente, se</w:t>
      </w:r>
      <w:r w:rsidR="00635B1F" w:rsidRPr="00635B1F">
        <w:t xml:space="preserve"> </w:t>
      </w:r>
      <w:r w:rsidR="00635B1F">
        <w:t>señalan</w:t>
      </w:r>
      <w:r w:rsidR="00635B1F" w:rsidRPr="00635B1F">
        <w:t xml:space="preserve"> otros tipos de garantías sujetas a la previa aceptación del órgano competente: hipoteca inmobiliaria o mobiliaria, prenda con desplazamiento, fianza personal y solidaria o cualquier otra garantía que se estime suficiente. </w:t>
      </w:r>
    </w:p>
    <w:p w:rsidR="00635B1F" w:rsidRDefault="00EE00A7" w:rsidP="00EE634C">
      <w:pPr>
        <w:pStyle w:val="texto"/>
        <w:tabs>
          <w:tab w:val="clear" w:pos="2835"/>
          <w:tab w:val="clear" w:pos="3969"/>
          <w:tab w:val="clear" w:pos="5103"/>
          <w:tab w:val="clear" w:pos="6237"/>
          <w:tab w:val="clear" w:pos="7371"/>
        </w:tabs>
        <w:spacing w:after="180"/>
      </w:pPr>
      <w:r>
        <w:t>No obstante</w:t>
      </w:r>
      <w:r w:rsidR="00D57390">
        <w:t>,</w:t>
      </w:r>
      <w:r>
        <w:t xml:space="preserve"> se regula </w:t>
      </w:r>
      <w:r w:rsidR="00635B1F">
        <w:t>como excepción</w:t>
      </w:r>
      <w:r w:rsidR="009C6AB1">
        <w:t xml:space="preserve"> o dispensa</w:t>
      </w:r>
      <w:r w:rsidR="00402592">
        <w:t xml:space="preserve"> –total o parcial</w:t>
      </w:r>
      <w:r w:rsidR="006D5937">
        <w:t>–</w:t>
      </w:r>
      <w:r w:rsidR="009C6AB1">
        <w:t xml:space="preserve"> de tales garantías</w:t>
      </w:r>
      <w:r w:rsidR="00665E7B">
        <w:t>, básicamente,</w:t>
      </w:r>
      <w:r w:rsidR="009C6AB1">
        <w:t xml:space="preserve"> cuando</w:t>
      </w:r>
      <w:r w:rsidR="00635B1F" w:rsidRPr="00635B1F">
        <w:t xml:space="preserve"> </w:t>
      </w:r>
      <w:r w:rsidR="00635B1F">
        <w:t>el</w:t>
      </w:r>
      <w:r w:rsidR="00635B1F" w:rsidRPr="00635B1F">
        <w:t xml:space="preserve"> importe</w:t>
      </w:r>
      <w:r w:rsidR="00635B1F">
        <w:t xml:space="preserve"> de la deuda a aplazar</w:t>
      </w:r>
      <w:r w:rsidR="00635B1F" w:rsidRPr="00635B1F">
        <w:t xml:space="preserve"> sea inferior al fijado reglamentariamente</w:t>
      </w:r>
      <w:r w:rsidR="00FF0C42">
        <w:rPr>
          <w:rStyle w:val="Refdenotaalpie"/>
        </w:rPr>
        <w:footnoteReference w:id="4"/>
      </w:r>
      <w:r w:rsidR="00B8548A">
        <w:t xml:space="preserve"> </w:t>
      </w:r>
      <w:r w:rsidR="00B34638">
        <w:t>–</w:t>
      </w:r>
      <w:r w:rsidR="00B8548A">
        <w:t>210.354 euros</w:t>
      </w:r>
      <w:r w:rsidR="00E31643">
        <w:t xml:space="preserve">, no aplicable por tanto al </w:t>
      </w:r>
      <w:r w:rsidR="00D57390">
        <w:t>c</w:t>
      </w:r>
      <w:r w:rsidR="00E31643">
        <w:t>lub</w:t>
      </w:r>
      <w:r w:rsidR="00B34638">
        <w:t>–</w:t>
      </w:r>
      <w:r w:rsidR="009C6AB1">
        <w:t>, cuando se refiera a deudas previamente afianzadas</w:t>
      </w:r>
      <w:r w:rsidR="00635B1F" w:rsidRPr="00635B1F">
        <w:t xml:space="preserve"> o </w:t>
      </w:r>
      <w:r w:rsidR="00635B1F" w:rsidRPr="00E97198">
        <w:t>cuando el deudor carezca de bienes o derechos suficientes para garantizar la deuda y la ejecución de su patrimonio afectara al mantenimiento de su cap</w:t>
      </w:r>
      <w:r w:rsidR="00635B1F">
        <w:t>a</w:t>
      </w:r>
      <w:r w:rsidR="00635B1F" w:rsidRPr="00E97198">
        <w:t>cidad producti</w:t>
      </w:r>
      <w:r w:rsidR="00635B1F">
        <w:t>va y nivel de empl</w:t>
      </w:r>
      <w:r w:rsidR="00635B1F" w:rsidRPr="00E97198">
        <w:t>eo o produjera graves quebrantos para los intereses de la H</w:t>
      </w:r>
      <w:r w:rsidR="00635B1F">
        <w:t>acienda Foral.</w:t>
      </w:r>
      <w:r w:rsidR="00635B1F" w:rsidRPr="00E97198">
        <w:t xml:space="preserve"> </w:t>
      </w:r>
    </w:p>
    <w:p w:rsidR="00EE634C" w:rsidRDefault="00635B1F" w:rsidP="00A161A8">
      <w:pPr>
        <w:pStyle w:val="texto"/>
        <w:tabs>
          <w:tab w:val="clear" w:pos="2835"/>
          <w:tab w:val="clear" w:pos="3969"/>
          <w:tab w:val="clear" w:pos="5103"/>
          <w:tab w:val="clear" w:pos="6237"/>
          <w:tab w:val="clear" w:pos="7371"/>
        </w:tabs>
        <w:spacing w:after="180"/>
      </w:pPr>
      <w:r>
        <w:t>Desde enero de 2013,</w:t>
      </w:r>
      <w:r w:rsidR="009C6AB1">
        <w:t xml:space="preserve"> además, </w:t>
      </w:r>
      <w:r w:rsidRPr="00635B1F">
        <w:t xml:space="preserve">se faculta al deudor a solicitar la sustitución de la garantía por la adopción de medidas cautelares, de carácter provisional, que la administración autorizará ante indicios racionales de que, sin ellas el cobro se vería frustrado o perjudicado. </w:t>
      </w:r>
      <w:r w:rsidR="009C6AB1">
        <w:t>Así se cita</w:t>
      </w:r>
      <w:r w:rsidR="00D57390">
        <w:t>,</w:t>
      </w:r>
      <w:r w:rsidR="009C6AB1">
        <w:t xml:space="preserve"> como tales medidas,</w:t>
      </w:r>
      <w:r w:rsidRPr="00635B1F">
        <w:t xml:space="preserve"> la retención cautelar de devoluciones tributarias y el embargo preventiv</w:t>
      </w:r>
      <w:r>
        <w:t>o de bienes y derechos, asegura</w:t>
      </w:r>
      <w:r w:rsidRPr="00635B1F">
        <w:t>dos mediante anotación en registro público de ser inmuebles o mediante el depósito de los muebles embargados.</w:t>
      </w:r>
    </w:p>
    <w:p w:rsidR="009C6AB1" w:rsidRPr="00635B1F" w:rsidRDefault="002F107B" w:rsidP="00EE634C">
      <w:pPr>
        <w:pStyle w:val="texto"/>
        <w:tabs>
          <w:tab w:val="clear" w:pos="2835"/>
          <w:tab w:val="clear" w:pos="3969"/>
          <w:tab w:val="clear" w:pos="5103"/>
          <w:tab w:val="clear" w:pos="6237"/>
          <w:tab w:val="clear" w:pos="7371"/>
        </w:tabs>
        <w:spacing w:after="240"/>
      </w:pPr>
      <w:r>
        <w:t xml:space="preserve">Los expedientes </w:t>
      </w:r>
      <w:r w:rsidR="009C6AB1">
        <w:t xml:space="preserve">concedidos al </w:t>
      </w:r>
      <w:r w:rsidR="00344465">
        <w:t>c</w:t>
      </w:r>
      <w:r w:rsidR="009C6AB1">
        <w:t>lub presentan la siguiente situación:</w:t>
      </w:r>
    </w:p>
    <w:tbl>
      <w:tblPr>
        <w:tblW w:w="8755" w:type="dxa"/>
        <w:jc w:val="center"/>
        <w:tblInd w:w="-92" w:type="dxa"/>
        <w:tblCellMar>
          <w:left w:w="70" w:type="dxa"/>
          <w:right w:w="70" w:type="dxa"/>
        </w:tblCellMar>
        <w:tblLook w:val="04A0" w:firstRow="1" w:lastRow="0" w:firstColumn="1" w:lastColumn="0" w:noHBand="0" w:noVBand="1"/>
      </w:tblPr>
      <w:tblGrid>
        <w:gridCol w:w="1982"/>
        <w:gridCol w:w="3029"/>
        <w:gridCol w:w="1702"/>
        <w:gridCol w:w="2042"/>
      </w:tblGrid>
      <w:tr w:rsidR="00532F9A" w:rsidRPr="00137ECE" w:rsidTr="00B34638">
        <w:trPr>
          <w:trHeight w:val="255"/>
          <w:jc w:val="center"/>
        </w:trPr>
        <w:tc>
          <w:tcPr>
            <w:tcW w:w="1982" w:type="dxa"/>
            <w:tcBorders>
              <w:top w:val="single" w:sz="4" w:space="0" w:color="auto"/>
              <w:left w:val="nil"/>
              <w:bottom w:val="single" w:sz="4" w:space="0" w:color="auto"/>
              <w:right w:val="nil"/>
            </w:tcBorders>
            <w:shd w:val="clear" w:color="auto" w:fill="8DB3E2" w:themeFill="text2" w:themeFillTint="66"/>
            <w:noWrap/>
            <w:vAlign w:val="center"/>
            <w:hideMark/>
          </w:tcPr>
          <w:p w:rsidR="00532F9A" w:rsidRPr="00137ECE" w:rsidRDefault="00532F9A" w:rsidP="00E43758">
            <w:pPr>
              <w:pStyle w:val="cuadroCabe"/>
            </w:pPr>
            <w:r w:rsidRPr="00137ECE">
              <w:t>Fecha Resolución</w:t>
            </w:r>
          </w:p>
        </w:tc>
        <w:tc>
          <w:tcPr>
            <w:tcW w:w="3029" w:type="dxa"/>
            <w:tcBorders>
              <w:top w:val="single" w:sz="4" w:space="0" w:color="auto"/>
              <w:left w:val="nil"/>
              <w:bottom w:val="single" w:sz="4" w:space="0" w:color="auto"/>
              <w:right w:val="nil"/>
            </w:tcBorders>
            <w:shd w:val="clear" w:color="auto" w:fill="8DB3E2" w:themeFill="text2" w:themeFillTint="66"/>
            <w:noWrap/>
            <w:vAlign w:val="center"/>
            <w:hideMark/>
          </w:tcPr>
          <w:p w:rsidR="00532F9A" w:rsidRPr="00137ECE" w:rsidRDefault="00532F9A" w:rsidP="00E43758">
            <w:pPr>
              <w:pStyle w:val="cuadroCabe"/>
            </w:pPr>
            <w:r w:rsidRPr="00137ECE">
              <w:t>Resolución</w:t>
            </w:r>
          </w:p>
        </w:tc>
        <w:tc>
          <w:tcPr>
            <w:tcW w:w="1702" w:type="dxa"/>
            <w:tcBorders>
              <w:top w:val="single" w:sz="4" w:space="0" w:color="auto"/>
              <w:left w:val="nil"/>
              <w:bottom w:val="single" w:sz="4" w:space="0" w:color="auto"/>
              <w:right w:val="nil"/>
            </w:tcBorders>
            <w:shd w:val="clear" w:color="auto" w:fill="8DB3E2" w:themeFill="text2" w:themeFillTint="66"/>
            <w:noWrap/>
            <w:vAlign w:val="center"/>
          </w:tcPr>
          <w:p w:rsidR="00532F9A" w:rsidRPr="00137ECE" w:rsidRDefault="00402592" w:rsidP="00E43758">
            <w:pPr>
              <w:pStyle w:val="cuadroCabe"/>
            </w:pPr>
            <w:r>
              <w:t>Garantías</w:t>
            </w:r>
          </w:p>
        </w:tc>
        <w:tc>
          <w:tcPr>
            <w:tcW w:w="2042" w:type="dxa"/>
            <w:tcBorders>
              <w:top w:val="single" w:sz="4" w:space="0" w:color="auto"/>
              <w:left w:val="nil"/>
              <w:bottom w:val="single" w:sz="4" w:space="0" w:color="auto"/>
              <w:right w:val="nil"/>
            </w:tcBorders>
            <w:shd w:val="clear" w:color="auto" w:fill="8DB3E2" w:themeFill="text2" w:themeFillTint="66"/>
            <w:noWrap/>
            <w:vAlign w:val="center"/>
            <w:hideMark/>
          </w:tcPr>
          <w:p w:rsidR="00532F9A" w:rsidRPr="00137ECE" w:rsidRDefault="00532F9A" w:rsidP="00EE634C">
            <w:pPr>
              <w:pStyle w:val="cuadroCabe"/>
              <w:jc w:val="center"/>
            </w:pPr>
            <w:r w:rsidRPr="00137ECE">
              <w:t>Importe</w:t>
            </w:r>
            <w:r w:rsidR="00EE634C">
              <w:t xml:space="preserve"> </w:t>
            </w:r>
            <w:r>
              <w:t>aplazamiento</w:t>
            </w:r>
          </w:p>
        </w:tc>
      </w:tr>
      <w:tr w:rsidR="00532F9A" w:rsidRPr="00137ECE" w:rsidTr="00B34638">
        <w:trPr>
          <w:trHeight w:val="255"/>
          <w:jc w:val="center"/>
        </w:trPr>
        <w:tc>
          <w:tcPr>
            <w:tcW w:w="1982" w:type="dxa"/>
            <w:tcBorders>
              <w:top w:val="single" w:sz="4" w:space="0" w:color="auto"/>
              <w:bottom w:val="single" w:sz="2" w:space="0" w:color="auto"/>
            </w:tcBorders>
            <w:noWrap/>
            <w:vAlign w:val="center"/>
            <w:hideMark/>
          </w:tcPr>
          <w:p w:rsidR="00532F9A" w:rsidRPr="00137ECE" w:rsidRDefault="00532F9A" w:rsidP="00E43758">
            <w:pPr>
              <w:pStyle w:val="cuatexto"/>
            </w:pPr>
            <w:r w:rsidRPr="00137ECE">
              <w:t>Abril, 2006</w:t>
            </w:r>
          </w:p>
        </w:tc>
        <w:tc>
          <w:tcPr>
            <w:tcW w:w="3029" w:type="dxa"/>
            <w:tcBorders>
              <w:top w:val="single" w:sz="4" w:space="0" w:color="auto"/>
              <w:bottom w:val="single" w:sz="2" w:space="0" w:color="auto"/>
            </w:tcBorders>
            <w:noWrap/>
            <w:vAlign w:val="center"/>
            <w:hideMark/>
          </w:tcPr>
          <w:p w:rsidR="00532F9A" w:rsidRPr="00137ECE" w:rsidRDefault="00532F9A" w:rsidP="00E43758">
            <w:pPr>
              <w:pStyle w:val="cuatexto"/>
            </w:pPr>
            <w:r w:rsidRPr="00137ECE">
              <w:t xml:space="preserve">Resolución del Dtor Grte HTN </w:t>
            </w:r>
          </w:p>
        </w:tc>
        <w:tc>
          <w:tcPr>
            <w:tcW w:w="1702" w:type="dxa"/>
            <w:tcBorders>
              <w:top w:val="single" w:sz="4" w:space="0" w:color="auto"/>
              <w:bottom w:val="single" w:sz="2" w:space="0" w:color="auto"/>
            </w:tcBorders>
            <w:noWrap/>
            <w:vAlign w:val="center"/>
          </w:tcPr>
          <w:p w:rsidR="00532F9A" w:rsidRPr="00137ECE" w:rsidRDefault="00402592" w:rsidP="00402592">
            <w:pPr>
              <w:pStyle w:val="cuatexto"/>
            </w:pPr>
            <w:r>
              <w:t>Dispensa total</w:t>
            </w:r>
          </w:p>
        </w:tc>
        <w:tc>
          <w:tcPr>
            <w:tcW w:w="2042" w:type="dxa"/>
            <w:tcBorders>
              <w:top w:val="single" w:sz="4" w:space="0" w:color="auto"/>
              <w:bottom w:val="single" w:sz="2" w:space="0" w:color="auto"/>
            </w:tcBorders>
            <w:noWrap/>
            <w:vAlign w:val="center"/>
            <w:hideMark/>
          </w:tcPr>
          <w:p w:rsidR="00532F9A" w:rsidRPr="00137ECE" w:rsidRDefault="00532F9A" w:rsidP="00E43758">
            <w:pPr>
              <w:pStyle w:val="cuatexto"/>
              <w:jc w:val="right"/>
            </w:pPr>
            <w:r w:rsidRPr="00137ECE">
              <w:t>1.200.427</w:t>
            </w:r>
          </w:p>
        </w:tc>
      </w:tr>
      <w:tr w:rsidR="00532F9A" w:rsidRPr="00137ECE" w:rsidTr="00B34638">
        <w:trPr>
          <w:trHeight w:val="255"/>
          <w:jc w:val="center"/>
        </w:trPr>
        <w:tc>
          <w:tcPr>
            <w:tcW w:w="1982" w:type="dxa"/>
            <w:tcBorders>
              <w:top w:val="single" w:sz="2" w:space="0" w:color="auto"/>
              <w:bottom w:val="single" w:sz="2" w:space="0" w:color="auto"/>
            </w:tcBorders>
            <w:noWrap/>
            <w:vAlign w:val="center"/>
            <w:hideMark/>
          </w:tcPr>
          <w:p w:rsidR="00532F9A" w:rsidRPr="00137ECE" w:rsidRDefault="00532F9A" w:rsidP="00E43758">
            <w:pPr>
              <w:pStyle w:val="cuatexto"/>
            </w:pPr>
            <w:r w:rsidRPr="00137ECE">
              <w:t>Junio, 2008</w:t>
            </w:r>
          </w:p>
        </w:tc>
        <w:tc>
          <w:tcPr>
            <w:tcW w:w="3029" w:type="dxa"/>
            <w:tcBorders>
              <w:top w:val="single" w:sz="2" w:space="0" w:color="auto"/>
              <w:bottom w:val="single" w:sz="2" w:space="0" w:color="auto"/>
            </w:tcBorders>
            <w:noWrap/>
            <w:vAlign w:val="center"/>
            <w:hideMark/>
          </w:tcPr>
          <w:p w:rsidR="00532F9A" w:rsidRPr="00137ECE" w:rsidRDefault="00532F9A" w:rsidP="00E43758">
            <w:pPr>
              <w:pStyle w:val="cuatexto"/>
            </w:pPr>
            <w:r w:rsidRPr="00137ECE">
              <w:t>Acuerdo Gobierno Navarra</w:t>
            </w:r>
          </w:p>
        </w:tc>
        <w:tc>
          <w:tcPr>
            <w:tcW w:w="1702" w:type="dxa"/>
            <w:tcBorders>
              <w:top w:val="single" w:sz="2" w:space="0" w:color="auto"/>
              <w:bottom w:val="single" w:sz="2" w:space="0" w:color="auto"/>
            </w:tcBorders>
            <w:noWrap/>
            <w:vAlign w:val="center"/>
          </w:tcPr>
          <w:p w:rsidR="00532F9A" w:rsidRPr="00137ECE" w:rsidRDefault="00402592" w:rsidP="00E43758">
            <w:pPr>
              <w:pStyle w:val="cuatexto"/>
            </w:pPr>
            <w:r>
              <w:t>Dispensa parcial</w:t>
            </w:r>
          </w:p>
        </w:tc>
        <w:tc>
          <w:tcPr>
            <w:tcW w:w="2042" w:type="dxa"/>
            <w:tcBorders>
              <w:top w:val="single" w:sz="2" w:space="0" w:color="auto"/>
              <w:bottom w:val="single" w:sz="2" w:space="0" w:color="auto"/>
            </w:tcBorders>
            <w:noWrap/>
            <w:vAlign w:val="center"/>
            <w:hideMark/>
          </w:tcPr>
          <w:p w:rsidR="00532F9A" w:rsidRPr="00137ECE" w:rsidRDefault="00922B2B" w:rsidP="00E43758">
            <w:pPr>
              <w:pStyle w:val="cuatexto"/>
              <w:jc w:val="right"/>
            </w:pPr>
            <w:r>
              <w:t>2.118.000</w:t>
            </w:r>
          </w:p>
        </w:tc>
      </w:tr>
      <w:tr w:rsidR="00532F9A" w:rsidRPr="00137ECE" w:rsidTr="00B34638">
        <w:trPr>
          <w:trHeight w:val="255"/>
          <w:jc w:val="center"/>
        </w:trPr>
        <w:tc>
          <w:tcPr>
            <w:tcW w:w="1982" w:type="dxa"/>
            <w:tcBorders>
              <w:top w:val="single" w:sz="2" w:space="0" w:color="auto"/>
              <w:bottom w:val="single" w:sz="2" w:space="0" w:color="auto"/>
            </w:tcBorders>
            <w:noWrap/>
            <w:vAlign w:val="center"/>
            <w:hideMark/>
          </w:tcPr>
          <w:p w:rsidR="00532F9A" w:rsidRPr="00137ECE" w:rsidRDefault="00532F9A" w:rsidP="00E43758">
            <w:pPr>
              <w:pStyle w:val="cuatexto"/>
            </w:pPr>
            <w:r w:rsidRPr="00137ECE">
              <w:t>Mayo, 2009</w:t>
            </w:r>
          </w:p>
        </w:tc>
        <w:tc>
          <w:tcPr>
            <w:tcW w:w="3029" w:type="dxa"/>
            <w:tcBorders>
              <w:top w:val="single" w:sz="2" w:space="0" w:color="auto"/>
              <w:bottom w:val="single" w:sz="2" w:space="0" w:color="auto"/>
            </w:tcBorders>
            <w:noWrap/>
            <w:vAlign w:val="center"/>
          </w:tcPr>
          <w:p w:rsidR="00532F9A" w:rsidRPr="00137ECE" w:rsidRDefault="00532F9A" w:rsidP="00E43758">
            <w:pPr>
              <w:pStyle w:val="cuatexto"/>
            </w:pPr>
            <w:r w:rsidRPr="00137ECE">
              <w:t>Acuerdo Gobierno Navarra</w:t>
            </w:r>
          </w:p>
        </w:tc>
        <w:tc>
          <w:tcPr>
            <w:tcW w:w="1702" w:type="dxa"/>
            <w:tcBorders>
              <w:top w:val="single" w:sz="2" w:space="0" w:color="auto"/>
              <w:bottom w:val="single" w:sz="2" w:space="0" w:color="auto"/>
            </w:tcBorders>
            <w:noWrap/>
            <w:vAlign w:val="center"/>
          </w:tcPr>
          <w:p w:rsidR="00532F9A" w:rsidRPr="00137ECE" w:rsidRDefault="00402592" w:rsidP="00E43758">
            <w:pPr>
              <w:pStyle w:val="cuatexto"/>
            </w:pPr>
            <w:r>
              <w:t>Dispensa total</w:t>
            </w:r>
          </w:p>
        </w:tc>
        <w:tc>
          <w:tcPr>
            <w:tcW w:w="2042" w:type="dxa"/>
            <w:tcBorders>
              <w:top w:val="single" w:sz="2" w:space="0" w:color="auto"/>
              <w:bottom w:val="single" w:sz="2" w:space="0" w:color="auto"/>
            </w:tcBorders>
            <w:noWrap/>
            <w:vAlign w:val="center"/>
            <w:hideMark/>
          </w:tcPr>
          <w:p w:rsidR="00532F9A" w:rsidRPr="00137ECE" w:rsidRDefault="00532F9A" w:rsidP="00E43758">
            <w:pPr>
              <w:pStyle w:val="cuatexto"/>
              <w:jc w:val="right"/>
            </w:pPr>
            <w:r w:rsidRPr="00137ECE">
              <w:t>17.317.273</w:t>
            </w:r>
          </w:p>
        </w:tc>
      </w:tr>
      <w:tr w:rsidR="00532F9A" w:rsidRPr="00137ECE" w:rsidTr="00B34638">
        <w:trPr>
          <w:trHeight w:val="255"/>
          <w:jc w:val="center"/>
        </w:trPr>
        <w:tc>
          <w:tcPr>
            <w:tcW w:w="1982" w:type="dxa"/>
            <w:tcBorders>
              <w:top w:val="single" w:sz="2" w:space="0" w:color="auto"/>
              <w:bottom w:val="single" w:sz="2" w:space="0" w:color="auto"/>
            </w:tcBorders>
            <w:noWrap/>
            <w:vAlign w:val="center"/>
            <w:hideMark/>
          </w:tcPr>
          <w:p w:rsidR="00532F9A" w:rsidRPr="00137ECE" w:rsidRDefault="00532F9A" w:rsidP="00E43758">
            <w:pPr>
              <w:pStyle w:val="cuatexto"/>
            </w:pPr>
            <w:r w:rsidRPr="00137ECE">
              <w:t>Noviembre, 2</w:t>
            </w:r>
            <w:r>
              <w:t>0</w:t>
            </w:r>
            <w:r w:rsidRPr="00137ECE">
              <w:t>10</w:t>
            </w:r>
          </w:p>
        </w:tc>
        <w:tc>
          <w:tcPr>
            <w:tcW w:w="3029" w:type="dxa"/>
            <w:tcBorders>
              <w:top w:val="single" w:sz="2" w:space="0" w:color="auto"/>
              <w:bottom w:val="single" w:sz="2" w:space="0" w:color="auto"/>
            </w:tcBorders>
            <w:noWrap/>
            <w:vAlign w:val="center"/>
          </w:tcPr>
          <w:p w:rsidR="00532F9A" w:rsidRPr="00137ECE" w:rsidRDefault="00532F9A" w:rsidP="00E43758">
            <w:pPr>
              <w:pStyle w:val="cuatexto"/>
            </w:pPr>
            <w:r w:rsidRPr="00137ECE">
              <w:t>Acuerdo Gobierno Navarra</w:t>
            </w:r>
          </w:p>
        </w:tc>
        <w:tc>
          <w:tcPr>
            <w:tcW w:w="1702" w:type="dxa"/>
            <w:tcBorders>
              <w:top w:val="single" w:sz="2" w:space="0" w:color="auto"/>
              <w:bottom w:val="single" w:sz="2" w:space="0" w:color="auto"/>
            </w:tcBorders>
            <w:noWrap/>
            <w:vAlign w:val="center"/>
          </w:tcPr>
          <w:p w:rsidR="00532F9A" w:rsidRPr="00137ECE" w:rsidRDefault="00402592" w:rsidP="00E43758">
            <w:pPr>
              <w:pStyle w:val="cuatexto"/>
            </w:pPr>
            <w:r>
              <w:t>Garantizado</w:t>
            </w:r>
          </w:p>
        </w:tc>
        <w:tc>
          <w:tcPr>
            <w:tcW w:w="2042" w:type="dxa"/>
            <w:tcBorders>
              <w:top w:val="single" w:sz="2" w:space="0" w:color="auto"/>
              <w:bottom w:val="single" w:sz="2" w:space="0" w:color="auto"/>
            </w:tcBorders>
            <w:noWrap/>
            <w:vAlign w:val="center"/>
            <w:hideMark/>
          </w:tcPr>
          <w:p w:rsidR="00532F9A" w:rsidRPr="00137ECE" w:rsidRDefault="00532F9A" w:rsidP="00E43758">
            <w:pPr>
              <w:pStyle w:val="cuatexto"/>
              <w:jc w:val="right"/>
            </w:pPr>
            <w:r w:rsidRPr="00137ECE">
              <w:t>9.746.976</w:t>
            </w:r>
          </w:p>
        </w:tc>
      </w:tr>
      <w:tr w:rsidR="00402592" w:rsidRPr="00137ECE" w:rsidTr="00B34638">
        <w:trPr>
          <w:trHeight w:val="255"/>
          <w:jc w:val="center"/>
        </w:trPr>
        <w:tc>
          <w:tcPr>
            <w:tcW w:w="1982" w:type="dxa"/>
            <w:tcBorders>
              <w:top w:val="single" w:sz="2" w:space="0" w:color="auto"/>
              <w:bottom w:val="single" w:sz="2" w:space="0" w:color="auto"/>
            </w:tcBorders>
            <w:noWrap/>
            <w:vAlign w:val="center"/>
            <w:hideMark/>
          </w:tcPr>
          <w:p w:rsidR="00402592" w:rsidRPr="00137ECE" w:rsidRDefault="00402592" w:rsidP="00E43758">
            <w:pPr>
              <w:pStyle w:val="cuatexto"/>
            </w:pPr>
            <w:r w:rsidRPr="00137ECE">
              <w:t>Junio, 2011</w:t>
            </w:r>
          </w:p>
        </w:tc>
        <w:tc>
          <w:tcPr>
            <w:tcW w:w="3029" w:type="dxa"/>
            <w:tcBorders>
              <w:top w:val="single" w:sz="2" w:space="0" w:color="auto"/>
              <w:bottom w:val="single" w:sz="2" w:space="0" w:color="auto"/>
            </w:tcBorders>
            <w:noWrap/>
            <w:vAlign w:val="center"/>
          </w:tcPr>
          <w:p w:rsidR="00402592" w:rsidRPr="00137ECE" w:rsidRDefault="00402592" w:rsidP="00E43758">
            <w:pPr>
              <w:pStyle w:val="cuatexto"/>
            </w:pPr>
            <w:r w:rsidRPr="00137ECE">
              <w:t>Acuerdo Gobierno Navarra</w:t>
            </w:r>
          </w:p>
        </w:tc>
        <w:tc>
          <w:tcPr>
            <w:tcW w:w="1702" w:type="dxa"/>
            <w:tcBorders>
              <w:top w:val="single" w:sz="2" w:space="0" w:color="auto"/>
              <w:bottom w:val="single" w:sz="2" w:space="0" w:color="auto"/>
            </w:tcBorders>
            <w:noWrap/>
            <w:vAlign w:val="center"/>
          </w:tcPr>
          <w:p w:rsidR="00402592" w:rsidRPr="00137ECE" w:rsidRDefault="00402592" w:rsidP="00E43758">
            <w:pPr>
              <w:pStyle w:val="cuatexto"/>
            </w:pPr>
            <w:r>
              <w:t>Garantizado</w:t>
            </w:r>
          </w:p>
        </w:tc>
        <w:tc>
          <w:tcPr>
            <w:tcW w:w="2042" w:type="dxa"/>
            <w:tcBorders>
              <w:top w:val="single" w:sz="2" w:space="0" w:color="auto"/>
              <w:bottom w:val="single" w:sz="2" w:space="0" w:color="auto"/>
            </w:tcBorders>
            <w:noWrap/>
            <w:vAlign w:val="center"/>
            <w:hideMark/>
          </w:tcPr>
          <w:p w:rsidR="00402592" w:rsidRPr="00137ECE" w:rsidRDefault="00402592" w:rsidP="00E43758">
            <w:pPr>
              <w:pStyle w:val="cuatexto"/>
              <w:jc w:val="right"/>
            </w:pPr>
            <w:r w:rsidRPr="00137ECE">
              <w:t>7.727.936</w:t>
            </w:r>
          </w:p>
        </w:tc>
      </w:tr>
      <w:tr w:rsidR="00402592" w:rsidRPr="00137ECE" w:rsidTr="00B34638">
        <w:trPr>
          <w:trHeight w:val="255"/>
          <w:jc w:val="center"/>
        </w:trPr>
        <w:tc>
          <w:tcPr>
            <w:tcW w:w="1982" w:type="dxa"/>
            <w:tcBorders>
              <w:top w:val="single" w:sz="2" w:space="0" w:color="auto"/>
              <w:bottom w:val="single" w:sz="2" w:space="0" w:color="auto"/>
            </w:tcBorders>
            <w:noWrap/>
            <w:vAlign w:val="center"/>
            <w:hideMark/>
          </w:tcPr>
          <w:p w:rsidR="00402592" w:rsidRPr="00137ECE" w:rsidRDefault="00402592" w:rsidP="00E43758">
            <w:pPr>
              <w:pStyle w:val="cuatexto"/>
            </w:pPr>
            <w:r w:rsidRPr="00137ECE">
              <w:t>Diciembre, 2012</w:t>
            </w:r>
          </w:p>
        </w:tc>
        <w:tc>
          <w:tcPr>
            <w:tcW w:w="3029" w:type="dxa"/>
            <w:tcBorders>
              <w:top w:val="single" w:sz="2" w:space="0" w:color="auto"/>
              <w:bottom w:val="single" w:sz="2" w:space="0" w:color="auto"/>
            </w:tcBorders>
            <w:noWrap/>
            <w:vAlign w:val="center"/>
          </w:tcPr>
          <w:p w:rsidR="00402592" w:rsidRPr="00137ECE" w:rsidRDefault="00402592" w:rsidP="00E43758">
            <w:pPr>
              <w:pStyle w:val="cuatexto"/>
            </w:pPr>
            <w:r w:rsidRPr="00137ECE">
              <w:t>Acuerdo Gobierno Navarra</w:t>
            </w:r>
          </w:p>
        </w:tc>
        <w:tc>
          <w:tcPr>
            <w:tcW w:w="1702" w:type="dxa"/>
            <w:tcBorders>
              <w:top w:val="single" w:sz="2" w:space="0" w:color="auto"/>
              <w:bottom w:val="single" w:sz="2" w:space="0" w:color="auto"/>
            </w:tcBorders>
            <w:noWrap/>
            <w:vAlign w:val="center"/>
          </w:tcPr>
          <w:p w:rsidR="00402592" w:rsidRPr="00137ECE" w:rsidRDefault="00402592" w:rsidP="00E43758">
            <w:pPr>
              <w:pStyle w:val="cuatexto"/>
            </w:pPr>
            <w:r>
              <w:t>Garantizado</w:t>
            </w:r>
          </w:p>
        </w:tc>
        <w:tc>
          <w:tcPr>
            <w:tcW w:w="2042" w:type="dxa"/>
            <w:tcBorders>
              <w:top w:val="single" w:sz="2" w:space="0" w:color="auto"/>
              <w:bottom w:val="single" w:sz="2" w:space="0" w:color="auto"/>
            </w:tcBorders>
            <w:noWrap/>
            <w:vAlign w:val="center"/>
            <w:hideMark/>
          </w:tcPr>
          <w:p w:rsidR="00402592" w:rsidRPr="00137ECE" w:rsidRDefault="00402592" w:rsidP="00E43758">
            <w:pPr>
              <w:pStyle w:val="cuatexto"/>
              <w:jc w:val="right"/>
            </w:pPr>
            <w:r w:rsidRPr="00137ECE">
              <w:t>8.293.855</w:t>
            </w:r>
          </w:p>
        </w:tc>
      </w:tr>
      <w:tr w:rsidR="00402592" w:rsidRPr="00137ECE" w:rsidTr="00B34638">
        <w:trPr>
          <w:trHeight w:val="255"/>
          <w:jc w:val="center"/>
        </w:trPr>
        <w:tc>
          <w:tcPr>
            <w:tcW w:w="1982" w:type="dxa"/>
            <w:tcBorders>
              <w:top w:val="single" w:sz="2" w:space="0" w:color="auto"/>
              <w:bottom w:val="single" w:sz="4" w:space="0" w:color="auto"/>
            </w:tcBorders>
            <w:noWrap/>
            <w:vAlign w:val="center"/>
            <w:hideMark/>
          </w:tcPr>
          <w:p w:rsidR="00402592" w:rsidRPr="00137ECE" w:rsidRDefault="00402592" w:rsidP="00E43758">
            <w:pPr>
              <w:pStyle w:val="cuatexto"/>
            </w:pPr>
            <w:r w:rsidRPr="00137ECE">
              <w:t>Octubre, 2013</w:t>
            </w:r>
          </w:p>
        </w:tc>
        <w:tc>
          <w:tcPr>
            <w:tcW w:w="3029" w:type="dxa"/>
            <w:tcBorders>
              <w:top w:val="single" w:sz="2" w:space="0" w:color="auto"/>
              <w:bottom w:val="single" w:sz="4" w:space="0" w:color="auto"/>
            </w:tcBorders>
            <w:noWrap/>
            <w:vAlign w:val="center"/>
          </w:tcPr>
          <w:p w:rsidR="00402592" w:rsidRPr="00137ECE" w:rsidRDefault="00402592" w:rsidP="00E43758">
            <w:pPr>
              <w:pStyle w:val="cuatexto"/>
            </w:pPr>
            <w:r w:rsidRPr="00137ECE">
              <w:t>Acuerdo Gobierno Navarra</w:t>
            </w:r>
          </w:p>
        </w:tc>
        <w:tc>
          <w:tcPr>
            <w:tcW w:w="1702" w:type="dxa"/>
            <w:tcBorders>
              <w:top w:val="single" w:sz="2" w:space="0" w:color="auto"/>
              <w:bottom w:val="single" w:sz="4" w:space="0" w:color="auto"/>
            </w:tcBorders>
            <w:noWrap/>
            <w:vAlign w:val="center"/>
          </w:tcPr>
          <w:p w:rsidR="00402592" w:rsidRPr="00137ECE" w:rsidRDefault="00402592" w:rsidP="00E43758">
            <w:pPr>
              <w:pStyle w:val="cuatexto"/>
            </w:pPr>
            <w:r>
              <w:t>Dispensa parcial</w:t>
            </w:r>
          </w:p>
        </w:tc>
        <w:tc>
          <w:tcPr>
            <w:tcW w:w="2042" w:type="dxa"/>
            <w:tcBorders>
              <w:top w:val="single" w:sz="2" w:space="0" w:color="auto"/>
              <w:bottom w:val="single" w:sz="4" w:space="0" w:color="auto"/>
            </w:tcBorders>
            <w:noWrap/>
            <w:vAlign w:val="center"/>
            <w:hideMark/>
          </w:tcPr>
          <w:p w:rsidR="00402592" w:rsidRPr="00137ECE" w:rsidRDefault="00402592" w:rsidP="00E43758">
            <w:pPr>
              <w:pStyle w:val="cuatexto"/>
              <w:jc w:val="right"/>
            </w:pPr>
            <w:r w:rsidRPr="00137ECE">
              <w:t>4.665.343</w:t>
            </w:r>
          </w:p>
        </w:tc>
      </w:tr>
    </w:tbl>
    <w:p w:rsidR="00787A78" w:rsidRDefault="00787A78" w:rsidP="00EE634C">
      <w:pPr>
        <w:pStyle w:val="texto"/>
        <w:tabs>
          <w:tab w:val="clear" w:pos="2835"/>
          <w:tab w:val="clear" w:pos="3969"/>
          <w:tab w:val="clear" w:pos="5103"/>
          <w:tab w:val="clear" w:pos="6237"/>
          <w:tab w:val="clear" w:pos="7371"/>
        </w:tabs>
        <w:spacing w:after="0"/>
      </w:pPr>
    </w:p>
    <w:p w:rsidR="0063498C" w:rsidRDefault="0063498C" w:rsidP="00787A78">
      <w:pPr>
        <w:pStyle w:val="texto"/>
        <w:tabs>
          <w:tab w:val="clear" w:pos="2835"/>
          <w:tab w:val="clear" w:pos="3969"/>
          <w:tab w:val="clear" w:pos="5103"/>
          <w:tab w:val="clear" w:pos="6237"/>
          <w:tab w:val="clear" w:pos="7371"/>
        </w:tabs>
      </w:pPr>
      <w:r>
        <w:t>Sobre ello</w:t>
      </w:r>
      <w:r w:rsidR="00B805FF">
        <w:t>s</w:t>
      </w:r>
      <w:r>
        <w:t>, señalamos:</w:t>
      </w:r>
    </w:p>
    <w:p w:rsidR="0063498C" w:rsidRPr="0063498C" w:rsidRDefault="00051483" w:rsidP="0063498C">
      <w:pPr>
        <w:pStyle w:val="texto"/>
        <w:tabs>
          <w:tab w:val="clear" w:pos="2835"/>
          <w:tab w:val="clear" w:pos="3969"/>
          <w:tab w:val="clear" w:pos="5103"/>
          <w:tab w:val="clear" w:pos="6237"/>
          <w:tab w:val="clear" w:pos="7371"/>
        </w:tabs>
      </w:pPr>
      <w:r>
        <w:t xml:space="preserve">a) </w:t>
      </w:r>
      <w:r w:rsidR="0063498C">
        <w:t>Dispensa total. En el expediente de 2006 se justifica la misma ante</w:t>
      </w:r>
      <w:r w:rsidR="0063498C" w:rsidRPr="0063498C">
        <w:t xml:space="preserve"> la imposibilidad de acceder a aval bancario alegada por el </w:t>
      </w:r>
      <w:r w:rsidR="005F1C7E">
        <w:t>contribuyente</w:t>
      </w:r>
      <w:r w:rsidR="0063498C" w:rsidRPr="0063498C">
        <w:t xml:space="preserve"> y la inexistencia de bienes inmuebles susceptibles de ser hipotecados en garantía</w:t>
      </w:r>
      <w:r w:rsidR="00EE1485">
        <w:t>; e</w:t>
      </w:r>
      <w:r w:rsidR="009D3CC7">
        <w:t xml:space="preserve">ste último hecho se justifica en que el </w:t>
      </w:r>
      <w:r w:rsidR="00D57390">
        <w:t>c</w:t>
      </w:r>
      <w:r w:rsidR="009D3CC7">
        <w:t>lub, para obtener el aval del Gobierno de 18 millones que se aprueba en la Ley Foral 1/2003, procedió a hipotecar todos su bienes</w:t>
      </w:r>
      <w:r w:rsidR="00731C93">
        <w:t xml:space="preserve"> inmuebles a favor de la Comunidad Foral.</w:t>
      </w:r>
      <w:r w:rsidR="0063498C" w:rsidRPr="0063498C">
        <w:t xml:space="preserve"> </w:t>
      </w:r>
      <w:r w:rsidR="00EE1485">
        <w:t>Dad</w:t>
      </w:r>
      <w:r w:rsidR="00405265">
        <w:t>a</w:t>
      </w:r>
      <w:r w:rsidR="00EE1485">
        <w:t xml:space="preserve"> la brevedad de plaz</w:t>
      </w:r>
      <w:r w:rsidR="00D0363A">
        <w:t>o</w:t>
      </w:r>
      <w:r w:rsidR="00EE1485">
        <w:t xml:space="preserve"> </w:t>
      </w:r>
      <w:r w:rsidR="00D0363A">
        <w:t>del</w:t>
      </w:r>
      <w:r w:rsidR="00EE1485">
        <w:t xml:space="preserve"> apl</w:t>
      </w:r>
      <w:r w:rsidR="00D0363A">
        <w:t>a</w:t>
      </w:r>
      <w:r w:rsidR="00EE1485">
        <w:t>zamiento solic</w:t>
      </w:r>
      <w:r w:rsidR="00D0363A">
        <w:t>i</w:t>
      </w:r>
      <w:r w:rsidR="00EE1485">
        <w:t>tado –tres meses</w:t>
      </w:r>
      <w:r w:rsidR="00B34638">
        <w:t>–</w:t>
      </w:r>
      <w:r w:rsidR="00D0363A">
        <w:t>, la situación económica del club y los posibles quebrantos para la HTN, se concede el mismo amparándose en el principio de excepcionalidad que contempla la normativa al órgano competente.</w:t>
      </w:r>
    </w:p>
    <w:p w:rsidR="00731C93" w:rsidRDefault="0063498C" w:rsidP="0063498C">
      <w:pPr>
        <w:pStyle w:val="texto"/>
        <w:tabs>
          <w:tab w:val="clear" w:pos="2835"/>
          <w:tab w:val="clear" w:pos="3969"/>
          <w:tab w:val="clear" w:pos="5103"/>
          <w:tab w:val="clear" w:pos="6237"/>
          <w:tab w:val="clear" w:pos="7371"/>
        </w:tabs>
      </w:pPr>
      <w:r w:rsidRPr="0063498C">
        <w:t>La segunda dispensa total</w:t>
      </w:r>
      <w:r w:rsidR="00051483">
        <w:t>,</w:t>
      </w:r>
      <w:r w:rsidR="00731C93">
        <w:t xml:space="preserve"> mayo de 2009</w:t>
      </w:r>
      <w:r w:rsidR="00051483">
        <w:t>,</w:t>
      </w:r>
      <w:r w:rsidR="00731C93">
        <w:t xml:space="preserve"> se</w:t>
      </w:r>
      <w:r w:rsidRPr="0063498C">
        <w:t xml:space="preserve"> acogió a la legisla</w:t>
      </w:r>
      <w:r w:rsidR="00731C93">
        <w:t xml:space="preserve">ción de ayudas </w:t>
      </w:r>
      <w:r w:rsidR="00EE00A7">
        <w:t>a</w:t>
      </w:r>
      <w:r w:rsidRPr="0063498C">
        <w:t xml:space="preserve"> empresas en crisis</w:t>
      </w:r>
      <w:r w:rsidR="00731C93">
        <w:t xml:space="preserve">, no aportando el </w:t>
      </w:r>
      <w:r w:rsidR="00D57390">
        <w:t>c</w:t>
      </w:r>
      <w:r w:rsidR="00731C93">
        <w:t>lub</w:t>
      </w:r>
      <w:r w:rsidRPr="0063498C">
        <w:t xml:space="preserve"> garantía alguna</w:t>
      </w:r>
      <w:r w:rsidR="00731C93">
        <w:t xml:space="preserve"> ya que</w:t>
      </w:r>
      <w:r w:rsidR="00D57390">
        <w:t xml:space="preserve"> </w:t>
      </w:r>
      <w:r w:rsidR="00731C93">
        <w:t xml:space="preserve">estima </w:t>
      </w:r>
      <w:r w:rsidR="00E7510D">
        <w:t xml:space="preserve">el </w:t>
      </w:r>
      <w:r w:rsidR="005F1C7E">
        <w:t>d</w:t>
      </w:r>
      <w:r w:rsidR="00E7510D">
        <w:t xml:space="preserve">epartamento de Industria </w:t>
      </w:r>
      <w:r w:rsidR="00731C93">
        <w:t>que</w:t>
      </w:r>
      <w:r w:rsidRPr="0063498C">
        <w:t xml:space="preserve"> la existencia de éstas dejaría al club en situación de debilidad ante los bancos</w:t>
      </w:r>
      <w:r w:rsidR="00E7510D">
        <w:t xml:space="preserve"> para solicitar préstamos: n</w:t>
      </w:r>
      <w:r w:rsidRPr="0063498C">
        <w:t xml:space="preserve">o obstante, se requiere al </w:t>
      </w:r>
      <w:r w:rsidR="00D57390">
        <w:t>c</w:t>
      </w:r>
      <w:r w:rsidRPr="0063498C">
        <w:t>lub para que, en el caso de</w:t>
      </w:r>
      <w:r w:rsidR="00405265">
        <w:t xml:space="preserve"> que disponga de</w:t>
      </w:r>
      <w:r w:rsidRPr="0063498C">
        <w:t xml:space="preserve"> nuevos activos, lo comunique a </w:t>
      </w:r>
      <w:r w:rsidR="00731C93">
        <w:t>la Hacienda Foral</w:t>
      </w:r>
      <w:r w:rsidRPr="0063498C">
        <w:t xml:space="preserve"> por si se incorporan como garant</w:t>
      </w:r>
      <w:r w:rsidR="00731C93">
        <w:t>ía</w:t>
      </w:r>
      <w:r w:rsidR="00922B2B">
        <w:t xml:space="preserve"> así como que se cumplan lo</w:t>
      </w:r>
      <w:r w:rsidR="008C07A8">
        <w:t xml:space="preserve">s compromisos adquiridos </w:t>
      </w:r>
      <w:r w:rsidR="00922B2B">
        <w:t>en su plan de viabilidad</w:t>
      </w:r>
      <w:r w:rsidR="00D14B06">
        <w:t xml:space="preserve"> de empresa</w:t>
      </w:r>
      <w:r w:rsidRPr="0063498C">
        <w:t>.</w:t>
      </w:r>
      <w:r w:rsidR="00E7510D">
        <w:t xml:space="preserve"> El informe del servicio de Recaudación informa favorablemente de la concesión del mismo condicionado, en cualquier caso, al cumplimiento futuro de todas su</w:t>
      </w:r>
      <w:r w:rsidR="00922B2B">
        <w:t>s</w:t>
      </w:r>
      <w:r w:rsidR="00E7510D">
        <w:t xml:space="preserve"> obligaciones tributarias.</w:t>
      </w:r>
    </w:p>
    <w:p w:rsidR="00883B36" w:rsidRDefault="00BB17D0" w:rsidP="00A57770">
      <w:pPr>
        <w:pStyle w:val="texto"/>
        <w:tabs>
          <w:tab w:val="clear" w:pos="2835"/>
          <w:tab w:val="clear" w:pos="3969"/>
          <w:tab w:val="clear" w:pos="5103"/>
          <w:tab w:val="clear" w:pos="6237"/>
          <w:tab w:val="clear" w:pos="7371"/>
        </w:tabs>
      </w:pPr>
      <w:r>
        <w:t xml:space="preserve">b) </w:t>
      </w:r>
      <w:r w:rsidR="00731C93">
        <w:t>Dispensa parcial</w:t>
      </w:r>
      <w:r w:rsidR="00A57770">
        <w:t>.</w:t>
      </w:r>
      <w:r w:rsidR="00A57770" w:rsidRPr="00A57770">
        <w:t xml:space="preserve"> </w:t>
      </w:r>
      <w:r w:rsidR="00A57770">
        <w:t>Ambos expedientes</w:t>
      </w:r>
      <w:r w:rsidR="00B34638">
        <w:t xml:space="preserve"> –</w:t>
      </w:r>
      <w:r w:rsidR="00883B36">
        <w:t>junio de 2008 y octubre de 2013</w:t>
      </w:r>
      <w:r w:rsidR="00B34638">
        <w:t>–</w:t>
      </w:r>
      <w:r w:rsidR="00A57770">
        <w:t xml:space="preserve"> </w:t>
      </w:r>
      <w:r w:rsidR="00A57770" w:rsidRPr="00A57770">
        <w:t>se fundamentan en la imposibilidad de aportar aval bancario</w:t>
      </w:r>
      <w:r w:rsidR="00A57770">
        <w:t xml:space="preserve"> y, en</w:t>
      </w:r>
      <w:r w:rsidR="00A57770" w:rsidRPr="00A57770">
        <w:t xml:space="preserve"> </w:t>
      </w:r>
      <w:r w:rsidR="00A57770">
        <w:t>el segundo de ellos, además,</w:t>
      </w:r>
      <w:r w:rsidR="00A57770" w:rsidRPr="00A57770">
        <w:t xml:space="preserve"> se constata también la inexistencia de inmuebles susceptibles de convertirse en garantía. </w:t>
      </w:r>
      <w:r w:rsidR="00A57770">
        <w:t>Como ga</w:t>
      </w:r>
      <w:r w:rsidR="00883B36">
        <w:t xml:space="preserve">rantías </w:t>
      </w:r>
      <w:r w:rsidR="00A57770">
        <w:t>se aporta, en el primero,</w:t>
      </w:r>
      <w:r w:rsidR="00A57770" w:rsidRPr="00A57770">
        <w:t xml:space="preserve"> el cobro de derechos televisivos</w:t>
      </w:r>
      <w:r w:rsidR="00A57770">
        <w:t>; en el segundo,</w:t>
      </w:r>
      <w:r w:rsidR="00A57770" w:rsidRPr="00A57770">
        <w:t xml:space="preserve"> una hipoteca sobre la parcela UM3-P-1. </w:t>
      </w:r>
      <w:r w:rsidR="00A57770">
        <w:t>Esta parcela</w:t>
      </w:r>
      <w:r w:rsidR="00A57770" w:rsidRPr="00A57770">
        <w:t xml:space="preserve"> </w:t>
      </w:r>
      <w:r w:rsidR="000F7298">
        <w:t xml:space="preserve">fue obtenida por  el </w:t>
      </w:r>
      <w:r w:rsidR="00D57390">
        <w:t>c</w:t>
      </w:r>
      <w:r w:rsidR="000F7298">
        <w:t xml:space="preserve">lub en 2009 a través del proyecto de reparcelación de la zona y no consta, si ya en ese año, </w:t>
      </w:r>
      <w:r w:rsidR="00A57770" w:rsidRPr="00A57770">
        <w:t>se comunicó a la H</w:t>
      </w:r>
      <w:r w:rsidR="00A57770">
        <w:t>acienda Foral</w:t>
      </w:r>
      <w:r w:rsidR="00A57770" w:rsidRPr="00A57770">
        <w:t xml:space="preserve"> a los efectos de la segunda dispensa total</w:t>
      </w:r>
      <w:r w:rsidR="00883B36">
        <w:t xml:space="preserve"> de mayo de dicho año.</w:t>
      </w:r>
    </w:p>
    <w:p w:rsidR="00A57770" w:rsidRDefault="00883B36" w:rsidP="00A57770">
      <w:pPr>
        <w:pStyle w:val="texto"/>
        <w:tabs>
          <w:tab w:val="clear" w:pos="2835"/>
          <w:tab w:val="clear" w:pos="3969"/>
          <w:tab w:val="clear" w:pos="5103"/>
          <w:tab w:val="clear" w:pos="6237"/>
          <w:tab w:val="clear" w:pos="7371"/>
        </w:tabs>
      </w:pPr>
      <w:r>
        <w:t>Ambos expedientes se conceden acogiéndose al régimen de excepcionalidad que contempla el Reglamento de Recaudación.</w:t>
      </w:r>
    </w:p>
    <w:p w:rsidR="008919F3" w:rsidRDefault="00BB17D0" w:rsidP="00EE634C">
      <w:pPr>
        <w:pStyle w:val="texto"/>
        <w:tabs>
          <w:tab w:val="clear" w:pos="2835"/>
          <w:tab w:val="clear" w:pos="3969"/>
          <w:tab w:val="clear" w:pos="5103"/>
          <w:tab w:val="clear" w:pos="6237"/>
          <w:tab w:val="clear" w:pos="7371"/>
        </w:tabs>
        <w:spacing w:after="180"/>
      </w:pPr>
      <w:r>
        <w:t xml:space="preserve">c) </w:t>
      </w:r>
      <w:r w:rsidR="008919F3">
        <w:t xml:space="preserve">Garantizados. Esos tres expedientes están garantizados por </w:t>
      </w:r>
      <w:r w:rsidR="008919F3" w:rsidRPr="008919F3">
        <w:t>constitución de embargos y por derechos porcentuales sobr</w:t>
      </w:r>
      <w:r w:rsidR="00927D1C">
        <w:t>e cantidades a percibir por el c</w:t>
      </w:r>
      <w:r w:rsidR="008919F3" w:rsidRPr="008919F3">
        <w:t xml:space="preserve">lub. </w:t>
      </w:r>
    </w:p>
    <w:p w:rsidR="008919F3" w:rsidRPr="00EE634C" w:rsidRDefault="00BB17D0" w:rsidP="00EE634C">
      <w:pPr>
        <w:pStyle w:val="texto"/>
        <w:tabs>
          <w:tab w:val="clear" w:pos="2835"/>
          <w:tab w:val="clear" w:pos="3969"/>
          <w:tab w:val="clear" w:pos="5103"/>
          <w:tab w:val="clear" w:pos="6237"/>
          <w:tab w:val="clear" w:pos="7371"/>
        </w:tabs>
        <w:spacing w:after="180"/>
        <w:rPr>
          <w:rFonts w:ascii="Times New (W1)" w:hAnsi="Times New (W1)"/>
          <w:spacing w:val="4"/>
        </w:rPr>
      </w:pPr>
      <w:r>
        <w:t>Así,</w:t>
      </w:r>
      <w:r w:rsidR="008919F3" w:rsidRPr="008919F3">
        <w:t xml:space="preserve"> se </w:t>
      </w:r>
      <w:r>
        <w:t>materializan</w:t>
      </w:r>
      <w:r w:rsidR="008919F3" w:rsidRPr="008919F3">
        <w:t xml:space="preserve"> embargos sucesivos sobre dos fincas concretas del </w:t>
      </w:r>
      <w:r w:rsidR="00927D1C">
        <w:t>c</w:t>
      </w:r>
      <w:r w:rsidR="008919F3">
        <w:t xml:space="preserve">lub: Escuela de fútbol-Tajonar </w:t>
      </w:r>
      <w:r w:rsidR="008919F3" w:rsidRPr="008919F3">
        <w:t xml:space="preserve">y </w:t>
      </w:r>
      <w:r w:rsidR="00DE39B5">
        <w:t xml:space="preserve">el </w:t>
      </w:r>
      <w:r w:rsidR="008919F3" w:rsidRPr="008919F3">
        <w:t xml:space="preserve">estadio </w:t>
      </w:r>
      <w:r w:rsidR="00DE39B5">
        <w:t>El Sadar</w:t>
      </w:r>
      <w:r w:rsidR="008919F3" w:rsidRPr="008919F3">
        <w:t xml:space="preserve">. </w:t>
      </w:r>
      <w:r w:rsidR="008919F3" w:rsidRPr="00EE634C">
        <w:rPr>
          <w:rFonts w:ascii="Times New (W1)" w:hAnsi="Times New (W1)"/>
          <w:spacing w:val="4"/>
        </w:rPr>
        <w:t>Para garantizar con las dos mismas fincas tres aplazamientos distintos se acude a calcular el valor libre, por diferencia entre la deuda inicialmente garantizada y la deuda actual al momento de volver a embargar el bien, lógicamente menor al haberse p</w:t>
      </w:r>
      <w:r w:rsidR="00DE39B5" w:rsidRPr="00EE634C">
        <w:rPr>
          <w:rFonts w:ascii="Times New (W1)" w:hAnsi="Times New (W1)"/>
          <w:spacing w:val="4"/>
        </w:rPr>
        <w:t xml:space="preserve">agado plazos. </w:t>
      </w:r>
      <w:r w:rsidR="008919F3" w:rsidRPr="00EE634C">
        <w:rPr>
          <w:rFonts w:ascii="Times New (W1)" w:hAnsi="Times New (W1)"/>
          <w:spacing w:val="4"/>
        </w:rPr>
        <w:t xml:space="preserve"> </w:t>
      </w:r>
    </w:p>
    <w:p w:rsidR="008919F3" w:rsidRDefault="008919F3" w:rsidP="00EE634C">
      <w:pPr>
        <w:pStyle w:val="texto"/>
        <w:tabs>
          <w:tab w:val="clear" w:pos="2835"/>
          <w:tab w:val="clear" w:pos="3969"/>
          <w:tab w:val="clear" w:pos="5103"/>
          <w:tab w:val="clear" w:pos="6237"/>
          <w:tab w:val="clear" w:pos="7371"/>
        </w:tabs>
        <w:spacing w:after="180"/>
      </w:pPr>
      <w:r w:rsidRPr="008919F3">
        <w:t>Se complementa</w:t>
      </w:r>
      <w:r w:rsidR="005D3407">
        <w:t>ba</w:t>
      </w:r>
      <w:r w:rsidRPr="008919F3">
        <w:t>n con derechos sobre el 100</w:t>
      </w:r>
      <w:r w:rsidR="00DE39B5">
        <w:t xml:space="preserve"> por cien</w:t>
      </w:r>
      <w:r w:rsidRPr="008919F3">
        <w:t xml:space="preserve"> del contrato de patrocinio con el G</w:t>
      </w:r>
      <w:r w:rsidR="00DE39B5">
        <w:t xml:space="preserve">obierno de Navarra </w:t>
      </w:r>
      <w:r w:rsidRPr="008919F3">
        <w:t>y</w:t>
      </w:r>
      <w:r w:rsidR="00DE39B5">
        <w:t xml:space="preserve"> con</w:t>
      </w:r>
      <w:r w:rsidRPr="008919F3">
        <w:t xml:space="preserve"> porcentajes sobre</w:t>
      </w:r>
      <w:r w:rsidR="00DE39B5">
        <w:t xml:space="preserve"> los</w:t>
      </w:r>
      <w:r w:rsidRPr="008919F3">
        <w:t xml:space="preserve"> derechos audiovisuales, </w:t>
      </w:r>
      <w:r w:rsidR="00DE39B5">
        <w:t xml:space="preserve">los </w:t>
      </w:r>
      <w:r w:rsidRPr="008919F3">
        <w:t>derechos genéricos por traspasos de jugado</w:t>
      </w:r>
      <w:r w:rsidR="00DE39B5">
        <w:t>res y los</w:t>
      </w:r>
      <w:r w:rsidRPr="008919F3">
        <w:t xml:space="preserve"> derechos por un concreto traspaso de un jugador.</w:t>
      </w:r>
    </w:p>
    <w:p w:rsidR="00D73D6F" w:rsidRPr="008919F3" w:rsidRDefault="00D73D6F" w:rsidP="00EE634C">
      <w:pPr>
        <w:pStyle w:val="texto"/>
        <w:tabs>
          <w:tab w:val="clear" w:pos="2835"/>
          <w:tab w:val="clear" w:pos="3969"/>
          <w:tab w:val="clear" w:pos="5103"/>
          <w:tab w:val="clear" w:pos="6237"/>
          <w:tab w:val="clear" w:pos="7371"/>
        </w:tabs>
        <w:spacing w:after="180"/>
      </w:pPr>
      <w:r>
        <w:t>Al respecto</w:t>
      </w:r>
      <w:r w:rsidR="00D57390">
        <w:t>,</w:t>
      </w:r>
      <w:r>
        <w:t xml:space="preserve"> consta un informe del servicio de </w:t>
      </w:r>
      <w:r w:rsidR="001C0F51">
        <w:t>R</w:t>
      </w:r>
      <w:r>
        <w:t>ecaudación</w:t>
      </w:r>
      <w:r w:rsidR="001C0F51">
        <w:t xml:space="preserve"> de enero de 2014 en el que se indica que el </w:t>
      </w:r>
      <w:r w:rsidR="00D57390">
        <w:t>c</w:t>
      </w:r>
      <w:r w:rsidR="001C0F51">
        <w:t>lub ha incumplido con la obligación de notificar a la empresa propietaria de los derechos audiovisuales la cesión a favor de la HTN y de su ingreso directo en una cuenta</w:t>
      </w:r>
      <w:r w:rsidR="00B805FF">
        <w:t xml:space="preserve"> restringida</w:t>
      </w:r>
      <w:r w:rsidR="00686928">
        <w:t>; además</w:t>
      </w:r>
      <w:r w:rsidR="00D57390">
        <w:t>,</w:t>
      </w:r>
      <w:r w:rsidR="00686928">
        <w:t xml:space="preserve"> parece que también está cedido su cobro a una entidad financiera, aunque se desconoce en qué porcentaje</w:t>
      </w:r>
      <w:r w:rsidR="001C0F51">
        <w:t xml:space="preserve">. </w:t>
      </w:r>
      <w:r w:rsidR="00686928">
        <w:t>P</w:t>
      </w:r>
      <w:r w:rsidR="001C0F51">
        <w:t>osteriormente se observa</w:t>
      </w:r>
      <w:r w:rsidR="00405265">
        <w:t>n</w:t>
      </w:r>
      <w:r w:rsidR="001C0F51">
        <w:t xml:space="preserve"> algunos ingresos mensuales</w:t>
      </w:r>
      <w:r w:rsidR="00686928">
        <w:t xml:space="preserve"> de estos derechos pero no del IVA que </w:t>
      </w:r>
      <w:r w:rsidR="001C0F51">
        <w:t>grava</w:t>
      </w:r>
      <w:r w:rsidR="00686928">
        <w:t xml:space="preserve"> la totalidad del mismo</w:t>
      </w:r>
      <w:r w:rsidR="00B805FF">
        <w:t>, tal como se exigía en la concesión</w:t>
      </w:r>
      <w:r w:rsidR="001C0F51">
        <w:t>.</w:t>
      </w:r>
      <w:r w:rsidR="00F94D67">
        <w:t xml:space="preserve"> </w:t>
      </w:r>
      <w:r w:rsidR="0008445D">
        <w:t>En marzo de 2014, se regulariza esta situación con la comunicación del club a la tenedora de los derechos de TV, la cual ingresa el 20 por ciento del importe de la factura y el 100 por cien de la cuota de IVA</w:t>
      </w:r>
      <w:r w:rsidR="0000620B">
        <w:rPr>
          <w:rStyle w:val="Refdenotaalpie"/>
        </w:rPr>
        <w:footnoteReference w:id="5"/>
      </w:r>
      <w:r w:rsidR="0008445D">
        <w:t>.</w:t>
      </w:r>
      <w:r w:rsidR="00F94D67">
        <w:t xml:space="preserve"> </w:t>
      </w:r>
    </w:p>
    <w:p w:rsidR="00426B7D" w:rsidRDefault="008919F3" w:rsidP="00EE634C">
      <w:pPr>
        <w:pStyle w:val="texto"/>
        <w:tabs>
          <w:tab w:val="clear" w:pos="2835"/>
          <w:tab w:val="clear" w:pos="3969"/>
          <w:tab w:val="clear" w:pos="5103"/>
          <w:tab w:val="clear" w:pos="6237"/>
          <w:tab w:val="clear" w:pos="7371"/>
        </w:tabs>
        <w:spacing w:after="180"/>
      </w:pPr>
      <w:r w:rsidRPr="008919F3">
        <w:t>El embargo cautelar de los derechos de traspaso de los jugadores ha sido objeto de una Resolución de la H</w:t>
      </w:r>
      <w:r w:rsidR="00DE39B5">
        <w:t>acienda Tributaria</w:t>
      </w:r>
      <w:r w:rsidRPr="008919F3">
        <w:t xml:space="preserve"> resolviendo un recurso de reposición presentado por el </w:t>
      </w:r>
      <w:r w:rsidR="00D57390">
        <w:t>c</w:t>
      </w:r>
      <w:r w:rsidR="00DE39B5">
        <w:t>lub</w:t>
      </w:r>
      <w:r w:rsidRPr="008919F3">
        <w:t>, basado en entender que su mantenimiento implicaba riesgo para la supervivencia del club y, en consecuencia, perjudicaba las expectativas de cobro de la deuda que este mantiene con la</w:t>
      </w:r>
      <w:r w:rsidR="00DE39B5">
        <w:t xml:space="preserve"> </w:t>
      </w:r>
      <w:r w:rsidR="00927C98">
        <w:t>propia</w:t>
      </w:r>
      <w:r w:rsidR="00DE39B5">
        <w:t xml:space="preserve"> </w:t>
      </w:r>
      <w:r w:rsidR="00EE00A7">
        <w:t>H</w:t>
      </w:r>
      <w:r w:rsidR="00DE39B5">
        <w:t>acienda</w:t>
      </w:r>
      <w:r w:rsidR="00D35E0B">
        <w:rPr>
          <w:rStyle w:val="Refdenotaalpie"/>
        </w:rPr>
        <w:footnoteReference w:id="6"/>
      </w:r>
      <w:r w:rsidR="00DE39B5">
        <w:t>.</w:t>
      </w:r>
      <w:r w:rsidRPr="008919F3">
        <w:t xml:space="preserve"> </w:t>
      </w:r>
    </w:p>
    <w:p w:rsidR="00B8548A" w:rsidRPr="00B8548A" w:rsidRDefault="00B8548A" w:rsidP="00EE634C">
      <w:pPr>
        <w:pStyle w:val="texto"/>
        <w:tabs>
          <w:tab w:val="clear" w:pos="2835"/>
          <w:tab w:val="clear" w:pos="3969"/>
          <w:tab w:val="clear" w:pos="5103"/>
          <w:tab w:val="clear" w:pos="6237"/>
          <w:tab w:val="clear" w:pos="7371"/>
        </w:tabs>
        <w:spacing w:after="180"/>
      </w:pPr>
      <w:r w:rsidRPr="00B8548A">
        <w:t xml:space="preserve">Se ha contrastado que las cargas que recaen sobre los inmuebles del </w:t>
      </w:r>
      <w:r w:rsidR="00D57390">
        <w:t>c</w:t>
      </w:r>
      <w:r w:rsidRPr="00B8548A">
        <w:t xml:space="preserve">lub a favor de la Comunidad Foral y que tiene su origen en los aplazamientos anteriores </w:t>
      </w:r>
      <w:r w:rsidR="00EE00A7">
        <w:t>fueron inscritas</w:t>
      </w:r>
      <w:r w:rsidRPr="00B8548A">
        <w:t xml:space="preserve"> </w:t>
      </w:r>
      <w:r w:rsidR="00EE00A7">
        <w:t>en el Registro de la Propiedad</w:t>
      </w:r>
      <w:r w:rsidR="00C86843">
        <w:t>.</w:t>
      </w:r>
    </w:p>
    <w:p w:rsidR="00251DEF" w:rsidRPr="00EE00A7" w:rsidRDefault="005103CA" w:rsidP="00426B7D">
      <w:pPr>
        <w:pStyle w:val="texto"/>
        <w:tabs>
          <w:tab w:val="clear" w:pos="2835"/>
          <w:tab w:val="clear" w:pos="3969"/>
          <w:tab w:val="clear" w:pos="5103"/>
          <w:tab w:val="clear" w:pos="6237"/>
          <w:tab w:val="clear" w:pos="7371"/>
        </w:tabs>
        <w:spacing w:after="180"/>
      </w:pPr>
      <w:r w:rsidRPr="00EE00A7">
        <w:t>En resumen</w:t>
      </w:r>
      <w:r w:rsidR="00D57390">
        <w:t xml:space="preserve">, </w:t>
      </w:r>
      <w:r w:rsidRPr="00EE00A7">
        <w:t>podemos concluir que</w:t>
      </w:r>
      <w:r w:rsidR="00051483" w:rsidRPr="00EE00A7">
        <w:t xml:space="preserve"> la concesión de los aplazamientos</w:t>
      </w:r>
      <w:r w:rsidR="0013637D" w:rsidRPr="00EE00A7">
        <w:t>/</w:t>
      </w:r>
      <w:r w:rsidR="002F107B" w:rsidRPr="00EE00A7">
        <w:t>fraccionamientos</w:t>
      </w:r>
      <w:r w:rsidR="00051483" w:rsidRPr="00EE00A7">
        <w:t xml:space="preserve"> se ha realizado dentro del marco legal, amparándose, prácticamente en todos los casos, en el principio de excepcionalidad</w:t>
      </w:r>
      <w:r w:rsidR="00601DC3" w:rsidRPr="00EE00A7">
        <w:t xml:space="preserve"> del órgano competente</w:t>
      </w:r>
      <w:r w:rsidR="00051483" w:rsidRPr="00EE00A7">
        <w:t xml:space="preserve"> que cont</w:t>
      </w:r>
      <w:r w:rsidR="00601DC3" w:rsidRPr="00EE00A7">
        <w:t>empla</w:t>
      </w:r>
      <w:r w:rsidR="00051483" w:rsidRPr="00EE00A7">
        <w:t xml:space="preserve"> el mismo y en el principio de que, para salvaguardar los recursos públicos</w:t>
      </w:r>
      <w:r w:rsidR="00601DC3" w:rsidRPr="00EE00A7">
        <w:t xml:space="preserve"> y evitar quebrantos a la Hacienda Foral</w:t>
      </w:r>
      <w:r w:rsidR="00051483" w:rsidRPr="00EE00A7">
        <w:t>, e</w:t>
      </w:r>
      <w:r w:rsidR="00B805FF">
        <w:t>ra</w:t>
      </w:r>
      <w:r w:rsidR="00051483" w:rsidRPr="00EE00A7">
        <w:t xml:space="preserve"> mejor </w:t>
      </w:r>
      <w:r w:rsidR="002F107B" w:rsidRPr="00EE00A7">
        <w:t xml:space="preserve">la solución de </w:t>
      </w:r>
      <w:r w:rsidR="00051483" w:rsidRPr="00EE00A7">
        <w:t>aplazar que</w:t>
      </w:r>
      <w:r w:rsidR="002F107B" w:rsidRPr="00EE00A7">
        <w:t xml:space="preserve"> la de</w:t>
      </w:r>
      <w:r w:rsidR="00051483" w:rsidRPr="00EE00A7">
        <w:t xml:space="preserve"> no cobrar o ejecutar las cargas. </w:t>
      </w:r>
      <w:r w:rsidR="00180885" w:rsidRPr="00EE00A7">
        <w:t xml:space="preserve">Todo ello contextualizado por la difícil situación financiera del </w:t>
      </w:r>
      <w:r w:rsidR="00D57390">
        <w:t>c</w:t>
      </w:r>
      <w:r w:rsidR="00180885" w:rsidRPr="00EE00A7">
        <w:t>lub.</w:t>
      </w:r>
    </w:p>
    <w:p w:rsidR="00EE634C" w:rsidRDefault="00231A37" w:rsidP="00F4123E">
      <w:pPr>
        <w:pStyle w:val="texto"/>
        <w:tabs>
          <w:tab w:val="clear" w:pos="2835"/>
          <w:tab w:val="clear" w:pos="3969"/>
          <w:tab w:val="clear" w:pos="5103"/>
          <w:tab w:val="clear" w:pos="6237"/>
          <w:tab w:val="clear" w:pos="7371"/>
        </w:tabs>
      </w:pPr>
      <w:r>
        <w:rPr>
          <w:b/>
        </w:rPr>
        <w:t>12</w:t>
      </w:r>
      <w:r w:rsidR="005103CA" w:rsidRPr="00B81909">
        <w:rPr>
          <w:b/>
        </w:rPr>
        <w:t xml:space="preserve">.ª </w:t>
      </w:r>
      <w:r w:rsidR="005103CA" w:rsidRPr="00F4123E">
        <w:rPr>
          <w:b/>
        </w:rPr>
        <w:t>Aplazamientos</w:t>
      </w:r>
      <w:r w:rsidR="00E31643" w:rsidRPr="00F4123E">
        <w:rPr>
          <w:b/>
        </w:rPr>
        <w:t>/fraccionamientos</w:t>
      </w:r>
      <w:r w:rsidR="005103CA" w:rsidRPr="00F4123E">
        <w:rPr>
          <w:b/>
        </w:rPr>
        <w:t xml:space="preserve"> denegados</w:t>
      </w:r>
    </w:p>
    <w:p w:rsidR="005103CA" w:rsidRPr="00A57770" w:rsidRDefault="005103CA" w:rsidP="00F4123E">
      <w:pPr>
        <w:pStyle w:val="texto"/>
        <w:tabs>
          <w:tab w:val="clear" w:pos="2835"/>
          <w:tab w:val="clear" w:pos="3969"/>
          <w:tab w:val="clear" w:pos="5103"/>
          <w:tab w:val="clear" w:pos="6237"/>
          <w:tab w:val="clear" w:pos="7371"/>
        </w:tabs>
      </w:pPr>
      <w:r>
        <w:t>L</w:t>
      </w:r>
      <w:r w:rsidR="00E31643">
        <w:t>as dos denegaciones</w:t>
      </w:r>
      <w:r w:rsidR="00C42398">
        <w:t xml:space="preserve"> s</w:t>
      </w:r>
      <w:r>
        <w:t>e justificaron en:</w:t>
      </w:r>
    </w:p>
    <w:p w:rsidR="005103CA" w:rsidRDefault="0063498C"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rsidRPr="0063498C">
        <w:t xml:space="preserve"> </w:t>
      </w:r>
      <w:r w:rsidR="005103CA">
        <w:t>Expediente de marzo de 2013. Informe del servicio de Recaudación</w:t>
      </w:r>
      <w:r w:rsidR="00C42398">
        <w:t xml:space="preserve"> en el que se propone</w:t>
      </w:r>
      <w:r w:rsidR="005103CA">
        <w:t xml:space="preserve"> la denegación del aplazamiento de retenciones de IRPF de 2012 por falta de aval solidario.</w:t>
      </w:r>
      <w:r w:rsidR="00C42398">
        <w:t xml:space="preserve"> El Gobierno </w:t>
      </w:r>
      <w:r w:rsidR="00B805FF">
        <w:t>acuerda denegar tal solicitud</w:t>
      </w:r>
      <w:r w:rsidR="00C42398">
        <w:t>.</w:t>
      </w:r>
    </w:p>
    <w:p w:rsidR="00B15CB9" w:rsidRPr="00DF04B0" w:rsidRDefault="005103CA"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t xml:space="preserve"> </w:t>
      </w:r>
      <w:r w:rsidR="00C42398">
        <w:t>Expediente de noviembre de 2013. El servicio de Recaudación propone la denegación del aplazamiento solicitado tanto</w:t>
      </w:r>
      <w:r w:rsidR="00C42398" w:rsidRPr="00D535E0">
        <w:t xml:space="preserve"> </w:t>
      </w:r>
      <w:r w:rsidR="00C42398">
        <w:t xml:space="preserve">por la existencia de deudas vencidas y exigibles en periodo ejecutivo como por que el </w:t>
      </w:r>
      <w:r w:rsidR="00D57390">
        <w:t>c</w:t>
      </w:r>
      <w:r w:rsidR="00C42398">
        <w:t>lub</w:t>
      </w:r>
      <w:r w:rsidR="00FE41E7">
        <w:t>,</w:t>
      </w:r>
      <w:r w:rsidR="00C42398">
        <w:t xml:space="preserve"> </w:t>
      </w:r>
      <w:r w:rsidR="00FE41E7">
        <w:t xml:space="preserve">en la solicitud, </w:t>
      </w:r>
      <w:r w:rsidR="00C42398">
        <w:t xml:space="preserve">no realiza pagos a cuenta ni presenta garantías. La </w:t>
      </w:r>
      <w:r w:rsidR="00D57390">
        <w:t>d</w:t>
      </w:r>
      <w:r w:rsidR="00C42398">
        <w:t xml:space="preserve">irectora </w:t>
      </w:r>
      <w:r w:rsidR="00D57390">
        <w:t>g</w:t>
      </w:r>
      <w:r w:rsidR="00C42398">
        <w:t xml:space="preserve">erente de la Hacienda Tributaria resuelve denegar </w:t>
      </w:r>
      <w:r w:rsidR="00065DE2">
        <w:t>tal</w:t>
      </w:r>
      <w:r w:rsidR="00C42398">
        <w:t xml:space="preserve"> solicitud de aplazamiento.</w:t>
      </w:r>
    </w:p>
    <w:p w:rsidR="00E31643" w:rsidRDefault="00E31643" w:rsidP="009641D2">
      <w:pPr>
        <w:pStyle w:val="texto"/>
        <w:tabs>
          <w:tab w:val="clear" w:pos="2835"/>
          <w:tab w:val="clear" w:pos="3969"/>
          <w:tab w:val="clear" w:pos="5103"/>
          <w:tab w:val="clear" w:pos="6237"/>
          <w:tab w:val="clear" w:pos="7371"/>
        </w:tabs>
      </w:pPr>
      <w:r w:rsidRPr="00E31643">
        <w:t>En consecuencia,</w:t>
      </w:r>
      <w:r>
        <w:t xml:space="preserve"> el órgano competente deniega</w:t>
      </w:r>
      <w:r w:rsidRPr="00E31643">
        <w:t xml:space="preserve"> las dos solicitudes</w:t>
      </w:r>
      <w:r>
        <w:t xml:space="preserve"> de acuer</w:t>
      </w:r>
      <w:r w:rsidR="00D57390">
        <w:t>do con la propuesta del S</w:t>
      </w:r>
      <w:r>
        <w:t>ervicio de Recaudación.</w:t>
      </w:r>
    </w:p>
    <w:p w:rsidR="00481CA1" w:rsidRPr="00231A37" w:rsidRDefault="00481CA1" w:rsidP="00EE634C">
      <w:pPr>
        <w:pStyle w:val="texto"/>
        <w:tabs>
          <w:tab w:val="clear" w:pos="2835"/>
          <w:tab w:val="clear" w:pos="3969"/>
          <w:tab w:val="clear" w:pos="5103"/>
          <w:tab w:val="clear" w:pos="6237"/>
          <w:tab w:val="clear" w:pos="7371"/>
        </w:tabs>
        <w:spacing w:after="240"/>
      </w:pPr>
      <w:r w:rsidRPr="00231A37">
        <w:t xml:space="preserve">Los importes anteriores fueron satisfechos por el </w:t>
      </w:r>
      <w:r w:rsidR="00D57390">
        <w:t>c</w:t>
      </w:r>
      <w:r w:rsidRPr="00231A37">
        <w:t>lub</w:t>
      </w:r>
      <w:r w:rsidR="00A93E9A" w:rsidRPr="00231A37">
        <w:t xml:space="preserve"> –primer caso</w:t>
      </w:r>
      <w:r w:rsidR="00EE634C">
        <w:t>–</w:t>
      </w:r>
      <w:r w:rsidR="00A93E9A" w:rsidRPr="00231A37">
        <w:t xml:space="preserve"> </w:t>
      </w:r>
      <w:r w:rsidRPr="00231A37">
        <w:t xml:space="preserve"> o se incluyen</w:t>
      </w:r>
      <w:r w:rsidR="00A93E9A" w:rsidRPr="00231A37">
        <w:t xml:space="preserve"> dentro de la deuda no aplazada que contempla la Ley Foral 26/2014.</w:t>
      </w:r>
    </w:p>
    <w:p w:rsidR="002E0394" w:rsidRPr="002E0394" w:rsidRDefault="00EE634C" w:rsidP="00EE634C">
      <w:pPr>
        <w:pStyle w:val="atitulo3"/>
      </w:pPr>
      <w:r>
        <w:t xml:space="preserve">IV. 2. 5. </w:t>
      </w:r>
      <w:r w:rsidR="002E0394" w:rsidRPr="002E0394">
        <w:t>Inspecciones tributarias y otras actuaciones de la HTN</w:t>
      </w:r>
    </w:p>
    <w:p w:rsidR="00EE634C" w:rsidRDefault="00231A37" w:rsidP="0052315A">
      <w:pPr>
        <w:pStyle w:val="texto"/>
        <w:tabs>
          <w:tab w:val="clear" w:pos="2835"/>
          <w:tab w:val="clear" w:pos="3969"/>
          <w:tab w:val="clear" w:pos="5103"/>
          <w:tab w:val="clear" w:pos="6237"/>
          <w:tab w:val="clear" w:pos="7371"/>
        </w:tabs>
        <w:rPr>
          <w:b/>
        </w:rPr>
      </w:pPr>
      <w:r>
        <w:rPr>
          <w:b/>
        </w:rPr>
        <w:t>13</w:t>
      </w:r>
      <w:r w:rsidR="00453A07" w:rsidRPr="00B81909">
        <w:rPr>
          <w:b/>
        </w:rPr>
        <w:t>.ª</w:t>
      </w:r>
      <w:r w:rsidR="00453A07">
        <w:rPr>
          <w:b/>
        </w:rPr>
        <w:t xml:space="preserve"> </w:t>
      </w:r>
      <w:r w:rsidR="00B34638">
        <w:rPr>
          <w:b/>
        </w:rPr>
        <w:t>Inspección</w:t>
      </w:r>
      <w:r w:rsidR="00F4123E">
        <w:rPr>
          <w:b/>
        </w:rPr>
        <w:t xml:space="preserve"> </w:t>
      </w:r>
    </w:p>
    <w:p w:rsidR="00453A07" w:rsidRDefault="00453A07" w:rsidP="0052315A">
      <w:pPr>
        <w:pStyle w:val="texto"/>
        <w:tabs>
          <w:tab w:val="clear" w:pos="2835"/>
          <w:tab w:val="clear" w:pos="3969"/>
          <w:tab w:val="clear" w:pos="5103"/>
          <w:tab w:val="clear" w:pos="6237"/>
          <w:tab w:val="clear" w:pos="7371"/>
        </w:tabs>
      </w:pPr>
      <w:r w:rsidRPr="00453A07">
        <w:t>En el periodo analizado,</w:t>
      </w:r>
      <w:r>
        <w:t xml:space="preserve"> la inspección tributaria de la HTN ha efectuado</w:t>
      </w:r>
      <w:r w:rsidR="003219AF">
        <w:t xml:space="preserve"> sobre el </w:t>
      </w:r>
      <w:r w:rsidR="00D57390">
        <w:t>c</w:t>
      </w:r>
      <w:r w:rsidR="003219AF">
        <w:t>lub</w:t>
      </w:r>
      <w:r>
        <w:t xml:space="preserve"> </w:t>
      </w:r>
      <w:r w:rsidR="00190E64">
        <w:t>dos</w:t>
      </w:r>
      <w:r>
        <w:t xml:space="preserve"> actuaciones</w:t>
      </w:r>
      <w:r w:rsidR="004546C3">
        <w:t xml:space="preserve"> de investigación sobre</w:t>
      </w:r>
      <w:r>
        <w:t>:</w:t>
      </w:r>
    </w:p>
    <w:p w:rsidR="00453A07" w:rsidRDefault="00453A07" w:rsidP="00B34638">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t xml:space="preserve"> </w:t>
      </w:r>
      <w:r w:rsidR="004546C3">
        <w:t>El i</w:t>
      </w:r>
      <w:r>
        <w:t>mpuesto de sociedades, ejercicios de 2003 a 2006</w:t>
      </w:r>
      <w:r w:rsidR="00B838C1">
        <w:t>.</w:t>
      </w:r>
    </w:p>
    <w:p w:rsidR="00F31EEF" w:rsidRPr="00F31EEF" w:rsidRDefault="003219AF" w:rsidP="00B34638">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t xml:space="preserve"> </w:t>
      </w:r>
      <w:r w:rsidR="004546C3">
        <w:t>Las r</w:t>
      </w:r>
      <w:r>
        <w:t>etenciones de trabajo y de capital, desde junio de 2007 y ejercicios de 2008 a 2011.</w:t>
      </w:r>
      <w:r w:rsidR="000A244E">
        <w:t xml:space="preserve"> </w:t>
      </w:r>
      <w:r w:rsidR="00190E64">
        <w:t>Además como resultado de esta última actuación, se dictó un expediente sancionador.</w:t>
      </w:r>
    </w:p>
    <w:p w:rsidR="00190E64" w:rsidRDefault="00B838C1" w:rsidP="00E50DB6">
      <w:pPr>
        <w:pStyle w:val="texto"/>
        <w:tabs>
          <w:tab w:val="clear" w:pos="2835"/>
          <w:tab w:val="clear" w:pos="3969"/>
          <w:tab w:val="clear" w:pos="5103"/>
          <w:tab w:val="clear" w:pos="6237"/>
          <w:tab w:val="clear" w:pos="7371"/>
        </w:tabs>
      </w:pPr>
      <w:r>
        <w:t>La primera de las actuaciones anteriores se refiere a una comprobación e investigación de carácter parcial sobre las operaciones realizadas por el sujeto pasivo con billetes de 500 euros. Se levanta acta de comprobado y conforme en noviembre de 2008, concluyendo en la misma que no se han advertido errores ni omisiones en las operaciones analizadas, considerándose en consecuencia correctas las liquidaciones practicadas.</w:t>
      </w:r>
    </w:p>
    <w:p w:rsidR="00405265" w:rsidRDefault="00405265" w:rsidP="00E50DB6">
      <w:pPr>
        <w:pStyle w:val="texto"/>
        <w:tabs>
          <w:tab w:val="clear" w:pos="2835"/>
          <w:tab w:val="clear" w:pos="3969"/>
          <w:tab w:val="clear" w:pos="5103"/>
          <w:tab w:val="clear" w:pos="6237"/>
          <w:tab w:val="clear" w:pos="7371"/>
        </w:tabs>
      </w:pPr>
      <w:r>
        <w:t xml:space="preserve">Sobre esta primera actuación conviene precisar que el juez instructor que investiga al </w:t>
      </w:r>
      <w:r w:rsidR="00D57390">
        <w:t>c</w:t>
      </w:r>
      <w:r>
        <w:t xml:space="preserve">lub ha archivado la pieza separada por supuesto trato de favor de la HTN al </w:t>
      </w:r>
      <w:r w:rsidR="00D57390">
        <w:t>c</w:t>
      </w:r>
      <w:r>
        <w:t>lub, al no apreciar indicios de comisión de delito.</w:t>
      </w:r>
    </w:p>
    <w:p w:rsidR="00B838C1" w:rsidRDefault="001A5FB2" w:rsidP="00FA67D9">
      <w:pPr>
        <w:pStyle w:val="texto"/>
        <w:tabs>
          <w:tab w:val="clear" w:pos="2835"/>
          <w:tab w:val="clear" w:pos="3969"/>
          <w:tab w:val="clear" w:pos="5103"/>
          <w:tab w:val="clear" w:pos="6237"/>
          <w:tab w:val="clear" w:pos="7371"/>
        </w:tabs>
      </w:pPr>
      <w:r>
        <w:t>Sobre l</w:t>
      </w:r>
      <w:r w:rsidR="00B838C1">
        <w:t>a segunda, revisión de las retenciones de trabajo</w:t>
      </w:r>
      <w:r w:rsidR="00190E64">
        <w:t xml:space="preserve"> y de capital</w:t>
      </w:r>
      <w:r w:rsidR="00B838C1">
        <w:t>,</w:t>
      </w:r>
      <w:r w:rsidR="00190E64">
        <w:t xml:space="preserve"> el 11 de enero de 2013 se firma el acta de conformidad sobre una propuesta de liquidación de un principal de 2,97 millones y unos intereses de demora de 0,3</w:t>
      </w:r>
      <w:r w:rsidR="0039420E">
        <w:t>6</w:t>
      </w:r>
      <w:r w:rsidR="00190E64">
        <w:t xml:space="preserve"> millones.</w:t>
      </w:r>
      <w:r w:rsidR="00FA67D9">
        <w:t xml:space="preserve"> </w:t>
      </w:r>
      <w:r w:rsidR="00190E64">
        <w:t>Además</w:t>
      </w:r>
      <w:r w:rsidR="00D57390">
        <w:t>,</w:t>
      </w:r>
      <w:r w:rsidR="00190E64">
        <w:t xml:space="preserve"> y como resultado de la </w:t>
      </w:r>
      <w:r w:rsidR="00FA67D9">
        <w:t>misma</w:t>
      </w:r>
      <w:r w:rsidR="00190E64">
        <w:t>, se dicta un expediente sancionador por</w:t>
      </w:r>
      <w:r w:rsidR="00B838C1">
        <w:t xml:space="preserve"> </w:t>
      </w:r>
      <w:r w:rsidR="00B0791C">
        <w:t>incorrecta</w:t>
      </w:r>
      <w:r w:rsidR="00B838C1">
        <w:t xml:space="preserve"> </w:t>
      </w:r>
      <w:r w:rsidR="00B0791C">
        <w:t>tributación</w:t>
      </w:r>
      <w:r w:rsidR="00B838C1">
        <w:t xml:space="preserve"> </w:t>
      </w:r>
      <w:r w:rsidR="00190E64">
        <w:t>de</w:t>
      </w:r>
      <w:r w:rsidR="00B838C1">
        <w:t xml:space="preserve"> l</w:t>
      </w:r>
      <w:r>
        <w:t>a</w:t>
      </w:r>
      <w:r w:rsidR="00B838C1">
        <w:t xml:space="preserve"> cesi</w:t>
      </w:r>
      <w:r w:rsidR="00F31EEF">
        <w:t xml:space="preserve">ón de derechos de imagen de determinados </w:t>
      </w:r>
      <w:r w:rsidR="00B838C1">
        <w:t xml:space="preserve">jugadores y </w:t>
      </w:r>
      <w:r w:rsidR="00B0791C">
        <w:t>de</w:t>
      </w:r>
      <w:r w:rsidR="00B838C1">
        <w:t xml:space="preserve"> retenciones inferiores a lo establecido legalmente so</w:t>
      </w:r>
      <w:r w:rsidR="00F31EEF">
        <w:t xml:space="preserve">bre otros </w:t>
      </w:r>
      <w:r w:rsidR="00B838C1">
        <w:t>jugadores</w:t>
      </w:r>
      <w:r w:rsidR="0013637D">
        <w:t>; l</w:t>
      </w:r>
      <w:r w:rsidR="00190E64">
        <w:t>a sanción liquidada asciende a 1,34 millones, siendo firmada en conformidad.</w:t>
      </w:r>
    </w:p>
    <w:p w:rsidR="00B838C1" w:rsidRDefault="00F31EEF" w:rsidP="00B838C1">
      <w:pPr>
        <w:pStyle w:val="texto"/>
        <w:tabs>
          <w:tab w:val="clear" w:pos="2835"/>
          <w:tab w:val="clear" w:pos="3969"/>
          <w:tab w:val="clear" w:pos="5103"/>
          <w:tab w:val="clear" w:pos="6237"/>
          <w:tab w:val="clear" w:pos="7371"/>
        </w:tabs>
      </w:pPr>
      <w:r w:rsidRPr="00F31EEF">
        <w:t>El total de</w:t>
      </w:r>
      <w:r w:rsidR="00FA67D9">
        <w:t xml:space="preserve"> la deuda generada</w:t>
      </w:r>
      <w:r w:rsidR="001A5FB2">
        <w:t>, 4,6</w:t>
      </w:r>
      <w:r w:rsidR="0039420E">
        <w:t>7</w:t>
      </w:r>
      <w:r w:rsidR="001A5FB2">
        <w:t xml:space="preserve"> millones, </w:t>
      </w:r>
      <w:r w:rsidR="00FA67D9">
        <w:t>es</w:t>
      </w:r>
      <w:r w:rsidR="001A5FB2">
        <w:t xml:space="preserve"> objeto de aplazamiento por acuerdo del Gobierno de Navarra de octubre de 2013.</w:t>
      </w:r>
    </w:p>
    <w:p w:rsidR="00EE634C" w:rsidRDefault="002E0394" w:rsidP="00DD1035">
      <w:pPr>
        <w:pStyle w:val="texto"/>
        <w:tabs>
          <w:tab w:val="clear" w:pos="2835"/>
          <w:tab w:val="clear" w:pos="3969"/>
          <w:tab w:val="clear" w:pos="5103"/>
          <w:tab w:val="clear" w:pos="6237"/>
          <w:tab w:val="clear" w:pos="7371"/>
        </w:tabs>
        <w:rPr>
          <w:b/>
        </w:rPr>
      </w:pPr>
      <w:r>
        <w:rPr>
          <w:b/>
        </w:rPr>
        <w:t>14</w:t>
      </w:r>
      <w:r w:rsidR="005A485F">
        <w:rPr>
          <w:b/>
        </w:rPr>
        <w:t xml:space="preserve">.ª </w:t>
      </w:r>
      <w:r w:rsidR="005A485F" w:rsidRPr="00D30381">
        <w:rPr>
          <w:b/>
        </w:rPr>
        <w:t>Otras</w:t>
      </w:r>
      <w:r w:rsidR="00B34638">
        <w:rPr>
          <w:b/>
        </w:rPr>
        <w:t xml:space="preserve"> actuaciones</w:t>
      </w:r>
    </w:p>
    <w:p w:rsidR="00453A07" w:rsidRPr="00DD1035" w:rsidRDefault="00D30381" w:rsidP="00A90586">
      <w:pPr>
        <w:pStyle w:val="texto"/>
        <w:tabs>
          <w:tab w:val="clear" w:pos="2835"/>
          <w:tab w:val="clear" w:pos="3969"/>
          <w:tab w:val="clear" w:pos="5103"/>
          <w:tab w:val="clear" w:pos="6237"/>
          <w:tab w:val="clear" w:pos="7371"/>
        </w:tabs>
        <w:spacing w:after="240"/>
      </w:pPr>
      <w:r w:rsidRPr="00D30381">
        <w:t xml:space="preserve">En mayo de 2008, la </w:t>
      </w:r>
      <w:r w:rsidR="00D57390">
        <w:t>S</w:t>
      </w:r>
      <w:r w:rsidRPr="00D30381">
        <w:t xml:space="preserve">ección </w:t>
      </w:r>
      <w:r>
        <w:t xml:space="preserve">de </w:t>
      </w:r>
      <w:r w:rsidR="00545EB2">
        <w:t>G</w:t>
      </w:r>
      <w:r>
        <w:t xml:space="preserve">randes </w:t>
      </w:r>
      <w:r w:rsidR="00545EB2">
        <w:t>E</w:t>
      </w:r>
      <w:r>
        <w:t>mpresas</w:t>
      </w:r>
      <w:r w:rsidR="00344465">
        <w:t xml:space="preserve"> de la HTN</w:t>
      </w:r>
      <w:r>
        <w:t xml:space="preserve"> requi</w:t>
      </w:r>
      <w:r w:rsidRPr="00D30381">
        <w:t>rió</w:t>
      </w:r>
      <w:r>
        <w:t xml:space="preserve"> al </w:t>
      </w:r>
      <w:r w:rsidR="00D57390">
        <w:t>c</w:t>
      </w:r>
      <w:r>
        <w:t>lub la presentación de los libros registros de facturas emitidas y recibidas de 2004 a 2008 por falta de tributación del IVA de la venta de una parcela, de la cual</w:t>
      </w:r>
      <w:r w:rsidR="005A485F">
        <w:t>,</w:t>
      </w:r>
      <w:r>
        <w:t xml:space="preserve"> el comprador había solicitado la pertinente devolución del impuesto. Como resultado de esta actuación y de la primera inspección citada en la conclusión anterior, el </w:t>
      </w:r>
      <w:r w:rsidR="00D57390">
        <w:t>c</w:t>
      </w:r>
      <w:r w:rsidRPr="00EE634C">
        <w:rPr>
          <w:rFonts w:ascii="Times New (W1)" w:hAnsi="Times New (W1)"/>
          <w:spacing w:val="2"/>
        </w:rPr>
        <w:t>lub presenta en noviembre de 2008 las declaraciones</w:t>
      </w:r>
      <w:r w:rsidR="005A485F" w:rsidRPr="00EE634C">
        <w:rPr>
          <w:rFonts w:ascii="Times New (W1)" w:hAnsi="Times New (W1)"/>
          <w:spacing w:val="2"/>
        </w:rPr>
        <w:t xml:space="preserve"> </w:t>
      </w:r>
      <w:r w:rsidR="00344465">
        <w:rPr>
          <w:rFonts w:ascii="Times New (W1)" w:hAnsi="Times New (W1)"/>
          <w:spacing w:val="2"/>
        </w:rPr>
        <w:t>complementarias</w:t>
      </w:r>
      <w:r w:rsidR="005A485F" w:rsidRPr="00EE634C">
        <w:rPr>
          <w:rFonts w:ascii="Times New (W1)" w:hAnsi="Times New (W1)"/>
          <w:spacing w:val="2"/>
        </w:rPr>
        <w:t xml:space="preserve"> de IVA </w:t>
      </w:r>
      <w:r w:rsidRPr="00EE634C">
        <w:rPr>
          <w:rFonts w:ascii="Times New (W1)" w:hAnsi="Times New (W1)"/>
          <w:spacing w:val="2"/>
        </w:rPr>
        <w:t xml:space="preserve">de los años 2004 a 2008 por importe de un principal de 8,56 millones, </w:t>
      </w:r>
      <w:r w:rsidR="00B805FF" w:rsidRPr="00EE634C">
        <w:rPr>
          <w:rFonts w:ascii="Times New (W1)" w:hAnsi="Times New (W1)"/>
          <w:spacing w:val="2"/>
        </w:rPr>
        <w:t>cuantía que se incrementa en 1,94 millones por los</w:t>
      </w:r>
      <w:r w:rsidRPr="00EE634C">
        <w:rPr>
          <w:rFonts w:ascii="Times New (W1)" w:hAnsi="Times New (W1)"/>
          <w:spacing w:val="2"/>
        </w:rPr>
        <w:t xml:space="preserve"> correspondientes recargos por extemporá</w:t>
      </w:r>
      <w:r w:rsidR="00B805FF" w:rsidRPr="00EE634C">
        <w:rPr>
          <w:rFonts w:ascii="Times New (W1)" w:hAnsi="Times New (W1)"/>
          <w:spacing w:val="2"/>
        </w:rPr>
        <w:t>nea</w:t>
      </w:r>
      <w:r w:rsidRPr="00EE634C">
        <w:rPr>
          <w:rFonts w:ascii="Times New (W1)" w:hAnsi="Times New (W1)"/>
          <w:spacing w:val="2"/>
        </w:rPr>
        <w:t>.</w:t>
      </w:r>
      <w:r w:rsidR="003166E0" w:rsidRPr="00D30381">
        <w:t xml:space="preserve"> </w:t>
      </w:r>
    </w:p>
    <w:p w:rsidR="00A34390" w:rsidRPr="00A34390" w:rsidRDefault="00EE634C" w:rsidP="00EE634C">
      <w:pPr>
        <w:pStyle w:val="atitulo3"/>
      </w:pPr>
      <w:r>
        <w:t xml:space="preserve">IV.2.6. </w:t>
      </w:r>
      <w:r w:rsidR="00A34390" w:rsidRPr="00A34390">
        <w:t>Informes de la Hacienda</w:t>
      </w:r>
      <w:r w:rsidR="00A34390">
        <w:t xml:space="preserve"> Tributaria</w:t>
      </w:r>
      <w:r w:rsidR="00A34390" w:rsidRPr="00A34390">
        <w:t xml:space="preserve"> sobre la situación de la deuda tributaria el </w:t>
      </w:r>
      <w:r w:rsidR="00344465">
        <w:t>c</w:t>
      </w:r>
      <w:r w:rsidR="00A34390" w:rsidRPr="00A34390">
        <w:t>lub</w:t>
      </w:r>
    </w:p>
    <w:p w:rsidR="00EE634C" w:rsidRDefault="002E0394" w:rsidP="00A34390">
      <w:pPr>
        <w:pStyle w:val="texto"/>
        <w:tabs>
          <w:tab w:val="clear" w:pos="2835"/>
          <w:tab w:val="clear" w:pos="3969"/>
          <w:tab w:val="clear" w:pos="5103"/>
          <w:tab w:val="clear" w:pos="6237"/>
          <w:tab w:val="clear" w:pos="7371"/>
        </w:tabs>
        <w:rPr>
          <w:szCs w:val="26"/>
        </w:rPr>
      </w:pPr>
      <w:r>
        <w:rPr>
          <w:b/>
          <w:szCs w:val="26"/>
        </w:rPr>
        <w:t>15</w:t>
      </w:r>
      <w:r w:rsidR="00A34390" w:rsidRPr="00E21F2D">
        <w:rPr>
          <w:b/>
          <w:szCs w:val="26"/>
        </w:rPr>
        <w:t>.ª</w:t>
      </w:r>
      <w:r w:rsidR="00A34390">
        <w:rPr>
          <w:szCs w:val="26"/>
        </w:rPr>
        <w:t xml:space="preserve"> </w:t>
      </w:r>
      <w:r w:rsidR="00A34390" w:rsidRPr="007E4CA4">
        <w:rPr>
          <w:b/>
          <w:szCs w:val="26"/>
        </w:rPr>
        <w:t>Informe</w:t>
      </w:r>
      <w:r w:rsidR="00A34390">
        <w:rPr>
          <w:b/>
          <w:szCs w:val="26"/>
        </w:rPr>
        <w:t>s</w:t>
      </w:r>
      <w:r w:rsidR="00A34390" w:rsidRPr="007E4CA4">
        <w:rPr>
          <w:b/>
          <w:szCs w:val="26"/>
        </w:rPr>
        <w:t xml:space="preserve"> de</w:t>
      </w:r>
      <w:r w:rsidR="00A34390">
        <w:rPr>
          <w:b/>
          <w:szCs w:val="26"/>
        </w:rPr>
        <w:t xml:space="preserve"> la Hacienda Tributaria</w:t>
      </w:r>
      <w:r w:rsidR="00A34390">
        <w:rPr>
          <w:szCs w:val="26"/>
        </w:rPr>
        <w:t xml:space="preserve"> </w:t>
      </w:r>
    </w:p>
    <w:p w:rsidR="00A34390" w:rsidRDefault="00A34390" w:rsidP="00A34390">
      <w:pPr>
        <w:pStyle w:val="texto"/>
        <w:tabs>
          <w:tab w:val="clear" w:pos="2835"/>
          <w:tab w:val="clear" w:pos="3969"/>
          <w:tab w:val="clear" w:pos="5103"/>
          <w:tab w:val="clear" w:pos="6237"/>
          <w:tab w:val="clear" w:pos="7371"/>
        </w:tabs>
        <w:rPr>
          <w:szCs w:val="26"/>
        </w:rPr>
      </w:pPr>
      <w:r>
        <w:rPr>
          <w:szCs w:val="26"/>
        </w:rPr>
        <w:t>Además de los informes elaborados por las distintas unidades de la HTN para la tramitación de aplazamientos/fraccionamientos y resto de actuaciones practicadas, se nos han proporcionado los siguientes informes:</w:t>
      </w:r>
    </w:p>
    <w:p w:rsidR="00A34390" w:rsidRDefault="00A34390" w:rsidP="00D73D6F">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 xml:space="preserve">Informe de la </w:t>
      </w:r>
      <w:r w:rsidR="00D57390">
        <w:rPr>
          <w:szCs w:val="26"/>
        </w:rPr>
        <w:t>d</w:t>
      </w:r>
      <w:r>
        <w:rPr>
          <w:szCs w:val="26"/>
        </w:rPr>
        <w:t>irectora</w:t>
      </w:r>
      <w:r w:rsidR="003E76E3">
        <w:rPr>
          <w:szCs w:val="26"/>
        </w:rPr>
        <w:t>-</w:t>
      </w:r>
      <w:r w:rsidR="00D57390">
        <w:rPr>
          <w:szCs w:val="26"/>
        </w:rPr>
        <w:t>g</w:t>
      </w:r>
      <w:r w:rsidR="00E344C2">
        <w:rPr>
          <w:szCs w:val="26"/>
        </w:rPr>
        <w:t>erente</w:t>
      </w:r>
      <w:r>
        <w:rPr>
          <w:szCs w:val="26"/>
        </w:rPr>
        <w:t xml:space="preserve"> de la HTN fechado el 3 de octubre de 2013.</w:t>
      </w:r>
      <w:r w:rsidR="009E3752">
        <w:rPr>
          <w:szCs w:val="26"/>
        </w:rPr>
        <w:t xml:space="preserve"> En este informe se hace un re</w:t>
      </w:r>
      <w:r w:rsidR="000210B4">
        <w:rPr>
          <w:szCs w:val="26"/>
        </w:rPr>
        <w:t>copilación</w:t>
      </w:r>
      <w:r w:rsidR="009E3752">
        <w:rPr>
          <w:szCs w:val="26"/>
        </w:rPr>
        <w:t xml:space="preserve"> de las actuaciones de la HTN sobre el </w:t>
      </w:r>
      <w:r w:rsidR="00D57390">
        <w:rPr>
          <w:szCs w:val="26"/>
        </w:rPr>
        <w:t>c</w:t>
      </w:r>
      <w:r w:rsidR="009E3752">
        <w:rPr>
          <w:szCs w:val="26"/>
        </w:rPr>
        <w:t xml:space="preserve">lub desde 2008 hasta la fecha del informe, </w:t>
      </w:r>
      <w:r w:rsidR="000210B4">
        <w:rPr>
          <w:szCs w:val="26"/>
        </w:rPr>
        <w:t xml:space="preserve">se analiza </w:t>
      </w:r>
      <w:r w:rsidR="009E3752">
        <w:rPr>
          <w:szCs w:val="26"/>
        </w:rPr>
        <w:t xml:space="preserve">el origen de las deudas impagadas y su evolución para concluir en la </w:t>
      </w:r>
      <w:r w:rsidR="00394871">
        <w:rPr>
          <w:szCs w:val="26"/>
        </w:rPr>
        <w:t>“</w:t>
      </w:r>
      <w:r w:rsidR="009E3752">
        <w:rPr>
          <w:szCs w:val="26"/>
        </w:rPr>
        <w:t>consideración del contribuyente como de alto riesgo fiscal, su incumplimiento reiterado de las obligaciones fis</w:t>
      </w:r>
      <w:r w:rsidR="00344465">
        <w:rPr>
          <w:szCs w:val="26"/>
        </w:rPr>
        <w:t>cales</w:t>
      </w:r>
      <w:r w:rsidR="009E3752">
        <w:rPr>
          <w:szCs w:val="26"/>
        </w:rPr>
        <w:t xml:space="preserve">, la inexistencia de un proceso de </w:t>
      </w:r>
      <w:r w:rsidR="000210B4">
        <w:rPr>
          <w:szCs w:val="26"/>
        </w:rPr>
        <w:t>“</w:t>
      </w:r>
      <w:r w:rsidR="009E3752">
        <w:rPr>
          <w:szCs w:val="26"/>
        </w:rPr>
        <w:t>negociación</w:t>
      </w:r>
      <w:r w:rsidR="000210B4">
        <w:rPr>
          <w:szCs w:val="26"/>
        </w:rPr>
        <w:t>”</w:t>
      </w:r>
      <w:r w:rsidR="009E3752">
        <w:rPr>
          <w:szCs w:val="26"/>
        </w:rPr>
        <w:t xml:space="preserve"> entre ambas partes </w:t>
      </w:r>
      <w:r w:rsidR="000210B4">
        <w:rPr>
          <w:szCs w:val="26"/>
        </w:rPr>
        <w:t>en</w:t>
      </w:r>
      <w:r w:rsidR="009E3752">
        <w:rPr>
          <w:szCs w:val="26"/>
        </w:rPr>
        <w:t xml:space="preserve"> la concesión de los aplazamientos/fraccionamientos</w:t>
      </w:r>
      <w:r w:rsidR="00D73D6F">
        <w:rPr>
          <w:szCs w:val="26"/>
        </w:rPr>
        <w:t>, la imposibilidad de concederles nuevos aplazamientos –salvo el derivado de las actuaciones inspectoras</w:t>
      </w:r>
      <w:r w:rsidR="00EE634C">
        <w:rPr>
          <w:szCs w:val="26"/>
        </w:rPr>
        <w:t>–</w:t>
      </w:r>
      <w:r w:rsidR="00D73D6F">
        <w:rPr>
          <w:szCs w:val="26"/>
        </w:rPr>
        <w:t>,</w:t>
      </w:r>
      <w:r w:rsidR="009E3752">
        <w:rPr>
          <w:szCs w:val="26"/>
        </w:rPr>
        <w:t xml:space="preserve"> y la cuantificación de su deuda tributaria fijada en 45,51 millones</w:t>
      </w:r>
      <w:r w:rsidR="00394871">
        <w:rPr>
          <w:szCs w:val="26"/>
        </w:rPr>
        <w:t>”</w:t>
      </w:r>
      <w:r w:rsidR="009E3752">
        <w:rPr>
          <w:szCs w:val="26"/>
        </w:rPr>
        <w:t>. Igualmente señala que al día de la fecha del informe está al corriente en la presentación de declaraciones.</w:t>
      </w:r>
    </w:p>
    <w:p w:rsidR="00D73D6F" w:rsidRPr="00C86843" w:rsidRDefault="00D73D6F" w:rsidP="00D73D6F">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C86843">
        <w:rPr>
          <w:szCs w:val="26"/>
        </w:rPr>
        <w:t xml:space="preserve">Informe del </w:t>
      </w:r>
      <w:r w:rsidR="00D57390">
        <w:rPr>
          <w:szCs w:val="26"/>
        </w:rPr>
        <w:t>S</w:t>
      </w:r>
      <w:r w:rsidRPr="00C86843">
        <w:rPr>
          <w:szCs w:val="26"/>
        </w:rPr>
        <w:t>ervicio de Recaudación del 27 de enero de 2014. En este informe se analiza, en primer lugar, la situación de las deudas tributarias devengadas en los años de 2011 y 2012, para posteriormente, analizar la situación acontecida sobre la</w:t>
      </w:r>
      <w:r w:rsidR="00BF3120" w:rsidRPr="00C86843">
        <w:rPr>
          <w:szCs w:val="26"/>
        </w:rPr>
        <w:t xml:space="preserve"> de</w:t>
      </w:r>
      <w:r w:rsidRPr="00C86843">
        <w:rPr>
          <w:szCs w:val="26"/>
        </w:rPr>
        <w:t xml:space="preserve"> 2013.</w:t>
      </w:r>
      <w:r w:rsidR="003E76E3" w:rsidRPr="00C86843">
        <w:rPr>
          <w:szCs w:val="26"/>
        </w:rPr>
        <w:t xml:space="preserve"> </w:t>
      </w:r>
      <w:r w:rsidR="0023437C" w:rsidRPr="00C86843">
        <w:rPr>
          <w:szCs w:val="26"/>
        </w:rPr>
        <w:t>Asimismo</w:t>
      </w:r>
      <w:r w:rsidR="00D57390">
        <w:rPr>
          <w:szCs w:val="26"/>
        </w:rPr>
        <w:t>,</w:t>
      </w:r>
      <w:r w:rsidR="00EE00A7" w:rsidRPr="00C86843">
        <w:rPr>
          <w:szCs w:val="26"/>
        </w:rPr>
        <w:t xml:space="preserve"> considera</w:t>
      </w:r>
      <w:r w:rsidR="003E76E3" w:rsidRPr="00C86843">
        <w:rPr>
          <w:szCs w:val="26"/>
        </w:rPr>
        <w:t xml:space="preserve"> que la actual retención del 20 por ciento </w:t>
      </w:r>
      <w:r w:rsidR="00D57390">
        <w:rPr>
          <w:szCs w:val="26"/>
        </w:rPr>
        <w:t>sobre los derechos audiovisuales</w:t>
      </w:r>
      <w:r w:rsidR="003E76E3" w:rsidRPr="00C86843">
        <w:rPr>
          <w:szCs w:val="26"/>
        </w:rPr>
        <w:t xml:space="preserve"> es notoriamente insuficiente para cubrir las obligaciones futuras de pago de los aplazamientos ya concedidos y que el aumento sustancial de dicho porcentaje po</w:t>
      </w:r>
      <w:r w:rsidR="00914E67" w:rsidRPr="00C86843">
        <w:rPr>
          <w:szCs w:val="26"/>
        </w:rPr>
        <w:t>n</w:t>
      </w:r>
      <w:r w:rsidR="003E76E3" w:rsidRPr="00C86843">
        <w:rPr>
          <w:szCs w:val="26"/>
        </w:rPr>
        <w:t xml:space="preserve">dría </w:t>
      </w:r>
      <w:r w:rsidR="000210B4" w:rsidRPr="00C86843">
        <w:rPr>
          <w:szCs w:val="26"/>
        </w:rPr>
        <w:t>en dificultad</w:t>
      </w:r>
      <w:r w:rsidR="00914E67" w:rsidRPr="00C86843">
        <w:rPr>
          <w:szCs w:val="26"/>
        </w:rPr>
        <w:t>e</w:t>
      </w:r>
      <w:r w:rsidR="000210B4" w:rsidRPr="00C86843">
        <w:rPr>
          <w:szCs w:val="26"/>
        </w:rPr>
        <w:t>s</w:t>
      </w:r>
      <w:r w:rsidR="003E76E3" w:rsidRPr="00C86843">
        <w:rPr>
          <w:szCs w:val="26"/>
        </w:rPr>
        <w:t xml:space="preserve"> la propia viabilidad del club.</w:t>
      </w:r>
    </w:p>
    <w:p w:rsidR="003E76E3" w:rsidRDefault="003E76E3" w:rsidP="00D73D6F">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 xml:space="preserve">Informe del </w:t>
      </w:r>
      <w:r w:rsidR="00D57390">
        <w:rPr>
          <w:szCs w:val="26"/>
        </w:rPr>
        <w:t>d</w:t>
      </w:r>
      <w:r>
        <w:rPr>
          <w:szCs w:val="26"/>
        </w:rPr>
        <w:t>irector-</w:t>
      </w:r>
      <w:r w:rsidR="00D57390">
        <w:rPr>
          <w:szCs w:val="26"/>
        </w:rPr>
        <w:t>g</w:t>
      </w:r>
      <w:r>
        <w:rPr>
          <w:szCs w:val="26"/>
        </w:rPr>
        <w:t xml:space="preserve">erente de la HTN de 19 de diciembre de 2014. En este informe se manifiesta, por un lado, la imposibilidad de calcular en ese momento la deuda exacta del </w:t>
      </w:r>
      <w:r w:rsidR="00D57390">
        <w:rPr>
          <w:szCs w:val="26"/>
        </w:rPr>
        <w:t>c</w:t>
      </w:r>
      <w:r>
        <w:rPr>
          <w:szCs w:val="26"/>
        </w:rPr>
        <w:t xml:space="preserve">lub a 31 de diciembre de 2014 –dado que, dentro del periodo voluntario, aún no </w:t>
      </w:r>
      <w:r w:rsidR="005E23BA">
        <w:rPr>
          <w:szCs w:val="26"/>
        </w:rPr>
        <w:t>ha vencido el plazo para la presentación de</w:t>
      </w:r>
      <w:r>
        <w:rPr>
          <w:szCs w:val="26"/>
        </w:rPr>
        <w:t xml:space="preserve"> las declaraciones de los meses de noviembre y diciembre</w:t>
      </w:r>
      <w:r w:rsidR="00B34638">
        <w:rPr>
          <w:szCs w:val="26"/>
        </w:rPr>
        <w:t>–</w:t>
      </w:r>
      <w:r>
        <w:rPr>
          <w:szCs w:val="26"/>
        </w:rPr>
        <w:t xml:space="preserve"> y, por otro, que la HTN no esté en condiciones de exigir el pago de la deuda pendiente por el </w:t>
      </w:r>
      <w:r w:rsidR="00D57390">
        <w:rPr>
          <w:szCs w:val="26"/>
        </w:rPr>
        <w:t>c</w:t>
      </w:r>
      <w:r>
        <w:rPr>
          <w:szCs w:val="26"/>
        </w:rPr>
        <w:t>lub de una forma diferente a la estipulada en la Ley Foral 26/2014.</w:t>
      </w:r>
    </w:p>
    <w:p w:rsidR="00DD1035" w:rsidRPr="00537141" w:rsidRDefault="00EE634C" w:rsidP="00D663E4">
      <w:pPr>
        <w:pStyle w:val="atitulo3"/>
      </w:pPr>
      <w:r>
        <w:t xml:space="preserve">IV.2.7. </w:t>
      </w:r>
      <w:r w:rsidR="00537141" w:rsidRPr="00537141">
        <w:t>Compensaciones</w:t>
      </w:r>
    </w:p>
    <w:p w:rsidR="00EE634C" w:rsidRDefault="00537141" w:rsidP="00537141">
      <w:pPr>
        <w:pStyle w:val="texto"/>
        <w:tabs>
          <w:tab w:val="num" w:pos="300"/>
          <w:tab w:val="num" w:pos="4920"/>
        </w:tabs>
        <w:rPr>
          <w:szCs w:val="26"/>
        </w:rPr>
      </w:pPr>
      <w:r>
        <w:rPr>
          <w:b/>
          <w:szCs w:val="26"/>
        </w:rPr>
        <w:t>16</w:t>
      </w:r>
      <w:r w:rsidRPr="00E21F2D">
        <w:rPr>
          <w:b/>
          <w:szCs w:val="26"/>
        </w:rPr>
        <w:t>.ª</w:t>
      </w:r>
      <w:r>
        <w:rPr>
          <w:szCs w:val="26"/>
        </w:rPr>
        <w:t xml:space="preserve"> </w:t>
      </w:r>
      <w:r>
        <w:rPr>
          <w:b/>
          <w:szCs w:val="26"/>
        </w:rPr>
        <w:t>Cobros por compensaciones</w:t>
      </w:r>
      <w:r>
        <w:rPr>
          <w:szCs w:val="26"/>
        </w:rPr>
        <w:t xml:space="preserve"> </w:t>
      </w:r>
    </w:p>
    <w:p w:rsidR="00537141" w:rsidRDefault="00537141" w:rsidP="00537141">
      <w:pPr>
        <w:pStyle w:val="texto"/>
        <w:tabs>
          <w:tab w:val="num" w:pos="300"/>
          <w:tab w:val="num" w:pos="4920"/>
        </w:tabs>
      </w:pPr>
      <w:r>
        <w:rPr>
          <w:szCs w:val="26"/>
        </w:rPr>
        <w:t xml:space="preserve">En el periodo analizado, los </w:t>
      </w:r>
      <w:r w:rsidRPr="00537141">
        <w:rPr>
          <w:szCs w:val="26"/>
        </w:rPr>
        <w:t>gastos presupuestarios</w:t>
      </w:r>
      <w:r>
        <w:rPr>
          <w:szCs w:val="26"/>
        </w:rPr>
        <w:t xml:space="preserve"> del Gobierno de Navarra a favor del </w:t>
      </w:r>
      <w:r w:rsidR="00D57390">
        <w:rPr>
          <w:szCs w:val="26"/>
        </w:rPr>
        <w:t>c</w:t>
      </w:r>
      <w:r>
        <w:rPr>
          <w:szCs w:val="26"/>
        </w:rPr>
        <w:t>lub han ascendido a 9,81 millones</w:t>
      </w:r>
      <w:r>
        <w:rPr>
          <w:rStyle w:val="Refdenotaalpie"/>
          <w:szCs w:val="26"/>
        </w:rPr>
        <w:footnoteReference w:id="7"/>
      </w:r>
      <w:r>
        <w:rPr>
          <w:szCs w:val="26"/>
        </w:rPr>
        <w:t>, de los</w:t>
      </w:r>
      <w:r w:rsidR="00914E67">
        <w:rPr>
          <w:szCs w:val="26"/>
        </w:rPr>
        <w:t xml:space="preserve"> cuales</w:t>
      </w:r>
      <w:r>
        <w:rPr>
          <w:szCs w:val="26"/>
        </w:rPr>
        <w:t xml:space="preserve"> 9,01 millones corresponden a gastos por patrocinio</w:t>
      </w:r>
      <w:r w:rsidR="009A37B3">
        <w:rPr>
          <w:szCs w:val="26"/>
        </w:rPr>
        <w:t xml:space="preserve"> de los ejercicios de 2006 a 2011</w:t>
      </w:r>
      <w:r>
        <w:rPr>
          <w:szCs w:val="26"/>
        </w:rPr>
        <w:t xml:space="preserve">. </w:t>
      </w:r>
    </w:p>
    <w:p w:rsidR="00537141" w:rsidRDefault="00537141" w:rsidP="00537141">
      <w:pPr>
        <w:pStyle w:val="texto"/>
        <w:tabs>
          <w:tab w:val="num" w:pos="300"/>
          <w:tab w:val="num" w:pos="4920"/>
        </w:tabs>
        <w:rPr>
          <w:szCs w:val="26"/>
        </w:rPr>
      </w:pPr>
      <w:r>
        <w:rPr>
          <w:szCs w:val="26"/>
        </w:rPr>
        <w:t xml:space="preserve">De estos pagos al </w:t>
      </w:r>
      <w:r w:rsidR="00D57390">
        <w:rPr>
          <w:szCs w:val="26"/>
        </w:rPr>
        <w:t>c</w:t>
      </w:r>
      <w:r>
        <w:rPr>
          <w:szCs w:val="26"/>
        </w:rPr>
        <w:t xml:space="preserve">lub, se han </w:t>
      </w:r>
      <w:r w:rsidRPr="009A37B3">
        <w:rPr>
          <w:szCs w:val="26"/>
        </w:rPr>
        <w:t>compensado</w:t>
      </w:r>
      <w:r>
        <w:rPr>
          <w:szCs w:val="26"/>
        </w:rPr>
        <w:t xml:space="preserve"> por el Gobierno de Navarra un importe de 2,44 millones</w:t>
      </w:r>
      <w:r w:rsidR="00545EB2">
        <w:rPr>
          <w:szCs w:val="26"/>
        </w:rPr>
        <w:t>. Así</w:t>
      </w:r>
      <w:r>
        <w:rPr>
          <w:szCs w:val="26"/>
        </w:rPr>
        <w:t>:</w:t>
      </w:r>
      <w:r w:rsidRPr="00232B50">
        <w:rPr>
          <w:szCs w:val="26"/>
        </w:rPr>
        <w:t xml:space="preserve"> </w:t>
      </w:r>
    </w:p>
    <w:p w:rsidR="00537141" w:rsidRDefault="00537141" w:rsidP="00537141">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rsidRPr="00232B50">
        <w:t xml:space="preserve">En </w:t>
      </w:r>
      <w:r w:rsidR="00545EB2">
        <w:t>los</w:t>
      </w:r>
      <w:r w:rsidRPr="00232B50">
        <w:t xml:space="preserve"> ejercicio</w:t>
      </w:r>
      <w:r w:rsidR="00545EB2">
        <w:t>s de</w:t>
      </w:r>
      <w:r w:rsidRPr="00232B50">
        <w:t xml:space="preserve"> 2005</w:t>
      </w:r>
      <w:r>
        <w:t xml:space="preserve"> y</w:t>
      </w:r>
      <w:r w:rsidR="00545EB2">
        <w:t xml:space="preserve"> de</w:t>
      </w:r>
      <w:r>
        <w:t xml:space="preserve"> 2009</w:t>
      </w:r>
      <w:r w:rsidRPr="00232B50">
        <w:t xml:space="preserve"> se compensan</w:t>
      </w:r>
      <w:r>
        <w:t xml:space="preserve"> pagos por la agencia ejecutiva </w:t>
      </w:r>
      <w:r w:rsidR="001F55D9">
        <w:t xml:space="preserve">sobre </w:t>
      </w:r>
      <w:r>
        <w:t xml:space="preserve">deudas que, en el primer año, hace referencia a retenciones de IRPF de diciembre de 2004 </w:t>
      </w:r>
      <w:r w:rsidR="00D663E4">
        <w:t>–</w:t>
      </w:r>
      <w:r>
        <w:t>38.380 euros</w:t>
      </w:r>
      <w:r w:rsidR="00D663E4">
        <w:t>–</w:t>
      </w:r>
      <w:r>
        <w:t xml:space="preserve"> y, en el segundo año citado, a aplazamientos especiales </w:t>
      </w:r>
      <w:r w:rsidR="00D663E4">
        <w:t>–</w:t>
      </w:r>
      <w:r>
        <w:t>960 euros</w:t>
      </w:r>
      <w:r w:rsidR="00D663E4">
        <w:t>–</w:t>
      </w:r>
      <w:r>
        <w:t>.</w:t>
      </w:r>
    </w:p>
    <w:p w:rsidR="00537141" w:rsidRPr="00232B50" w:rsidRDefault="00537141" w:rsidP="00537141">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rsidRPr="00232B50">
        <w:t xml:space="preserve"> </w:t>
      </w:r>
      <w:r w:rsidR="00545EB2">
        <w:t>Entre 2010 y 2012, se compensan gastos por 2,4 millones. Así, básicamente, corresponden al</w:t>
      </w:r>
      <w:r>
        <w:t xml:space="preserve"> patrocinio de 2010</w:t>
      </w:r>
      <w:r w:rsidR="00545EB2">
        <w:t xml:space="preserve"> –por 1,53 millones</w:t>
      </w:r>
      <w:r w:rsidR="00D663E4">
        <w:t>–</w:t>
      </w:r>
      <w:r>
        <w:t xml:space="preserve"> </w:t>
      </w:r>
      <w:r w:rsidR="00545EB2">
        <w:t xml:space="preserve">que </w:t>
      </w:r>
      <w:r>
        <w:t>se compensa en su totalidad en los ejercicios de 2010 y 2011; del patrocinio de 2011</w:t>
      </w:r>
      <w:r w:rsidR="00D663E4">
        <w:t xml:space="preserve"> –</w:t>
      </w:r>
      <w:r w:rsidR="00545EB2">
        <w:t>1,56 millones</w:t>
      </w:r>
      <w:r w:rsidR="00D663E4">
        <w:t>–</w:t>
      </w:r>
      <w:r>
        <w:t>, se compensa exclusivamente el último semestre</w:t>
      </w:r>
      <w:r w:rsidR="00545EB2">
        <w:t xml:space="preserve"> </w:t>
      </w:r>
      <w:r w:rsidR="00D663E4">
        <w:t>–</w:t>
      </w:r>
      <w:r w:rsidR="00545EB2">
        <w:t>0,78 millones</w:t>
      </w:r>
      <w:r w:rsidR="00D663E4">
        <w:t>–</w:t>
      </w:r>
      <w:r>
        <w:t xml:space="preserve"> en 2012. Estas compensaciones se destinan fundamentalmente a plazos de fraccionamientos, retenciones de IRPF en la agencia ejecutiva y recargos de extemporánea.</w:t>
      </w:r>
    </w:p>
    <w:p w:rsidR="00537141" w:rsidRDefault="00537141" w:rsidP="00002AFC">
      <w:pPr>
        <w:pStyle w:val="texto"/>
        <w:tabs>
          <w:tab w:val="num" w:pos="300"/>
          <w:tab w:val="num" w:pos="4920"/>
        </w:tabs>
        <w:rPr>
          <w:szCs w:val="26"/>
        </w:rPr>
      </w:pPr>
      <w:r w:rsidRPr="00A22917">
        <w:rPr>
          <w:szCs w:val="26"/>
        </w:rPr>
        <w:t xml:space="preserve">Conviene precisar que </w:t>
      </w:r>
      <w:r w:rsidR="009A37B3">
        <w:rPr>
          <w:szCs w:val="26"/>
        </w:rPr>
        <w:t>la cuantía</w:t>
      </w:r>
      <w:r w:rsidR="00002AFC">
        <w:rPr>
          <w:szCs w:val="26"/>
        </w:rPr>
        <w:t xml:space="preserve"> relevante de estas</w:t>
      </w:r>
      <w:r w:rsidRPr="00A22917">
        <w:rPr>
          <w:szCs w:val="26"/>
        </w:rPr>
        <w:t xml:space="preserve"> compensaciones </w:t>
      </w:r>
      <w:r w:rsidR="00002AFC">
        <w:rPr>
          <w:szCs w:val="26"/>
        </w:rPr>
        <w:t>se inicia</w:t>
      </w:r>
      <w:r>
        <w:rPr>
          <w:szCs w:val="26"/>
        </w:rPr>
        <w:t xml:space="preserve"> realmente en 2010, es decir, cuando en los acuerdos de concesión de aplazamientos se incluye como garantía de pago estos ingresos por patrocinio.</w:t>
      </w:r>
      <w:r w:rsidRPr="00A22917">
        <w:rPr>
          <w:szCs w:val="26"/>
        </w:rPr>
        <w:t xml:space="preserve"> </w:t>
      </w:r>
    </w:p>
    <w:p w:rsidR="00002AFC" w:rsidRPr="00537141" w:rsidRDefault="00002AFC" w:rsidP="00002AFC">
      <w:pPr>
        <w:pStyle w:val="texto"/>
        <w:tabs>
          <w:tab w:val="num" w:pos="300"/>
          <w:tab w:val="num" w:pos="4920"/>
        </w:tabs>
        <w:rPr>
          <w:szCs w:val="26"/>
        </w:rPr>
      </w:pPr>
    </w:p>
    <w:p w:rsidR="00207C7E" w:rsidRDefault="00207C7E">
      <w:pPr>
        <w:spacing w:after="0"/>
        <w:ind w:firstLine="0"/>
        <w:jc w:val="left"/>
        <w:rPr>
          <w:rFonts w:ascii="Arial" w:hAnsi="Arial"/>
          <w:bCs/>
          <w:iCs/>
          <w:color w:val="000000"/>
          <w:spacing w:val="10"/>
          <w:kern w:val="28"/>
          <w:sz w:val="25"/>
          <w:szCs w:val="26"/>
        </w:rPr>
      </w:pPr>
      <w:r>
        <w:br w:type="page"/>
      </w:r>
    </w:p>
    <w:p w:rsidR="003C614A" w:rsidRDefault="003C614A" w:rsidP="002B1F9B">
      <w:pPr>
        <w:pStyle w:val="atitulo2"/>
        <w:spacing w:before="240"/>
      </w:pPr>
      <w:bookmarkStart w:id="19" w:name="_Toc425926952"/>
      <w:r>
        <w:t xml:space="preserve">IV.3. Entrega de bienes por el </w:t>
      </w:r>
      <w:r w:rsidR="00F04075">
        <w:t>c</w:t>
      </w:r>
      <w:r>
        <w:t>lub, diferencial de la deuda tributaria y concesión del aplazamiento</w:t>
      </w:r>
      <w:bookmarkEnd w:id="19"/>
    </w:p>
    <w:p w:rsidR="00207C7E" w:rsidRPr="00207C7E" w:rsidRDefault="00D663E4" w:rsidP="00AC782A">
      <w:pPr>
        <w:pStyle w:val="atitulo3"/>
        <w:spacing w:after="120"/>
      </w:pPr>
      <w:r>
        <w:t xml:space="preserve">IV.3.1. </w:t>
      </w:r>
      <w:r w:rsidR="00207C7E">
        <w:t>Fórmula de pago de la deuda</w:t>
      </w:r>
    </w:p>
    <w:p w:rsidR="00D663E4" w:rsidRDefault="00207C7E" w:rsidP="00207C7E">
      <w:pPr>
        <w:pStyle w:val="texto"/>
        <w:rPr>
          <w:szCs w:val="26"/>
        </w:rPr>
      </w:pPr>
      <w:r>
        <w:rPr>
          <w:b/>
          <w:szCs w:val="26"/>
        </w:rPr>
        <w:t>17</w:t>
      </w:r>
      <w:r w:rsidRPr="007409C2">
        <w:rPr>
          <w:b/>
          <w:szCs w:val="26"/>
        </w:rPr>
        <w:t>.ª</w:t>
      </w:r>
      <w:r>
        <w:rPr>
          <w:szCs w:val="26"/>
        </w:rPr>
        <w:t xml:space="preserve"> </w:t>
      </w:r>
      <w:r w:rsidRPr="007528E8">
        <w:rPr>
          <w:b/>
          <w:szCs w:val="26"/>
        </w:rPr>
        <w:t>Fórmula de p</w:t>
      </w:r>
      <w:r w:rsidR="00927D1C">
        <w:rPr>
          <w:b/>
          <w:szCs w:val="26"/>
        </w:rPr>
        <w:t>ago de la deuda tributaria del c</w:t>
      </w:r>
      <w:r w:rsidRPr="007528E8">
        <w:rPr>
          <w:b/>
          <w:szCs w:val="26"/>
        </w:rPr>
        <w:t>lub</w:t>
      </w:r>
    </w:p>
    <w:p w:rsidR="00207C7E" w:rsidRDefault="00207C7E" w:rsidP="00AC782A">
      <w:pPr>
        <w:pStyle w:val="texto"/>
        <w:spacing w:after="120"/>
        <w:rPr>
          <w:szCs w:val="26"/>
        </w:rPr>
      </w:pPr>
      <w:r>
        <w:rPr>
          <w:szCs w:val="26"/>
        </w:rPr>
        <w:t xml:space="preserve">En la Ley Foral se establece un </w:t>
      </w:r>
      <w:r w:rsidRPr="007528E8">
        <w:rPr>
          <w:szCs w:val="26"/>
        </w:rPr>
        <w:t>sistema o fórmula de pago mixto</w:t>
      </w:r>
      <w:r>
        <w:rPr>
          <w:szCs w:val="26"/>
        </w:rPr>
        <w:t xml:space="preserve"> de la deuda tributaria por el </w:t>
      </w:r>
      <w:r w:rsidR="00D57390">
        <w:rPr>
          <w:szCs w:val="26"/>
        </w:rPr>
        <w:t>c</w:t>
      </w:r>
      <w:r>
        <w:rPr>
          <w:szCs w:val="26"/>
        </w:rPr>
        <w:t>lub; así</w:t>
      </w:r>
      <w:r w:rsidR="00362814">
        <w:rPr>
          <w:szCs w:val="26"/>
        </w:rPr>
        <w:t>:</w:t>
      </w:r>
    </w:p>
    <w:p w:rsidR="00207C7E" w:rsidRPr="00A85D2C" w:rsidRDefault="00207C7E" w:rsidP="00AC782A">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spacing w:after="120"/>
        <w:ind w:left="0" w:firstLine="290"/>
      </w:pPr>
      <w:r w:rsidRPr="00A85D2C">
        <w:t>Pago en especie, mediante la entrega de los bienes que contempla</w:t>
      </w:r>
      <w:r>
        <w:t xml:space="preserve"> expresamente</w:t>
      </w:r>
      <w:r w:rsidRPr="00A85D2C">
        <w:t xml:space="preserve"> </w:t>
      </w:r>
      <w:r>
        <w:t xml:space="preserve">en el anexo II de </w:t>
      </w:r>
      <w:r w:rsidRPr="00A85D2C">
        <w:t>la Ley Foral 26/2014</w:t>
      </w:r>
      <w:r>
        <w:t>.</w:t>
      </w:r>
    </w:p>
    <w:p w:rsidR="00207C7E" w:rsidRDefault="00207C7E" w:rsidP="00AC782A">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spacing w:after="120"/>
        <w:ind w:left="0" w:firstLine="290"/>
      </w:pPr>
      <w:r w:rsidRPr="00A85D2C">
        <w:t>Pago en efectivo mediante un aplazamiento con vencimiento m</w:t>
      </w:r>
      <w:r>
        <w:t>áximo de 30 años (in</w:t>
      </w:r>
      <w:r w:rsidRPr="00A85D2C">
        <w:t>c</w:t>
      </w:r>
      <w:r>
        <w:t>l</w:t>
      </w:r>
      <w:r w:rsidRPr="00A85D2C">
        <w:t>uidos tres</w:t>
      </w:r>
      <w:r>
        <w:t xml:space="preserve"> años</w:t>
      </w:r>
      <w:r w:rsidRPr="00A85D2C">
        <w:t xml:space="preserve"> de moratoria o carencia).</w:t>
      </w:r>
    </w:p>
    <w:p w:rsidR="00914E67" w:rsidRDefault="00914E67" w:rsidP="00AC782A">
      <w:pPr>
        <w:pStyle w:val="texto"/>
        <w:spacing w:after="120"/>
        <w:rPr>
          <w:szCs w:val="26"/>
        </w:rPr>
      </w:pPr>
      <w:r>
        <w:rPr>
          <w:szCs w:val="26"/>
        </w:rPr>
        <w:t>La citada Ley Foral regula el procedimiento a aplicar en los pagos anteriores sin hacer referencia expresa a la normativa general tributaria.</w:t>
      </w:r>
    </w:p>
    <w:p w:rsidR="00207C7E" w:rsidRDefault="00207C7E" w:rsidP="00207C7E">
      <w:pPr>
        <w:pStyle w:val="texto"/>
        <w:rPr>
          <w:szCs w:val="26"/>
        </w:rPr>
      </w:pPr>
      <w:r>
        <w:rPr>
          <w:szCs w:val="26"/>
        </w:rPr>
        <w:t>La extinción de la deuda tributaria se efectuará por orden de mayor a menor antigüedad de la misma.</w:t>
      </w:r>
      <w:r w:rsidRPr="00A85D2C">
        <w:rPr>
          <w:szCs w:val="26"/>
        </w:rPr>
        <w:t xml:space="preserve"> </w:t>
      </w:r>
    </w:p>
    <w:p w:rsidR="00876421" w:rsidRPr="00876421" w:rsidRDefault="00D663E4" w:rsidP="00D663E4">
      <w:pPr>
        <w:pStyle w:val="atitulo3"/>
      </w:pPr>
      <w:r>
        <w:t xml:space="preserve">IV.3.2. </w:t>
      </w:r>
      <w:r w:rsidR="00876421" w:rsidRPr="00876421">
        <w:t xml:space="preserve">Bienes entregados por el </w:t>
      </w:r>
      <w:r w:rsidR="00F04075">
        <w:t>c</w:t>
      </w:r>
      <w:r w:rsidR="00876421" w:rsidRPr="00876421">
        <w:t>lub</w:t>
      </w:r>
      <w:r w:rsidR="008A6963">
        <w:t xml:space="preserve"> y su valoración</w:t>
      </w:r>
    </w:p>
    <w:p w:rsidR="00D663E4" w:rsidRDefault="002E0394" w:rsidP="00B24F15">
      <w:pPr>
        <w:pStyle w:val="texto"/>
        <w:tabs>
          <w:tab w:val="clear" w:pos="2835"/>
          <w:tab w:val="clear" w:pos="3969"/>
          <w:tab w:val="clear" w:pos="5103"/>
          <w:tab w:val="clear" w:pos="6237"/>
          <w:tab w:val="clear" w:pos="7371"/>
        </w:tabs>
        <w:rPr>
          <w:szCs w:val="26"/>
        </w:rPr>
      </w:pPr>
      <w:r>
        <w:rPr>
          <w:b/>
          <w:szCs w:val="26"/>
        </w:rPr>
        <w:t>1</w:t>
      </w:r>
      <w:r w:rsidR="00207C7E">
        <w:rPr>
          <w:b/>
          <w:szCs w:val="26"/>
        </w:rPr>
        <w:t>8</w:t>
      </w:r>
      <w:r w:rsidR="00991EEC" w:rsidRPr="00E21F2D">
        <w:rPr>
          <w:b/>
          <w:szCs w:val="26"/>
        </w:rPr>
        <w:t>.ª</w:t>
      </w:r>
      <w:r w:rsidR="00B24F15">
        <w:rPr>
          <w:szCs w:val="26"/>
        </w:rPr>
        <w:t xml:space="preserve"> </w:t>
      </w:r>
      <w:r w:rsidR="007E4CA4" w:rsidRPr="007E4CA4">
        <w:rPr>
          <w:b/>
          <w:szCs w:val="26"/>
        </w:rPr>
        <w:t xml:space="preserve">Informe de </w:t>
      </w:r>
      <w:r w:rsidR="004E67DC">
        <w:rPr>
          <w:b/>
          <w:szCs w:val="26"/>
        </w:rPr>
        <w:t xml:space="preserve">tasación </w:t>
      </w:r>
      <w:r w:rsidR="007528E8">
        <w:rPr>
          <w:b/>
          <w:szCs w:val="26"/>
        </w:rPr>
        <w:t>por una firma privada</w:t>
      </w:r>
      <w:r w:rsidR="007E4CA4">
        <w:rPr>
          <w:szCs w:val="26"/>
        </w:rPr>
        <w:t xml:space="preserve"> </w:t>
      </w:r>
    </w:p>
    <w:p w:rsidR="00B24F15" w:rsidRDefault="00914E67" w:rsidP="00B24F15">
      <w:pPr>
        <w:pStyle w:val="texto"/>
        <w:tabs>
          <w:tab w:val="clear" w:pos="2835"/>
          <w:tab w:val="clear" w:pos="3969"/>
          <w:tab w:val="clear" w:pos="5103"/>
          <w:tab w:val="clear" w:pos="6237"/>
          <w:tab w:val="clear" w:pos="7371"/>
        </w:tabs>
        <w:rPr>
          <w:szCs w:val="26"/>
        </w:rPr>
      </w:pPr>
      <w:r>
        <w:rPr>
          <w:szCs w:val="26"/>
        </w:rPr>
        <w:t>La Ley Foral 26/2014, incluye</w:t>
      </w:r>
      <w:r w:rsidR="00B24F15">
        <w:rPr>
          <w:szCs w:val="26"/>
        </w:rPr>
        <w:t>, por un lado, la relación de bienes</w:t>
      </w:r>
      <w:r w:rsidR="00CA62BE">
        <w:rPr>
          <w:szCs w:val="26"/>
        </w:rPr>
        <w:t xml:space="preserve"> –un total de seis inmuebles</w:t>
      </w:r>
      <w:r w:rsidR="00D663E4">
        <w:rPr>
          <w:szCs w:val="26"/>
        </w:rPr>
        <w:t>–</w:t>
      </w:r>
      <w:r w:rsidR="00B24F15">
        <w:rPr>
          <w:szCs w:val="26"/>
        </w:rPr>
        <w:t xml:space="preserve"> que aporta el </w:t>
      </w:r>
      <w:r w:rsidR="00D57390">
        <w:rPr>
          <w:szCs w:val="26"/>
        </w:rPr>
        <w:t>c</w:t>
      </w:r>
      <w:r w:rsidR="00B24F15">
        <w:rPr>
          <w:szCs w:val="26"/>
        </w:rPr>
        <w:t xml:space="preserve">lub para la dación en pago de su deuda tributaria y cuyo detalle se refleja en </w:t>
      </w:r>
      <w:r w:rsidR="002E62E9">
        <w:rPr>
          <w:szCs w:val="26"/>
        </w:rPr>
        <w:t>el ya citado a</w:t>
      </w:r>
      <w:r w:rsidR="00B24F15">
        <w:rPr>
          <w:szCs w:val="26"/>
        </w:rPr>
        <w:t>nexo I</w:t>
      </w:r>
      <w:r w:rsidR="00CA62BE">
        <w:rPr>
          <w:szCs w:val="26"/>
        </w:rPr>
        <w:t>I</w:t>
      </w:r>
      <w:r w:rsidR="00B24F15">
        <w:rPr>
          <w:szCs w:val="26"/>
        </w:rPr>
        <w:t xml:space="preserve">; </w:t>
      </w:r>
      <w:r w:rsidR="007528E8">
        <w:rPr>
          <w:szCs w:val="26"/>
        </w:rPr>
        <w:t>y</w:t>
      </w:r>
      <w:r>
        <w:rPr>
          <w:szCs w:val="26"/>
        </w:rPr>
        <w:t>,</w:t>
      </w:r>
      <w:r w:rsidR="007528E8">
        <w:rPr>
          <w:szCs w:val="26"/>
        </w:rPr>
        <w:t xml:space="preserve"> </w:t>
      </w:r>
      <w:r w:rsidR="00B24F15">
        <w:rPr>
          <w:szCs w:val="26"/>
        </w:rPr>
        <w:t>por otro, señala que la valoración de los mismos se hará por una firma privada</w:t>
      </w:r>
      <w:r w:rsidR="00344465">
        <w:rPr>
          <w:szCs w:val="26"/>
        </w:rPr>
        <w:t xml:space="preserve"> designada</w:t>
      </w:r>
      <w:r w:rsidR="00B24F15">
        <w:rPr>
          <w:szCs w:val="26"/>
        </w:rPr>
        <w:t xml:space="preserve"> de común acuerdo entre el </w:t>
      </w:r>
      <w:r w:rsidR="00D57390">
        <w:rPr>
          <w:szCs w:val="26"/>
        </w:rPr>
        <w:t>c</w:t>
      </w:r>
      <w:r w:rsidR="00B24F15">
        <w:rPr>
          <w:szCs w:val="26"/>
        </w:rPr>
        <w:t>lub y el Gobierno de Navarra.</w:t>
      </w:r>
    </w:p>
    <w:p w:rsidR="00B24F15" w:rsidRPr="008A6963" w:rsidRDefault="00B24F15" w:rsidP="00B24F15">
      <w:pPr>
        <w:pStyle w:val="texto"/>
        <w:tabs>
          <w:tab w:val="clear" w:pos="2835"/>
          <w:tab w:val="clear" w:pos="3969"/>
          <w:tab w:val="clear" w:pos="5103"/>
          <w:tab w:val="clear" w:pos="6237"/>
          <w:tab w:val="clear" w:pos="7371"/>
        </w:tabs>
        <w:rPr>
          <w:szCs w:val="26"/>
        </w:rPr>
      </w:pPr>
      <w:r w:rsidRPr="008A6963">
        <w:rPr>
          <w:szCs w:val="26"/>
        </w:rPr>
        <w:t xml:space="preserve">En enero del 2015, el Gobierno de Navarra aprueba la firma privada de tasación propuesta por el </w:t>
      </w:r>
      <w:r w:rsidR="00D57390">
        <w:rPr>
          <w:szCs w:val="26"/>
        </w:rPr>
        <w:t>c</w:t>
      </w:r>
      <w:r w:rsidRPr="008A6963">
        <w:rPr>
          <w:szCs w:val="26"/>
        </w:rPr>
        <w:t>lub.</w:t>
      </w:r>
    </w:p>
    <w:p w:rsidR="00B24F15" w:rsidRPr="008A6963" w:rsidRDefault="00B24F15" w:rsidP="00B24F15">
      <w:pPr>
        <w:pStyle w:val="texto"/>
        <w:tabs>
          <w:tab w:val="clear" w:pos="2835"/>
          <w:tab w:val="clear" w:pos="3969"/>
          <w:tab w:val="clear" w:pos="5103"/>
          <w:tab w:val="clear" w:pos="6237"/>
          <w:tab w:val="clear" w:pos="7371"/>
        </w:tabs>
        <w:rPr>
          <w:szCs w:val="26"/>
        </w:rPr>
      </w:pPr>
      <w:r w:rsidRPr="008A6963">
        <w:rPr>
          <w:szCs w:val="26"/>
        </w:rPr>
        <w:t xml:space="preserve">En febrero de 2015, se presenta el anterior informe de tasación de los seis inmuebles con un valor total de 43,05 millones. En </w:t>
      </w:r>
      <w:r w:rsidR="004E67DC">
        <w:rPr>
          <w:szCs w:val="26"/>
        </w:rPr>
        <w:t>su</w:t>
      </w:r>
      <w:r w:rsidRPr="008A6963">
        <w:rPr>
          <w:szCs w:val="26"/>
        </w:rPr>
        <w:t xml:space="preserve"> valoración</w:t>
      </w:r>
      <w:r w:rsidR="0000450C">
        <w:rPr>
          <w:szCs w:val="26"/>
        </w:rPr>
        <w:t>,</w:t>
      </w:r>
      <w:r w:rsidRPr="008A6963">
        <w:rPr>
          <w:szCs w:val="26"/>
        </w:rPr>
        <w:t xml:space="preserve"> no se </w:t>
      </w:r>
      <w:r w:rsidR="00E50DB6">
        <w:rPr>
          <w:szCs w:val="26"/>
        </w:rPr>
        <w:t>incluyen</w:t>
      </w:r>
      <w:r w:rsidRPr="008A6963">
        <w:rPr>
          <w:szCs w:val="26"/>
        </w:rPr>
        <w:t xml:space="preserve"> las cargas existentes sobre los mismos</w:t>
      </w:r>
      <w:r w:rsidR="00C96280">
        <w:rPr>
          <w:szCs w:val="26"/>
        </w:rPr>
        <w:t>, aunque sí señala que deberá tenerse en cuenta en la determinación de su valor final</w:t>
      </w:r>
      <w:r w:rsidRPr="008A6963">
        <w:rPr>
          <w:szCs w:val="26"/>
        </w:rPr>
        <w:t>.</w:t>
      </w:r>
    </w:p>
    <w:p w:rsidR="008A6963" w:rsidRDefault="008A6963" w:rsidP="00B24F15">
      <w:pPr>
        <w:pStyle w:val="texto"/>
        <w:tabs>
          <w:tab w:val="clear" w:pos="2835"/>
          <w:tab w:val="clear" w:pos="3969"/>
          <w:tab w:val="clear" w:pos="5103"/>
          <w:tab w:val="clear" w:pos="6237"/>
          <w:tab w:val="clear" w:pos="7371"/>
        </w:tabs>
        <w:rPr>
          <w:szCs w:val="26"/>
        </w:rPr>
      </w:pPr>
      <w:r w:rsidRPr="00FF4B79">
        <w:rPr>
          <w:szCs w:val="26"/>
        </w:rPr>
        <w:t xml:space="preserve">El Gobierno de Navarra en sesión celebrada el 22 de abril de 2015 se da por enterado de la anterior </w:t>
      </w:r>
      <w:r w:rsidR="004E67DC">
        <w:rPr>
          <w:szCs w:val="26"/>
        </w:rPr>
        <w:t>tasación</w:t>
      </w:r>
      <w:r w:rsidRPr="00FF4B79">
        <w:rPr>
          <w:szCs w:val="26"/>
        </w:rPr>
        <w:t>.</w:t>
      </w:r>
    </w:p>
    <w:p w:rsidR="00D663E4" w:rsidRDefault="002E0394" w:rsidP="00955166">
      <w:pPr>
        <w:pStyle w:val="texto"/>
        <w:tabs>
          <w:tab w:val="clear" w:pos="2835"/>
          <w:tab w:val="clear" w:pos="3969"/>
          <w:tab w:val="clear" w:pos="5103"/>
          <w:tab w:val="clear" w:pos="6237"/>
          <w:tab w:val="clear" w:pos="7371"/>
        </w:tabs>
        <w:rPr>
          <w:szCs w:val="26"/>
        </w:rPr>
      </w:pPr>
      <w:r>
        <w:rPr>
          <w:b/>
          <w:szCs w:val="26"/>
        </w:rPr>
        <w:t>1</w:t>
      </w:r>
      <w:r w:rsidR="00207C7E">
        <w:rPr>
          <w:b/>
          <w:szCs w:val="26"/>
        </w:rPr>
        <w:t>9</w:t>
      </w:r>
      <w:r w:rsidR="00991EEC" w:rsidRPr="00E21F2D">
        <w:rPr>
          <w:b/>
          <w:szCs w:val="26"/>
        </w:rPr>
        <w:t>.ª</w:t>
      </w:r>
      <w:r w:rsidR="007E4CA4">
        <w:rPr>
          <w:szCs w:val="26"/>
        </w:rPr>
        <w:t xml:space="preserve"> </w:t>
      </w:r>
      <w:r w:rsidR="007E4CA4" w:rsidRPr="007E4CA4">
        <w:rPr>
          <w:b/>
          <w:szCs w:val="26"/>
        </w:rPr>
        <w:t xml:space="preserve">Informe interno de la sección de </w:t>
      </w:r>
      <w:r w:rsidR="00535648">
        <w:rPr>
          <w:b/>
          <w:szCs w:val="26"/>
        </w:rPr>
        <w:t>T</w:t>
      </w:r>
      <w:r w:rsidR="007E4CA4" w:rsidRPr="007E4CA4">
        <w:rPr>
          <w:b/>
          <w:szCs w:val="26"/>
        </w:rPr>
        <w:t>asación</w:t>
      </w:r>
    </w:p>
    <w:p w:rsidR="002B1F9B" w:rsidRDefault="00100E07" w:rsidP="00AC782A">
      <w:pPr>
        <w:pStyle w:val="texto"/>
        <w:tabs>
          <w:tab w:val="clear" w:pos="2835"/>
          <w:tab w:val="clear" w:pos="3969"/>
          <w:tab w:val="clear" w:pos="5103"/>
          <w:tab w:val="clear" w:pos="6237"/>
          <w:tab w:val="clear" w:pos="7371"/>
        </w:tabs>
        <w:spacing w:after="120"/>
        <w:rPr>
          <w:szCs w:val="26"/>
        </w:rPr>
      </w:pPr>
      <w:r w:rsidRPr="00AC782A">
        <w:rPr>
          <w:rFonts w:ascii="Times New (W1)" w:hAnsi="Times New (W1)"/>
          <w:spacing w:val="2"/>
          <w:szCs w:val="26"/>
        </w:rPr>
        <w:t>Con carácter previo a la aprobación de la</w:t>
      </w:r>
      <w:r w:rsidR="002E62E9" w:rsidRPr="00AC782A">
        <w:rPr>
          <w:rFonts w:ascii="Times New (W1)" w:hAnsi="Times New (W1)"/>
          <w:spacing w:val="2"/>
          <w:szCs w:val="26"/>
        </w:rPr>
        <w:t xml:space="preserve"> precitada</w:t>
      </w:r>
      <w:r w:rsidRPr="00AC782A">
        <w:rPr>
          <w:rFonts w:ascii="Times New (W1)" w:hAnsi="Times New (W1)"/>
          <w:spacing w:val="2"/>
          <w:szCs w:val="26"/>
        </w:rPr>
        <w:t xml:space="preserve"> Ley Foral 26/2014, la </w:t>
      </w:r>
      <w:r w:rsidR="00955166" w:rsidRPr="00AC782A">
        <w:rPr>
          <w:rFonts w:ascii="Times New (W1)" w:hAnsi="Times New (W1)"/>
          <w:spacing w:val="2"/>
          <w:szCs w:val="26"/>
        </w:rPr>
        <w:t>S</w:t>
      </w:r>
      <w:r w:rsidRPr="00AC782A">
        <w:rPr>
          <w:rFonts w:ascii="Times New (W1)" w:hAnsi="Times New (W1)"/>
          <w:spacing w:val="2"/>
          <w:szCs w:val="26"/>
        </w:rPr>
        <w:t xml:space="preserve">ección de Tasación </w:t>
      </w:r>
      <w:r w:rsidR="00876421" w:rsidRPr="00AC782A">
        <w:rPr>
          <w:rFonts w:ascii="Times New (W1)" w:hAnsi="Times New (W1)"/>
          <w:spacing w:val="2"/>
          <w:szCs w:val="26"/>
        </w:rPr>
        <w:t xml:space="preserve">del </w:t>
      </w:r>
      <w:r w:rsidR="00955166" w:rsidRPr="00AC782A">
        <w:rPr>
          <w:rFonts w:ascii="Times New (W1)" w:hAnsi="Times New (W1)"/>
          <w:spacing w:val="2"/>
          <w:szCs w:val="26"/>
        </w:rPr>
        <w:t>S</w:t>
      </w:r>
      <w:r w:rsidR="00876421" w:rsidRPr="00AC782A">
        <w:rPr>
          <w:rFonts w:ascii="Times New (W1)" w:hAnsi="Times New (W1)"/>
          <w:spacing w:val="2"/>
          <w:szCs w:val="26"/>
        </w:rPr>
        <w:t xml:space="preserve">ervicio de Riqueza Territorial </w:t>
      </w:r>
      <w:r w:rsidRPr="00AC782A">
        <w:rPr>
          <w:rFonts w:ascii="Times New (W1)" w:hAnsi="Times New (W1)"/>
          <w:spacing w:val="2"/>
          <w:szCs w:val="26"/>
        </w:rPr>
        <w:t xml:space="preserve">de la HTN elabora, en octubre de 2014, un informe interno </w:t>
      </w:r>
      <w:r w:rsidR="00EB7206" w:rsidRPr="00AC782A">
        <w:rPr>
          <w:rFonts w:ascii="Times New (W1)" w:hAnsi="Times New (W1)"/>
          <w:spacing w:val="2"/>
          <w:szCs w:val="26"/>
        </w:rPr>
        <w:t xml:space="preserve">de valoración </w:t>
      </w:r>
      <w:r w:rsidRPr="00AC782A">
        <w:rPr>
          <w:rFonts w:ascii="Times New (W1)" w:hAnsi="Times New (W1)"/>
          <w:spacing w:val="2"/>
          <w:szCs w:val="26"/>
        </w:rPr>
        <w:t>sobre los bienes inmuebles</w:t>
      </w:r>
      <w:r w:rsidR="00EB7206" w:rsidRPr="00AC782A">
        <w:rPr>
          <w:rFonts w:ascii="Times New (W1)" w:hAnsi="Times New (W1)"/>
          <w:spacing w:val="2"/>
          <w:szCs w:val="26"/>
        </w:rPr>
        <w:t xml:space="preserve"> d</w:t>
      </w:r>
      <w:r w:rsidRPr="00AC782A">
        <w:rPr>
          <w:rFonts w:ascii="Times New (W1)" w:hAnsi="Times New (W1)"/>
          <w:spacing w:val="2"/>
          <w:szCs w:val="26"/>
        </w:rPr>
        <w:t xml:space="preserve">e titularidad del </w:t>
      </w:r>
      <w:r w:rsidR="00D57390" w:rsidRPr="00AC782A">
        <w:rPr>
          <w:rFonts w:ascii="Times New (W1)" w:hAnsi="Times New (W1)"/>
          <w:spacing w:val="2"/>
          <w:szCs w:val="26"/>
        </w:rPr>
        <w:t>c</w:t>
      </w:r>
      <w:r w:rsidRPr="00AC782A">
        <w:rPr>
          <w:rFonts w:ascii="Times New (W1)" w:hAnsi="Times New (W1)"/>
          <w:spacing w:val="2"/>
          <w:szCs w:val="26"/>
        </w:rPr>
        <w:t>lub que const</w:t>
      </w:r>
      <w:r w:rsidR="00A10780" w:rsidRPr="00AC782A">
        <w:rPr>
          <w:rFonts w:ascii="Times New (W1)" w:hAnsi="Times New (W1)"/>
          <w:spacing w:val="2"/>
          <w:szCs w:val="26"/>
        </w:rPr>
        <w:t>a</w:t>
      </w:r>
      <w:r w:rsidRPr="00AC782A">
        <w:rPr>
          <w:rFonts w:ascii="Times New (W1)" w:hAnsi="Times New (W1)"/>
          <w:spacing w:val="2"/>
          <w:szCs w:val="26"/>
        </w:rPr>
        <w:t>n en la base de datos de la p</w:t>
      </w:r>
      <w:r w:rsidR="00BD0D79" w:rsidRPr="00AC782A">
        <w:rPr>
          <w:rFonts w:ascii="Times New (W1)" w:hAnsi="Times New (W1)"/>
          <w:spacing w:val="2"/>
          <w:szCs w:val="26"/>
        </w:rPr>
        <w:t>ro</w:t>
      </w:r>
      <w:r w:rsidRPr="00AC782A">
        <w:rPr>
          <w:rFonts w:ascii="Times New (W1)" w:hAnsi="Times New (W1)"/>
          <w:spacing w:val="2"/>
          <w:szCs w:val="26"/>
        </w:rPr>
        <w:t>pia HTN con el objeto de “servir como documento justificativo</w:t>
      </w:r>
      <w:r w:rsidR="00BD0D79" w:rsidRPr="00AC782A">
        <w:rPr>
          <w:rFonts w:ascii="Times New (W1)" w:hAnsi="Times New (W1)"/>
          <w:spacing w:val="2"/>
          <w:szCs w:val="26"/>
        </w:rPr>
        <w:t xml:space="preserve"> de posibles liquidaciones que puedan proceder conforme a la legislación vigente”.</w:t>
      </w:r>
      <w:r w:rsidR="00955166" w:rsidRPr="00AC782A">
        <w:rPr>
          <w:rFonts w:ascii="Times New (W1)" w:hAnsi="Times New (W1)"/>
          <w:spacing w:val="2"/>
          <w:szCs w:val="26"/>
        </w:rPr>
        <w:t xml:space="preserve"> De acuerdo con los vigentes </w:t>
      </w:r>
      <w:r w:rsidR="00C86843" w:rsidRPr="00AC782A">
        <w:rPr>
          <w:rFonts w:ascii="Times New (W1)" w:hAnsi="Times New (W1)"/>
          <w:spacing w:val="2"/>
          <w:szCs w:val="26"/>
        </w:rPr>
        <w:t>e</w:t>
      </w:r>
      <w:r w:rsidR="00955166" w:rsidRPr="00AC782A">
        <w:rPr>
          <w:rFonts w:ascii="Times New (W1)" w:hAnsi="Times New (W1)"/>
          <w:spacing w:val="2"/>
          <w:szCs w:val="26"/>
        </w:rPr>
        <w:t>statutos de la HTN, la Sección de Tasación tiene entre sus funciones la realización de dictámenes de valoración de bienes inmuebles para la liquidación de los Impuestos de Actos Jurídicos Documentados, Transmisiones Patrimoniales, Sucesiones y Donaciones y para cuantas actuaciones de la Administración de la Comunidad Foral precisen valoración de bienes inmuebles</w:t>
      </w:r>
      <w:r w:rsidR="00955166" w:rsidRPr="00955166">
        <w:rPr>
          <w:szCs w:val="26"/>
        </w:rPr>
        <w:t xml:space="preserve">. </w:t>
      </w:r>
    </w:p>
    <w:p w:rsidR="00BD0D79" w:rsidRPr="00D663E4" w:rsidRDefault="00BD0D79" w:rsidP="00AC782A">
      <w:pPr>
        <w:pStyle w:val="texto"/>
        <w:tabs>
          <w:tab w:val="clear" w:pos="2835"/>
          <w:tab w:val="clear" w:pos="3969"/>
          <w:tab w:val="clear" w:pos="5103"/>
          <w:tab w:val="clear" w:pos="6237"/>
          <w:tab w:val="clear" w:pos="7371"/>
        </w:tabs>
        <w:spacing w:after="120"/>
        <w:rPr>
          <w:rFonts w:ascii="Times New (W1)" w:hAnsi="Times New (W1)"/>
          <w:spacing w:val="4"/>
          <w:szCs w:val="26"/>
        </w:rPr>
      </w:pPr>
      <w:r>
        <w:rPr>
          <w:szCs w:val="26"/>
        </w:rPr>
        <w:t>Este informe incluye un total de siete inmuebles</w:t>
      </w:r>
      <w:r w:rsidR="0013637D">
        <w:rPr>
          <w:szCs w:val="26"/>
        </w:rPr>
        <w:t xml:space="preserve"> propiedad del </w:t>
      </w:r>
      <w:r w:rsidR="00D57390">
        <w:rPr>
          <w:szCs w:val="26"/>
        </w:rPr>
        <w:t>c</w:t>
      </w:r>
      <w:r w:rsidR="0013637D">
        <w:rPr>
          <w:szCs w:val="26"/>
        </w:rPr>
        <w:t>lub</w:t>
      </w:r>
      <w:r>
        <w:rPr>
          <w:szCs w:val="26"/>
        </w:rPr>
        <w:t xml:space="preserve"> con una valoración total de 35,76 millones</w:t>
      </w:r>
      <w:r w:rsidR="00914E67">
        <w:rPr>
          <w:szCs w:val="26"/>
        </w:rPr>
        <w:t>; si no se incluye</w:t>
      </w:r>
      <w:r w:rsidR="00C86843">
        <w:rPr>
          <w:szCs w:val="26"/>
        </w:rPr>
        <w:t xml:space="preserve"> el valor de</w:t>
      </w:r>
      <w:r w:rsidR="00914E67">
        <w:rPr>
          <w:szCs w:val="26"/>
        </w:rPr>
        <w:t xml:space="preserve"> la parcela que no </w:t>
      </w:r>
      <w:r w:rsidR="00C86843">
        <w:rPr>
          <w:szCs w:val="26"/>
        </w:rPr>
        <w:t>contiene</w:t>
      </w:r>
      <w:r w:rsidR="00914E67">
        <w:rPr>
          <w:szCs w:val="26"/>
        </w:rPr>
        <w:t xml:space="preserve"> expresamente la Ley Foral 26/2014, e</w:t>
      </w:r>
      <w:r w:rsidR="00C86843">
        <w:rPr>
          <w:szCs w:val="26"/>
        </w:rPr>
        <w:t>l importe resultante sería de</w:t>
      </w:r>
      <w:r w:rsidR="00914E67">
        <w:rPr>
          <w:szCs w:val="26"/>
        </w:rPr>
        <w:t xml:space="preserve"> 30,59 millones</w:t>
      </w:r>
      <w:r>
        <w:rPr>
          <w:szCs w:val="26"/>
        </w:rPr>
        <w:t>. En esta valoración</w:t>
      </w:r>
      <w:r w:rsidR="002E62E9">
        <w:rPr>
          <w:szCs w:val="26"/>
        </w:rPr>
        <w:t>,</w:t>
      </w:r>
      <w:r>
        <w:rPr>
          <w:szCs w:val="26"/>
        </w:rPr>
        <w:t xml:space="preserve"> no se tiene</w:t>
      </w:r>
      <w:r w:rsidR="00D57390">
        <w:rPr>
          <w:szCs w:val="26"/>
        </w:rPr>
        <w:t>n</w:t>
      </w:r>
      <w:r>
        <w:rPr>
          <w:szCs w:val="26"/>
        </w:rPr>
        <w:t xml:space="preserve"> en cuenta las cargas existentes sobre los mismos</w:t>
      </w:r>
      <w:r w:rsidR="008A019B">
        <w:rPr>
          <w:szCs w:val="26"/>
        </w:rPr>
        <w:t>, aunque s</w:t>
      </w:r>
      <w:r w:rsidR="00D57390">
        <w:rPr>
          <w:szCs w:val="26"/>
        </w:rPr>
        <w:t>í</w:t>
      </w:r>
      <w:r w:rsidR="008A019B">
        <w:rPr>
          <w:szCs w:val="26"/>
        </w:rPr>
        <w:t xml:space="preserve"> se indica expresamente que</w:t>
      </w:r>
      <w:r w:rsidR="0013637D">
        <w:rPr>
          <w:szCs w:val="26"/>
        </w:rPr>
        <w:t>,</w:t>
      </w:r>
      <w:r w:rsidR="008A019B">
        <w:rPr>
          <w:szCs w:val="26"/>
        </w:rPr>
        <w:t xml:space="preserve"> del anterior valor de tasación</w:t>
      </w:r>
      <w:r w:rsidR="00AF6EEF">
        <w:rPr>
          <w:szCs w:val="26"/>
        </w:rPr>
        <w:t>,</w:t>
      </w:r>
      <w:r w:rsidR="008A019B">
        <w:rPr>
          <w:szCs w:val="26"/>
        </w:rPr>
        <w:t xml:space="preserve"> debería </w:t>
      </w:r>
      <w:r w:rsidR="008A019B" w:rsidRPr="00D663E4">
        <w:rPr>
          <w:rFonts w:ascii="Times New (W1)" w:hAnsi="Times New (W1)"/>
          <w:spacing w:val="4"/>
          <w:szCs w:val="26"/>
        </w:rPr>
        <w:t>deducirse las cargas que recayeran sobre los inmuebles y que no se hubieran contemplado en la determinación de su importe.</w:t>
      </w:r>
    </w:p>
    <w:p w:rsidR="00D663E4" w:rsidRDefault="00207C7E" w:rsidP="00AC782A">
      <w:pPr>
        <w:pStyle w:val="texto"/>
        <w:tabs>
          <w:tab w:val="clear" w:pos="2835"/>
          <w:tab w:val="clear" w:pos="3969"/>
          <w:tab w:val="clear" w:pos="5103"/>
          <w:tab w:val="clear" w:pos="6237"/>
          <w:tab w:val="clear" w:pos="7371"/>
        </w:tabs>
        <w:spacing w:after="120"/>
        <w:rPr>
          <w:szCs w:val="26"/>
        </w:rPr>
      </w:pPr>
      <w:r>
        <w:rPr>
          <w:b/>
          <w:szCs w:val="26"/>
        </w:rPr>
        <w:t>20</w:t>
      </w:r>
      <w:r w:rsidR="00991EEC" w:rsidRPr="00E21F2D">
        <w:rPr>
          <w:b/>
          <w:szCs w:val="26"/>
        </w:rPr>
        <w:t>.ª</w:t>
      </w:r>
      <w:r w:rsidR="007528E8">
        <w:rPr>
          <w:szCs w:val="26"/>
        </w:rPr>
        <w:t xml:space="preserve"> </w:t>
      </w:r>
      <w:r w:rsidR="007528E8" w:rsidRPr="007528E8">
        <w:rPr>
          <w:b/>
          <w:szCs w:val="26"/>
        </w:rPr>
        <w:t>C</w:t>
      </w:r>
      <w:r w:rsidR="00747271" w:rsidRPr="007528E8">
        <w:rPr>
          <w:b/>
          <w:szCs w:val="26"/>
        </w:rPr>
        <w:t>omparación de ambos informes</w:t>
      </w:r>
    </w:p>
    <w:p w:rsidR="00445777" w:rsidRPr="00AC782A" w:rsidRDefault="001064A4" w:rsidP="00AC782A">
      <w:pPr>
        <w:pStyle w:val="texto"/>
        <w:tabs>
          <w:tab w:val="clear" w:pos="2835"/>
          <w:tab w:val="clear" w:pos="3969"/>
          <w:tab w:val="clear" w:pos="5103"/>
          <w:tab w:val="clear" w:pos="6237"/>
          <w:tab w:val="clear" w:pos="7371"/>
        </w:tabs>
        <w:spacing w:after="120"/>
        <w:rPr>
          <w:rFonts w:ascii="Times New (W1)" w:hAnsi="Times New (W1)"/>
          <w:spacing w:val="0"/>
          <w:szCs w:val="26"/>
        </w:rPr>
      </w:pPr>
      <w:r w:rsidRPr="00AC782A">
        <w:rPr>
          <w:rFonts w:ascii="Times New (W1)" w:hAnsi="Times New (W1)"/>
          <w:spacing w:val="0"/>
          <w:szCs w:val="26"/>
        </w:rPr>
        <w:t xml:space="preserve">Con carácter previo conviene precisar que el informe privado es una tasación a precios de mercado, en tanto que el informe de la HTN es una valoración a efectos exclusivamente tributarios de los impuestos que previsiblemente podrían gravar una posible </w:t>
      </w:r>
      <w:r w:rsidR="00192848" w:rsidRPr="00AC782A">
        <w:rPr>
          <w:rFonts w:ascii="Times New (W1)" w:hAnsi="Times New (W1)"/>
          <w:spacing w:val="0"/>
          <w:szCs w:val="26"/>
        </w:rPr>
        <w:t>transacción</w:t>
      </w:r>
      <w:r w:rsidRPr="00AC782A">
        <w:rPr>
          <w:rFonts w:ascii="Times New (W1)" w:hAnsi="Times New (W1)"/>
          <w:spacing w:val="0"/>
          <w:szCs w:val="26"/>
        </w:rPr>
        <w:t>.</w:t>
      </w:r>
      <w:r w:rsidR="00192848" w:rsidRPr="00AC782A">
        <w:rPr>
          <w:rFonts w:ascii="Times New (W1)" w:hAnsi="Times New (W1)"/>
          <w:spacing w:val="0"/>
          <w:szCs w:val="26"/>
        </w:rPr>
        <w:t xml:space="preserve"> Esta disparidad de objetivos entre ambos informes </w:t>
      </w:r>
      <w:r w:rsidR="00445777" w:rsidRPr="00AC782A">
        <w:rPr>
          <w:rFonts w:ascii="Times New (W1)" w:hAnsi="Times New (W1)"/>
          <w:spacing w:val="0"/>
          <w:szCs w:val="26"/>
        </w:rPr>
        <w:t>justificaría</w:t>
      </w:r>
      <w:r w:rsidR="00192848" w:rsidRPr="00AC782A">
        <w:rPr>
          <w:rFonts w:ascii="Times New (W1)" w:hAnsi="Times New (W1)"/>
          <w:spacing w:val="0"/>
          <w:szCs w:val="26"/>
        </w:rPr>
        <w:t xml:space="preserve"> en términos generales la divergencia de</w:t>
      </w:r>
      <w:r w:rsidR="00445777" w:rsidRPr="00AC782A">
        <w:rPr>
          <w:rFonts w:ascii="Times New (W1)" w:hAnsi="Times New (W1)"/>
          <w:spacing w:val="0"/>
          <w:szCs w:val="26"/>
        </w:rPr>
        <w:t xml:space="preserve"> criterios e</w:t>
      </w:r>
      <w:r w:rsidR="00192848" w:rsidRPr="00AC782A">
        <w:rPr>
          <w:rFonts w:ascii="Times New (W1)" w:hAnsi="Times New (W1)"/>
          <w:spacing w:val="0"/>
          <w:szCs w:val="26"/>
        </w:rPr>
        <w:t xml:space="preserve"> importes observados.</w:t>
      </w:r>
    </w:p>
    <w:p w:rsidR="001064A4" w:rsidRPr="00445777" w:rsidRDefault="00445777" w:rsidP="00AC782A">
      <w:pPr>
        <w:pStyle w:val="texto"/>
        <w:tabs>
          <w:tab w:val="clear" w:pos="2835"/>
          <w:tab w:val="clear" w:pos="3969"/>
          <w:tab w:val="clear" w:pos="5103"/>
          <w:tab w:val="clear" w:pos="6237"/>
          <w:tab w:val="clear" w:pos="7371"/>
        </w:tabs>
        <w:spacing w:after="120"/>
        <w:rPr>
          <w:szCs w:val="26"/>
        </w:rPr>
      </w:pPr>
      <w:r>
        <w:rPr>
          <w:szCs w:val="26"/>
        </w:rPr>
        <w:t>Teniendo en cuenta el comentario anterior, de la comparación de ambos informes señalamos:</w:t>
      </w:r>
    </w:p>
    <w:p w:rsidR="00005604" w:rsidRDefault="00747271" w:rsidP="00AC782A">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spacing w:after="120"/>
        <w:ind w:left="0" w:firstLine="290"/>
        <w:rPr>
          <w:szCs w:val="26"/>
        </w:rPr>
      </w:pPr>
      <w:r>
        <w:rPr>
          <w:szCs w:val="26"/>
        </w:rPr>
        <w:t>Existe un inmueble propiedad del club que no se ha incluido en el anexo de la Ley Foral; este inmueble, identificado como Solar</w:t>
      </w:r>
      <w:r w:rsidR="00005604">
        <w:rPr>
          <w:szCs w:val="26"/>
        </w:rPr>
        <w:t xml:space="preserve"> </w:t>
      </w:r>
      <w:r>
        <w:rPr>
          <w:szCs w:val="26"/>
        </w:rPr>
        <w:t>UM-3 P1 de Pamplona, está valorado en el informe privado de tasación en 4 millones y por los servicios de Hacienda en 5,17 millones. Desconocemos la</w:t>
      </w:r>
      <w:r w:rsidR="0008248E">
        <w:rPr>
          <w:szCs w:val="26"/>
        </w:rPr>
        <w:t>s razones que han justificado su</w:t>
      </w:r>
      <w:r>
        <w:rPr>
          <w:szCs w:val="26"/>
        </w:rPr>
        <w:t xml:space="preserve"> exclusión </w:t>
      </w:r>
      <w:r w:rsidR="001064A4">
        <w:rPr>
          <w:szCs w:val="26"/>
        </w:rPr>
        <w:t>en la citada Ley Foral</w:t>
      </w:r>
      <w:r w:rsidR="003B2BC6">
        <w:rPr>
          <w:szCs w:val="26"/>
        </w:rPr>
        <w:t>, exclusión que, en nuestra opinión, resulta incomprensible</w:t>
      </w:r>
      <w:r w:rsidR="00EE00A7">
        <w:rPr>
          <w:szCs w:val="26"/>
        </w:rPr>
        <w:t xml:space="preserve">; </w:t>
      </w:r>
      <w:r w:rsidR="00B00089">
        <w:rPr>
          <w:szCs w:val="26"/>
        </w:rPr>
        <w:t>posteriormente</w:t>
      </w:r>
      <w:r w:rsidR="00A10780">
        <w:rPr>
          <w:szCs w:val="26"/>
        </w:rPr>
        <w:t xml:space="preserve">, </w:t>
      </w:r>
      <w:r w:rsidR="00B00089" w:rsidRPr="00A10780">
        <w:rPr>
          <w:szCs w:val="26"/>
        </w:rPr>
        <w:t>ver conclusión</w:t>
      </w:r>
      <w:r w:rsidR="008B6FD8" w:rsidRPr="00A10780">
        <w:rPr>
          <w:szCs w:val="26"/>
        </w:rPr>
        <w:t xml:space="preserve"> </w:t>
      </w:r>
      <w:r w:rsidR="00A10780" w:rsidRPr="00A10780">
        <w:rPr>
          <w:szCs w:val="26"/>
        </w:rPr>
        <w:t>2</w:t>
      </w:r>
      <w:r w:rsidR="00CC051A">
        <w:rPr>
          <w:szCs w:val="26"/>
        </w:rPr>
        <w:t>9</w:t>
      </w:r>
      <w:r w:rsidR="00A10780" w:rsidRPr="00A10780">
        <w:rPr>
          <w:szCs w:val="26"/>
        </w:rPr>
        <w:t>ª</w:t>
      </w:r>
      <w:r w:rsidR="00A10780">
        <w:rPr>
          <w:szCs w:val="26"/>
        </w:rPr>
        <w:t>,</w:t>
      </w:r>
      <w:r w:rsidR="00B00089" w:rsidRPr="00C96280">
        <w:rPr>
          <w:color w:val="FF0000"/>
          <w:szCs w:val="26"/>
        </w:rPr>
        <w:t xml:space="preserve"> </w:t>
      </w:r>
      <w:r w:rsidR="00D57390">
        <w:rPr>
          <w:szCs w:val="26"/>
        </w:rPr>
        <w:t>e</w:t>
      </w:r>
      <w:r w:rsidR="00B00089">
        <w:rPr>
          <w:szCs w:val="26"/>
        </w:rPr>
        <w:t>l Gobierno de Navarra</w:t>
      </w:r>
      <w:r w:rsidR="00D57390">
        <w:rPr>
          <w:szCs w:val="26"/>
        </w:rPr>
        <w:t xml:space="preserve"> acuerda</w:t>
      </w:r>
      <w:r w:rsidR="00B00089">
        <w:rPr>
          <w:szCs w:val="26"/>
        </w:rPr>
        <w:t xml:space="preserve"> gravar dicho bien con una hipoteca a favor de la Comunidad Foral como garantía del aval concedido de cuatro millones.</w:t>
      </w:r>
    </w:p>
    <w:p w:rsidR="002E0394" w:rsidRPr="00AC782A" w:rsidRDefault="00747271" w:rsidP="00A90586">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spacing w:after="0"/>
        <w:ind w:left="0" w:firstLine="289"/>
        <w:rPr>
          <w:b/>
          <w:szCs w:val="26"/>
        </w:rPr>
      </w:pPr>
      <w:r>
        <w:rPr>
          <w:szCs w:val="26"/>
        </w:rPr>
        <w:t xml:space="preserve">En el cuadro siguiente se muestra la comparación de valoraciones </w:t>
      </w:r>
      <w:r w:rsidR="00400773">
        <w:rPr>
          <w:szCs w:val="26"/>
        </w:rPr>
        <w:t xml:space="preserve">de los </w:t>
      </w:r>
      <w:r w:rsidR="00400773" w:rsidRPr="00AC782A">
        <w:rPr>
          <w:b/>
          <w:szCs w:val="26"/>
        </w:rPr>
        <w:t>dos informes anteriores</w:t>
      </w:r>
      <w:r w:rsidR="00362814" w:rsidRPr="00AC782A">
        <w:rPr>
          <w:b/>
          <w:szCs w:val="26"/>
        </w:rPr>
        <w:t>.</w:t>
      </w:r>
      <w:r w:rsidR="007528E8" w:rsidRPr="00AC782A">
        <w:rPr>
          <w:b/>
          <w:szCs w:val="26"/>
        </w:rPr>
        <w:t xml:space="preserve"> </w:t>
      </w:r>
    </w:p>
    <w:tbl>
      <w:tblPr>
        <w:tblpPr w:leftFromText="141" w:rightFromText="141" w:vertAnchor="text" w:horzAnchor="margin" w:tblpXSpec="center" w:tblpY="181"/>
        <w:tblW w:w="9086" w:type="dxa"/>
        <w:tblCellMar>
          <w:left w:w="70" w:type="dxa"/>
          <w:right w:w="70" w:type="dxa"/>
        </w:tblCellMar>
        <w:tblLook w:val="04A0" w:firstRow="1" w:lastRow="0" w:firstColumn="1" w:lastColumn="0" w:noHBand="0" w:noVBand="1"/>
      </w:tblPr>
      <w:tblGrid>
        <w:gridCol w:w="2480"/>
        <w:gridCol w:w="1418"/>
        <w:gridCol w:w="1417"/>
        <w:gridCol w:w="1237"/>
        <w:gridCol w:w="1374"/>
        <w:gridCol w:w="1160"/>
      </w:tblGrid>
      <w:tr w:rsidR="002E62E9" w:rsidTr="00AC782A">
        <w:trPr>
          <w:trHeight w:val="170"/>
        </w:trPr>
        <w:tc>
          <w:tcPr>
            <w:tcW w:w="2480" w:type="dxa"/>
            <w:tcBorders>
              <w:top w:val="single" w:sz="4" w:space="0" w:color="auto"/>
              <w:bottom w:val="single" w:sz="4" w:space="0" w:color="auto"/>
            </w:tcBorders>
            <w:shd w:val="clear" w:color="auto" w:fill="8DB3E2" w:themeFill="text2" w:themeFillTint="66"/>
            <w:vAlign w:val="center"/>
          </w:tcPr>
          <w:p w:rsidR="002E62E9" w:rsidRPr="006F2B1B" w:rsidRDefault="002E62E9" w:rsidP="00D663E4">
            <w:pPr>
              <w:pStyle w:val="cuadroCabe"/>
            </w:pPr>
            <w:r>
              <w:t>Bienes del C</w:t>
            </w:r>
            <w:r w:rsidR="00D663E4">
              <w:t>.A.</w:t>
            </w:r>
            <w:r>
              <w:t xml:space="preserve"> Osasuna</w:t>
            </w:r>
          </w:p>
        </w:tc>
        <w:tc>
          <w:tcPr>
            <w:tcW w:w="1418" w:type="dxa"/>
            <w:tcBorders>
              <w:top w:val="single" w:sz="4" w:space="0" w:color="auto"/>
              <w:bottom w:val="single" w:sz="4" w:space="0" w:color="auto"/>
            </w:tcBorders>
            <w:shd w:val="clear" w:color="auto" w:fill="8DB3E2" w:themeFill="text2" w:themeFillTint="66"/>
            <w:vAlign w:val="center"/>
          </w:tcPr>
          <w:p w:rsidR="00D663E4" w:rsidRDefault="002E62E9" w:rsidP="00362814">
            <w:pPr>
              <w:pStyle w:val="cuadroCabe"/>
              <w:jc w:val="right"/>
            </w:pPr>
            <w:r>
              <w:t xml:space="preserve">Clase </w:t>
            </w:r>
          </w:p>
          <w:p w:rsidR="002E62E9" w:rsidRDefault="002E62E9" w:rsidP="00362814">
            <w:pPr>
              <w:pStyle w:val="cuadroCabe"/>
              <w:jc w:val="right"/>
            </w:pPr>
            <w:r>
              <w:t>de suelo</w:t>
            </w:r>
          </w:p>
        </w:tc>
        <w:tc>
          <w:tcPr>
            <w:tcW w:w="1417" w:type="dxa"/>
            <w:tcBorders>
              <w:top w:val="single" w:sz="4" w:space="0" w:color="auto"/>
              <w:bottom w:val="single" w:sz="4" w:space="0" w:color="auto"/>
            </w:tcBorders>
            <w:shd w:val="clear" w:color="auto" w:fill="8DB3E2" w:themeFill="text2" w:themeFillTint="66"/>
            <w:vAlign w:val="center"/>
          </w:tcPr>
          <w:p w:rsidR="00D663E4" w:rsidRDefault="002E62E9" w:rsidP="00362814">
            <w:pPr>
              <w:pStyle w:val="cuadroCabe"/>
              <w:jc w:val="right"/>
            </w:pPr>
            <w:r>
              <w:t xml:space="preserve">Uso </w:t>
            </w:r>
          </w:p>
          <w:p w:rsidR="002E62E9" w:rsidRDefault="002E62E9" w:rsidP="00362814">
            <w:pPr>
              <w:pStyle w:val="cuadroCabe"/>
              <w:jc w:val="right"/>
            </w:pPr>
            <w:r>
              <w:t>característico</w:t>
            </w:r>
          </w:p>
        </w:tc>
        <w:tc>
          <w:tcPr>
            <w:tcW w:w="1237" w:type="dxa"/>
            <w:tcBorders>
              <w:top w:val="single" w:sz="4" w:space="0" w:color="auto"/>
              <w:bottom w:val="single" w:sz="4" w:space="0" w:color="auto"/>
            </w:tcBorders>
            <w:shd w:val="clear" w:color="auto" w:fill="8DB3E2" w:themeFill="text2" w:themeFillTint="66"/>
            <w:vAlign w:val="center"/>
          </w:tcPr>
          <w:p w:rsidR="002E62E9" w:rsidRDefault="002E62E9" w:rsidP="00362814">
            <w:pPr>
              <w:pStyle w:val="cuadroCabe"/>
              <w:jc w:val="right"/>
            </w:pPr>
            <w:r>
              <w:t>Tasación</w:t>
            </w:r>
          </w:p>
          <w:p w:rsidR="002E62E9" w:rsidRPr="006F2B1B" w:rsidRDefault="002E62E9" w:rsidP="00362814">
            <w:pPr>
              <w:pStyle w:val="cuadroCabe"/>
              <w:jc w:val="right"/>
            </w:pPr>
            <w:r>
              <w:t>privada (a)</w:t>
            </w:r>
          </w:p>
        </w:tc>
        <w:tc>
          <w:tcPr>
            <w:tcW w:w="1374" w:type="dxa"/>
            <w:tcBorders>
              <w:top w:val="single" w:sz="4" w:space="0" w:color="auto"/>
              <w:bottom w:val="single" w:sz="4" w:space="0" w:color="auto"/>
            </w:tcBorders>
            <w:shd w:val="clear" w:color="auto" w:fill="8DB3E2" w:themeFill="text2" w:themeFillTint="66"/>
            <w:vAlign w:val="center"/>
          </w:tcPr>
          <w:p w:rsidR="002E62E9" w:rsidRDefault="00445777" w:rsidP="00362814">
            <w:pPr>
              <w:pStyle w:val="cuadroCabe"/>
              <w:jc w:val="right"/>
            </w:pPr>
            <w:r>
              <w:t>Valoración</w:t>
            </w:r>
          </w:p>
          <w:p w:rsidR="002E62E9" w:rsidRDefault="002E62E9" w:rsidP="00362814">
            <w:pPr>
              <w:pStyle w:val="cuadroCabe"/>
              <w:jc w:val="right"/>
            </w:pPr>
            <w:r>
              <w:t>Hacienda (b)</w:t>
            </w:r>
          </w:p>
        </w:tc>
        <w:tc>
          <w:tcPr>
            <w:tcW w:w="1160" w:type="dxa"/>
            <w:tcBorders>
              <w:top w:val="single" w:sz="4" w:space="0" w:color="auto"/>
              <w:bottom w:val="single" w:sz="4" w:space="0" w:color="auto"/>
            </w:tcBorders>
            <w:shd w:val="clear" w:color="auto" w:fill="8DB3E2" w:themeFill="text2" w:themeFillTint="66"/>
            <w:vAlign w:val="center"/>
          </w:tcPr>
          <w:p w:rsidR="002E62E9" w:rsidRDefault="002E62E9" w:rsidP="00362814">
            <w:pPr>
              <w:pStyle w:val="cuadroCabe"/>
              <w:jc w:val="right"/>
            </w:pPr>
            <w:r>
              <w:t>Diferencia</w:t>
            </w:r>
          </w:p>
          <w:p w:rsidR="002E62E9" w:rsidRDefault="002E62E9" w:rsidP="00362814">
            <w:pPr>
              <w:pStyle w:val="cuadroCabe"/>
              <w:jc w:val="right"/>
            </w:pPr>
            <w:r>
              <w:t>(a)-(b)</w:t>
            </w:r>
          </w:p>
        </w:tc>
      </w:tr>
      <w:tr w:rsidR="002E62E9" w:rsidRPr="00285041" w:rsidTr="00AC782A">
        <w:trPr>
          <w:trHeight w:val="170"/>
        </w:trPr>
        <w:tc>
          <w:tcPr>
            <w:tcW w:w="2480" w:type="dxa"/>
            <w:tcBorders>
              <w:top w:val="single" w:sz="4" w:space="0" w:color="auto"/>
              <w:bottom w:val="single" w:sz="2" w:space="0" w:color="auto"/>
            </w:tcBorders>
            <w:vAlign w:val="center"/>
          </w:tcPr>
          <w:p w:rsidR="002E62E9" w:rsidRPr="00285041" w:rsidRDefault="002E62E9" w:rsidP="00876421">
            <w:pPr>
              <w:pStyle w:val="cuatexto"/>
            </w:pPr>
            <w:r>
              <w:t>Estadio El Sadar Pamplona</w:t>
            </w:r>
          </w:p>
        </w:tc>
        <w:tc>
          <w:tcPr>
            <w:tcW w:w="1418" w:type="dxa"/>
            <w:tcBorders>
              <w:top w:val="single" w:sz="4" w:space="0" w:color="auto"/>
              <w:bottom w:val="single" w:sz="2" w:space="0" w:color="auto"/>
            </w:tcBorders>
            <w:vAlign w:val="center"/>
          </w:tcPr>
          <w:p w:rsidR="00362814" w:rsidRDefault="002E62E9" w:rsidP="001D4BF2">
            <w:pPr>
              <w:pStyle w:val="cuatexto"/>
              <w:jc w:val="right"/>
            </w:pPr>
            <w:r>
              <w:t xml:space="preserve">Urbano </w:t>
            </w:r>
          </w:p>
          <w:p w:rsidR="002E62E9" w:rsidRPr="00747271" w:rsidRDefault="002E62E9" w:rsidP="001D4BF2">
            <w:pPr>
              <w:pStyle w:val="cuatexto"/>
              <w:jc w:val="right"/>
            </w:pPr>
            <w:r>
              <w:t>consolidado</w:t>
            </w:r>
          </w:p>
        </w:tc>
        <w:tc>
          <w:tcPr>
            <w:tcW w:w="1417" w:type="dxa"/>
            <w:tcBorders>
              <w:top w:val="single" w:sz="4" w:space="0" w:color="auto"/>
              <w:bottom w:val="single" w:sz="2" w:space="0" w:color="auto"/>
            </w:tcBorders>
            <w:vAlign w:val="center"/>
          </w:tcPr>
          <w:p w:rsidR="004145E8" w:rsidRDefault="002E62E9" w:rsidP="004145E8">
            <w:pPr>
              <w:pStyle w:val="cuatexto"/>
              <w:jc w:val="right"/>
            </w:pPr>
            <w:r>
              <w:t>Dot</w:t>
            </w:r>
            <w:r w:rsidR="00A90586">
              <w:t>. deportivo</w:t>
            </w:r>
            <w:r w:rsidR="004145E8">
              <w:t xml:space="preserve"> </w:t>
            </w:r>
          </w:p>
          <w:p w:rsidR="002E62E9" w:rsidRPr="00747271" w:rsidRDefault="002E62E9" w:rsidP="004145E8">
            <w:pPr>
              <w:pStyle w:val="cuatexto"/>
              <w:jc w:val="right"/>
            </w:pPr>
            <w:r>
              <w:t>privado</w:t>
            </w:r>
          </w:p>
        </w:tc>
        <w:tc>
          <w:tcPr>
            <w:tcW w:w="1237" w:type="dxa"/>
            <w:tcBorders>
              <w:top w:val="single" w:sz="4" w:space="0" w:color="auto"/>
              <w:bottom w:val="single" w:sz="2" w:space="0" w:color="auto"/>
            </w:tcBorders>
            <w:vAlign w:val="center"/>
          </w:tcPr>
          <w:p w:rsidR="002E62E9" w:rsidRPr="00747271" w:rsidRDefault="002E62E9" w:rsidP="001D4BF2">
            <w:pPr>
              <w:pStyle w:val="cuatexto"/>
              <w:jc w:val="right"/>
            </w:pPr>
            <w:r w:rsidRPr="00747271">
              <w:t>23.543.160</w:t>
            </w:r>
          </w:p>
        </w:tc>
        <w:tc>
          <w:tcPr>
            <w:tcW w:w="1374" w:type="dxa"/>
            <w:tcBorders>
              <w:top w:val="single" w:sz="4" w:space="0" w:color="auto"/>
              <w:bottom w:val="single" w:sz="2" w:space="0" w:color="auto"/>
            </w:tcBorders>
            <w:vAlign w:val="center"/>
          </w:tcPr>
          <w:p w:rsidR="002E62E9" w:rsidRPr="00747271" w:rsidRDefault="002E62E9" w:rsidP="001D4BF2">
            <w:pPr>
              <w:pStyle w:val="cuatexto"/>
              <w:jc w:val="right"/>
            </w:pPr>
            <w:r w:rsidRPr="00747271">
              <w:t>16.219.104</w:t>
            </w:r>
          </w:p>
        </w:tc>
        <w:tc>
          <w:tcPr>
            <w:tcW w:w="1160" w:type="dxa"/>
            <w:tcBorders>
              <w:top w:val="single" w:sz="4" w:space="0" w:color="auto"/>
              <w:bottom w:val="single" w:sz="2" w:space="0" w:color="auto"/>
            </w:tcBorders>
            <w:vAlign w:val="center"/>
          </w:tcPr>
          <w:p w:rsidR="002E62E9" w:rsidRPr="00747271" w:rsidRDefault="002E62E9" w:rsidP="001D4BF2">
            <w:pPr>
              <w:pStyle w:val="cuatexto"/>
              <w:jc w:val="right"/>
            </w:pPr>
            <w:r w:rsidRPr="00747271">
              <w:t>7.324.056</w:t>
            </w:r>
          </w:p>
        </w:tc>
      </w:tr>
      <w:tr w:rsidR="002E62E9" w:rsidRPr="00285041" w:rsidTr="00AC782A">
        <w:trPr>
          <w:trHeight w:val="170"/>
        </w:trPr>
        <w:tc>
          <w:tcPr>
            <w:tcW w:w="2480" w:type="dxa"/>
            <w:tcBorders>
              <w:top w:val="single" w:sz="2" w:space="0" w:color="auto"/>
              <w:bottom w:val="single" w:sz="2" w:space="0" w:color="auto"/>
            </w:tcBorders>
            <w:vAlign w:val="center"/>
          </w:tcPr>
          <w:p w:rsidR="002E62E9" w:rsidRPr="00285041" w:rsidRDefault="002E62E9" w:rsidP="001D4BF2">
            <w:pPr>
              <w:pStyle w:val="cuatexto"/>
            </w:pPr>
            <w:r>
              <w:t>Dos pisos Iturrama-Pamplona</w:t>
            </w:r>
          </w:p>
        </w:tc>
        <w:tc>
          <w:tcPr>
            <w:tcW w:w="1418" w:type="dxa"/>
            <w:tcBorders>
              <w:top w:val="single" w:sz="2" w:space="0" w:color="auto"/>
              <w:bottom w:val="single" w:sz="2" w:space="0" w:color="auto"/>
            </w:tcBorders>
            <w:vAlign w:val="center"/>
          </w:tcPr>
          <w:p w:rsidR="00362814" w:rsidRDefault="002E62E9" w:rsidP="001D4BF2">
            <w:pPr>
              <w:pStyle w:val="cuatexto"/>
              <w:jc w:val="right"/>
            </w:pPr>
            <w:r>
              <w:t xml:space="preserve">Urbano </w:t>
            </w:r>
          </w:p>
          <w:p w:rsidR="002E62E9" w:rsidRPr="00747271" w:rsidRDefault="002E62E9" w:rsidP="001D4BF2">
            <w:pPr>
              <w:pStyle w:val="cuatexto"/>
              <w:jc w:val="right"/>
            </w:pPr>
            <w:r>
              <w:t>consolidado</w:t>
            </w:r>
          </w:p>
        </w:tc>
        <w:tc>
          <w:tcPr>
            <w:tcW w:w="1417" w:type="dxa"/>
            <w:tcBorders>
              <w:top w:val="single" w:sz="2" w:space="0" w:color="auto"/>
              <w:bottom w:val="single" w:sz="2" w:space="0" w:color="auto"/>
            </w:tcBorders>
            <w:vAlign w:val="center"/>
          </w:tcPr>
          <w:p w:rsidR="001D0B9B" w:rsidRDefault="002E62E9" w:rsidP="001D4BF2">
            <w:pPr>
              <w:pStyle w:val="cuatexto"/>
              <w:jc w:val="right"/>
            </w:pPr>
            <w:r>
              <w:t xml:space="preserve">Residencial </w:t>
            </w:r>
          </w:p>
          <w:p w:rsidR="002E62E9" w:rsidRPr="00747271" w:rsidRDefault="002E62E9" w:rsidP="001D4BF2">
            <w:pPr>
              <w:pStyle w:val="cuatexto"/>
              <w:jc w:val="right"/>
            </w:pPr>
            <w:r>
              <w:t>colectivo</w:t>
            </w:r>
          </w:p>
        </w:tc>
        <w:tc>
          <w:tcPr>
            <w:tcW w:w="1237" w:type="dxa"/>
            <w:tcBorders>
              <w:top w:val="single" w:sz="2" w:space="0" w:color="auto"/>
              <w:bottom w:val="single" w:sz="2" w:space="0" w:color="auto"/>
            </w:tcBorders>
            <w:vAlign w:val="center"/>
          </w:tcPr>
          <w:p w:rsidR="002E62E9" w:rsidRPr="00747271" w:rsidRDefault="002E62E9" w:rsidP="001D4BF2">
            <w:pPr>
              <w:pStyle w:val="cuatexto"/>
              <w:jc w:val="right"/>
            </w:pPr>
            <w:r w:rsidRPr="00747271">
              <w:t>403.428</w:t>
            </w:r>
          </w:p>
        </w:tc>
        <w:tc>
          <w:tcPr>
            <w:tcW w:w="1374" w:type="dxa"/>
            <w:tcBorders>
              <w:top w:val="single" w:sz="2" w:space="0" w:color="auto"/>
              <w:bottom w:val="single" w:sz="2" w:space="0" w:color="auto"/>
            </w:tcBorders>
            <w:vAlign w:val="center"/>
          </w:tcPr>
          <w:p w:rsidR="002E62E9" w:rsidRPr="00747271" w:rsidRDefault="002E62E9" w:rsidP="001D4BF2">
            <w:pPr>
              <w:pStyle w:val="cuatexto"/>
              <w:jc w:val="right"/>
            </w:pPr>
            <w:r w:rsidRPr="00747271">
              <w:t>371.960</w:t>
            </w:r>
          </w:p>
        </w:tc>
        <w:tc>
          <w:tcPr>
            <w:tcW w:w="1160" w:type="dxa"/>
            <w:tcBorders>
              <w:top w:val="single" w:sz="2" w:space="0" w:color="auto"/>
              <w:bottom w:val="single" w:sz="2" w:space="0" w:color="auto"/>
            </w:tcBorders>
            <w:vAlign w:val="center"/>
          </w:tcPr>
          <w:p w:rsidR="002E62E9" w:rsidRPr="00747271" w:rsidRDefault="002E62E9" w:rsidP="001D4BF2">
            <w:pPr>
              <w:pStyle w:val="cuatexto"/>
              <w:jc w:val="right"/>
            </w:pPr>
            <w:r w:rsidRPr="00747271">
              <w:t>31.468</w:t>
            </w:r>
          </w:p>
        </w:tc>
      </w:tr>
      <w:tr w:rsidR="002E62E9" w:rsidRPr="004D12B6" w:rsidTr="00AC782A">
        <w:trPr>
          <w:trHeight w:val="170"/>
        </w:trPr>
        <w:tc>
          <w:tcPr>
            <w:tcW w:w="2480" w:type="dxa"/>
            <w:tcBorders>
              <w:top w:val="single" w:sz="2" w:space="0" w:color="auto"/>
              <w:bottom w:val="single" w:sz="2" w:space="0" w:color="auto"/>
            </w:tcBorders>
            <w:vAlign w:val="center"/>
          </w:tcPr>
          <w:p w:rsidR="00362814" w:rsidRDefault="002E62E9" w:rsidP="00362814">
            <w:pPr>
              <w:pStyle w:val="cuatexto"/>
            </w:pPr>
            <w:r w:rsidRPr="001D4BF2">
              <w:t xml:space="preserve">Suelo U.I.XXIII SO-1 </w:t>
            </w:r>
          </w:p>
          <w:p w:rsidR="002E62E9" w:rsidRPr="001D4BF2" w:rsidRDefault="002E62E9" w:rsidP="00362814">
            <w:pPr>
              <w:pStyle w:val="cuatexto"/>
            </w:pPr>
            <w:r w:rsidRPr="001D4BF2">
              <w:t>Pamplona</w:t>
            </w:r>
          </w:p>
        </w:tc>
        <w:tc>
          <w:tcPr>
            <w:tcW w:w="1418" w:type="dxa"/>
            <w:tcBorders>
              <w:top w:val="single" w:sz="2" w:space="0" w:color="auto"/>
              <w:bottom w:val="single" w:sz="2" w:space="0" w:color="auto"/>
            </w:tcBorders>
            <w:vAlign w:val="center"/>
          </w:tcPr>
          <w:p w:rsidR="002E62E9" w:rsidRPr="00747271" w:rsidRDefault="002E62E9" w:rsidP="001D4BF2">
            <w:pPr>
              <w:pStyle w:val="cuatexto"/>
              <w:jc w:val="right"/>
            </w:pPr>
            <w:r>
              <w:t>Urbanizable</w:t>
            </w:r>
          </w:p>
        </w:tc>
        <w:tc>
          <w:tcPr>
            <w:tcW w:w="1417" w:type="dxa"/>
            <w:tcBorders>
              <w:top w:val="single" w:sz="2" w:space="0" w:color="auto"/>
              <w:bottom w:val="single" w:sz="2" w:space="0" w:color="auto"/>
            </w:tcBorders>
            <w:vAlign w:val="center"/>
          </w:tcPr>
          <w:p w:rsidR="001D0B9B" w:rsidRDefault="002E62E9" w:rsidP="001D4BF2">
            <w:pPr>
              <w:pStyle w:val="cuatexto"/>
              <w:jc w:val="right"/>
            </w:pPr>
            <w:r>
              <w:t xml:space="preserve">Dotacional </w:t>
            </w:r>
          </w:p>
          <w:p w:rsidR="002E62E9" w:rsidRPr="00747271" w:rsidRDefault="002E62E9" w:rsidP="001D4BF2">
            <w:pPr>
              <w:pStyle w:val="cuatexto"/>
              <w:jc w:val="right"/>
            </w:pPr>
            <w:r>
              <w:t>docente público</w:t>
            </w:r>
          </w:p>
        </w:tc>
        <w:tc>
          <w:tcPr>
            <w:tcW w:w="1237" w:type="dxa"/>
            <w:tcBorders>
              <w:top w:val="single" w:sz="2" w:space="0" w:color="auto"/>
              <w:bottom w:val="single" w:sz="2" w:space="0" w:color="auto"/>
            </w:tcBorders>
            <w:vAlign w:val="center"/>
          </w:tcPr>
          <w:p w:rsidR="002E62E9" w:rsidRPr="00747271" w:rsidRDefault="002E62E9" w:rsidP="001D4BF2">
            <w:pPr>
              <w:pStyle w:val="cuatexto"/>
              <w:jc w:val="right"/>
            </w:pPr>
            <w:r w:rsidRPr="00747271">
              <w:t>648.364</w:t>
            </w:r>
          </w:p>
        </w:tc>
        <w:tc>
          <w:tcPr>
            <w:tcW w:w="1374" w:type="dxa"/>
            <w:tcBorders>
              <w:top w:val="single" w:sz="2" w:space="0" w:color="auto"/>
              <w:bottom w:val="single" w:sz="2" w:space="0" w:color="auto"/>
            </w:tcBorders>
            <w:vAlign w:val="center"/>
          </w:tcPr>
          <w:p w:rsidR="002E62E9" w:rsidRPr="00747271" w:rsidRDefault="002E62E9" w:rsidP="001D4BF2">
            <w:pPr>
              <w:pStyle w:val="cuatexto"/>
              <w:jc w:val="right"/>
            </w:pPr>
            <w:r w:rsidRPr="00747271">
              <w:t>523.893</w:t>
            </w:r>
          </w:p>
        </w:tc>
        <w:tc>
          <w:tcPr>
            <w:tcW w:w="1160" w:type="dxa"/>
            <w:tcBorders>
              <w:top w:val="single" w:sz="2" w:space="0" w:color="auto"/>
              <w:bottom w:val="single" w:sz="2" w:space="0" w:color="auto"/>
            </w:tcBorders>
            <w:vAlign w:val="center"/>
          </w:tcPr>
          <w:p w:rsidR="002E62E9" w:rsidRPr="00747271" w:rsidRDefault="002E62E9" w:rsidP="001D4BF2">
            <w:pPr>
              <w:pStyle w:val="cuatexto"/>
              <w:jc w:val="right"/>
            </w:pPr>
            <w:r w:rsidRPr="00747271">
              <w:t>124.471</w:t>
            </w:r>
          </w:p>
        </w:tc>
      </w:tr>
      <w:tr w:rsidR="002E62E9" w:rsidRPr="00285041" w:rsidTr="00AC782A">
        <w:trPr>
          <w:trHeight w:val="170"/>
        </w:trPr>
        <w:tc>
          <w:tcPr>
            <w:tcW w:w="2480" w:type="dxa"/>
            <w:tcBorders>
              <w:top w:val="single" w:sz="2" w:space="0" w:color="auto"/>
              <w:bottom w:val="single" w:sz="2" w:space="0" w:color="auto"/>
            </w:tcBorders>
            <w:vAlign w:val="center"/>
          </w:tcPr>
          <w:p w:rsidR="002E62E9" w:rsidRPr="00747271" w:rsidRDefault="002E62E9" w:rsidP="001D4BF2">
            <w:pPr>
              <w:pStyle w:val="cuatexto"/>
            </w:pPr>
            <w:r w:rsidRPr="00747271">
              <w:t>Instalaciones Tajonar</w:t>
            </w:r>
          </w:p>
        </w:tc>
        <w:tc>
          <w:tcPr>
            <w:tcW w:w="1418" w:type="dxa"/>
            <w:tcBorders>
              <w:top w:val="single" w:sz="2" w:space="0" w:color="auto"/>
              <w:bottom w:val="single" w:sz="2" w:space="0" w:color="auto"/>
            </w:tcBorders>
            <w:vAlign w:val="center"/>
          </w:tcPr>
          <w:p w:rsidR="002E62E9" w:rsidRPr="00747271" w:rsidRDefault="002E62E9" w:rsidP="00A90586">
            <w:pPr>
              <w:pStyle w:val="cuatexto"/>
              <w:jc w:val="right"/>
            </w:pPr>
            <w:r>
              <w:t>Urbano</w:t>
            </w:r>
            <w:r w:rsidR="00A90586">
              <w:t xml:space="preserve"> c</w:t>
            </w:r>
            <w:r>
              <w:t>onsol</w:t>
            </w:r>
            <w:r w:rsidR="00A90586">
              <w:t>.</w:t>
            </w:r>
          </w:p>
        </w:tc>
        <w:tc>
          <w:tcPr>
            <w:tcW w:w="1417" w:type="dxa"/>
            <w:tcBorders>
              <w:top w:val="single" w:sz="2" w:space="0" w:color="auto"/>
              <w:bottom w:val="single" w:sz="2" w:space="0" w:color="auto"/>
            </w:tcBorders>
            <w:vAlign w:val="center"/>
          </w:tcPr>
          <w:p w:rsidR="002E62E9" w:rsidRPr="00747271" w:rsidRDefault="002E62E9" w:rsidP="00A90586">
            <w:pPr>
              <w:pStyle w:val="cuatexto"/>
              <w:jc w:val="right"/>
            </w:pPr>
            <w:r>
              <w:t>Dot</w:t>
            </w:r>
            <w:r w:rsidR="00A90586">
              <w:t>.</w:t>
            </w:r>
            <w:r>
              <w:t>deportivo</w:t>
            </w:r>
          </w:p>
        </w:tc>
        <w:tc>
          <w:tcPr>
            <w:tcW w:w="1237" w:type="dxa"/>
            <w:tcBorders>
              <w:top w:val="single" w:sz="2" w:space="0" w:color="auto"/>
              <w:bottom w:val="single" w:sz="2" w:space="0" w:color="auto"/>
            </w:tcBorders>
            <w:vAlign w:val="center"/>
          </w:tcPr>
          <w:p w:rsidR="002E62E9" w:rsidRPr="00747271" w:rsidRDefault="002E62E9" w:rsidP="001D4BF2">
            <w:pPr>
              <w:pStyle w:val="cuatexto"/>
              <w:jc w:val="right"/>
            </w:pPr>
            <w:r w:rsidRPr="00747271">
              <w:t>14.448.670</w:t>
            </w:r>
          </w:p>
        </w:tc>
        <w:tc>
          <w:tcPr>
            <w:tcW w:w="1374" w:type="dxa"/>
            <w:tcBorders>
              <w:top w:val="single" w:sz="2" w:space="0" w:color="auto"/>
              <w:bottom w:val="single" w:sz="2" w:space="0" w:color="auto"/>
            </w:tcBorders>
            <w:vAlign w:val="center"/>
          </w:tcPr>
          <w:p w:rsidR="002E62E9" w:rsidRPr="00747271" w:rsidRDefault="002E62E9" w:rsidP="001D4BF2">
            <w:pPr>
              <w:pStyle w:val="cuatexto"/>
              <w:jc w:val="right"/>
            </w:pPr>
            <w:r w:rsidRPr="00747271">
              <w:t>7.000.579</w:t>
            </w:r>
          </w:p>
        </w:tc>
        <w:tc>
          <w:tcPr>
            <w:tcW w:w="1160" w:type="dxa"/>
            <w:tcBorders>
              <w:top w:val="single" w:sz="2" w:space="0" w:color="auto"/>
              <w:bottom w:val="single" w:sz="2" w:space="0" w:color="auto"/>
            </w:tcBorders>
            <w:vAlign w:val="center"/>
          </w:tcPr>
          <w:p w:rsidR="002E62E9" w:rsidRPr="00747271" w:rsidRDefault="002E62E9" w:rsidP="001D4BF2">
            <w:pPr>
              <w:pStyle w:val="cuatexto"/>
              <w:jc w:val="right"/>
            </w:pPr>
            <w:r w:rsidRPr="00747271">
              <w:t>7.448.091</w:t>
            </w:r>
          </w:p>
        </w:tc>
      </w:tr>
      <w:tr w:rsidR="002E62E9" w:rsidRPr="00285041" w:rsidTr="00AC782A">
        <w:trPr>
          <w:trHeight w:val="170"/>
        </w:trPr>
        <w:tc>
          <w:tcPr>
            <w:tcW w:w="2480" w:type="dxa"/>
            <w:tcBorders>
              <w:top w:val="single" w:sz="2" w:space="0" w:color="auto"/>
              <w:bottom w:val="single" w:sz="2" w:space="0" w:color="auto"/>
            </w:tcBorders>
            <w:vAlign w:val="center"/>
          </w:tcPr>
          <w:p w:rsidR="002E62E9" w:rsidRPr="00747271" w:rsidRDefault="002E62E9" w:rsidP="00D663E4">
            <w:pPr>
              <w:pStyle w:val="cuatexto"/>
            </w:pPr>
            <w:r w:rsidRPr="00747271">
              <w:t xml:space="preserve">Solar </w:t>
            </w:r>
            <w:r>
              <w:t xml:space="preserve">futuro </w:t>
            </w:r>
            <w:r w:rsidRPr="00747271">
              <w:t>parque empr</w:t>
            </w:r>
            <w:r w:rsidR="00D663E4">
              <w:t>e</w:t>
            </w:r>
            <w:r w:rsidRPr="00747271">
              <w:t>sarial Tajonar</w:t>
            </w:r>
          </w:p>
        </w:tc>
        <w:tc>
          <w:tcPr>
            <w:tcW w:w="1418" w:type="dxa"/>
            <w:tcBorders>
              <w:top w:val="single" w:sz="2" w:space="0" w:color="auto"/>
              <w:bottom w:val="single" w:sz="2" w:space="0" w:color="auto"/>
            </w:tcBorders>
            <w:vAlign w:val="center"/>
          </w:tcPr>
          <w:p w:rsidR="002E62E9" w:rsidRPr="001B5078" w:rsidRDefault="002E62E9" w:rsidP="001B5078">
            <w:pPr>
              <w:pStyle w:val="cuatexto"/>
              <w:jc w:val="right"/>
              <w:rPr>
                <w:color w:val="FF0000"/>
              </w:rPr>
            </w:pPr>
            <w:r>
              <w:t>Urbano no consolidado</w:t>
            </w:r>
          </w:p>
        </w:tc>
        <w:tc>
          <w:tcPr>
            <w:tcW w:w="1417" w:type="dxa"/>
            <w:tcBorders>
              <w:top w:val="single" w:sz="2" w:space="0" w:color="auto"/>
              <w:bottom w:val="single" w:sz="2" w:space="0" w:color="auto"/>
            </w:tcBorders>
            <w:vAlign w:val="center"/>
          </w:tcPr>
          <w:p w:rsidR="001D0B9B" w:rsidRDefault="002E62E9" w:rsidP="001B5078">
            <w:pPr>
              <w:pStyle w:val="cuatexto"/>
              <w:jc w:val="right"/>
            </w:pPr>
            <w:r w:rsidRPr="002E62E9">
              <w:t xml:space="preserve">Actividades </w:t>
            </w:r>
          </w:p>
          <w:p w:rsidR="002E62E9" w:rsidRPr="002E62E9" w:rsidRDefault="002E62E9" w:rsidP="001B5078">
            <w:pPr>
              <w:pStyle w:val="cuatexto"/>
              <w:jc w:val="right"/>
            </w:pPr>
            <w:r w:rsidRPr="002E62E9">
              <w:t>económicas</w:t>
            </w:r>
          </w:p>
        </w:tc>
        <w:tc>
          <w:tcPr>
            <w:tcW w:w="1237" w:type="dxa"/>
            <w:tcBorders>
              <w:top w:val="single" w:sz="2" w:space="0" w:color="auto"/>
              <w:bottom w:val="single" w:sz="2" w:space="0" w:color="auto"/>
            </w:tcBorders>
            <w:vAlign w:val="center"/>
          </w:tcPr>
          <w:p w:rsidR="002E62E9" w:rsidRPr="00747271" w:rsidRDefault="002E62E9" w:rsidP="001B5078">
            <w:pPr>
              <w:pStyle w:val="cuatexto"/>
              <w:jc w:val="right"/>
            </w:pPr>
            <w:r w:rsidRPr="00A1290C">
              <w:t>4.002.312</w:t>
            </w:r>
          </w:p>
        </w:tc>
        <w:tc>
          <w:tcPr>
            <w:tcW w:w="1374" w:type="dxa"/>
            <w:tcBorders>
              <w:top w:val="single" w:sz="2" w:space="0" w:color="auto"/>
              <w:bottom w:val="single" w:sz="2" w:space="0" w:color="auto"/>
            </w:tcBorders>
            <w:vAlign w:val="center"/>
          </w:tcPr>
          <w:p w:rsidR="002E62E9" w:rsidRPr="00747271" w:rsidRDefault="002E62E9" w:rsidP="001D4BF2">
            <w:pPr>
              <w:pStyle w:val="cuatexto"/>
              <w:jc w:val="right"/>
            </w:pPr>
            <w:r w:rsidRPr="00747271">
              <w:t>6.472.575</w:t>
            </w:r>
          </w:p>
        </w:tc>
        <w:tc>
          <w:tcPr>
            <w:tcW w:w="1160" w:type="dxa"/>
            <w:tcBorders>
              <w:top w:val="single" w:sz="2" w:space="0" w:color="auto"/>
              <w:bottom w:val="single" w:sz="2" w:space="0" w:color="auto"/>
            </w:tcBorders>
            <w:vAlign w:val="center"/>
          </w:tcPr>
          <w:p w:rsidR="002E62E9" w:rsidRPr="00A1290C" w:rsidRDefault="002E62E9" w:rsidP="001B5078">
            <w:pPr>
              <w:pStyle w:val="cuatexto"/>
              <w:jc w:val="right"/>
            </w:pPr>
            <w:r w:rsidRPr="00A1290C">
              <w:t>-2.470.263</w:t>
            </w:r>
          </w:p>
        </w:tc>
      </w:tr>
      <w:tr w:rsidR="00A90586" w:rsidRPr="004D12B6" w:rsidTr="00AC782A">
        <w:trPr>
          <w:trHeight w:val="255"/>
        </w:trPr>
        <w:tc>
          <w:tcPr>
            <w:tcW w:w="3898" w:type="dxa"/>
            <w:gridSpan w:val="2"/>
            <w:tcBorders>
              <w:top w:val="single" w:sz="2" w:space="0" w:color="auto"/>
              <w:bottom w:val="single" w:sz="2" w:space="0" w:color="auto"/>
            </w:tcBorders>
            <w:shd w:val="clear" w:color="auto" w:fill="8DB3E2" w:themeFill="text2" w:themeFillTint="66"/>
            <w:vAlign w:val="center"/>
          </w:tcPr>
          <w:p w:rsidR="00A90586" w:rsidRPr="001B5078" w:rsidRDefault="00A90586" w:rsidP="00A90586">
            <w:pPr>
              <w:pStyle w:val="cuadroCabe"/>
              <w:rPr>
                <w:color w:val="FF0000"/>
              </w:rPr>
            </w:pPr>
            <w:r>
              <w:t>Total bienes c</w:t>
            </w:r>
            <w:r w:rsidRPr="001D4BF2">
              <w:t>lub</w:t>
            </w:r>
            <w:r>
              <w:t xml:space="preserve"> </w:t>
            </w:r>
            <w:r w:rsidRPr="001D4BF2">
              <w:t>Ley Foral 26/2014</w:t>
            </w:r>
          </w:p>
        </w:tc>
        <w:tc>
          <w:tcPr>
            <w:tcW w:w="1417" w:type="dxa"/>
            <w:tcBorders>
              <w:top w:val="single" w:sz="2" w:space="0" w:color="auto"/>
              <w:bottom w:val="single" w:sz="2" w:space="0" w:color="auto"/>
            </w:tcBorders>
            <w:shd w:val="clear" w:color="auto" w:fill="8DB3E2" w:themeFill="text2" w:themeFillTint="66"/>
            <w:vAlign w:val="center"/>
          </w:tcPr>
          <w:p w:rsidR="00A90586" w:rsidRPr="002E62E9" w:rsidRDefault="00A90586" w:rsidP="001B5078">
            <w:pPr>
              <w:pStyle w:val="cuadroCabe"/>
              <w:jc w:val="right"/>
            </w:pPr>
          </w:p>
        </w:tc>
        <w:tc>
          <w:tcPr>
            <w:tcW w:w="1237" w:type="dxa"/>
            <w:tcBorders>
              <w:top w:val="single" w:sz="2" w:space="0" w:color="auto"/>
              <w:bottom w:val="single" w:sz="2" w:space="0" w:color="auto"/>
            </w:tcBorders>
            <w:shd w:val="clear" w:color="auto" w:fill="8DB3E2" w:themeFill="text2" w:themeFillTint="66"/>
            <w:vAlign w:val="center"/>
          </w:tcPr>
          <w:p w:rsidR="00A90586" w:rsidRPr="00A1290C" w:rsidRDefault="00A90586" w:rsidP="001B5078">
            <w:pPr>
              <w:pStyle w:val="cuadroCabe"/>
              <w:jc w:val="right"/>
            </w:pPr>
            <w:r w:rsidRPr="00A1290C">
              <w:t>43.045.934</w:t>
            </w:r>
          </w:p>
        </w:tc>
        <w:tc>
          <w:tcPr>
            <w:tcW w:w="1374" w:type="dxa"/>
            <w:tcBorders>
              <w:top w:val="single" w:sz="2" w:space="0" w:color="auto"/>
              <w:bottom w:val="single" w:sz="2" w:space="0" w:color="auto"/>
            </w:tcBorders>
            <w:shd w:val="clear" w:color="auto" w:fill="8DB3E2" w:themeFill="text2" w:themeFillTint="66"/>
            <w:vAlign w:val="center"/>
          </w:tcPr>
          <w:p w:rsidR="00A90586" w:rsidRPr="00747271" w:rsidRDefault="00A90586" w:rsidP="001D4BF2">
            <w:pPr>
              <w:pStyle w:val="cuadroCabe"/>
              <w:jc w:val="right"/>
            </w:pPr>
            <w:r w:rsidRPr="00747271">
              <w:t>30.588.111</w:t>
            </w:r>
          </w:p>
        </w:tc>
        <w:tc>
          <w:tcPr>
            <w:tcW w:w="1160" w:type="dxa"/>
            <w:tcBorders>
              <w:top w:val="single" w:sz="2" w:space="0" w:color="auto"/>
              <w:bottom w:val="single" w:sz="2" w:space="0" w:color="auto"/>
            </w:tcBorders>
            <w:shd w:val="clear" w:color="auto" w:fill="8DB3E2" w:themeFill="text2" w:themeFillTint="66"/>
            <w:vAlign w:val="center"/>
          </w:tcPr>
          <w:p w:rsidR="00A90586" w:rsidRPr="00A1290C" w:rsidRDefault="00A90586" w:rsidP="001B5078">
            <w:pPr>
              <w:pStyle w:val="cuadroCabe"/>
              <w:jc w:val="right"/>
            </w:pPr>
            <w:r w:rsidRPr="00A1290C">
              <w:t>12.457.823</w:t>
            </w:r>
          </w:p>
        </w:tc>
      </w:tr>
      <w:tr w:rsidR="002E62E9" w:rsidRPr="004D12B6" w:rsidTr="00AC782A">
        <w:trPr>
          <w:trHeight w:val="255"/>
        </w:trPr>
        <w:tc>
          <w:tcPr>
            <w:tcW w:w="2480" w:type="dxa"/>
            <w:tcBorders>
              <w:top w:val="single" w:sz="2" w:space="0" w:color="auto"/>
              <w:bottom w:val="single" w:sz="4" w:space="0" w:color="auto"/>
            </w:tcBorders>
            <w:vAlign w:val="center"/>
          </w:tcPr>
          <w:p w:rsidR="002E62E9" w:rsidRPr="00FA7E49" w:rsidRDefault="002E62E9" w:rsidP="00876421">
            <w:pPr>
              <w:pStyle w:val="cuatexto"/>
            </w:pPr>
            <w:r w:rsidRPr="00FA7E49">
              <w:t>Solar UM-3 P1 Pamplona</w:t>
            </w:r>
          </w:p>
        </w:tc>
        <w:tc>
          <w:tcPr>
            <w:tcW w:w="1418" w:type="dxa"/>
            <w:tcBorders>
              <w:top w:val="single" w:sz="2" w:space="0" w:color="auto"/>
              <w:bottom w:val="single" w:sz="4" w:space="0" w:color="auto"/>
            </w:tcBorders>
            <w:vAlign w:val="center"/>
          </w:tcPr>
          <w:p w:rsidR="002E62E9" w:rsidRPr="001B5078" w:rsidRDefault="002E62E9" w:rsidP="00AC782A">
            <w:pPr>
              <w:pStyle w:val="cuatexto"/>
              <w:ind w:right="-70"/>
              <w:jc w:val="left"/>
              <w:rPr>
                <w:color w:val="FF0000"/>
              </w:rPr>
            </w:pPr>
            <w:r>
              <w:t>Urbano no cons</w:t>
            </w:r>
            <w:r w:rsidR="00AC782A">
              <w:t>.</w:t>
            </w:r>
          </w:p>
        </w:tc>
        <w:tc>
          <w:tcPr>
            <w:tcW w:w="1417" w:type="dxa"/>
            <w:tcBorders>
              <w:top w:val="single" w:sz="2" w:space="0" w:color="auto"/>
              <w:bottom w:val="single" w:sz="4" w:space="0" w:color="auto"/>
            </w:tcBorders>
            <w:vAlign w:val="center"/>
          </w:tcPr>
          <w:p w:rsidR="002E62E9" w:rsidRPr="002E62E9" w:rsidRDefault="00AC782A" w:rsidP="00AC782A">
            <w:pPr>
              <w:pStyle w:val="cuatexto"/>
              <w:jc w:val="right"/>
            </w:pPr>
            <w:r>
              <w:t xml:space="preserve">Act. </w:t>
            </w:r>
            <w:r w:rsidRPr="002E62E9">
              <w:t>E</w:t>
            </w:r>
            <w:r w:rsidR="002E62E9" w:rsidRPr="002E62E9">
              <w:t>con</w:t>
            </w:r>
            <w:r>
              <w:t>.</w:t>
            </w:r>
          </w:p>
        </w:tc>
        <w:tc>
          <w:tcPr>
            <w:tcW w:w="1237" w:type="dxa"/>
            <w:tcBorders>
              <w:top w:val="single" w:sz="2" w:space="0" w:color="auto"/>
              <w:bottom w:val="single" w:sz="4" w:space="0" w:color="auto"/>
            </w:tcBorders>
            <w:vAlign w:val="center"/>
          </w:tcPr>
          <w:p w:rsidR="002E62E9" w:rsidRPr="00A1290C" w:rsidRDefault="002E62E9" w:rsidP="001B5078">
            <w:pPr>
              <w:pStyle w:val="cuatexto"/>
              <w:jc w:val="right"/>
            </w:pPr>
            <w:r w:rsidRPr="00A1290C">
              <w:t>4.002.852</w:t>
            </w:r>
          </w:p>
        </w:tc>
        <w:tc>
          <w:tcPr>
            <w:tcW w:w="1374" w:type="dxa"/>
            <w:tcBorders>
              <w:top w:val="single" w:sz="2" w:space="0" w:color="auto"/>
              <w:bottom w:val="single" w:sz="4" w:space="0" w:color="auto"/>
            </w:tcBorders>
            <w:vAlign w:val="center"/>
          </w:tcPr>
          <w:p w:rsidR="002E62E9" w:rsidRPr="00747271" w:rsidRDefault="002E62E9" w:rsidP="001D4BF2">
            <w:pPr>
              <w:pStyle w:val="cuatexto"/>
              <w:jc w:val="right"/>
            </w:pPr>
            <w:r w:rsidRPr="00747271">
              <w:t>5.169.354</w:t>
            </w:r>
          </w:p>
        </w:tc>
        <w:tc>
          <w:tcPr>
            <w:tcW w:w="1160" w:type="dxa"/>
            <w:tcBorders>
              <w:top w:val="single" w:sz="2" w:space="0" w:color="auto"/>
              <w:bottom w:val="single" w:sz="4" w:space="0" w:color="auto"/>
            </w:tcBorders>
            <w:vAlign w:val="center"/>
          </w:tcPr>
          <w:p w:rsidR="002E62E9" w:rsidRPr="00747271" w:rsidRDefault="002E62E9" w:rsidP="001B5078">
            <w:pPr>
              <w:pStyle w:val="cuatexto"/>
              <w:jc w:val="right"/>
            </w:pPr>
            <w:r w:rsidRPr="00A1290C">
              <w:t>-1.166.502</w:t>
            </w:r>
          </w:p>
        </w:tc>
      </w:tr>
      <w:tr w:rsidR="002E62E9" w:rsidRPr="004D12B6" w:rsidTr="00AC782A">
        <w:trPr>
          <w:trHeight w:val="255"/>
        </w:trPr>
        <w:tc>
          <w:tcPr>
            <w:tcW w:w="2480" w:type="dxa"/>
            <w:tcBorders>
              <w:top w:val="single" w:sz="4" w:space="0" w:color="auto"/>
              <w:bottom w:val="single" w:sz="4" w:space="0" w:color="auto"/>
            </w:tcBorders>
            <w:shd w:val="clear" w:color="auto" w:fill="8DB3E2" w:themeFill="text2" w:themeFillTint="66"/>
            <w:vAlign w:val="center"/>
          </w:tcPr>
          <w:p w:rsidR="002E62E9" w:rsidRPr="001D4BF2" w:rsidRDefault="002E62E9" w:rsidP="00E404B2">
            <w:pPr>
              <w:pStyle w:val="cuadroCabe"/>
              <w:jc w:val="left"/>
            </w:pPr>
            <w:r w:rsidRPr="001D4BF2">
              <w:t xml:space="preserve">Total bienes </w:t>
            </w:r>
            <w:r w:rsidR="00E404B2">
              <w:t>c</w:t>
            </w:r>
            <w:r w:rsidRPr="001D4BF2">
              <w:t>lub</w:t>
            </w:r>
          </w:p>
        </w:tc>
        <w:tc>
          <w:tcPr>
            <w:tcW w:w="1418" w:type="dxa"/>
            <w:tcBorders>
              <w:top w:val="single" w:sz="4" w:space="0" w:color="auto"/>
              <w:bottom w:val="single" w:sz="4" w:space="0" w:color="auto"/>
            </w:tcBorders>
            <w:shd w:val="clear" w:color="auto" w:fill="8DB3E2" w:themeFill="text2" w:themeFillTint="66"/>
            <w:vAlign w:val="center"/>
          </w:tcPr>
          <w:p w:rsidR="002E62E9" w:rsidRPr="00747271" w:rsidRDefault="002E62E9" w:rsidP="001D4BF2">
            <w:pPr>
              <w:pStyle w:val="cuadroCabe"/>
              <w:jc w:val="right"/>
            </w:pPr>
          </w:p>
        </w:tc>
        <w:tc>
          <w:tcPr>
            <w:tcW w:w="1417" w:type="dxa"/>
            <w:tcBorders>
              <w:top w:val="single" w:sz="4" w:space="0" w:color="auto"/>
              <w:bottom w:val="single" w:sz="4" w:space="0" w:color="auto"/>
            </w:tcBorders>
            <w:shd w:val="clear" w:color="auto" w:fill="8DB3E2" w:themeFill="text2" w:themeFillTint="66"/>
            <w:vAlign w:val="center"/>
          </w:tcPr>
          <w:p w:rsidR="002E62E9" w:rsidRPr="00747271" w:rsidRDefault="002E62E9" w:rsidP="001D4BF2">
            <w:pPr>
              <w:pStyle w:val="cuadroCabe"/>
              <w:jc w:val="right"/>
            </w:pPr>
          </w:p>
        </w:tc>
        <w:tc>
          <w:tcPr>
            <w:tcW w:w="1237" w:type="dxa"/>
            <w:tcBorders>
              <w:top w:val="single" w:sz="4" w:space="0" w:color="auto"/>
              <w:bottom w:val="single" w:sz="4" w:space="0" w:color="auto"/>
            </w:tcBorders>
            <w:shd w:val="clear" w:color="auto" w:fill="8DB3E2" w:themeFill="text2" w:themeFillTint="66"/>
            <w:vAlign w:val="center"/>
          </w:tcPr>
          <w:p w:rsidR="002E62E9" w:rsidRPr="00747271" w:rsidRDefault="002E62E9" w:rsidP="001D4BF2">
            <w:pPr>
              <w:pStyle w:val="cuadroCabe"/>
              <w:jc w:val="right"/>
            </w:pPr>
            <w:r w:rsidRPr="00747271">
              <w:t>47.048.786</w:t>
            </w:r>
          </w:p>
        </w:tc>
        <w:tc>
          <w:tcPr>
            <w:tcW w:w="1374" w:type="dxa"/>
            <w:tcBorders>
              <w:top w:val="single" w:sz="4" w:space="0" w:color="auto"/>
              <w:bottom w:val="single" w:sz="4" w:space="0" w:color="auto"/>
            </w:tcBorders>
            <w:shd w:val="clear" w:color="auto" w:fill="8DB3E2" w:themeFill="text2" w:themeFillTint="66"/>
            <w:vAlign w:val="center"/>
          </w:tcPr>
          <w:p w:rsidR="002E62E9" w:rsidRPr="00747271" w:rsidRDefault="002E62E9" w:rsidP="001D4BF2">
            <w:pPr>
              <w:pStyle w:val="cuadroCabe"/>
              <w:jc w:val="right"/>
            </w:pPr>
            <w:r w:rsidRPr="00747271">
              <w:t>35.757.465</w:t>
            </w:r>
          </w:p>
        </w:tc>
        <w:tc>
          <w:tcPr>
            <w:tcW w:w="1160" w:type="dxa"/>
            <w:tcBorders>
              <w:top w:val="single" w:sz="4" w:space="0" w:color="auto"/>
              <w:bottom w:val="single" w:sz="4" w:space="0" w:color="auto"/>
            </w:tcBorders>
            <w:shd w:val="clear" w:color="auto" w:fill="8DB3E2" w:themeFill="text2" w:themeFillTint="66"/>
            <w:vAlign w:val="center"/>
          </w:tcPr>
          <w:p w:rsidR="002E62E9" w:rsidRPr="00747271" w:rsidRDefault="002E62E9" w:rsidP="001D4BF2">
            <w:pPr>
              <w:pStyle w:val="cuadroCabe"/>
              <w:jc w:val="right"/>
            </w:pPr>
            <w:r w:rsidRPr="00747271">
              <w:t>11.291.321</w:t>
            </w:r>
          </w:p>
        </w:tc>
      </w:tr>
    </w:tbl>
    <w:p w:rsidR="001D4BF2" w:rsidRDefault="00400773" w:rsidP="00AC782A">
      <w:pPr>
        <w:pStyle w:val="texto"/>
        <w:tabs>
          <w:tab w:val="clear" w:pos="2835"/>
          <w:tab w:val="clear" w:pos="3969"/>
          <w:tab w:val="clear" w:pos="5103"/>
          <w:tab w:val="clear" w:pos="6237"/>
          <w:tab w:val="clear" w:pos="7371"/>
        </w:tabs>
        <w:spacing w:before="240"/>
        <w:rPr>
          <w:szCs w:val="26"/>
        </w:rPr>
      </w:pPr>
      <w:r>
        <w:rPr>
          <w:szCs w:val="26"/>
        </w:rPr>
        <w:t>Es decir, se observa una diferencia</w:t>
      </w:r>
      <w:r w:rsidR="00663B71">
        <w:rPr>
          <w:szCs w:val="26"/>
        </w:rPr>
        <w:t xml:space="preserve"> </w:t>
      </w:r>
      <w:r w:rsidR="00F9595A">
        <w:rPr>
          <w:szCs w:val="26"/>
        </w:rPr>
        <w:t>neta</w:t>
      </w:r>
      <w:r>
        <w:rPr>
          <w:szCs w:val="26"/>
        </w:rPr>
        <w:t xml:space="preserve"> de valoración </w:t>
      </w:r>
      <w:r w:rsidR="00663B71">
        <w:rPr>
          <w:szCs w:val="26"/>
        </w:rPr>
        <w:t>a favor de la tasación privada en</w:t>
      </w:r>
      <w:r>
        <w:rPr>
          <w:szCs w:val="26"/>
        </w:rPr>
        <w:t xml:space="preserve"> los bienes incluidos en la Ley Foral en torno a los 12,46 millones; si consideramos el solar excluido en la relación de bienes de la misma, esa diferencia </w:t>
      </w:r>
      <w:r w:rsidR="00037F6A">
        <w:rPr>
          <w:szCs w:val="26"/>
        </w:rPr>
        <w:t>se reduce a</w:t>
      </w:r>
      <w:r>
        <w:rPr>
          <w:szCs w:val="26"/>
        </w:rPr>
        <w:t xml:space="preserve"> 11,29 millones.</w:t>
      </w:r>
    </w:p>
    <w:p w:rsidR="00A93C3E" w:rsidRDefault="00F9595A" w:rsidP="002B1F9B">
      <w:pPr>
        <w:pStyle w:val="texto"/>
        <w:tabs>
          <w:tab w:val="clear" w:pos="2835"/>
          <w:tab w:val="clear" w:pos="3969"/>
          <w:tab w:val="clear" w:pos="5103"/>
          <w:tab w:val="clear" w:pos="6237"/>
          <w:tab w:val="clear" w:pos="7371"/>
        </w:tabs>
        <w:rPr>
          <w:szCs w:val="26"/>
        </w:rPr>
      </w:pPr>
      <w:r>
        <w:rPr>
          <w:szCs w:val="26"/>
        </w:rPr>
        <w:t>Las diferencias observadas</w:t>
      </w:r>
      <w:r w:rsidR="00A93C3E">
        <w:rPr>
          <w:szCs w:val="26"/>
        </w:rPr>
        <w:t xml:space="preserve"> proceden </w:t>
      </w:r>
      <w:r w:rsidR="00663B71">
        <w:rPr>
          <w:szCs w:val="26"/>
        </w:rPr>
        <w:t xml:space="preserve">fundamentalmente de la utilización de distintos </w:t>
      </w:r>
      <w:r w:rsidR="00EA1A5D">
        <w:rPr>
          <w:szCs w:val="26"/>
        </w:rPr>
        <w:t xml:space="preserve">métodos o </w:t>
      </w:r>
      <w:r w:rsidR="00663B71">
        <w:rPr>
          <w:szCs w:val="26"/>
        </w:rPr>
        <w:t>criterios de tasación</w:t>
      </w:r>
      <w:r w:rsidR="00AF6EEF">
        <w:rPr>
          <w:szCs w:val="26"/>
        </w:rPr>
        <w:t xml:space="preserve">; </w:t>
      </w:r>
      <w:r w:rsidR="00663B71">
        <w:rPr>
          <w:szCs w:val="26"/>
        </w:rPr>
        <w:t>así:</w:t>
      </w:r>
    </w:p>
    <w:p w:rsidR="00663B71" w:rsidRDefault="00861F2A" w:rsidP="002B1F9B">
      <w:pPr>
        <w:pStyle w:val="texto"/>
        <w:tabs>
          <w:tab w:val="clear" w:pos="2835"/>
          <w:tab w:val="clear" w:pos="3969"/>
          <w:tab w:val="clear" w:pos="5103"/>
          <w:tab w:val="clear" w:pos="6237"/>
          <w:tab w:val="clear" w:pos="7371"/>
        </w:tabs>
        <w:rPr>
          <w:szCs w:val="26"/>
        </w:rPr>
      </w:pPr>
      <w:r>
        <w:rPr>
          <w:szCs w:val="26"/>
        </w:rPr>
        <w:t xml:space="preserve">a) </w:t>
      </w:r>
      <w:r w:rsidR="00663B71">
        <w:rPr>
          <w:szCs w:val="26"/>
        </w:rPr>
        <w:t>Estadio de El Sadar. La tasación privada aplica el criterio de valor de reposición o reemplazamiento</w:t>
      </w:r>
      <w:r w:rsidR="002473F8">
        <w:rPr>
          <w:szCs w:val="26"/>
        </w:rPr>
        <w:t xml:space="preserve"> de un estadio; para ello</w:t>
      </w:r>
      <w:r w:rsidR="00D57390">
        <w:rPr>
          <w:szCs w:val="26"/>
        </w:rPr>
        <w:t>, al suelo</w:t>
      </w:r>
      <w:r w:rsidR="002473F8">
        <w:rPr>
          <w:szCs w:val="26"/>
        </w:rPr>
        <w:t xml:space="preserve"> se le aplica el valor máximo de repercusión de vivienda protegida y, a la construcción, el coste medio </w:t>
      </w:r>
      <w:r w:rsidR="00F9595A">
        <w:rPr>
          <w:szCs w:val="26"/>
        </w:rPr>
        <w:t xml:space="preserve">de construcción </w:t>
      </w:r>
      <w:r w:rsidR="002473F8">
        <w:rPr>
          <w:szCs w:val="26"/>
        </w:rPr>
        <w:t xml:space="preserve">por espectador obtenido </w:t>
      </w:r>
      <w:r w:rsidR="00F9595A">
        <w:rPr>
          <w:szCs w:val="26"/>
        </w:rPr>
        <w:t>de</w:t>
      </w:r>
      <w:r w:rsidR="002473F8">
        <w:rPr>
          <w:szCs w:val="26"/>
        </w:rPr>
        <w:t xml:space="preserve"> la </w:t>
      </w:r>
      <w:r w:rsidR="000A4A9C">
        <w:rPr>
          <w:szCs w:val="26"/>
        </w:rPr>
        <w:t xml:space="preserve">nueva </w:t>
      </w:r>
      <w:r w:rsidR="002473F8">
        <w:rPr>
          <w:szCs w:val="26"/>
        </w:rPr>
        <w:t>construcción de cinco estadios de fútbol</w:t>
      </w:r>
      <w:r w:rsidR="00761AAC">
        <w:rPr>
          <w:szCs w:val="26"/>
        </w:rPr>
        <w:t xml:space="preserve"> corregido por su antigüedad</w:t>
      </w:r>
      <w:r w:rsidR="002473F8">
        <w:rPr>
          <w:szCs w:val="26"/>
        </w:rPr>
        <w:t>. En el informe de Hacienda, el valor del suelo se estima según coeficientes del INE y, el de la construcción, por su valor histórico corregido por un coeficiente de antigüedad.</w:t>
      </w:r>
    </w:p>
    <w:p w:rsidR="002473F8" w:rsidRDefault="002473F8" w:rsidP="002B1F9B">
      <w:pPr>
        <w:pStyle w:val="texto"/>
        <w:tabs>
          <w:tab w:val="clear" w:pos="2835"/>
          <w:tab w:val="clear" w:pos="3969"/>
          <w:tab w:val="clear" w:pos="5103"/>
          <w:tab w:val="clear" w:pos="6237"/>
          <w:tab w:val="clear" w:pos="7371"/>
        </w:tabs>
        <w:rPr>
          <w:szCs w:val="26"/>
        </w:rPr>
      </w:pPr>
      <w:r>
        <w:rPr>
          <w:szCs w:val="26"/>
        </w:rPr>
        <w:t xml:space="preserve">En cuanto a </w:t>
      </w:r>
      <w:r w:rsidR="00362814">
        <w:rPr>
          <w:szCs w:val="26"/>
        </w:rPr>
        <w:t>metros cuadrados</w:t>
      </w:r>
      <w:r w:rsidR="00572BC0">
        <w:rPr>
          <w:szCs w:val="26"/>
        </w:rPr>
        <w:t xml:space="preserve">, el informe privado se aplica sobre </w:t>
      </w:r>
      <w:r>
        <w:rPr>
          <w:szCs w:val="26"/>
        </w:rPr>
        <w:t>los</w:t>
      </w:r>
      <w:r w:rsidR="00F9595A">
        <w:rPr>
          <w:szCs w:val="26"/>
        </w:rPr>
        <w:t xml:space="preserve"> </w:t>
      </w:r>
      <w:r w:rsidR="00D57390">
        <w:rPr>
          <w:szCs w:val="26"/>
        </w:rPr>
        <w:t>de construcción, en tanto</w:t>
      </w:r>
      <w:r>
        <w:rPr>
          <w:szCs w:val="26"/>
        </w:rPr>
        <w:t xml:space="preserve"> que en el de </w:t>
      </w:r>
      <w:r w:rsidR="00572BC0">
        <w:rPr>
          <w:szCs w:val="26"/>
        </w:rPr>
        <w:t>H</w:t>
      </w:r>
      <w:r>
        <w:rPr>
          <w:szCs w:val="26"/>
        </w:rPr>
        <w:t xml:space="preserve">acienda, se </w:t>
      </w:r>
      <w:r w:rsidR="00572BC0">
        <w:rPr>
          <w:szCs w:val="26"/>
        </w:rPr>
        <w:t>calcula</w:t>
      </w:r>
      <w:r>
        <w:rPr>
          <w:szCs w:val="26"/>
        </w:rPr>
        <w:t xml:space="preserve"> sobre</w:t>
      </w:r>
      <w:r w:rsidR="00572BC0">
        <w:rPr>
          <w:szCs w:val="26"/>
        </w:rPr>
        <w:t xml:space="preserve"> el de total de m</w:t>
      </w:r>
      <w:r w:rsidR="00572BC0" w:rsidRPr="00D663E4">
        <w:rPr>
          <w:szCs w:val="26"/>
          <w:vertAlign w:val="superscript"/>
        </w:rPr>
        <w:t>2</w:t>
      </w:r>
      <w:r w:rsidR="00572BC0">
        <w:rPr>
          <w:szCs w:val="26"/>
        </w:rPr>
        <w:t xml:space="preserve"> de la parcela (suelo más construcción).</w:t>
      </w:r>
    </w:p>
    <w:p w:rsidR="00572BC0" w:rsidRDefault="00861F2A" w:rsidP="002B1F9B">
      <w:pPr>
        <w:pStyle w:val="texto"/>
        <w:tabs>
          <w:tab w:val="clear" w:pos="2835"/>
          <w:tab w:val="clear" w:pos="3969"/>
          <w:tab w:val="clear" w:pos="5103"/>
          <w:tab w:val="clear" w:pos="6237"/>
          <w:tab w:val="clear" w:pos="7371"/>
        </w:tabs>
        <w:rPr>
          <w:szCs w:val="26"/>
        </w:rPr>
      </w:pPr>
      <w:r>
        <w:rPr>
          <w:szCs w:val="26"/>
        </w:rPr>
        <w:t xml:space="preserve">b) </w:t>
      </w:r>
      <w:r w:rsidR="00572BC0">
        <w:rPr>
          <w:szCs w:val="26"/>
        </w:rPr>
        <w:t>Pisos de Iturrrama. El informe privado aplica el método de comparación de venta de inmuebles semejantes según los m</w:t>
      </w:r>
      <w:r w:rsidR="00572BC0" w:rsidRPr="00D663E4">
        <w:rPr>
          <w:szCs w:val="26"/>
          <w:vertAlign w:val="superscript"/>
        </w:rPr>
        <w:t>2</w:t>
      </w:r>
      <w:r w:rsidR="00572BC0">
        <w:rPr>
          <w:szCs w:val="26"/>
        </w:rPr>
        <w:t xml:space="preserve"> útiles. El informe de Hacienda, el método estadístico de estimación sobre los m</w:t>
      </w:r>
      <w:r w:rsidR="00572BC0" w:rsidRPr="00D663E4">
        <w:rPr>
          <w:szCs w:val="26"/>
          <w:vertAlign w:val="superscript"/>
        </w:rPr>
        <w:t>2</w:t>
      </w:r>
      <w:r w:rsidR="00572BC0">
        <w:rPr>
          <w:szCs w:val="26"/>
        </w:rPr>
        <w:t xml:space="preserve"> construidos; con este método se calcula el valor de los pisos por su ubicación, antigüedad, altura, estado y superficie, corregido por un coeficiente corrector de mercado. </w:t>
      </w:r>
    </w:p>
    <w:p w:rsidR="00572BC0" w:rsidRDefault="00861F2A" w:rsidP="002B1F9B">
      <w:pPr>
        <w:pStyle w:val="texto"/>
        <w:tabs>
          <w:tab w:val="clear" w:pos="2835"/>
          <w:tab w:val="clear" w:pos="3969"/>
          <w:tab w:val="clear" w:pos="5103"/>
          <w:tab w:val="clear" w:pos="6237"/>
          <w:tab w:val="clear" w:pos="7371"/>
        </w:tabs>
      </w:pPr>
      <w:r>
        <w:rPr>
          <w:szCs w:val="26"/>
        </w:rPr>
        <w:t xml:space="preserve">c) </w:t>
      </w:r>
      <w:r w:rsidR="00572BC0" w:rsidRPr="001D4BF2">
        <w:t>Suelo U.I. XXIII SO-1 Pamplona</w:t>
      </w:r>
      <w:r w:rsidR="00572BC0">
        <w:t>. El privado aplica el método</w:t>
      </w:r>
      <w:r w:rsidR="002B2891">
        <w:t xml:space="preserve"> d</w:t>
      </w:r>
      <w:r w:rsidR="00572BC0">
        <w:t>e valor residual dinámico</w:t>
      </w:r>
      <w:r w:rsidR="002B2891">
        <w:t xml:space="preserve"> sobre los m</w:t>
      </w:r>
      <w:r w:rsidR="002B2891" w:rsidRPr="00D663E4">
        <w:rPr>
          <w:vertAlign w:val="superscript"/>
        </w:rPr>
        <w:t>2</w:t>
      </w:r>
      <w:r w:rsidR="002B2891">
        <w:t xml:space="preserve"> registrados, es decir, el valor máximo de venta de una promoción de vivienda protegida menos los de costes de gestión urbanística y de construcción. El informe de Hacienda, dado el carácter de rústico del mismo, aplica el valor de fincas semejantes sobre los m</w:t>
      </w:r>
      <w:r w:rsidR="002B2891" w:rsidRPr="00D663E4">
        <w:rPr>
          <w:vertAlign w:val="superscript"/>
        </w:rPr>
        <w:t>2</w:t>
      </w:r>
      <w:r w:rsidR="002B2891">
        <w:t xml:space="preserve"> según catastro.</w:t>
      </w:r>
    </w:p>
    <w:p w:rsidR="00EA1A5D" w:rsidRDefault="00EA1A5D" w:rsidP="00EA1A5D">
      <w:pPr>
        <w:pStyle w:val="texto"/>
        <w:tabs>
          <w:tab w:val="clear" w:pos="2835"/>
          <w:tab w:val="clear" w:pos="3969"/>
          <w:tab w:val="clear" w:pos="5103"/>
          <w:tab w:val="clear" w:pos="6237"/>
          <w:tab w:val="clear" w:pos="7371"/>
        </w:tabs>
        <w:rPr>
          <w:szCs w:val="26"/>
        </w:rPr>
      </w:pPr>
      <w:r>
        <w:t>d)</w:t>
      </w:r>
      <w:r w:rsidR="00861F2A">
        <w:t xml:space="preserve"> </w:t>
      </w:r>
      <w:r>
        <w:t>Instalaciones de Tajonar. La tasadora privada utiliza el método de reposición sobre los m</w:t>
      </w:r>
      <w:r w:rsidRPr="00D663E4">
        <w:rPr>
          <w:vertAlign w:val="superscript"/>
        </w:rPr>
        <w:t>2</w:t>
      </w:r>
      <w:r>
        <w:t xml:space="preserve"> del proyecto; es decir, el valor de repercusión máximo de una hipotética promoción de vivienda protegida más el coste de la construcción de las instalaciones. El informe de Hacienda aplica, sobre los m</w:t>
      </w:r>
      <w:r w:rsidRPr="00D663E4">
        <w:rPr>
          <w:vertAlign w:val="superscript"/>
        </w:rPr>
        <w:t>2</w:t>
      </w:r>
      <w:r>
        <w:t xml:space="preserve"> del ámbito de actuación, para una parte de la parcela su valor catastral</w:t>
      </w:r>
      <w:r w:rsidR="001075C1">
        <w:t xml:space="preserve"> –dado que no hay construcción</w:t>
      </w:r>
      <w:r w:rsidR="00D663E4">
        <w:t>–</w:t>
      </w:r>
      <w:r>
        <w:t xml:space="preserve"> y, para la parte construida, </w:t>
      </w:r>
      <w:r>
        <w:rPr>
          <w:szCs w:val="26"/>
        </w:rPr>
        <w:t>el valor del suelo según coeficientes del INE y, el de la construcción, por su valor histórico corregido por un coeficiente de antigüedad.</w:t>
      </w:r>
    </w:p>
    <w:p w:rsidR="00B057A6" w:rsidRDefault="00861F2A" w:rsidP="00EA1A5D">
      <w:pPr>
        <w:pStyle w:val="texto"/>
        <w:tabs>
          <w:tab w:val="clear" w:pos="2835"/>
          <w:tab w:val="clear" w:pos="3969"/>
          <w:tab w:val="clear" w:pos="5103"/>
          <w:tab w:val="clear" w:pos="6237"/>
          <w:tab w:val="clear" w:pos="7371"/>
        </w:tabs>
        <w:rPr>
          <w:szCs w:val="26"/>
        </w:rPr>
      </w:pPr>
      <w:r>
        <w:rPr>
          <w:szCs w:val="26"/>
        </w:rPr>
        <w:t xml:space="preserve">e) </w:t>
      </w:r>
      <w:r w:rsidR="00EA1A5D">
        <w:rPr>
          <w:szCs w:val="26"/>
        </w:rPr>
        <w:t>Solar futuro parque empresarial de Tajonar. El informe privado aplica, sobre los m</w:t>
      </w:r>
      <w:r w:rsidR="00EA1A5D" w:rsidRPr="00D663E4">
        <w:rPr>
          <w:szCs w:val="26"/>
          <w:vertAlign w:val="superscript"/>
        </w:rPr>
        <w:t>2</w:t>
      </w:r>
      <w:r w:rsidR="00EA1A5D">
        <w:rPr>
          <w:szCs w:val="26"/>
        </w:rPr>
        <w:t xml:space="preserve"> registrales, el valor de venta de una hipotética promoción de locales y garajes menos los gastos de gestión urbanística y de construcción. Hacienda, sobre los m</w:t>
      </w:r>
      <w:r w:rsidR="00EA1A5D" w:rsidRPr="00D663E4">
        <w:rPr>
          <w:szCs w:val="26"/>
          <w:vertAlign w:val="superscript"/>
        </w:rPr>
        <w:t>2</w:t>
      </w:r>
      <w:r w:rsidR="00EA1A5D">
        <w:rPr>
          <w:szCs w:val="26"/>
        </w:rPr>
        <w:t xml:space="preserve"> de catastro, </w:t>
      </w:r>
      <w:r w:rsidR="00B057A6">
        <w:rPr>
          <w:szCs w:val="26"/>
        </w:rPr>
        <w:t>el valor de mercado del producto inmobiliario para los usos admitidos menos sus costes de ejecución material.</w:t>
      </w:r>
    </w:p>
    <w:p w:rsidR="00EA1A5D" w:rsidRDefault="00861F2A" w:rsidP="00EA1A5D">
      <w:pPr>
        <w:pStyle w:val="texto"/>
        <w:tabs>
          <w:tab w:val="clear" w:pos="2835"/>
          <w:tab w:val="clear" w:pos="3969"/>
          <w:tab w:val="clear" w:pos="5103"/>
          <w:tab w:val="clear" w:pos="6237"/>
          <w:tab w:val="clear" w:pos="7371"/>
        </w:tabs>
        <w:rPr>
          <w:szCs w:val="26"/>
        </w:rPr>
      </w:pPr>
      <w:r>
        <w:rPr>
          <w:szCs w:val="26"/>
        </w:rPr>
        <w:t xml:space="preserve">f) </w:t>
      </w:r>
      <w:r w:rsidR="00B057A6" w:rsidRPr="00FA7E49">
        <w:t>Solar UM-3 P1 Pamplona</w:t>
      </w:r>
      <w:r w:rsidR="00113466">
        <w:t xml:space="preserve"> (no incluido en la Ley Foral 2672014)</w:t>
      </w:r>
      <w:r w:rsidR="00B057A6">
        <w:t>. La empresa privada aplica, para los m</w:t>
      </w:r>
      <w:r w:rsidR="00B057A6" w:rsidRPr="00D663E4">
        <w:rPr>
          <w:vertAlign w:val="superscript"/>
        </w:rPr>
        <w:t>2</w:t>
      </w:r>
      <w:r w:rsidR="00B057A6">
        <w:t xml:space="preserve"> según el registro, la repercusión del suelo de una promoción de vivienda protegida. Hacienda, sobre los m</w:t>
      </w:r>
      <w:r w:rsidR="00B057A6" w:rsidRPr="00D663E4">
        <w:rPr>
          <w:vertAlign w:val="superscript"/>
        </w:rPr>
        <w:t>2</w:t>
      </w:r>
      <w:r w:rsidR="00B057A6">
        <w:t xml:space="preserve"> según el catastro, el valor de repercusión medio del conjunto de usos admitidos.</w:t>
      </w:r>
    </w:p>
    <w:p w:rsidR="00A93C3E" w:rsidRDefault="00F9595A" w:rsidP="008A6963">
      <w:pPr>
        <w:pStyle w:val="texto"/>
        <w:tabs>
          <w:tab w:val="clear" w:pos="2835"/>
          <w:tab w:val="clear" w:pos="3969"/>
          <w:tab w:val="clear" w:pos="5103"/>
          <w:tab w:val="clear" w:pos="6237"/>
          <w:tab w:val="clear" w:pos="7371"/>
        </w:tabs>
        <w:rPr>
          <w:szCs w:val="26"/>
        </w:rPr>
      </w:pPr>
      <w:r>
        <w:rPr>
          <w:szCs w:val="26"/>
        </w:rPr>
        <w:t>En conclusión, la diferencias observadas su sustentan en que el informe de tasación</w:t>
      </w:r>
      <w:r w:rsidR="00192848">
        <w:rPr>
          <w:szCs w:val="26"/>
        </w:rPr>
        <w:t xml:space="preserve"> privada se apoya </w:t>
      </w:r>
      <w:r w:rsidR="001064A4">
        <w:rPr>
          <w:szCs w:val="26"/>
        </w:rPr>
        <w:t xml:space="preserve">en </w:t>
      </w:r>
      <w:r w:rsidR="00F16C06">
        <w:rPr>
          <w:szCs w:val="26"/>
        </w:rPr>
        <w:t>criterios de mercado</w:t>
      </w:r>
      <w:r w:rsidR="001064A4">
        <w:rPr>
          <w:szCs w:val="26"/>
        </w:rPr>
        <w:t xml:space="preserve"> y </w:t>
      </w:r>
      <w:r>
        <w:rPr>
          <w:szCs w:val="26"/>
        </w:rPr>
        <w:t xml:space="preserve">en la consideración </w:t>
      </w:r>
      <w:r w:rsidR="008700BE">
        <w:rPr>
          <w:szCs w:val="26"/>
        </w:rPr>
        <w:t xml:space="preserve">para la valoración del suelo </w:t>
      </w:r>
      <w:r>
        <w:rPr>
          <w:szCs w:val="26"/>
        </w:rPr>
        <w:t>de una hipotética promoción de vivienda protegida con independencia del uso característico previsto en la normativa urbanística para las unidades valoradas.</w:t>
      </w:r>
      <w:r w:rsidR="00192848">
        <w:rPr>
          <w:szCs w:val="26"/>
        </w:rPr>
        <w:t xml:space="preserve"> </w:t>
      </w:r>
      <w:r w:rsidR="004E67DC">
        <w:rPr>
          <w:szCs w:val="26"/>
        </w:rPr>
        <w:t>En el</w:t>
      </w:r>
      <w:r w:rsidR="00192848">
        <w:rPr>
          <w:szCs w:val="26"/>
        </w:rPr>
        <w:t xml:space="preserve"> informe de la HTN</w:t>
      </w:r>
      <w:r w:rsidR="0016510D">
        <w:rPr>
          <w:szCs w:val="26"/>
        </w:rPr>
        <w:t xml:space="preserve">, </w:t>
      </w:r>
      <w:r w:rsidR="00175958">
        <w:rPr>
          <w:szCs w:val="26"/>
        </w:rPr>
        <w:t>se valoran</w:t>
      </w:r>
      <w:r w:rsidR="004E67DC">
        <w:rPr>
          <w:szCs w:val="26"/>
        </w:rPr>
        <w:t xml:space="preserve"> dichos bienes</w:t>
      </w:r>
      <w:r w:rsidR="00192848">
        <w:rPr>
          <w:szCs w:val="26"/>
        </w:rPr>
        <w:t xml:space="preserve"> a efectos exclusivamente tributarios.</w:t>
      </w:r>
    </w:p>
    <w:p w:rsidR="00191C9C" w:rsidRDefault="002607F0" w:rsidP="000820C9">
      <w:pPr>
        <w:pStyle w:val="texto"/>
        <w:tabs>
          <w:tab w:val="clear" w:pos="2835"/>
          <w:tab w:val="clear" w:pos="3969"/>
          <w:tab w:val="clear" w:pos="5103"/>
          <w:tab w:val="clear" w:pos="6237"/>
          <w:tab w:val="clear" w:pos="7371"/>
        </w:tabs>
        <w:rPr>
          <w:szCs w:val="26"/>
        </w:rPr>
      </w:pPr>
      <w:r>
        <w:rPr>
          <w:szCs w:val="26"/>
        </w:rPr>
        <w:t>En nuestra opinión, si bien el Gobierno de Navarra ha actuado según el mandato de la Ley Foral 26/</w:t>
      </w:r>
      <w:r w:rsidR="0065115D">
        <w:rPr>
          <w:szCs w:val="26"/>
        </w:rPr>
        <w:t>20</w:t>
      </w:r>
      <w:r>
        <w:rPr>
          <w:szCs w:val="26"/>
        </w:rPr>
        <w:t xml:space="preserve">14, </w:t>
      </w:r>
      <w:r w:rsidR="000820C9">
        <w:rPr>
          <w:szCs w:val="26"/>
        </w:rPr>
        <w:t>ésta</w:t>
      </w:r>
      <w:r w:rsidR="004E67DC">
        <w:rPr>
          <w:szCs w:val="26"/>
        </w:rPr>
        <w:t xml:space="preserve">  ha presentado</w:t>
      </w:r>
      <w:r w:rsidR="00191C9C">
        <w:rPr>
          <w:szCs w:val="26"/>
        </w:rPr>
        <w:t>, en esta materia, una insuficiente regulación</w:t>
      </w:r>
      <w:r w:rsidR="001064A4">
        <w:rPr>
          <w:szCs w:val="26"/>
        </w:rPr>
        <w:t>.</w:t>
      </w:r>
      <w:r w:rsidR="00191C9C">
        <w:rPr>
          <w:szCs w:val="26"/>
        </w:rPr>
        <w:t xml:space="preserve"> </w:t>
      </w:r>
    </w:p>
    <w:p w:rsidR="00D663E4" w:rsidRDefault="00537141" w:rsidP="002B1F9B">
      <w:pPr>
        <w:pStyle w:val="texto"/>
        <w:tabs>
          <w:tab w:val="clear" w:pos="2835"/>
          <w:tab w:val="clear" w:pos="3969"/>
          <w:tab w:val="clear" w:pos="5103"/>
          <w:tab w:val="clear" w:pos="6237"/>
          <w:tab w:val="clear" w:pos="7371"/>
        </w:tabs>
        <w:rPr>
          <w:szCs w:val="26"/>
        </w:rPr>
      </w:pPr>
      <w:r>
        <w:rPr>
          <w:b/>
          <w:szCs w:val="26"/>
        </w:rPr>
        <w:t>2</w:t>
      </w:r>
      <w:r w:rsidR="00207C7E">
        <w:rPr>
          <w:b/>
          <w:szCs w:val="26"/>
        </w:rPr>
        <w:t>1</w:t>
      </w:r>
      <w:r w:rsidR="00991EEC" w:rsidRPr="00E21F2D">
        <w:rPr>
          <w:b/>
          <w:szCs w:val="26"/>
        </w:rPr>
        <w:t>.ª</w:t>
      </w:r>
      <w:r w:rsidR="00037F6A">
        <w:rPr>
          <w:szCs w:val="26"/>
        </w:rPr>
        <w:t xml:space="preserve"> </w:t>
      </w:r>
      <w:r w:rsidR="00037F6A" w:rsidRPr="00F64DD4">
        <w:rPr>
          <w:b/>
          <w:szCs w:val="26"/>
        </w:rPr>
        <w:t>Cargas</w:t>
      </w:r>
      <w:r w:rsidR="00876421">
        <w:rPr>
          <w:szCs w:val="26"/>
        </w:rPr>
        <w:t xml:space="preserve"> </w:t>
      </w:r>
    </w:p>
    <w:p w:rsidR="001D4BF2" w:rsidRDefault="00876421" w:rsidP="002B1F9B">
      <w:pPr>
        <w:pStyle w:val="texto"/>
        <w:tabs>
          <w:tab w:val="clear" w:pos="2835"/>
          <w:tab w:val="clear" w:pos="3969"/>
          <w:tab w:val="clear" w:pos="5103"/>
          <w:tab w:val="clear" w:pos="6237"/>
          <w:tab w:val="clear" w:pos="7371"/>
        </w:tabs>
        <w:rPr>
          <w:szCs w:val="26"/>
        </w:rPr>
      </w:pPr>
      <w:r>
        <w:rPr>
          <w:szCs w:val="26"/>
        </w:rPr>
        <w:t>Como se ha comentado, las valoraciones anteriores no tenían en consideración las posibles cargas que soportan los mismos tales como hipotecas o anotaciones preventivas o ejecutivas de embargo.</w:t>
      </w:r>
    </w:p>
    <w:p w:rsidR="001933A0" w:rsidRPr="00F93691" w:rsidRDefault="001933A0" w:rsidP="001933A0">
      <w:pPr>
        <w:pStyle w:val="texto"/>
        <w:tabs>
          <w:tab w:val="clear" w:pos="2835"/>
          <w:tab w:val="clear" w:pos="3969"/>
          <w:tab w:val="clear" w:pos="5103"/>
          <w:tab w:val="clear" w:pos="6237"/>
          <w:tab w:val="clear" w:pos="7371"/>
          <w:tab w:val="num" w:pos="300"/>
          <w:tab w:val="num" w:pos="720"/>
        </w:tabs>
        <w:rPr>
          <w:szCs w:val="26"/>
        </w:rPr>
      </w:pPr>
      <w:r>
        <w:rPr>
          <w:szCs w:val="26"/>
        </w:rPr>
        <w:t>Por su parte, la Ley Foral 26</w:t>
      </w:r>
      <w:r w:rsidR="0065115D">
        <w:rPr>
          <w:szCs w:val="26"/>
        </w:rPr>
        <w:t>/</w:t>
      </w:r>
      <w:r>
        <w:rPr>
          <w:szCs w:val="26"/>
        </w:rPr>
        <w:t>2014 no</w:t>
      </w:r>
      <w:r w:rsidRPr="00F93691">
        <w:rPr>
          <w:szCs w:val="26"/>
        </w:rPr>
        <w:t xml:space="preserve"> hace mención sobre si los bienes se entregan</w:t>
      </w:r>
      <w:r w:rsidR="000F465E">
        <w:rPr>
          <w:szCs w:val="26"/>
        </w:rPr>
        <w:t xml:space="preserve"> o no</w:t>
      </w:r>
      <w:r w:rsidRPr="00F93691">
        <w:rPr>
          <w:szCs w:val="26"/>
        </w:rPr>
        <w:t xml:space="preserve"> libres de cargas</w:t>
      </w:r>
      <w:r>
        <w:rPr>
          <w:szCs w:val="26"/>
        </w:rPr>
        <w:t xml:space="preserve"> y sus efectos</w:t>
      </w:r>
      <w:r w:rsidR="00934505">
        <w:rPr>
          <w:szCs w:val="26"/>
        </w:rPr>
        <w:t xml:space="preserve"> potenciales</w:t>
      </w:r>
      <w:r>
        <w:rPr>
          <w:szCs w:val="26"/>
        </w:rPr>
        <w:t xml:space="preserve"> sobre su cuantificación económica.</w:t>
      </w:r>
    </w:p>
    <w:p w:rsidR="00EB7206" w:rsidRDefault="00876421" w:rsidP="00CA62BE">
      <w:pPr>
        <w:pStyle w:val="texto"/>
        <w:tabs>
          <w:tab w:val="clear" w:pos="2835"/>
          <w:tab w:val="clear" w:pos="3969"/>
          <w:tab w:val="clear" w:pos="5103"/>
          <w:tab w:val="clear" w:pos="6237"/>
          <w:tab w:val="clear" w:pos="7371"/>
        </w:tabs>
        <w:rPr>
          <w:szCs w:val="26"/>
        </w:rPr>
      </w:pPr>
      <w:r>
        <w:rPr>
          <w:szCs w:val="26"/>
        </w:rPr>
        <w:t>De acuerdo con la inf</w:t>
      </w:r>
      <w:r w:rsidR="001933A0">
        <w:rPr>
          <w:szCs w:val="26"/>
        </w:rPr>
        <w:t xml:space="preserve">ormación </w:t>
      </w:r>
      <w:r w:rsidR="00964078">
        <w:rPr>
          <w:szCs w:val="26"/>
        </w:rPr>
        <w:t xml:space="preserve">registral </w:t>
      </w:r>
      <w:r w:rsidR="001933A0">
        <w:rPr>
          <w:szCs w:val="26"/>
        </w:rPr>
        <w:t xml:space="preserve">analizada, </w:t>
      </w:r>
      <w:r>
        <w:rPr>
          <w:szCs w:val="26"/>
        </w:rPr>
        <w:t>los citados bienes</w:t>
      </w:r>
      <w:r w:rsidR="001933A0">
        <w:rPr>
          <w:szCs w:val="26"/>
        </w:rPr>
        <w:t xml:space="preserve"> están gravados con las siguientes cargas</w:t>
      </w:r>
      <w:r>
        <w:rPr>
          <w:szCs w:val="26"/>
        </w:rPr>
        <w:t>:</w:t>
      </w:r>
    </w:p>
    <w:p w:rsidR="00964078" w:rsidRPr="00964078" w:rsidRDefault="00964078" w:rsidP="00964078">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964078">
        <w:rPr>
          <w:szCs w:val="26"/>
        </w:rPr>
        <w:t>Estadio d</w:t>
      </w:r>
      <w:r>
        <w:rPr>
          <w:szCs w:val="26"/>
        </w:rPr>
        <w:t>e E</w:t>
      </w:r>
      <w:r w:rsidRPr="00964078">
        <w:rPr>
          <w:szCs w:val="26"/>
        </w:rPr>
        <w:t>l Sadar</w:t>
      </w:r>
    </w:p>
    <w:p w:rsidR="00964078" w:rsidRPr="00964078" w:rsidRDefault="00964078" w:rsidP="00964078">
      <w:pPr>
        <w:pStyle w:val="texto"/>
        <w:rPr>
          <w:szCs w:val="26"/>
        </w:rPr>
      </w:pPr>
      <w:r>
        <w:rPr>
          <w:szCs w:val="26"/>
        </w:rPr>
        <w:t xml:space="preserve">a) </w:t>
      </w:r>
      <w:r w:rsidRPr="00964078">
        <w:rPr>
          <w:szCs w:val="26"/>
        </w:rPr>
        <w:t>Hipoteca sobre la totalidad a favor de Comunidad Foral, por un principal de 7.005.826 euros. Con</w:t>
      </w:r>
      <w:r>
        <w:rPr>
          <w:szCs w:val="26"/>
        </w:rPr>
        <w:t>s</w:t>
      </w:r>
      <w:r w:rsidRPr="00964078">
        <w:rPr>
          <w:szCs w:val="26"/>
        </w:rPr>
        <w:t>titu</w:t>
      </w:r>
      <w:r>
        <w:rPr>
          <w:szCs w:val="26"/>
        </w:rPr>
        <w:t>i</w:t>
      </w:r>
      <w:r w:rsidRPr="00964078">
        <w:rPr>
          <w:szCs w:val="26"/>
        </w:rPr>
        <w:t xml:space="preserve">da en mayo de 2003 y con fecha vencimiento </w:t>
      </w:r>
      <w:r>
        <w:rPr>
          <w:szCs w:val="26"/>
        </w:rPr>
        <w:t>en mayo de 2020.</w:t>
      </w:r>
    </w:p>
    <w:p w:rsidR="00964078" w:rsidRPr="00964078" w:rsidRDefault="00964078" w:rsidP="00964078">
      <w:pPr>
        <w:pStyle w:val="texto"/>
        <w:rPr>
          <w:szCs w:val="26"/>
        </w:rPr>
      </w:pPr>
      <w:r>
        <w:rPr>
          <w:szCs w:val="26"/>
        </w:rPr>
        <w:t xml:space="preserve">b) </w:t>
      </w:r>
      <w:r w:rsidRPr="00964078">
        <w:rPr>
          <w:szCs w:val="26"/>
        </w:rPr>
        <w:t>Anotación embargo ejecutivo a favor de C</w:t>
      </w:r>
      <w:r>
        <w:rPr>
          <w:szCs w:val="26"/>
        </w:rPr>
        <w:t xml:space="preserve">omunidad Foral </w:t>
      </w:r>
      <w:r w:rsidRPr="00964078">
        <w:rPr>
          <w:szCs w:val="26"/>
        </w:rPr>
        <w:t>de Navarra, con un pri</w:t>
      </w:r>
      <w:r>
        <w:rPr>
          <w:szCs w:val="26"/>
        </w:rPr>
        <w:t>n</w:t>
      </w:r>
      <w:r w:rsidRPr="00964078">
        <w:rPr>
          <w:szCs w:val="26"/>
        </w:rPr>
        <w:t>cipal de 8.924.540 euros, escriturado en noviembre de 2010</w:t>
      </w:r>
      <w:r w:rsidR="004A3FC6">
        <w:rPr>
          <w:szCs w:val="26"/>
        </w:rPr>
        <w:t>.</w:t>
      </w:r>
    </w:p>
    <w:p w:rsidR="00964078" w:rsidRPr="00964078" w:rsidRDefault="00964078" w:rsidP="00964078">
      <w:pPr>
        <w:pStyle w:val="texto"/>
        <w:rPr>
          <w:szCs w:val="26"/>
        </w:rPr>
      </w:pPr>
      <w:r>
        <w:rPr>
          <w:szCs w:val="26"/>
        </w:rPr>
        <w:t xml:space="preserve">c) </w:t>
      </w:r>
      <w:r w:rsidRPr="00964078">
        <w:rPr>
          <w:szCs w:val="26"/>
        </w:rPr>
        <w:t>Anotación embargo ejecutivo a favor de la C</w:t>
      </w:r>
      <w:r>
        <w:rPr>
          <w:szCs w:val="26"/>
        </w:rPr>
        <w:t xml:space="preserve">omunidad Foral </w:t>
      </w:r>
      <w:r w:rsidRPr="00964078">
        <w:rPr>
          <w:szCs w:val="26"/>
        </w:rPr>
        <w:t>de Navarra, por un principal de 1.369.240 euros, in</w:t>
      </w:r>
      <w:r>
        <w:rPr>
          <w:szCs w:val="26"/>
        </w:rPr>
        <w:t>s</w:t>
      </w:r>
      <w:r w:rsidRPr="00964078">
        <w:rPr>
          <w:szCs w:val="26"/>
        </w:rPr>
        <w:t>crita e</w:t>
      </w:r>
      <w:r>
        <w:rPr>
          <w:szCs w:val="26"/>
        </w:rPr>
        <w:t>n junio de 2011.</w:t>
      </w:r>
    </w:p>
    <w:p w:rsidR="00964078" w:rsidRPr="00964078" w:rsidRDefault="00964078" w:rsidP="00964078">
      <w:pPr>
        <w:pStyle w:val="texto"/>
        <w:rPr>
          <w:szCs w:val="26"/>
        </w:rPr>
      </w:pPr>
      <w:r>
        <w:rPr>
          <w:szCs w:val="26"/>
        </w:rPr>
        <w:t xml:space="preserve">d) </w:t>
      </w:r>
      <w:r w:rsidRPr="00964078">
        <w:rPr>
          <w:szCs w:val="26"/>
        </w:rPr>
        <w:t>Anotación embargo ejecutivo a favor de la C</w:t>
      </w:r>
      <w:r>
        <w:rPr>
          <w:szCs w:val="26"/>
        </w:rPr>
        <w:t xml:space="preserve">omunidad Foral </w:t>
      </w:r>
      <w:r w:rsidRPr="00964078">
        <w:rPr>
          <w:szCs w:val="26"/>
        </w:rPr>
        <w:t>de Navarra, por un pri</w:t>
      </w:r>
      <w:r>
        <w:rPr>
          <w:szCs w:val="26"/>
        </w:rPr>
        <w:t>n</w:t>
      </w:r>
      <w:r w:rsidRPr="00964078">
        <w:rPr>
          <w:szCs w:val="26"/>
        </w:rPr>
        <w:t xml:space="preserve">cipal </w:t>
      </w:r>
      <w:r>
        <w:rPr>
          <w:szCs w:val="26"/>
        </w:rPr>
        <w:t>de 7.184.797 euros, en procedim</w:t>
      </w:r>
      <w:r w:rsidRPr="00964078">
        <w:rPr>
          <w:szCs w:val="26"/>
        </w:rPr>
        <w:t>i</w:t>
      </w:r>
      <w:r>
        <w:rPr>
          <w:szCs w:val="26"/>
        </w:rPr>
        <w:t>e</w:t>
      </w:r>
      <w:r w:rsidRPr="00964078">
        <w:rPr>
          <w:szCs w:val="26"/>
        </w:rPr>
        <w:t>nto de diciembre de 2012.</w:t>
      </w:r>
    </w:p>
    <w:p w:rsidR="00964078" w:rsidRPr="00964078" w:rsidRDefault="00964078" w:rsidP="00964078">
      <w:pPr>
        <w:pStyle w:val="texto"/>
        <w:rPr>
          <w:szCs w:val="26"/>
        </w:rPr>
      </w:pPr>
      <w:r>
        <w:rPr>
          <w:szCs w:val="26"/>
        </w:rPr>
        <w:t xml:space="preserve">e) </w:t>
      </w:r>
      <w:r w:rsidRPr="00964078">
        <w:rPr>
          <w:szCs w:val="26"/>
        </w:rPr>
        <w:t>Anotación de embargo ejecutivo a favor de la C</w:t>
      </w:r>
      <w:r>
        <w:rPr>
          <w:szCs w:val="26"/>
        </w:rPr>
        <w:t>omunidad Foral</w:t>
      </w:r>
      <w:r w:rsidRPr="00964078">
        <w:rPr>
          <w:szCs w:val="26"/>
        </w:rPr>
        <w:t xml:space="preserve"> de Navarra, por un pri</w:t>
      </w:r>
      <w:r>
        <w:rPr>
          <w:szCs w:val="26"/>
        </w:rPr>
        <w:t>n</w:t>
      </w:r>
      <w:r w:rsidRPr="00964078">
        <w:rPr>
          <w:szCs w:val="26"/>
        </w:rPr>
        <w:t>cipal de 1.104.419 euros, en procedimiento de diciembre 2012</w:t>
      </w:r>
      <w:r w:rsidR="004A3FC6">
        <w:rPr>
          <w:szCs w:val="26"/>
        </w:rPr>
        <w:t>.</w:t>
      </w:r>
    </w:p>
    <w:p w:rsidR="00964078" w:rsidRPr="00964078" w:rsidRDefault="004A3FC6" w:rsidP="00964078">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Instalaciones Tajonar</w:t>
      </w:r>
    </w:p>
    <w:p w:rsidR="00964078" w:rsidRPr="00964078" w:rsidRDefault="00964078" w:rsidP="00964078">
      <w:pPr>
        <w:pStyle w:val="texto"/>
        <w:rPr>
          <w:szCs w:val="26"/>
        </w:rPr>
      </w:pPr>
      <w:r>
        <w:rPr>
          <w:szCs w:val="26"/>
        </w:rPr>
        <w:t xml:space="preserve">a) </w:t>
      </w:r>
      <w:r w:rsidRPr="00964078">
        <w:rPr>
          <w:szCs w:val="26"/>
        </w:rPr>
        <w:t>Hipoteca a favor de C</w:t>
      </w:r>
      <w:r>
        <w:rPr>
          <w:szCs w:val="26"/>
        </w:rPr>
        <w:t>omunidad Foral</w:t>
      </w:r>
      <w:r w:rsidRPr="00964078">
        <w:rPr>
          <w:szCs w:val="26"/>
        </w:rPr>
        <w:t xml:space="preserve"> de Navarra, inscrita en 2005, en garantía de la devolución de 9.573</w:t>
      </w:r>
      <w:r w:rsidR="00770436">
        <w:rPr>
          <w:szCs w:val="26"/>
        </w:rPr>
        <w:t>.</w:t>
      </w:r>
      <w:r w:rsidRPr="00964078">
        <w:rPr>
          <w:szCs w:val="26"/>
        </w:rPr>
        <w:t>460 euros de</w:t>
      </w:r>
      <w:r>
        <w:rPr>
          <w:szCs w:val="26"/>
        </w:rPr>
        <w:t xml:space="preserve"> principal</w:t>
      </w:r>
      <w:r w:rsidR="00770436">
        <w:rPr>
          <w:szCs w:val="26"/>
        </w:rPr>
        <w:t>. Anotación manual “</w:t>
      </w:r>
      <w:r w:rsidRPr="00964078">
        <w:rPr>
          <w:szCs w:val="26"/>
        </w:rPr>
        <w:t xml:space="preserve">garantía aval de </w:t>
      </w:r>
      <w:r w:rsidR="00770436">
        <w:rPr>
          <w:szCs w:val="26"/>
        </w:rPr>
        <w:t>p</w:t>
      </w:r>
      <w:r w:rsidRPr="00964078">
        <w:rPr>
          <w:szCs w:val="26"/>
        </w:rPr>
        <w:t>atrimonio</w:t>
      </w:r>
      <w:r w:rsidR="00770436">
        <w:rPr>
          <w:szCs w:val="26"/>
        </w:rPr>
        <w:t>”</w:t>
      </w:r>
      <w:r w:rsidRPr="00964078">
        <w:rPr>
          <w:szCs w:val="26"/>
        </w:rPr>
        <w:t>.</w:t>
      </w:r>
    </w:p>
    <w:p w:rsidR="00964078" w:rsidRPr="00964078" w:rsidRDefault="00964078" w:rsidP="00964078">
      <w:pPr>
        <w:pStyle w:val="texto"/>
        <w:rPr>
          <w:szCs w:val="26"/>
        </w:rPr>
      </w:pPr>
      <w:r>
        <w:rPr>
          <w:szCs w:val="26"/>
        </w:rPr>
        <w:t xml:space="preserve">b) </w:t>
      </w:r>
      <w:r w:rsidRPr="00964078">
        <w:rPr>
          <w:szCs w:val="26"/>
        </w:rPr>
        <w:t>Anotación preventiva de emb</w:t>
      </w:r>
      <w:r>
        <w:rPr>
          <w:szCs w:val="26"/>
        </w:rPr>
        <w:t>argo l</w:t>
      </w:r>
      <w:r w:rsidRPr="00964078">
        <w:rPr>
          <w:szCs w:val="26"/>
        </w:rPr>
        <w:t>etra A,</w:t>
      </w:r>
      <w:r>
        <w:rPr>
          <w:szCs w:val="26"/>
        </w:rPr>
        <w:t xml:space="preserve"> de </w:t>
      </w:r>
      <w:r w:rsidR="00E21F2D">
        <w:rPr>
          <w:szCs w:val="26"/>
        </w:rPr>
        <w:t>septiembre de 2010</w:t>
      </w:r>
      <w:r w:rsidRPr="00964078">
        <w:rPr>
          <w:szCs w:val="26"/>
        </w:rPr>
        <w:t>, a favor de la C</w:t>
      </w:r>
      <w:r>
        <w:rPr>
          <w:szCs w:val="26"/>
        </w:rPr>
        <w:t>omunidad Foral</w:t>
      </w:r>
      <w:r w:rsidRPr="00964078">
        <w:rPr>
          <w:szCs w:val="26"/>
        </w:rPr>
        <w:t xml:space="preserve"> de Navarra en reclama</w:t>
      </w:r>
      <w:r>
        <w:rPr>
          <w:szCs w:val="26"/>
        </w:rPr>
        <w:t>ción de 8.924.542 euros de prin</w:t>
      </w:r>
      <w:r w:rsidRPr="00964078">
        <w:rPr>
          <w:szCs w:val="26"/>
        </w:rPr>
        <w:t xml:space="preserve">cipal, en procedimiento de la sección de </w:t>
      </w:r>
      <w:r w:rsidR="00AF6EEF">
        <w:rPr>
          <w:szCs w:val="26"/>
        </w:rPr>
        <w:t>P</w:t>
      </w:r>
      <w:r w:rsidRPr="00964078">
        <w:rPr>
          <w:szCs w:val="26"/>
        </w:rPr>
        <w:t xml:space="preserve">rocedimientos </w:t>
      </w:r>
      <w:r w:rsidR="00AF6EEF">
        <w:rPr>
          <w:szCs w:val="26"/>
        </w:rPr>
        <w:t>E</w:t>
      </w:r>
      <w:r w:rsidRPr="00964078">
        <w:rPr>
          <w:szCs w:val="26"/>
        </w:rPr>
        <w:t>speciales</w:t>
      </w:r>
      <w:r>
        <w:rPr>
          <w:szCs w:val="26"/>
        </w:rPr>
        <w:t xml:space="preserve"> de la</w:t>
      </w:r>
      <w:r w:rsidRPr="00964078">
        <w:rPr>
          <w:szCs w:val="26"/>
        </w:rPr>
        <w:t xml:space="preserve"> HTN</w:t>
      </w:r>
      <w:r>
        <w:rPr>
          <w:szCs w:val="26"/>
        </w:rPr>
        <w:t>.</w:t>
      </w:r>
    </w:p>
    <w:p w:rsidR="00964078" w:rsidRPr="00964078" w:rsidRDefault="00964078" w:rsidP="00964078">
      <w:pPr>
        <w:pStyle w:val="texto"/>
        <w:rPr>
          <w:szCs w:val="26"/>
        </w:rPr>
      </w:pPr>
      <w:r>
        <w:rPr>
          <w:szCs w:val="26"/>
        </w:rPr>
        <w:t xml:space="preserve">c) </w:t>
      </w:r>
      <w:r w:rsidRPr="00964078">
        <w:rPr>
          <w:szCs w:val="26"/>
        </w:rPr>
        <w:t xml:space="preserve">Anotación preventiva de embargo, </w:t>
      </w:r>
      <w:r>
        <w:rPr>
          <w:szCs w:val="26"/>
        </w:rPr>
        <w:t>letra</w:t>
      </w:r>
      <w:r w:rsidRPr="00964078">
        <w:rPr>
          <w:szCs w:val="26"/>
        </w:rPr>
        <w:t xml:space="preserve"> B, de </w:t>
      </w:r>
      <w:r w:rsidR="00E21F2D">
        <w:rPr>
          <w:szCs w:val="26"/>
        </w:rPr>
        <w:t>julio de 2011</w:t>
      </w:r>
      <w:r w:rsidRPr="00964078">
        <w:rPr>
          <w:szCs w:val="26"/>
        </w:rPr>
        <w:t>, a favor de la C</w:t>
      </w:r>
      <w:r>
        <w:rPr>
          <w:szCs w:val="26"/>
        </w:rPr>
        <w:t xml:space="preserve">omunidad Foral </w:t>
      </w:r>
      <w:r w:rsidRPr="00964078">
        <w:rPr>
          <w:szCs w:val="26"/>
        </w:rPr>
        <w:t>de Navarra, en reclama</w:t>
      </w:r>
      <w:r>
        <w:rPr>
          <w:szCs w:val="26"/>
        </w:rPr>
        <w:t>ción de 1.369.240 euros de prin</w:t>
      </w:r>
      <w:r w:rsidRPr="00964078">
        <w:rPr>
          <w:szCs w:val="26"/>
        </w:rPr>
        <w:t xml:space="preserve">cipal, de procedimiento de la </w:t>
      </w:r>
      <w:r w:rsidR="00AF6EEF">
        <w:rPr>
          <w:szCs w:val="26"/>
        </w:rPr>
        <w:t>s</w:t>
      </w:r>
      <w:r w:rsidRPr="00964078">
        <w:rPr>
          <w:szCs w:val="26"/>
        </w:rPr>
        <w:t xml:space="preserve">ección de </w:t>
      </w:r>
      <w:r w:rsidR="00AF6EEF">
        <w:rPr>
          <w:szCs w:val="26"/>
        </w:rPr>
        <w:t>P</w:t>
      </w:r>
      <w:r w:rsidRPr="00964078">
        <w:rPr>
          <w:szCs w:val="26"/>
        </w:rPr>
        <w:t xml:space="preserve">rocedimientos </w:t>
      </w:r>
      <w:r w:rsidR="00AF6EEF">
        <w:rPr>
          <w:szCs w:val="26"/>
        </w:rPr>
        <w:t>E</w:t>
      </w:r>
      <w:r w:rsidRPr="00964078">
        <w:rPr>
          <w:szCs w:val="26"/>
        </w:rPr>
        <w:t>speciales de la HTN</w:t>
      </w:r>
      <w:r>
        <w:rPr>
          <w:szCs w:val="26"/>
        </w:rPr>
        <w:t>.</w:t>
      </w:r>
    </w:p>
    <w:p w:rsidR="00964078" w:rsidRPr="00964078" w:rsidRDefault="00964078" w:rsidP="00964078">
      <w:pPr>
        <w:pStyle w:val="texto"/>
        <w:rPr>
          <w:szCs w:val="26"/>
        </w:rPr>
      </w:pPr>
      <w:r>
        <w:rPr>
          <w:szCs w:val="26"/>
        </w:rPr>
        <w:t xml:space="preserve">d) </w:t>
      </w:r>
      <w:r w:rsidRPr="00964078">
        <w:rPr>
          <w:szCs w:val="26"/>
        </w:rPr>
        <w:t xml:space="preserve">Anotación preventiva de embargo, letra C, de </w:t>
      </w:r>
      <w:r w:rsidR="00E21F2D">
        <w:rPr>
          <w:szCs w:val="26"/>
        </w:rPr>
        <w:t>febrero de 2013</w:t>
      </w:r>
      <w:r w:rsidRPr="00964078">
        <w:rPr>
          <w:szCs w:val="26"/>
        </w:rPr>
        <w:t>,</w:t>
      </w:r>
      <w:r>
        <w:rPr>
          <w:szCs w:val="26"/>
        </w:rPr>
        <w:t xml:space="preserve"> </w:t>
      </w:r>
      <w:r w:rsidRPr="00964078">
        <w:rPr>
          <w:szCs w:val="26"/>
        </w:rPr>
        <w:t>a favor de la C</w:t>
      </w:r>
      <w:r>
        <w:rPr>
          <w:szCs w:val="26"/>
        </w:rPr>
        <w:t>omunidad Foral</w:t>
      </w:r>
      <w:r w:rsidRPr="00964078">
        <w:rPr>
          <w:szCs w:val="26"/>
        </w:rPr>
        <w:t xml:space="preserve"> de </w:t>
      </w:r>
      <w:r>
        <w:rPr>
          <w:szCs w:val="26"/>
        </w:rPr>
        <w:t>N</w:t>
      </w:r>
      <w:r w:rsidRPr="00964078">
        <w:rPr>
          <w:szCs w:val="26"/>
        </w:rPr>
        <w:t>avarra para garantizar 12.071.288 euros de p</w:t>
      </w:r>
      <w:r>
        <w:rPr>
          <w:szCs w:val="26"/>
        </w:rPr>
        <w:t>rin</w:t>
      </w:r>
      <w:r w:rsidRPr="00964078">
        <w:rPr>
          <w:szCs w:val="26"/>
        </w:rPr>
        <w:t>cipal</w:t>
      </w:r>
      <w:r>
        <w:rPr>
          <w:szCs w:val="26"/>
        </w:rPr>
        <w:t>, de procedimiento de la</w:t>
      </w:r>
      <w:r w:rsidRPr="00964078">
        <w:rPr>
          <w:szCs w:val="26"/>
        </w:rPr>
        <w:t xml:space="preserve"> </w:t>
      </w:r>
      <w:r w:rsidR="00AF6EEF">
        <w:rPr>
          <w:szCs w:val="26"/>
        </w:rPr>
        <w:t>s</w:t>
      </w:r>
      <w:r w:rsidRPr="00964078">
        <w:rPr>
          <w:szCs w:val="26"/>
        </w:rPr>
        <w:t>ección de Procedimientos Especiales de la HTN</w:t>
      </w:r>
      <w:r>
        <w:rPr>
          <w:szCs w:val="26"/>
        </w:rPr>
        <w:t>.</w:t>
      </w:r>
    </w:p>
    <w:p w:rsidR="00964078" w:rsidRDefault="00964078" w:rsidP="00964078">
      <w:pPr>
        <w:pStyle w:val="texto"/>
        <w:rPr>
          <w:szCs w:val="26"/>
        </w:rPr>
      </w:pPr>
      <w:r>
        <w:rPr>
          <w:szCs w:val="26"/>
        </w:rPr>
        <w:t xml:space="preserve">e) </w:t>
      </w:r>
      <w:r w:rsidRPr="00964078">
        <w:rPr>
          <w:szCs w:val="26"/>
        </w:rPr>
        <w:t xml:space="preserve">Anotación preventiva de embargo, letra D, de </w:t>
      </w:r>
      <w:r w:rsidR="00E21F2D">
        <w:rPr>
          <w:szCs w:val="26"/>
        </w:rPr>
        <w:t>febrero de 2013</w:t>
      </w:r>
      <w:r w:rsidRPr="00964078">
        <w:rPr>
          <w:szCs w:val="26"/>
        </w:rPr>
        <w:t>, a favor de la C</w:t>
      </w:r>
      <w:r>
        <w:rPr>
          <w:szCs w:val="26"/>
        </w:rPr>
        <w:t>omunidad Foral</w:t>
      </w:r>
      <w:r w:rsidRPr="00964078">
        <w:rPr>
          <w:szCs w:val="26"/>
        </w:rPr>
        <w:t xml:space="preserve"> de Navarra en reclama</w:t>
      </w:r>
      <w:r>
        <w:rPr>
          <w:szCs w:val="26"/>
        </w:rPr>
        <w:t>ción de 1.104.419 euros de prin</w:t>
      </w:r>
      <w:r w:rsidRPr="00964078">
        <w:rPr>
          <w:szCs w:val="26"/>
        </w:rPr>
        <w:t>cipal, ordenada por la Sección de Recaudación</w:t>
      </w:r>
      <w:r>
        <w:rPr>
          <w:szCs w:val="26"/>
        </w:rPr>
        <w:t xml:space="preserve"> Ejecutiva del Gobierno de Navarra en diciembre de 2013.</w:t>
      </w:r>
    </w:p>
    <w:p w:rsidR="00DC64D5" w:rsidRPr="00964078" w:rsidRDefault="00DC64D5" w:rsidP="00DC64D5">
      <w:pPr>
        <w:pStyle w:val="texto"/>
        <w:tabs>
          <w:tab w:val="clear" w:pos="2835"/>
          <w:tab w:val="clear" w:pos="3969"/>
          <w:tab w:val="clear" w:pos="5103"/>
          <w:tab w:val="clear" w:pos="6237"/>
          <w:tab w:val="clear" w:pos="7371"/>
        </w:tabs>
        <w:rPr>
          <w:szCs w:val="26"/>
        </w:rPr>
      </w:pPr>
      <w:r>
        <w:rPr>
          <w:szCs w:val="26"/>
        </w:rPr>
        <w:t>f) Embargo ejecutivo a favor de la Tesorería General de la Seguridad Social para responder a un importe de 37</w:t>
      </w:r>
      <w:r w:rsidR="00932C9D">
        <w:rPr>
          <w:szCs w:val="26"/>
        </w:rPr>
        <w:t>5</w:t>
      </w:r>
      <w:r>
        <w:rPr>
          <w:szCs w:val="26"/>
        </w:rPr>
        <w:t>.982 euros (principal más intereses, costas y recargos), inscrito en junio de 2014.</w:t>
      </w:r>
      <w:r w:rsidR="00932C9D">
        <w:rPr>
          <w:szCs w:val="26"/>
        </w:rPr>
        <w:t xml:space="preserve"> Embargo levantado en octubre de 2014 por pago de la deuda</w:t>
      </w:r>
      <w:r w:rsidR="004F753A">
        <w:rPr>
          <w:rStyle w:val="Refdenotaalpie"/>
          <w:szCs w:val="26"/>
        </w:rPr>
        <w:footnoteReference w:id="8"/>
      </w:r>
      <w:r w:rsidR="00932C9D">
        <w:rPr>
          <w:szCs w:val="26"/>
        </w:rPr>
        <w:t xml:space="preserve"> y pendiente de inscribir.</w:t>
      </w:r>
    </w:p>
    <w:p w:rsidR="00964078" w:rsidRPr="00964078" w:rsidRDefault="004A3FC6" w:rsidP="00964078">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747271">
        <w:t>Solar parque empresarial Tajonar</w:t>
      </w:r>
    </w:p>
    <w:p w:rsidR="00964078" w:rsidRDefault="00FA7E49" w:rsidP="00FA7E49">
      <w:pPr>
        <w:pStyle w:val="texto"/>
        <w:rPr>
          <w:szCs w:val="26"/>
        </w:rPr>
      </w:pPr>
      <w:r>
        <w:rPr>
          <w:szCs w:val="26"/>
        </w:rPr>
        <w:t xml:space="preserve">a) </w:t>
      </w:r>
      <w:r w:rsidR="00964078" w:rsidRPr="00964078">
        <w:rPr>
          <w:szCs w:val="26"/>
        </w:rPr>
        <w:t>Hipoteca, a favor de</w:t>
      </w:r>
      <w:r w:rsidR="00964078">
        <w:rPr>
          <w:szCs w:val="26"/>
        </w:rPr>
        <w:t xml:space="preserve"> la</w:t>
      </w:r>
      <w:r w:rsidR="00964078" w:rsidRPr="00964078">
        <w:rPr>
          <w:szCs w:val="26"/>
        </w:rPr>
        <w:t xml:space="preserve"> </w:t>
      </w:r>
      <w:r w:rsidR="00964078" w:rsidRPr="00934505">
        <w:rPr>
          <w:szCs w:val="26"/>
        </w:rPr>
        <w:t xml:space="preserve">Caja Ahorros de </w:t>
      </w:r>
      <w:r w:rsidRPr="00934505">
        <w:rPr>
          <w:szCs w:val="26"/>
        </w:rPr>
        <w:t>Navarra</w:t>
      </w:r>
      <w:r w:rsidR="00934505" w:rsidRPr="00934505">
        <w:rPr>
          <w:szCs w:val="26"/>
        </w:rPr>
        <w:t xml:space="preserve"> –hoy CaixaBank-</w:t>
      </w:r>
      <w:r w:rsidR="00964078" w:rsidRPr="00964078">
        <w:rPr>
          <w:szCs w:val="26"/>
        </w:rPr>
        <w:t>, inscrita e</w:t>
      </w:r>
      <w:r>
        <w:rPr>
          <w:szCs w:val="26"/>
        </w:rPr>
        <w:t>n abril de 2009,</w:t>
      </w:r>
      <w:r w:rsidR="00964078" w:rsidRPr="00964078">
        <w:rPr>
          <w:szCs w:val="26"/>
        </w:rPr>
        <w:t xml:space="preserve"> en garantía de un préstamo de 8.600.000 euros de pri</w:t>
      </w:r>
      <w:r>
        <w:rPr>
          <w:szCs w:val="26"/>
        </w:rPr>
        <w:t>n</w:t>
      </w:r>
      <w:r w:rsidR="00964078" w:rsidRPr="00964078">
        <w:rPr>
          <w:szCs w:val="26"/>
        </w:rPr>
        <w:t>cipal</w:t>
      </w:r>
      <w:r>
        <w:rPr>
          <w:szCs w:val="26"/>
        </w:rPr>
        <w:t>.</w:t>
      </w:r>
    </w:p>
    <w:p w:rsidR="00F56356" w:rsidRPr="00964078" w:rsidRDefault="00F56356" w:rsidP="00932C9D">
      <w:pPr>
        <w:pStyle w:val="texto"/>
        <w:tabs>
          <w:tab w:val="clear" w:pos="2835"/>
          <w:tab w:val="clear" w:pos="3969"/>
          <w:tab w:val="clear" w:pos="5103"/>
          <w:tab w:val="clear" w:pos="6237"/>
          <w:tab w:val="clear" w:pos="7371"/>
        </w:tabs>
        <w:rPr>
          <w:szCs w:val="26"/>
        </w:rPr>
      </w:pPr>
      <w:r>
        <w:rPr>
          <w:szCs w:val="26"/>
        </w:rPr>
        <w:t>b) Embargo ejecutivo a favor de la Tesorería General de la Seguridad Social para responder a un importe de 376.982 euros (principal más intereses, costas y recargos), inscrito en junio de 2014.</w:t>
      </w:r>
      <w:r w:rsidR="00932C9D" w:rsidRPr="00932C9D">
        <w:rPr>
          <w:szCs w:val="26"/>
        </w:rPr>
        <w:t xml:space="preserve"> </w:t>
      </w:r>
      <w:r w:rsidR="00932C9D">
        <w:rPr>
          <w:szCs w:val="26"/>
        </w:rPr>
        <w:t xml:space="preserve">Embargo levantado </w:t>
      </w:r>
      <w:r w:rsidR="001865D8">
        <w:rPr>
          <w:szCs w:val="26"/>
        </w:rPr>
        <w:t>en</w:t>
      </w:r>
      <w:r w:rsidR="00932C9D">
        <w:rPr>
          <w:szCs w:val="26"/>
        </w:rPr>
        <w:t xml:space="preserve"> octubre de 2014 por pago de la deuda</w:t>
      </w:r>
      <w:r w:rsidR="001865D8">
        <w:rPr>
          <w:rStyle w:val="Refdenotaalpie"/>
          <w:szCs w:val="26"/>
        </w:rPr>
        <w:footnoteReference w:id="9"/>
      </w:r>
      <w:r w:rsidR="00932C9D">
        <w:rPr>
          <w:szCs w:val="26"/>
        </w:rPr>
        <w:t xml:space="preserve"> y pendiente de inscribir.</w:t>
      </w:r>
    </w:p>
    <w:p w:rsidR="00964078" w:rsidRPr="00964078" w:rsidRDefault="004A3FC6" w:rsidP="00964078">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1D4BF2">
        <w:t>Suelo U.I. XXIII SO-1 Pamplona</w:t>
      </w:r>
      <w:r w:rsidRPr="00964078">
        <w:rPr>
          <w:szCs w:val="26"/>
        </w:rPr>
        <w:t xml:space="preserve"> </w:t>
      </w:r>
    </w:p>
    <w:p w:rsidR="00964078" w:rsidRDefault="00FA7E49" w:rsidP="00964078">
      <w:pPr>
        <w:pStyle w:val="texto"/>
        <w:tabs>
          <w:tab w:val="clear" w:pos="2835"/>
          <w:tab w:val="clear" w:pos="3969"/>
          <w:tab w:val="clear" w:pos="5103"/>
          <w:tab w:val="clear" w:pos="6237"/>
          <w:tab w:val="clear" w:pos="7371"/>
        </w:tabs>
        <w:rPr>
          <w:szCs w:val="26"/>
        </w:rPr>
      </w:pPr>
      <w:r>
        <w:rPr>
          <w:szCs w:val="26"/>
        </w:rPr>
        <w:t>a)</w:t>
      </w:r>
      <w:r w:rsidR="00301E9A">
        <w:rPr>
          <w:szCs w:val="26"/>
        </w:rPr>
        <w:t xml:space="preserve"> </w:t>
      </w:r>
      <w:r w:rsidR="00964078" w:rsidRPr="00964078">
        <w:rPr>
          <w:szCs w:val="26"/>
        </w:rPr>
        <w:t>Hipoteca a favor de la C</w:t>
      </w:r>
      <w:r>
        <w:rPr>
          <w:szCs w:val="26"/>
        </w:rPr>
        <w:t>omunidad Foral de Navarra, por un prin</w:t>
      </w:r>
      <w:r w:rsidR="00964078" w:rsidRPr="00964078">
        <w:rPr>
          <w:szCs w:val="26"/>
        </w:rPr>
        <w:t xml:space="preserve">cipal de 634.602 euros, escriturada en mayo de 2003 </w:t>
      </w:r>
      <w:r>
        <w:rPr>
          <w:szCs w:val="26"/>
        </w:rPr>
        <w:t>y</w:t>
      </w:r>
      <w:r w:rsidR="00964078" w:rsidRPr="00964078">
        <w:rPr>
          <w:szCs w:val="26"/>
        </w:rPr>
        <w:t xml:space="preserve"> con fecha de vencimiento en </w:t>
      </w:r>
      <w:r>
        <w:rPr>
          <w:szCs w:val="26"/>
        </w:rPr>
        <w:t>mayo de 2012.</w:t>
      </w:r>
      <w:r w:rsidR="00964078" w:rsidRPr="00964078">
        <w:rPr>
          <w:szCs w:val="26"/>
        </w:rPr>
        <w:t xml:space="preserve"> Figura manuscrito "garantía aval </w:t>
      </w:r>
      <w:r w:rsidR="00770436">
        <w:rPr>
          <w:szCs w:val="26"/>
        </w:rPr>
        <w:t xml:space="preserve">de </w:t>
      </w:r>
      <w:r w:rsidR="00964078" w:rsidRPr="00964078">
        <w:rPr>
          <w:szCs w:val="26"/>
        </w:rPr>
        <w:t>patrimonio"</w:t>
      </w:r>
      <w:r w:rsidR="00301E9A">
        <w:rPr>
          <w:szCs w:val="26"/>
        </w:rPr>
        <w:t>.</w:t>
      </w:r>
    </w:p>
    <w:p w:rsidR="00A90586" w:rsidRDefault="00301E9A" w:rsidP="00AC782A">
      <w:pPr>
        <w:pStyle w:val="texto"/>
        <w:tabs>
          <w:tab w:val="clear" w:pos="2835"/>
          <w:tab w:val="clear" w:pos="3969"/>
          <w:tab w:val="clear" w:pos="5103"/>
          <w:tab w:val="clear" w:pos="6237"/>
          <w:tab w:val="clear" w:pos="7371"/>
        </w:tabs>
        <w:rPr>
          <w:szCs w:val="26"/>
        </w:rPr>
      </w:pPr>
      <w:r>
        <w:rPr>
          <w:szCs w:val="26"/>
        </w:rPr>
        <w:t>b) Embargo ejecutivo a favor de la Tesorería General de la Seguridad Social para responder a un importe de 375.982 euros (principal más intereses, costas y recargos), inscrito en junio de 2014.</w:t>
      </w:r>
      <w:r w:rsidR="00932C9D" w:rsidRPr="00932C9D">
        <w:rPr>
          <w:szCs w:val="26"/>
        </w:rPr>
        <w:t xml:space="preserve"> </w:t>
      </w:r>
      <w:r w:rsidR="00932C9D">
        <w:rPr>
          <w:szCs w:val="26"/>
        </w:rPr>
        <w:t>Embargo levantado en octubre de 2014 por pago de la deuda</w:t>
      </w:r>
      <w:r w:rsidR="004F753A">
        <w:rPr>
          <w:rStyle w:val="Refdenotaalpie"/>
          <w:szCs w:val="26"/>
        </w:rPr>
        <w:footnoteReference w:id="10"/>
      </w:r>
      <w:r w:rsidR="00932C9D">
        <w:rPr>
          <w:szCs w:val="26"/>
        </w:rPr>
        <w:t xml:space="preserve"> y pendiente de inscribir.</w:t>
      </w:r>
      <w:r w:rsidR="00A90586">
        <w:rPr>
          <w:szCs w:val="26"/>
        </w:rPr>
        <w:br w:type="page"/>
      </w:r>
    </w:p>
    <w:p w:rsidR="00964078" w:rsidRPr="00964078" w:rsidRDefault="00FA7E49" w:rsidP="00964078">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FA7E49">
        <w:t>Solar UM-3 P1 Pamplona</w:t>
      </w:r>
      <w:r w:rsidR="00B27CED">
        <w:t xml:space="preserve"> (no incluido en el anexo II de la Ley Foral 26/2014)</w:t>
      </w:r>
      <w:r w:rsidRPr="00964078">
        <w:rPr>
          <w:szCs w:val="26"/>
        </w:rPr>
        <w:t xml:space="preserve"> </w:t>
      </w:r>
    </w:p>
    <w:p w:rsidR="004A3FC6" w:rsidRPr="004A3FC6" w:rsidRDefault="004A3FC6" w:rsidP="004A3FC6">
      <w:pPr>
        <w:pStyle w:val="texto"/>
        <w:tabs>
          <w:tab w:val="clear" w:pos="2835"/>
          <w:tab w:val="clear" w:pos="3969"/>
          <w:tab w:val="clear" w:pos="5103"/>
          <w:tab w:val="clear" w:pos="6237"/>
          <w:tab w:val="clear" w:pos="7371"/>
        </w:tabs>
        <w:rPr>
          <w:szCs w:val="26"/>
        </w:rPr>
      </w:pPr>
      <w:r>
        <w:rPr>
          <w:szCs w:val="26"/>
        </w:rPr>
        <w:t xml:space="preserve">a) </w:t>
      </w:r>
      <w:r w:rsidRPr="004A3FC6">
        <w:rPr>
          <w:szCs w:val="26"/>
        </w:rPr>
        <w:t xml:space="preserve">El 59,886 </w:t>
      </w:r>
      <w:r>
        <w:rPr>
          <w:szCs w:val="26"/>
        </w:rPr>
        <w:t>por ciento</w:t>
      </w:r>
      <w:r w:rsidRPr="004A3FC6">
        <w:rPr>
          <w:szCs w:val="26"/>
        </w:rPr>
        <w:t xml:space="preserve"> de las cargas urbanísticas en el área de reparto</w:t>
      </w:r>
      <w:r w:rsidR="00EB7206">
        <w:rPr>
          <w:szCs w:val="26"/>
        </w:rPr>
        <w:t>, quedando</w:t>
      </w:r>
      <w:r w:rsidRPr="004A3FC6">
        <w:rPr>
          <w:szCs w:val="26"/>
        </w:rPr>
        <w:t xml:space="preserve"> grabada con saldo de la cuenta de liquidación </w:t>
      </w:r>
      <w:r>
        <w:rPr>
          <w:szCs w:val="26"/>
        </w:rPr>
        <w:t>provisional</w:t>
      </w:r>
      <w:r w:rsidRPr="004A3FC6">
        <w:rPr>
          <w:szCs w:val="26"/>
        </w:rPr>
        <w:t xml:space="preserve"> en 3.057.211 euros y </w:t>
      </w:r>
      <w:r>
        <w:rPr>
          <w:szCs w:val="26"/>
        </w:rPr>
        <w:t>de 199.230 euros por</w:t>
      </w:r>
      <w:r w:rsidRPr="004A3FC6">
        <w:rPr>
          <w:szCs w:val="26"/>
        </w:rPr>
        <w:t xml:space="preserve"> de gastos de gestión urbanística</w:t>
      </w:r>
      <w:r>
        <w:rPr>
          <w:szCs w:val="26"/>
        </w:rPr>
        <w:t>.</w:t>
      </w:r>
      <w:r w:rsidRPr="004A3FC6">
        <w:rPr>
          <w:szCs w:val="26"/>
        </w:rPr>
        <w:t xml:space="preserve"> Existe servidumbre</w:t>
      </w:r>
      <w:r w:rsidR="00EB7206">
        <w:rPr>
          <w:szCs w:val="26"/>
        </w:rPr>
        <w:t>.</w:t>
      </w:r>
      <w:r w:rsidRPr="004A3FC6">
        <w:rPr>
          <w:szCs w:val="26"/>
        </w:rPr>
        <w:t xml:space="preserve"> </w:t>
      </w:r>
    </w:p>
    <w:p w:rsidR="00964078" w:rsidRDefault="004A3FC6" w:rsidP="00FA7E49">
      <w:pPr>
        <w:pStyle w:val="texto"/>
        <w:tabs>
          <w:tab w:val="clear" w:pos="2835"/>
          <w:tab w:val="clear" w:pos="3969"/>
          <w:tab w:val="clear" w:pos="5103"/>
          <w:tab w:val="clear" w:pos="6237"/>
          <w:tab w:val="clear" w:pos="7371"/>
        </w:tabs>
        <w:rPr>
          <w:szCs w:val="26"/>
        </w:rPr>
      </w:pPr>
      <w:r>
        <w:rPr>
          <w:szCs w:val="26"/>
        </w:rPr>
        <w:t>b)</w:t>
      </w:r>
      <w:r w:rsidR="00FA7E49">
        <w:rPr>
          <w:szCs w:val="26"/>
        </w:rPr>
        <w:t xml:space="preserve"> </w:t>
      </w:r>
      <w:r w:rsidR="00964078" w:rsidRPr="00964078">
        <w:rPr>
          <w:szCs w:val="26"/>
        </w:rPr>
        <w:t>Hipoteca a favor de la C</w:t>
      </w:r>
      <w:r w:rsidR="00FA7E49">
        <w:rPr>
          <w:szCs w:val="26"/>
        </w:rPr>
        <w:t>omunidad Foral d</w:t>
      </w:r>
      <w:r w:rsidR="00964078" w:rsidRPr="00964078">
        <w:rPr>
          <w:szCs w:val="26"/>
        </w:rPr>
        <w:t>e Navarra, por un capital pri</w:t>
      </w:r>
      <w:r w:rsidR="00FA7E49">
        <w:rPr>
          <w:szCs w:val="26"/>
        </w:rPr>
        <w:t>n</w:t>
      </w:r>
      <w:r w:rsidR="00964078" w:rsidRPr="00964078">
        <w:rPr>
          <w:szCs w:val="26"/>
        </w:rPr>
        <w:t xml:space="preserve">cipal de 4.665.343,14 euros, escriturada </w:t>
      </w:r>
      <w:r w:rsidR="00FA7E49">
        <w:rPr>
          <w:szCs w:val="26"/>
        </w:rPr>
        <w:t xml:space="preserve">en febrero de </w:t>
      </w:r>
      <w:r w:rsidR="00964078" w:rsidRPr="00964078">
        <w:rPr>
          <w:szCs w:val="26"/>
        </w:rPr>
        <w:t xml:space="preserve">2014, con fecha de inicio </w:t>
      </w:r>
      <w:r w:rsidR="00FA7E49">
        <w:rPr>
          <w:szCs w:val="26"/>
        </w:rPr>
        <w:t>en diciembre de 2013</w:t>
      </w:r>
      <w:r w:rsidR="00964078" w:rsidRPr="00964078">
        <w:rPr>
          <w:szCs w:val="26"/>
        </w:rPr>
        <w:t xml:space="preserve"> y fecha de vencimiento </w:t>
      </w:r>
      <w:r w:rsidR="00FA7E49">
        <w:rPr>
          <w:szCs w:val="26"/>
        </w:rPr>
        <w:t>en diciembre de 2018.</w:t>
      </w:r>
      <w:r w:rsidR="00F067E4">
        <w:rPr>
          <w:szCs w:val="26"/>
        </w:rPr>
        <w:t xml:space="preserve"> Esta hipoteca garantiza el aplazamiento aprobado en octubre de 2013.</w:t>
      </w:r>
    </w:p>
    <w:p w:rsidR="00FA7E49" w:rsidRPr="00964078" w:rsidRDefault="004A3FC6" w:rsidP="00932C9D">
      <w:pPr>
        <w:pStyle w:val="texto"/>
        <w:tabs>
          <w:tab w:val="clear" w:pos="2835"/>
          <w:tab w:val="clear" w:pos="3969"/>
          <w:tab w:val="clear" w:pos="5103"/>
          <w:tab w:val="clear" w:pos="6237"/>
          <w:tab w:val="clear" w:pos="7371"/>
        </w:tabs>
        <w:rPr>
          <w:szCs w:val="26"/>
        </w:rPr>
      </w:pPr>
      <w:r>
        <w:rPr>
          <w:szCs w:val="26"/>
        </w:rPr>
        <w:t>c</w:t>
      </w:r>
      <w:r w:rsidR="00FA7E49">
        <w:rPr>
          <w:szCs w:val="26"/>
        </w:rPr>
        <w:t xml:space="preserve">) Embargo ejecutivo a favor de la Tesorería General de la Seguridad Social para responder a un </w:t>
      </w:r>
      <w:r w:rsidR="00CD78D2">
        <w:rPr>
          <w:szCs w:val="26"/>
        </w:rPr>
        <w:t>importe de</w:t>
      </w:r>
      <w:r w:rsidR="00FA7E49">
        <w:rPr>
          <w:szCs w:val="26"/>
        </w:rPr>
        <w:t xml:space="preserve"> 37</w:t>
      </w:r>
      <w:r w:rsidR="00301E9A">
        <w:rPr>
          <w:szCs w:val="26"/>
        </w:rPr>
        <w:t>5</w:t>
      </w:r>
      <w:r w:rsidR="00FA7E49">
        <w:rPr>
          <w:szCs w:val="26"/>
        </w:rPr>
        <w:t>.982 euros</w:t>
      </w:r>
      <w:r w:rsidR="00CD78D2">
        <w:rPr>
          <w:szCs w:val="26"/>
        </w:rPr>
        <w:t xml:space="preserve"> (principal más intereses</w:t>
      </w:r>
      <w:r w:rsidR="00AD4E7C">
        <w:rPr>
          <w:szCs w:val="26"/>
        </w:rPr>
        <w:t>, costas</w:t>
      </w:r>
      <w:r w:rsidR="00CD78D2">
        <w:rPr>
          <w:szCs w:val="26"/>
        </w:rPr>
        <w:t xml:space="preserve"> y recargos)</w:t>
      </w:r>
      <w:r w:rsidR="00FA7E49">
        <w:rPr>
          <w:szCs w:val="26"/>
        </w:rPr>
        <w:t xml:space="preserve">, </w:t>
      </w:r>
      <w:r w:rsidR="00CD78D2">
        <w:rPr>
          <w:szCs w:val="26"/>
        </w:rPr>
        <w:t>inscrito en</w:t>
      </w:r>
      <w:r w:rsidR="00FA7E49">
        <w:rPr>
          <w:szCs w:val="26"/>
        </w:rPr>
        <w:t xml:space="preserve"> junio de 2014.</w:t>
      </w:r>
      <w:r w:rsidR="00932C9D" w:rsidRPr="00932C9D">
        <w:rPr>
          <w:szCs w:val="26"/>
        </w:rPr>
        <w:t xml:space="preserve"> </w:t>
      </w:r>
      <w:r w:rsidR="00932C9D">
        <w:rPr>
          <w:szCs w:val="26"/>
        </w:rPr>
        <w:t>Embargo levantado en octubre de 2014 por pago de la deuda</w:t>
      </w:r>
      <w:r w:rsidR="004F753A">
        <w:rPr>
          <w:rStyle w:val="Refdenotaalpie"/>
          <w:szCs w:val="26"/>
        </w:rPr>
        <w:footnoteReference w:id="11"/>
      </w:r>
      <w:r w:rsidR="00932C9D">
        <w:rPr>
          <w:szCs w:val="26"/>
        </w:rPr>
        <w:t xml:space="preserve"> y pendiente de inscribir.</w:t>
      </w:r>
    </w:p>
    <w:p w:rsidR="003D439D" w:rsidRDefault="003D439D" w:rsidP="00964078">
      <w:pPr>
        <w:pStyle w:val="texto"/>
        <w:rPr>
          <w:szCs w:val="26"/>
        </w:rPr>
      </w:pPr>
      <w:r>
        <w:rPr>
          <w:szCs w:val="26"/>
        </w:rPr>
        <w:t>Además, los pisos de Iturrama est</w:t>
      </w:r>
      <w:r w:rsidR="00CE5D72">
        <w:rPr>
          <w:szCs w:val="26"/>
        </w:rPr>
        <w:t>aban</w:t>
      </w:r>
      <w:r>
        <w:rPr>
          <w:szCs w:val="26"/>
        </w:rPr>
        <w:t xml:space="preserve"> arrendados mediante </w:t>
      </w:r>
      <w:r w:rsidR="00047297">
        <w:rPr>
          <w:szCs w:val="26"/>
        </w:rPr>
        <w:t xml:space="preserve">un </w:t>
      </w:r>
      <w:r>
        <w:rPr>
          <w:szCs w:val="26"/>
        </w:rPr>
        <w:t>contrato firmado el 1 de julio de 2010, con una duración de cuatro años</w:t>
      </w:r>
      <w:r w:rsidR="000A4A9C">
        <w:rPr>
          <w:szCs w:val="26"/>
        </w:rPr>
        <w:t>, por lo que ya habría vencido</w:t>
      </w:r>
      <w:r w:rsidR="00CE5D72">
        <w:rPr>
          <w:szCs w:val="26"/>
        </w:rPr>
        <w:t>; en la actualidad, según se indica en el informe privado de valoración, están arrendados a estu</w:t>
      </w:r>
      <w:r w:rsidR="000A4A9C">
        <w:rPr>
          <w:szCs w:val="26"/>
        </w:rPr>
        <w:t>diantes, sin que se aporte o mencione contrato de arrendamiento</w:t>
      </w:r>
      <w:r w:rsidR="000F465E">
        <w:rPr>
          <w:szCs w:val="26"/>
        </w:rPr>
        <w:t xml:space="preserve"> que regule tal relación</w:t>
      </w:r>
      <w:r w:rsidR="000A4A9C">
        <w:rPr>
          <w:szCs w:val="26"/>
        </w:rPr>
        <w:t>.</w:t>
      </w:r>
      <w:r w:rsidR="00D936E2">
        <w:rPr>
          <w:szCs w:val="26"/>
        </w:rPr>
        <w:t xml:space="preserve"> </w:t>
      </w:r>
      <w:r w:rsidR="006F2E2E">
        <w:rPr>
          <w:szCs w:val="26"/>
        </w:rPr>
        <w:t>Igualmente consta que parte de las instalaciones del estadio El Sadar están alquiladas para servicios de hostelería.</w:t>
      </w:r>
    </w:p>
    <w:p w:rsidR="00E21F2D" w:rsidRDefault="00B27CED" w:rsidP="00964078">
      <w:pPr>
        <w:pStyle w:val="texto"/>
        <w:rPr>
          <w:szCs w:val="26"/>
        </w:rPr>
      </w:pPr>
      <w:r>
        <w:rPr>
          <w:szCs w:val="26"/>
        </w:rPr>
        <w:t>En definitiva, como pu</w:t>
      </w:r>
      <w:r w:rsidR="00A3756D">
        <w:rPr>
          <w:szCs w:val="26"/>
        </w:rPr>
        <w:t>e</w:t>
      </w:r>
      <w:r>
        <w:rPr>
          <w:szCs w:val="26"/>
        </w:rPr>
        <w:t xml:space="preserve">de apreciarse, prácticamente la totalidad de </w:t>
      </w:r>
      <w:r w:rsidR="00A3756D">
        <w:rPr>
          <w:szCs w:val="26"/>
        </w:rPr>
        <w:t>l</w:t>
      </w:r>
      <w:r>
        <w:rPr>
          <w:szCs w:val="26"/>
        </w:rPr>
        <w:t xml:space="preserve">os bienes entregados ya estaban soportando cargas a favor de la </w:t>
      </w:r>
      <w:r w:rsidR="003F765F">
        <w:rPr>
          <w:szCs w:val="26"/>
        </w:rPr>
        <w:t xml:space="preserve">Administración de la </w:t>
      </w:r>
      <w:r>
        <w:rPr>
          <w:szCs w:val="26"/>
        </w:rPr>
        <w:t>Comunidad Foral.</w:t>
      </w:r>
      <w:r w:rsidR="00E21F2D">
        <w:rPr>
          <w:szCs w:val="26"/>
        </w:rPr>
        <w:t xml:space="preserve"> Por tanto, con estas actuaciones la Hacienda Pública estaba asegurándose del cumplimiento de las obligaciones tributarias del </w:t>
      </w:r>
      <w:r w:rsidR="001064A4">
        <w:rPr>
          <w:szCs w:val="26"/>
        </w:rPr>
        <w:t>c</w:t>
      </w:r>
      <w:r w:rsidR="00E21F2D">
        <w:rPr>
          <w:szCs w:val="26"/>
        </w:rPr>
        <w:t>lub</w:t>
      </w:r>
      <w:r w:rsidR="00B16926">
        <w:rPr>
          <w:szCs w:val="26"/>
        </w:rPr>
        <w:t>.</w:t>
      </w:r>
    </w:p>
    <w:p w:rsidR="00A10780" w:rsidRDefault="0065115D" w:rsidP="007331F2">
      <w:pPr>
        <w:pStyle w:val="texto"/>
        <w:spacing w:after="240"/>
        <w:rPr>
          <w:szCs w:val="26"/>
        </w:rPr>
      </w:pPr>
      <w:r>
        <w:rPr>
          <w:szCs w:val="26"/>
        </w:rPr>
        <w:t xml:space="preserve">Por otra parte, en el acuerdo de Gobierno por el que se acepta la valoración presentada por el </w:t>
      </w:r>
      <w:r w:rsidR="00D57390">
        <w:rPr>
          <w:szCs w:val="26"/>
        </w:rPr>
        <w:t>c</w:t>
      </w:r>
      <w:r>
        <w:rPr>
          <w:szCs w:val="26"/>
        </w:rPr>
        <w:t xml:space="preserve">lub, se indica expresamente que deberá deducirse del valor de tasación el importe de las cargas hipotecarias de los bienes entregados (ver conclusión </w:t>
      </w:r>
      <w:r w:rsidR="00A10780">
        <w:rPr>
          <w:szCs w:val="26"/>
        </w:rPr>
        <w:t>2</w:t>
      </w:r>
      <w:r w:rsidR="00CC051A">
        <w:rPr>
          <w:szCs w:val="26"/>
        </w:rPr>
        <w:t>2</w:t>
      </w:r>
      <w:r w:rsidR="00A10780">
        <w:rPr>
          <w:szCs w:val="26"/>
        </w:rPr>
        <w:t>ª</w:t>
      </w:r>
      <w:r>
        <w:rPr>
          <w:szCs w:val="26"/>
        </w:rPr>
        <w:t>)</w:t>
      </w:r>
      <w:r w:rsidR="009015CB">
        <w:rPr>
          <w:szCs w:val="26"/>
        </w:rPr>
        <w:t>.</w:t>
      </w:r>
    </w:p>
    <w:p w:rsidR="008A6963" w:rsidRPr="008A6963" w:rsidRDefault="006D5937" w:rsidP="007331F2">
      <w:pPr>
        <w:pStyle w:val="atitulo3"/>
      </w:pPr>
      <w:r>
        <w:t>I</w:t>
      </w:r>
      <w:r w:rsidR="007331F2">
        <w:t xml:space="preserve">V.3.3. </w:t>
      </w:r>
      <w:r w:rsidR="008A6963">
        <w:t xml:space="preserve">Cálculo del diferencial de la deuda tributaria del </w:t>
      </w:r>
      <w:r w:rsidR="00F04075">
        <w:t>c</w:t>
      </w:r>
      <w:r w:rsidR="008A6963">
        <w:t>lub</w:t>
      </w:r>
    </w:p>
    <w:p w:rsidR="007331F2" w:rsidRDefault="002E0394" w:rsidP="00A85D2C">
      <w:pPr>
        <w:pStyle w:val="texto"/>
        <w:rPr>
          <w:szCs w:val="26"/>
        </w:rPr>
      </w:pPr>
      <w:r>
        <w:rPr>
          <w:b/>
          <w:szCs w:val="26"/>
        </w:rPr>
        <w:t>2</w:t>
      </w:r>
      <w:r w:rsidR="00537141">
        <w:rPr>
          <w:b/>
          <w:szCs w:val="26"/>
        </w:rPr>
        <w:t>2</w:t>
      </w:r>
      <w:r w:rsidR="00A85D2C" w:rsidRPr="007409C2">
        <w:rPr>
          <w:b/>
          <w:szCs w:val="26"/>
        </w:rPr>
        <w:t>.ª</w:t>
      </w:r>
      <w:r w:rsidR="00A85D2C">
        <w:rPr>
          <w:szCs w:val="26"/>
        </w:rPr>
        <w:t xml:space="preserve"> </w:t>
      </w:r>
      <w:r w:rsidR="00854893" w:rsidRPr="007E4CA4">
        <w:rPr>
          <w:b/>
          <w:szCs w:val="26"/>
        </w:rPr>
        <w:t xml:space="preserve">Valor neto de los bienes entregados por el </w:t>
      </w:r>
      <w:r w:rsidR="00F04075">
        <w:rPr>
          <w:b/>
          <w:szCs w:val="26"/>
        </w:rPr>
        <w:t>c</w:t>
      </w:r>
      <w:r w:rsidR="00854893" w:rsidRPr="007E4CA4">
        <w:rPr>
          <w:b/>
          <w:szCs w:val="26"/>
        </w:rPr>
        <w:t>lub</w:t>
      </w:r>
    </w:p>
    <w:p w:rsidR="009015CB" w:rsidRDefault="008A6963" w:rsidP="00A85D2C">
      <w:pPr>
        <w:pStyle w:val="texto"/>
        <w:rPr>
          <w:szCs w:val="26"/>
        </w:rPr>
      </w:pPr>
      <w:r w:rsidRPr="00A1290C">
        <w:rPr>
          <w:szCs w:val="26"/>
        </w:rPr>
        <w:t xml:space="preserve">El Gobierno de Navarra en sesión del 29 de abril de 2015 </w:t>
      </w:r>
      <w:r>
        <w:rPr>
          <w:szCs w:val="26"/>
        </w:rPr>
        <w:t>acuerda</w:t>
      </w:r>
      <w:r w:rsidR="006F19FB">
        <w:rPr>
          <w:szCs w:val="26"/>
        </w:rPr>
        <w:t xml:space="preserve"> ace</w:t>
      </w:r>
      <w:r w:rsidR="00854893">
        <w:rPr>
          <w:szCs w:val="26"/>
        </w:rPr>
        <w:t xml:space="preserve">ptar el valor de tasación presentado por la firma privada sobre los bienes a entregar por el </w:t>
      </w:r>
      <w:r w:rsidR="002F533D">
        <w:rPr>
          <w:szCs w:val="26"/>
        </w:rPr>
        <w:t>c</w:t>
      </w:r>
      <w:r w:rsidR="00854893">
        <w:rPr>
          <w:szCs w:val="26"/>
        </w:rPr>
        <w:t xml:space="preserve">lub según </w:t>
      </w:r>
      <w:r w:rsidR="00967A5F">
        <w:rPr>
          <w:szCs w:val="26"/>
        </w:rPr>
        <w:t xml:space="preserve">se detalla en </w:t>
      </w:r>
      <w:r w:rsidR="00854893">
        <w:rPr>
          <w:szCs w:val="26"/>
        </w:rPr>
        <w:t>el anexo II de la Ley Foral 26/2014.</w:t>
      </w:r>
      <w:r w:rsidR="009015CB">
        <w:rPr>
          <w:szCs w:val="26"/>
        </w:rPr>
        <w:t xml:space="preserve"> Dado que en dicho anexo no se contempla el solar </w:t>
      </w:r>
      <w:r w:rsidR="009015CB" w:rsidRPr="00FA7E49">
        <w:t>UM-3 P1</w:t>
      </w:r>
      <w:r w:rsidR="009015CB">
        <w:t>, éste no se incluye en la relación de bienes a entregar a la Comunidad Foral.</w:t>
      </w:r>
      <w:r w:rsidR="002607F0">
        <w:rPr>
          <w:szCs w:val="26"/>
        </w:rPr>
        <w:t xml:space="preserve"> </w:t>
      </w:r>
    </w:p>
    <w:p w:rsidR="004F753A" w:rsidRDefault="004F753A" w:rsidP="00A85D2C">
      <w:pPr>
        <w:pStyle w:val="texto"/>
        <w:rPr>
          <w:szCs w:val="26"/>
        </w:rPr>
      </w:pPr>
      <w:r>
        <w:rPr>
          <w:szCs w:val="26"/>
        </w:rPr>
        <w:t>Este acuerdo está respaldado con un informe previo emitido conjuntamente por la HTN y la Dirección General del Presupuesto. En el mismo se señalan una serie de requisitos que debería contemplar el acuerdo del Gobierno.</w:t>
      </w:r>
    </w:p>
    <w:p w:rsidR="00854893" w:rsidRDefault="002607F0" w:rsidP="00A85D2C">
      <w:pPr>
        <w:pStyle w:val="texto"/>
        <w:rPr>
          <w:szCs w:val="26"/>
        </w:rPr>
      </w:pPr>
      <w:r>
        <w:rPr>
          <w:szCs w:val="26"/>
        </w:rPr>
        <w:t>En dicho acuerdo se contempla</w:t>
      </w:r>
      <w:r w:rsidR="0065115D">
        <w:rPr>
          <w:szCs w:val="26"/>
        </w:rPr>
        <w:t xml:space="preserve">, </w:t>
      </w:r>
      <w:r w:rsidR="00A10780">
        <w:rPr>
          <w:szCs w:val="26"/>
        </w:rPr>
        <w:t>a</w:t>
      </w:r>
      <w:r w:rsidR="0023437C">
        <w:rPr>
          <w:szCs w:val="26"/>
        </w:rPr>
        <w:t>simismo</w:t>
      </w:r>
      <w:r w:rsidR="0065115D">
        <w:rPr>
          <w:szCs w:val="26"/>
        </w:rPr>
        <w:t>,</w:t>
      </w:r>
      <w:r>
        <w:rPr>
          <w:szCs w:val="26"/>
        </w:rPr>
        <w:t xml:space="preserve"> la </w:t>
      </w:r>
      <w:r w:rsidR="00A1290C">
        <w:rPr>
          <w:szCs w:val="26"/>
        </w:rPr>
        <w:t>exigencia de</w:t>
      </w:r>
      <w:r>
        <w:rPr>
          <w:szCs w:val="26"/>
        </w:rPr>
        <w:t xml:space="preserve"> minorar el </w:t>
      </w:r>
      <w:r w:rsidR="00012053">
        <w:rPr>
          <w:szCs w:val="26"/>
        </w:rPr>
        <w:t xml:space="preserve">citado </w:t>
      </w:r>
      <w:r>
        <w:rPr>
          <w:szCs w:val="26"/>
        </w:rPr>
        <w:t xml:space="preserve">valor de tasación obtenido para cada inmueble por “el saldo pendiente de las obligaciones contraídas por el </w:t>
      </w:r>
      <w:r w:rsidR="001064A4">
        <w:rPr>
          <w:szCs w:val="26"/>
        </w:rPr>
        <w:t>c</w:t>
      </w:r>
      <w:r>
        <w:rPr>
          <w:szCs w:val="26"/>
        </w:rPr>
        <w:t>lub a favor de terceros garantizadas con las correspondientes inscripciones registrales”</w:t>
      </w:r>
      <w:r w:rsidR="00A1290C">
        <w:rPr>
          <w:szCs w:val="26"/>
        </w:rPr>
        <w:t>.</w:t>
      </w:r>
    </w:p>
    <w:p w:rsidR="00EF270E" w:rsidRDefault="00854893" w:rsidP="008B3EE8">
      <w:pPr>
        <w:pStyle w:val="texto"/>
        <w:rPr>
          <w:szCs w:val="26"/>
        </w:rPr>
      </w:pPr>
      <w:r>
        <w:rPr>
          <w:szCs w:val="26"/>
        </w:rPr>
        <w:t>Sobre dicho valor</w:t>
      </w:r>
      <w:r w:rsidR="00154927">
        <w:rPr>
          <w:szCs w:val="26"/>
        </w:rPr>
        <w:t xml:space="preserve"> de tasación</w:t>
      </w:r>
      <w:r>
        <w:rPr>
          <w:szCs w:val="26"/>
        </w:rPr>
        <w:t>, 43,05 millones</w:t>
      </w:r>
      <w:r w:rsidR="003236D7">
        <w:rPr>
          <w:szCs w:val="26"/>
        </w:rPr>
        <w:t xml:space="preserve"> (ver conclusión </w:t>
      </w:r>
      <w:r w:rsidR="00A10780">
        <w:rPr>
          <w:szCs w:val="26"/>
        </w:rPr>
        <w:t>1</w:t>
      </w:r>
      <w:r w:rsidR="00207C7E">
        <w:rPr>
          <w:szCs w:val="26"/>
        </w:rPr>
        <w:t>8</w:t>
      </w:r>
      <w:r w:rsidR="00A10780">
        <w:rPr>
          <w:szCs w:val="26"/>
        </w:rPr>
        <w:t>ª</w:t>
      </w:r>
      <w:r w:rsidR="003236D7">
        <w:rPr>
          <w:szCs w:val="26"/>
        </w:rPr>
        <w:t>)</w:t>
      </w:r>
      <w:r>
        <w:rPr>
          <w:szCs w:val="26"/>
        </w:rPr>
        <w:t xml:space="preserve">, </w:t>
      </w:r>
      <w:r w:rsidR="00B00089">
        <w:rPr>
          <w:szCs w:val="26"/>
        </w:rPr>
        <w:t xml:space="preserve">por tanto, </w:t>
      </w:r>
      <w:r>
        <w:rPr>
          <w:szCs w:val="26"/>
        </w:rPr>
        <w:t>se deduc</w:t>
      </w:r>
      <w:r w:rsidR="002F533D">
        <w:rPr>
          <w:szCs w:val="26"/>
        </w:rPr>
        <w:t>e</w:t>
      </w:r>
      <w:r>
        <w:rPr>
          <w:szCs w:val="26"/>
        </w:rPr>
        <w:t xml:space="preserve"> el importe pendiente de los préstamos con entidades bancarias que tiene concertados el </w:t>
      </w:r>
      <w:r w:rsidR="002F533D">
        <w:rPr>
          <w:szCs w:val="26"/>
        </w:rPr>
        <w:t>c</w:t>
      </w:r>
      <w:r>
        <w:rPr>
          <w:szCs w:val="26"/>
        </w:rPr>
        <w:t>lub y que están garantizados con hipotecas sobre los citados bienes tasados</w:t>
      </w:r>
      <w:r w:rsidR="009015CB">
        <w:rPr>
          <w:szCs w:val="26"/>
        </w:rPr>
        <w:t xml:space="preserve"> y, en su caso, avalados por el propio Gobierno de Navarra</w:t>
      </w:r>
      <w:r>
        <w:rPr>
          <w:szCs w:val="26"/>
        </w:rPr>
        <w:t>.</w:t>
      </w:r>
      <w:r w:rsidR="00EF270E">
        <w:rPr>
          <w:szCs w:val="26"/>
        </w:rPr>
        <w:t xml:space="preserve"> Conforme el </w:t>
      </w:r>
      <w:r w:rsidR="002F533D">
        <w:rPr>
          <w:szCs w:val="26"/>
        </w:rPr>
        <w:t>c</w:t>
      </w:r>
      <w:r w:rsidR="00EF270E">
        <w:rPr>
          <w:szCs w:val="26"/>
        </w:rPr>
        <w:t>lub</w:t>
      </w:r>
      <w:r w:rsidR="002F533D">
        <w:rPr>
          <w:szCs w:val="26"/>
        </w:rPr>
        <w:t xml:space="preserve"> vaya abonando</w:t>
      </w:r>
      <w:r w:rsidR="00EF270E">
        <w:rPr>
          <w:szCs w:val="26"/>
        </w:rPr>
        <w:t xml:space="preserve"> estas cargas, se aplicará la reducción correspondiente a la deuda tributaria.</w:t>
      </w:r>
      <w:r>
        <w:rPr>
          <w:szCs w:val="26"/>
        </w:rPr>
        <w:t xml:space="preserve"> </w:t>
      </w:r>
    </w:p>
    <w:p w:rsidR="00CD3026" w:rsidRDefault="00854893" w:rsidP="007331F2">
      <w:pPr>
        <w:pStyle w:val="texto"/>
        <w:spacing w:after="120"/>
        <w:rPr>
          <w:szCs w:val="26"/>
        </w:rPr>
      </w:pPr>
      <w:r>
        <w:rPr>
          <w:szCs w:val="26"/>
        </w:rPr>
        <w:t>Así</w:t>
      </w:r>
      <w:r w:rsidR="00EF270E">
        <w:rPr>
          <w:szCs w:val="26"/>
        </w:rPr>
        <w:t>, en resumen,</w:t>
      </w:r>
      <w:r>
        <w:rPr>
          <w:szCs w:val="26"/>
        </w:rPr>
        <w:t xml:space="preserve"> se </w:t>
      </w:r>
      <w:r w:rsidR="00E82F9C">
        <w:rPr>
          <w:szCs w:val="26"/>
        </w:rPr>
        <w:t>minoran los siguien</w:t>
      </w:r>
      <w:r w:rsidR="00030EB6">
        <w:rPr>
          <w:szCs w:val="26"/>
        </w:rPr>
        <w:t>tes importes</w:t>
      </w:r>
      <w:r w:rsidR="00E82F9C">
        <w:rPr>
          <w:szCs w:val="26"/>
        </w:rPr>
        <w:t>:</w:t>
      </w:r>
    </w:p>
    <w:tbl>
      <w:tblPr>
        <w:tblpPr w:leftFromText="141" w:rightFromText="141" w:vertAnchor="text" w:horzAnchor="margin" w:tblpXSpec="center" w:tblpY="181"/>
        <w:tblW w:w="8766" w:type="dxa"/>
        <w:tblCellMar>
          <w:left w:w="70" w:type="dxa"/>
          <w:right w:w="70" w:type="dxa"/>
        </w:tblCellMar>
        <w:tblLook w:val="04A0" w:firstRow="1" w:lastRow="0" w:firstColumn="1" w:lastColumn="0" w:noHBand="0" w:noVBand="1"/>
      </w:tblPr>
      <w:tblGrid>
        <w:gridCol w:w="1984"/>
        <w:gridCol w:w="3152"/>
        <w:gridCol w:w="1597"/>
        <w:gridCol w:w="2033"/>
      </w:tblGrid>
      <w:tr w:rsidR="00A1290C" w:rsidTr="00362814">
        <w:trPr>
          <w:trHeight w:val="255"/>
        </w:trPr>
        <w:tc>
          <w:tcPr>
            <w:tcW w:w="1984" w:type="dxa"/>
            <w:tcBorders>
              <w:top w:val="single" w:sz="4" w:space="0" w:color="auto"/>
              <w:bottom w:val="single" w:sz="4" w:space="0" w:color="auto"/>
            </w:tcBorders>
            <w:shd w:val="clear" w:color="auto" w:fill="8DB3E2" w:themeFill="text2" w:themeFillTint="66"/>
            <w:vAlign w:val="center"/>
          </w:tcPr>
          <w:p w:rsidR="00A1290C" w:rsidRPr="006F2B1B" w:rsidRDefault="00A1290C" w:rsidP="00E34970">
            <w:pPr>
              <w:pStyle w:val="cuadroCabe"/>
            </w:pPr>
            <w:r>
              <w:t>Entidad financiera</w:t>
            </w:r>
          </w:p>
        </w:tc>
        <w:tc>
          <w:tcPr>
            <w:tcW w:w="3152" w:type="dxa"/>
            <w:tcBorders>
              <w:top w:val="single" w:sz="4" w:space="0" w:color="auto"/>
              <w:bottom w:val="single" w:sz="4" w:space="0" w:color="auto"/>
            </w:tcBorders>
            <w:shd w:val="clear" w:color="auto" w:fill="8DB3E2" w:themeFill="text2" w:themeFillTint="66"/>
            <w:vAlign w:val="center"/>
          </w:tcPr>
          <w:p w:rsidR="00A1290C" w:rsidRDefault="00A1290C" w:rsidP="007331F2">
            <w:pPr>
              <w:pStyle w:val="cuadroCabe"/>
              <w:jc w:val="left"/>
            </w:pPr>
            <w:r>
              <w:t>Bienes hipotecados</w:t>
            </w:r>
          </w:p>
        </w:tc>
        <w:tc>
          <w:tcPr>
            <w:tcW w:w="1597" w:type="dxa"/>
            <w:tcBorders>
              <w:top w:val="single" w:sz="4" w:space="0" w:color="auto"/>
              <w:bottom w:val="single" w:sz="4" w:space="0" w:color="auto"/>
            </w:tcBorders>
            <w:shd w:val="clear" w:color="auto" w:fill="8DB3E2" w:themeFill="text2" w:themeFillTint="66"/>
            <w:vAlign w:val="center"/>
          </w:tcPr>
          <w:p w:rsidR="00A1290C" w:rsidRPr="00D936E2" w:rsidRDefault="00A1290C" w:rsidP="00362814">
            <w:pPr>
              <w:pStyle w:val="cuadroCabe"/>
              <w:jc w:val="right"/>
            </w:pPr>
            <w:r w:rsidRPr="00D936E2">
              <w:t>Imp</w:t>
            </w:r>
            <w:r w:rsidR="00362814">
              <w:t>.</w:t>
            </w:r>
            <w:r w:rsidRPr="00D936E2">
              <w:t xml:space="preserve"> pendiente </w:t>
            </w:r>
          </w:p>
        </w:tc>
        <w:tc>
          <w:tcPr>
            <w:tcW w:w="2033" w:type="dxa"/>
            <w:tcBorders>
              <w:top w:val="single" w:sz="4" w:space="0" w:color="auto"/>
              <w:bottom w:val="single" w:sz="4" w:space="0" w:color="auto"/>
            </w:tcBorders>
            <w:shd w:val="clear" w:color="auto" w:fill="8DB3E2" w:themeFill="text2" w:themeFillTint="66"/>
            <w:vAlign w:val="center"/>
          </w:tcPr>
          <w:p w:rsidR="00A1290C" w:rsidRPr="003236D7" w:rsidRDefault="00A1290C" w:rsidP="007331F2">
            <w:pPr>
              <w:pStyle w:val="cuadroCabe"/>
              <w:jc w:val="right"/>
            </w:pPr>
            <w:r w:rsidRPr="003236D7">
              <w:t>Fecha v</w:t>
            </w:r>
            <w:r w:rsidR="007331F2">
              <w:t xml:space="preserve">to. </w:t>
            </w:r>
            <w:r w:rsidRPr="003236D7">
              <w:t>préstamo</w:t>
            </w:r>
          </w:p>
        </w:tc>
      </w:tr>
      <w:tr w:rsidR="00A1290C" w:rsidRPr="00747271" w:rsidTr="00362814">
        <w:trPr>
          <w:trHeight w:val="255"/>
        </w:trPr>
        <w:tc>
          <w:tcPr>
            <w:tcW w:w="1984" w:type="dxa"/>
            <w:tcBorders>
              <w:top w:val="single" w:sz="4" w:space="0" w:color="auto"/>
              <w:bottom w:val="single" w:sz="2" w:space="0" w:color="auto"/>
            </w:tcBorders>
            <w:vAlign w:val="center"/>
          </w:tcPr>
          <w:p w:rsidR="00A1290C" w:rsidRPr="00285041" w:rsidRDefault="00A1290C" w:rsidP="00E34970">
            <w:pPr>
              <w:pStyle w:val="cuatexto"/>
            </w:pPr>
            <w:r>
              <w:t>CaixaBank</w:t>
            </w:r>
          </w:p>
        </w:tc>
        <w:tc>
          <w:tcPr>
            <w:tcW w:w="3152" w:type="dxa"/>
            <w:tcBorders>
              <w:top w:val="single" w:sz="4" w:space="0" w:color="auto"/>
              <w:bottom w:val="single" w:sz="2" w:space="0" w:color="auto"/>
            </w:tcBorders>
            <w:vAlign w:val="center"/>
          </w:tcPr>
          <w:p w:rsidR="00A1290C" w:rsidRPr="00747271" w:rsidRDefault="00A1290C" w:rsidP="007331F2">
            <w:pPr>
              <w:pStyle w:val="cuatexto"/>
              <w:jc w:val="left"/>
            </w:pPr>
            <w:r>
              <w:t>Hipoteca parque empresarial Tajonar</w:t>
            </w:r>
          </w:p>
        </w:tc>
        <w:tc>
          <w:tcPr>
            <w:tcW w:w="1597" w:type="dxa"/>
            <w:tcBorders>
              <w:top w:val="single" w:sz="4" w:space="0" w:color="auto"/>
              <w:bottom w:val="single" w:sz="2" w:space="0" w:color="auto"/>
            </w:tcBorders>
            <w:vAlign w:val="center"/>
          </w:tcPr>
          <w:p w:rsidR="00A1290C" w:rsidRPr="00D936E2" w:rsidRDefault="000B5AB0" w:rsidP="007331F2">
            <w:pPr>
              <w:pStyle w:val="cuatexto"/>
              <w:jc w:val="right"/>
            </w:pPr>
            <w:r w:rsidRPr="00D936E2">
              <w:t>3.662.831</w:t>
            </w:r>
          </w:p>
        </w:tc>
        <w:tc>
          <w:tcPr>
            <w:tcW w:w="2033" w:type="dxa"/>
            <w:tcBorders>
              <w:top w:val="single" w:sz="4" w:space="0" w:color="auto"/>
              <w:bottom w:val="single" w:sz="2" w:space="0" w:color="auto"/>
            </w:tcBorders>
            <w:vAlign w:val="center"/>
          </w:tcPr>
          <w:p w:rsidR="00A1290C" w:rsidRPr="003236D7" w:rsidRDefault="00A1290C" w:rsidP="007331F2">
            <w:pPr>
              <w:pStyle w:val="cuatexto"/>
              <w:jc w:val="right"/>
            </w:pPr>
            <w:r>
              <w:t>Marzo, 2018</w:t>
            </w:r>
          </w:p>
        </w:tc>
      </w:tr>
      <w:tr w:rsidR="00A1290C" w:rsidRPr="00747271" w:rsidTr="00362814">
        <w:trPr>
          <w:trHeight w:val="255"/>
        </w:trPr>
        <w:tc>
          <w:tcPr>
            <w:tcW w:w="1984" w:type="dxa"/>
            <w:tcBorders>
              <w:top w:val="single" w:sz="2" w:space="0" w:color="auto"/>
              <w:bottom w:val="single" w:sz="2" w:space="0" w:color="auto"/>
            </w:tcBorders>
            <w:vAlign w:val="center"/>
          </w:tcPr>
          <w:p w:rsidR="00A1290C" w:rsidRPr="00285041" w:rsidRDefault="00A1290C" w:rsidP="00E34970">
            <w:pPr>
              <w:pStyle w:val="cuatexto"/>
            </w:pPr>
            <w:r>
              <w:t>B. Popular</w:t>
            </w:r>
          </w:p>
        </w:tc>
        <w:tc>
          <w:tcPr>
            <w:tcW w:w="3152" w:type="dxa"/>
            <w:tcBorders>
              <w:top w:val="single" w:sz="2" w:space="0" w:color="auto"/>
              <w:bottom w:val="single" w:sz="2" w:space="0" w:color="auto"/>
            </w:tcBorders>
            <w:vAlign w:val="center"/>
          </w:tcPr>
          <w:p w:rsidR="00A1290C" w:rsidRPr="00747271" w:rsidRDefault="00A1290C" w:rsidP="007331F2">
            <w:pPr>
              <w:pStyle w:val="cuatexto"/>
              <w:jc w:val="left"/>
            </w:pPr>
            <w:r>
              <w:t>Hipoteca bienes</w:t>
            </w:r>
            <w:r w:rsidR="00E21967">
              <w:t xml:space="preserve">/ </w:t>
            </w:r>
            <w:r>
              <w:t>aval de 18 millones</w:t>
            </w:r>
          </w:p>
        </w:tc>
        <w:tc>
          <w:tcPr>
            <w:tcW w:w="1597" w:type="dxa"/>
            <w:tcBorders>
              <w:top w:val="single" w:sz="2" w:space="0" w:color="auto"/>
              <w:bottom w:val="single" w:sz="2" w:space="0" w:color="auto"/>
            </w:tcBorders>
            <w:vAlign w:val="center"/>
          </w:tcPr>
          <w:p w:rsidR="00A1290C" w:rsidRPr="00D936E2" w:rsidRDefault="00A1290C" w:rsidP="007331F2">
            <w:pPr>
              <w:pStyle w:val="cuatexto"/>
              <w:jc w:val="right"/>
            </w:pPr>
            <w:r w:rsidRPr="00D936E2">
              <w:t>1.803.0</w:t>
            </w:r>
            <w:r w:rsidR="00C30315">
              <w:t>77</w:t>
            </w:r>
          </w:p>
        </w:tc>
        <w:tc>
          <w:tcPr>
            <w:tcW w:w="2033" w:type="dxa"/>
            <w:tcBorders>
              <w:top w:val="single" w:sz="2" w:space="0" w:color="auto"/>
              <w:bottom w:val="single" w:sz="2" w:space="0" w:color="auto"/>
            </w:tcBorders>
            <w:vAlign w:val="center"/>
          </w:tcPr>
          <w:p w:rsidR="00A1290C" w:rsidRPr="00B00089" w:rsidRDefault="00A1290C" w:rsidP="007331F2">
            <w:pPr>
              <w:pStyle w:val="cuatexto"/>
              <w:jc w:val="right"/>
            </w:pPr>
            <w:r w:rsidRPr="00B00089">
              <w:t xml:space="preserve">Mayo, 2020 </w:t>
            </w:r>
            <w:r w:rsidRPr="007331F2">
              <w:rPr>
                <w:vertAlign w:val="superscript"/>
              </w:rPr>
              <w:t>(</w:t>
            </w:r>
            <w:r w:rsidR="00D936E2" w:rsidRPr="007331F2">
              <w:rPr>
                <w:vertAlign w:val="superscript"/>
              </w:rPr>
              <w:t>1</w:t>
            </w:r>
            <w:r w:rsidRPr="007331F2">
              <w:rPr>
                <w:vertAlign w:val="superscript"/>
              </w:rPr>
              <w:t>)</w:t>
            </w:r>
          </w:p>
        </w:tc>
      </w:tr>
      <w:tr w:rsidR="00A1290C" w:rsidRPr="00747271" w:rsidTr="00362814">
        <w:trPr>
          <w:trHeight w:val="255"/>
        </w:trPr>
        <w:tc>
          <w:tcPr>
            <w:tcW w:w="1984" w:type="dxa"/>
            <w:tcBorders>
              <w:top w:val="single" w:sz="2" w:space="0" w:color="auto"/>
              <w:bottom w:val="single" w:sz="2" w:space="0" w:color="auto"/>
            </w:tcBorders>
            <w:vAlign w:val="center"/>
          </w:tcPr>
          <w:p w:rsidR="00A1290C" w:rsidRPr="001D4BF2" w:rsidRDefault="00A1290C" w:rsidP="00E34970">
            <w:pPr>
              <w:pStyle w:val="cuatexto"/>
            </w:pPr>
            <w:r>
              <w:t>Bankinter</w:t>
            </w:r>
          </w:p>
        </w:tc>
        <w:tc>
          <w:tcPr>
            <w:tcW w:w="3152" w:type="dxa"/>
            <w:tcBorders>
              <w:top w:val="single" w:sz="2" w:space="0" w:color="auto"/>
              <w:bottom w:val="single" w:sz="2" w:space="0" w:color="auto"/>
            </w:tcBorders>
            <w:vAlign w:val="center"/>
          </w:tcPr>
          <w:p w:rsidR="00A1290C" w:rsidRPr="00747271" w:rsidRDefault="00A1290C" w:rsidP="00E21967">
            <w:pPr>
              <w:pStyle w:val="cuatexto"/>
              <w:jc w:val="left"/>
            </w:pPr>
            <w:r>
              <w:t>Hipoteca bienes</w:t>
            </w:r>
            <w:r w:rsidR="00E21967">
              <w:t>/</w:t>
            </w:r>
            <w:r>
              <w:t xml:space="preserve"> aval de 18 millones</w:t>
            </w:r>
          </w:p>
        </w:tc>
        <w:tc>
          <w:tcPr>
            <w:tcW w:w="1597" w:type="dxa"/>
            <w:tcBorders>
              <w:top w:val="single" w:sz="2" w:space="0" w:color="auto"/>
              <w:bottom w:val="single" w:sz="2" w:space="0" w:color="auto"/>
            </w:tcBorders>
            <w:vAlign w:val="center"/>
          </w:tcPr>
          <w:p w:rsidR="00A1290C" w:rsidRPr="00D936E2" w:rsidRDefault="00A1290C" w:rsidP="007331F2">
            <w:pPr>
              <w:pStyle w:val="cuatexto"/>
              <w:jc w:val="right"/>
            </w:pPr>
            <w:r w:rsidRPr="00D936E2">
              <w:t>1.803.0</w:t>
            </w:r>
            <w:r w:rsidR="00C30315">
              <w:t>77</w:t>
            </w:r>
          </w:p>
        </w:tc>
        <w:tc>
          <w:tcPr>
            <w:tcW w:w="2033" w:type="dxa"/>
            <w:tcBorders>
              <w:top w:val="single" w:sz="2" w:space="0" w:color="auto"/>
              <w:bottom w:val="single" w:sz="2" w:space="0" w:color="auto"/>
            </w:tcBorders>
            <w:vAlign w:val="center"/>
          </w:tcPr>
          <w:p w:rsidR="00A1290C" w:rsidRPr="00B00089" w:rsidRDefault="00A1290C" w:rsidP="007331F2">
            <w:pPr>
              <w:pStyle w:val="cuatexto"/>
              <w:jc w:val="right"/>
            </w:pPr>
            <w:r w:rsidRPr="00B00089">
              <w:t xml:space="preserve">Mayo, 2020 </w:t>
            </w:r>
            <w:r w:rsidRPr="007331F2">
              <w:rPr>
                <w:vertAlign w:val="superscript"/>
              </w:rPr>
              <w:t>(</w:t>
            </w:r>
            <w:r w:rsidR="00B00089" w:rsidRPr="007331F2">
              <w:rPr>
                <w:vertAlign w:val="superscript"/>
              </w:rPr>
              <w:t>1</w:t>
            </w:r>
            <w:r w:rsidRPr="007331F2">
              <w:rPr>
                <w:vertAlign w:val="superscript"/>
              </w:rPr>
              <w:t>)</w:t>
            </w:r>
          </w:p>
        </w:tc>
      </w:tr>
      <w:tr w:rsidR="00A1290C" w:rsidRPr="00747271" w:rsidTr="00362814">
        <w:trPr>
          <w:trHeight w:val="255"/>
        </w:trPr>
        <w:tc>
          <w:tcPr>
            <w:tcW w:w="1984" w:type="dxa"/>
            <w:tcBorders>
              <w:top w:val="single" w:sz="2" w:space="0" w:color="auto"/>
              <w:bottom w:val="single" w:sz="2" w:space="0" w:color="auto"/>
            </w:tcBorders>
            <w:vAlign w:val="center"/>
          </w:tcPr>
          <w:p w:rsidR="00A1290C" w:rsidRPr="00747271" w:rsidRDefault="00A1290C" w:rsidP="00E34970">
            <w:pPr>
              <w:pStyle w:val="cuatexto"/>
            </w:pPr>
            <w:r>
              <w:t>CaixaBank</w:t>
            </w:r>
          </w:p>
        </w:tc>
        <w:tc>
          <w:tcPr>
            <w:tcW w:w="3152" w:type="dxa"/>
            <w:tcBorders>
              <w:top w:val="single" w:sz="2" w:space="0" w:color="auto"/>
              <w:bottom w:val="single" w:sz="2" w:space="0" w:color="auto"/>
            </w:tcBorders>
            <w:vAlign w:val="center"/>
          </w:tcPr>
          <w:p w:rsidR="00A1290C" w:rsidRPr="00747271" w:rsidRDefault="00A1290C" w:rsidP="00E21967">
            <w:pPr>
              <w:pStyle w:val="cuatexto"/>
              <w:jc w:val="left"/>
            </w:pPr>
            <w:r>
              <w:t>Hipoteca bienes</w:t>
            </w:r>
            <w:r w:rsidR="00E21967">
              <w:t>/</w:t>
            </w:r>
            <w:r>
              <w:t xml:space="preserve"> aval de 18 millones</w:t>
            </w:r>
          </w:p>
        </w:tc>
        <w:tc>
          <w:tcPr>
            <w:tcW w:w="1597" w:type="dxa"/>
            <w:tcBorders>
              <w:top w:val="single" w:sz="2" w:space="0" w:color="auto"/>
              <w:bottom w:val="single" w:sz="2" w:space="0" w:color="auto"/>
            </w:tcBorders>
            <w:vAlign w:val="center"/>
          </w:tcPr>
          <w:p w:rsidR="00A1290C" w:rsidRPr="00D936E2" w:rsidRDefault="000B5AB0" w:rsidP="007331F2">
            <w:pPr>
              <w:pStyle w:val="cuatexto"/>
              <w:jc w:val="right"/>
            </w:pPr>
            <w:r>
              <w:t>3.606.155</w:t>
            </w:r>
          </w:p>
        </w:tc>
        <w:tc>
          <w:tcPr>
            <w:tcW w:w="2033" w:type="dxa"/>
            <w:tcBorders>
              <w:top w:val="single" w:sz="2" w:space="0" w:color="auto"/>
              <w:bottom w:val="single" w:sz="2" w:space="0" w:color="auto"/>
            </w:tcBorders>
            <w:vAlign w:val="center"/>
          </w:tcPr>
          <w:p w:rsidR="00A1290C" w:rsidRPr="00B00089" w:rsidRDefault="00A1290C" w:rsidP="007331F2">
            <w:pPr>
              <w:pStyle w:val="cuatexto"/>
              <w:jc w:val="right"/>
            </w:pPr>
            <w:r w:rsidRPr="00B00089">
              <w:t xml:space="preserve">Mayo, 2020 </w:t>
            </w:r>
            <w:r w:rsidRPr="007331F2">
              <w:rPr>
                <w:vertAlign w:val="superscript"/>
              </w:rPr>
              <w:t>(</w:t>
            </w:r>
            <w:r w:rsidR="00B00089" w:rsidRPr="007331F2">
              <w:rPr>
                <w:vertAlign w:val="superscript"/>
              </w:rPr>
              <w:t>1</w:t>
            </w:r>
            <w:r w:rsidRPr="007331F2">
              <w:rPr>
                <w:vertAlign w:val="superscript"/>
              </w:rPr>
              <w:t>)</w:t>
            </w:r>
          </w:p>
        </w:tc>
      </w:tr>
      <w:tr w:rsidR="007331F2" w:rsidRPr="001B5078" w:rsidTr="00362814">
        <w:trPr>
          <w:trHeight w:val="255"/>
        </w:trPr>
        <w:tc>
          <w:tcPr>
            <w:tcW w:w="5136" w:type="dxa"/>
            <w:gridSpan w:val="2"/>
            <w:tcBorders>
              <w:top w:val="single" w:sz="2" w:space="0" w:color="auto"/>
              <w:bottom w:val="single" w:sz="2" w:space="0" w:color="auto"/>
            </w:tcBorders>
            <w:shd w:val="clear" w:color="auto" w:fill="8DB3E2" w:themeFill="text2" w:themeFillTint="66"/>
            <w:vAlign w:val="center"/>
          </w:tcPr>
          <w:p w:rsidR="007331F2" w:rsidRPr="002E62E9" w:rsidRDefault="007331F2" w:rsidP="007331F2">
            <w:pPr>
              <w:pStyle w:val="cuadroCabe"/>
              <w:jc w:val="left"/>
            </w:pPr>
            <w:r>
              <w:t>Total minoración bienes</w:t>
            </w:r>
          </w:p>
        </w:tc>
        <w:tc>
          <w:tcPr>
            <w:tcW w:w="1597" w:type="dxa"/>
            <w:tcBorders>
              <w:top w:val="single" w:sz="2" w:space="0" w:color="auto"/>
              <w:bottom w:val="single" w:sz="2" w:space="0" w:color="auto"/>
            </w:tcBorders>
            <w:shd w:val="clear" w:color="auto" w:fill="8DB3E2" w:themeFill="text2" w:themeFillTint="66"/>
            <w:vAlign w:val="center"/>
          </w:tcPr>
          <w:p w:rsidR="007331F2" w:rsidRPr="00D936E2" w:rsidRDefault="007331F2" w:rsidP="007331F2">
            <w:pPr>
              <w:pStyle w:val="cuadroCabe"/>
              <w:jc w:val="right"/>
            </w:pPr>
            <w:r w:rsidRPr="00D936E2">
              <w:t>10.875.140</w:t>
            </w:r>
          </w:p>
        </w:tc>
        <w:tc>
          <w:tcPr>
            <w:tcW w:w="2033" w:type="dxa"/>
            <w:tcBorders>
              <w:top w:val="single" w:sz="2" w:space="0" w:color="auto"/>
              <w:bottom w:val="single" w:sz="2" w:space="0" w:color="auto"/>
            </w:tcBorders>
            <w:shd w:val="clear" w:color="auto" w:fill="8DB3E2" w:themeFill="text2" w:themeFillTint="66"/>
            <w:vAlign w:val="center"/>
          </w:tcPr>
          <w:p w:rsidR="007331F2" w:rsidRPr="003236D7" w:rsidRDefault="007331F2" w:rsidP="007331F2">
            <w:pPr>
              <w:pStyle w:val="cuadroCabe"/>
              <w:jc w:val="right"/>
            </w:pPr>
          </w:p>
        </w:tc>
      </w:tr>
    </w:tbl>
    <w:p w:rsidR="00C4542F" w:rsidRPr="00CD3026" w:rsidRDefault="007331F2" w:rsidP="00B3295A">
      <w:pPr>
        <w:pStyle w:val="cuatexto"/>
        <w:spacing w:before="60"/>
        <w:jc w:val="left"/>
      </w:pPr>
      <w:r w:rsidRPr="007331F2">
        <w:rPr>
          <w:vertAlign w:val="superscript"/>
        </w:rPr>
        <w:t>(1)</w:t>
      </w:r>
      <w:r>
        <w:t xml:space="preserve"> </w:t>
      </w:r>
      <w:r w:rsidR="001F6AA3" w:rsidRPr="001F6AA3">
        <w:t>Esta fecha de vencimiento ha sido a</w:t>
      </w:r>
      <w:r w:rsidR="001F6AA3">
        <w:t xml:space="preserve">mpliada </w:t>
      </w:r>
      <w:r w:rsidR="003B1514">
        <w:t>hasta</w:t>
      </w:r>
      <w:r w:rsidR="001F6AA3">
        <w:t xml:space="preserve"> </w:t>
      </w:r>
      <w:r w:rsidR="00A1290C">
        <w:t>enero de 2030</w:t>
      </w:r>
      <w:r w:rsidR="003B1514">
        <w:t>,</w:t>
      </w:r>
      <w:r w:rsidR="001F6AA3">
        <w:t xml:space="preserve"> como resultado d</w:t>
      </w:r>
      <w:r w:rsidR="001F6AA3" w:rsidRPr="001F6AA3">
        <w:t>e</w:t>
      </w:r>
      <w:r w:rsidR="001F6AA3">
        <w:t xml:space="preserve"> </w:t>
      </w:r>
      <w:r w:rsidR="001F6AA3" w:rsidRPr="001F6AA3">
        <w:t>la novación de es</w:t>
      </w:r>
      <w:r w:rsidR="00A10780">
        <w:t>os contratos (Ver conclusión 2</w:t>
      </w:r>
      <w:r w:rsidR="00CC051A">
        <w:t>7</w:t>
      </w:r>
      <w:r w:rsidR="00A10780">
        <w:t>ª</w:t>
      </w:r>
      <w:r w:rsidR="001F6AA3" w:rsidRPr="001F6AA3">
        <w:t>)</w:t>
      </w:r>
    </w:p>
    <w:p w:rsidR="00537141" w:rsidRDefault="00537141" w:rsidP="00B3295A">
      <w:pPr>
        <w:pStyle w:val="texto"/>
        <w:spacing w:after="0"/>
        <w:rPr>
          <w:szCs w:val="26"/>
        </w:rPr>
      </w:pPr>
    </w:p>
    <w:p w:rsidR="00800416" w:rsidRDefault="00800416" w:rsidP="007331F2">
      <w:pPr>
        <w:pStyle w:val="texto"/>
        <w:spacing w:after="240"/>
        <w:rPr>
          <w:szCs w:val="26"/>
        </w:rPr>
      </w:pPr>
      <w:r w:rsidRPr="00117E2F">
        <w:rPr>
          <w:szCs w:val="26"/>
        </w:rPr>
        <w:t>En con</w:t>
      </w:r>
      <w:r>
        <w:rPr>
          <w:szCs w:val="26"/>
        </w:rPr>
        <w:t>secuencia, el valor neto d</w:t>
      </w:r>
      <w:r w:rsidRPr="00117E2F">
        <w:rPr>
          <w:szCs w:val="26"/>
        </w:rPr>
        <w:t>e</w:t>
      </w:r>
      <w:r>
        <w:rPr>
          <w:szCs w:val="26"/>
        </w:rPr>
        <w:t xml:space="preserve"> </w:t>
      </w:r>
      <w:r w:rsidRPr="00117E2F">
        <w:rPr>
          <w:szCs w:val="26"/>
        </w:rPr>
        <w:t>los bienes entr</w:t>
      </w:r>
      <w:r>
        <w:rPr>
          <w:szCs w:val="26"/>
        </w:rPr>
        <w:t>e</w:t>
      </w:r>
      <w:r w:rsidRPr="00117E2F">
        <w:rPr>
          <w:szCs w:val="26"/>
        </w:rPr>
        <w:t xml:space="preserve">gados por el </w:t>
      </w:r>
      <w:r w:rsidR="002F533D">
        <w:rPr>
          <w:szCs w:val="26"/>
        </w:rPr>
        <w:t>c</w:t>
      </w:r>
      <w:r w:rsidRPr="00117E2F">
        <w:rPr>
          <w:szCs w:val="26"/>
        </w:rPr>
        <w:t xml:space="preserve">lub a la Comunidad Foral </w:t>
      </w:r>
      <w:r>
        <w:rPr>
          <w:szCs w:val="26"/>
        </w:rPr>
        <w:t xml:space="preserve">como dación en pago asciende a </w:t>
      </w:r>
      <w:r w:rsidRPr="00D0427B">
        <w:rPr>
          <w:szCs w:val="26"/>
        </w:rPr>
        <w:t>32,</w:t>
      </w:r>
      <w:r w:rsidR="00935C95" w:rsidRPr="00D0427B">
        <w:rPr>
          <w:szCs w:val="26"/>
        </w:rPr>
        <w:t>1</w:t>
      </w:r>
      <w:r w:rsidRPr="00D0427B">
        <w:rPr>
          <w:szCs w:val="26"/>
        </w:rPr>
        <w:t xml:space="preserve">7 </w:t>
      </w:r>
      <w:r>
        <w:rPr>
          <w:szCs w:val="26"/>
        </w:rPr>
        <w:t>millones</w:t>
      </w:r>
      <w:r w:rsidR="00C4542F">
        <w:rPr>
          <w:szCs w:val="26"/>
        </w:rPr>
        <w:t>, según el siguiente detalle:</w:t>
      </w:r>
      <w:r w:rsidRPr="00117E2F">
        <w:rPr>
          <w:szCs w:val="26"/>
        </w:rPr>
        <w:t xml:space="preserve"> </w:t>
      </w:r>
    </w:p>
    <w:tbl>
      <w:tblPr>
        <w:tblW w:w="8717" w:type="dxa"/>
        <w:jc w:val="center"/>
        <w:tblCellMar>
          <w:left w:w="70" w:type="dxa"/>
          <w:right w:w="70" w:type="dxa"/>
        </w:tblCellMar>
        <w:tblLook w:val="04A0" w:firstRow="1" w:lastRow="0" w:firstColumn="1" w:lastColumn="0" w:noHBand="0" w:noVBand="1"/>
      </w:tblPr>
      <w:tblGrid>
        <w:gridCol w:w="6875"/>
        <w:gridCol w:w="1842"/>
      </w:tblGrid>
      <w:tr w:rsidR="00C4542F" w:rsidRPr="006F2B1B" w:rsidTr="00362814">
        <w:trPr>
          <w:trHeight w:val="284"/>
          <w:jc w:val="center"/>
        </w:trPr>
        <w:tc>
          <w:tcPr>
            <w:tcW w:w="6875" w:type="dxa"/>
            <w:tcBorders>
              <w:top w:val="single" w:sz="4" w:space="0" w:color="auto"/>
              <w:bottom w:val="single" w:sz="4" w:space="0" w:color="auto"/>
            </w:tcBorders>
            <w:shd w:val="clear" w:color="auto" w:fill="8DB3E2" w:themeFill="text2" w:themeFillTint="66"/>
            <w:vAlign w:val="center"/>
          </w:tcPr>
          <w:p w:rsidR="00C4542F" w:rsidRPr="006F2B1B" w:rsidRDefault="00C4542F" w:rsidP="00C4542F">
            <w:pPr>
              <w:pStyle w:val="cuadroCabe"/>
            </w:pPr>
            <w:r>
              <w:t>Valor neto de los bienes entregados</w:t>
            </w:r>
          </w:p>
        </w:tc>
        <w:tc>
          <w:tcPr>
            <w:tcW w:w="1842" w:type="dxa"/>
            <w:tcBorders>
              <w:top w:val="single" w:sz="4" w:space="0" w:color="auto"/>
              <w:bottom w:val="single" w:sz="4" w:space="0" w:color="auto"/>
            </w:tcBorders>
            <w:shd w:val="clear" w:color="auto" w:fill="8DB3E2" w:themeFill="text2" w:themeFillTint="66"/>
            <w:vAlign w:val="center"/>
          </w:tcPr>
          <w:p w:rsidR="00C4542F" w:rsidRPr="006F2B1B" w:rsidRDefault="00C4542F" w:rsidP="00B3295A">
            <w:pPr>
              <w:pStyle w:val="cuadroCabe"/>
              <w:jc w:val="right"/>
            </w:pPr>
            <w:r>
              <w:t>Importe</w:t>
            </w:r>
          </w:p>
        </w:tc>
      </w:tr>
      <w:tr w:rsidR="00C4542F" w:rsidRPr="00117E2F" w:rsidTr="00362814">
        <w:trPr>
          <w:trHeight w:val="284"/>
          <w:jc w:val="center"/>
        </w:trPr>
        <w:tc>
          <w:tcPr>
            <w:tcW w:w="6875" w:type="dxa"/>
            <w:tcBorders>
              <w:top w:val="single" w:sz="4" w:space="0" w:color="auto"/>
              <w:bottom w:val="single" w:sz="2" w:space="0" w:color="auto"/>
            </w:tcBorders>
            <w:vAlign w:val="center"/>
          </w:tcPr>
          <w:p w:rsidR="00C4542F" w:rsidRPr="00285041" w:rsidRDefault="00C4542F" w:rsidP="00C4542F">
            <w:pPr>
              <w:pStyle w:val="cuatexto"/>
            </w:pPr>
            <w:r>
              <w:t>Valoración bienes según tasación</w:t>
            </w:r>
          </w:p>
        </w:tc>
        <w:tc>
          <w:tcPr>
            <w:tcW w:w="1842" w:type="dxa"/>
            <w:tcBorders>
              <w:top w:val="single" w:sz="4" w:space="0" w:color="auto"/>
              <w:bottom w:val="single" w:sz="2" w:space="0" w:color="auto"/>
            </w:tcBorders>
            <w:vAlign w:val="center"/>
          </w:tcPr>
          <w:p w:rsidR="00C4542F" w:rsidRPr="00D81BD8" w:rsidRDefault="00C4542F" w:rsidP="00B3295A">
            <w:pPr>
              <w:pStyle w:val="cuatexto"/>
              <w:jc w:val="right"/>
            </w:pPr>
            <w:r w:rsidRPr="00A1290C">
              <w:t>43.045.934</w:t>
            </w:r>
          </w:p>
        </w:tc>
      </w:tr>
      <w:tr w:rsidR="00C4542F" w:rsidRPr="00117E2F" w:rsidTr="00362814">
        <w:trPr>
          <w:trHeight w:val="284"/>
          <w:jc w:val="center"/>
        </w:trPr>
        <w:tc>
          <w:tcPr>
            <w:tcW w:w="6875" w:type="dxa"/>
            <w:tcBorders>
              <w:top w:val="single" w:sz="2" w:space="0" w:color="auto"/>
              <w:bottom w:val="single" w:sz="2" w:space="0" w:color="auto"/>
            </w:tcBorders>
            <w:vAlign w:val="center"/>
          </w:tcPr>
          <w:p w:rsidR="00C4542F" w:rsidRPr="00285041" w:rsidRDefault="00C4542F" w:rsidP="00C4542F">
            <w:pPr>
              <w:pStyle w:val="cuatexto"/>
            </w:pPr>
            <w:r>
              <w:t>Cargas hipotecarias</w:t>
            </w:r>
          </w:p>
        </w:tc>
        <w:tc>
          <w:tcPr>
            <w:tcW w:w="1842" w:type="dxa"/>
            <w:tcBorders>
              <w:top w:val="single" w:sz="2" w:space="0" w:color="auto"/>
              <w:bottom w:val="single" w:sz="2" w:space="0" w:color="auto"/>
            </w:tcBorders>
            <w:vAlign w:val="center"/>
          </w:tcPr>
          <w:p w:rsidR="00C4542F" w:rsidRPr="00D81BD8" w:rsidRDefault="00B3295A" w:rsidP="00B3295A">
            <w:pPr>
              <w:pStyle w:val="cuatexto"/>
              <w:jc w:val="right"/>
            </w:pPr>
            <w:r>
              <w:t>-</w:t>
            </w:r>
            <w:r w:rsidR="00C4542F">
              <w:t>10</w:t>
            </w:r>
            <w:r w:rsidR="00C4542F" w:rsidRPr="00D936E2">
              <w:t>.875.140</w:t>
            </w:r>
          </w:p>
        </w:tc>
      </w:tr>
      <w:tr w:rsidR="00C4542F" w:rsidRPr="00747271" w:rsidTr="00362814">
        <w:trPr>
          <w:trHeight w:val="284"/>
          <w:jc w:val="center"/>
        </w:trPr>
        <w:tc>
          <w:tcPr>
            <w:tcW w:w="6875" w:type="dxa"/>
            <w:tcBorders>
              <w:top w:val="single" w:sz="2" w:space="0" w:color="auto"/>
              <w:bottom w:val="single" w:sz="2" w:space="0" w:color="auto"/>
            </w:tcBorders>
            <w:shd w:val="clear" w:color="auto" w:fill="8DB3E2" w:themeFill="text2" w:themeFillTint="66"/>
            <w:vAlign w:val="center"/>
          </w:tcPr>
          <w:p w:rsidR="00C4542F" w:rsidRPr="001D4BF2" w:rsidRDefault="00C4542F" w:rsidP="00C4542F">
            <w:pPr>
              <w:pStyle w:val="cuadroCabe"/>
            </w:pPr>
            <w:r>
              <w:t>Total valor neto bienes en dación de pago</w:t>
            </w:r>
          </w:p>
        </w:tc>
        <w:tc>
          <w:tcPr>
            <w:tcW w:w="1842" w:type="dxa"/>
            <w:tcBorders>
              <w:top w:val="single" w:sz="2" w:space="0" w:color="auto"/>
              <w:bottom w:val="single" w:sz="2" w:space="0" w:color="auto"/>
            </w:tcBorders>
            <w:shd w:val="clear" w:color="auto" w:fill="8DB3E2" w:themeFill="text2" w:themeFillTint="66"/>
            <w:vAlign w:val="center"/>
          </w:tcPr>
          <w:p w:rsidR="00C4542F" w:rsidRPr="00747271" w:rsidRDefault="00C4542F" w:rsidP="00B3295A">
            <w:pPr>
              <w:pStyle w:val="cuadroCabe"/>
              <w:jc w:val="right"/>
            </w:pPr>
            <w:r w:rsidRPr="00D81BD8">
              <w:t>32.170.794</w:t>
            </w:r>
          </w:p>
        </w:tc>
      </w:tr>
    </w:tbl>
    <w:p w:rsidR="00C4542F" w:rsidRDefault="00C4542F" w:rsidP="00B3295A">
      <w:pPr>
        <w:pStyle w:val="texto"/>
        <w:spacing w:after="0"/>
        <w:rPr>
          <w:szCs w:val="26"/>
        </w:rPr>
      </w:pPr>
    </w:p>
    <w:p w:rsidR="00020941" w:rsidRDefault="00020941" w:rsidP="00800416">
      <w:pPr>
        <w:pStyle w:val="texto"/>
        <w:rPr>
          <w:szCs w:val="26"/>
        </w:rPr>
      </w:pPr>
      <w:r>
        <w:rPr>
          <w:szCs w:val="26"/>
        </w:rPr>
        <w:t xml:space="preserve">De acuerdo con lo </w:t>
      </w:r>
      <w:r w:rsidR="009B4B94">
        <w:rPr>
          <w:szCs w:val="26"/>
        </w:rPr>
        <w:t>indicado</w:t>
      </w:r>
      <w:r>
        <w:rPr>
          <w:szCs w:val="26"/>
        </w:rPr>
        <w:t xml:space="preserve"> en la Ley Foral 26</w:t>
      </w:r>
      <w:r w:rsidR="00967A5F">
        <w:rPr>
          <w:szCs w:val="26"/>
        </w:rPr>
        <w:t>/</w:t>
      </w:r>
      <w:r>
        <w:rPr>
          <w:szCs w:val="26"/>
        </w:rPr>
        <w:t>2014, una vez aceptado el importe de tasación, se dispone del plazo de un mes para elevar a escritura pública la tra</w:t>
      </w:r>
      <w:r w:rsidR="00967A5F">
        <w:rPr>
          <w:szCs w:val="26"/>
        </w:rPr>
        <w:t>n</w:t>
      </w:r>
      <w:r>
        <w:rPr>
          <w:szCs w:val="26"/>
        </w:rPr>
        <w:t>smisión de dichos bienes.</w:t>
      </w:r>
      <w:r w:rsidR="00967A5F">
        <w:rPr>
          <w:szCs w:val="26"/>
        </w:rPr>
        <w:t xml:space="preserve"> </w:t>
      </w:r>
    </w:p>
    <w:p w:rsidR="008C6626" w:rsidRDefault="008C6626" w:rsidP="00800416">
      <w:pPr>
        <w:pStyle w:val="texto"/>
        <w:rPr>
          <w:szCs w:val="26"/>
        </w:rPr>
      </w:pPr>
      <w:r>
        <w:rPr>
          <w:szCs w:val="26"/>
        </w:rPr>
        <w:t>Igualmente</w:t>
      </w:r>
      <w:r w:rsidR="002F533D">
        <w:rPr>
          <w:szCs w:val="26"/>
        </w:rPr>
        <w:t>,</w:t>
      </w:r>
      <w:r>
        <w:rPr>
          <w:szCs w:val="26"/>
        </w:rPr>
        <w:t xml:space="preserve"> el mencionado acuerdo del Gobierno de Navarra señala que, si en el momento de la inscripción de la dación en pago, se detectara en el Registro de la Propiedad algún gravamen o carga desconocida, su importe minorará el valor de la tasación, recalculándose, en consecuencia, el diferencial de la deuda tributaria.</w:t>
      </w:r>
    </w:p>
    <w:p w:rsidR="00B3295A" w:rsidRPr="00800416" w:rsidRDefault="00C4542F" w:rsidP="00672AEC">
      <w:pPr>
        <w:pStyle w:val="texto"/>
        <w:rPr>
          <w:szCs w:val="26"/>
        </w:rPr>
      </w:pPr>
      <w:r>
        <w:rPr>
          <w:szCs w:val="26"/>
        </w:rPr>
        <w:t xml:space="preserve">El 16 de junio de 2015 se ha firmado ante notario la entrega al Gobierno de Navarra de los bienes citados por parte del </w:t>
      </w:r>
      <w:r w:rsidR="002F533D">
        <w:rPr>
          <w:szCs w:val="26"/>
        </w:rPr>
        <w:t>c</w:t>
      </w:r>
      <w:r>
        <w:rPr>
          <w:szCs w:val="26"/>
        </w:rPr>
        <w:t>lub.</w:t>
      </w:r>
    </w:p>
    <w:p w:rsidR="00B3295A" w:rsidRDefault="002E0394" w:rsidP="00967A5F">
      <w:pPr>
        <w:pStyle w:val="texto"/>
        <w:rPr>
          <w:szCs w:val="26"/>
        </w:rPr>
      </w:pPr>
      <w:r>
        <w:rPr>
          <w:b/>
          <w:szCs w:val="26"/>
        </w:rPr>
        <w:t>2</w:t>
      </w:r>
      <w:r w:rsidR="00537141">
        <w:rPr>
          <w:b/>
          <w:szCs w:val="26"/>
        </w:rPr>
        <w:t>3</w:t>
      </w:r>
      <w:r w:rsidR="002461EC" w:rsidRPr="00346F08">
        <w:rPr>
          <w:b/>
          <w:szCs w:val="26"/>
        </w:rPr>
        <w:t>.ª</w:t>
      </w:r>
      <w:r w:rsidR="00117E2F">
        <w:rPr>
          <w:szCs w:val="26"/>
        </w:rPr>
        <w:t xml:space="preserve"> </w:t>
      </w:r>
      <w:r w:rsidR="00117E2F" w:rsidRPr="007E4CA4">
        <w:rPr>
          <w:b/>
          <w:szCs w:val="26"/>
        </w:rPr>
        <w:t>Cálculo del diferencial de la deuda tributaria</w:t>
      </w:r>
      <w:r w:rsidR="00117E2F">
        <w:rPr>
          <w:szCs w:val="26"/>
        </w:rPr>
        <w:t xml:space="preserve">. </w:t>
      </w:r>
    </w:p>
    <w:p w:rsidR="001064A4" w:rsidRDefault="00117E2F" w:rsidP="005229AD">
      <w:pPr>
        <w:pStyle w:val="texto"/>
        <w:rPr>
          <w:szCs w:val="26"/>
        </w:rPr>
      </w:pPr>
      <w:r>
        <w:rPr>
          <w:szCs w:val="26"/>
        </w:rPr>
        <w:t>Partiendo del</w:t>
      </w:r>
      <w:r w:rsidR="00D93792">
        <w:rPr>
          <w:szCs w:val="26"/>
        </w:rPr>
        <w:t xml:space="preserve"> im</w:t>
      </w:r>
      <w:r w:rsidR="00A10780">
        <w:rPr>
          <w:szCs w:val="26"/>
        </w:rPr>
        <w:t xml:space="preserve">porte de la deuda tributaria </w:t>
      </w:r>
      <w:r w:rsidR="00B3295A">
        <w:rPr>
          <w:szCs w:val="26"/>
        </w:rPr>
        <w:t>–</w:t>
      </w:r>
      <w:r w:rsidR="00AF700A">
        <w:rPr>
          <w:szCs w:val="26"/>
        </w:rPr>
        <w:t>52,82 millones</w:t>
      </w:r>
      <w:r w:rsidR="00B3295A">
        <w:rPr>
          <w:szCs w:val="26"/>
        </w:rPr>
        <w:t>–</w:t>
      </w:r>
      <w:r w:rsidR="00AF700A">
        <w:rPr>
          <w:szCs w:val="26"/>
        </w:rPr>
        <w:t xml:space="preserve"> </w:t>
      </w:r>
      <w:r w:rsidR="00D93792">
        <w:rPr>
          <w:szCs w:val="26"/>
        </w:rPr>
        <w:t xml:space="preserve">y deduciendo el valor neto de los bienes entregados por el </w:t>
      </w:r>
      <w:r w:rsidR="002F533D">
        <w:rPr>
          <w:szCs w:val="26"/>
        </w:rPr>
        <w:t>c</w:t>
      </w:r>
      <w:r w:rsidR="00D93792">
        <w:rPr>
          <w:szCs w:val="26"/>
        </w:rPr>
        <w:t>lub</w:t>
      </w:r>
      <w:r w:rsidR="00AF700A">
        <w:rPr>
          <w:szCs w:val="26"/>
        </w:rPr>
        <w:t xml:space="preserve"> </w:t>
      </w:r>
      <w:r w:rsidR="00B3295A">
        <w:rPr>
          <w:szCs w:val="26"/>
        </w:rPr>
        <w:t>–</w:t>
      </w:r>
      <w:r w:rsidR="00AF700A">
        <w:rPr>
          <w:szCs w:val="26"/>
        </w:rPr>
        <w:t>32,17 millones</w:t>
      </w:r>
      <w:r w:rsidR="00B3295A">
        <w:rPr>
          <w:szCs w:val="26"/>
        </w:rPr>
        <w:t>–</w:t>
      </w:r>
      <w:r w:rsidR="00D93792">
        <w:rPr>
          <w:szCs w:val="26"/>
        </w:rPr>
        <w:t xml:space="preserve">, el diferencial de dicha deuda asciende a </w:t>
      </w:r>
      <w:r w:rsidR="00AF700A">
        <w:rPr>
          <w:szCs w:val="26"/>
        </w:rPr>
        <w:t>20,65</w:t>
      </w:r>
      <w:r w:rsidR="00D93792">
        <w:rPr>
          <w:szCs w:val="26"/>
        </w:rPr>
        <w:t xml:space="preserve"> millones, según</w:t>
      </w:r>
      <w:r w:rsidR="00A10780">
        <w:rPr>
          <w:szCs w:val="26"/>
        </w:rPr>
        <w:t xml:space="preserve"> se desprende de</w:t>
      </w:r>
      <w:r w:rsidR="00D93792">
        <w:rPr>
          <w:szCs w:val="26"/>
        </w:rPr>
        <w:t>l cuadro siguiente</w:t>
      </w:r>
      <w:r w:rsidR="00030EB6">
        <w:rPr>
          <w:szCs w:val="26"/>
        </w:rPr>
        <w:t>:</w:t>
      </w:r>
      <w:r>
        <w:rPr>
          <w:szCs w:val="26"/>
        </w:rPr>
        <w:t xml:space="preserve"> </w:t>
      </w:r>
    </w:p>
    <w:tbl>
      <w:tblPr>
        <w:tblW w:w="8754" w:type="dxa"/>
        <w:jc w:val="center"/>
        <w:tblCellMar>
          <w:left w:w="70" w:type="dxa"/>
          <w:right w:w="70" w:type="dxa"/>
        </w:tblCellMar>
        <w:tblLook w:val="04A0" w:firstRow="1" w:lastRow="0" w:firstColumn="1" w:lastColumn="0" w:noHBand="0" w:noVBand="1"/>
      </w:tblPr>
      <w:tblGrid>
        <w:gridCol w:w="4962"/>
        <w:gridCol w:w="3792"/>
      </w:tblGrid>
      <w:tr w:rsidR="00D81BD8" w:rsidRPr="006F2B1B" w:rsidTr="00B3295A">
        <w:trPr>
          <w:trHeight w:val="284"/>
          <w:jc w:val="center"/>
        </w:trPr>
        <w:tc>
          <w:tcPr>
            <w:tcW w:w="4962" w:type="dxa"/>
            <w:tcBorders>
              <w:top w:val="single" w:sz="4" w:space="0" w:color="auto"/>
              <w:bottom w:val="single" w:sz="4" w:space="0" w:color="auto"/>
            </w:tcBorders>
            <w:shd w:val="clear" w:color="auto" w:fill="8DB3E2" w:themeFill="text2" w:themeFillTint="66"/>
            <w:vAlign w:val="center"/>
          </w:tcPr>
          <w:p w:rsidR="00D81BD8" w:rsidRPr="006F2B1B" w:rsidRDefault="00D81BD8" w:rsidP="007C3BF7">
            <w:pPr>
              <w:pStyle w:val="cuadroCabe"/>
            </w:pPr>
            <w:r>
              <w:t>Diferencial deuda tributaria</w:t>
            </w:r>
          </w:p>
        </w:tc>
        <w:tc>
          <w:tcPr>
            <w:tcW w:w="3792" w:type="dxa"/>
            <w:tcBorders>
              <w:top w:val="single" w:sz="4" w:space="0" w:color="auto"/>
              <w:bottom w:val="single" w:sz="4" w:space="0" w:color="auto"/>
            </w:tcBorders>
            <w:shd w:val="clear" w:color="auto" w:fill="8DB3E2" w:themeFill="text2" w:themeFillTint="66"/>
            <w:vAlign w:val="center"/>
          </w:tcPr>
          <w:p w:rsidR="00D81BD8" w:rsidRPr="006F2B1B" w:rsidRDefault="00D81BD8" w:rsidP="00362814">
            <w:pPr>
              <w:pStyle w:val="cuadroCabe"/>
              <w:jc w:val="right"/>
            </w:pPr>
            <w:r>
              <w:t>Importe-tasación privada</w:t>
            </w:r>
          </w:p>
        </w:tc>
      </w:tr>
      <w:tr w:rsidR="00D81BD8" w:rsidRPr="00117E2F" w:rsidTr="00B3295A">
        <w:trPr>
          <w:trHeight w:val="284"/>
          <w:jc w:val="center"/>
        </w:trPr>
        <w:tc>
          <w:tcPr>
            <w:tcW w:w="4962" w:type="dxa"/>
            <w:tcBorders>
              <w:top w:val="single" w:sz="4" w:space="0" w:color="auto"/>
              <w:bottom w:val="single" w:sz="2" w:space="0" w:color="auto"/>
            </w:tcBorders>
            <w:vAlign w:val="center"/>
          </w:tcPr>
          <w:p w:rsidR="00D81BD8" w:rsidRPr="00285041" w:rsidRDefault="00D81BD8" w:rsidP="007C3BF7">
            <w:pPr>
              <w:pStyle w:val="cuatexto"/>
            </w:pPr>
            <w:r>
              <w:t>Total deuda tributaria</w:t>
            </w:r>
          </w:p>
        </w:tc>
        <w:tc>
          <w:tcPr>
            <w:tcW w:w="3792" w:type="dxa"/>
            <w:tcBorders>
              <w:top w:val="single" w:sz="4" w:space="0" w:color="auto"/>
              <w:bottom w:val="single" w:sz="2" w:space="0" w:color="auto"/>
            </w:tcBorders>
            <w:vAlign w:val="center"/>
          </w:tcPr>
          <w:p w:rsidR="00D81BD8" w:rsidRPr="00D81BD8" w:rsidRDefault="00D81BD8" w:rsidP="00362814">
            <w:pPr>
              <w:pStyle w:val="cuatexto"/>
              <w:jc w:val="right"/>
            </w:pPr>
            <w:r w:rsidRPr="00D81BD8">
              <w:t>52.820.880</w:t>
            </w:r>
          </w:p>
        </w:tc>
      </w:tr>
      <w:tr w:rsidR="00D81BD8" w:rsidRPr="00117E2F" w:rsidTr="00B3295A">
        <w:trPr>
          <w:trHeight w:val="284"/>
          <w:jc w:val="center"/>
        </w:trPr>
        <w:tc>
          <w:tcPr>
            <w:tcW w:w="4962" w:type="dxa"/>
            <w:tcBorders>
              <w:top w:val="single" w:sz="2" w:space="0" w:color="auto"/>
              <w:bottom w:val="single" w:sz="2" w:space="0" w:color="auto"/>
            </w:tcBorders>
            <w:vAlign w:val="center"/>
          </w:tcPr>
          <w:p w:rsidR="00D81BD8" w:rsidRPr="00285041" w:rsidRDefault="00D81BD8" w:rsidP="007C3BF7">
            <w:pPr>
              <w:pStyle w:val="cuatexto"/>
            </w:pPr>
            <w:r>
              <w:t>- Valor neto de los bienes entregados en dación de pago</w:t>
            </w:r>
          </w:p>
        </w:tc>
        <w:tc>
          <w:tcPr>
            <w:tcW w:w="3792" w:type="dxa"/>
            <w:tcBorders>
              <w:top w:val="single" w:sz="2" w:space="0" w:color="auto"/>
              <w:bottom w:val="single" w:sz="2" w:space="0" w:color="auto"/>
            </w:tcBorders>
            <w:vAlign w:val="center"/>
          </w:tcPr>
          <w:p w:rsidR="00D81BD8" w:rsidRPr="00D81BD8" w:rsidRDefault="00B3295A" w:rsidP="00362814">
            <w:pPr>
              <w:pStyle w:val="cuatexto"/>
              <w:jc w:val="right"/>
            </w:pPr>
            <w:r>
              <w:t>-</w:t>
            </w:r>
            <w:r w:rsidR="00D81BD8" w:rsidRPr="00D81BD8">
              <w:t>32.170.794</w:t>
            </w:r>
          </w:p>
        </w:tc>
      </w:tr>
      <w:tr w:rsidR="00D81BD8" w:rsidRPr="00747271" w:rsidTr="00B3295A">
        <w:trPr>
          <w:trHeight w:val="284"/>
          <w:jc w:val="center"/>
        </w:trPr>
        <w:tc>
          <w:tcPr>
            <w:tcW w:w="4962" w:type="dxa"/>
            <w:tcBorders>
              <w:top w:val="single" w:sz="2" w:space="0" w:color="auto"/>
              <w:bottom w:val="single" w:sz="2" w:space="0" w:color="auto"/>
            </w:tcBorders>
            <w:shd w:val="clear" w:color="auto" w:fill="8DB3E2" w:themeFill="text2" w:themeFillTint="66"/>
            <w:vAlign w:val="center"/>
          </w:tcPr>
          <w:p w:rsidR="00D81BD8" w:rsidRPr="001D4BF2" w:rsidRDefault="00D81BD8" w:rsidP="007C3BF7">
            <w:pPr>
              <w:pStyle w:val="cuadroCabe"/>
            </w:pPr>
            <w:r>
              <w:t>Total diferencial deuda tributaria</w:t>
            </w:r>
          </w:p>
        </w:tc>
        <w:tc>
          <w:tcPr>
            <w:tcW w:w="3792" w:type="dxa"/>
            <w:tcBorders>
              <w:top w:val="single" w:sz="2" w:space="0" w:color="auto"/>
              <w:bottom w:val="single" w:sz="2" w:space="0" w:color="auto"/>
            </w:tcBorders>
            <w:shd w:val="clear" w:color="auto" w:fill="8DB3E2" w:themeFill="text2" w:themeFillTint="66"/>
            <w:vAlign w:val="center"/>
          </w:tcPr>
          <w:p w:rsidR="00D81BD8" w:rsidRPr="00747271" w:rsidRDefault="00D81BD8" w:rsidP="00362814">
            <w:pPr>
              <w:pStyle w:val="cuadroCabe"/>
              <w:jc w:val="right"/>
            </w:pPr>
            <w:r>
              <w:t>20.650.086</w:t>
            </w:r>
          </w:p>
        </w:tc>
      </w:tr>
    </w:tbl>
    <w:p w:rsidR="002F0AF2" w:rsidRDefault="002F0AF2" w:rsidP="00B3295A">
      <w:pPr>
        <w:pStyle w:val="texto"/>
        <w:spacing w:after="0"/>
        <w:ind w:firstLine="0"/>
        <w:rPr>
          <w:szCs w:val="26"/>
        </w:rPr>
      </w:pPr>
    </w:p>
    <w:p w:rsidR="00117E2F" w:rsidRPr="00D93792" w:rsidRDefault="00B00089" w:rsidP="00D93792">
      <w:pPr>
        <w:pStyle w:val="texto"/>
        <w:rPr>
          <w:szCs w:val="26"/>
        </w:rPr>
      </w:pPr>
      <w:r>
        <w:rPr>
          <w:szCs w:val="26"/>
        </w:rPr>
        <w:t>Sobre este</w:t>
      </w:r>
      <w:r w:rsidR="00D93792" w:rsidRPr="00D93792">
        <w:rPr>
          <w:szCs w:val="26"/>
        </w:rPr>
        <w:t xml:space="preserve"> diferencial de la deuda tributaria</w:t>
      </w:r>
      <w:r w:rsidR="00D93792">
        <w:rPr>
          <w:szCs w:val="26"/>
        </w:rPr>
        <w:t xml:space="preserve"> se </w:t>
      </w:r>
      <w:r w:rsidR="00D93792" w:rsidRPr="00D93792">
        <w:rPr>
          <w:szCs w:val="26"/>
        </w:rPr>
        <w:t>aplicará</w:t>
      </w:r>
      <w:r>
        <w:rPr>
          <w:szCs w:val="26"/>
        </w:rPr>
        <w:t xml:space="preserve"> para su cobro</w:t>
      </w:r>
      <w:r w:rsidR="00D93792" w:rsidRPr="00D93792">
        <w:rPr>
          <w:szCs w:val="26"/>
        </w:rPr>
        <w:t xml:space="preserve"> el apl</w:t>
      </w:r>
      <w:r w:rsidR="00D93792">
        <w:rPr>
          <w:szCs w:val="26"/>
        </w:rPr>
        <w:t>a</w:t>
      </w:r>
      <w:r w:rsidR="00D93792" w:rsidRPr="00D93792">
        <w:rPr>
          <w:szCs w:val="26"/>
        </w:rPr>
        <w:t>zamiento que cont</w:t>
      </w:r>
      <w:r w:rsidR="00D93792">
        <w:rPr>
          <w:szCs w:val="26"/>
        </w:rPr>
        <w:t>e</w:t>
      </w:r>
      <w:r w:rsidR="00D93792" w:rsidRPr="00D93792">
        <w:rPr>
          <w:szCs w:val="26"/>
        </w:rPr>
        <w:t>mpl</w:t>
      </w:r>
      <w:r w:rsidR="00D93792">
        <w:rPr>
          <w:szCs w:val="26"/>
        </w:rPr>
        <w:t>a</w:t>
      </w:r>
      <w:r w:rsidR="00D93792" w:rsidRPr="00D93792">
        <w:rPr>
          <w:szCs w:val="26"/>
        </w:rPr>
        <w:t xml:space="preserve"> la Ley Foral 26/2014.</w:t>
      </w:r>
    </w:p>
    <w:p w:rsidR="008A6963" w:rsidRPr="008A6963" w:rsidRDefault="006D5937" w:rsidP="007676BC">
      <w:pPr>
        <w:pStyle w:val="atitulo3"/>
      </w:pPr>
      <w:r>
        <w:t>I</w:t>
      </w:r>
      <w:r w:rsidR="007676BC">
        <w:t xml:space="preserve">V.3.4. </w:t>
      </w:r>
      <w:r w:rsidR="008A6963" w:rsidRPr="008A6963">
        <w:t>Aplazamiento del dif</w:t>
      </w:r>
      <w:r w:rsidR="006F19FB">
        <w:t>e</w:t>
      </w:r>
      <w:r w:rsidR="008A6963" w:rsidRPr="008A6963">
        <w:t>rencial de la deuda tributaria</w:t>
      </w:r>
    </w:p>
    <w:p w:rsidR="007676BC" w:rsidRDefault="00537141" w:rsidP="008B3EE8">
      <w:pPr>
        <w:pStyle w:val="texto"/>
        <w:rPr>
          <w:szCs w:val="26"/>
        </w:rPr>
      </w:pPr>
      <w:r>
        <w:rPr>
          <w:b/>
          <w:szCs w:val="26"/>
        </w:rPr>
        <w:t>24</w:t>
      </w:r>
      <w:r w:rsidR="008B3EE8" w:rsidRPr="007E4CA4">
        <w:rPr>
          <w:b/>
          <w:szCs w:val="26"/>
        </w:rPr>
        <w:t>.</w:t>
      </w:r>
      <w:r w:rsidR="00991EEC" w:rsidRPr="007E4CA4">
        <w:rPr>
          <w:b/>
          <w:szCs w:val="26"/>
        </w:rPr>
        <w:t>ª</w:t>
      </w:r>
      <w:r w:rsidR="008B3EE8">
        <w:rPr>
          <w:szCs w:val="26"/>
        </w:rPr>
        <w:t xml:space="preserve"> </w:t>
      </w:r>
      <w:r w:rsidR="007E4CA4" w:rsidRPr="007E4CA4">
        <w:rPr>
          <w:b/>
          <w:szCs w:val="26"/>
        </w:rPr>
        <w:t>F</w:t>
      </w:r>
      <w:r w:rsidR="008B3EE8" w:rsidRPr="007E4CA4">
        <w:rPr>
          <w:b/>
          <w:szCs w:val="26"/>
        </w:rPr>
        <w:t>ormalización del aplazamiento sobre el diferencial de la deuda</w:t>
      </w:r>
    </w:p>
    <w:p w:rsidR="008B3EE8" w:rsidRDefault="007409C2" w:rsidP="008B3EE8">
      <w:pPr>
        <w:pStyle w:val="texto"/>
        <w:rPr>
          <w:szCs w:val="26"/>
        </w:rPr>
      </w:pPr>
      <w:r>
        <w:rPr>
          <w:szCs w:val="26"/>
        </w:rPr>
        <w:t xml:space="preserve">Una vez determinado el diferencial de la deuda tributaria, el Gobierno de </w:t>
      </w:r>
      <w:r w:rsidR="00EA08E7">
        <w:rPr>
          <w:szCs w:val="26"/>
        </w:rPr>
        <w:t>N</w:t>
      </w:r>
      <w:r w:rsidR="00F17A9E">
        <w:rPr>
          <w:szCs w:val="26"/>
        </w:rPr>
        <w:t>avarra en su</w:t>
      </w:r>
      <w:r>
        <w:rPr>
          <w:szCs w:val="26"/>
        </w:rPr>
        <w:t xml:space="preserve"> sesión del </w:t>
      </w:r>
      <w:r w:rsidRPr="007E0279">
        <w:rPr>
          <w:szCs w:val="26"/>
        </w:rPr>
        <w:t>29 de abril de 2015</w:t>
      </w:r>
      <w:r>
        <w:rPr>
          <w:szCs w:val="26"/>
        </w:rPr>
        <w:t>, autoriza</w:t>
      </w:r>
      <w:r w:rsidR="007E0279">
        <w:rPr>
          <w:szCs w:val="26"/>
        </w:rPr>
        <w:t>, de acuerdo con las condiciones de la Ley Foral 26/2014,</w:t>
      </w:r>
      <w:r>
        <w:rPr>
          <w:szCs w:val="26"/>
        </w:rPr>
        <w:t xml:space="preserve"> la concesión de un aplazamiento de la misma, con las siguientes características:</w:t>
      </w:r>
    </w:p>
    <w:p w:rsidR="00346F08" w:rsidRPr="00522CF7" w:rsidRDefault="00346F08" w:rsidP="00346F08">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t>Se</w:t>
      </w:r>
      <w:r w:rsidRPr="00540162">
        <w:t xml:space="preserve"> regula </w:t>
      </w:r>
      <w:r>
        <w:t>su procedimiento por</w:t>
      </w:r>
      <w:r w:rsidRPr="00540162">
        <w:t xml:space="preserve"> la propia Ley Foral 26/2014, no aplicándose en consecuencia el procedimiento general establecido por la HTN. </w:t>
      </w:r>
    </w:p>
    <w:p w:rsidR="007409C2" w:rsidRPr="00522CF7" w:rsidRDefault="00A7712B" w:rsidP="00EA08E7">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rsidRPr="00522CF7">
        <w:t>Importe aplazado:</w:t>
      </w:r>
      <w:r w:rsidR="00A3183D" w:rsidRPr="00522CF7">
        <w:t xml:space="preserve"> 20,6</w:t>
      </w:r>
      <w:r w:rsidR="007E0279" w:rsidRPr="00522CF7">
        <w:t>5</w:t>
      </w:r>
      <w:r w:rsidR="00A3183D" w:rsidRPr="00522CF7">
        <w:t xml:space="preserve"> millones</w:t>
      </w:r>
      <w:r w:rsidR="00C01938">
        <w:t>.</w:t>
      </w:r>
    </w:p>
    <w:p w:rsidR="00A7712B" w:rsidRPr="00522CF7" w:rsidRDefault="00A7712B" w:rsidP="00EA08E7">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rsidRPr="00522CF7">
        <w:t>Plazo del aplazamiento:</w:t>
      </w:r>
      <w:r w:rsidR="00A410C2">
        <w:t xml:space="preserve"> máximo de</w:t>
      </w:r>
      <w:r w:rsidRPr="00522CF7">
        <w:t xml:space="preserve"> 30 años a contar desde el 1 de enero de 2015 y con carencia </w:t>
      </w:r>
      <w:r w:rsidR="00A1474E" w:rsidRPr="00522CF7">
        <w:t>sobre</w:t>
      </w:r>
      <w:r w:rsidRPr="00522CF7">
        <w:t xml:space="preserve"> los tres primeros años</w:t>
      </w:r>
      <w:r w:rsidR="000E495B" w:rsidRPr="00522CF7">
        <w:t xml:space="preserve"> sin intereses</w:t>
      </w:r>
      <w:r w:rsidRPr="00522CF7">
        <w:t>. Esta carencia</w:t>
      </w:r>
      <w:r w:rsidR="00EA08E7" w:rsidRPr="00522CF7">
        <w:t>,</w:t>
      </w:r>
      <w:r w:rsidRPr="00522CF7">
        <w:t xml:space="preserve"> quedará sin efecto en el supuesto que el </w:t>
      </w:r>
      <w:r w:rsidR="002F533D">
        <w:t>c</w:t>
      </w:r>
      <w:r w:rsidRPr="00522CF7">
        <w:t>lub ascienda a 1ª División</w:t>
      </w:r>
      <w:r w:rsidR="00494925">
        <w:t xml:space="preserve"> y a partir de la fecha del mismo</w:t>
      </w:r>
      <w:r w:rsidR="00184C58">
        <w:t>; est</w:t>
      </w:r>
      <w:r w:rsidR="00C01938">
        <w:t>a</w:t>
      </w:r>
      <w:r w:rsidR="00494925">
        <w:t xml:space="preserve"> </w:t>
      </w:r>
      <w:r w:rsidR="00C01938">
        <w:t>previsión</w:t>
      </w:r>
      <w:r w:rsidR="00494925">
        <w:t xml:space="preserve"> de ascenso</w:t>
      </w:r>
      <w:r w:rsidR="00184C58">
        <w:t xml:space="preserve"> no se contempla en el citado acuerdo del Gobierno de Navarra</w:t>
      </w:r>
      <w:r w:rsidRPr="00522CF7">
        <w:t>.</w:t>
      </w:r>
    </w:p>
    <w:p w:rsidR="00A7712B" w:rsidRDefault="00A7712B" w:rsidP="00EA08E7">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rsidRPr="00522CF7">
        <w:t>Ingresos afectados a su pago, tras finalizar el periodo de carencia: El 25 por ciento de los derechos audiovisuales, el 25 por ciento de los derechos de traspaso de jugadores</w:t>
      </w:r>
      <w:r w:rsidR="00A85D2C">
        <w:t xml:space="preserve"> (derechos federativos y económicos) </w:t>
      </w:r>
      <w:r w:rsidRPr="00522CF7">
        <w:t xml:space="preserve"> y el 100 por cien de las cantidades percibidas del Gobierno de Navarra por contratos de patrocinio -éste último supuesto, sin periodo de carencia-.</w:t>
      </w:r>
      <w:r w:rsidR="00223C21">
        <w:t xml:space="preserve"> El 3 de julio de 2015 se firmaron las escrituras de cesión de los anteriores derechos audiovisuales y de traspaso</w:t>
      </w:r>
      <w:r w:rsidR="00223C21">
        <w:rPr>
          <w:rStyle w:val="Refdenotaalpie"/>
        </w:rPr>
        <w:footnoteReference w:id="12"/>
      </w:r>
      <w:r w:rsidR="00223C21">
        <w:t>.</w:t>
      </w:r>
    </w:p>
    <w:p w:rsidR="00184C58" w:rsidRPr="00522CF7" w:rsidRDefault="00184C58" w:rsidP="00EA08E7">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t xml:space="preserve">El </w:t>
      </w:r>
      <w:r w:rsidR="002F533D">
        <w:t>c</w:t>
      </w:r>
      <w:r>
        <w:t xml:space="preserve">lub deberá comunicar, una vez superado el periodo de carencia, a los responsables de los derechos televisivos y a la Liga de Fútbol Profesional la cesión a la HTN de los anteriores porcentajes. Tal comunicación deberá ser acreditada </w:t>
      </w:r>
      <w:r w:rsidR="00977CD9">
        <w:t>a</w:t>
      </w:r>
      <w:r>
        <w:t>nte la HTN.</w:t>
      </w:r>
    </w:p>
    <w:p w:rsidR="00AD5A07" w:rsidRPr="00AD5A07" w:rsidRDefault="00AD5A07" w:rsidP="00AD5A07">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rsidRPr="00AD5A07">
        <w:t>Este aplazamiento presenta, en nuestra opinión, un doble sistema y ritmo de pago:</w:t>
      </w:r>
    </w:p>
    <w:p w:rsidR="00AD5A07" w:rsidRPr="00AD5A07" w:rsidRDefault="00AD5A07" w:rsidP="00AD5A07">
      <w:pPr>
        <w:pStyle w:val="texto"/>
        <w:rPr>
          <w:szCs w:val="26"/>
        </w:rPr>
      </w:pPr>
      <w:r w:rsidRPr="00AD5A07">
        <w:rPr>
          <w:szCs w:val="26"/>
        </w:rPr>
        <w:t xml:space="preserve">a) Deuda hipotecaria sobre bienes por importe, a 31 de diciembre de 2014, de 10,88 millones: Conforme el club vaya abonando los préstamos hipotecarios sobre los bienes entregados al Gobierno, éste procederá a reducir la correspondiente deuda tributaria-mediante los oportunos ajustes-, teniendo como contrapartida un mayor valor del bien recibido al liberarlo de la parte correspondiente de la carga hipotecaria. Estas hipotecas vencen, una de ellas, en marzo de 2018 y, las tres restantes, en enero de 2030. </w:t>
      </w:r>
    </w:p>
    <w:p w:rsidR="00AD5A07" w:rsidRPr="00AD5A07" w:rsidRDefault="00AD5A07" w:rsidP="00AD5A07">
      <w:pPr>
        <w:pStyle w:val="texto"/>
        <w:rPr>
          <w:szCs w:val="26"/>
        </w:rPr>
      </w:pPr>
      <w:r w:rsidRPr="00AD5A07">
        <w:rPr>
          <w:szCs w:val="26"/>
        </w:rPr>
        <w:t>b) Resto de la deuda aplazada por importe de 9,77 millones: conforme se vayan devengando los ingresos afectados.</w:t>
      </w:r>
    </w:p>
    <w:p w:rsidR="00F10F26" w:rsidRDefault="00DB7F5A" w:rsidP="00EA08E7">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rsidRPr="00522CF7">
        <w:t xml:space="preserve">Tipo de interés del aplazamiento: </w:t>
      </w:r>
      <w:r w:rsidR="00184C58">
        <w:t>Si bien expresamente ni en la Ley Foral 26/2014 ni en el acuerdo del Gobierno de Navarra se indica el tipo de interés a aplicar en el aplazamiento, de la lectura de dichos textos parece deducirse</w:t>
      </w:r>
      <w:r w:rsidR="00F10F26">
        <w:rPr>
          <w:rStyle w:val="Refdenotaalpie"/>
        </w:rPr>
        <w:footnoteReference w:id="13"/>
      </w:r>
      <w:r w:rsidR="00F10F26">
        <w:t>:</w:t>
      </w:r>
    </w:p>
    <w:p w:rsidR="0096676F" w:rsidRDefault="0096676F" w:rsidP="0096676F">
      <w:pPr>
        <w:pStyle w:val="texto"/>
        <w:rPr>
          <w:szCs w:val="26"/>
        </w:rPr>
      </w:pPr>
      <w:r>
        <w:rPr>
          <w:szCs w:val="26"/>
        </w:rPr>
        <w:t xml:space="preserve">a) </w:t>
      </w:r>
      <w:r w:rsidR="00AD5A07">
        <w:rPr>
          <w:szCs w:val="26"/>
        </w:rPr>
        <w:t xml:space="preserve">Sobre la deuda de 9,77 millones, </w:t>
      </w:r>
      <w:r>
        <w:rPr>
          <w:szCs w:val="26"/>
        </w:rPr>
        <w:t xml:space="preserve">su tratamiento en esta materia será el establecido por el </w:t>
      </w:r>
      <w:r w:rsidR="00E1032F">
        <w:rPr>
          <w:szCs w:val="26"/>
        </w:rPr>
        <w:t>R</w:t>
      </w:r>
      <w:r>
        <w:rPr>
          <w:szCs w:val="26"/>
        </w:rPr>
        <w:t xml:space="preserve">eglamento de </w:t>
      </w:r>
      <w:r w:rsidR="00E1032F">
        <w:rPr>
          <w:szCs w:val="26"/>
        </w:rPr>
        <w:t>R</w:t>
      </w:r>
      <w:r>
        <w:rPr>
          <w:szCs w:val="26"/>
        </w:rPr>
        <w:t>ecaudación.</w:t>
      </w:r>
    </w:p>
    <w:p w:rsidR="0096676F" w:rsidRDefault="0096676F" w:rsidP="0096676F">
      <w:pPr>
        <w:pStyle w:val="texto"/>
        <w:rPr>
          <w:szCs w:val="26"/>
        </w:rPr>
      </w:pPr>
      <w:r>
        <w:rPr>
          <w:szCs w:val="26"/>
        </w:rPr>
        <w:t>b) Sobre el resto de la deuda soportada en los préstamos hipotecarios citados, en opinión de la HTN, si el club cumple con sus compromisos de pago a las entidades financieras, el importe principal adeudado se extinguirá en los términos señalados por el acuerdo del Gobierno de Navarra, extinguiéndose igualmente la prestación accesoria que supon</w:t>
      </w:r>
      <w:r w:rsidR="00E1032F">
        <w:rPr>
          <w:szCs w:val="26"/>
        </w:rPr>
        <w:t>dría</w:t>
      </w:r>
      <w:r>
        <w:rPr>
          <w:szCs w:val="26"/>
        </w:rPr>
        <w:t xml:space="preserve"> el interés de demora. En caso de incumplimiento de pagos por el club, el principal adeudado se exigirá por los procedimientos recaudatorios previstos junto con los intereses de demora devengados desde el vencimiento de la moratoria que contiene el precitado acuerdo del Gobierno de navarra.</w:t>
      </w:r>
    </w:p>
    <w:p w:rsidR="00494925" w:rsidRDefault="00494925" w:rsidP="00EA08E7">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t xml:space="preserve">Cada uno de los pagos realizados por el </w:t>
      </w:r>
      <w:r w:rsidR="002F533D">
        <w:t>c</w:t>
      </w:r>
      <w:r>
        <w:t>lub conllevará</w:t>
      </w:r>
      <w:r w:rsidR="0096676F">
        <w:t>, en su caso,</w:t>
      </w:r>
      <w:r>
        <w:t xml:space="preserve"> el </w:t>
      </w:r>
      <w:r w:rsidR="002F533D">
        <w:t>recalculo</w:t>
      </w:r>
      <w:r>
        <w:t xml:space="preserve"> de los intereses de demora del aplazamiento.</w:t>
      </w:r>
    </w:p>
    <w:p w:rsidR="00944551" w:rsidRPr="00977CD9" w:rsidRDefault="00944551" w:rsidP="00944551">
      <w:pPr>
        <w:pStyle w:val="texto"/>
        <w:rPr>
          <w:szCs w:val="26"/>
        </w:rPr>
      </w:pPr>
      <w:r w:rsidRPr="00977CD9">
        <w:rPr>
          <w:szCs w:val="26"/>
        </w:rPr>
        <w:t xml:space="preserve">En nuestra opinión, la regulación </w:t>
      </w:r>
      <w:r w:rsidR="00BE17E0" w:rsidRPr="00977CD9">
        <w:rPr>
          <w:szCs w:val="26"/>
        </w:rPr>
        <w:t>que contiene</w:t>
      </w:r>
      <w:r w:rsidRPr="00977CD9">
        <w:rPr>
          <w:szCs w:val="26"/>
        </w:rPr>
        <w:t xml:space="preserve"> la Ley Foral 26/2014</w:t>
      </w:r>
      <w:r w:rsidR="00BE17E0" w:rsidRPr="00977CD9">
        <w:rPr>
          <w:szCs w:val="26"/>
        </w:rPr>
        <w:t xml:space="preserve"> sobre este aplazamiento</w:t>
      </w:r>
      <w:r w:rsidRPr="00977CD9">
        <w:rPr>
          <w:szCs w:val="26"/>
        </w:rPr>
        <w:t xml:space="preserve"> </w:t>
      </w:r>
      <w:r w:rsidR="00BE17E0" w:rsidRPr="00977CD9">
        <w:rPr>
          <w:szCs w:val="26"/>
        </w:rPr>
        <w:t>podría ser</w:t>
      </w:r>
      <w:r w:rsidRPr="00977CD9">
        <w:rPr>
          <w:szCs w:val="26"/>
        </w:rPr>
        <w:t xml:space="preserve"> insuficiente para cubrir </w:t>
      </w:r>
      <w:r w:rsidR="00E21967">
        <w:rPr>
          <w:szCs w:val="26"/>
        </w:rPr>
        <w:t>un posible</w:t>
      </w:r>
      <w:r w:rsidRPr="00977CD9">
        <w:rPr>
          <w:szCs w:val="26"/>
        </w:rPr>
        <w:t xml:space="preserve"> riesgo del Gobierno de Navarra</w:t>
      </w:r>
      <w:r w:rsidR="00BE17E0" w:rsidRPr="00977CD9">
        <w:rPr>
          <w:szCs w:val="26"/>
        </w:rPr>
        <w:t>,</w:t>
      </w:r>
      <w:r w:rsidR="00472111" w:rsidRPr="00977CD9">
        <w:rPr>
          <w:szCs w:val="26"/>
        </w:rPr>
        <w:t xml:space="preserve"> por lo que podrían derivarse contingencias económicas frente a terceros</w:t>
      </w:r>
      <w:r w:rsidR="00E21967">
        <w:rPr>
          <w:szCs w:val="26"/>
        </w:rPr>
        <w:t xml:space="preserve"> en caso de incumplimiento por el club de su obligaciones de pago</w:t>
      </w:r>
      <w:r w:rsidRPr="00977CD9">
        <w:rPr>
          <w:szCs w:val="26"/>
        </w:rPr>
        <w:t>. Así:</w:t>
      </w:r>
    </w:p>
    <w:p w:rsidR="004359DF" w:rsidRDefault="004359DF" w:rsidP="00BE17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t>El pr</w:t>
      </w:r>
      <w:r w:rsidR="00E21967">
        <w:t>é</w:t>
      </w:r>
      <w:r>
        <w:t>stamo</w:t>
      </w:r>
      <w:r w:rsidR="00E21967">
        <w:t xml:space="preserve"> de la Caixa -3,</w:t>
      </w:r>
      <w:r w:rsidR="00EE70B8">
        <w:t>66</w:t>
      </w:r>
      <w:r w:rsidR="00E21967">
        <w:t xml:space="preserve"> millones- está garantizado por una hipoteca sobre las instalaciones de Tajonar; los restantes 7,</w:t>
      </w:r>
      <w:r w:rsidR="00EE70B8">
        <w:t>21</w:t>
      </w:r>
      <w:r w:rsidR="00E21967">
        <w:t xml:space="preserve"> millones, están garantizados ante las entidades financieras con un aval del Gobierno de Navarra, que a su vez constituyó contra-garantía a su favor con hipoteca sobre diversos bienes</w:t>
      </w:r>
      <w:r w:rsidR="00EE70B8">
        <w:rPr>
          <w:rStyle w:val="Refdenotaalpie"/>
        </w:rPr>
        <w:footnoteReference w:id="14"/>
      </w:r>
      <w:r w:rsidR="00E21967">
        <w:t>.</w:t>
      </w:r>
      <w:r w:rsidR="00EE70B8">
        <w:t xml:space="preserve"> </w:t>
      </w:r>
    </w:p>
    <w:p w:rsidR="00944551" w:rsidRPr="00977CD9" w:rsidRDefault="00472111" w:rsidP="00BE17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rsidRPr="00977CD9">
        <w:t>E</w:t>
      </w:r>
      <w:r w:rsidR="00944551" w:rsidRPr="00977CD9">
        <w:t>n relación con el procedimien</w:t>
      </w:r>
      <w:r w:rsidR="00BE17E0" w:rsidRPr="00977CD9">
        <w:t xml:space="preserve">to de pago </w:t>
      </w:r>
      <w:r w:rsidR="00944551" w:rsidRPr="00977CD9">
        <w:t xml:space="preserve">mediante ingresos afectados, </w:t>
      </w:r>
      <w:r w:rsidR="00BE17E0" w:rsidRPr="00977CD9">
        <w:t>no se contempla</w:t>
      </w:r>
      <w:r w:rsidR="00944551" w:rsidRPr="00977CD9">
        <w:t xml:space="preserve"> el supuesto de que no existan</w:t>
      </w:r>
      <w:r w:rsidR="00BE17E0" w:rsidRPr="00977CD9">
        <w:t xml:space="preserve"> o no se materialicen efectivamente </w:t>
      </w:r>
      <w:r w:rsidR="00944551" w:rsidRPr="00977CD9">
        <w:t xml:space="preserve"> tales ingresos y cómo afectaría</w:t>
      </w:r>
      <w:r w:rsidR="00BE17E0" w:rsidRPr="00977CD9">
        <w:t xml:space="preserve"> est</w:t>
      </w:r>
      <w:r w:rsidR="004F753A" w:rsidRPr="00977CD9">
        <w:t>os hechos</w:t>
      </w:r>
      <w:r w:rsidR="00944551" w:rsidRPr="00977CD9">
        <w:t xml:space="preserve"> al cobro de la deuda aplazada.</w:t>
      </w:r>
    </w:p>
    <w:p w:rsidR="003F3963" w:rsidRPr="00F17A9E" w:rsidRDefault="00BB3700" w:rsidP="007676BC">
      <w:pPr>
        <w:pStyle w:val="atitulo3"/>
      </w:pPr>
      <w:r>
        <w:t>IV.3.5</w:t>
      </w:r>
      <w:r w:rsidR="007676BC">
        <w:t xml:space="preserve">. </w:t>
      </w:r>
      <w:r w:rsidR="00F17A9E">
        <w:t xml:space="preserve">Contratos de arrendamientos y de cesión de uso de determinados bienes al </w:t>
      </w:r>
      <w:r w:rsidR="00F04075">
        <w:t>c</w:t>
      </w:r>
      <w:r w:rsidR="00F17A9E">
        <w:t>lub</w:t>
      </w:r>
    </w:p>
    <w:p w:rsidR="007676BC" w:rsidRDefault="002E0394" w:rsidP="00636E08">
      <w:pPr>
        <w:pStyle w:val="texto"/>
        <w:rPr>
          <w:b/>
          <w:szCs w:val="26"/>
        </w:rPr>
      </w:pPr>
      <w:r>
        <w:rPr>
          <w:b/>
          <w:szCs w:val="26"/>
        </w:rPr>
        <w:t>2</w:t>
      </w:r>
      <w:r w:rsidR="00537141">
        <w:rPr>
          <w:b/>
          <w:szCs w:val="26"/>
        </w:rPr>
        <w:t>5</w:t>
      </w:r>
      <w:r w:rsidR="008B3EE8" w:rsidRPr="00346F08">
        <w:rPr>
          <w:b/>
          <w:szCs w:val="26"/>
        </w:rPr>
        <w:t>.</w:t>
      </w:r>
      <w:r w:rsidR="00991EEC" w:rsidRPr="00346F08">
        <w:rPr>
          <w:b/>
          <w:szCs w:val="26"/>
        </w:rPr>
        <w:t>ª</w:t>
      </w:r>
      <w:r w:rsidR="008B3EE8">
        <w:rPr>
          <w:szCs w:val="26"/>
        </w:rPr>
        <w:t xml:space="preserve"> </w:t>
      </w:r>
      <w:r w:rsidR="00346F08">
        <w:rPr>
          <w:b/>
          <w:szCs w:val="26"/>
        </w:rPr>
        <w:t>C</w:t>
      </w:r>
      <w:r w:rsidR="008B3EE8" w:rsidRPr="007E4CA4">
        <w:rPr>
          <w:b/>
          <w:szCs w:val="26"/>
        </w:rPr>
        <w:t>ontratos de arrendamiento y de cesión de us</w:t>
      </w:r>
      <w:r w:rsidR="00072B53" w:rsidRPr="007E4CA4">
        <w:rPr>
          <w:b/>
          <w:szCs w:val="26"/>
        </w:rPr>
        <w:t xml:space="preserve">o de los </w:t>
      </w:r>
      <w:r w:rsidR="008B3EE8" w:rsidRPr="007E4CA4">
        <w:rPr>
          <w:b/>
          <w:szCs w:val="26"/>
        </w:rPr>
        <w:t>bienes</w:t>
      </w:r>
      <w:r w:rsidR="00362814">
        <w:rPr>
          <w:b/>
          <w:szCs w:val="26"/>
        </w:rPr>
        <w:t xml:space="preserve"> al </w:t>
      </w:r>
      <w:r w:rsidR="00F04075">
        <w:rPr>
          <w:b/>
          <w:szCs w:val="26"/>
        </w:rPr>
        <w:t>c</w:t>
      </w:r>
      <w:r w:rsidR="00362814">
        <w:rPr>
          <w:b/>
          <w:szCs w:val="26"/>
        </w:rPr>
        <w:t>lub</w:t>
      </w:r>
      <w:r w:rsidR="00636E08">
        <w:rPr>
          <w:b/>
          <w:szCs w:val="26"/>
        </w:rPr>
        <w:t xml:space="preserve"> </w:t>
      </w:r>
    </w:p>
    <w:p w:rsidR="00F17A9E" w:rsidRPr="00636E08" w:rsidRDefault="00F17A9E" w:rsidP="00636E08">
      <w:pPr>
        <w:pStyle w:val="texto"/>
        <w:rPr>
          <w:b/>
          <w:szCs w:val="26"/>
        </w:rPr>
      </w:pPr>
      <w:r>
        <w:rPr>
          <w:szCs w:val="26"/>
        </w:rPr>
        <w:t>De acuerdo con lo contemplado en el art.3 de la Ley Foral 26/2014, se autoriza lo siguiente:</w:t>
      </w:r>
    </w:p>
    <w:p w:rsidR="00F17A9E" w:rsidRPr="00C14386" w:rsidRDefault="00F17A9E" w:rsidP="00F17A9E">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rsidRPr="00C14386">
        <w:t>Arrendamiento de las instalaciones deportivas de Tajonar y cesión de uso del estadio de El Sadar</w:t>
      </w:r>
      <w:r w:rsidR="003B0791" w:rsidRPr="00C14386">
        <w:t xml:space="preserve"> al </w:t>
      </w:r>
      <w:r w:rsidR="002F533D">
        <w:t>c</w:t>
      </w:r>
      <w:r w:rsidR="003B0791" w:rsidRPr="00C14386">
        <w:t>lub</w:t>
      </w:r>
      <w:r w:rsidRPr="00C14386">
        <w:t>.</w:t>
      </w:r>
    </w:p>
    <w:p w:rsidR="00F17A9E" w:rsidRPr="00C14386" w:rsidRDefault="00F17A9E" w:rsidP="00F17A9E">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rsidRPr="00C14386">
        <w:t>Plazo de vigencia: 30 años.</w:t>
      </w:r>
    </w:p>
    <w:p w:rsidR="00F17A9E" w:rsidRPr="00C14386" w:rsidRDefault="00F17A9E" w:rsidP="00F17A9E">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rsidRPr="00C14386">
        <w:t>Importe: La renta anual de las fincas arrendadas ascenderá a 75.000 euros –si continúa en 2ª División</w:t>
      </w:r>
      <w:r w:rsidR="007676BC">
        <w:t>–</w:t>
      </w:r>
      <w:r w:rsidRPr="00C14386">
        <w:t xml:space="preserve"> o de 150.000 euros –si asciende a 1ª División</w:t>
      </w:r>
      <w:r w:rsidR="007676BC">
        <w:t>–</w:t>
      </w:r>
      <w:r w:rsidRPr="00C14386">
        <w:t>. Esta renta se actualizará anualmente de acuerdo con la Ley de Arrendamientos Urbanos.</w:t>
      </w:r>
    </w:p>
    <w:p w:rsidR="00F17A9E" w:rsidRPr="00C14386" w:rsidRDefault="00F17A9E" w:rsidP="00F17A9E">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rsidRPr="00C14386">
        <w:t xml:space="preserve">Los gastos de mantenimiento y conservación así como los de uso de las anteriores fincas serán por cuenta del </w:t>
      </w:r>
      <w:r w:rsidR="002F533D">
        <w:t>c</w:t>
      </w:r>
      <w:r w:rsidRPr="00C14386">
        <w:t>lub.</w:t>
      </w:r>
    </w:p>
    <w:p w:rsidR="00F17A9E" w:rsidRPr="00771C84" w:rsidRDefault="00F17A9E" w:rsidP="00F17A9E">
      <w:pPr>
        <w:pStyle w:val="texto"/>
        <w:tabs>
          <w:tab w:val="clear" w:pos="2835"/>
          <w:tab w:val="clear" w:pos="3969"/>
          <w:tab w:val="clear" w:pos="5103"/>
          <w:tab w:val="clear" w:pos="6237"/>
          <w:tab w:val="clear" w:pos="7371"/>
        </w:tabs>
        <w:rPr>
          <w:szCs w:val="26"/>
        </w:rPr>
      </w:pPr>
      <w:r w:rsidRPr="00771C84">
        <w:rPr>
          <w:szCs w:val="26"/>
        </w:rPr>
        <w:t>Igualmente</w:t>
      </w:r>
      <w:r w:rsidR="002F533D">
        <w:rPr>
          <w:szCs w:val="26"/>
        </w:rPr>
        <w:t>,</w:t>
      </w:r>
      <w:r w:rsidRPr="00771C84">
        <w:rPr>
          <w:szCs w:val="26"/>
        </w:rPr>
        <w:t xml:space="preserve"> el Gobierno se reserva un derecho preferente para promover actividades deportivo-culturales en las anteriores fincas, de acuerdo con el </w:t>
      </w:r>
      <w:r w:rsidR="00E404B2">
        <w:rPr>
          <w:szCs w:val="26"/>
        </w:rPr>
        <w:t>c</w:t>
      </w:r>
      <w:r w:rsidRPr="00771C84">
        <w:rPr>
          <w:szCs w:val="26"/>
        </w:rPr>
        <w:t>lub.</w:t>
      </w:r>
    </w:p>
    <w:p w:rsidR="00C4542F" w:rsidRDefault="00C4542F" w:rsidP="003D4A18">
      <w:pPr>
        <w:pStyle w:val="texto"/>
        <w:rPr>
          <w:szCs w:val="26"/>
        </w:rPr>
      </w:pPr>
      <w:r>
        <w:rPr>
          <w:szCs w:val="26"/>
        </w:rPr>
        <w:t xml:space="preserve">El 16 de junio de 2015 se </w:t>
      </w:r>
      <w:r w:rsidR="00ED2449">
        <w:rPr>
          <w:szCs w:val="26"/>
        </w:rPr>
        <w:t xml:space="preserve">aprueba por resoluciones del Director General del Presupuesto </w:t>
      </w:r>
      <w:r>
        <w:rPr>
          <w:szCs w:val="26"/>
        </w:rPr>
        <w:t xml:space="preserve">la cesión de uso y el arrendamiento citados entre el </w:t>
      </w:r>
      <w:r w:rsidR="002F533D">
        <w:rPr>
          <w:szCs w:val="26"/>
        </w:rPr>
        <w:t>c</w:t>
      </w:r>
      <w:r>
        <w:rPr>
          <w:szCs w:val="26"/>
        </w:rPr>
        <w:t>lub y el Gobierno de Navarra</w:t>
      </w:r>
      <w:r w:rsidR="00ED2449">
        <w:rPr>
          <w:szCs w:val="26"/>
        </w:rPr>
        <w:t>, firmándose el contrato de arrendamiento ese mismo día.</w:t>
      </w:r>
    </w:p>
    <w:p w:rsidR="008B3EE8" w:rsidRPr="00A3183D" w:rsidRDefault="00C4542F" w:rsidP="002A462C">
      <w:pPr>
        <w:pStyle w:val="texto"/>
        <w:tabs>
          <w:tab w:val="clear" w:pos="2835"/>
          <w:tab w:val="clear" w:pos="3969"/>
          <w:tab w:val="clear" w:pos="5103"/>
          <w:tab w:val="clear" w:pos="6237"/>
          <w:tab w:val="clear" w:pos="7371"/>
        </w:tabs>
        <w:rPr>
          <w:szCs w:val="26"/>
        </w:rPr>
      </w:pPr>
      <w:r>
        <w:rPr>
          <w:szCs w:val="26"/>
        </w:rPr>
        <w:t>L</w:t>
      </w:r>
      <w:r w:rsidR="00020941" w:rsidRPr="00A3183D">
        <w:rPr>
          <w:szCs w:val="26"/>
        </w:rPr>
        <w:t>a Ley</w:t>
      </w:r>
      <w:r>
        <w:rPr>
          <w:szCs w:val="26"/>
        </w:rPr>
        <w:t xml:space="preserve"> Foral </w:t>
      </w:r>
      <w:r w:rsidR="00020941" w:rsidRPr="00A3183D">
        <w:rPr>
          <w:szCs w:val="26"/>
        </w:rPr>
        <w:t xml:space="preserve">se limita a </w:t>
      </w:r>
      <w:r w:rsidR="009B4B94" w:rsidRPr="00A3183D">
        <w:rPr>
          <w:szCs w:val="26"/>
        </w:rPr>
        <w:t>indicar</w:t>
      </w:r>
      <w:r w:rsidR="00020941" w:rsidRPr="00A3183D">
        <w:rPr>
          <w:szCs w:val="26"/>
        </w:rPr>
        <w:t xml:space="preserve"> que serán </w:t>
      </w:r>
      <w:r w:rsidR="003D4A18" w:rsidRPr="00A3183D">
        <w:rPr>
          <w:szCs w:val="26"/>
        </w:rPr>
        <w:t>por</w:t>
      </w:r>
      <w:r w:rsidR="00020941" w:rsidRPr="00A3183D">
        <w:rPr>
          <w:szCs w:val="26"/>
        </w:rPr>
        <w:t xml:space="preserve"> cuenta del </w:t>
      </w:r>
      <w:r w:rsidR="002F533D">
        <w:rPr>
          <w:szCs w:val="26"/>
        </w:rPr>
        <w:t>c</w:t>
      </w:r>
      <w:r w:rsidR="00020941" w:rsidRPr="00A3183D">
        <w:rPr>
          <w:szCs w:val="26"/>
        </w:rPr>
        <w:t>lub los gastos de mantenimiento y conservación de los bienes cedidos en arrendamiento y uso</w:t>
      </w:r>
      <w:r w:rsidR="00522286">
        <w:rPr>
          <w:szCs w:val="26"/>
        </w:rPr>
        <w:t>; s</w:t>
      </w:r>
      <w:r w:rsidR="00020941" w:rsidRPr="00A3183D">
        <w:rPr>
          <w:szCs w:val="26"/>
        </w:rPr>
        <w:t>in embargo, no contiene referencia alguna sobre quién debería financiar los gastos de inversión que pudieran precisar los mismos.</w:t>
      </w:r>
      <w:r w:rsidR="00A26BFA" w:rsidRPr="00A3183D">
        <w:rPr>
          <w:szCs w:val="26"/>
        </w:rPr>
        <w:t xml:space="preserve"> </w:t>
      </w:r>
      <w:r w:rsidR="00ED2449">
        <w:rPr>
          <w:szCs w:val="26"/>
        </w:rPr>
        <w:t>No obstante en las citada resolución de cesión y en el contrato de ar</w:t>
      </w:r>
      <w:r w:rsidR="00522286">
        <w:rPr>
          <w:szCs w:val="26"/>
        </w:rPr>
        <w:t xml:space="preserve">rendamiento se introduce </w:t>
      </w:r>
      <w:r w:rsidR="00DC1C52">
        <w:rPr>
          <w:szCs w:val="26"/>
        </w:rPr>
        <w:t xml:space="preserve">una </w:t>
      </w:r>
      <w:r w:rsidR="00AD260A">
        <w:rPr>
          <w:szCs w:val="26"/>
        </w:rPr>
        <w:t>cláusula</w:t>
      </w:r>
      <w:r w:rsidR="00DC1C52">
        <w:rPr>
          <w:szCs w:val="26"/>
        </w:rPr>
        <w:t xml:space="preserve"> </w:t>
      </w:r>
      <w:r w:rsidR="00AD260A">
        <w:rPr>
          <w:szCs w:val="26"/>
        </w:rPr>
        <w:t>relativa a</w:t>
      </w:r>
      <w:r w:rsidR="00DC1C52">
        <w:rPr>
          <w:szCs w:val="26"/>
        </w:rPr>
        <w:t xml:space="preserve"> que el club realizará a su costa todas las obras necesarias para adoptar el estadio</w:t>
      </w:r>
      <w:r w:rsidR="00522286">
        <w:rPr>
          <w:szCs w:val="26"/>
        </w:rPr>
        <w:t xml:space="preserve"> y </w:t>
      </w:r>
      <w:r w:rsidR="00DC1C52">
        <w:rPr>
          <w:szCs w:val="26"/>
        </w:rPr>
        <w:t>las instalaciones a las exigencias establecidas por la normativa vigente y por los organismos competentes deportivos así como aquellas otras que considere convenientes; estas obras quedarán en beneficio de la propiedad a la extinción de la cesión y del arrendamiento sin derecho a indemnización alguna.</w:t>
      </w:r>
    </w:p>
    <w:p w:rsidR="00F93691" w:rsidRPr="0065115D" w:rsidRDefault="00F93691" w:rsidP="0065115D">
      <w:pPr>
        <w:pStyle w:val="atitulo2"/>
        <w:spacing w:before="240"/>
      </w:pPr>
      <w:bookmarkStart w:id="20" w:name="_Toc425926953"/>
      <w:r>
        <w:t xml:space="preserve">IV.4. </w:t>
      </w:r>
      <w:r w:rsidR="00071558">
        <w:t>Concesión de avales, c</w:t>
      </w:r>
      <w:r>
        <w:t>umplimiento de</w:t>
      </w:r>
      <w:r w:rsidR="00907217">
        <w:t>l resto de</w:t>
      </w:r>
      <w:r>
        <w:t xml:space="preserve"> requisitos que señala la Ley Foral 26/2014 y otras consideraciones sobre la misma</w:t>
      </w:r>
      <w:bookmarkEnd w:id="20"/>
    </w:p>
    <w:p w:rsidR="00071558" w:rsidRPr="00BB3700" w:rsidRDefault="007676BC" w:rsidP="007676BC">
      <w:pPr>
        <w:pStyle w:val="atitulo3"/>
        <w:rPr>
          <w:color w:val="auto"/>
        </w:rPr>
      </w:pPr>
      <w:r w:rsidRPr="00BB3700">
        <w:rPr>
          <w:color w:val="auto"/>
        </w:rPr>
        <w:t xml:space="preserve">IV.4.1. </w:t>
      </w:r>
      <w:r w:rsidR="007C4E4F" w:rsidRPr="00BB3700">
        <w:rPr>
          <w:color w:val="auto"/>
        </w:rPr>
        <w:t>Aval</w:t>
      </w:r>
      <w:r w:rsidR="00E44202" w:rsidRPr="00BB3700">
        <w:rPr>
          <w:color w:val="auto"/>
        </w:rPr>
        <w:t>es</w:t>
      </w:r>
    </w:p>
    <w:p w:rsidR="007676BC" w:rsidRDefault="002E0394" w:rsidP="002F2006">
      <w:pPr>
        <w:pStyle w:val="texto"/>
        <w:tabs>
          <w:tab w:val="clear" w:pos="2835"/>
          <w:tab w:val="clear" w:pos="3969"/>
          <w:tab w:val="clear" w:pos="5103"/>
          <w:tab w:val="clear" w:pos="6237"/>
          <w:tab w:val="clear" w:pos="7371"/>
        </w:tabs>
        <w:rPr>
          <w:szCs w:val="26"/>
        </w:rPr>
      </w:pPr>
      <w:r>
        <w:rPr>
          <w:b/>
          <w:szCs w:val="26"/>
        </w:rPr>
        <w:t>2</w:t>
      </w:r>
      <w:r w:rsidR="00537141">
        <w:rPr>
          <w:b/>
          <w:szCs w:val="26"/>
        </w:rPr>
        <w:t>6</w:t>
      </w:r>
      <w:r w:rsidR="00991EEC" w:rsidRPr="007E4CA4">
        <w:rPr>
          <w:b/>
          <w:szCs w:val="26"/>
        </w:rPr>
        <w:t>.ª</w:t>
      </w:r>
      <w:r w:rsidR="004C4182">
        <w:rPr>
          <w:szCs w:val="26"/>
        </w:rPr>
        <w:t xml:space="preserve"> </w:t>
      </w:r>
      <w:r w:rsidR="00072B53" w:rsidRPr="007E4CA4">
        <w:rPr>
          <w:b/>
          <w:szCs w:val="26"/>
        </w:rPr>
        <w:t>Concesión del a</w:t>
      </w:r>
      <w:r w:rsidR="004C4182" w:rsidRPr="007E4CA4">
        <w:rPr>
          <w:b/>
          <w:szCs w:val="26"/>
        </w:rPr>
        <w:t>val de cuatro millones</w:t>
      </w:r>
      <w:r w:rsidR="002F2006">
        <w:rPr>
          <w:szCs w:val="26"/>
        </w:rPr>
        <w:t xml:space="preserve"> </w:t>
      </w:r>
    </w:p>
    <w:p w:rsidR="00870FA1" w:rsidRDefault="00870FA1" w:rsidP="002F2006">
      <w:pPr>
        <w:pStyle w:val="texto"/>
        <w:tabs>
          <w:tab w:val="clear" w:pos="2835"/>
          <w:tab w:val="clear" w:pos="3969"/>
          <w:tab w:val="clear" w:pos="5103"/>
          <w:tab w:val="clear" w:pos="6237"/>
          <w:tab w:val="clear" w:pos="7371"/>
        </w:tabs>
        <w:rPr>
          <w:szCs w:val="26"/>
        </w:rPr>
      </w:pPr>
      <w:r>
        <w:rPr>
          <w:szCs w:val="26"/>
        </w:rPr>
        <w:t xml:space="preserve">Por acuerdo del Gobierno de Navarra de 14 de enero de 2015, se otorga al </w:t>
      </w:r>
      <w:r w:rsidR="005229AD">
        <w:rPr>
          <w:szCs w:val="26"/>
        </w:rPr>
        <w:t>c</w:t>
      </w:r>
      <w:r>
        <w:rPr>
          <w:szCs w:val="26"/>
        </w:rPr>
        <w:t xml:space="preserve">lub el aval previsto en el artículo 8 de la Ley Foral 26/2014, </w:t>
      </w:r>
      <w:r w:rsidR="007C35A3">
        <w:rPr>
          <w:szCs w:val="26"/>
        </w:rPr>
        <w:t>presentando las</w:t>
      </w:r>
      <w:r>
        <w:rPr>
          <w:szCs w:val="26"/>
        </w:rPr>
        <w:t xml:space="preserve"> siguientes características:</w:t>
      </w:r>
    </w:p>
    <w:p w:rsidR="00870FA1" w:rsidRDefault="00870FA1" w:rsidP="00870FA1">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 xml:space="preserve">Importe del aval: </w:t>
      </w:r>
      <w:r w:rsidR="00DF05C7">
        <w:rPr>
          <w:szCs w:val="26"/>
        </w:rPr>
        <w:t>cuatro</w:t>
      </w:r>
      <w:r>
        <w:rPr>
          <w:szCs w:val="26"/>
        </w:rPr>
        <w:t xml:space="preserve"> millones.</w:t>
      </w:r>
    </w:p>
    <w:p w:rsidR="00870FA1" w:rsidRDefault="00870FA1" w:rsidP="00870FA1">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Pl</w:t>
      </w:r>
      <w:r w:rsidR="007C35A3">
        <w:rPr>
          <w:szCs w:val="26"/>
        </w:rPr>
        <w:t xml:space="preserve">azo máximo de vigencia: 15 años </w:t>
      </w:r>
    </w:p>
    <w:p w:rsidR="00870FA1" w:rsidRDefault="00870FA1" w:rsidP="00870FA1">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 xml:space="preserve">Finalidad: garantizar las operaciones de crédito o préstamo que precise el </w:t>
      </w:r>
      <w:r w:rsidR="005229AD">
        <w:rPr>
          <w:szCs w:val="26"/>
        </w:rPr>
        <w:t>c</w:t>
      </w:r>
      <w:r>
        <w:rPr>
          <w:szCs w:val="26"/>
        </w:rPr>
        <w:t>lub para financiar sus actividades.</w:t>
      </w:r>
      <w:r w:rsidR="00950DB7">
        <w:rPr>
          <w:szCs w:val="26"/>
        </w:rPr>
        <w:t xml:space="preserve">  Al respecto</w:t>
      </w:r>
      <w:r w:rsidR="002F533D">
        <w:rPr>
          <w:szCs w:val="26"/>
        </w:rPr>
        <w:t>,</w:t>
      </w:r>
      <w:r w:rsidR="00950DB7">
        <w:rPr>
          <w:szCs w:val="26"/>
        </w:rPr>
        <w:t xml:space="preserve"> el </w:t>
      </w:r>
      <w:r w:rsidR="002F533D">
        <w:rPr>
          <w:szCs w:val="26"/>
        </w:rPr>
        <w:t>c</w:t>
      </w:r>
      <w:r w:rsidR="00950DB7">
        <w:rPr>
          <w:szCs w:val="26"/>
        </w:rPr>
        <w:t>lub ha obtenido dos préstamos de dos millones cada uno de ellos concedidos por dos entidades financieras</w:t>
      </w:r>
      <w:r w:rsidR="00932C9D">
        <w:rPr>
          <w:szCs w:val="26"/>
        </w:rPr>
        <w:t xml:space="preserve"> y con un plazo de vigencia de 15 años</w:t>
      </w:r>
      <w:r w:rsidR="00950DB7">
        <w:rPr>
          <w:szCs w:val="26"/>
        </w:rPr>
        <w:t>.</w:t>
      </w:r>
    </w:p>
    <w:p w:rsidR="00322145" w:rsidRDefault="00322145" w:rsidP="00870FA1">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El aval no devengará ninguna comisión a favor de la Comunidad Foral.</w:t>
      </w:r>
    </w:p>
    <w:p w:rsidR="00870FA1" w:rsidRDefault="00870FA1" w:rsidP="00870FA1">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 xml:space="preserve">Condiciones de concesión: las establecidas por la Ley Foral 1/2003, de 14 de febrero, por la que se aprobó la concesión al </w:t>
      </w:r>
      <w:r w:rsidR="002F533D">
        <w:rPr>
          <w:szCs w:val="26"/>
        </w:rPr>
        <w:t>c</w:t>
      </w:r>
      <w:r>
        <w:rPr>
          <w:szCs w:val="26"/>
        </w:rPr>
        <w:t>lub de un aval por importe máximo de 18</w:t>
      </w:r>
      <w:r w:rsidR="007C35A3">
        <w:rPr>
          <w:szCs w:val="26"/>
        </w:rPr>
        <w:t xml:space="preserve"> millones.</w:t>
      </w:r>
      <w:r w:rsidR="004B33E1">
        <w:rPr>
          <w:szCs w:val="26"/>
        </w:rPr>
        <w:t xml:space="preserve"> </w:t>
      </w:r>
      <w:r w:rsidR="00C14386">
        <w:rPr>
          <w:szCs w:val="26"/>
        </w:rPr>
        <w:t>Ley Foral que</w:t>
      </w:r>
      <w:r w:rsidR="004B33E1">
        <w:rPr>
          <w:szCs w:val="26"/>
        </w:rPr>
        <w:t xml:space="preserve"> a su vez remite al Decreto Foral 49/1989, de 16 de febrero, por el que se regula el procedimiento de concesión de avales de la Comunidad Foral de Navarra</w:t>
      </w:r>
      <w:r w:rsidR="00DE7EF2">
        <w:rPr>
          <w:szCs w:val="26"/>
        </w:rPr>
        <w:t xml:space="preserve"> y las garantías a constituir sobre los mismos</w:t>
      </w:r>
      <w:r w:rsidR="004B33E1">
        <w:rPr>
          <w:szCs w:val="26"/>
        </w:rPr>
        <w:t>.</w:t>
      </w:r>
    </w:p>
    <w:p w:rsidR="00870FA1" w:rsidRDefault="0088296F" w:rsidP="004C4182">
      <w:pPr>
        <w:pStyle w:val="texto"/>
        <w:tabs>
          <w:tab w:val="clear" w:pos="2835"/>
          <w:tab w:val="clear" w:pos="3969"/>
          <w:tab w:val="clear" w:pos="5103"/>
          <w:tab w:val="clear" w:pos="6237"/>
          <w:tab w:val="clear" w:pos="7371"/>
        </w:tabs>
        <w:rPr>
          <w:szCs w:val="26"/>
        </w:rPr>
      </w:pPr>
      <w:r>
        <w:rPr>
          <w:szCs w:val="26"/>
        </w:rPr>
        <w:t>Dicho</w:t>
      </w:r>
      <w:r w:rsidR="00870FA1">
        <w:rPr>
          <w:szCs w:val="26"/>
        </w:rPr>
        <w:t xml:space="preserve"> acuerdo se notifica, entre otros, a la Dirección General </w:t>
      </w:r>
      <w:r w:rsidR="0023439D">
        <w:rPr>
          <w:szCs w:val="26"/>
        </w:rPr>
        <w:t>de la</w:t>
      </w:r>
      <w:r w:rsidR="00870FA1">
        <w:rPr>
          <w:szCs w:val="26"/>
        </w:rPr>
        <w:t xml:space="preserve"> Competencia de la Comisión Europea.</w:t>
      </w:r>
    </w:p>
    <w:p w:rsidR="007C4E4F" w:rsidRDefault="00E2009D" w:rsidP="004C4182">
      <w:pPr>
        <w:pStyle w:val="texto"/>
        <w:tabs>
          <w:tab w:val="clear" w:pos="2835"/>
          <w:tab w:val="clear" w:pos="3969"/>
          <w:tab w:val="clear" w:pos="5103"/>
          <w:tab w:val="clear" w:pos="6237"/>
          <w:tab w:val="clear" w:pos="7371"/>
        </w:tabs>
        <w:rPr>
          <w:szCs w:val="26"/>
        </w:rPr>
      </w:pPr>
      <w:r w:rsidRPr="0016510D">
        <w:rPr>
          <w:szCs w:val="26"/>
        </w:rPr>
        <w:t xml:space="preserve">Este acuerdo del Gobierno de Navarra se adoptó, según </w:t>
      </w:r>
      <w:r w:rsidR="00C14386" w:rsidRPr="0016510D">
        <w:rPr>
          <w:szCs w:val="26"/>
        </w:rPr>
        <w:t>informe de la</w:t>
      </w:r>
      <w:r w:rsidRPr="0016510D">
        <w:rPr>
          <w:szCs w:val="26"/>
        </w:rPr>
        <w:t xml:space="preserve"> Intervención General</w:t>
      </w:r>
      <w:r w:rsidR="00322145" w:rsidRPr="0016510D">
        <w:rPr>
          <w:szCs w:val="26"/>
        </w:rPr>
        <w:t xml:space="preserve"> de 20 de enero de 2015</w:t>
      </w:r>
      <w:r w:rsidRPr="0016510D">
        <w:rPr>
          <w:szCs w:val="26"/>
        </w:rPr>
        <w:t xml:space="preserve">, con omisión de fiscalización. </w:t>
      </w:r>
      <w:r w:rsidR="005A1CC0" w:rsidRPr="0016510D">
        <w:rPr>
          <w:szCs w:val="26"/>
        </w:rPr>
        <w:t>Así,</w:t>
      </w:r>
      <w:r w:rsidRPr="0016510D">
        <w:rPr>
          <w:szCs w:val="26"/>
        </w:rPr>
        <w:t xml:space="preserve"> la citada Intervención emite un informe en el que</w:t>
      </w:r>
      <w:r w:rsidR="005A1CC0" w:rsidRPr="0016510D">
        <w:rPr>
          <w:szCs w:val="26"/>
        </w:rPr>
        <w:t xml:space="preserve">, entre otras cuestiones, </w:t>
      </w:r>
      <w:r w:rsidRPr="0016510D">
        <w:rPr>
          <w:szCs w:val="26"/>
        </w:rPr>
        <w:t>señala</w:t>
      </w:r>
      <w:r w:rsidR="005A1CC0" w:rsidRPr="0016510D">
        <w:rPr>
          <w:szCs w:val="26"/>
        </w:rPr>
        <w:t xml:space="preserve"> la posible consideración de este aval como ayuda de estado y los riesgos que de ello pueden derivarse. </w:t>
      </w:r>
    </w:p>
    <w:p w:rsidR="007676BC" w:rsidRPr="00362814" w:rsidRDefault="002E0394" w:rsidP="005A4A09">
      <w:pPr>
        <w:pStyle w:val="texto"/>
        <w:tabs>
          <w:tab w:val="clear" w:pos="2835"/>
          <w:tab w:val="clear" w:pos="3969"/>
          <w:tab w:val="clear" w:pos="5103"/>
          <w:tab w:val="clear" w:pos="6237"/>
          <w:tab w:val="clear" w:pos="7371"/>
        </w:tabs>
        <w:rPr>
          <w:rFonts w:ascii="Times New (W1)" w:hAnsi="Times New (W1)"/>
          <w:spacing w:val="-2"/>
          <w:szCs w:val="26"/>
        </w:rPr>
      </w:pPr>
      <w:r w:rsidRPr="00362814">
        <w:rPr>
          <w:rFonts w:ascii="Times New (W1)" w:hAnsi="Times New (W1)"/>
          <w:b/>
          <w:spacing w:val="-2"/>
          <w:szCs w:val="26"/>
        </w:rPr>
        <w:t>2</w:t>
      </w:r>
      <w:r w:rsidR="00537141" w:rsidRPr="00362814">
        <w:rPr>
          <w:rFonts w:ascii="Times New (W1)" w:hAnsi="Times New (W1)"/>
          <w:b/>
          <w:spacing w:val="-2"/>
          <w:szCs w:val="26"/>
        </w:rPr>
        <w:t>7</w:t>
      </w:r>
      <w:r w:rsidR="005A4A09" w:rsidRPr="00362814">
        <w:rPr>
          <w:rFonts w:ascii="Times New (W1)" w:hAnsi="Times New (W1)"/>
          <w:b/>
          <w:spacing w:val="-2"/>
          <w:szCs w:val="26"/>
        </w:rPr>
        <w:t>.ª</w:t>
      </w:r>
      <w:r w:rsidR="005A4A09" w:rsidRPr="00362814">
        <w:rPr>
          <w:rFonts w:ascii="Times New (W1)" w:hAnsi="Times New (W1)"/>
          <w:spacing w:val="-2"/>
          <w:szCs w:val="26"/>
        </w:rPr>
        <w:t xml:space="preserve"> </w:t>
      </w:r>
      <w:r w:rsidR="005A4A09" w:rsidRPr="00362814">
        <w:rPr>
          <w:rFonts w:ascii="Times New (W1)" w:hAnsi="Times New (W1)"/>
          <w:b/>
          <w:spacing w:val="-2"/>
          <w:szCs w:val="26"/>
        </w:rPr>
        <w:t>Novación de las pólizas de crédito</w:t>
      </w:r>
      <w:r w:rsidR="005A4A09" w:rsidRPr="00362814">
        <w:rPr>
          <w:rFonts w:ascii="Times New (W1)" w:hAnsi="Times New (W1)"/>
          <w:spacing w:val="-2"/>
          <w:szCs w:val="26"/>
        </w:rPr>
        <w:t xml:space="preserve"> </w:t>
      </w:r>
      <w:r w:rsidR="005A4A09" w:rsidRPr="00362814">
        <w:rPr>
          <w:rFonts w:ascii="Times New (W1)" w:hAnsi="Times New (W1)"/>
          <w:b/>
          <w:spacing w:val="-2"/>
          <w:szCs w:val="26"/>
        </w:rPr>
        <w:t>en que la Comunidad Foral es avalista</w:t>
      </w:r>
    </w:p>
    <w:p w:rsidR="005A4A09" w:rsidRDefault="005A4A09" w:rsidP="005A4A09">
      <w:pPr>
        <w:pStyle w:val="texto"/>
        <w:tabs>
          <w:tab w:val="clear" w:pos="2835"/>
          <w:tab w:val="clear" w:pos="3969"/>
          <w:tab w:val="clear" w:pos="5103"/>
          <w:tab w:val="clear" w:pos="6237"/>
          <w:tab w:val="clear" w:pos="7371"/>
        </w:tabs>
        <w:rPr>
          <w:szCs w:val="26"/>
        </w:rPr>
      </w:pPr>
      <w:r>
        <w:rPr>
          <w:szCs w:val="26"/>
        </w:rPr>
        <w:t xml:space="preserve">Por acuerdo del Gobierno de Navarra de 28 de enero de 2015 se autoriza la novación modificativa de tres pólizas de crédito formalizadas por el </w:t>
      </w:r>
      <w:r w:rsidR="002F533D">
        <w:rPr>
          <w:szCs w:val="26"/>
        </w:rPr>
        <w:t>c</w:t>
      </w:r>
      <w:r>
        <w:rPr>
          <w:szCs w:val="26"/>
        </w:rPr>
        <w:t>lub en las que la Comunidad Foral ostenta la condición de avalista. Esta novación está contemplada expresamente en la Ley Foral 26/2014.</w:t>
      </w:r>
    </w:p>
    <w:p w:rsidR="005A4A09" w:rsidRDefault="005A4A09" w:rsidP="005A4A09">
      <w:pPr>
        <w:pStyle w:val="texto"/>
        <w:tabs>
          <w:tab w:val="clear" w:pos="2835"/>
          <w:tab w:val="clear" w:pos="3969"/>
          <w:tab w:val="clear" w:pos="5103"/>
          <w:tab w:val="clear" w:pos="6237"/>
          <w:tab w:val="clear" w:pos="7371"/>
        </w:tabs>
        <w:rPr>
          <w:szCs w:val="26"/>
        </w:rPr>
      </w:pPr>
      <w:r>
        <w:rPr>
          <w:szCs w:val="26"/>
        </w:rPr>
        <w:t>Las anteriores pólizas se refieren a la concesión del aval de 18 millones mediante la Ley Foral 1/2003. Con esta operación, el Gobierno aval</w:t>
      </w:r>
      <w:r w:rsidR="005A0CA1">
        <w:rPr>
          <w:szCs w:val="26"/>
        </w:rPr>
        <w:t>ó</w:t>
      </w:r>
      <w:r>
        <w:rPr>
          <w:szCs w:val="26"/>
        </w:rPr>
        <w:t xml:space="preserve"> al </w:t>
      </w:r>
      <w:r w:rsidR="002F533D">
        <w:rPr>
          <w:szCs w:val="26"/>
        </w:rPr>
        <w:t>c</w:t>
      </w:r>
      <w:r>
        <w:rPr>
          <w:szCs w:val="26"/>
        </w:rPr>
        <w:t>lub ante tres entidades financieras por la concesión de otros tantos préstamos para saldar sus deudas, según el balance auditado a 30 de junio de 2002. Tenía una duració</w:t>
      </w:r>
      <w:r w:rsidR="007676BC">
        <w:rPr>
          <w:szCs w:val="26"/>
        </w:rPr>
        <w:t>n máxima de 17 años –hasta 2020–</w:t>
      </w:r>
      <w:r>
        <w:rPr>
          <w:szCs w:val="26"/>
        </w:rPr>
        <w:t xml:space="preserve"> y el </w:t>
      </w:r>
      <w:r w:rsidR="002F533D">
        <w:rPr>
          <w:szCs w:val="26"/>
        </w:rPr>
        <w:t>c</w:t>
      </w:r>
      <w:r>
        <w:rPr>
          <w:szCs w:val="26"/>
        </w:rPr>
        <w:t xml:space="preserve">lub otorgó a favor de la Comunidad Foral hipoteca inmobiliaria sobre los siguientes bienes por un importe total del principal de </w:t>
      </w:r>
      <w:r w:rsidRPr="00265A09">
        <w:rPr>
          <w:szCs w:val="26"/>
        </w:rPr>
        <w:t xml:space="preserve">17,21 </w:t>
      </w:r>
      <w:r>
        <w:rPr>
          <w:szCs w:val="26"/>
        </w:rPr>
        <w:t xml:space="preserve">millones: </w:t>
      </w:r>
    </w:p>
    <w:p w:rsidR="005A4A09" w:rsidRPr="00A94AB3" w:rsidRDefault="005A4A09" w:rsidP="005A4A09">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Estadio de fútbol El Sadar, hipoteca a favor de la Comunidad foral de siete millones.</w:t>
      </w:r>
    </w:p>
    <w:p w:rsidR="005A4A09" w:rsidRDefault="005A4A09" w:rsidP="005A4A09">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Instalaciones deportivas en Tajonar, 9,5</w:t>
      </w:r>
      <w:r w:rsidR="00012053">
        <w:rPr>
          <w:szCs w:val="26"/>
        </w:rPr>
        <w:t>7</w:t>
      </w:r>
      <w:r>
        <w:rPr>
          <w:szCs w:val="26"/>
        </w:rPr>
        <w:t xml:space="preserve"> millones.</w:t>
      </w:r>
    </w:p>
    <w:p w:rsidR="005A4A09" w:rsidRDefault="005A4A09" w:rsidP="005A4A09">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Pieza paraje El Sadar (</w:t>
      </w:r>
      <w:r w:rsidRPr="001D4BF2">
        <w:t>Suelo U.I. XXIII SO-1 Pamplona</w:t>
      </w:r>
      <w:r>
        <w:t>), 0,6</w:t>
      </w:r>
      <w:r w:rsidR="00012053">
        <w:t>3</w:t>
      </w:r>
      <w:r>
        <w:t xml:space="preserve"> millones.</w:t>
      </w:r>
    </w:p>
    <w:p w:rsidR="00977CD9" w:rsidRDefault="005A4A09" w:rsidP="005A4A09">
      <w:pPr>
        <w:pStyle w:val="texto"/>
        <w:tabs>
          <w:tab w:val="clear" w:pos="2835"/>
          <w:tab w:val="clear" w:pos="3969"/>
          <w:tab w:val="clear" w:pos="5103"/>
          <w:tab w:val="clear" w:pos="6237"/>
          <w:tab w:val="clear" w:pos="7371"/>
        </w:tabs>
        <w:rPr>
          <w:szCs w:val="26"/>
        </w:rPr>
      </w:pPr>
      <w:r>
        <w:rPr>
          <w:szCs w:val="26"/>
        </w:rPr>
        <w:t>A</w:t>
      </w:r>
      <w:r w:rsidR="00977CD9">
        <w:rPr>
          <w:szCs w:val="26"/>
        </w:rPr>
        <w:t xml:space="preserve"> 31 de diciembre de 2014,</w:t>
      </w:r>
      <w:r>
        <w:rPr>
          <w:szCs w:val="26"/>
        </w:rPr>
        <w:t xml:space="preserve"> </w:t>
      </w:r>
      <w:r w:rsidR="00977CD9">
        <w:rPr>
          <w:szCs w:val="26"/>
        </w:rPr>
        <w:t xml:space="preserve">el </w:t>
      </w:r>
      <w:r w:rsidR="002F533D">
        <w:rPr>
          <w:szCs w:val="26"/>
        </w:rPr>
        <w:t>c</w:t>
      </w:r>
      <w:r w:rsidR="00977CD9">
        <w:rPr>
          <w:szCs w:val="26"/>
        </w:rPr>
        <w:t>lub debía de los anteriores créditos</w:t>
      </w:r>
      <w:r>
        <w:rPr>
          <w:szCs w:val="26"/>
        </w:rPr>
        <w:t xml:space="preserve"> un total de </w:t>
      </w:r>
      <w:r w:rsidRPr="00322145">
        <w:rPr>
          <w:szCs w:val="26"/>
        </w:rPr>
        <w:t>7,21</w:t>
      </w:r>
      <w:r w:rsidRPr="00444E1C">
        <w:rPr>
          <w:color w:val="FF0000"/>
          <w:szCs w:val="26"/>
        </w:rPr>
        <w:t xml:space="preserve"> </w:t>
      </w:r>
      <w:r>
        <w:rPr>
          <w:szCs w:val="26"/>
        </w:rPr>
        <w:t xml:space="preserve">millones. </w:t>
      </w:r>
    </w:p>
    <w:p w:rsidR="002B2B21" w:rsidRPr="00837939" w:rsidRDefault="005A4A09" w:rsidP="00837939">
      <w:pPr>
        <w:pStyle w:val="texto"/>
        <w:tabs>
          <w:tab w:val="clear" w:pos="2835"/>
          <w:tab w:val="clear" w:pos="3969"/>
          <w:tab w:val="clear" w:pos="5103"/>
          <w:tab w:val="clear" w:pos="6237"/>
          <w:tab w:val="clear" w:pos="7371"/>
        </w:tabs>
        <w:rPr>
          <w:szCs w:val="26"/>
        </w:rPr>
      </w:pPr>
      <w:r>
        <w:rPr>
          <w:szCs w:val="26"/>
        </w:rPr>
        <w:t>Este acuerdo</w:t>
      </w:r>
      <w:r w:rsidR="00977CD9">
        <w:rPr>
          <w:szCs w:val="26"/>
        </w:rPr>
        <w:t xml:space="preserve"> del Gobierno</w:t>
      </w:r>
      <w:r>
        <w:rPr>
          <w:szCs w:val="26"/>
        </w:rPr>
        <w:t xml:space="preserve"> lo que autoriza, esencialmente, es extender las garantías del citado aval de 18 millones al nuevo aval de cuatro millones; para ello, se autoriza la novación de las pólizas de crédito, se fija su vigencia por un plazo máximo de 15 años desde la formalización de la novación –hasta el 23 de enero de 2030</w:t>
      </w:r>
      <w:r w:rsidR="007676BC">
        <w:rPr>
          <w:szCs w:val="26"/>
        </w:rPr>
        <w:t>–</w:t>
      </w:r>
      <w:r>
        <w:rPr>
          <w:szCs w:val="26"/>
        </w:rPr>
        <w:t>, se modifica el diferencial sobre el tipo de interés –que se fija en 3,25 puntos sin redondeo</w:t>
      </w:r>
      <w:r w:rsidR="007676BC">
        <w:rPr>
          <w:szCs w:val="26"/>
        </w:rPr>
        <w:t>–</w:t>
      </w:r>
      <w:r>
        <w:rPr>
          <w:szCs w:val="26"/>
        </w:rPr>
        <w:t xml:space="preserve">, se introduce un periodo de carencia de dos años y se ordena que el Servicio de Patrimonio y el </w:t>
      </w:r>
      <w:r w:rsidR="002F533D">
        <w:rPr>
          <w:szCs w:val="26"/>
        </w:rPr>
        <w:t>c</w:t>
      </w:r>
      <w:r>
        <w:rPr>
          <w:szCs w:val="26"/>
        </w:rPr>
        <w:t>lub ejecuten las actuaciones precisas para modificar la escritura pública de hipoteca otorgada como garantía del aval de 18 millones</w:t>
      </w:r>
      <w:r w:rsidR="002F533D">
        <w:rPr>
          <w:szCs w:val="26"/>
        </w:rPr>
        <w:t>,</w:t>
      </w:r>
      <w:r>
        <w:rPr>
          <w:szCs w:val="26"/>
        </w:rPr>
        <w:t xml:space="preserve"> a fin de que tal garantía se extienda al nuevo aval de cuatro millones. </w:t>
      </w:r>
    </w:p>
    <w:p w:rsidR="007676BC" w:rsidRDefault="002E0394" w:rsidP="00C14386">
      <w:pPr>
        <w:pStyle w:val="texto"/>
        <w:tabs>
          <w:tab w:val="clear" w:pos="2835"/>
          <w:tab w:val="clear" w:pos="3969"/>
          <w:tab w:val="clear" w:pos="5103"/>
          <w:tab w:val="clear" w:pos="6237"/>
          <w:tab w:val="clear" w:pos="7371"/>
        </w:tabs>
        <w:rPr>
          <w:szCs w:val="26"/>
        </w:rPr>
      </w:pPr>
      <w:r>
        <w:rPr>
          <w:b/>
          <w:szCs w:val="26"/>
        </w:rPr>
        <w:t>2</w:t>
      </w:r>
      <w:r w:rsidR="00537141">
        <w:rPr>
          <w:b/>
          <w:szCs w:val="26"/>
        </w:rPr>
        <w:t>8</w:t>
      </w:r>
      <w:r w:rsidR="007C4E4F" w:rsidRPr="00346F08">
        <w:rPr>
          <w:b/>
          <w:szCs w:val="26"/>
        </w:rPr>
        <w:t>.</w:t>
      </w:r>
      <w:r w:rsidR="00991EEC" w:rsidRPr="00346F08">
        <w:rPr>
          <w:b/>
          <w:szCs w:val="26"/>
        </w:rPr>
        <w:t>ª</w:t>
      </w:r>
      <w:r w:rsidR="007C4E4F" w:rsidRPr="00346F08">
        <w:rPr>
          <w:b/>
          <w:szCs w:val="26"/>
        </w:rPr>
        <w:t xml:space="preserve"> </w:t>
      </w:r>
      <w:r w:rsidR="00346F08" w:rsidRPr="00346F08">
        <w:rPr>
          <w:b/>
          <w:szCs w:val="26"/>
        </w:rPr>
        <w:t xml:space="preserve">Riesgo para la Comunidad Foral </w:t>
      </w:r>
      <w:r w:rsidR="00346F08">
        <w:rPr>
          <w:b/>
          <w:szCs w:val="26"/>
        </w:rPr>
        <w:t>derivado de e</w:t>
      </w:r>
      <w:r w:rsidR="00346F08" w:rsidRPr="00346F08">
        <w:rPr>
          <w:b/>
          <w:szCs w:val="26"/>
        </w:rPr>
        <w:t>stos avales</w:t>
      </w:r>
    </w:p>
    <w:p w:rsidR="0086116D" w:rsidRDefault="00C14386" w:rsidP="00C14386">
      <w:pPr>
        <w:pStyle w:val="texto"/>
        <w:tabs>
          <w:tab w:val="clear" w:pos="2835"/>
          <w:tab w:val="clear" w:pos="3969"/>
          <w:tab w:val="clear" w:pos="5103"/>
          <w:tab w:val="clear" w:pos="6237"/>
          <w:tab w:val="clear" w:pos="7371"/>
        </w:tabs>
        <w:rPr>
          <w:szCs w:val="26"/>
        </w:rPr>
      </w:pPr>
      <w:r>
        <w:rPr>
          <w:szCs w:val="26"/>
        </w:rPr>
        <w:t>En la documentación remitida por el Gobierno de Navarra</w:t>
      </w:r>
      <w:r w:rsidR="0086116D">
        <w:rPr>
          <w:szCs w:val="26"/>
        </w:rPr>
        <w:t xml:space="preserve"> consta igualmente un informe de 6 de febrero de 2015 firmado por el jefe del negociado de Asistencia Técnica, Sociedades Públicas y Avales y con la conformidad de la jefa de sección de Gestión Jurídica de Patrimonio, de la directora del servicio de Patrimonio y del director general del Presupuesto, en el que, en resumen, señala las siguientes consideraciones a efectos de determinar el riesgo que para la Comunidad Foral presenta tanto el aval de cuatro millones como la novación de los préstamos soportados en el aval de 18 millones</w:t>
      </w:r>
      <w:r w:rsidR="00FF4B79">
        <w:rPr>
          <w:szCs w:val="26"/>
        </w:rPr>
        <w:t>:</w:t>
      </w:r>
    </w:p>
    <w:p w:rsidR="0086116D" w:rsidRDefault="0086116D" w:rsidP="00FF4B79">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 xml:space="preserve">El servicio de Patrimonio no ha tenido acceso al Plan de </w:t>
      </w:r>
      <w:r w:rsidR="005E3E90">
        <w:rPr>
          <w:szCs w:val="26"/>
        </w:rPr>
        <w:t>V</w:t>
      </w:r>
      <w:r w:rsidR="00E404B2">
        <w:rPr>
          <w:szCs w:val="26"/>
        </w:rPr>
        <w:t>iabilidad del c</w:t>
      </w:r>
      <w:r>
        <w:rPr>
          <w:szCs w:val="26"/>
        </w:rPr>
        <w:t>lub; solo conoce un plan de tesorería correspondiente a los ejercicios de 2014 a 2018, documento insuficiente para valorar los riesgos.</w:t>
      </w:r>
    </w:p>
    <w:p w:rsidR="005A4A09" w:rsidRDefault="0086116D" w:rsidP="00FF4B79">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Con la dación en pago prevista en la Ley Foral 26/2014 desaparecerán las actuales garantías</w:t>
      </w:r>
      <w:r w:rsidR="005A4A09">
        <w:rPr>
          <w:szCs w:val="26"/>
        </w:rPr>
        <w:t xml:space="preserve"> hipotecarias de estos avales y que en ninguno de los anteriores acuerdos del Gobierno de </w:t>
      </w:r>
      <w:r w:rsidR="00DE7EF2">
        <w:rPr>
          <w:szCs w:val="26"/>
        </w:rPr>
        <w:t>N</w:t>
      </w:r>
      <w:r w:rsidR="005A4A09">
        <w:rPr>
          <w:szCs w:val="26"/>
        </w:rPr>
        <w:t xml:space="preserve">avarra ni en la propia Ley Foral ha previsto la aceptación de la única finca propiedad del </w:t>
      </w:r>
      <w:r w:rsidR="002F533D">
        <w:rPr>
          <w:szCs w:val="26"/>
        </w:rPr>
        <w:t>c</w:t>
      </w:r>
      <w:r w:rsidR="005A4A09">
        <w:rPr>
          <w:szCs w:val="26"/>
        </w:rPr>
        <w:t>lub no incluida en tal dación de pago</w:t>
      </w:r>
      <w:r w:rsidR="00AF7C1B">
        <w:rPr>
          <w:szCs w:val="26"/>
        </w:rPr>
        <w:t xml:space="preserve"> y ofrecida por el </w:t>
      </w:r>
      <w:r w:rsidR="002F533D">
        <w:rPr>
          <w:szCs w:val="26"/>
        </w:rPr>
        <w:t>c</w:t>
      </w:r>
      <w:r w:rsidR="00AF7C1B">
        <w:rPr>
          <w:szCs w:val="26"/>
        </w:rPr>
        <w:t>lub como garantía adicional en diciembre de 2014.</w:t>
      </w:r>
      <w:r w:rsidR="005A4A09">
        <w:rPr>
          <w:szCs w:val="26"/>
        </w:rPr>
        <w:t xml:space="preserve"> </w:t>
      </w:r>
    </w:p>
    <w:p w:rsidR="005A4A09" w:rsidRDefault="005A4A09" w:rsidP="00FF4B79">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 xml:space="preserve">En consecuencia para no incumplir las condiciones establecidas, será preciso que, con carácter previo a la dación, las actuales garantías sean sustituidas por otras de valor equivalente al riesgo vivo actual de los avales. Para ello </w:t>
      </w:r>
      <w:r w:rsidR="00AF7C1B">
        <w:rPr>
          <w:szCs w:val="26"/>
        </w:rPr>
        <w:t>se entiende</w:t>
      </w:r>
      <w:r>
        <w:rPr>
          <w:szCs w:val="26"/>
        </w:rPr>
        <w:t xml:space="preserve"> que sería necesario exigir el </w:t>
      </w:r>
      <w:r w:rsidR="002F533D">
        <w:rPr>
          <w:szCs w:val="26"/>
        </w:rPr>
        <w:t>c</w:t>
      </w:r>
      <w:r>
        <w:rPr>
          <w:szCs w:val="26"/>
        </w:rPr>
        <w:t>lub que pre</w:t>
      </w:r>
      <w:r w:rsidR="00AF7C1B">
        <w:rPr>
          <w:szCs w:val="26"/>
        </w:rPr>
        <w:t>s</w:t>
      </w:r>
      <w:r>
        <w:rPr>
          <w:szCs w:val="26"/>
        </w:rPr>
        <w:t>te garantía hipotecaria</w:t>
      </w:r>
      <w:r w:rsidR="00AF7C1B">
        <w:rPr>
          <w:szCs w:val="26"/>
        </w:rPr>
        <w:t xml:space="preserve"> sobre la citada finca no incluida en la Ley Foral 26/2014</w:t>
      </w:r>
      <w:r w:rsidR="00DE7EF2">
        <w:rPr>
          <w:szCs w:val="26"/>
        </w:rPr>
        <w:t xml:space="preserve"> –tasada en cuatro millones</w:t>
      </w:r>
      <w:r w:rsidR="007676BC">
        <w:rPr>
          <w:szCs w:val="26"/>
        </w:rPr>
        <w:t>–</w:t>
      </w:r>
      <w:r w:rsidR="00AF7C1B">
        <w:rPr>
          <w:szCs w:val="26"/>
        </w:rPr>
        <w:t xml:space="preserve"> así como valorar la posibilidad de excluir de la dación en pago bienes por valor equivalente al riesgo vivo actual de los avales o articular cualquier fórmula alternativa que permita, tras la dación, mantener una garantía suficiente para los avales.</w:t>
      </w:r>
    </w:p>
    <w:p w:rsidR="00AF7C1B" w:rsidRDefault="00AF7C1B" w:rsidP="00FF4B79">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 xml:space="preserve">Reiterar que ante el alto riesgo de impago de las obligaciones afianzadas, será necesario dotar la oportuna provisión de acuerdo con los criterios de la Intervención General así como estudiar </w:t>
      </w:r>
      <w:r w:rsidR="00DE7EF2">
        <w:rPr>
          <w:szCs w:val="26"/>
        </w:rPr>
        <w:t>la</w:t>
      </w:r>
      <w:r>
        <w:rPr>
          <w:szCs w:val="26"/>
        </w:rPr>
        <w:t xml:space="preserve"> incidencia de estos avales en el marco de la estabilidad presupuestaria. </w:t>
      </w:r>
    </w:p>
    <w:p w:rsidR="00882DFC" w:rsidRPr="00292EC8" w:rsidRDefault="00FF4B79" w:rsidP="00292EC8">
      <w:pPr>
        <w:pStyle w:val="texto"/>
        <w:tabs>
          <w:tab w:val="clear" w:pos="2835"/>
          <w:tab w:val="clear" w:pos="3969"/>
          <w:tab w:val="clear" w:pos="5103"/>
          <w:tab w:val="clear" w:pos="6237"/>
          <w:tab w:val="clear" w:pos="7371"/>
        </w:tabs>
        <w:rPr>
          <w:szCs w:val="26"/>
        </w:rPr>
      </w:pPr>
      <w:r>
        <w:rPr>
          <w:szCs w:val="26"/>
        </w:rPr>
        <w:t>Solo nos queda por añadir que la precitada finca ya está hipotecada a</w:t>
      </w:r>
      <w:r w:rsidR="00AF7C1B" w:rsidRPr="00964078">
        <w:rPr>
          <w:szCs w:val="26"/>
        </w:rPr>
        <w:t xml:space="preserve"> favor de la C</w:t>
      </w:r>
      <w:r w:rsidR="00AF7C1B">
        <w:rPr>
          <w:szCs w:val="26"/>
        </w:rPr>
        <w:t>omunidad Foral d</w:t>
      </w:r>
      <w:r w:rsidR="00AF7C1B" w:rsidRPr="00964078">
        <w:rPr>
          <w:szCs w:val="26"/>
        </w:rPr>
        <w:t>e Navarra, por un capital pri</w:t>
      </w:r>
      <w:r w:rsidR="00AF7C1B">
        <w:rPr>
          <w:szCs w:val="26"/>
        </w:rPr>
        <w:t>n</w:t>
      </w:r>
      <w:r w:rsidR="00AF7C1B" w:rsidRPr="00964078">
        <w:rPr>
          <w:szCs w:val="26"/>
        </w:rPr>
        <w:t xml:space="preserve">cipal de 4.665.343,14 euros, escriturada </w:t>
      </w:r>
      <w:r w:rsidR="00AF7C1B">
        <w:rPr>
          <w:szCs w:val="26"/>
        </w:rPr>
        <w:t xml:space="preserve">en febrero de </w:t>
      </w:r>
      <w:r w:rsidR="00AF7C1B" w:rsidRPr="00964078">
        <w:rPr>
          <w:szCs w:val="26"/>
        </w:rPr>
        <w:t xml:space="preserve">2014, con fecha de inicio </w:t>
      </w:r>
      <w:r w:rsidR="00AF7C1B">
        <w:rPr>
          <w:szCs w:val="26"/>
        </w:rPr>
        <w:t>en diciembre de 2013</w:t>
      </w:r>
      <w:r w:rsidR="00AF7C1B" w:rsidRPr="00964078">
        <w:rPr>
          <w:szCs w:val="26"/>
        </w:rPr>
        <w:t xml:space="preserve"> y fecha de vencimiento </w:t>
      </w:r>
      <w:r w:rsidR="00AF7C1B">
        <w:rPr>
          <w:szCs w:val="26"/>
        </w:rPr>
        <w:t>en diciembre de 2018.</w:t>
      </w:r>
      <w:r w:rsidR="0008509C">
        <w:rPr>
          <w:szCs w:val="26"/>
        </w:rPr>
        <w:t xml:space="preserve"> No obstante con la aplicación del art. 6 de la propia Ley Foral 26/2014, esta hipoteca </w:t>
      </w:r>
      <w:r w:rsidR="00882DFC">
        <w:rPr>
          <w:szCs w:val="26"/>
        </w:rPr>
        <w:t>ha quedado</w:t>
      </w:r>
      <w:r w:rsidR="0008509C">
        <w:rPr>
          <w:szCs w:val="26"/>
        </w:rPr>
        <w:t xml:space="preserve"> liberada</w:t>
      </w:r>
      <w:r w:rsidR="004359DF">
        <w:rPr>
          <w:rStyle w:val="Refdenotaalpie"/>
          <w:szCs w:val="26"/>
        </w:rPr>
        <w:footnoteReference w:id="15"/>
      </w:r>
      <w:r w:rsidR="0008509C">
        <w:rPr>
          <w:szCs w:val="26"/>
        </w:rPr>
        <w:t>.</w:t>
      </w:r>
    </w:p>
    <w:p w:rsidR="007676BC" w:rsidRDefault="002E0394" w:rsidP="001002E6">
      <w:pPr>
        <w:pStyle w:val="texto"/>
        <w:tabs>
          <w:tab w:val="clear" w:pos="2835"/>
          <w:tab w:val="clear" w:pos="3969"/>
          <w:tab w:val="clear" w:pos="5103"/>
          <w:tab w:val="clear" w:pos="6237"/>
          <w:tab w:val="clear" w:pos="7371"/>
        </w:tabs>
        <w:rPr>
          <w:szCs w:val="26"/>
        </w:rPr>
      </w:pPr>
      <w:r>
        <w:rPr>
          <w:b/>
          <w:szCs w:val="26"/>
        </w:rPr>
        <w:t>2</w:t>
      </w:r>
      <w:r w:rsidR="00537141">
        <w:rPr>
          <w:b/>
          <w:szCs w:val="26"/>
        </w:rPr>
        <w:t>9</w:t>
      </w:r>
      <w:r w:rsidR="00DE7EF2" w:rsidRPr="00CB0EF1">
        <w:rPr>
          <w:b/>
          <w:szCs w:val="26"/>
        </w:rPr>
        <w:t xml:space="preserve">.ª </w:t>
      </w:r>
      <w:r w:rsidR="00CB0EF1" w:rsidRPr="00CB0EF1">
        <w:rPr>
          <w:b/>
          <w:szCs w:val="26"/>
        </w:rPr>
        <w:t>Nuevas garantías</w:t>
      </w:r>
      <w:r w:rsidR="00CB0EF1">
        <w:rPr>
          <w:szCs w:val="26"/>
        </w:rPr>
        <w:t xml:space="preserve"> </w:t>
      </w:r>
      <w:r w:rsidR="00CB0EF1" w:rsidRPr="00CB0EF1">
        <w:rPr>
          <w:b/>
          <w:szCs w:val="26"/>
        </w:rPr>
        <w:t>recibidas</w:t>
      </w:r>
      <w:r w:rsidR="00CB0EF1">
        <w:rPr>
          <w:szCs w:val="26"/>
        </w:rPr>
        <w:t xml:space="preserve"> </w:t>
      </w:r>
    </w:p>
    <w:p w:rsidR="005A4A09" w:rsidRPr="001002E6" w:rsidRDefault="00A1290C" w:rsidP="001002E6">
      <w:pPr>
        <w:pStyle w:val="texto"/>
        <w:tabs>
          <w:tab w:val="clear" w:pos="2835"/>
          <w:tab w:val="clear" w:pos="3969"/>
          <w:tab w:val="clear" w:pos="5103"/>
          <w:tab w:val="clear" w:pos="6237"/>
          <w:tab w:val="clear" w:pos="7371"/>
        </w:tabs>
        <w:rPr>
          <w:szCs w:val="26"/>
        </w:rPr>
      </w:pPr>
      <w:r>
        <w:rPr>
          <w:szCs w:val="26"/>
        </w:rPr>
        <w:t>En el acuerdo del Gobierno de 29 d</w:t>
      </w:r>
      <w:r w:rsidR="00D936E2">
        <w:rPr>
          <w:szCs w:val="26"/>
        </w:rPr>
        <w:t>e abril de 2015 por el que se pro</w:t>
      </w:r>
      <w:r>
        <w:rPr>
          <w:szCs w:val="26"/>
        </w:rPr>
        <w:t xml:space="preserve">cede </w:t>
      </w:r>
      <w:r w:rsidR="00D936E2">
        <w:rPr>
          <w:szCs w:val="26"/>
        </w:rPr>
        <w:t>a</w:t>
      </w:r>
      <w:r>
        <w:rPr>
          <w:szCs w:val="26"/>
        </w:rPr>
        <w:t xml:space="preserve"> la extinción parcial de la deuda tributaria del </w:t>
      </w:r>
      <w:r w:rsidR="002F533D">
        <w:rPr>
          <w:szCs w:val="26"/>
        </w:rPr>
        <w:t>c</w:t>
      </w:r>
      <w:r>
        <w:rPr>
          <w:szCs w:val="26"/>
        </w:rPr>
        <w:t xml:space="preserve">lub (ver conclusión </w:t>
      </w:r>
      <w:r w:rsidR="005A0CA1">
        <w:rPr>
          <w:szCs w:val="26"/>
        </w:rPr>
        <w:t>2</w:t>
      </w:r>
      <w:r w:rsidR="00CC051A">
        <w:rPr>
          <w:szCs w:val="26"/>
        </w:rPr>
        <w:t>2</w:t>
      </w:r>
      <w:r w:rsidR="005A0CA1">
        <w:rPr>
          <w:szCs w:val="26"/>
        </w:rPr>
        <w:t>ª</w:t>
      </w:r>
      <w:r>
        <w:rPr>
          <w:szCs w:val="26"/>
        </w:rPr>
        <w:t>)</w:t>
      </w:r>
      <w:r w:rsidR="00D936E2">
        <w:rPr>
          <w:szCs w:val="26"/>
        </w:rPr>
        <w:t xml:space="preserve"> se establece en su punto 6º que se acepta el ofrecimiento del </w:t>
      </w:r>
      <w:r w:rsidR="002B2B21">
        <w:rPr>
          <w:szCs w:val="26"/>
        </w:rPr>
        <w:t>c</w:t>
      </w:r>
      <w:r w:rsidR="00D936E2">
        <w:rPr>
          <w:szCs w:val="26"/>
        </w:rPr>
        <w:t>lub sobre una hipoteca a favor de la Comunidad Foral sobre la anterior finca</w:t>
      </w:r>
      <w:r w:rsidR="00DE7EF2">
        <w:rPr>
          <w:szCs w:val="26"/>
        </w:rPr>
        <w:t xml:space="preserve"> –tasada en cuatro millones-</w:t>
      </w:r>
      <w:r w:rsidR="00D936E2">
        <w:rPr>
          <w:szCs w:val="26"/>
        </w:rPr>
        <w:t xml:space="preserve"> en garantía del aval de cuatro millones y se añade “si dicha garantía fuese insuficiente, el </w:t>
      </w:r>
      <w:r w:rsidR="002F533D">
        <w:rPr>
          <w:szCs w:val="26"/>
        </w:rPr>
        <w:t>c</w:t>
      </w:r>
      <w:r w:rsidR="00D936E2">
        <w:rPr>
          <w:szCs w:val="26"/>
        </w:rPr>
        <w:t>lub queda obligado a responder del cumplimiento de la obligación garantizada por la Comunidad Foral de Navarra con su</w:t>
      </w:r>
      <w:r w:rsidR="00B16926">
        <w:rPr>
          <w:szCs w:val="26"/>
        </w:rPr>
        <w:t>s</w:t>
      </w:r>
      <w:r w:rsidR="00D936E2">
        <w:rPr>
          <w:szCs w:val="26"/>
        </w:rPr>
        <w:t xml:space="preserve"> bienes futuros”. </w:t>
      </w:r>
    </w:p>
    <w:p w:rsidR="0065115D" w:rsidRPr="00AC782A" w:rsidRDefault="00DE7EF2" w:rsidP="00CB0EF1">
      <w:pPr>
        <w:pStyle w:val="texto"/>
        <w:tabs>
          <w:tab w:val="clear" w:pos="2835"/>
          <w:tab w:val="clear" w:pos="3969"/>
          <w:tab w:val="clear" w:pos="5103"/>
          <w:tab w:val="clear" w:pos="6237"/>
          <w:tab w:val="clear" w:pos="7371"/>
        </w:tabs>
        <w:rPr>
          <w:rFonts w:ascii="Times New (W1)" w:hAnsi="Times New (W1)"/>
          <w:spacing w:val="0"/>
          <w:szCs w:val="26"/>
        </w:rPr>
      </w:pPr>
      <w:r w:rsidRPr="00AC782A">
        <w:rPr>
          <w:rFonts w:ascii="Times New (W1)" w:hAnsi="Times New (W1)"/>
          <w:spacing w:val="0"/>
          <w:szCs w:val="26"/>
        </w:rPr>
        <w:t xml:space="preserve">En conclusión, </w:t>
      </w:r>
      <w:r w:rsidR="005E3E90" w:rsidRPr="00AC782A">
        <w:rPr>
          <w:rFonts w:ascii="Times New (W1)" w:hAnsi="Times New (W1)"/>
          <w:spacing w:val="0"/>
          <w:szCs w:val="26"/>
        </w:rPr>
        <w:t>dichos avales</w:t>
      </w:r>
      <w:r w:rsidRPr="00AC782A">
        <w:rPr>
          <w:rFonts w:ascii="Times New (W1)" w:hAnsi="Times New (W1)"/>
          <w:spacing w:val="0"/>
          <w:szCs w:val="26"/>
        </w:rPr>
        <w:t>, con un saldo vivo de 11,21 millones, est</w:t>
      </w:r>
      <w:r w:rsidR="00494925" w:rsidRPr="00AC782A">
        <w:rPr>
          <w:rFonts w:ascii="Times New (W1)" w:hAnsi="Times New (W1)"/>
          <w:spacing w:val="0"/>
          <w:szCs w:val="26"/>
        </w:rPr>
        <w:t>arían</w:t>
      </w:r>
      <w:r w:rsidRPr="00AC782A">
        <w:rPr>
          <w:rFonts w:ascii="Times New (W1)" w:hAnsi="Times New (W1)"/>
          <w:spacing w:val="0"/>
          <w:szCs w:val="26"/>
        </w:rPr>
        <w:t xml:space="preserve"> garantizados con </w:t>
      </w:r>
      <w:r w:rsidR="0076292E" w:rsidRPr="00AC782A">
        <w:rPr>
          <w:rFonts w:ascii="Times New (W1)" w:hAnsi="Times New (W1)"/>
          <w:spacing w:val="0"/>
          <w:szCs w:val="26"/>
        </w:rPr>
        <w:t>la hipoteca anterior</w:t>
      </w:r>
      <w:r w:rsidRPr="00AC782A">
        <w:rPr>
          <w:rFonts w:ascii="Times New (W1)" w:hAnsi="Times New (W1)"/>
          <w:spacing w:val="0"/>
          <w:szCs w:val="26"/>
        </w:rPr>
        <w:t xml:space="preserve"> sobre </w:t>
      </w:r>
      <w:r w:rsidR="0076292E" w:rsidRPr="00AC782A">
        <w:rPr>
          <w:rFonts w:ascii="Times New (W1)" w:hAnsi="Times New (W1)"/>
          <w:spacing w:val="0"/>
          <w:szCs w:val="26"/>
        </w:rPr>
        <w:t>la citada</w:t>
      </w:r>
      <w:r w:rsidRPr="00AC782A">
        <w:rPr>
          <w:rFonts w:ascii="Times New (W1)" w:hAnsi="Times New (W1)"/>
          <w:spacing w:val="0"/>
          <w:szCs w:val="26"/>
        </w:rPr>
        <w:t xml:space="preserve"> finca valorada en cuatro millones</w:t>
      </w:r>
      <w:r w:rsidR="00A30DC5" w:rsidRPr="00AC782A">
        <w:rPr>
          <w:rFonts w:ascii="Times New (W1)" w:hAnsi="Times New (W1)"/>
          <w:spacing w:val="0"/>
          <w:szCs w:val="26"/>
        </w:rPr>
        <w:t>, con parte de los bienes entregados en dación de pago correspondientes</w:t>
      </w:r>
      <w:r w:rsidR="00920D8E" w:rsidRPr="00AC782A">
        <w:rPr>
          <w:rFonts w:ascii="Times New (W1)" w:hAnsi="Times New (W1)"/>
          <w:spacing w:val="0"/>
          <w:szCs w:val="26"/>
        </w:rPr>
        <w:t xml:space="preserve"> al saldo vivo del</w:t>
      </w:r>
      <w:r w:rsidR="00A30DC5" w:rsidRPr="00AC782A">
        <w:rPr>
          <w:rFonts w:ascii="Times New (W1)" w:hAnsi="Times New (W1)"/>
          <w:spacing w:val="0"/>
          <w:szCs w:val="26"/>
        </w:rPr>
        <w:t xml:space="preserve"> primer aval</w:t>
      </w:r>
      <w:r w:rsidRPr="00AC782A">
        <w:rPr>
          <w:rFonts w:ascii="Times New (W1)" w:hAnsi="Times New (W1)"/>
          <w:spacing w:val="0"/>
          <w:szCs w:val="26"/>
        </w:rPr>
        <w:t xml:space="preserve"> y con los bienes futuros</w:t>
      </w:r>
      <w:r w:rsidR="00494925" w:rsidRPr="00AC782A">
        <w:rPr>
          <w:rFonts w:ascii="Times New (W1)" w:hAnsi="Times New (W1)"/>
          <w:spacing w:val="0"/>
          <w:szCs w:val="26"/>
        </w:rPr>
        <w:t xml:space="preserve"> que pudiera obtener </w:t>
      </w:r>
      <w:r w:rsidRPr="00AC782A">
        <w:rPr>
          <w:rFonts w:ascii="Times New (W1)" w:hAnsi="Times New (W1)"/>
          <w:spacing w:val="0"/>
          <w:szCs w:val="26"/>
        </w:rPr>
        <w:t xml:space="preserve">el </w:t>
      </w:r>
      <w:r w:rsidR="002B2B21" w:rsidRPr="00AC782A">
        <w:rPr>
          <w:rFonts w:ascii="Times New (W1)" w:hAnsi="Times New (W1)"/>
          <w:spacing w:val="0"/>
          <w:szCs w:val="26"/>
        </w:rPr>
        <w:t>c</w:t>
      </w:r>
      <w:r w:rsidRPr="00AC782A">
        <w:rPr>
          <w:rFonts w:ascii="Times New (W1)" w:hAnsi="Times New (W1)"/>
          <w:spacing w:val="0"/>
          <w:szCs w:val="26"/>
        </w:rPr>
        <w:t xml:space="preserve">lub. En nuestra opinión, estas garantías </w:t>
      </w:r>
      <w:r w:rsidR="00A30DC5" w:rsidRPr="00AC782A">
        <w:rPr>
          <w:rFonts w:ascii="Times New (W1)" w:hAnsi="Times New (W1)"/>
          <w:spacing w:val="0"/>
          <w:szCs w:val="26"/>
        </w:rPr>
        <w:t>podrían resultar</w:t>
      </w:r>
      <w:r w:rsidRPr="00AC782A">
        <w:rPr>
          <w:rFonts w:ascii="Times New (W1)" w:hAnsi="Times New (W1)"/>
          <w:spacing w:val="0"/>
          <w:szCs w:val="26"/>
        </w:rPr>
        <w:t xml:space="preserve"> insuficientes y más teniendo en cuenta la situación económica del </w:t>
      </w:r>
      <w:r w:rsidR="002F533D" w:rsidRPr="00AC782A">
        <w:rPr>
          <w:rFonts w:ascii="Times New (W1)" w:hAnsi="Times New (W1)"/>
          <w:spacing w:val="0"/>
          <w:szCs w:val="26"/>
        </w:rPr>
        <w:t>c</w:t>
      </w:r>
      <w:r w:rsidRPr="00AC782A">
        <w:rPr>
          <w:rFonts w:ascii="Times New (W1)" w:hAnsi="Times New (W1)"/>
          <w:spacing w:val="0"/>
          <w:szCs w:val="26"/>
        </w:rPr>
        <w:t>lub,</w:t>
      </w:r>
      <w:r w:rsidR="00014941" w:rsidRPr="00AC782A">
        <w:rPr>
          <w:rFonts w:ascii="Times New (W1)" w:hAnsi="Times New (W1)"/>
          <w:spacing w:val="0"/>
          <w:szCs w:val="26"/>
        </w:rPr>
        <w:t xml:space="preserve"> por lo que </w:t>
      </w:r>
      <w:r w:rsidR="00494925" w:rsidRPr="00AC782A">
        <w:rPr>
          <w:rFonts w:ascii="Times New (W1)" w:hAnsi="Times New (W1)"/>
          <w:spacing w:val="0"/>
          <w:szCs w:val="26"/>
        </w:rPr>
        <w:t>se podrían generar contingencias económicas al</w:t>
      </w:r>
      <w:r w:rsidR="00014941" w:rsidRPr="00AC782A">
        <w:rPr>
          <w:rFonts w:ascii="Times New (W1)" w:hAnsi="Times New (W1)"/>
          <w:spacing w:val="0"/>
          <w:szCs w:val="26"/>
        </w:rPr>
        <w:t xml:space="preserve"> Gobierno de Navarra en el supuesto de </w:t>
      </w:r>
      <w:r w:rsidR="00C32AE9" w:rsidRPr="00AC782A">
        <w:rPr>
          <w:rFonts w:ascii="Times New (W1)" w:hAnsi="Times New (W1)"/>
          <w:spacing w:val="0"/>
          <w:szCs w:val="26"/>
        </w:rPr>
        <w:t>incumplimiento</w:t>
      </w:r>
      <w:r w:rsidR="004907BE" w:rsidRPr="00AC782A">
        <w:rPr>
          <w:rFonts w:ascii="Times New (W1)" w:hAnsi="Times New (W1)"/>
          <w:spacing w:val="0"/>
          <w:szCs w:val="26"/>
        </w:rPr>
        <w:t xml:space="preserve"> por el </w:t>
      </w:r>
      <w:r w:rsidR="002F533D" w:rsidRPr="00AC782A">
        <w:rPr>
          <w:rFonts w:ascii="Times New (W1)" w:hAnsi="Times New (W1)"/>
          <w:spacing w:val="0"/>
          <w:szCs w:val="26"/>
        </w:rPr>
        <w:t>c</w:t>
      </w:r>
      <w:r w:rsidR="004907BE" w:rsidRPr="00AC782A">
        <w:rPr>
          <w:rFonts w:ascii="Times New (W1)" w:hAnsi="Times New (W1)"/>
          <w:spacing w:val="0"/>
          <w:szCs w:val="26"/>
        </w:rPr>
        <w:t>lub</w:t>
      </w:r>
      <w:r w:rsidR="00C32AE9" w:rsidRPr="00AC782A">
        <w:rPr>
          <w:rFonts w:ascii="Times New (W1)" w:hAnsi="Times New (W1)"/>
          <w:spacing w:val="0"/>
          <w:szCs w:val="26"/>
        </w:rPr>
        <w:t xml:space="preserve"> sus obligaciones de pago</w:t>
      </w:r>
      <w:r w:rsidR="00494925" w:rsidRPr="00AC782A">
        <w:rPr>
          <w:rFonts w:ascii="Times New (W1)" w:hAnsi="Times New (W1)"/>
          <w:spacing w:val="0"/>
          <w:szCs w:val="26"/>
        </w:rPr>
        <w:t>.</w:t>
      </w:r>
      <w:r w:rsidR="00444E1C" w:rsidRPr="00AC782A">
        <w:rPr>
          <w:rFonts w:ascii="Times New (W1)" w:hAnsi="Times New (W1)"/>
          <w:spacing w:val="0"/>
          <w:szCs w:val="26"/>
        </w:rPr>
        <w:t xml:space="preserve"> </w:t>
      </w:r>
      <w:r w:rsidR="00494925" w:rsidRPr="00AC782A">
        <w:rPr>
          <w:rFonts w:ascii="Times New (W1)" w:hAnsi="Times New (W1)"/>
          <w:spacing w:val="0"/>
          <w:szCs w:val="26"/>
        </w:rPr>
        <w:t>Además, en la</w:t>
      </w:r>
      <w:r w:rsidR="009D7EE8" w:rsidRPr="00AC782A">
        <w:rPr>
          <w:rFonts w:ascii="Times New (W1)" w:hAnsi="Times New (W1)"/>
          <w:spacing w:val="0"/>
          <w:szCs w:val="26"/>
        </w:rPr>
        <w:t xml:space="preserve"> </w:t>
      </w:r>
      <w:r w:rsidR="00494925" w:rsidRPr="00AC782A">
        <w:rPr>
          <w:rFonts w:ascii="Times New (W1)" w:hAnsi="Times New (W1)"/>
          <w:spacing w:val="0"/>
          <w:szCs w:val="26"/>
        </w:rPr>
        <w:t>actualidad</w:t>
      </w:r>
      <w:r w:rsidR="00B16926" w:rsidRPr="00AC782A">
        <w:rPr>
          <w:rFonts w:ascii="Times New (W1)" w:hAnsi="Times New (W1)"/>
          <w:spacing w:val="0"/>
          <w:szCs w:val="26"/>
        </w:rPr>
        <w:t xml:space="preserve"> y de acuerdo con la información disponible</w:t>
      </w:r>
      <w:r w:rsidR="00494925" w:rsidRPr="00AC782A">
        <w:rPr>
          <w:rFonts w:ascii="Times New (W1)" w:hAnsi="Times New (W1)"/>
          <w:spacing w:val="0"/>
          <w:szCs w:val="26"/>
        </w:rPr>
        <w:t xml:space="preserve">, </w:t>
      </w:r>
      <w:r w:rsidR="009D7EE8" w:rsidRPr="00AC782A">
        <w:rPr>
          <w:rFonts w:ascii="Times New (W1)" w:hAnsi="Times New (W1)"/>
          <w:spacing w:val="0"/>
          <w:szCs w:val="26"/>
        </w:rPr>
        <w:t xml:space="preserve">el </w:t>
      </w:r>
      <w:r w:rsidR="002F533D" w:rsidRPr="00AC782A">
        <w:rPr>
          <w:rFonts w:ascii="Times New (W1)" w:hAnsi="Times New (W1)"/>
          <w:spacing w:val="0"/>
          <w:szCs w:val="26"/>
        </w:rPr>
        <w:t>c</w:t>
      </w:r>
      <w:r w:rsidR="009D7EE8" w:rsidRPr="00AC782A">
        <w:rPr>
          <w:rFonts w:ascii="Times New (W1)" w:hAnsi="Times New (W1)"/>
          <w:spacing w:val="0"/>
          <w:szCs w:val="26"/>
        </w:rPr>
        <w:t>lub no dispondría de más bienes inmuebles</w:t>
      </w:r>
      <w:r w:rsidR="00494925" w:rsidRPr="00AC782A">
        <w:rPr>
          <w:rFonts w:ascii="Times New (W1)" w:hAnsi="Times New (W1)"/>
          <w:spacing w:val="0"/>
          <w:szCs w:val="26"/>
        </w:rPr>
        <w:t xml:space="preserve"> que los ya mencionados</w:t>
      </w:r>
      <w:r w:rsidR="009D7EE8" w:rsidRPr="00AC782A">
        <w:rPr>
          <w:rFonts w:ascii="Times New (W1)" w:hAnsi="Times New (W1)"/>
          <w:spacing w:val="0"/>
          <w:szCs w:val="26"/>
        </w:rPr>
        <w:t>.</w:t>
      </w:r>
      <w:r w:rsidR="00014941" w:rsidRPr="00AC782A">
        <w:rPr>
          <w:rFonts w:ascii="Times New (W1)" w:hAnsi="Times New (W1)"/>
          <w:spacing w:val="0"/>
          <w:szCs w:val="26"/>
        </w:rPr>
        <w:t xml:space="preserve"> </w:t>
      </w:r>
    </w:p>
    <w:p w:rsidR="00071558" w:rsidRPr="0016510D" w:rsidRDefault="00BB3700" w:rsidP="007676BC">
      <w:pPr>
        <w:pStyle w:val="atitulo3"/>
        <w:rPr>
          <w:color w:val="auto"/>
        </w:rPr>
      </w:pPr>
      <w:r w:rsidRPr="0016510D">
        <w:rPr>
          <w:color w:val="auto"/>
        </w:rPr>
        <w:t>I</w:t>
      </w:r>
      <w:r w:rsidR="007676BC" w:rsidRPr="0016510D">
        <w:rPr>
          <w:color w:val="auto"/>
        </w:rPr>
        <w:t>V.</w:t>
      </w:r>
      <w:r w:rsidRPr="0016510D">
        <w:rPr>
          <w:color w:val="auto"/>
        </w:rPr>
        <w:t xml:space="preserve">4.2. </w:t>
      </w:r>
      <w:r w:rsidR="00071558" w:rsidRPr="0016510D">
        <w:rPr>
          <w:color w:val="auto"/>
        </w:rPr>
        <w:t>Cumplimiento de</w:t>
      </w:r>
      <w:r w:rsidR="00907217" w:rsidRPr="0016510D">
        <w:rPr>
          <w:color w:val="auto"/>
        </w:rPr>
        <w:t>l resto de</w:t>
      </w:r>
      <w:r w:rsidR="00071558" w:rsidRPr="0016510D">
        <w:rPr>
          <w:color w:val="auto"/>
        </w:rPr>
        <w:t xml:space="preserve"> requisitos que establece la Ley Foral 26/2014</w:t>
      </w:r>
    </w:p>
    <w:p w:rsidR="007676BC" w:rsidRDefault="00537141" w:rsidP="00071558">
      <w:pPr>
        <w:pStyle w:val="texto"/>
        <w:tabs>
          <w:tab w:val="clear" w:pos="2835"/>
          <w:tab w:val="clear" w:pos="3969"/>
          <w:tab w:val="clear" w:pos="5103"/>
          <w:tab w:val="clear" w:pos="6237"/>
          <w:tab w:val="clear" w:pos="7371"/>
        </w:tabs>
        <w:rPr>
          <w:szCs w:val="26"/>
        </w:rPr>
      </w:pPr>
      <w:r>
        <w:rPr>
          <w:b/>
          <w:szCs w:val="26"/>
        </w:rPr>
        <w:t>30</w:t>
      </w:r>
      <w:r w:rsidR="004C4182" w:rsidRPr="00CB0EF1">
        <w:rPr>
          <w:b/>
          <w:szCs w:val="26"/>
        </w:rPr>
        <w:t xml:space="preserve">ª. </w:t>
      </w:r>
      <w:r w:rsidR="00CB0EF1" w:rsidRPr="00CB0EF1">
        <w:rPr>
          <w:b/>
          <w:szCs w:val="26"/>
        </w:rPr>
        <w:t>Comisión de Control</w:t>
      </w:r>
      <w:r w:rsidR="00B77F17">
        <w:rPr>
          <w:b/>
          <w:szCs w:val="26"/>
        </w:rPr>
        <w:t xml:space="preserve"> Económico</w:t>
      </w:r>
      <w:r w:rsidR="00CB0EF1">
        <w:rPr>
          <w:szCs w:val="26"/>
        </w:rPr>
        <w:t xml:space="preserve"> </w:t>
      </w:r>
    </w:p>
    <w:p w:rsidR="004C4182" w:rsidRDefault="00CB0EF1" w:rsidP="00071558">
      <w:pPr>
        <w:pStyle w:val="texto"/>
        <w:tabs>
          <w:tab w:val="clear" w:pos="2835"/>
          <w:tab w:val="clear" w:pos="3969"/>
          <w:tab w:val="clear" w:pos="5103"/>
          <w:tab w:val="clear" w:pos="6237"/>
          <w:tab w:val="clear" w:pos="7371"/>
        </w:tabs>
        <w:rPr>
          <w:szCs w:val="26"/>
        </w:rPr>
      </w:pPr>
      <w:r>
        <w:rPr>
          <w:szCs w:val="26"/>
        </w:rPr>
        <w:t>La Ley Foral 26/2014 contempla la m</w:t>
      </w:r>
      <w:r w:rsidR="00071558">
        <w:rPr>
          <w:szCs w:val="26"/>
        </w:rPr>
        <w:t xml:space="preserve">odificación de los estatutos del </w:t>
      </w:r>
      <w:r w:rsidR="002F533D">
        <w:rPr>
          <w:szCs w:val="26"/>
        </w:rPr>
        <w:t>c</w:t>
      </w:r>
      <w:r w:rsidR="00071558">
        <w:rPr>
          <w:szCs w:val="26"/>
        </w:rPr>
        <w:t xml:space="preserve">lub para </w:t>
      </w:r>
      <w:r w:rsidR="00B77F17">
        <w:rPr>
          <w:szCs w:val="26"/>
        </w:rPr>
        <w:t>crear</w:t>
      </w:r>
      <w:r w:rsidR="00071558">
        <w:rPr>
          <w:szCs w:val="26"/>
        </w:rPr>
        <w:t xml:space="preserve"> una comisión de control</w:t>
      </w:r>
      <w:r w:rsidR="00B77F17">
        <w:rPr>
          <w:szCs w:val="26"/>
        </w:rPr>
        <w:t xml:space="preserve"> económico</w:t>
      </w:r>
      <w:r w:rsidR="00071558">
        <w:rPr>
          <w:szCs w:val="26"/>
        </w:rPr>
        <w:t xml:space="preserve"> con presencia de un </w:t>
      </w:r>
      <w:r w:rsidR="004C4182" w:rsidRPr="004C4182">
        <w:rPr>
          <w:szCs w:val="26"/>
        </w:rPr>
        <w:t xml:space="preserve">representante de la Administración Foral </w:t>
      </w:r>
      <w:r w:rsidR="00071558">
        <w:rPr>
          <w:szCs w:val="26"/>
        </w:rPr>
        <w:t>al objeto de “</w:t>
      </w:r>
      <w:r w:rsidR="00071558" w:rsidRPr="00D47728">
        <w:rPr>
          <w:szCs w:val="26"/>
        </w:rPr>
        <w:t>comprobar la solvencia del club y el cumplimiento de las obligaciones reguladas en esta ley foral, pudiendo verificar para ello todos los documentos que se consideren oportunos, hasta el completo pago de la deuda tributaria y la extinción de los avales</w:t>
      </w:r>
      <w:r w:rsidR="00071558">
        <w:rPr>
          <w:szCs w:val="26"/>
        </w:rPr>
        <w:t>”</w:t>
      </w:r>
      <w:r w:rsidR="004C4182" w:rsidRPr="004C4182">
        <w:rPr>
          <w:szCs w:val="26"/>
        </w:rPr>
        <w:t>.</w:t>
      </w:r>
      <w:r w:rsidR="00071558">
        <w:rPr>
          <w:szCs w:val="26"/>
        </w:rPr>
        <w:t xml:space="preserve"> </w:t>
      </w:r>
    </w:p>
    <w:p w:rsidR="008914BC" w:rsidRPr="002F533D" w:rsidRDefault="008914BC" w:rsidP="00071558">
      <w:pPr>
        <w:pStyle w:val="texto"/>
        <w:tabs>
          <w:tab w:val="clear" w:pos="2835"/>
          <w:tab w:val="clear" w:pos="3969"/>
          <w:tab w:val="clear" w:pos="5103"/>
          <w:tab w:val="clear" w:pos="6237"/>
          <w:tab w:val="clear" w:pos="7371"/>
        </w:tabs>
        <w:rPr>
          <w:szCs w:val="26"/>
        </w:rPr>
      </w:pPr>
      <w:r>
        <w:rPr>
          <w:szCs w:val="26"/>
        </w:rPr>
        <w:t>El director gerente del Instituto Navarro de Deporte y Juventud –como entidad encargada del Registro de Entidades Deportivas de Navarra</w:t>
      </w:r>
      <w:r w:rsidR="00BB3700">
        <w:rPr>
          <w:szCs w:val="26"/>
        </w:rPr>
        <w:t>–</w:t>
      </w:r>
      <w:r>
        <w:rPr>
          <w:szCs w:val="26"/>
        </w:rPr>
        <w:t xml:space="preserve"> dictó el cinco de marzo de 2015 una resoluci</w:t>
      </w:r>
      <w:r w:rsidR="000C4F53">
        <w:rPr>
          <w:szCs w:val="26"/>
        </w:rPr>
        <w:t>ón por la que se ap</w:t>
      </w:r>
      <w:r>
        <w:rPr>
          <w:szCs w:val="26"/>
        </w:rPr>
        <w:t>r</w:t>
      </w:r>
      <w:r w:rsidR="00D47728">
        <w:rPr>
          <w:szCs w:val="26"/>
        </w:rPr>
        <w:t>ueba</w:t>
      </w:r>
      <w:r>
        <w:rPr>
          <w:szCs w:val="26"/>
        </w:rPr>
        <w:t xml:space="preserve"> la inscripción de la modificación de diversos artículos de los estatu</w:t>
      </w:r>
      <w:r w:rsidR="000C4F53">
        <w:rPr>
          <w:szCs w:val="26"/>
        </w:rPr>
        <w:t>t</w:t>
      </w:r>
      <w:r>
        <w:rPr>
          <w:szCs w:val="26"/>
        </w:rPr>
        <w:t xml:space="preserve">os sociales del </w:t>
      </w:r>
      <w:r w:rsidR="002F533D">
        <w:rPr>
          <w:szCs w:val="26"/>
        </w:rPr>
        <w:t>c</w:t>
      </w:r>
      <w:r>
        <w:rPr>
          <w:szCs w:val="26"/>
        </w:rPr>
        <w:t>lub</w:t>
      </w:r>
      <w:r w:rsidR="000C4F53">
        <w:rPr>
          <w:szCs w:val="26"/>
        </w:rPr>
        <w:t xml:space="preserve"> y en </w:t>
      </w:r>
      <w:r w:rsidR="002F533D">
        <w:rPr>
          <w:szCs w:val="26"/>
        </w:rPr>
        <w:t>los</w:t>
      </w:r>
      <w:r w:rsidR="000C4F53">
        <w:rPr>
          <w:szCs w:val="26"/>
        </w:rPr>
        <w:t xml:space="preserve"> que, entre otras cuestiones, se crea el Órgano de Información y Transparencia en la Gestión o Comisión </w:t>
      </w:r>
      <w:r w:rsidR="00A63F09">
        <w:rPr>
          <w:szCs w:val="26"/>
        </w:rPr>
        <w:t>de Control Económico</w:t>
      </w:r>
      <w:r w:rsidR="000C4F53">
        <w:rPr>
          <w:szCs w:val="26"/>
        </w:rPr>
        <w:t xml:space="preserve">, señalándose la pertenencia a la misma de un representante designado por la Comunidad Foral </w:t>
      </w:r>
      <w:r w:rsidR="000C4F53" w:rsidRPr="002B2B21">
        <w:rPr>
          <w:b/>
          <w:szCs w:val="26"/>
        </w:rPr>
        <w:t>con voz pero sin voto</w:t>
      </w:r>
      <w:r w:rsidR="000C4F53" w:rsidRPr="002F533D">
        <w:rPr>
          <w:szCs w:val="26"/>
        </w:rPr>
        <w:t>.</w:t>
      </w:r>
    </w:p>
    <w:p w:rsidR="00D47728" w:rsidRDefault="00B16926" w:rsidP="00071558">
      <w:pPr>
        <w:pStyle w:val="texto"/>
        <w:tabs>
          <w:tab w:val="clear" w:pos="2835"/>
          <w:tab w:val="clear" w:pos="3969"/>
          <w:tab w:val="clear" w:pos="5103"/>
          <w:tab w:val="clear" w:pos="6237"/>
          <w:tab w:val="clear" w:pos="7371"/>
        </w:tabs>
        <w:rPr>
          <w:szCs w:val="26"/>
        </w:rPr>
      </w:pPr>
      <w:r>
        <w:rPr>
          <w:szCs w:val="26"/>
        </w:rPr>
        <w:t>Este</w:t>
      </w:r>
      <w:r w:rsidR="00D47728">
        <w:rPr>
          <w:szCs w:val="26"/>
        </w:rPr>
        <w:t xml:space="preserve"> representante, cuya pertenencia a la citada </w:t>
      </w:r>
      <w:r w:rsidR="002F533D">
        <w:rPr>
          <w:szCs w:val="26"/>
        </w:rPr>
        <w:t>c</w:t>
      </w:r>
      <w:r w:rsidR="00D47728">
        <w:rPr>
          <w:szCs w:val="26"/>
        </w:rPr>
        <w:t xml:space="preserve">omisión se vincula en tanto estén vigentes los requisitos de la ley Foral 26/2014, asumirá las funciones básicamente de “examen, análisis, inspección y evaluación de todos los hechos, contratos y, en general, operaciones de índole económica, financiera, fiscal y administrativa realizados por el </w:t>
      </w:r>
      <w:r w:rsidR="002F533D">
        <w:rPr>
          <w:szCs w:val="26"/>
        </w:rPr>
        <w:t>c</w:t>
      </w:r>
      <w:r w:rsidR="00D47728">
        <w:rPr>
          <w:szCs w:val="26"/>
        </w:rPr>
        <w:t xml:space="preserve">lub o en los que el </w:t>
      </w:r>
      <w:r w:rsidR="002F533D">
        <w:rPr>
          <w:szCs w:val="26"/>
        </w:rPr>
        <w:t>c</w:t>
      </w:r>
      <w:r w:rsidR="00D47728">
        <w:rPr>
          <w:szCs w:val="26"/>
        </w:rPr>
        <w:t xml:space="preserve">lub esté implicado o haya sido parte. Dicho seguimiento será continuo”. </w:t>
      </w:r>
    </w:p>
    <w:p w:rsidR="009015CB" w:rsidRDefault="009015CB" w:rsidP="00AC31C2">
      <w:pPr>
        <w:pStyle w:val="texto"/>
        <w:tabs>
          <w:tab w:val="clear" w:pos="2835"/>
          <w:tab w:val="clear" w:pos="3969"/>
          <w:tab w:val="clear" w:pos="5103"/>
          <w:tab w:val="clear" w:pos="6237"/>
          <w:tab w:val="clear" w:pos="7371"/>
        </w:tabs>
        <w:rPr>
          <w:szCs w:val="26"/>
        </w:rPr>
      </w:pPr>
      <w:r>
        <w:rPr>
          <w:szCs w:val="26"/>
        </w:rPr>
        <w:t xml:space="preserve">De acuerdo con los citados estatutos, esta </w:t>
      </w:r>
      <w:r w:rsidR="002F533D">
        <w:rPr>
          <w:szCs w:val="26"/>
        </w:rPr>
        <w:t>c</w:t>
      </w:r>
      <w:r>
        <w:rPr>
          <w:szCs w:val="26"/>
        </w:rPr>
        <w:t>omisión no tendr</w:t>
      </w:r>
      <w:r w:rsidR="00B16926">
        <w:rPr>
          <w:szCs w:val="26"/>
        </w:rPr>
        <w:t>á</w:t>
      </w:r>
      <w:r>
        <w:rPr>
          <w:szCs w:val="26"/>
        </w:rPr>
        <w:t xml:space="preserve"> funciones ejecutivas, ni coercitivas o sancionadoras.</w:t>
      </w:r>
    </w:p>
    <w:p w:rsidR="0060799C" w:rsidRPr="00ED2449" w:rsidRDefault="00D47728" w:rsidP="00ED2449">
      <w:pPr>
        <w:pStyle w:val="texto"/>
        <w:tabs>
          <w:tab w:val="clear" w:pos="2835"/>
          <w:tab w:val="clear" w:pos="3969"/>
          <w:tab w:val="clear" w:pos="5103"/>
          <w:tab w:val="clear" w:pos="6237"/>
          <w:tab w:val="clear" w:pos="7371"/>
        </w:tabs>
        <w:rPr>
          <w:szCs w:val="26"/>
        </w:rPr>
      </w:pPr>
      <w:r>
        <w:rPr>
          <w:szCs w:val="26"/>
        </w:rPr>
        <w:t>A la fecha de redacción de este Informe, no consta la designación</w:t>
      </w:r>
      <w:r w:rsidR="00A85B47">
        <w:rPr>
          <w:szCs w:val="26"/>
        </w:rPr>
        <w:t xml:space="preserve"> formal</w:t>
      </w:r>
      <w:r>
        <w:rPr>
          <w:szCs w:val="26"/>
        </w:rPr>
        <w:t xml:space="preserve"> de</w:t>
      </w:r>
      <w:r w:rsidR="00B16926">
        <w:rPr>
          <w:szCs w:val="26"/>
        </w:rPr>
        <w:t xml:space="preserve">l </w:t>
      </w:r>
      <w:r>
        <w:rPr>
          <w:szCs w:val="26"/>
        </w:rPr>
        <w:t>representante de la Comunidad Foral.</w:t>
      </w:r>
    </w:p>
    <w:p w:rsidR="007676BC" w:rsidRDefault="002E0394" w:rsidP="00FB5B24">
      <w:pPr>
        <w:pStyle w:val="texto"/>
        <w:tabs>
          <w:tab w:val="clear" w:pos="2835"/>
          <w:tab w:val="clear" w:pos="3969"/>
          <w:tab w:val="clear" w:pos="5103"/>
          <w:tab w:val="clear" w:pos="6237"/>
          <w:tab w:val="clear" w:pos="7371"/>
        </w:tabs>
        <w:rPr>
          <w:szCs w:val="26"/>
        </w:rPr>
      </w:pPr>
      <w:r>
        <w:rPr>
          <w:b/>
          <w:szCs w:val="26"/>
        </w:rPr>
        <w:t>3</w:t>
      </w:r>
      <w:r w:rsidR="00537141">
        <w:rPr>
          <w:b/>
          <w:szCs w:val="26"/>
        </w:rPr>
        <w:t>1</w:t>
      </w:r>
      <w:r w:rsidR="00FB5B24" w:rsidRPr="00CB0EF1">
        <w:rPr>
          <w:b/>
          <w:szCs w:val="26"/>
        </w:rPr>
        <w:t>.ª Otros requisitos</w:t>
      </w:r>
      <w:r w:rsidR="00FB5B24">
        <w:rPr>
          <w:szCs w:val="26"/>
        </w:rPr>
        <w:t xml:space="preserve"> </w:t>
      </w:r>
    </w:p>
    <w:p w:rsidR="00FB5B24" w:rsidRDefault="00FB5B24" w:rsidP="00FB5B24">
      <w:pPr>
        <w:pStyle w:val="texto"/>
        <w:tabs>
          <w:tab w:val="clear" w:pos="2835"/>
          <w:tab w:val="clear" w:pos="3969"/>
          <w:tab w:val="clear" w:pos="5103"/>
          <w:tab w:val="clear" w:pos="6237"/>
          <w:tab w:val="clear" w:pos="7371"/>
        </w:tabs>
        <w:rPr>
          <w:szCs w:val="26"/>
        </w:rPr>
      </w:pPr>
      <w:r>
        <w:rPr>
          <w:szCs w:val="26"/>
        </w:rPr>
        <w:t>De acuerdo con la disposición adicional única de la Ley Foral 2672014, se establecían además los siguientes requisitos:</w:t>
      </w:r>
    </w:p>
    <w:p w:rsidR="00FB5B24" w:rsidRPr="004C4182" w:rsidRDefault="00FB5B24" w:rsidP="00FB5B24">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Que el Gobierno de Navarra instar</w:t>
      </w:r>
      <w:r w:rsidR="00645222">
        <w:rPr>
          <w:szCs w:val="26"/>
        </w:rPr>
        <w:t>á</w:t>
      </w:r>
      <w:r>
        <w:rPr>
          <w:szCs w:val="26"/>
        </w:rPr>
        <w:t xml:space="preserve"> y acordar</w:t>
      </w:r>
      <w:r w:rsidR="00645222">
        <w:rPr>
          <w:szCs w:val="26"/>
        </w:rPr>
        <w:t>á</w:t>
      </w:r>
      <w:r>
        <w:rPr>
          <w:szCs w:val="26"/>
        </w:rPr>
        <w:t xml:space="preserve"> con el </w:t>
      </w:r>
      <w:r w:rsidR="002F533D">
        <w:rPr>
          <w:szCs w:val="26"/>
        </w:rPr>
        <w:t>c</w:t>
      </w:r>
      <w:r>
        <w:rPr>
          <w:szCs w:val="26"/>
        </w:rPr>
        <w:t>lub para que éste encarg</w:t>
      </w:r>
      <w:r w:rsidR="002F533D">
        <w:rPr>
          <w:szCs w:val="26"/>
        </w:rPr>
        <w:t>u</w:t>
      </w:r>
      <w:r>
        <w:rPr>
          <w:szCs w:val="26"/>
        </w:rPr>
        <w:t xml:space="preserve">e una auditoría externa </w:t>
      </w:r>
      <w:r w:rsidRPr="004C4182">
        <w:rPr>
          <w:szCs w:val="26"/>
        </w:rPr>
        <w:t>sobre los ejercicios de 2005 a 2014</w:t>
      </w:r>
      <w:r>
        <w:rPr>
          <w:szCs w:val="26"/>
        </w:rPr>
        <w:t>. Esta auditoría será remitida al Parlamento de Navarra.</w:t>
      </w:r>
    </w:p>
    <w:p w:rsidR="00FB5B24" w:rsidRDefault="00FB5B24" w:rsidP="00FB5B24">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 xml:space="preserve">El </w:t>
      </w:r>
      <w:r w:rsidR="002B2B21">
        <w:rPr>
          <w:szCs w:val="26"/>
        </w:rPr>
        <w:t>c</w:t>
      </w:r>
      <w:r>
        <w:rPr>
          <w:szCs w:val="26"/>
        </w:rPr>
        <w:t>lub presentara al Gobierno los planes de viabilidad así como los posibles cambios de su personalidad o su situación jurídica, para su remisión posterior al Parlamento de Navarra.</w:t>
      </w:r>
    </w:p>
    <w:p w:rsidR="00FB5B24" w:rsidRDefault="00FB5B24" w:rsidP="00FB5B24">
      <w:pPr>
        <w:pStyle w:val="texto"/>
        <w:tabs>
          <w:tab w:val="clear" w:pos="2835"/>
          <w:tab w:val="clear" w:pos="3969"/>
          <w:tab w:val="clear" w:pos="5103"/>
          <w:tab w:val="clear" w:pos="6237"/>
          <w:tab w:val="clear" w:pos="7371"/>
        </w:tabs>
        <w:rPr>
          <w:szCs w:val="26"/>
        </w:rPr>
      </w:pPr>
      <w:r>
        <w:rPr>
          <w:szCs w:val="26"/>
        </w:rPr>
        <w:t xml:space="preserve">Por acuerdo del Gobierno de Navarra de 17 de diciembre de 2014 se insta al </w:t>
      </w:r>
      <w:r w:rsidR="002F533D">
        <w:rPr>
          <w:szCs w:val="26"/>
        </w:rPr>
        <w:t>c</w:t>
      </w:r>
      <w:r>
        <w:rPr>
          <w:szCs w:val="26"/>
        </w:rPr>
        <w:t xml:space="preserve">lub a encargar la citada auditoría y a la remisión de los planes de viabilidad. </w:t>
      </w:r>
      <w:r w:rsidR="0023437C">
        <w:rPr>
          <w:szCs w:val="26"/>
        </w:rPr>
        <w:t>Asimismo</w:t>
      </w:r>
      <w:r>
        <w:rPr>
          <w:szCs w:val="26"/>
        </w:rPr>
        <w:t xml:space="preserve">, faculta a la </w:t>
      </w:r>
      <w:r w:rsidR="002F533D">
        <w:rPr>
          <w:szCs w:val="26"/>
        </w:rPr>
        <w:t>c</w:t>
      </w:r>
      <w:r>
        <w:rPr>
          <w:szCs w:val="26"/>
        </w:rPr>
        <w:t>onsejera de Economía, Hacienda, Industria y Empleo para que acuerde tanto las condiciones generales del encargo de la citada auditoría externa y de la remisión de los mencionados planes de viabilidad como la designación de los funcionarios del Departamento que permita materializar tales acuerdos con el club.</w:t>
      </w:r>
    </w:p>
    <w:p w:rsidR="00FB5B24" w:rsidRPr="00DD5063" w:rsidRDefault="00FB5B24" w:rsidP="00FB5B24">
      <w:pPr>
        <w:pStyle w:val="texto"/>
        <w:tabs>
          <w:tab w:val="clear" w:pos="2835"/>
          <w:tab w:val="clear" w:pos="3969"/>
          <w:tab w:val="clear" w:pos="5103"/>
          <w:tab w:val="clear" w:pos="6237"/>
          <w:tab w:val="clear" w:pos="7371"/>
        </w:tabs>
        <w:rPr>
          <w:szCs w:val="26"/>
        </w:rPr>
      </w:pPr>
      <w:r w:rsidRPr="00DD5063">
        <w:rPr>
          <w:szCs w:val="26"/>
        </w:rPr>
        <w:t xml:space="preserve">A la fecha de redacción de este informe, consta que, en escrito remitido por el </w:t>
      </w:r>
      <w:r w:rsidR="002F533D">
        <w:rPr>
          <w:szCs w:val="26"/>
        </w:rPr>
        <w:t>c</w:t>
      </w:r>
      <w:r w:rsidRPr="00DD5063">
        <w:rPr>
          <w:szCs w:val="26"/>
        </w:rPr>
        <w:t xml:space="preserve">lub el 23 de abril de 2015, éste ha presentado un documento de febrero de 2015 en el que solicitaba presupuesto para la realización de la citada auditoría a cinco firmas de profesionales. Se desconoce el estado en que se encuentra tal auditoría en la actualidad. </w:t>
      </w:r>
    </w:p>
    <w:p w:rsidR="00FB5B24" w:rsidRPr="007D4770" w:rsidRDefault="00FB5B24" w:rsidP="00FB5B24">
      <w:pPr>
        <w:pStyle w:val="texto"/>
        <w:tabs>
          <w:tab w:val="clear" w:pos="2835"/>
          <w:tab w:val="clear" w:pos="3969"/>
          <w:tab w:val="clear" w:pos="5103"/>
          <w:tab w:val="clear" w:pos="6237"/>
          <w:tab w:val="clear" w:pos="7371"/>
        </w:tabs>
        <w:rPr>
          <w:szCs w:val="26"/>
        </w:rPr>
      </w:pPr>
      <w:r>
        <w:rPr>
          <w:szCs w:val="26"/>
        </w:rPr>
        <w:t>Sobre los planes de viabilidad, la HTN aporta a esta Cámara cuatro documentos que se refieren a planes de tesorería de las</w:t>
      </w:r>
      <w:r w:rsidRPr="007D4770">
        <w:rPr>
          <w:szCs w:val="26"/>
        </w:rPr>
        <w:t xml:space="preserve"> temporadas 2014</w:t>
      </w:r>
      <w:r>
        <w:rPr>
          <w:szCs w:val="26"/>
        </w:rPr>
        <w:t>/15,</w:t>
      </w:r>
      <w:r w:rsidRPr="007D4770">
        <w:rPr>
          <w:szCs w:val="26"/>
        </w:rPr>
        <w:t xml:space="preserve"> 2015</w:t>
      </w:r>
      <w:r>
        <w:rPr>
          <w:szCs w:val="26"/>
        </w:rPr>
        <w:t>/16</w:t>
      </w:r>
      <w:r w:rsidRPr="007D4770">
        <w:rPr>
          <w:szCs w:val="26"/>
        </w:rPr>
        <w:t>, 2016</w:t>
      </w:r>
      <w:r>
        <w:rPr>
          <w:szCs w:val="26"/>
        </w:rPr>
        <w:t>/17</w:t>
      </w:r>
      <w:r w:rsidRPr="007D4770">
        <w:rPr>
          <w:szCs w:val="26"/>
        </w:rPr>
        <w:t xml:space="preserve"> y 2017</w:t>
      </w:r>
      <w:r>
        <w:rPr>
          <w:szCs w:val="26"/>
        </w:rPr>
        <w:t>/</w:t>
      </w:r>
      <w:r w:rsidRPr="007D4770">
        <w:rPr>
          <w:szCs w:val="26"/>
        </w:rPr>
        <w:t>18, que fueron entregados</w:t>
      </w:r>
      <w:r>
        <w:rPr>
          <w:szCs w:val="26"/>
        </w:rPr>
        <w:t>,</w:t>
      </w:r>
      <w:r w:rsidRPr="007D4770">
        <w:rPr>
          <w:szCs w:val="26"/>
        </w:rPr>
        <w:t xml:space="preserve"> </w:t>
      </w:r>
      <w:r>
        <w:rPr>
          <w:szCs w:val="26"/>
        </w:rPr>
        <w:t>previamente</w:t>
      </w:r>
      <w:r w:rsidRPr="007D4770">
        <w:rPr>
          <w:szCs w:val="26"/>
        </w:rPr>
        <w:t xml:space="preserve"> a la aprobación de la Ley Fo</w:t>
      </w:r>
      <w:r>
        <w:rPr>
          <w:szCs w:val="26"/>
        </w:rPr>
        <w:t>ral 27/2014,</w:t>
      </w:r>
      <w:r w:rsidRPr="007D4770">
        <w:rPr>
          <w:szCs w:val="26"/>
        </w:rPr>
        <w:t xml:space="preserve"> por la Junta Gestora anterior a la actual Junta Directiva</w:t>
      </w:r>
      <w:r>
        <w:rPr>
          <w:szCs w:val="26"/>
        </w:rPr>
        <w:t xml:space="preserve">. Esta misma documentación fue vuelta a remitir por el </w:t>
      </w:r>
      <w:r w:rsidR="002F533D">
        <w:rPr>
          <w:szCs w:val="26"/>
        </w:rPr>
        <w:t>c</w:t>
      </w:r>
      <w:r>
        <w:rPr>
          <w:szCs w:val="26"/>
        </w:rPr>
        <w:t>lub en enero de 2015.</w:t>
      </w:r>
    </w:p>
    <w:p w:rsidR="005A0CA1" w:rsidRPr="004C4182" w:rsidRDefault="00FB5B24" w:rsidP="00BB3700">
      <w:pPr>
        <w:pStyle w:val="texto"/>
        <w:tabs>
          <w:tab w:val="clear" w:pos="2835"/>
          <w:tab w:val="clear" w:pos="3969"/>
          <w:tab w:val="clear" w:pos="5103"/>
          <w:tab w:val="clear" w:pos="6237"/>
          <w:tab w:val="clear" w:pos="7371"/>
        </w:tabs>
        <w:spacing w:after="240"/>
        <w:rPr>
          <w:szCs w:val="26"/>
        </w:rPr>
      </w:pPr>
      <w:r>
        <w:rPr>
          <w:szCs w:val="26"/>
        </w:rPr>
        <w:t>Los anteriores documentos se limitan a previsiones de cobros y pagos de cuatro temporadas pero no pueden entenderse como un auténtico plan de viabilidad al no abordar los aspectos también esenciales de éstos tales como: proyecto empresarial a reestructurar, plan operativo de recursos humanos y técnicos, plan de marketing, plan financiero o análisis de rentabilidad financiera, económica y patrimonial, inversiones y su financiación, situación fiscal</w:t>
      </w:r>
      <w:r w:rsidRPr="007D4770">
        <w:rPr>
          <w:szCs w:val="26"/>
        </w:rPr>
        <w:t>, etc.</w:t>
      </w:r>
    </w:p>
    <w:p w:rsidR="004C4182" w:rsidRPr="00BB3700" w:rsidRDefault="00BB3700" w:rsidP="007676BC">
      <w:pPr>
        <w:pStyle w:val="atitulo3"/>
        <w:rPr>
          <w:color w:val="auto"/>
        </w:rPr>
      </w:pPr>
      <w:r w:rsidRPr="00BB3700">
        <w:rPr>
          <w:color w:val="auto"/>
        </w:rPr>
        <w:t xml:space="preserve">IV.4.3. </w:t>
      </w:r>
      <w:r w:rsidR="00F93691" w:rsidRPr="00BB3700">
        <w:rPr>
          <w:color w:val="auto"/>
        </w:rPr>
        <w:t>Otras consideraciones sobre la Ley Foral 26/2014</w:t>
      </w:r>
    </w:p>
    <w:p w:rsidR="007676BC" w:rsidRDefault="002E0394" w:rsidP="002B1F9B">
      <w:pPr>
        <w:pStyle w:val="texto"/>
        <w:tabs>
          <w:tab w:val="clear" w:pos="2835"/>
          <w:tab w:val="clear" w:pos="3969"/>
          <w:tab w:val="clear" w:pos="5103"/>
          <w:tab w:val="clear" w:pos="6237"/>
          <w:tab w:val="clear" w:pos="7371"/>
        </w:tabs>
        <w:rPr>
          <w:b/>
        </w:rPr>
      </w:pPr>
      <w:r>
        <w:rPr>
          <w:b/>
        </w:rPr>
        <w:t>3</w:t>
      </w:r>
      <w:r w:rsidR="00537141">
        <w:rPr>
          <w:b/>
        </w:rPr>
        <w:t>2</w:t>
      </w:r>
      <w:r w:rsidR="00991EEC">
        <w:rPr>
          <w:b/>
        </w:rPr>
        <w:t>.ª</w:t>
      </w:r>
      <w:r w:rsidR="005865E3">
        <w:rPr>
          <w:b/>
        </w:rPr>
        <w:t xml:space="preserve"> Otras consideraciones sobre la Ley Fora</w:t>
      </w:r>
      <w:r w:rsidR="00362814">
        <w:rPr>
          <w:b/>
        </w:rPr>
        <w:t>l</w:t>
      </w:r>
    </w:p>
    <w:p w:rsidR="00F93691" w:rsidRDefault="00F93691" w:rsidP="002B1F9B">
      <w:pPr>
        <w:pStyle w:val="texto"/>
        <w:tabs>
          <w:tab w:val="clear" w:pos="2835"/>
          <w:tab w:val="clear" w:pos="3969"/>
          <w:tab w:val="clear" w:pos="5103"/>
          <w:tab w:val="clear" w:pos="6237"/>
          <w:tab w:val="clear" w:pos="7371"/>
        </w:tabs>
        <w:rPr>
          <w:szCs w:val="26"/>
        </w:rPr>
      </w:pPr>
      <w:r>
        <w:rPr>
          <w:szCs w:val="26"/>
        </w:rPr>
        <w:t>En opinión de esta Cámara, la citada ley Foral adolece</w:t>
      </w:r>
      <w:r w:rsidR="00016952" w:rsidRPr="00016952">
        <w:rPr>
          <w:szCs w:val="26"/>
        </w:rPr>
        <w:t xml:space="preserve"> </w:t>
      </w:r>
      <w:r w:rsidR="00016952">
        <w:rPr>
          <w:szCs w:val="26"/>
        </w:rPr>
        <w:t>de ciertas imprecisiones</w:t>
      </w:r>
      <w:r w:rsidR="005865E3">
        <w:rPr>
          <w:szCs w:val="26"/>
        </w:rPr>
        <w:t>,</w:t>
      </w:r>
      <w:r w:rsidR="002A462C">
        <w:rPr>
          <w:szCs w:val="26"/>
        </w:rPr>
        <w:t xml:space="preserve"> además</w:t>
      </w:r>
      <w:r w:rsidR="005865E3">
        <w:rPr>
          <w:szCs w:val="26"/>
        </w:rPr>
        <w:t xml:space="preserve"> de las ya comentadas a lo largo del cuerpo del informe, </w:t>
      </w:r>
      <w:r w:rsidR="00645222">
        <w:rPr>
          <w:szCs w:val="26"/>
        </w:rPr>
        <w:t>por no</w:t>
      </w:r>
      <w:r>
        <w:rPr>
          <w:szCs w:val="26"/>
        </w:rPr>
        <w:t xml:space="preserve"> contemplar la siguiente casuística:</w:t>
      </w:r>
    </w:p>
    <w:p w:rsidR="00F93691" w:rsidRPr="00F93691" w:rsidRDefault="00F93691" w:rsidP="00F93691">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N</w:t>
      </w:r>
      <w:r w:rsidRPr="00F93691">
        <w:rPr>
          <w:szCs w:val="26"/>
        </w:rPr>
        <w:t xml:space="preserve">o remite, al menos como legislación supletoria, a la normativa general tributaria de Navarra y especialmente a su </w:t>
      </w:r>
      <w:r w:rsidR="00B93314">
        <w:rPr>
          <w:szCs w:val="26"/>
        </w:rPr>
        <w:t>R</w:t>
      </w:r>
      <w:r w:rsidRPr="00F93691">
        <w:rPr>
          <w:szCs w:val="26"/>
        </w:rPr>
        <w:t xml:space="preserve">eglamento de </w:t>
      </w:r>
      <w:r w:rsidR="00B93314">
        <w:rPr>
          <w:szCs w:val="26"/>
        </w:rPr>
        <w:t>R</w:t>
      </w:r>
      <w:r w:rsidRPr="00F93691">
        <w:rPr>
          <w:szCs w:val="26"/>
        </w:rPr>
        <w:t>ecaudación</w:t>
      </w:r>
      <w:r w:rsidR="001933A0">
        <w:rPr>
          <w:szCs w:val="26"/>
        </w:rPr>
        <w:t xml:space="preserve"> para resolver cualquier incidencia procedimental</w:t>
      </w:r>
      <w:r w:rsidRPr="00F93691">
        <w:rPr>
          <w:szCs w:val="26"/>
        </w:rPr>
        <w:t>.</w:t>
      </w:r>
    </w:p>
    <w:p w:rsidR="00A40E3B" w:rsidRDefault="001933A0" w:rsidP="00F93691">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N</w:t>
      </w:r>
      <w:r w:rsidR="00F93691" w:rsidRPr="00F93691">
        <w:rPr>
          <w:szCs w:val="26"/>
        </w:rPr>
        <w:t xml:space="preserve">o contempla ninguna previsión y sus efectos para el supuesto de incumplimiento de alguno de los requisitos que se establece para el </w:t>
      </w:r>
      <w:r w:rsidR="002F533D">
        <w:rPr>
          <w:szCs w:val="26"/>
        </w:rPr>
        <w:t>c</w:t>
      </w:r>
      <w:r w:rsidR="00F93691" w:rsidRPr="00F93691">
        <w:rPr>
          <w:szCs w:val="26"/>
        </w:rPr>
        <w:t xml:space="preserve">lub. </w:t>
      </w:r>
    </w:p>
    <w:p w:rsidR="00F93691" w:rsidRPr="00F93691" w:rsidRDefault="00F93691" w:rsidP="00F93691">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F93691">
        <w:rPr>
          <w:szCs w:val="26"/>
        </w:rPr>
        <w:t xml:space="preserve">Tampoco incluye referencias sobre el exigible compromiso al </w:t>
      </w:r>
      <w:r w:rsidR="002F533D">
        <w:rPr>
          <w:szCs w:val="26"/>
        </w:rPr>
        <w:t>c</w:t>
      </w:r>
      <w:r w:rsidRPr="00F93691">
        <w:rPr>
          <w:szCs w:val="26"/>
        </w:rPr>
        <w:t>lub de estar al corriente de sus obligaciones fiscales después del 31 de diciembre de 2014.</w:t>
      </w:r>
    </w:p>
    <w:p w:rsidR="00CD3026" w:rsidRPr="00207C7E" w:rsidRDefault="00F93691" w:rsidP="00207C7E">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F93691">
        <w:rPr>
          <w:szCs w:val="26"/>
        </w:rPr>
        <w:t>No se contempla en sus previsiones la situación de un descenso a la segunda División B o una transformación social del mismo y c</w:t>
      </w:r>
      <w:r w:rsidR="002F533D">
        <w:rPr>
          <w:szCs w:val="26"/>
        </w:rPr>
        <w:t>ó</w:t>
      </w:r>
      <w:r w:rsidRPr="00F93691">
        <w:rPr>
          <w:szCs w:val="26"/>
        </w:rPr>
        <w:t xml:space="preserve">mo </w:t>
      </w:r>
      <w:r w:rsidR="00252B24">
        <w:rPr>
          <w:szCs w:val="26"/>
        </w:rPr>
        <w:t>afectarían</w:t>
      </w:r>
      <w:r w:rsidRPr="00F93691">
        <w:rPr>
          <w:szCs w:val="26"/>
        </w:rPr>
        <w:t xml:space="preserve">, en estos supuestos, </w:t>
      </w:r>
      <w:r w:rsidR="00252B24">
        <w:rPr>
          <w:szCs w:val="26"/>
        </w:rPr>
        <w:t xml:space="preserve">a </w:t>
      </w:r>
      <w:r w:rsidRPr="00F93691">
        <w:rPr>
          <w:szCs w:val="26"/>
        </w:rPr>
        <w:t>sus obligaciones de pago</w:t>
      </w:r>
      <w:r w:rsidR="00252B24">
        <w:rPr>
          <w:szCs w:val="26"/>
        </w:rPr>
        <w:t xml:space="preserve"> pendientes</w:t>
      </w:r>
      <w:r w:rsidRPr="00F93691">
        <w:rPr>
          <w:szCs w:val="26"/>
        </w:rPr>
        <w:t xml:space="preserve"> con la Hacienda Foral.</w:t>
      </w:r>
    </w:p>
    <w:p w:rsidR="003E08C6" w:rsidRDefault="003E08C6" w:rsidP="0031486F">
      <w:pPr>
        <w:pStyle w:val="atitulo2"/>
        <w:spacing w:before="240"/>
      </w:pPr>
      <w:bookmarkStart w:id="21" w:name="_Toc425926954"/>
      <w:r>
        <w:t xml:space="preserve">IV.5. Otras </w:t>
      </w:r>
      <w:r w:rsidR="00970543">
        <w:t>actuaciones a favor de</w:t>
      </w:r>
      <w:r>
        <w:t xml:space="preserve">l </w:t>
      </w:r>
      <w:r w:rsidR="00F04075">
        <w:t>c</w:t>
      </w:r>
      <w:r>
        <w:t>lub</w:t>
      </w:r>
      <w:bookmarkEnd w:id="21"/>
    </w:p>
    <w:p w:rsidR="007676BC" w:rsidRDefault="002E0394" w:rsidP="003E08C6">
      <w:pPr>
        <w:pStyle w:val="texto"/>
        <w:tabs>
          <w:tab w:val="clear" w:pos="2835"/>
          <w:tab w:val="clear" w:pos="3969"/>
          <w:tab w:val="clear" w:pos="5103"/>
          <w:tab w:val="clear" w:pos="6237"/>
          <w:tab w:val="clear" w:pos="7371"/>
        </w:tabs>
        <w:rPr>
          <w:szCs w:val="26"/>
        </w:rPr>
      </w:pPr>
      <w:r>
        <w:rPr>
          <w:b/>
          <w:szCs w:val="26"/>
        </w:rPr>
        <w:t>3</w:t>
      </w:r>
      <w:r w:rsidR="00537141">
        <w:rPr>
          <w:b/>
          <w:szCs w:val="26"/>
        </w:rPr>
        <w:t>3</w:t>
      </w:r>
      <w:r w:rsidR="00B77F17">
        <w:rPr>
          <w:b/>
          <w:szCs w:val="26"/>
        </w:rPr>
        <w:t>.</w:t>
      </w:r>
      <w:r w:rsidR="003E08C6" w:rsidRPr="003E08C6">
        <w:rPr>
          <w:b/>
          <w:szCs w:val="26"/>
        </w:rPr>
        <w:t>ª</w:t>
      </w:r>
      <w:r w:rsidR="003E08C6" w:rsidRPr="00B77F17">
        <w:rPr>
          <w:b/>
          <w:szCs w:val="26"/>
        </w:rPr>
        <w:t xml:space="preserve"> </w:t>
      </w:r>
      <w:r w:rsidR="00B77F17" w:rsidRPr="00B77F17">
        <w:rPr>
          <w:b/>
          <w:szCs w:val="26"/>
        </w:rPr>
        <w:t>Renuncia de derechos de cobro</w:t>
      </w:r>
      <w:r w:rsidR="00FB5B24">
        <w:rPr>
          <w:b/>
          <w:szCs w:val="26"/>
        </w:rPr>
        <w:t xml:space="preserve"> por el Gobierno de Navarra</w:t>
      </w:r>
    </w:p>
    <w:p w:rsidR="003E08C6" w:rsidRDefault="003E08C6" w:rsidP="003E08C6">
      <w:pPr>
        <w:pStyle w:val="texto"/>
        <w:tabs>
          <w:tab w:val="clear" w:pos="2835"/>
          <w:tab w:val="clear" w:pos="3969"/>
          <w:tab w:val="clear" w:pos="5103"/>
          <w:tab w:val="clear" w:pos="6237"/>
          <w:tab w:val="clear" w:pos="7371"/>
        </w:tabs>
        <w:rPr>
          <w:szCs w:val="26"/>
        </w:rPr>
      </w:pPr>
      <w:r>
        <w:rPr>
          <w:szCs w:val="26"/>
        </w:rPr>
        <w:t xml:space="preserve">Con anterioridad a la aprobación de la Ley Foral 26/2014 y coincidiendo con el descenso a 2ª división A del </w:t>
      </w:r>
      <w:r w:rsidR="002F533D">
        <w:rPr>
          <w:szCs w:val="26"/>
        </w:rPr>
        <w:t>c</w:t>
      </w:r>
      <w:r>
        <w:rPr>
          <w:szCs w:val="26"/>
        </w:rPr>
        <w:t>lub –</w:t>
      </w:r>
      <w:r w:rsidR="005A0CA1">
        <w:rPr>
          <w:szCs w:val="26"/>
        </w:rPr>
        <w:t>mayo</w:t>
      </w:r>
      <w:r>
        <w:rPr>
          <w:szCs w:val="26"/>
        </w:rPr>
        <w:t xml:space="preserve"> de 2014</w:t>
      </w:r>
      <w:r w:rsidR="007676BC">
        <w:rPr>
          <w:szCs w:val="26"/>
        </w:rPr>
        <w:t>–</w:t>
      </w:r>
      <w:r>
        <w:rPr>
          <w:szCs w:val="26"/>
        </w:rPr>
        <w:t xml:space="preserve">, el Gobierno de Navarra, a petición del </w:t>
      </w:r>
      <w:r w:rsidR="002F533D">
        <w:rPr>
          <w:szCs w:val="26"/>
        </w:rPr>
        <w:t>c</w:t>
      </w:r>
      <w:r>
        <w:rPr>
          <w:szCs w:val="26"/>
        </w:rPr>
        <w:t>lub, acordó, en julio de 2014, renunciar al derecho de cobro preferente de las ayudas al descenso que le corresponderían en virtud del Reglamento General de la Liga Nacional de Futbol Profesional. Estas ayudas para la temporada 2014/15 ascienden a un total neto</w:t>
      </w:r>
      <w:r>
        <w:rPr>
          <w:rStyle w:val="Refdenotaalpie"/>
          <w:szCs w:val="26"/>
        </w:rPr>
        <w:footnoteReference w:id="16"/>
      </w:r>
      <w:r>
        <w:rPr>
          <w:szCs w:val="26"/>
        </w:rPr>
        <w:t xml:space="preserve"> de 2,66 millones.</w:t>
      </w:r>
    </w:p>
    <w:p w:rsidR="003E08C6" w:rsidRDefault="003E08C6" w:rsidP="003E08C6">
      <w:pPr>
        <w:pStyle w:val="texto"/>
        <w:tabs>
          <w:tab w:val="clear" w:pos="2835"/>
          <w:tab w:val="clear" w:pos="3969"/>
          <w:tab w:val="clear" w:pos="5103"/>
          <w:tab w:val="clear" w:pos="6237"/>
          <w:tab w:val="clear" w:pos="7371"/>
        </w:tabs>
        <w:rPr>
          <w:szCs w:val="26"/>
        </w:rPr>
      </w:pPr>
      <w:r>
        <w:rPr>
          <w:szCs w:val="26"/>
        </w:rPr>
        <w:t xml:space="preserve">Las ayudas de la LFP se conceden al </w:t>
      </w:r>
      <w:r w:rsidR="002F533D">
        <w:rPr>
          <w:szCs w:val="26"/>
        </w:rPr>
        <w:t>c</w:t>
      </w:r>
      <w:r>
        <w:rPr>
          <w:szCs w:val="26"/>
        </w:rPr>
        <w:t xml:space="preserve">lub siempre que mantenga la categoría en la 2ª división A y no existan deudas con la plantilla deportiva o estén regularizadas las mismas. </w:t>
      </w:r>
      <w:r w:rsidR="0023437C">
        <w:rPr>
          <w:szCs w:val="26"/>
        </w:rPr>
        <w:t>Asimismo</w:t>
      </w:r>
      <w:r w:rsidR="002F533D">
        <w:rPr>
          <w:szCs w:val="26"/>
        </w:rPr>
        <w:t>,</w:t>
      </w:r>
      <w:r>
        <w:rPr>
          <w:szCs w:val="26"/>
        </w:rPr>
        <w:t xml:space="preserve"> exige también estar al corriente de sus obligaciones económicas frente a sus acreedores, teniendo las deudas con las administraciones públicas carácter preferente; en caso de no estar al corriente, esas ayudas se abonarán directamente por la Liga a los acreedores.</w:t>
      </w:r>
    </w:p>
    <w:p w:rsidR="003E08C6" w:rsidRDefault="003E08C6" w:rsidP="003E08C6">
      <w:pPr>
        <w:pStyle w:val="texto"/>
        <w:tabs>
          <w:tab w:val="clear" w:pos="2835"/>
          <w:tab w:val="clear" w:pos="3969"/>
          <w:tab w:val="clear" w:pos="5103"/>
          <w:tab w:val="clear" w:pos="6237"/>
          <w:tab w:val="clear" w:pos="7371"/>
        </w:tabs>
        <w:rPr>
          <w:szCs w:val="26"/>
        </w:rPr>
      </w:pPr>
      <w:r>
        <w:rPr>
          <w:szCs w:val="26"/>
        </w:rPr>
        <w:t xml:space="preserve">A finales de julio de 2014, el </w:t>
      </w:r>
      <w:r w:rsidR="002F533D">
        <w:rPr>
          <w:szCs w:val="26"/>
        </w:rPr>
        <w:t>c</w:t>
      </w:r>
      <w:r>
        <w:rPr>
          <w:szCs w:val="26"/>
        </w:rPr>
        <w:t xml:space="preserve">lub adeudaba a </w:t>
      </w:r>
      <w:r w:rsidR="00016952">
        <w:rPr>
          <w:szCs w:val="26"/>
        </w:rPr>
        <w:t>su</w:t>
      </w:r>
      <w:r>
        <w:rPr>
          <w:szCs w:val="26"/>
        </w:rPr>
        <w:t xml:space="preserve"> plantilla</w:t>
      </w:r>
      <w:r w:rsidR="00016952">
        <w:rPr>
          <w:szCs w:val="26"/>
        </w:rPr>
        <w:t xml:space="preserve"> unas cuantías que</w:t>
      </w:r>
      <w:r>
        <w:rPr>
          <w:szCs w:val="26"/>
        </w:rPr>
        <w:t>, ante su delicada situación financiera, le resultaba imposible cance</w:t>
      </w:r>
      <w:r w:rsidR="00016952">
        <w:rPr>
          <w:szCs w:val="26"/>
        </w:rPr>
        <w:t>lar</w:t>
      </w:r>
      <w:r>
        <w:rPr>
          <w:szCs w:val="26"/>
        </w:rPr>
        <w:t>. En consecuencia, de mantenerse las denuncias de los jugadores, se vería abocado a un descenso administrativo de categoría además de no percibir importe alguno por la Liga ni de ninguna otra organización relacionada con el fútbol profesional</w:t>
      </w:r>
      <w:r>
        <w:rPr>
          <w:rStyle w:val="Refdenotaalpie"/>
          <w:szCs w:val="26"/>
        </w:rPr>
        <w:footnoteReference w:id="17"/>
      </w:r>
      <w:r>
        <w:rPr>
          <w:szCs w:val="26"/>
        </w:rPr>
        <w:t xml:space="preserve"> en concepto de ayuda al descenso.</w:t>
      </w:r>
    </w:p>
    <w:p w:rsidR="003E08C6" w:rsidRDefault="003E08C6" w:rsidP="003E08C6">
      <w:pPr>
        <w:pStyle w:val="texto"/>
        <w:tabs>
          <w:tab w:val="clear" w:pos="2835"/>
          <w:tab w:val="clear" w:pos="3969"/>
          <w:tab w:val="clear" w:pos="5103"/>
          <w:tab w:val="clear" w:pos="6237"/>
          <w:tab w:val="clear" w:pos="7371"/>
        </w:tabs>
        <w:rPr>
          <w:szCs w:val="26"/>
        </w:rPr>
      </w:pPr>
      <w:r>
        <w:rPr>
          <w:szCs w:val="26"/>
        </w:rPr>
        <w:t xml:space="preserve">Por ello el </w:t>
      </w:r>
      <w:r w:rsidR="002F533D">
        <w:rPr>
          <w:szCs w:val="26"/>
        </w:rPr>
        <w:t>c</w:t>
      </w:r>
      <w:r>
        <w:rPr>
          <w:szCs w:val="26"/>
        </w:rPr>
        <w:t>lub solicita de la HTN la renuncia a tal derecho preferente y la autorización para disponer del importe íntegro de las ayudas derivadas de la pérdida de categoría</w:t>
      </w:r>
      <w:r w:rsidR="005F588A">
        <w:rPr>
          <w:szCs w:val="26"/>
        </w:rPr>
        <w:t xml:space="preserve"> para aplicarlas al pago de las deudas de sus jugadores.</w:t>
      </w:r>
    </w:p>
    <w:p w:rsidR="00FD4AF6" w:rsidRDefault="00FD4AF6" w:rsidP="003E08C6">
      <w:pPr>
        <w:pStyle w:val="texto"/>
        <w:tabs>
          <w:tab w:val="clear" w:pos="2835"/>
          <w:tab w:val="clear" w:pos="3969"/>
          <w:tab w:val="clear" w:pos="5103"/>
          <w:tab w:val="clear" w:pos="6237"/>
          <w:tab w:val="clear" w:pos="7371"/>
        </w:tabs>
        <w:rPr>
          <w:szCs w:val="26"/>
        </w:rPr>
      </w:pPr>
      <w:r>
        <w:rPr>
          <w:szCs w:val="26"/>
        </w:rPr>
        <w:t xml:space="preserve">El servicio de Recaudación elabora en julio de 2014 un informe en el que se analiza tanto la situación del </w:t>
      </w:r>
      <w:r w:rsidR="002F533D">
        <w:rPr>
          <w:szCs w:val="26"/>
        </w:rPr>
        <w:t>c</w:t>
      </w:r>
      <w:r>
        <w:rPr>
          <w:szCs w:val="26"/>
        </w:rPr>
        <w:t>lub como la naturaleza y repercusión que presenta tal renuncia. Concluye que</w:t>
      </w:r>
      <w:r w:rsidR="005A0CA1">
        <w:rPr>
          <w:szCs w:val="26"/>
        </w:rPr>
        <w:t>,</w:t>
      </w:r>
      <w:r>
        <w:rPr>
          <w:szCs w:val="26"/>
        </w:rPr>
        <w:t xml:space="preserve"> con esta renuncia, el </w:t>
      </w:r>
      <w:r w:rsidR="002F533D">
        <w:rPr>
          <w:szCs w:val="26"/>
        </w:rPr>
        <w:t>c</w:t>
      </w:r>
      <w:r>
        <w:rPr>
          <w:szCs w:val="26"/>
        </w:rPr>
        <w:t>lub seguirá manteniendo esa categoría deportiva</w:t>
      </w:r>
      <w:r w:rsidR="00257245">
        <w:rPr>
          <w:szCs w:val="26"/>
        </w:rPr>
        <w:t xml:space="preserve">, </w:t>
      </w:r>
      <w:r w:rsidR="005A0CA1">
        <w:rPr>
          <w:szCs w:val="26"/>
        </w:rPr>
        <w:t xml:space="preserve">que </w:t>
      </w:r>
      <w:r w:rsidR="004F753A">
        <w:rPr>
          <w:szCs w:val="26"/>
        </w:rPr>
        <w:t>su</w:t>
      </w:r>
      <w:r w:rsidR="00DD0165">
        <w:rPr>
          <w:szCs w:val="26"/>
        </w:rPr>
        <w:t xml:space="preserve"> cuantía no debe alcanzar</w:t>
      </w:r>
      <w:r w:rsidR="00257245">
        <w:rPr>
          <w:szCs w:val="26"/>
        </w:rPr>
        <w:t xml:space="preserve"> la totalidad de esos derechos</w:t>
      </w:r>
      <w:r w:rsidR="004F753A">
        <w:rPr>
          <w:szCs w:val="26"/>
        </w:rPr>
        <w:t xml:space="preserve"> sino solo la precisa para cumplir con las exigencias del ámbito deportivo</w:t>
      </w:r>
      <w:r>
        <w:rPr>
          <w:szCs w:val="26"/>
        </w:rPr>
        <w:t xml:space="preserve"> y </w:t>
      </w:r>
      <w:r w:rsidR="00FB5B24">
        <w:rPr>
          <w:szCs w:val="26"/>
        </w:rPr>
        <w:t xml:space="preserve">que </w:t>
      </w:r>
      <w:r w:rsidR="00DD0165">
        <w:rPr>
          <w:szCs w:val="26"/>
        </w:rPr>
        <w:t>permitirá ganar tiempo para</w:t>
      </w:r>
      <w:r>
        <w:rPr>
          <w:szCs w:val="26"/>
        </w:rPr>
        <w:t xml:space="preserve"> analizar </w:t>
      </w:r>
      <w:r w:rsidR="00DD0165">
        <w:rPr>
          <w:szCs w:val="26"/>
        </w:rPr>
        <w:t xml:space="preserve">y buscar una solución </w:t>
      </w:r>
      <w:r w:rsidR="002F533D">
        <w:rPr>
          <w:szCs w:val="26"/>
        </w:rPr>
        <w:t>que resuelva</w:t>
      </w:r>
      <w:r w:rsidR="00DD0165">
        <w:rPr>
          <w:szCs w:val="26"/>
        </w:rPr>
        <w:t xml:space="preserve"> de manera global</w:t>
      </w:r>
      <w:r>
        <w:rPr>
          <w:szCs w:val="26"/>
        </w:rPr>
        <w:t xml:space="preserve"> su deuda con la HTN</w:t>
      </w:r>
      <w:r w:rsidR="000210B4">
        <w:rPr>
          <w:szCs w:val="26"/>
        </w:rPr>
        <w:t>.</w:t>
      </w:r>
      <w:r>
        <w:rPr>
          <w:szCs w:val="26"/>
        </w:rPr>
        <w:t xml:space="preserve"> </w:t>
      </w:r>
    </w:p>
    <w:p w:rsidR="001E7AE7" w:rsidRDefault="003E08C6" w:rsidP="00636E08">
      <w:pPr>
        <w:pStyle w:val="texto"/>
        <w:tabs>
          <w:tab w:val="clear" w:pos="2835"/>
          <w:tab w:val="clear" w:pos="3969"/>
          <w:tab w:val="clear" w:pos="5103"/>
          <w:tab w:val="clear" w:pos="6237"/>
          <w:tab w:val="clear" w:pos="7371"/>
        </w:tabs>
        <w:rPr>
          <w:szCs w:val="26"/>
        </w:rPr>
      </w:pPr>
      <w:r>
        <w:rPr>
          <w:szCs w:val="26"/>
        </w:rPr>
        <w:t>La renuncia aprobada</w:t>
      </w:r>
      <w:r w:rsidR="00FD4AF6">
        <w:rPr>
          <w:szCs w:val="26"/>
        </w:rPr>
        <w:t xml:space="preserve"> por el Gobierno</w:t>
      </w:r>
      <w:r>
        <w:rPr>
          <w:szCs w:val="26"/>
        </w:rPr>
        <w:t xml:space="preserve"> se limita a los importes de la temporada 2014/15 y se justifica en que su no concesión implicaba un riesgo cierto para la supervivencia del </w:t>
      </w:r>
      <w:r w:rsidR="002F533D">
        <w:rPr>
          <w:szCs w:val="26"/>
        </w:rPr>
        <w:t>c</w:t>
      </w:r>
      <w:r>
        <w:rPr>
          <w:szCs w:val="26"/>
        </w:rPr>
        <w:t>lub y, en consecuencia, perjudicaría las expectativas de cobro de la deuda que mantiene con la Hacienda. Esta renuncia se garantiza mediante cesión notarial con las ayudas a percibir  en la temporada 2015/16 –si mantiene la categoría</w:t>
      </w:r>
      <w:r w:rsidR="0044756D">
        <w:rPr>
          <w:szCs w:val="26"/>
        </w:rPr>
        <w:t>–</w:t>
      </w:r>
      <w:r>
        <w:rPr>
          <w:szCs w:val="26"/>
        </w:rPr>
        <w:t xml:space="preserve"> del G-35 por importe de tres millones de euros más los intereses legales o con los derechos audiovisuales precisos para cubrir ese importe, si asciende a 1ª División</w:t>
      </w:r>
      <w:r w:rsidR="004359DF">
        <w:rPr>
          <w:szCs w:val="26"/>
        </w:rPr>
        <w:t>; e</w:t>
      </w:r>
      <w:r>
        <w:rPr>
          <w:szCs w:val="26"/>
        </w:rPr>
        <w:t xml:space="preserve">n el supuesto de que el </w:t>
      </w:r>
      <w:r w:rsidR="0044756D">
        <w:rPr>
          <w:szCs w:val="26"/>
        </w:rPr>
        <w:t>c</w:t>
      </w:r>
      <w:r>
        <w:rPr>
          <w:szCs w:val="26"/>
        </w:rPr>
        <w:t>lub obtuviera ingresos extraordinarios por traspaso de jugadores, los mismos se podrán a disposición de la HTN para compensar la renuncia y hasta el límite de la misma</w:t>
      </w:r>
      <w:r w:rsidR="004359DF">
        <w:rPr>
          <w:szCs w:val="26"/>
        </w:rPr>
        <w:t>. Estas garantías ha quedado sin efecto de acuerdo con el art. 6 de la Ley Foral 26/2014</w:t>
      </w:r>
      <w:r w:rsidR="004359DF">
        <w:rPr>
          <w:rStyle w:val="Refdenotaalpie"/>
          <w:szCs w:val="26"/>
        </w:rPr>
        <w:footnoteReference w:id="18"/>
      </w:r>
      <w:r w:rsidR="004359DF">
        <w:rPr>
          <w:szCs w:val="26"/>
        </w:rPr>
        <w:t>.</w:t>
      </w:r>
    </w:p>
    <w:p w:rsidR="002A3219" w:rsidRDefault="009F401B" w:rsidP="001736A5">
      <w:pPr>
        <w:pStyle w:val="atitulo1"/>
      </w:pPr>
      <w:r>
        <w:br w:type="page"/>
      </w:r>
      <w:bookmarkStart w:id="22" w:name="_Toc425926955"/>
      <w:r w:rsidR="0031486F">
        <w:t xml:space="preserve">V. </w:t>
      </w:r>
      <w:r w:rsidR="003550B6">
        <w:t>Resumen final</w:t>
      </w:r>
      <w:bookmarkEnd w:id="22"/>
    </w:p>
    <w:p w:rsidR="009F401B" w:rsidRDefault="009F401B" w:rsidP="009F401B">
      <w:pPr>
        <w:pStyle w:val="texto"/>
        <w:tabs>
          <w:tab w:val="clear" w:pos="2835"/>
          <w:tab w:val="clear" w:pos="3969"/>
          <w:tab w:val="clear" w:pos="5103"/>
          <w:tab w:val="clear" w:pos="6237"/>
          <w:tab w:val="clear" w:pos="7371"/>
        </w:tabs>
        <w:rPr>
          <w:szCs w:val="26"/>
        </w:rPr>
      </w:pPr>
      <w:r>
        <w:rPr>
          <w:szCs w:val="26"/>
        </w:rPr>
        <w:t xml:space="preserve">La situación financiera del </w:t>
      </w:r>
      <w:r w:rsidR="0044756D">
        <w:rPr>
          <w:szCs w:val="26"/>
        </w:rPr>
        <w:t>c</w:t>
      </w:r>
      <w:r>
        <w:rPr>
          <w:szCs w:val="26"/>
        </w:rPr>
        <w:t xml:space="preserve">lub Atlético Osasuna se ha ido </w:t>
      </w:r>
      <w:r w:rsidR="00016952">
        <w:rPr>
          <w:szCs w:val="26"/>
        </w:rPr>
        <w:t>deteriorando</w:t>
      </w:r>
      <w:r>
        <w:rPr>
          <w:szCs w:val="26"/>
        </w:rPr>
        <w:t xml:space="preserve"> progresivamente en los últimos años, agravamiento que se acentúa con la pérdida de categoría acontecida en </w:t>
      </w:r>
      <w:r w:rsidR="00991A21">
        <w:rPr>
          <w:szCs w:val="26"/>
        </w:rPr>
        <w:t>mayo</w:t>
      </w:r>
      <w:r>
        <w:rPr>
          <w:szCs w:val="26"/>
        </w:rPr>
        <w:t xml:space="preserve"> de 2014 y la</w:t>
      </w:r>
      <w:r w:rsidR="005C726F">
        <w:rPr>
          <w:szCs w:val="26"/>
        </w:rPr>
        <w:t xml:space="preserve"> consiguiente</w:t>
      </w:r>
      <w:r>
        <w:rPr>
          <w:szCs w:val="26"/>
        </w:rPr>
        <w:t xml:space="preserve"> merma relevante de los derechos </w:t>
      </w:r>
      <w:r w:rsidR="00A94538">
        <w:rPr>
          <w:szCs w:val="26"/>
        </w:rPr>
        <w:t>de cobro en materia audiovisual.</w:t>
      </w:r>
    </w:p>
    <w:p w:rsidR="009F401B" w:rsidRPr="00BB3700" w:rsidRDefault="00F23400" w:rsidP="009F401B">
      <w:pPr>
        <w:pStyle w:val="texto"/>
        <w:tabs>
          <w:tab w:val="clear" w:pos="2835"/>
          <w:tab w:val="clear" w:pos="3969"/>
          <w:tab w:val="clear" w:pos="5103"/>
          <w:tab w:val="clear" w:pos="6237"/>
          <w:tab w:val="clear" w:pos="7371"/>
        </w:tabs>
        <w:rPr>
          <w:rFonts w:ascii="Times New (W1)" w:hAnsi="Times New (W1)"/>
          <w:spacing w:val="2"/>
          <w:szCs w:val="26"/>
        </w:rPr>
      </w:pPr>
      <w:r>
        <w:rPr>
          <w:szCs w:val="26"/>
        </w:rPr>
        <w:t xml:space="preserve">Además de </w:t>
      </w:r>
      <w:r w:rsidR="00C01727">
        <w:rPr>
          <w:szCs w:val="26"/>
        </w:rPr>
        <w:t>los anteriores ingresos,</w:t>
      </w:r>
      <w:r>
        <w:rPr>
          <w:szCs w:val="26"/>
        </w:rPr>
        <w:t xml:space="preserve"> l</w:t>
      </w:r>
      <w:r w:rsidR="00A94538">
        <w:rPr>
          <w:szCs w:val="26"/>
        </w:rPr>
        <w:t>a financiación de sus actividades</w:t>
      </w:r>
      <w:r w:rsidR="009F401B">
        <w:rPr>
          <w:szCs w:val="26"/>
        </w:rPr>
        <w:t xml:space="preserve"> ha estado soportada</w:t>
      </w:r>
      <w:r w:rsidR="007C3026">
        <w:rPr>
          <w:szCs w:val="26"/>
        </w:rPr>
        <w:t xml:space="preserve"> fundamentalmente</w:t>
      </w:r>
      <w:r w:rsidR="009F401B">
        <w:rPr>
          <w:szCs w:val="26"/>
        </w:rPr>
        <w:t xml:space="preserve"> en la captación de recursos de las entidades financieras y en el impago y/o </w:t>
      </w:r>
      <w:r w:rsidR="009F401B" w:rsidRPr="00BB3700">
        <w:rPr>
          <w:rFonts w:ascii="Times New (W1)" w:hAnsi="Times New (W1)"/>
          <w:spacing w:val="2"/>
          <w:szCs w:val="26"/>
        </w:rPr>
        <w:t>aplazamiento de sus deudas con la Hacienda Foral.</w:t>
      </w:r>
    </w:p>
    <w:p w:rsidR="00F23400" w:rsidRDefault="009F401B" w:rsidP="005A0CA1">
      <w:pPr>
        <w:pStyle w:val="texto"/>
        <w:tabs>
          <w:tab w:val="clear" w:pos="2835"/>
          <w:tab w:val="clear" w:pos="3969"/>
          <w:tab w:val="clear" w:pos="5103"/>
          <w:tab w:val="clear" w:pos="6237"/>
          <w:tab w:val="clear" w:pos="7371"/>
        </w:tabs>
        <w:rPr>
          <w:szCs w:val="26"/>
        </w:rPr>
      </w:pPr>
      <w:r>
        <w:rPr>
          <w:szCs w:val="26"/>
        </w:rPr>
        <w:t xml:space="preserve">Con las entidades financieras, el </w:t>
      </w:r>
      <w:r w:rsidR="0044756D">
        <w:rPr>
          <w:szCs w:val="26"/>
        </w:rPr>
        <w:t>c</w:t>
      </w:r>
      <w:r>
        <w:rPr>
          <w:szCs w:val="26"/>
        </w:rPr>
        <w:t>lub consigue los préstamos</w:t>
      </w:r>
      <w:r w:rsidR="00D43335">
        <w:rPr>
          <w:szCs w:val="26"/>
        </w:rPr>
        <w:t xml:space="preserve"> a largo plazo</w:t>
      </w:r>
      <w:r>
        <w:rPr>
          <w:szCs w:val="26"/>
        </w:rPr>
        <w:t xml:space="preserve"> mediante la hipoteca de sus bienes y</w:t>
      </w:r>
      <w:r w:rsidR="00A94538">
        <w:rPr>
          <w:szCs w:val="26"/>
        </w:rPr>
        <w:t xml:space="preserve">, en determinados casos, </w:t>
      </w:r>
      <w:r>
        <w:rPr>
          <w:szCs w:val="26"/>
        </w:rPr>
        <w:t xml:space="preserve"> mediante el aval del Gobierno de Navarra. Así</w:t>
      </w:r>
      <w:r w:rsidR="00C01727">
        <w:rPr>
          <w:szCs w:val="26"/>
        </w:rPr>
        <w:t>,</w:t>
      </w:r>
      <w:r w:rsidR="005C726F">
        <w:rPr>
          <w:szCs w:val="26"/>
        </w:rPr>
        <w:t xml:space="preserve"> ya</w:t>
      </w:r>
      <w:r>
        <w:rPr>
          <w:szCs w:val="26"/>
        </w:rPr>
        <w:t xml:space="preserve"> en 2003, mediante un aval del Gobierno</w:t>
      </w:r>
      <w:r w:rsidR="005C726F">
        <w:rPr>
          <w:szCs w:val="26"/>
        </w:rPr>
        <w:t>, formaliza unos préstamos hipotecarios por importe de 18 millones; como requisito previo, la Administración exige poner al día de sus obligaciones fiscales.</w:t>
      </w:r>
      <w:r w:rsidR="005A0CA1">
        <w:rPr>
          <w:szCs w:val="26"/>
        </w:rPr>
        <w:t xml:space="preserve"> </w:t>
      </w:r>
      <w:r w:rsidR="00F23400">
        <w:rPr>
          <w:szCs w:val="26"/>
        </w:rPr>
        <w:t xml:space="preserve">Resultado de lo anterior, </w:t>
      </w:r>
      <w:r w:rsidR="005C726F">
        <w:rPr>
          <w:szCs w:val="26"/>
        </w:rPr>
        <w:t xml:space="preserve">en mayo de 2003, el </w:t>
      </w:r>
      <w:r w:rsidR="0044756D">
        <w:rPr>
          <w:szCs w:val="26"/>
        </w:rPr>
        <w:t>c</w:t>
      </w:r>
      <w:r w:rsidR="005C726F">
        <w:rPr>
          <w:szCs w:val="26"/>
        </w:rPr>
        <w:t xml:space="preserve">lub salda </w:t>
      </w:r>
      <w:r w:rsidR="00D27A79">
        <w:rPr>
          <w:szCs w:val="26"/>
        </w:rPr>
        <w:t xml:space="preserve">toda </w:t>
      </w:r>
      <w:r w:rsidR="005C726F">
        <w:rPr>
          <w:szCs w:val="26"/>
        </w:rPr>
        <w:t xml:space="preserve">su deuda con la Hacienda Tributaria. </w:t>
      </w:r>
    </w:p>
    <w:p w:rsidR="002B2B21" w:rsidRDefault="005C726F" w:rsidP="005C726F">
      <w:pPr>
        <w:pStyle w:val="texto"/>
        <w:tabs>
          <w:tab w:val="clear" w:pos="2835"/>
          <w:tab w:val="clear" w:pos="3969"/>
          <w:tab w:val="clear" w:pos="5103"/>
          <w:tab w:val="clear" w:pos="6237"/>
          <w:tab w:val="clear" w:pos="7371"/>
        </w:tabs>
        <w:rPr>
          <w:szCs w:val="26"/>
        </w:rPr>
      </w:pPr>
      <w:r>
        <w:rPr>
          <w:szCs w:val="26"/>
        </w:rPr>
        <w:t>Des</w:t>
      </w:r>
      <w:r w:rsidR="00F23400">
        <w:rPr>
          <w:szCs w:val="26"/>
        </w:rPr>
        <w:t>de</w:t>
      </w:r>
      <w:r>
        <w:rPr>
          <w:szCs w:val="26"/>
        </w:rPr>
        <w:t xml:space="preserve"> esa fecha, </w:t>
      </w:r>
      <w:r w:rsidR="00F23400">
        <w:rPr>
          <w:szCs w:val="26"/>
        </w:rPr>
        <w:t xml:space="preserve">sin embargo, </w:t>
      </w:r>
      <w:r>
        <w:rPr>
          <w:szCs w:val="26"/>
        </w:rPr>
        <w:t xml:space="preserve">el </w:t>
      </w:r>
      <w:r w:rsidR="0044756D">
        <w:rPr>
          <w:szCs w:val="26"/>
        </w:rPr>
        <w:t>c</w:t>
      </w:r>
      <w:r>
        <w:rPr>
          <w:szCs w:val="26"/>
        </w:rPr>
        <w:t>lub incumple de forma reiterada y continua sus obligaciones fiscales</w:t>
      </w:r>
      <w:r w:rsidR="005847C4">
        <w:rPr>
          <w:szCs w:val="26"/>
        </w:rPr>
        <w:t xml:space="preserve"> </w:t>
      </w:r>
      <w:r w:rsidR="00BB3700">
        <w:rPr>
          <w:szCs w:val="26"/>
        </w:rPr>
        <w:t>–</w:t>
      </w:r>
      <w:r w:rsidR="001E7CFC">
        <w:rPr>
          <w:szCs w:val="26"/>
        </w:rPr>
        <w:t>tanto de presentación oportuna de declaraciones como de pago</w:t>
      </w:r>
      <w:r w:rsidR="00BB3700">
        <w:rPr>
          <w:szCs w:val="26"/>
        </w:rPr>
        <w:t>–</w:t>
      </w:r>
      <w:r>
        <w:rPr>
          <w:szCs w:val="26"/>
        </w:rPr>
        <w:t>, lo que le obliga</w:t>
      </w:r>
      <w:r w:rsidR="000210B4">
        <w:rPr>
          <w:szCs w:val="26"/>
        </w:rPr>
        <w:t xml:space="preserve">, entre otras cuestiones, </w:t>
      </w:r>
      <w:r>
        <w:rPr>
          <w:szCs w:val="26"/>
        </w:rPr>
        <w:t xml:space="preserve">a solicitar y obtener de forma </w:t>
      </w:r>
      <w:r w:rsidR="007C3026">
        <w:rPr>
          <w:szCs w:val="26"/>
        </w:rPr>
        <w:t>sucesiva</w:t>
      </w:r>
      <w:r>
        <w:rPr>
          <w:szCs w:val="26"/>
        </w:rPr>
        <w:t xml:space="preserve"> aplazamientos/fraccionamientos de su deuda. Aplazamientos para los que ofrece </w:t>
      </w:r>
      <w:r w:rsidR="00A94538">
        <w:rPr>
          <w:szCs w:val="26"/>
        </w:rPr>
        <w:t>en garantí</w:t>
      </w:r>
      <w:r w:rsidR="00F23400">
        <w:rPr>
          <w:szCs w:val="26"/>
        </w:rPr>
        <w:t>a</w:t>
      </w:r>
      <w:r w:rsidR="00A94538">
        <w:rPr>
          <w:szCs w:val="26"/>
        </w:rPr>
        <w:t xml:space="preserve">, </w:t>
      </w:r>
      <w:r>
        <w:rPr>
          <w:szCs w:val="26"/>
        </w:rPr>
        <w:t xml:space="preserve">también de forma </w:t>
      </w:r>
      <w:r w:rsidR="007C3026">
        <w:rPr>
          <w:szCs w:val="26"/>
        </w:rPr>
        <w:t>reiterada</w:t>
      </w:r>
      <w:r w:rsidR="00A94538">
        <w:rPr>
          <w:szCs w:val="26"/>
        </w:rPr>
        <w:t>,</w:t>
      </w:r>
      <w:r w:rsidR="007C3026">
        <w:rPr>
          <w:szCs w:val="26"/>
        </w:rPr>
        <w:t xml:space="preserve"> los principales</w:t>
      </w:r>
      <w:r>
        <w:rPr>
          <w:szCs w:val="26"/>
        </w:rPr>
        <w:t xml:space="preserve"> elementos de su patrimonio</w:t>
      </w:r>
      <w:r w:rsidR="002B2B21">
        <w:rPr>
          <w:szCs w:val="26"/>
        </w:rPr>
        <w:t>.</w:t>
      </w:r>
    </w:p>
    <w:p w:rsidR="005C726F" w:rsidRPr="0038652C" w:rsidRDefault="00DD0165" w:rsidP="005C726F">
      <w:pPr>
        <w:pStyle w:val="texto"/>
        <w:tabs>
          <w:tab w:val="clear" w:pos="2835"/>
          <w:tab w:val="clear" w:pos="3969"/>
          <w:tab w:val="clear" w:pos="5103"/>
          <w:tab w:val="clear" w:pos="6237"/>
          <w:tab w:val="clear" w:pos="7371"/>
        </w:tabs>
        <w:rPr>
          <w:szCs w:val="26"/>
        </w:rPr>
      </w:pPr>
      <w:r w:rsidRPr="0038652C">
        <w:rPr>
          <w:szCs w:val="26"/>
        </w:rPr>
        <w:t>Además</w:t>
      </w:r>
      <w:r w:rsidR="00171A39" w:rsidRPr="0038652C">
        <w:rPr>
          <w:szCs w:val="26"/>
        </w:rPr>
        <w:t>,</w:t>
      </w:r>
      <w:r w:rsidRPr="0038652C">
        <w:rPr>
          <w:szCs w:val="26"/>
        </w:rPr>
        <w:t xml:space="preserve"> </w:t>
      </w:r>
      <w:r w:rsidR="005F4E1A" w:rsidRPr="0038652C">
        <w:rPr>
          <w:szCs w:val="26"/>
        </w:rPr>
        <w:t xml:space="preserve">el inicio de las conversaciones sobre </w:t>
      </w:r>
      <w:r w:rsidR="000210B4" w:rsidRPr="0038652C">
        <w:rPr>
          <w:szCs w:val="26"/>
        </w:rPr>
        <w:t xml:space="preserve">alguno de </w:t>
      </w:r>
      <w:r w:rsidRPr="0038652C">
        <w:rPr>
          <w:szCs w:val="26"/>
        </w:rPr>
        <w:t>est</w:t>
      </w:r>
      <w:r w:rsidR="007008D9" w:rsidRPr="0038652C">
        <w:rPr>
          <w:szCs w:val="26"/>
        </w:rPr>
        <w:t xml:space="preserve">os </w:t>
      </w:r>
      <w:r w:rsidRPr="0038652C">
        <w:rPr>
          <w:szCs w:val="26"/>
        </w:rPr>
        <w:t>aplazamiento</w:t>
      </w:r>
      <w:r w:rsidR="007008D9" w:rsidRPr="0038652C">
        <w:rPr>
          <w:szCs w:val="26"/>
        </w:rPr>
        <w:t>s</w:t>
      </w:r>
      <w:r w:rsidRPr="0038652C">
        <w:rPr>
          <w:szCs w:val="26"/>
        </w:rPr>
        <w:t xml:space="preserve"> sue</w:t>
      </w:r>
      <w:r w:rsidR="005F4E1A" w:rsidRPr="0038652C">
        <w:rPr>
          <w:szCs w:val="26"/>
        </w:rPr>
        <w:t>le</w:t>
      </w:r>
      <w:r w:rsidRPr="0038652C">
        <w:rPr>
          <w:szCs w:val="26"/>
        </w:rPr>
        <w:t xml:space="preserve"> coincidir con el momento en que el </w:t>
      </w:r>
      <w:r w:rsidR="0044756D">
        <w:rPr>
          <w:szCs w:val="26"/>
        </w:rPr>
        <w:t>c</w:t>
      </w:r>
      <w:r w:rsidRPr="0038652C">
        <w:rPr>
          <w:szCs w:val="26"/>
        </w:rPr>
        <w:t xml:space="preserve">lub precisa disponer de un </w:t>
      </w:r>
      <w:r w:rsidR="005F4E1A" w:rsidRPr="0038652C">
        <w:rPr>
          <w:szCs w:val="26"/>
        </w:rPr>
        <w:t>documento o certificado</w:t>
      </w:r>
      <w:r w:rsidRPr="0038652C">
        <w:rPr>
          <w:szCs w:val="26"/>
        </w:rPr>
        <w:t xml:space="preserve"> de estar al corriente de sus obligaciones fiscales para presentarlo </w:t>
      </w:r>
      <w:r w:rsidR="005F4E1A" w:rsidRPr="0038652C">
        <w:rPr>
          <w:szCs w:val="26"/>
        </w:rPr>
        <w:t>ante</w:t>
      </w:r>
      <w:r w:rsidRPr="0038652C">
        <w:rPr>
          <w:szCs w:val="26"/>
        </w:rPr>
        <w:t xml:space="preserve"> las instancias deportivas. </w:t>
      </w:r>
      <w:r w:rsidR="005C726F" w:rsidRPr="0038652C">
        <w:rPr>
          <w:szCs w:val="26"/>
        </w:rPr>
        <w:t xml:space="preserve"> </w:t>
      </w:r>
    </w:p>
    <w:p w:rsidR="00F93691" w:rsidRDefault="00A94538" w:rsidP="009F401B">
      <w:pPr>
        <w:pStyle w:val="texto"/>
        <w:tabs>
          <w:tab w:val="clear" w:pos="2835"/>
          <w:tab w:val="clear" w:pos="3969"/>
          <w:tab w:val="clear" w:pos="5103"/>
          <w:tab w:val="clear" w:pos="6237"/>
          <w:tab w:val="clear" w:pos="7371"/>
        </w:tabs>
        <w:rPr>
          <w:szCs w:val="26"/>
        </w:rPr>
      </w:pPr>
      <w:r>
        <w:rPr>
          <w:szCs w:val="26"/>
        </w:rPr>
        <w:t>A</w:t>
      </w:r>
      <w:r w:rsidR="009F401B">
        <w:rPr>
          <w:szCs w:val="26"/>
        </w:rPr>
        <w:t xml:space="preserve">l menos desde 2012, </w:t>
      </w:r>
      <w:r>
        <w:rPr>
          <w:szCs w:val="26"/>
        </w:rPr>
        <w:t xml:space="preserve">el </w:t>
      </w:r>
      <w:r w:rsidR="0044756D">
        <w:rPr>
          <w:szCs w:val="26"/>
        </w:rPr>
        <w:t>c</w:t>
      </w:r>
      <w:r>
        <w:rPr>
          <w:szCs w:val="26"/>
        </w:rPr>
        <w:t>lub</w:t>
      </w:r>
      <w:r w:rsidR="009F401B">
        <w:rPr>
          <w:szCs w:val="26"/>
        </w:rPr>
        <w:t xml:space="preserve"> </w:t>
      </w:r>
      <w:r w:rsidR="00D43335">
        <w:rPr>
          <w:szCs w:val="26"/>
        </w:rPr>
        <w:t xml:space="preserve">ya </w:t>
      </w:r>
      <w:r w:rsidR="009F401B">
        <w:rPr>
          <w:szCs w:val="26"/>
        </w:rPr>
        <w:t xml:space="preserve">plantea la necesidad de </w:t>
      </w:r>
      <w:r w:rsidR="007008D9">
        <w:rPr>
          <w:szCs w:val="26"/>
        </w:rPr>
        <w:t>alcanzar</w:t>
      </w:r>
      <w:r w:rsidR="009F401B">
        <w:rPr>
          <w:szCs w:val="26"/>
        </w:rPr>
        <w:t xml:space="preserve"> un convenio con la HTN para regular</w:t>
      </w:r>
      <w:r w:rsidR="007C3026">
        <w:rPr>
          <w:szCs w:val="26"/>
        </w:rPr>
        <w:t xml:space="preserve"> y resolver</w:t>
      </w:r>
      <w:r w:rsidR="009F401B">
        <w:rPr>
          <w:szCs w:val="26"/>
        </w:rPr>
        <w:t xml:space="preserve"> el pago de su elevada deuda tributaria. </w:t>
      </w:r>
    </w:p>
    <w:p w:rsidR="007C3026" w:rsidRPr="007676BC" w:rsidRDefault="007C3026" w:rsidP="009F401B">
      <w:pPr>
        <w:pStyle w:val="texto"/>
        <w:tabs>
          <w:tab w:val="clear" w:pos="2835"/>
          <w:tab w:val="clear" w:pos="3969"/>
          <w:tab w:val="clear" w:pos="5103"/>
          <w:tab w:val="clear" w:pos="6237"/>
          <w:tab w:val="clear" w:pos="7371"/>
        </w:tabs>
        <w:rPr>
          <w:rFonts w:ascii="Times New (W1)" w:hAnsi="Times New (W1)"/>
          <w:spacing w:val="2"/>
          <w:szCs w:val="26"/>
        </w:rPr>
      </w:pPr>
      <w:r>
        <w:rPr>
          <w:szCs w:val="26"/>
        </w:rPr>
        <w:t xml:space="preserve">En 2014, a la delicada situación financiera y deportiva se le </w:t>
      </w:r>
      <w:r w:rsidR="0018040A">
        <w:rPr>
          <w:szCs w:val="26"/>
        </w:rPr>
        <w:t>añade</w:t>
      </w:r>
      <w:r>
        <w:rPr>
          <w:szCs w:val="26"/>
        </w:rPr>
        <w:t xml:space="preserve"> también una delicada situación institucional. </w:t>
      </w:r>
      <w:r w:rsidRPr="007676BC">
        <w:rPr>
          <w:rFonts w:ascii="Times New (W1)" w:hAnsi="Times New (W1)"/>
          <w:spacing w:val="2"/>
          <w:szCs w:val="26"/>
        </w:rPr>
        <w:t>Resultado de ello, dimite su Junta Directiva, se nombra una Junta Gestora</w:t>
      </w:r>
      <w:r w:rsidR="000A3752" w:rsidRPr="007676BC">
        <w:rPr>
          <w:rStyle w:val="Refdenotaalpie"/>
          <w:rFonts w:ascii="Times New (W1)" w:hAnsi="Times New (W1)"/>
          <w:spacing w:val="2"/>
          <w:szCs w:val="26"/>
        </w:rPr>
        <w:footnoteReference w:id="19"/>
      </w:r>
      <w:r w:rsidRPr="007676BC">
        <w:rPr>
          <w:rFonts w:ascii="Times New (W1)" w:hAnsi="Times New (W1)"/>
          <w:spacing w:val="2"/>
          <w:szCs w:val="26"/>
        </w:rPr>
        <w:t xml:space="preserve"> y</w:t>
      </w:r>
      <w:r w:rsidR="0044756D">
        <w:rPr>
          <w:rFonts w:ascii="Times New (W1)" w:hAnsi="Times New (W1)"/>
          <w:spacing w:val="2"/>
          <w:szCs w:val="26"/>
        </w:rPr>
        <w:t>,</w:t>
      </w:r>
      <w:r w:rsidRPr="007676BC">
        <w:rPr>
          <w:rFonts w:ascii="Times New (W1)" w:hAnsi="Times New (W1)"/>
          <w:spacing w:val="2"/>
          <w:szCs w:val="26"/>
        </w:rPr>
        <w:t xml:space="preserve"> finalmente</w:t>
      </w:r>
      <w:r w:rsidR="0044756D">
        <w:rPr>
          <w:rFonts w:ascii="Times New (W1)" w:hAnsi="Times New (W1)"/>
          <w:spacing w:val="2"/>
          <w:szCs w:val="26"/>
        </w:rPr>
        <w:t>,</w:t>
      </w:r>
      <w:r w:rsidRPr="007676BC">
        <w:rPr>
          <w:rFonts w:ascii="Times New (W1)" w:hAnsi="Times New (W1)"/>
          <w:spacing w:val="2"/>
          <w:szCs w:val="26"/>
        </w:rPr>
        <w:t xml:space="preserve"> se elige una nueva Junta Directiva.</w:t>
      </w:r>
    </w:p>
    <w:p w:rsidR="007C3026" w:rsidRDefault="00256947" w:rsidP="009F401B">
      <w:pPr>
        <w:pStyle w:val="texto"/>
        <w:tabs>
          <w:tab w:val="clear" w:pos="2835"/>
          <w:tab w:val="clear" w:pos="3969"/>
          <w:tab w:val="clear" w:pos="5103"/>
          <w:tab w:val="clear" w:pos="6237"/>
          <w:tab w:val="clear" w:pos="7371"/>
        </w:tabs>
        <w:rPr>
          <w:szCs w:val="26"/>
        </w:rPr>
      </w:pPr>
      <w:r>
        <w:rPr>
          <w:szCs w:val="26"/>
        </w:rPr>
        <w:t>En ese ámbito</w:t>
      </w:r>
      <w:r w:rsidR="007C3026">
        <w:rPr>
          <w:szCs w:val="26"/>
        </w:rPr>
        <w:t xml:space="preserve"> temporal se habían iniciado unas </w:t>
      </w:r>
      <w:r w:rsidR="007008D9">
        <w:rPr>
          <w:szCs w:val="26"/>
        </w:rPr>
        <w:t>conversaciones</w:t>
      </w:r>
      <w:r w:rsidR="007C3026">
        <w:rPr>
          <w:szCs w:val="26"/>
        </w:rPr>
        <w:t xml:space="preserve"> con la Hacienda Tributaria que se paralizan prácticamente ante la falta de un interlocutor </w:t>
      </w:r>
      <w:r w:rsidR="00D27A79">
        <w:rPr>
          <w:szCs w:val="26"/>
        </w:rPr>
        <w:t>válido</w:t>
      </w:r>
      <w:r>
        <w:rPr>
          <w:szCs w:val="26"/>
        </w:rPr>
        <w:t xml:space="preserve"> por parte del </w:t>
      </w:r>
      <w:r w:rsidR="0044756D">
        <w:rPr>
          <w:szCs w:val="26"/>
        </w:rPr>
        <w:t>c</w:t>
      </w:r>
      <w:r>
        <w:rPr>
          <w:szCs w:val="26"/>
        </w:rPr>
        <w:t>lub</w:t>
      </w:r>
      <w:r w:rsidR="007C3026">
        <w:rPr>
          <w:szCs w:val="26"/>
        </w:rPr>
        <w:t xml:space="preserve">. </w:t>
      </w:r>
      <w:r w:rsidR="002B2B21">
        <w:rPr>
          <w:szCs w:val="26"/>
        </w:rPr>
        <w:t>A</w:t>
      </w:r>
      <w:r w:rsidR="007C3026">
        <w:rPr>
          <w:szCs w:val="26"/>
        </w:rPr>
        <w:t xml:space="preserve">nte las exigencias y requisitos que señala la Hacienda Foral en aplicación de la vigente normativa, </w:t>
      </w:r>
      <w:r w:rsidR="002B2B21">
        <w:rPr>
          <w:szCs w:val="26"/>
        </w:rPr>
        <w:t>la Junta Gestora del</w:t>
      </w:r>
      <w:r w:rsidR="007C3026">
        <w:rPr>
          <w:szCs w:val="26"/>
        </w:rPr>
        <w:t xml:space="preserve"> </w:t>
      </w:r>
      <w:r w:rsidR="0044756D">
        <w:rPr>
          <w:szCs w:val="26"/>
        </w:rPr>
        <w:t>c</w:t>
      </w:r>
      <w:r w:rsidR="007C3026">
        <w:rPr>
          <w:szCs w:val="26"/>
        </w:rPr>
        <w:t>lub se dirige directamente a los grupos parlamentarios para buscar la fórmula que le permita pagar su deuda y sobrevivir financieramente.</w:t>
      </w:r>
    </w:p>
    <w:p w:rsidR="007C3026" w:rsidRDefault="00F23400" w:rsidP="009F401B">
      <w:pPr>
        <w:pStyle w:val="texto"/>
        <w:tabs>
          <w:tab w:val="clear" w:pos="2835"/>
          <w:tab w:val="clear" w:pos="3969"/>
          <w:tab w:val="clear" w:pos="5103"/>
          <w:tab w:val="clear" w:pos="6237"/>
          <w:tab w:val="clear" w:pos="7371"/>
        </w:tabs>
        <w:rPr>
          <w:szCs w:val="26"/>
        </w:rPr>
      </w:pPr>
      <w:r>
        <w:rPr>
          <w:szCs w:val="26"/>
        </w:rPr>
        <w:t>Así,</w:t>
      </w:r>
      <w:r w:rsidR="007C3026">
        <w:rPr>
          <w:szCs w:val="26"/>
        </w:rPr>
        <w:t xml:space="preserve"> y a p</w:t>
      </w:r>
      <w:r w:rsidR="00D27A79">
        <w:rPr>
          <w:szCs w:val="26"/>
        </w:rPr>
        <w:t>ro</w:t>
      </w:r>
      <w:r w:rsidR="007C3026">
        <w:rPr>
          <w:szCs w:val="26"/>
        </w:rPr>
        <w:t>puesta de tres grupos parlamentarios,</w:t>
      </w:r>
      <w:r w:rsidR="00D27A79">
        <w:rPr>
          <w:szCs w:val="26"/>
        </w:rPr>
        <w:t xml:space="preserve"> el Pleno del Parlamento</w:t>
      </w:r>
      <w:r w:rsidR="007C3026">
        <w:rPr>
          <w:szCs w:val="26"/>
        </w:rPr>
        <w:t xml:space="preserve"> aprueba la Ley Foral 26/2014</w:t>
      </w:r>
      <w:r w:rsidR="00D27A79">
        <w:rPr>
          <w:szCs w:val="26"/>
        </w:rPr>
        <w:t>, de 2 de diciembre,</w:t>
      </w:r>
      <w:r w:rsidR="007C3026">
        <w:rPr>
          <w:szCs w:val="26"/>
        </w:rPr>
        <w:t xml:space="preserve"> </w:t>
      </w:r>
      <w:r w:rsidR="00D27A79">
        <w:rPr>
          <w:szCs w:val="26"/>
        </w:rPr>
        <w:t xml:space="preserve">por la que se reestructura la deuda del </w:t>
      </w:r>
      <w:r w:rsidR="00B54883">
        <w:rPr>
          <w:szCs w:val="26"/>
        </w:rPr>
        <w:t>c</w:t>
      </w:r>
      <w:r w:rsidR="00D27A79">
        <w:rPr>
          <w:szCs w:val="26"/>
        </w:rPr>
        <w:t>lub con la Comunidad Foral.</w:t>
      </w:r>
      <w:r w:rsidR="007C3026">
        <w:rPr>
          <w:szCs w:val="26"/>
        </w:rPr>
        <w:t xml:space="preserve"> </w:t>
      </w:r>
    </w:p>
    <w:p w:rsidR="00D27A79" w:rsidRDefault="00D27A79" w:rsidP="00796473">
      <w:pPr>
        <w:pStyle w:val="texto"/>
        <w:rPr>
          <w:szCs w:val="26"/>
        </w:rPr>
      </w:pPr>
      <w:r>
        <w:rPr>
          <w:szCs w:val="26"/>
        </w:rPr>
        <w:t>Esta Ley Foral</w:t>
      </w:r>
      <w:r w:rsidR="00216A5C">
        <w:rPr>
          <w:szCs w:val="26"/>
        </w:rPr>
        <w:t xml:space="preserve">, amparándose en el arraigo social del </w:t>
      </w:r>
      <w:r w:rsidR="0044756D">
        <w:rPr>
          <w:szCs w:val="26"/>
        </w:rPr>
        <w:t>c</w:t>
      </w:r>
      <w:r w:rsidR="00216A5C">
        <w:rPr>
          <w:szCs w:val="26"/>
        </w:rPr>
        <w:t>lub y en la potenciación de la marca “</w:t>
      </w:r>
      <w:r w:rsidR="0044756D">
        <w:rPr>
          <w:szCs w:val="26"/>
        </w:rPr>
        <w:t>N</w:t>
      </w:r>
      <w:r w:rsidR="00216A5C">
        <w:rPr>
          <w:szCs w:val="26"/>
        </w:rPr>
        <w:t>avarra” que tra</w:t>
      </w:r>
      <w:r w:rsidR="00F23400">
        <w:rPr>
          <w:szCs w:val="26"/>
        </w:rPr>
        <w:t>n</w:t>
      </w:r>
      <w:r w:rsidR="00216A5C">
        <w:rPr>
          <w:szCs w:val="26"/>
        </w:rPr>
        <w:t>smite</w:t>
      </w:r>
      <w:r w:rsidR="007008D9">
        <w:rPr>
          <w:szCs w:val="26"/>
        </w:rPr>
        <w:t xml:space="preserve"> el mismo</w:t>
      </w:r>
      <w:r w:rsidR="00F23400">
        <w:rPr>
          <w:szCs w:val="26"/>
        </w:rPr>
        <w:t xml:space="preserve"> </w:t>
      </w:r>
      <w:r w:rsidR="00796473">
        <w:rPr>
          <w:szCs w:val="26"/>
        </w:rPr>
        <w:t xml:space="preserve">y con el objetivo de lograr su supervivencia financiera, </w:t>
      </w:r>
      <w:r>
        <w:rPr>
          <w:szCs w:val="26"/>
        </w:rPr>
        <w:t xml:space="preserve">establece un </w:t>
      </w:r>
      <w:r w:rsidRPr="007528E8">
        <w:rPr>
          <w:szCs w:val="26"/>
        </w:rPr>
        <w:t>sistema o fórmula de pago mixto</w:t>
      </w:r>
      <w:r>
        <w:rPr>
          <w:szCs w:val="26"/>
        </w:rPr>
        <w:t xml:space="preserve"> de </w:t>
      </w:r>
      <w:r w:rsidR="000210B4">
        <w:rPr>
          <w:szCs w:val="26"/>
        </w:rPr>
        <w:t xml:space="preserve">cancelación </w:t>
      </w:r>
      <w:r w:rsidR="00C059BE">
        <w:rPr>
          <w:szCs w:val="26"/>
        </w:rPr>
        <w:t xml:space="preserve">íntegra </w:t>
      </w:r>
      <w:r w:rsidR="000210B4">
        <w:rPr>
          <w:szCs w:val="26"/>
        </w:rPr>
        <w:t>de la</w:t>
      </w:r>
      <w:r>
        <w:rPr>
          <w:szCs w:val="26"/>
        </w:rPr>
        <w:t xml:space="preserve"> deuda tributa</w:t>
      </w:r>
      <w:r w:rsidR="00796473">
        <w:rPr>
          <w:szCs w:val="26"/>
        </w:rPr>
        <w:t xml:space="preserve">ria por el </w:t>
      </w:r>
      <w:r w:rsidR="0044756D">
        <w:rPr>
          <w:szCs w:val="26"/>
        </w:rPr>
        <w:t>c</w:t>
      </w:r>
      <w:r w:rsidR="00796473">
        <w:rPr>
          <w:szCs w:val="26"/>
        </w:rPr>
        <w:t>lub:</w:t>
      </w:r>
    </w:p>
    <w:p w:rsidR="00D27A79" w:rsidRPr="00A85D2C" w:rsidRDefault="00D27A79" w:rsidP="00D27A79">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rsidRPr="00A85D2C">
        <w:t>Pago en especie, mediante la entrega de los bienes que</w:t>
      </w:r>
      <w:r w:rsidR="00F23400">
        <w:t xml:space="preserve"> se</w:t>
      </w:r>
      <w:r w:rsidRPr="00A85D2C">
        <w:t xml:space="preserve"> contempla</w:t>
      </w:r>
      <w:r>
        <w:t xml:space="preserve"> expresamente</w:t>
      </w:r>
      <w:r w:rsidRPr="00A85D2C">
        <w:t xml:space="preserve"> </w:t>
      </w:r>
      <w:r>
        <w:t xml:space="preserve">en </w:t>
      </w:r>
      <w:r w:rsidR="00F23400">
        <w:t>la misma</w:t>
      </w:r>
      <w:r>
        <w:t>.</w:t>
      </w:r>
    </w:p>
    <w:p w:rsidR="00D27A79" w:rsidRDefault="00D27A79" w:rsidP="00D27A79">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rsidRPr="00A85D2C">
        <w:t>Pago en efectivo mediante un aplazamiento con vencimiento m</w:t>
      </w:r>
      <w:r>
        <w:t>áximo de 30 añ</w:t>
      </w:r>
      <w:r w:rsidR="00216A5C">
        <w:t>os.</w:t>
      </w:r>
    </w:p>
    <w:p w:rsidR="00A94538" w:rsidRDefault="00016952" w:rsidP="009F401B">
      <w:pPr>
        <w:pStyle w:val="texto"/>
        <w:tabs>
          <w:tab w:val="clear" w:pos="2835"/>
          <w:tab w:val="clear" w:pos="3969"/>
          <w:tab w:val="clear" w:pos="5103"/>
          <w:tab w:val="clear" w:pos="6237"/>
          <w:tab w:val="clear" w:pos="7371"/>
        </w:tabs>
        <w:rPr>
          <w:szCs w:val="26"/>
        </w:rPr>
      </w:pPr>
      <w:r>
        <w:rPr>
          <w:szCs w:val="26"/>
        </w:rPr>
        <w:t xml:space="preserve">Además, regula </w:t>
      </w:r>
      <w:r w:rsidR="00D27A79">
        <w:rPr>
          <w:szCs w:val="26"/>
        </w:rPr>
        <w:t>los dos procedimientos anteriores sin</w:t>
      </w:r>
      <w:r>
        <w:rPr>
          <w:szCs w:val="26"/>
        </w:rPr>
        <w:t xml:space="preserve"> hacer referencia expresa a</w:t>
      </w:r>
      <w:r w:rsidR="00796473">
        <w:rPr>
          <w:szCs w:val="26"/>
        </w:rPr>
        <w:t xml:space="preserve"> </w:t>
      </w:r>
      <w:r w:rsidR="00D27A79">
        <w:rPr>
          <w:szCs w:val="26"/>
        </w:rPr>
        <w:t>la normativa general tributaria que se aplica al conjunto de contribuyentes de la Comunidad Foral.</w:t>
      </w:r>
      <w:r w:rsidR="00216A5C">
        <w:rPr>
          <w:szCs w:val="26"/>
        </w:rPr>
        <w:t xml:space="preserve"> </w:t>
      </w:r>
    </w:p>
    <w:p w:rsidR="00D27A79" w:rsidRDefault="00A94538" w:rsidP="009F401B">
      <w:pPr>
        <w:pStyle w:val="texto"/>
        <w:tabs>
          <w:tab w:val="clear" w:pos="2835"/>
          <w:tab w:val="clear" w:pos="3969"/>
          <w:tab w:val="clear" w:pos="5103"/>
          <w:tab w:val="clear" w:pos="6237"/>
          <w:tab w:val="clear" w:pos="7371"/>
        </w:tabs>
        <w:rPr>
          <w:szCs w:val="26"/>
        </w:rPr>
      </w:pPr>
      <w:r>
        <w:rPr>
          <w:szCs w:val="26"/>
        </w:rPr>
        <w:t>Los principales aspectos de la Ley Foral, en resumen, son</w:t>
      </w:r>
      <w:r w:rsidR="000210B4">
        <w:rPr>
          <w:szCs w:val="26"/>
        </w:rPr>
        <w:t>:</w:t>
      </w:r>
    </w:p>
    <w:p w:rsidR="00216A5C" w:rsidRPr="00216A5C" w:rsidRDefault="000210B4" w:rsidP="00216A5C">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t>Determina</w:t>
      </w:r>
      <w:r w:rsidR="00216A5C" w:rsidRPr="00216A5C">
        <w:t xml:space="preserve"> la deuda total del </w:t>
      </w:r>
      <w:r w:rsidR="0044756D">
        <w:t>c</w:t>
      </w:r>
      <w:r w:rsidR="00216A5C" w:rsidRPr="00216A5C">
        <w:t>lub con la HTN</w:t>
      </w:r>
      <w:r w:rsidR="00CC3A7F">
        <w:t xml:space="preserve"> a 31 de diciembre de 2014</w:t>
      </w:r>
      <w:r w:rsidR="00F23400">
        <w:t>.</w:t>
      </w:r>
    </w:p>
    <w:p w:rsidR="00216A5C" w:rsidRPr="00216A5C" w:rsidRDefault="00216A5C" w:rsidP="00216A5C">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rsidRPr="00216A5C">
        <w:t>Señala</w:t>
      </w:r>
      <w:r w:rsidR="00F23400">
        <w:t xml:space="preserve"> expresamente</w:t>
      </w:r>
      <w:r w:rsidRPr="00216A5C">
        <w:t xml:space="preserve"> los bienes que el </w:t>
      </w:r>
      <w:r w:rsidR="00E404B2">
        <w:t>c</w:t>
      </w:r>
      <w:r w:rsidRPr="00216A5C">
        <w:t>lub debe entregar en dación de pago, cuyo valor será determinado por una firma privada</w:t>
      </w:r>
      <w:r w:rsidR="00F23400">
        <w:t xml:space="preserve"> de tasación</w:t>
      </w:r>
      <w:r w:rsidRPr="00216A5C">
        <w:t xml:space="preserve"> consensuada entre el </w:t>
      </w:r>
      <w:r w:rsidR="0044756D">
        <w:t>c</w:t>
      </w:r>
      <w:r w:rsidRPr="00216A5C">
        <w:t>lub y la propia Administración.</w:t>
      </w:r>
    </w:p>
    <w:p w:rsidR="00216A5C" w:rsidRDefault="00216A5C" w:rsidP="00216A5C">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rsidRPr="00216A5C">
        <w:t>Establece un aplazamiento a 30 años del diferencial de deuda tributaria no cubierta con el valor de los bienes recibidos.</w:t>
      </w:r>
    </w:p>
    <w:p w:rsidR="00216A5C" w:rsidRDefault="00216A5C" w:rsidP="00216A5C">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t>Concede</w:t>
      </w:r>
      <w:r w:rsidR="0044756D">
        <w:t>,</w:t>
      </w:r>
      <w:r>
        <w:t xml:space="preserve"> además</w:t>
      </w:r>
      <w:r w:rsidR="0044756D">
        <w:t>,</w:t>
      </w:r>
      <w:r>
        <w:t xml:space="preserve"> un aval </w:t>
      </w:r>
      <w:r w:rsidR="00A94538">
        <w:t xml:space="preserve">por importe de cuatro millones </w:t>
      </w:r>
      <w:r>
        <w:t xml:space="preserve">con la garantía del Gobierno. </w:t>
      </w:r>
    </w:p>
    <w:p w:rsidR="00216A5C" w:rsidRDefault="00216A5C" w:rsidP="00216A5C">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t xml:space="preserve">Establece la cesión del estadio de El </w:t>
      </w:r>
      <w:r w:rsidR="00796473">
        <w:t>S</w:t>
      </w:r>
      <w:r>
        <w:t>adar y el arrendamiento de las inst</w:t>
      </w:r>
      <w:r w:rsidR="00796473">
        <w:t>al</w:t>
      </w:r>
      <w:r>
        <w:t>aciones de Tajonar</w:t>
      </w:r>
      <w:r w:rsidR="00796473">
        <w:t xml:space="preserve"> </w:t>
      </w:r>
      <w:r w:rsidR="00F23400">
        <w:t xml:space="preserve">al propio </w:t>
      </w:r>
      <w:r w:rsidR="00E404B2">
        <w:t>c</w:t>
      </w:r>
      <w:r w:rsidR="00F23400">
        <w:t xml:space="preserve">lub </w:t>
      </w:r>
      <w:r w:rsidR="00796473">
        <w:t>por un periodo de 30 años.</w:t>
      </w:r>
    </w:p>
    <w:p w:rsidR="0038652C" w:rsidRDefault="0038652C" w:rsidP="00C82B49">
      <w:pPr>
        <w:pStyle w:val="texto"/>
        <w:tabs>
          <w:tab w:val="clear" w:pos="2835"/>
          <w:tab w:val="clear" w:pos="3969"/>
          <w:tab w:val="clear" w:pos="5103"/>
          <w:tab w:val="clear" w:pos="6237"/>
          <w:tab w:val="clear" w:pos="7371"/>
        </w:tabs>
        <w:rPr>
          <w:szCs w:val="26"/>
        </w:rPr>
      </w:pPr>
      <w:r>
        <w:rPr>
          <w:szCs w:val="26"/>
        </w:rPr>
        <w:t xml:space="preserve">En resumen, </w:t>
      </w:r>
      <w:r w:rsidR="005430ED">
        <w:rPr>
          <w:szCs w:val="26"/>
        </w:rPr>
        <w:t xml:space="preserve">en </w:t>
      </w:r>
      <w:r>
        <w:rPr>
          <w:szCs w:val="26"/>
        </w:rPr>
        <w:t>la</w:t>
      </w:r>
      <w:r w:rsidR="005430ED">
        <w:rPr>
          <w:szCs w:val="26"/>
        </w:rPr>
        <w:t xml:space="preserve"> evolución de</w:t>
      </w:r>
      <w:r>
        <w:rPr>
          <w:szCs w:val="26"/>
        </w:rPr>
        <w:t xml:space="preserve"> la deuda tributaria del </w:t>
      </w:r>
      <w:r w:rsidR="0044756D">
        <w:rPr>
          <w:szCs w:val="26"/>
        </w:rPr>
        <w:t>c</w:t>
      </w:r>
      <w:r>
        <w:rPr>
          <w:szCs w:val="26"/>
        </w:rPr>
        <w:t>lub con la Hacienda Foral</w:t>
      </w:r>
      <w:r w:rsidR="005430ED">
        <w:rPr>
          <w:szCs w:val="26"/>
        </w:rPr>
        <w:t>, observamos dos momentos claves: en 2003, previo a la concesión por Ley Foral de un aval por importe de 18 millones, se le obligó a cancelar la deuda tributaria existente hasta ese momento</w:t>
      </w:r>
      <w:r w:rsidR="00CC051A">
        <w:rPr>
          <w:szCs w:val="26"/>
        </w:rPr>
        <w:t>, 4,27 millones</w:t>
      </w:r>
      <w:r w:rsidR="005430ED">
        <w:rPr>
          <w:szCs w:val="26"/>
        </w:rPr>
        <w:t xml:space="preserve">; en 2014, mediante otra Ley Foral, se </w:t>
      </w:r>
      <w:r w:rsidR="00B54883">
        <w:rPr>
          <w:szCs w:val="26"/>
        </w:rPr>
        <w:t>restructura</w:t>
      </w:r>
      <w:r w:rsidR="005430ED">
        <w:rPr>
          <w:szCs w:val="26"/>
        </w:rPr>
        <w:t xml:space="preserve"> su deuda</w:t>
      </w:r>
      <w:r w:rsidR="00E83B14">
        <w:rPr>
          <w:szCs w:val="26"/>
        </w:rPr>
        <w:t xml:space="preserve"> hasta el 31 de diciembre de dicho año</w:t>
      </w:r>
      <w:r w:rsidR="003A7553">
        <w:rPr>
          <w:szCs w:val="26"/>
        </w:rPr>
        <w:t xml:space="preserve"> -52,82 millones-</w:t>
      </w:r>
      <w:r w:rsidR="005430ED">
        <w:rPr>
          <w:szCs w:val="26"/>
        </w:rPr>
        <w:t xml:space="preserve"> </w:t>
      </w:r>
      <w:r w:rsidR="00900091">
        <w:rPr>
          <w:szCs w:val="26"/>
        </w:rPr>
        <w:t>mediante</w:t>
      </w:r>
      <w:r w:rsidR="005430ED">
        <w:rPr>
          <w:szCs w:val="26"/>
        </w:rPr>
        <w:t xml:space="preserve"> la entrega a la Comunidad Foral de su patrimonio y la concesión de un aplazamiento a 30 años y de un aval por cuatro millones.</w:t>
      </w:r>
    </w:p>
    <w:p w:rsidR="00796473" w:rsidRDefault="00C82B49" w:rsidP="00C82B49">
      <w:pPr>
        <w:pStyle w:val="texto"/>
        <w:tabs>
          <w:tab w:val="clear" w:pos="2835"/>
          <w:tab w:val="clear" w:pos="3969"/>
          <w:tab w:val="clear" w:pos="5103"/>
          <w:tab w:val="clear" w:pos="6237"/>
          <w:tab w:val="clear" w:pos="7371"/>
        </w:tabs>
        <w:rPr>
          <w:szCs w:val="26"/>
        </w:rPr>
      </w:pPr>
      <w:r>
        <w:rPr>
          <w:szCs w:val="26"/>
        </w:rPr>
        <w:t xml:space="preserve">En este contexto </w:t>
      </w:r>
      <w:r w:rsidRPr="00C82B49">
        <w:rPr>
          <w:szCs w:val="26"/>
        </w:rPr>
        <w:t>l</w:t>
      </w:r>
      <w:r>
        <w:rPr>
          <w:szCs w:val="26"/>
        </w:rPr>
        <w:t>a</w:t>
      </w:r>
      <w:r w:rsidRPr="00C82B49">
        <w:rPr>
          <w:szCs w:val="26"/>
        </w:rPr>
        <w:t xml:space="preserve"> actuación</w:t>
      </w:r>
      <w:r>
        <w:rPr>
          <w:szCs w:val="26"/>
        </w:rPr>
        <w:t xml:space="preserve"> </w:t>
      </w:r>
      <w:r w:rsidRPr="00C82B49">
        <w:rPr>
          <w:szCs w:val="26"/>
        </w:rPr>
        <w:t>de esta Cámara</w:t>
      </w:r>
      <w:r>
        <w:rPr>
          <w:szCs w:val="26"/>
        </w:rPr>
        <w:t xml:space="preserve"> de Comptos</w:t>
      </w:r>
      <w:r w:rsidRPr="00C82B49">
        <w:rPr>
          <w:szCs w:val="26"/>
        </w:rPr>
        <w:t xml:space="preserve"> se ha centrado fundamentalmente</w:t>
      </w:r>
      <w:r>
        <w:rPr>
          <w:szCs w:val="26"/>
        </w:rPr>
        <w:t xml:space="preserve"> en:</w:t>
      </w:r>
    </w:p>
    <w:p w:rsidR="00C82B49" w:rsidRDefault="001736A5" w:rsidP="00C82B49">
      <w:pPr>
        <w:pStyle w:val="texto"/>
        <w:tabs>
          <w:tab w:val="clear" w:pos="2835"/>
          <w:tab w:val="clear" w:pos="3969"/>
          <w:tab w:val="clear" w:pos="5103"/>
          <w:tab w:val="clear" w:pos="6237"/>
          <w:tab w:val="clear" w:pos="7371"/>
        </w:tabs>
        <w:rPr>
          <w:szCs w:val="26"/>
        </w:rPr>
      </w:pPr>
      <w:r>
        <w:rPr>
          <w:szCs w:val="26"/>
        </w:rPr>
        <w:t>a)</w:t>
      </w:r>
      <w:r w:rsidR="00C82B49">
        <w:rPr>
          <w:szCs w:val="26"/>
        </w:rPr>
        <w:t xml:space="preserve"> Revisar la cuantificación de la deuda tributaria del </w:t>
      </w:r>
      <w:r w:rsidR="0044756D">
        <w:rPr>
          <w:szCs w:val="26"/>
        </w:rPr>
        <w:t>c</w:t>
      </w:r>
      <w:r w:rsidR="00C82B49">
        <w:rPr>
          <w:szCs w:val="26"/>
        </w:rPr>
        <w:t>lub a 31 de diciembre de 2014.</w:t>
      </w:r>
    </w:p>
    <w:p w:rsidR="00C82B49" w:rsidRDefault="001736A5" w:rsidP="00C82B49">
      <w:pPr>
        <w:pStyle w:val="texto"/>
        <w:tabs>
          <w:tab w:val="clear" w:pos="2835"/>
          <w:tab w:val="clear" w:pos="3969"/>
          <w:tab w:val="clear" w:pos="5103"/>
          <w:tab w:val="clear" w:pos="6237"/>
          <w:tab w:val="clear" w:pos="7371"/>
        </w:tabs>
        <w:rPr>
          <w:szCs w:val="26"/>
        </w:rPr>
      </w:pPr>
      <w:r>
        <w:rPr>
          <w:szCs w:val="26"/>
        </w:rPr>
        <w:t xml:space="preserve">b) </w:t>
      </w:r>
      <w:r w:rsidR="00C82B49">
        <w:rPr>
          <w:szCs w:val="26"/>
        </w:rPr>
        <w:t>Analizar si las actuaciones de la Hacienda Tributaria de Navarra en el periodo de 2005 a 2014 se han ajustado a la normativa tributaria general.</w:t>
      </w:r>
    </w:p>
    <w:p w:rsidR="00C82B49" w:rsidRPr="00C82B49" w:rsidRDefault="001736A5" w:rsidP="00C82B49">
      <w:pPr>
        <w:pStyle w:val="texto"/>
        <w:tabs>
          <w:tab w:val="clear" w:pos="2835"/>
          <w:tab w:val="clear" w:pos="3969"/>
          <w:tab w:val="clear" w:pos="5103"/>
          <w:tab w:val="clear" w:pos="6237"/>
          <w:tab w:val="clear" w:pos="7371"/>
        </w:tabs>
        <w:rPr>
          <w:szCs w:val="26"/>
        </w:rPr>
      </w:pPr>
      <w:r>
        <w:rPr>
          <w:szCs w:val="26"/>
        </w:rPr>
        <w:t xml:space="preserve">c) </w:t>
      </w:r>
      <w:r w:rsidR="00C82B49">
        <w:rPr>
          <w:szCs w:val="26"/>
        </w:rPr>
        <w:t>Verificar la aplicación</w:t>
      </w:r>
      <w:r w:rsidR="00F23400">
        <w:rPr>
          <w:szCs w:val="26"/>
        </w:rPr>
        <w:t xml:space="preserve"> efectiva</w:t>
      </w:r>
      <w:r w:rsidR="00C82B49">
        <w:rPr>
          <w:szCs w:val="26"/>
        </w:rPr>
        <w:t xml:space="preserve"> de la citada Ley Foral 26/2014</w:t>
      </w:r>
      <w:r w:rsidR="00980998">
        <w:rPr>
          <w:szCs w:val="26"/>
        </w:rPr>
        <w:t xml:space="preserve">, especialmente en lo referente a la valoración de los bienes entregados por el </w:t>
      </w:r>
      <w:r w:rsidR="0044756D">
        <w:rPr>
          <w:szCs w:val="26"/>
        </w:rPr>
        <w:t>c</w:t>
      </w:r>
      <w:r w:rsidR="00980998">
        <w:rPr>
          <w:szCs w:val="26"/>
        </w:rPr>
        <w:t>lub y al cálculo del diferencial de deuda tributaria.</w:t>
      </w:r>
    </w:p>
    <w:p w:rsidR="005E5F69" w:rsidRPr="005E5F69" w:rsidRDefault="00C82B49" w:rsidP="002A3219">
      <w:pPr>
        <w:pStyle w:val="texto"/>
        <w:tabs>
          <w:tab w:val="clear" w:pos="2835"/>
          <w:tab w:val="clear" w:pos="3969"/>
          <w:tab w:val="clear" w:pos="5103"/>
          <w:tab w:val="clear" w:pos="6237"/>
          <w:tab w:val="clear" w:pos="7371"/>
        </w:tabs>
        <w:rPr>
          <w:szCs w:val="26"/>
        </w:rPr>
      </w:pPr>
      <w:r w:rsidRPr="00C82B49">
        <w:rPr>
          <w:szCs w:val="26"/>
        </w:rPr>
        <w:t>En relación con la primera cuestión</w:t>
      </w:r>
      <w:r w:rsidR="00C059BE">
        <w:rPr>
          <w:szCs w:val="26"/>
        </w:rPr>
        <w:t>,</w:t>
      </w:r>
      <w:r w:rsidRPr="00C82B49">
        <w:rPr>
          <w:szCs w:val="26"/>
        </w:rPr>
        <w:t xml:space="preserve"> se ha comprobado y contra</w:t>
      </w:r>
      <w:r>
        <w:rPr>
          <w:szCs w:val="26"/>
        </w:rPr>
        <w:t>s</w:t>
      </w:r>
      <w:r w:rsidRPr="00C82B49">
        <w:rPr>
          <w:szCs w:val="26"/>
        </w:rPr>
        <w:t>tado que la deuda</w:t>
      </w:r>
      <w:r w:rsidR="00746845">
        <w:rPr>
          <w:szCs w:val="26"/>
        </w:rPr>
        <w:t xml:space="preserve"> tributaria</w:t>
      </w:r>
      <w:r w:rsidRPr="00C82B49">
        <w:rPr>
          <w:szCs w:val="26"/>
        </w:rPr>
        <w:t xml:space="preserve"> del </w:t>
      </w:r>
      <w:r w:rsidR="00E404B2">
        <w:rPr>
          <w:szCs w:val="26"/>
        </w:rPr>
        <w:t>c</w:t>
      </w:r>
      <w:r w:rsidRPr="00C82B49">
        <w:rPr>
          <w:szCs w:val="26"/>
        </w:rPr>
        <w:t xml:space="preserve">lub a esa fecha asciende a </w:t>
      </w:r>
      <w:r w:rsidRPr="002E07F2">
        <w:rPr>
          <w:szCs w:val="26"/>
        </w:rPr>
        <w:t xml:space="preserve">52,82 </w:t>
      </w:r>
      <w:r w:rsidRPr="00C82B49">
        <w:rPr>
          <w:szCs w:val="26"/>
        </w:rPr>
        <w:t>millones.</w:t>
      </w:r>
      <w:r>
        <w:rPr>
          <w:szCs w:val="26"/>
        </w:rPr>
        <w:t xml:space="preserve"> De esta deuda, un total de </w:t>
      </w:r>
      <w:r w:rsidRPr="002E07F2">
        <w:rPr>
          <w:szCs w:val="26"/>
        </w:rPr>
        <w:t xml:space="preserve">6,51 </w:t>
      </w:r>
      <w:r>
        <w:rPr>
          <w:szCs w:val="26"/>
        </w:rPr>
        <w:t>millones derivan de interes</w:t>
      </w:r>
      <w:r w:rsidR="002A3219">
        <w:rPr>
          <w:szCs w:val="26"/>
        </w:rPr>
        <w:t>es</w:t>
      </w:r>
      <w:r>
        <w:rPr>
          <w:szCs w:val="26"/>
        </w:rPr>
        <w:t xml:space="preserve"> y recargos</w:t>
      </w:r>
      <w:r w:rsidR="002A3219">
        <w:rPr>
          <w:szCs w:val="26"/>
        </w:rPr>
        <w:t xml:space="preserve"> aplicados</w:t>
      </w:r>
      <w:r w:rsidR="002A4CCE">
        <w:rPr>
          <w:szCs w:val="26"/>
        </w:rPr>
        <w:t xml:space="preserve"> por la </w:t>
      </w:r>
      <w:r w:rsidR="002A4CCE" w:rsidRPr="005E5F69">
        <w:rPr>
          <w:szCs w:val="26"/>
        </w:rPr>
        <w:t>Hacienda</w:t>
      </w:r>
      <w:r w:rsidRPr="005E5F69">
        <w:rPr>
          <w:szCs w:val="26"/>
        </w:rPr>
        <w:t>, cantidad que represent</w:t>
      </w:r>
      <w:r w:rsidR="002A3219" w:rsidRPr="005E5F69">
        <w:rPr>
          <w:szCs w:val="26"/>
        </w:rPr>
        <w:t xml:space="preserve">a </w:t>
      </w:r>
      <w:r w:rsidRPr="005E5F69">
        <w:rPr>
          <w:szCs w:val="26"/>
        </w:rPr>
        <w:t>un 1</w:t>
      </w:r>
      <w:r w:rsidR="001736A5" w:rsidRPr="005E5F69">
        <w:rPr>
          <w:szCs w:val="26"/>
        </w:rPr>
        <w:t>2</w:t>
      </w:r>
      <w:r w:rsidRPr="005E5F69">
        <w:rPr>
          <w:szCs w:val="26"/>
        </w:rPr>
        <w:t xml:space="preserve"> por c</w:t>
      </w:r>
      <w:r w:rsidR="002A3219" w:rsidRPr="005E5F69">
        <w:rPr>
          <w:szCs w:val="26"/>
        </w:rPr>
        <w:t>iento</w:t>
      </w:r>
      <w:r w:rsidRPr="005E5F69">
        <w:rPr>
          <w:szCs w:val="26"/>
        </w:rPr>
        <w:t xml:space="preserve"> </w:t>
      </w:r>
      <w:r w:rsidR="002A3219" w:rsidRPr="005E5F69">
        <w:rPr>
          <w:szCs w:val="26"/>
        </w:rPr>
        <w:t>sobre</w:t>
      </w:r>
      <w:r w:rsidRPr="005E5F69">
        <w:rPr>
          <w:szCs w:val="26"/>
        </w:rPr>
        <w:t xml:space="preserve"> la citada deuda total</w:t>
      </w:r>
      <w:r w:rsidR="001736A5" w:rsidRPr="005E5F69">
        <w:rPr>
          <w:szCs w:val="26"/>
        </w:rPr>
        <w:t>.</w:t>
      </w:r>
    </w:p>
    <w:p w:rsidR="00016952" w:rsidRPr="00016952" w:rsidRDefault="00016952" w:rsidP="002A3219">
      <w:pPr>
        <w:pStyle w:val="texto"/>
        <w:tabs>
          <w:tab w:val="clear" w:pos="2835"/>
          <w:tab w:val="clear" w:pos="3969"/>
          <w:tab w:val="clear" w:pos="5103"/>
          <w:tab w:val="clear" w:pos="6237"/>
          <w:tab w:val="clear" w:pos="7371"/>
        </w:tabs>
        <w:rPr>
          <w:szCs w:val="26"/>
        </w:rPr>
      </w:pPr>
      <w:r w:rsidRPr="00016952">
        <w:rPr>
          <w:szCs w:val="26"/>
        </w:rPr>
        <w:t>La deuda anterior, tal como señala la citada Ley Foral</w:t>
      </w:r>
      <w:r w:rsidR="00283322">
        <w:rPr>
          <w:szCs w:val="26"/>
        </w:rPr>
        <w:t>,</w:t>
      </w:r>
      <w:r w:rsidRPr="00016952">
        <w:rPr>
          <w:szCs w:val="26"/>
        </w:rPr>
        <w:t xml:space="preserve"> se abona mediante la entrega a la Comunidad Foral de los bienes propiedad del </w:t>
      </w:r>
      <w:r w:rsidR="0044756D">
        <w:rPr>
          <w:szCs w:val="26"/>
        </w:rPr>
        <w:t>c</w:t>
      </w:r>
      <w:r w:rsidRPr="00016952">
        <w:rPr>
          <w:szCs w:val="26"/>
        </w:rPr>
        <w:t>lub y</w:t>
      </w:r>
      <w:r w:rsidR="002D2BFD">
        <w:rPr>
          <w:szCs w:val="26"/>
        </w:rPr>
        <w:t>, el importe restante,</w:t>
      </w:r>
      <w:r w:rsidRPr="00016952">
        <w:rPr>
          <w:szCs w:val="26"/>
        </w:rPr>
        <w:t xml:space="preserve"> </w:t>
      </w:r>
      <w:r w:rsidR="00283322">
        <w:rPr>
          <w:szCs w:val="26"/>
        </w:rPr>
        <w:t>con</w:t>
      </w:r>
      <w:r w:rsidRPr="00016952">
        <w:rPr>
          <w:szCs w:val="26"/>
        </w:rPr>
        <w:t xml:space="preserve"> un aplazamiento</w:t>
      </w:r>
      <w:r w:rsidR="00E47996">
        <w:rPr>
          <w:szCs w:val="26"/>
        </w:rPr>
        <w:t xml:space="preserve"> </w:t>
      </w:r>
      <w:r w:rsidR="005E5F69">
        <w:rPr>
          <w:szCs w:val="26"/>
        </w:rPr>
        <w:t>a 30 años</w:t>
      </w:r>
      <w:r w:rsidRPr="00016952">
        <w:rPr>
          <w:szCs w:val="26"/>
        </w:rPr>
        <w:t>, tal como puede observarse en el cuadro siguiente:</w:t>
      </w:r>
    </w:p>
    <w:tbl>
      <w:tblPr>
        <w:tblW w:w="8754" w:type="dxa"/>
        <w:jc w:val="center"/>
        <w:tblCellMar>
          <w:left w:w="70" w:type="dxa"/>
          <w:right w:w="70" w:type="dxa"/>
        </w:tblCellMar>
        <w:tblLook w:val="04A0" w:firstRow="1" w:lastRow="0" w:firstColumn="1" w:lastColumn="0" w:noHBand="0" w:noVBand="1"/>
      </w:tblPr>
      <w:tblGrid>
        <w:gridCol w:w="6646"/>
        <w:gridCol w:w="2108"/>
      </w:tblGrid>
      <w:tr w:rsidR="00016952" w:rsidRPr="006F2B1B" w:rsidTr="00E47996">
        <w:trPr>
          <w:trHeight w:val="284"/>
          <w:jc w:val="center"/>
        </w:trPr>
        <w:tc>
          <w:tcPr>
            <w:tcW w:w="6646" w:type="dxa"/>
            <w:tcBorders>
              <w:top w:val="single" w:sz="4" w:space="0" w:color="auto"/>
              <w:bottom w:val="single" w:sz="4" w:space="0" w:color="auto"/>
            </w:tcBorders>
            <w:shd w:val="clear" w:color="auto" w:fill="8DB3E2" w:themeFill="text2" w:themeFillTint="66"/>
            <w:vAlign w:val="center"/>
          </w:tcPr>
          <w:p w:rsidR="00016952" w:rsidRPr="006F2B1B" w:rsidRDefault="00830B6C" w:rsidP="00E404B2">
            <w:pPr>
              <w:pStyle w:val="cuadroCabe"/>
            </w:pPr>
            <w:r>
              <w:t xml:space="preserve">Pago de la </w:t>
            </w:r>
            <w:r w:rsidR="00016952">
              <w:t>deuda tributaria</w:t>
            </w:r>
            <w:r w:rsidR="00E47996">
              <w:t xml:space="preserve"> del </w:t>
            </w:r>
            <w:r w:rsidR="00E404B2">
              <w:t>c</w:t>
            </w:r>
            <w:r w:rsidR="00E47996">
              <w:t>lub</w:t>
            </w:r>
          </w:p>
        </w:tc>
        <w:tc>
          <w:tcPr>
            <w:tcW w:w="2108" w:type="dxa"/>
            <w:tcBorders>
              <w:top w:val="single" w:sz="4" w:space="0" w:color="auto"/>
              <w:bottom w:val="single" w:sz="4" w:space="0" w:color="auto"/>
            </w:tcBorders>
            <w:shd w:val="clear" w:color="auto" w:fill="8DB3E2" w:themeFill="text2" w:themeFillTint="66"/>
            <w:vAlign w:val="center"/>
          </w:tcPr>
          <w:p w:rsidR="00016952" w:rsidRPr="006F2B1B" w:rsidRDefault="00016952" w:rsidP="00830B6C">
            <w:pPr>
              <w:pStyle w:val="cuadroCabe"/>
              <w:jc w:val="right"/>
            </w:pPr>
            <w:r>
              <w:t>Importe</w:t>
            </w:r>
          </w:p>
        </w:tc>
      </w:tr>
      <w:tr w:rsidR="00830B6C" w:rsidRPr="00117E2F" w:rsidTr="00E47996">
        <w:trPr>
          <w:trHeight w:val="284"/>
          <w:jc w:val="center"/>
        </w:trPr>
        <w:tc>
          <w:tcPr>
            <w:tcW w:w="6646" w:type="dxa"/>
            <w:tcBorders>
              <w:top w:val="single" w:sz="4" w:space="0" w:color="auto"/>
              <w:bottom w:val="single" w:sz="2" w:space="0" w:color="auto"/>
            </w:tcBorders>
            <w:vAlign w:val="center"/>
          </w:tcPr>
          <w:p w:rsidR="00830B6C" w:rsidRPr="00285041" w:rsidRDefault="00830B6C" w:rsidP="00B9783A">
            <w:pPr>
              <w:pStyle w:val="cuatexto"/>
            </w:pPr>
            <w:r>
              <w:t>Valor neto de los bienes entregados en dación de pago</w:t>
            </w:r>
          </w:p>
        </w:tc>
        <w:tc>
          <w:tcPr>
            <w:tcW w:w="2108" w:type="dxa"/>
            <w:tcBorders>
              <w:top w:val="single" w:sz="4" w:space="0" w:color="auto"/>
              <w:bottom w:val="single" w:sz="2" w:space="0" w:color="auto"/>
            </w:tcBorders>
            <w:vAlign w:val="center"/>
          </w:tcPr>
          <w:p w:rsidR="00830B6C" w:rsidRPr="00D81BD8" w:rsidRDefault="00830B6C" w:rsidP="00B9783A">
            <w:pPr>
              <w:pStyle w:val="cuatexto"/>
              <w:jc w:val="right"/>
            </w:pPr>
            <w:r>
              <w:t>32.170.794</w:t>
            </w:r>
          </w:p>
        </w:tc>
      </w:tr>
      <w:tr w:rsidR="00830B6C" w:rsidRPr="00117E2F" w:rsidTr="00E47996">
        <w:trPr>
          <w:trHeight w:val="284"/>
          <w:jc w:val="center"/>
        </w:trPr>
        <w:tc>
          <w:tcPr>
            <w:tcW w:w="6646" w:type="dxa"/>
            <w:tcBorders>
              <w:top w:val="single" w:sz="2" w:space="0" w:color="auto"/>
              <w:bottom w:val="single" w:sz="2" w:space="0" w:color="auto"/>
            </w:tcBorders>
            <w:vAlign w:val="center"/>
          </w:tcPr>
          <w:p w:rsidR="00830B6C" w:rsidRPr="00285041" w:rsidRDefault="00830B6C" w:rsidP="00B9783A">
            <w:pPr>
              <w:pStyle w:val="cuatexto"/>
            </w:pPr>
            <w:r>
              <w:t>Aplazamiento</w:t>
            </w:r>
            <w:r w:rsidR="002D2BFD">
              <w:t xml:space="preserve"> </w:t>
            </w:r>
            <w:r w:rsidR="001C3873">
              <w:t>a 30 años</w:t>
            </w:r>
          </w:p>
        </w:tc>
        <w:tc>
          <w:tcPr>
            <w:tcW w:w="2108" w:type="dxa"/>
            <w:tcBorders>
              <w:top w:val="single" w:sz="2" w:space="0" w:color="auto"/>
              <w:bottom w:val="single" w:sz="2" w:space="0" w:color="auto"/>
            </w:tcBorders>
            <w:vAlign w:val="center"/>
          </w:tcPr>
          <w:p w:rsidR="00830B6C" w:rsidRPr="00D81BD8" w:rsidRDefault="00830B6C" w:rsidP="00B9783A">
            <w:pPr>
              <w:pStyle w:val="cuatexto"/>
              <w:jc w:val="right"/>
            </w:pPr>
            <w:r>
              <w:t>20.650.086</w:t>
            </w:r>
          </w:p>
        </w:tc>
      </w:tr>
      <w:tr w:rsidR="00830B6C" w:rsidRPr="00747271" w:rsidTr="00E47996">
        <w:trPr>
          <w:trHeight w:val="284"/>
          <w:jc w:val="center"/>
        </w:trPr>
        <w:tc>
          <w:tcPr>
            <w:tcW w:w="6646" w:type="dxa"/>
            <w:tcBorders>
              <w:top w:val="single" w:sz="2" w:space="0" w:color="auto"/>
              <w:bottom w:val="single" w:sz="2" w:space="0" w:color="auto"/>
            </w:tcBorders>
            <w:shd w:val="clear" w:color="auto" w:fill="8DB3E2" w:themeFill="text2" w:themeFillTint="66"/>
            <w:vAlign w:val="center"/>
          </w:tcPr>
          <w:p w:rsidR="00830B6C" w:rsidRPr="001D4BF2" w:rsidRDefault="00830B6C" w:rsidP="00B9783A">
            <w:pPr>
              <w:pStyle w:val="cuadroCabe"/>
            </w:pPr>
            <w:r>
              <w:t>Total deuda tributaria</w:t>
            </w:r>
            <w:r w:rsidR="00E47996">
              <w:t xml:space="preserve"> </w:t>
            </w:r>
            <w:r w:rsidR="001C3873">
              <w:t>a 31 de diciembre de 2014</w:t>
            </w:r>
          </w:p>
        </w:tc>
        <w:tc>
          <w:tcPr>
            <w:tcW w:w="2108" w:type="dxa"/>
            <w:tcBorders>
              <w:top w:val="single" w:sz="2" w:space="0" w:color="auto"/>
              <w:bottom w:val="single" w:sz="2" w:space="0" w:color="auto"/>
            </w:tcBorders>
            <w:shd w:val="clear" w:color="auto" w:fill="8DB3E2" w:themeFill="text2" w:themeFillTint="66"/>
            <w:vAlign w:val="center"/>
          </w:tcPr>
          <w:p w:rsidR="00830B6C" w:rsidRPr="00747271" w:rsidRDefault="00830B6C" w:rsidP="00B9783A">
            <w:pPr>
              <w:pStyle w:val="cuadroCabe"/>
              <w:jc w:val="right"/>
            </w:pPr>
            <w:r w:rsidRPr="00D81BD8">
              <w:t>52.820.880</w:t>
            </w:r>
          </w:p>
        </w:tc>
      </w:tr>
    </w:tbl>
    <w:p w:rsidR="00016952" w:rsidRDefault="00016952" w:rsidP="00E47996">
      <w:pPr>
        <w:pStyle w:val="texto"/>
        <w:tabs>
          <w:tab w:val="clear" w:pos="2835"/>
          <w:tab w:val="clear" w:pos="3969"/>
          <w:tab w:val="clear" w:pos="5103"/>
          <w:tab w:val="clear" w:pos="6237"/>
          <w:tab w:val="clear" w:pos="7371"/>
        </w:tabs>
        <w:ind w:firstLine="0"/>
        <w:rPr>
          <w:szCs w:val="26"/>
        </w:rPr>
      </w:pPr>
    </w:p>
    <w:p w:rsidR="00746845" w:rsidRDefault="001736A5" w:rsidP="002B1F9B">
      <w:pPr>
        <w:pStyle w:val="texto"/>
        <w:tabs>
          <w:tab w:val="clear" w:pos="2835"/>
          <w:tab w:val="clear" w:pos="3969"/>
          <w:tab w:val="clear" w:pos="5103"/>
          <w:tab w:val="clear" w:pos="6237"/>
          <w:tab w:val="clear" w:pos="7371"/>
        </w:tabs>
        <w:rPr>
          <w:szCs w:val="26"/>
        </w:rPr>
      </w:pPr>
      <w:r>
        <w:rPr>
          <w:szCs w:val="26"/>
        </w:rPr>
        <w:t>Sobre las actuaciones de la HTN, como conclusió</w:t>
      </w:r>
      <w:r w:rsidR="00B85DC0">
        <w:rPr>
          <w:szCs w:val="26"/>
        </w:rPr>
        <w:t>n</w:t>
      </w:r>
      <w:r w:rsidR="00CC3A7F">
        <w:rPr>
          <w:szCs w:val="26"/>
        </w:rPr>
        <w:t>,</w:t>
      </w:r>
      <w:r w:rsidR="00B85DC0">
        <w:rPr>
          <w:szCs w:val="26"/>
        </w:rPr>
        <w:t xml:space="preserve"> consideramos </w:t>
      </w:r>
      <w:r w:rsidR="00CC3A7F">
        <w:rPr>
          <w:szCs w:val="26"/>
        </w:rPr>
        <w:t xml:space="preserve">que </w:t>
      </w:r>
      <w:r w:rsidR="00171A39">
        <w:rPr>
          <w:szCs w:val="26"/>
        </w:rPr>
        <w:t>se ha aplicado</w:t>
      </w:r>
      <w:r w:rsidR="009231F1">
        <w:rPr>
          <w:szCs w:val="26"/>
        </w:rPr>
        <w:t xml:space="preserve"> </w:t>
      </w:r>
      <w:r w:rsidR="00171A39">
        <w:rPr>
          <w:szCs w:val="26"/>
        </w:rPr>
        <w:t>la</w:t>
      </w:r>
      <w:r>
        <w:rPr>
          <w:szCs w:val="26"/>
        </w:rPr>
        <w:t xml:space="preserve"> normativa tributaria</w:t>
      </w:r>
      <w:r w:rsidR="00171A39">
        <w:rPr>
          <w:szCs w:val="26"/>
        </w:rPr>
        <w:t xml:space="preserve"> en</w:t>
      </w:r>
      <w:r w:rsidR="00746845">
        <w:rPr>
          <w:szCs w:val="26"/>
        </w:rPr>
        <w:t xml:space="preserve"> la gestión de la deuda del </w:t>
      </w:r>
      <w:r w:rsidR="0044756D">
        <w:rPr>
          <w:szCs w:val="26"/>
        </w:rPr>
        <w:t>c</w:t>
      </w:r>
      <w:r w:rsidR="00746845">
        <w:rPr>
          <w:szCs w:val="26"/>
        </w:rPr>
        <w:t>l</w:t>
      </w:r>
      <w:r w:rsidR="00171A39">
        <w:rPr>
          <w:szCs w:val="26"/>
        </w:rPr>
        <w:t>ub.</w:t>
      </w:r>
      <w:r w:rsidR="00746845">
        <w:rPr>
          <w:szCs w:val="26"/>
        </w:rPr>
        <w:t xml:space="preserve"> </w:t>
      </w:r>
    </w:p>
    <w:p w:rsidR="002E07F2" w:rsidRDefault="00171A39" w:rsidP="00746845">
      <w:pPr>
        <w:pStyle w:val="texto"/>
        <w:tabs>
          <w:tab w:val="clear" w:pos="2835"/>
          <w:tab w:val="clear" w:pos="3969"/>
          <w:tab w:val="clear" w:pos="5103"/>
          <w:tab w:val="clear" w:pos="6237"/>
          <w:tab w:val="clear" w:pos="7371"/>
        </w:tabs>
        <w:rPr>
          <w:szCs w:val="26"/>
        </w:rPr>
      </w:pPr>
      <w:r>
        <w:rPr>
          <w:szCs w:val="26"/>
        </w:rPr>
        <w:t>En los aplazamientos de su deuda, c</w:t>
      </w:r>
      <w:r w:rsidR="00746845">
        <w:rPr>
          <w:szCs w:val="26"/>
        </w:rPr>
        <w:t xml:space="preserve">omo criterio general de actuación ha primado, como mal menor y como mejor </w:t>
      </w:r>
      <w:r w:rsidR="002A4CCE">
        <w:rPr>
          <w:szCs w:val="26"/>
        </w:rPr>
        <w:t>defensa</w:t>
      </w:r>
      <w:r w:rsidR="00746845">
        <w:rPr>
          <w:szCs w:val="26"/>
        </w:rPr>
        <w:t xml:space="preserve"> de los recursos públicos, la opción de conceder</w:t>
      </w:r>
      <w:r w:rsidR="003C2E02">
        <w:rPr>
          <w:szCs w:val="26"/>
        </w:rPr>
        <w:t>los</w:t>
      </w:r>
      <w:r w:rsidR="00746845">
        <w:rPr>
          <w:szCs w:val="26"/>
        </w:rPr>
        <w:t xml:space="preserve"> </w:t>
      </w:r>
      <w:r w:rsidR="00256947">
        <w:rPr>
          <w:szCs w:val="26"/>
        </w:rPr>
        <w:t xml:space="preserve">antes </w:t>
      </w:r>
      <w:r w:rsidR="00746845">
        <w:rPr>
          <w:szCs w:val="26"/>
        </w:rPr>
        <w:t>que ejecu</w:t>
      </w:r>
      <w:r w:rsidR="003C2E02">
        <w:rPr>
          <w:szCs w:val="26"/>
        </w:rPr>
        <w:t>tar los</w:t>
      </w:r>
      <w:r w:rsidR="00746845">
        <w:rPr>
          <w:szCs w:val="26"/>
        </w:rPr>
        <w:t xml:space="preserve"> embargos y garantías</w:t>
      </w:r>
      <w:r w:rsidR="003C2E02">
        <w:rPr>
          <w:szCs w:val="26"/>
        </w:rPr>
        <w:t xml:space="preserve"> ofrecidos en los mismos, logrando a su vez, la continuidad y supervivencia de la actividad del </w:t>
      </w:r>
      <w:r w:rsidR="0044756D">
        <w:rPr>
          <w:szCs w:val="26"/>
        </w:rPr>
        <w:t>c</w:t>
      </w:r>
      <w:r w:rsidR="003C2E02">
        <w:rPr>
          <w:szCs w:val="26"/>
        </w:rPr>
        <w:t>lub</w:t>
      </w:r>
      <w:r w:rsidR="00746845">
        <w:rPr>
          <w:szCs w:val="26"/>
        </w:rPr>
        <w:t>. Para ello</w:t>
      </w:r>
      <w:r w:rsidR="000210B4">
        <w:rPr>
          <w:szCs w:val="26"/>
        </w:rPr>
        <w:t>, su</w:t>
      </w:r>
      <w:r w:rsidR="003C2E02">
        <w:rPr>
          <w:szCs w:val="26"/>
        </w:rPr>
        <w:t xml:space="preserve"> concesión</w:t>
      </w:r>
      <w:r w:rsidR="000210B4">
        <w:rPr>
          <w:szCs w:val="26"/>
        </w:rPr>
        <w:t xml:space="preserve"> se ampara con car</w:t>
      </w:r>
      <w:r w:rsidR="00EA4106">
        <w:rPr>
          <w:szCs w:val="26"/>
        </w:rPr>
        <w:t>á</w:t>
      </w:r>
      <w:r w:rsidR="000210B4">
        <w:rPr>
          <w:szCs w:val="26"/>
        </w:rPr>
        <w:t>cter general</w:t>
      </w:r>
      <w:r w:rsidR="002A4CCE">
        <w:rPr>
          <w:szCs w:val="26"/>
        </w:rPr>
        <w:t xml:space="preserve"> en</w:t>
      </w:r>
      <w:r w:rsidR="003C2E02">
        <w:rPr>
          <w:szCs w:val="26"/>
        </w:rPr>
        <w:t xml:space="preserve"> el</w:t>
      </w:r>
      <w:r w:rsidR="00746845">
        <w:rPr>
          <w:szCs w:val="26"/>
        </w:rPr>
        <w:t xml:space="preserve"> principio de excepcionalidad que contempla la</w:t>
      </w:r>
      <w:r w:rsidR="00BF1DF2">
        <w:rPr>
          <w:szCs w:val="26"/>
        </w:rPr>
        <w:t xml:space="preserve"> p</w:t>
      </w:r>
      <w:r w:rsidR="00256947">
        <w:rPr>
          <w:szCs w:val="26"/>
        </w:rPr>
        <w:t>ro</w:t>
      </w:r>
      <w:r w:rsidR="00BF1DF2">
        <w:rPr>
          <w:szCs w:val="26"/>
        </w:rPr>
        <w:t>pia</w:t>
      </w:r>
      <w:r w:rsidR="00746845">
        <w:rPr>
          <w:szCs w:val="26"/>
        </w:rPr>
        <w:t xml:space="preserve"> regulación de los aplazamientos, dispensando, en determinados </w:t>
      </w:r>
      <w:r w:rsidR="002A4CCE">
        <w:rPr>
          <w:szCs w:val="26"/>
        </w:rPr>
        <w:t>supuestos</w:t>
      </w:r>
      <w:r w:rsidR="00746845">
        <w:rPr>
          <w:szCs w:val="26"/>
        </w:rPr>
        <w:t>, de las preceptivas garantías</w:t>
      </w:r>
      <w:r w:rsidR="0044756D">
        <w:rPr>
          <w:szCs w:val="26"/>
        </w:rPr>
        <w:t xml:space="preserve"> exigibles</w:t>
      </w:r>
      <w:r w:rsidR="00746845">
        <w:rPr>
          <w:szCs w:val="26"/>
        </w:rPr>
        <w:t xml:space="preserve"> </w:t>
      </w:r>
      <w:r w:rsidR="0044756D">
        <w:rPr>
          <w:szCs w:val="26"/>
        </w:rPr>
        <w:t>a</w:t>
      </w:r>
      <w:r w:rsidR="00746845">
        <w:rPr>
          <w:szCs w:val="26"/>
        </w:rPr>
        <w:t xml:space="preserve">l </w:t>
      </w:r>
      <w:r w:rsidR="0044756D">
        <w:rPr>
          <w:szCs w:val="26"/>
        </w:rPr>
        <w:t>c</w:t>
      </w:r>
      <w:r w:rsidR="00746845">
        <w:rPr>
          <w:szCs w:val="26"/>
        </w:rPr>
        <w:t xml:space="preserve">lub. </w:t>
      </w:r>
      <w:r w:rsidR="0043739C">
        <w:rPr>
          <w:szCs w:val="26"/>
        </w:rPr>
        <w:t>No obstante,</w:t>
      </w:r>
      <w:r w:rsidR="00746845">
        <w:rPr>
          <w:szCs w:val="26"/>
        </w:rPr>
        <w:t xml:space="preserve"> </w:t>
      </w:r>
      <w:r w:rsidR="005130E5">
        <w:rPr>
          <w:szCs w:val="26"/>
        </w:rPr>
        <w:t xml:space="preserve">es preciso señalar que </w:t>
      </w:r>
      <w:r w:rsidR="00746845">
        <w:rPr>
          <w:szCs w:val="26"/>
        </w:rPr>
        <w:t>la práctica totalidad de los i</w:t>
      </w:r>
      <w:r w:rsidR="0043739C">
        <w:rPr>
          <w:szCs w:val="26"/>
        </w:rPr>
        <w:t>nmuebles</w:t>
      </w:r>
      <w:r w:rsidR="00746845">
        <w:rPr>
          <w:szCs w:val="26"/>
        </w:rPr>
        <w:t xml:space="preserve"> del </w:t>
      </w:r>
      <w:r w:rsidR="0044756D">
        <w:rPr>
          <w:szCs w:val="26"/>
        </w:rPr>
        <w:t>c</w:t>
      </w:r>
      <w:r w:rsidR="00746845">
        <w:rPr>
          <w:szCs w:val="26"/>
        </w:rPr>
        <w:t xml:space="preserve">lub </w:t>
      </w:r>
      <w:r w:rsidR="00BF1DF2">
        <w:rPr>
          <w:szCs w:val="26"/>
        </w:rPr>
        <w:t xml:space="preserve">ya </w:t>
      </w:r>
      <w:r w:rsidR="00746845">
        <w:rPr>
          <w:szCs w:val="26"/>
        </w:rPr>
        <w:t xml:space="preserve">estaban </w:t>
      </w:r>
      <w:r w:rsidR="0043739C">
        <w:rPr>
          <w:szCs w:val="26"/>
        </w:rPr>
        <w:t>soportando cargas</w:t>
      </w:r>
      <w:r w:rsidR="00746845">
        <w:rPr>
          <w:szCs w:val="26"/>
        </w:rPr>
        <w:t xml:space="preserve"> a favor de la Comunidad Foral</w:t>
      </w:r>
      <w:r w:rsidR="002A4CCE">
        <w:rPr>
          <w:szCs w:val="26"/>
        </w:rPr>
        <w:t xml:space="preserve"> </w:t>
      </w:r>
      <w:r w:rsidR="00A94538">
        <w:rPr>
          <w:szCs w:val="26"/>
        </w:rPr>
        <w:t>como mecanismo de garantía de cobro de sus deudas</w:t>
      </w:r>
      <w:r w:rsidR="0043739C">
        <w:rPr>
          <w:szCs w:val="26"/>
        </w:rPr>
        <w:t>.</w:t>
      </w:r>
      <w:r w:rsidR="00746845">
        <w:rPr>
          <w:szCs w:val="26"/>
        </w:rPr>
        <w:t xml:space="preserve"> </w:t>
      </w:r>
    </w:p>
    <w:p w:rsidR="00F93691" w:rsidRPr="00F84FEC" w:rsidRDefault="002E07F2" w:rsidP="00746845">
      <w:pPr>
        <w:pStyle w:val="texto"/>
        <w:tabs>
          <w:tab w:val="clear" w:pos="2835"/>
          <w:tab w:val="clear" w:pos="3969"/>
          <w:tab w:val="clear" w:pos="5103"/>
          <w:tab w:val="clear" w:pos="6237"/>
          <w:tab w:val="clear" w:pos="7371"/>
        </w:tabs>
        <w:rPr>
          <w:szCs w:val="26"/>
        </w:rPr>
      </w:pPr>
      <w:r w:rsidRPr="00F84FEC">
        <w:rPr>
          <w:szCs w:val="26"/>
        </w:rPr>
        <w:t xml:space="preserve">Sobre estos aplazamientos/fraccionamientos concedidos al </w:t>
      </w:r>
      <w:r w:rsidR="0044756D">
        <w:rPr>
          <w:szCs w:val="26"/>
        </w:rPr>
        <w:t>c</w:t>
      </w:r>
      <w:r w:rsidRPr="00F84FEC">
        <w:rPr>
          <w:szCs w:val="26"/>
        </w:rPr>
        <w:t>lub también señalamos que</w:t>
      </w:r>
      <w:r w:rsidR="00C91BD7" w:rsidRPr="00F84FEC">
        <w:rPr>
          <w:szCs w:val="26"/>
        </w:rPr>
        <w:t>, en términos generales,</w:t>
      </w:r>
      <w:r w:rsidRPr="00F84FEC">
        <w:rPr>
          <w:szCs w:val="26"/>
        </w:rPr>
        <w:t xml:space="preserve"> es el contribuyente que presenta un mayor volumen de aplazamientos tanto en número como en importe y en</w:t>
      </w:r>
      <w:r w:rsidR="00D43335" w:rsidRPr="00F84FEC">
        <w:rPr>
          <w:szCs w:val="26"/>
        </w:rPr>
        <w:t xml:space="preserve"> los</w:t>
      </w:r>
      <w:r w:rsidRPr="00F84FEC">
        <w:rPr>
          <w:szCs w:val="26"/>
        </w:rPr>
        <w:t xml:space="preserve"> plazos temporales</w:t>
      </w:r>
      <w:r w:rsidR="00CC3A7F" w:rsidRPr="00F84FEC">
        <w:rPr>
          <w:szCs w:val="26"/>
        </w:rPr>
        <w:t xml:space="preserve"> concedidos</w:t>
      </w:r>
      <w:r w:rsidRPr="00F84FEC">
        <w:rPr>
          <w:szCs w:val="26"/>
        </w:rPr>
        <w:t>.</w:t>
      </w:r>
      <w:r w:rsidR="00746845" w:rsidRPr="00F84FEC">
        <w:rPr>
          <w:szCs w:val="26"/>
        </w:rPr>
        <w:t xml:space="preserve"> </w:t>
      </w:r>
    </w:p>
    <w:p w:rsidR="00825208" w:rsidRDefault="00825208" w:rsidP="00825208">
      <w:pPr>
        <w:pStyle w:val="texto"/>
        <w:tabs>
          <w:tab w:val="clear" w:pos="2835"/>
          <w:tab w:val="clear" w:pos="3969"/>
          <w:tab w:val="clear" w:pos="5103"/>
          <w:tab w:val="clear" w:pos="6237"/>
          <w:tab w:val="clear" w:pos="7371"/>
        </w:tabs>
        <w:rPr>
          <w:szCs w:val="26"/>
        </w:rPr>
      </w:pPr>
      <w:r w:rsidRPr="00B27B78">
        <w:rPr>
          <w:szCs w:val="26"/>
        </w:rPr>
        <w:t>Igualmente se ha observado que</w:t>
      </w:r>
      <w:r w:rsidR="00FB5B24" w:rsidRPr="00B27B78">
        <w:rPr>
          <w:szCs w:val="26"/>
        </w:rPr>
        <w:t xml:space="preserve"> el</w:t>
      </w:r>
      <w:r w:rsidRPr="00B27B78">
        <w:rPr>
          <w:szCs w:val="26"/>
        </w:rPr>
        <w:t xml:space="preserve"> principal</w:t>
      </w:r>
      <w:r w:rsidR="00FB5B24" w:rsidRPr="00B27B78">
        <w:rPr>
          <w:szCs w:val="26"/>
        </w:rPr>
        <w:t xml:space="preserve"> de la deuda tributaria ha sido incrementado por</w:t>
      </w:r>
      <w:r w:rsidRPr="00B27B78">
        <w:rPr>
          <w:szCs w:val="26"/>
        </w:rPr>
        <w:t xml:space="preserve"> los intereses y recargos que señala la legislación aplicable. </w:t>
      </w:r>
      <w:r w:rsidR="0023437C">
        <w:rPr>
          <w:szCs w:val="26"/>
        </w:rPr>
        <w:t>Asimismo</w:t>
      </w:r>
      <w:r>
        <w:rPr>
          <w:szCs w:val="26"/>
        </w:rPr>
        <w:t xml:space="preserve"> constan actuaciones inspectoras sobre el </w:t>
      </w:r>
      <w:r w:rsidR="0044756D">
        <w:rPr>
          <w:szCs w:val="26"/>
        </w:rPr>
        <w:t>c</w:t>
      </w:r>
      <w:r>
        <w:rPr>
          <w:szCs w:val="26"/>
        </w:rPr>
        <w:t xml:space="preserve">lub y </w:t>
      </w:r>
      <w:r w:rsidR="00B27B78">
        <w:rPr>
          <w:szCs w:val="26"/>
        </w:rPr>
        <w:t>continuos</w:t>
      </w:r>
      <w:r>
        <w:rPr>
          <w:szCs w:val="26"/>
        </w:rPr>
        <w:t xml:space="preserve"> requerimientos oficiales para que presente las correspondientes declaraciones.</w:t>
      </w:r>
    </w:p>
    <w:p w:rsidR="0043739C" w:rsidRPr="00654F59" w:rsidRDefault="007F7320" w:rsidP="00587BCE">
      <w:pPr>
        <w:pStyle w:val="texto"/>
        <w:tabs>
          <w:tab w:val="clear" w:pos="2835"/>
          <w:tab w:val="clear" w:pos="3969"/>
          <w:tab w:val="clear" w:pos="5103"/>
          <w:tab w:val="clear" w:pos="6237"/>
          <w:tab w:val="clear" w:pos="7371"/>
        </w:tabs>
        <w:rPr>
          <w:szCs w:val="26"/>
        </w:rPr>
      </w:pPr>
      <w:r w:rsidRPr="00654F59">
        <w:rPr>
          <w:szCs w:val="26"/>
        </w:rPr>
        <w:t>Sobre la L</w:t>
      </w:r>
      <w:r w:rsidR="0043739C" w:rsidRPr="00654F59">
        <w:rPr>
          <w:szCs w:val="26"/>
        </w:rPr>
        <w:t>ey Foral</w:t>
      </w:r>
      <w:r w:rsidR="0066041B" w:rsidRPr="00654F59">
        <w:rPr>
          <w:szCs w:val="26"/>
        </w:rPr>
        <w:t xml:space="preserve"> 26/</w:t>
      </w:r>
      <w:r w:rsidR="0043739C" w:rsidRPr="00654F59">
        <w:rPr>
          <w:szCs w:val="26"/>
        </w:rPr>
        <w:t>2014</w:t>
      </w:r>
      <w:r w:rsidRPr="00654F59">
        <w:rPr>
          <w:szCs w:val="26"/>
        </w:rPr>
        <w:t xml:space="preserve">, </w:t>
      </w:r>
      <w:r w:rsidR="00587BCE" w:rsidRPr="00654F59">
        <w:rPr>
          <w:szCs w:val="26"/>
        </w:rPr>
        <w:t xml:space="preserve">tanto el Gobierno de Navarra como la HTN han cumplido con </w:t>
      </w:r>
      <w:r w:rsidR="00B27B78" w:rsidRPr="00654F59">
        <w:rPr>
          <w:szCs w:val="26"/>
        </w:rPr>
        <w:t>sus estipulaciones</w:t>
      </w:r>
      <w:r w:rsidR="00587BCE" w:rsidRPr="00654F59">
        <w:rPr>
          <w:szCs w:val="26"/>
        </w:rPr>
        <w:t xml:space="preserve"> respecto a la deuda tributaria del </w:t>
      </w:r>
      <w:r w:rsidR="0044756D" w:rsidRPr="00654F59">
        <w:rPr>
          <w:szCs w:val="26"/>
        </w:rPr>
        <w:t>c</w:t>
      </w:r>
      <w:r w:rsidR="00587BCE" w:rsidRPr="00654F59">
        <w:rPr>
          <w:szCs w:val="26"/>
        </w:rPr>
        <w:t xml:space="preserve">lub y su cancelación. Ahora bien, </w:t>
      </w:r>
      <w:r w:rsidRPr="00654F59">
        <w:rPr>
          <w:szCs w:val="26"/>
        </w:rPr>
        <w:t xml:space="preserve">nuestra opinión </w:t>
      </w:r>
      <w:r w:rsidR="00587BCE" w:rsidRPr="00654F59">
        <w:rPr>
          <w:szCs w:val="26"/>
        </w:rPr>
        <w:t xml:space="preserve">sobre tal Ley Foral </w:t>
      </w:r>
      <w:r w:rsidRPr="00654F59">
        <w:rPr>
          <w:szCs w:val="26"/>
        </w:rPr>
        <w:t>es</w:t>
      </w:r>
      <w:r w:rsidR="00874E5B" w:rsidRPr="00654F59">
        <w:rPr>
          <w:szCs w:val="26"/>
        </w:rPr>
        <w:t xml:space="preserve"> crítica en tanto que</w:t>
      </w:r>
      <w:r w:rsidR="0043739C" w:rsidRPr="00654F59">
        <w:rPr>
          <w:szCs w:val="26"/>
        </w:rPr>
        <w:t>:</w:t>
      </w:r>
    </w:p>
    <w:p w:rsidR="00874E5B" w:rsidRDefault="00874E5B" w:rsidP="00FB5B24">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t>Intenta resolver la situación particular de un contribuyente mediante unos procedimientos específicos, generando</w:t>
      </w:r>
      <w:r w:rsidR="00642434">
        <w:t>,</w:t>
      </w:r>
      <w:r>
        <w:t xml:space="preserve"> al menos</w:t>
      </w:r>
      <w:r w:rsidR="00642434">
        <w:t>, una</w:t>
      </w:r>
      <w:r>
        <w:t xml:space="preserve"> imagen de situación privilegiada</w:t>
      </w:r>
      <w:r w:rsidR="00E404B2">
        <w:t xml:space="preserve"> del c</w:t>
      </w:r>
      <w:r w:rsidR="00C53092">
        <w:t>lub</w:t>
      </w:r>
      <w:r>
        <w:t xml:space="preserve"> frente al resto de contribuyentes. Conviene precisar, sin embargo, que en la cuantificación de la deuda tributaria del </w:t>
      </w:r>
      <w:r w:rsidR="0044756D">
        <w:t>c</w:t>
      </w:r>
      <w:r>
        <w:t>lub no se han aplicado medidas de ajuste o reducción alguna sobre su importe</w:t>
      </w:r>
      <w:r w:rsidR="00CC3A7F">
        <w:t xml:space="preserve"> devengado</w:t>
      </w:r>
      <w:r>
        <w:t xml:space="preserve">. </w:t>
      </w:r>
    </w:p>
    <w:p w:rsidR="0028799C" w:rsidRPr="00001A4D" w:rsidRDefault="0028799C" w:rsidP="0066041B">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rsidRPr="00001A4D">
        <w:t xml:space="preserve">Regula que la tasación de los bienes entregados por el club sea realizada por una firma </w:t>
      </w:r>
      <w:r w:rsidR="00001A4D">
        <w:t>designada de común acuerdo entre</w:t>
      </w:r>
      <w:r w:rsidRPr="00001A4D">
        <w:t xml:space="preserve"> el citado club y el Gobierno de Navarra, sin que se co</w:t>
      </w:r>
      <w:r w:rsidR="00DF05C7">
        <w:t>ntemple</w:t>
      </w:r>
      <w:r w:rsidRPr="00001A4D">
        <w:t xml:space="preserve"> en este pro</w:t>
      </w:r>
      <w:r w:rsidR="00001A4D" w:rsidRPr="00001A4D">
        <w:t>ce</w:t>
      </w:r>
      <w:r w:rsidR="00001A4D">
        <w:t>so</w:t>
      </w:r>
      <w:r w:rsidR="00001A4D" w:rsidRPr="00001A4D">
        <w:t xml:space="preserve"> la participación de</w:t>
      </w:r>
      <w:r w:rsidRPr="00001A4D">
        <w:t xml:space="preserve"> la HTN.</w:t>
      </w:r>
    </w:p>
    <w:p w:rsidR="0043739C" w:rsidRDefault="004F753A" w:rsidP="0066041B">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t xml:space="preserve">Se </w:t>
      </w:r>
      <w:r w:rsidR="00812D58">
        <w:t xml:space="preserve">ha </w:t>
      </w:r>
      <w:r w:rsidR="00CD2194">
        <w:t>observa</w:t>
      </w:r>
      <w:r w:rsidR="00812D58">
        <w:t>do</w:t>
      </w:r>
      <w:r>
        <w:t xml:space="preserve"> un solar</w:t>
      </w:r>
      <w:r w:rsidR="0043739C" w:rsidRPr="002A4CCE">
        <w:rPr>
          <w:color w:val="FF0000"/>
        </w:rPr>
        <w:t xml:space="preserve"> </w:t>
      </w:r>
      <w:r w:rsidR="0043739C" w:rsidRPr="0066041B">
        <w:t xml:space="preserve">del </w:t>
      </w:r>
      <w:r w:rsidR="0044756D">
        <w:t>c</w:t>
      </w:r>
      <w:r w:rsidR="0043739C" w:rsidRPr="0066041B">
        <w:t xml:space="preserve">lub que no se incluye </w:t>
      </w:r>
      <w:r w:rsidR="00CD2194">
        <w:t>en</w:t>
      </w:r>
      <w:r w:rsidR="00812D58">
        <w:t xml:space="preserve"> la relación de bienes a entregar que determina la</w:t>
      </w:r>
      <w:r w:rsidR="00CD2194">
        <w:t xml:space="preserve"> Ley Foral,</w:t>
      </w:r>
      <w:r w:rsidR="00171A39">
        <w:t xml:space="preserve"> desconociéndose</w:t>
      </w:r>
      <w:r w:rsidR="00FB5B24">
        <w:t xml:space="preserve"> la justificación de tal exclusión</w:t>
      </w:r>
      <w:r w:rsidR="00EA4106">
        <w:t xml:space="preserve">; </w:t>
      </w:r>
      <w:r w:rsidR="003924FE">
        <w:t>exclusión que sorprende cuando</w:t>
      </w:r>
      <w:r w:rsidR="00EA4106">
        <w:t xml:space="preserve"> el vigente ordenamiento urbanístico le asigna aprovechamientos lucrativos relevantes</w:t>
      </w:r>
      <w:r w:rsidR="0043739C" w:rsidRPr="0066041B">
        <w:t xml:space="preserve">. </w:t>
      </w:r>
      <w:r>
        <w:t>P</w:t>
      </w:r>
      <w:r w:rsidR="0043739C" w:rsidRPr="0066041B">
        <w:t>osterior</w:t>
      </w:r>
      <w:r w:rsidR="007771BF">
        <w:t>mente</w:t>
      </w:r>
      <w:r w:rsidR="00587BCE">
        <w:t xml:space="preserve">, </w:t>
      </w:r>
      <w:r>
        <w:t>y</w:t>
      </w:r>
      <w:r w:rsidR="0043739C" w:rsidRPr="0066041B">
        <w:t xml:space="preserve"> a iniciativa del </w:t>
      </w:r>
      <w:r w:rsidR="0044756D">
        <w:t>c</w:t>
      </w:r>
      <w:r w:rsidR="0043739C" w:rsidRPr="0066041B">
        <w:t>lub, se hipoteca</w:t>
      </w:r>
      <w:r>
        <w:t xml:space="preserve"> el mismo</w:t>
      </w:r>
      <w:r w:rsidR="0043739C" w:rsidRPr="0066041B">
        <w:t xml:space="preserve"> a favor del Gobierno para </w:t>
      </w:r>
      <w:r w:rsidR="0066041B" w:rsidRPr="0066041B">
        <w:t>garantizar la concesión del aval de cuatro millones.</w:t>
      </w:r>
    </w:p>
    <w:p w:rsidR="004E6C30" w:rsidRPr="00213494" w:rsidRDefault="0066041B" w:rsidP="0066041B">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rsidRPr="00213494">
        <w:t xml:space="preserve">El saldo de avales vivos concedidos al </w:t>
      </w:r>
      <w:r w:rsidR="0044756D" w:rsidRPr="00213494">
        <w:t>c</w:t>
      </w:r>
      <w:r w:rsidRPr="00213494">
        <w:t>lub –por 11,21 millones</w:t>
      </w:r>
      <w:r w:rsidR="009A04F1" w:rsidRPr="00213494">
        <w:t>–</w:t>
      </w:r>
      <w:r w:rsidRPr="00213494">
        <w:t xml:space="preserve"> estaría </w:t>
      </w:r>
      <w:r w:rsidR="004E6C30" w:rsidRPr="00213494">
        <w:t>garantizado con una hipoteca sobre una finca valorada en cuatro millones, con parte de los bienes entregados en dación de pago correspondientes al saldo vivo del primer aval y con los bienes futuros que pudiera obtener el club.</w:t>
      </w:r>
    </w:p>
    <w:p w:rsidR="0066041B" w:rsidRDefault="004E6C30" w:rsidP="0066041B">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t xml:space="preserve"> </w:t>
      </w:r>
      <w:r w:rsidR="0066041B">
        <w:t xml:space="preserve">Ante la situación financiera del </w:t>
      </w:r>
      <w:r w:rsidR="0044756D">
        <w:t>c</w:t>
      </w:r>
      <w:r w:rsidR="0066041B">
        <w:t xml:space="preserve">lub, </w:t>
      </w:r>
      <w:r w:rsidR="00213494">
        <w:t xml:space="preserve">el saldo de </w:t>
      </w:r>
      <w:r w:rsidR="0066041B">
        <w:t xml:space="preserve">los avales anteriores podrían influir </w:t>
      </w:r>
      <w:r w:rsidR="0076088A">
        <w:t>negativamente sobre</w:t>
      </w:r>
      <w:r w:rsidR="0066041B">
        <w:t xml:space="preserve"> los objetivos de estabilidad presupuestaria y sostenibilidad financiera a los que está obligado el Gobierno de Navarra.</w:t>
      </w:r>
    </w:p>
    <w:p w:rsidR="00BF1DF2" w:rsidRPr="00482523" w:rsidRDefault="0066041B" w:rsidP="00BF1DF2">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rFonts w:ascii="Times New (W1)" w:hAnsi="Times New (W1)"/>
          <w:spacing w:val="4"/>
        </w:rPr>
      </w:pPr>
      <w:r w:rsidRPr="00482523">
        <w:t xml:space="preserve">El aplazamiento a 30 años no está debidamente garantizado puesto que </w:t>
      </w:r>
      <w:r w:rsidR="0076088A" w:rsidRPr="00482523">
        <w:t xml:space="preserve">en </w:t>
      </w:r>
      <w:r w:rsidRPr="00482523">
        <w:t xml:space="preserve">el </w:t>
      </w:r>
      <w:r w:rsidR="0076088A" w:rsidRPr="00482523">
        <w:t>supuesto</w:t>
      </w:r>
      <w:r w:rsidRPr="00482523">
        <w:t xml:space="preserve"> de importes aplazados por hipotecas</w:t>
      </w:r>
      <w:r w:rsidR="004E30F9" w:rsidRPr="00482523">
        <w:t xml:space="preserve">, el Gobierno es avalista ante las entidades financieras </w:t>
      </w:r>
      <w:r w:rsidR="0076088A" w:rsidRPr="00482523">
        <w:t>de unos</w:t>
      </w:r>
      <w:r w:rsidR="00BF1DF2" w:rsidRPr="00482523">
        <w:t xml:space="preserve"> préstamos hipotecarios </w:t>
      </w:r>
      <w:r w:rsidR="007D780F" w:rsidRPr="00482523">
        <w:t>garantizados</w:t>
      </w:r>
      <w:r w:rsidR="00BF1DF2" w:rsidRPr="00482523">
        <w:t xml:space="preserve"> con </w:t>
      </w:r>
      <w:r w:rsidR="004E30F9" w:rsidRPr="00482523">
        <w:t>unos bienes que ya son de su propiedad</w:t>
      </w:r>
      <w:r w:rsidR="005E5F69" w:rsidRPr="00482523">
        <w:t xml:space="preserve">; </w:t>
      </w:r>
      <w:r w:rsidR="004E30F9" w:rsidRPr="00482523">
        <w:t>el res</w:t>
      </w:r>
      <w:r w:rsidR="005E5F69" w:rsidRPr="00482523">
        <w:t>to aplazado, se garantiza</w:t>
      </w:r>
      <w:r w:rsidR="004E30F9" w:rsidRPr="00482523">
        <w:t xml:space="preserve"> mediante unos </w:t>
      </w:r>
      <w:r w:rsidR="004E30F9" w:rsidRPr="00482523">
        <w:rPr>
          <w:rFonts w:ascii="Times New (W1)" w:hAnsi="Times New (W1)"/>
          <w:spacing w:val="4"/>
        </w:rPr>
        <w:t>porcentajes a recibir de unos ingresos afectados que, cuando menos, son de difícil estimación o incluso</w:t>
      </w:r>
      <w:r w:rsidR="00256947" w:rsidRPr="00482523">
        <w:rPr>
          <w:rFonts w:ascii="Times New (W1)" w:hAnsi="Times New (W1)"/>
          <w:spacing w:val="4"/>
        </w:rPr>
        <w:t>, en algún caso, de</w:t>
      </w:r>
      <w:r w:rsidR="004E30F9" w:rsidRPr="00482523">
        <w:rPr>
          <w:rFonts w:ascii="Times New (W1)" w:hAnsi="Times New (W1)"/>
          <w:spacing w:val="4"/>
        </w:rPr>
        <w:t xml:space="preserve"> materialización efectiva.</w:t>
      </w:r>
    </w:p>
    <w:p w:rsidR="0066041B" w:rsidRDefault="0066041B" w:rsidP="0066041B">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t xml:space="preserve">No incluye entre sus previsiones </w:t>
      </w:r>
      <w:r w:rsidR="00CB7ECA">
        <w:t xml:space="preserve">las actuaciones a realizar en </w:t>
      </w:r>
      <w:r>
        <w:t xml:space="preserve">el supuesto de incumplimiento por el </w:t>
      </w:r>
      <w:r w:rsidR="0044756D">
        <w:t>c</w:t>
      </w:r>
      <w:r>
        <w:t>lub de alguno de los requisitos que establece la propia Ley Foral o</w:t>
      </w:r>
      <w:r w:rsidR="005E5F69">
        <w:t xml:space="preserve"> la situación que </w:t>
      </w:r>
      <w:r w:rsidR="00B748E3">
        <w:t>pudiera generar</w:t>
      </w:r>
      <w:r>
        <w:t xml:space="preserve"> un no deseable descenso de categoría de la Liga de Fútbol Profesional. </w:t>
      </w:r>
    </w:p>
    <w:p w:rsidR="001B06A2" w:rsidRDefault="00BF1DF2" w:rsidP="00587BCE">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rsidRPr="005C0423">
        <w:t>Del conjunto de actuaciones analizadas podr</w:t>
      </w:r>
      <w:r w:rsidR="005E5F69" w:rsidRPr="005C0423">
        <w:t>ían</w:t>
      </w:r>
      <w:r w:rsidRPr="005C0423">
        <w:t xml:space="preserve"> derivarse contingencias económicas al propio Gobierno de Navarra en caso de incumplimiento por el </w:t>
      </w:r>
      <w:r w:rsidR="0044756D" w:rsidRPr="005C0423">
        <w:t>c</w:t>
      </w:r>
      <w:r w:rsidRPr="005C0423">
        <w:t>lub de sus obligaciones</w:t>
      </w:r>
      <w:r w:rsidR="00256947" w:rsidRPr="005C0423">
        <w:t xml:space="preserve"> frente a terceros</w:t>
      </w:r>
      <w:r w:rsidRPr="005C0423">
        <w:t xml:space="preserve">. </w:t>
      </w:r>
    </w:p>
    <w:p w:rsidR="00CD2194" w:rsidRDefault="00CD2194" w:rsidP="005C0423">
      <w:pPr>
        <w:pStyle w:val="texto"/>
        <w:tabs>
          <w:tab w:val="clear" w:pos="2835"/>
          <w:tab w:val="clear" w:pos="3969"/>
          <w:tab w:val="clear" w:pos="5103"/>
          <w:tab w:val="clear" w:pos="6237"/>
          <w:tab w:val="clear" w:pos="7371"/>
          <w:tab w:val="left" w:pos="480"/>
          <w:tab w:val="num" w:pos="1948"/>
          <w:tab w:val="num" w:pos="6597"/>
        </w:tabs>
        <w:ind w:firstLine="0"/>
      </w:pPr>
    </w:p>
    <w:p w:rsidR="00AC782A" w:rsidRDefault="00AC782A" w:rsidP="005C0423">
      <w:pPr>
        <w:pStyle w:val="texto"/>
        <w:tabs>
          <w:tab w:val="clear" w:pos="2835"/>
          <w:tab w:val="clear" w:pos="3969"/>
          <w:tab w:val="clear" w:pos="5103"/>
          <w:tab w:val="clear" w:pos="6237"/>
          <w:tab w:val="clear" w:pos="7371"/>
          <w:tab w:val="left" w:pos="480"/>
          <w:tab w:val="num" w:pos="1948"/>
          <w:tab w:val="num" w:pos="6597"/>
        </w:tabs>
        <w:ind w:firstLine="0"/>
      </w:pPr>
    </w:p>
    <w:p w:rsidR="00AC782A" w:rsidRDefault="00AC782A" w:rsidP="005C0423">
      <w:pPr>
        <w:pStyle w:val="texto"/>
        <w:tabs>
          <w:tab w:val="clear" w:pos="2835"/>
          <w:tab w:val="clear" w:pos="3969"/>
          <w:tab w:val="clear" w:pos="5103"/>
          <w:tab w:val="clear" w:pos="6237"/>
          <w:tab w:val="clear" w:pos="7371"/>
          <w:tab w:val="left" w:pos="480"/>
          <w:tab w:val="num" w:pos="1948"/>
          <w:tab w:val="num" w:pos="6597"/>
        </w:tabs>
        <w:ind w:firstLine="0"/>
      </w:pPr>
    </w:p>
    <w:p w:rsidR="00BF3097" w:rsidRPr="00BF3097" w:rsidRDefault="00BF3097" w:rsidP="00BF3097">
      <w:pPr>
        <w:pStyle w:val="texto"/>
        <w:tabs>
          <w:tab w:val="clear" w:pos="2835"/>
          <w:tab w:val="clear" w:pos="3969"/>
          <w:tab w:val="clear" w:pos="5103"/>
          <w:tab w:val="clear" w:pos="6237"/>
          <w:tab w:val="clear" w:pos="7371"/>
        </w:tabs>
        <w:rPr>
          <w:szCs w:val="26"/>
        </w:rPr>
      </w:pPr>
      <w:r w:rsidRPr="00BF3097">
        <w:rPr>
          <w:szCs w:val="26"/>
        </w:rPr>
        <w:t xml:space="preserve">En resumen y a </w:t>
      </w:r>
      <w:r w:rsidRPr="00C059BE">
        <w:rPr>
          <w:b/>
          <w:szCs w:val="26"/>
        </w:rPr>
        <w:t>modo de conclusión final</w:t>
      </w:r>
      <w:r w:rsidRPr="00BF3097">
        <w:rPr>
          <w:szCs w:val="26"/>
        </w:rPr>
        <w:t>, señalamos:</w:t>
      </w:r>
    </w:p>
    <w:p w:rsidR="00BF3097" w:rsidRDefault="00BF3097" w:rsidP="00BF3097">
      <w:pPr>
        <w:pStyle w:val="texto"/>
        <w:tabs>
          <w:tab w:val="clear" w:pos="2835"/>
          <w:tab w:val="clear" w:pos="3969"/>
          <w:tab w:val="clear" w:pos="5103"/>
          <w:tab w:val="clear" w:pos="6237"/>
          <w:tab w:val="clear" w:pos="7371"/>
        </w:tabs>
        <w:rPr>
          <w:szCs w:val="26"/>
        </w:rPr>
      </w:pPr>
      <w:r w:rsidRPr="00BF3097">
        <w:rPr>
          <w:szCs w:val="26"/>
        </w:rPr>
        <w:t xml:space="preserve">1º. Entre 2005 y 2014, la deuda tributaria del </w:t>
      </w:r>
      <w:r w:rsidR="0044756D">
        <w:rPr>
          <w:szCs w:val="26"/>
        </w:rPr>
        <w:t>c</w:t>
      </w:r>
      <w:r>
        <w:rPr>
          <w:szCs w:val="26"/>
        </w:rPr>
        <w:t>lub con la Hacienda Foral ha i</w:t>
      </w:r>
      <w:r w:rsidRPr="00BF3097">
        <w:rPr>
          <w:szCs w:val="26"/>
        </w:rPr>
        <w:t>do creciendo de forma progresiva y continua</w:t>
      </w:r>
      <w:r w:rsidR="00534727">
        <w:rPr>
          <w:szCs w:val="26"/>
        </w:rPr>
        <w:t>. No obstante,</w:t>
      </w:r>
      <w:r w:rsidRPr="00BF3097">
        <w:rPr>
          <w:szCs w:val="26"/>
        </w:rPr>
        <w:t xml:space="preserve"> en los últimos años</w:t>
      </w:r>
      <w:r w:rsidR="00534727">
        <w:rPr>
          <w:szCs w:val="26"/>
        </w:rPr>
        <w:t xml:space="preserve"> y</w:t>
      </w:r>
      <w:r w:rsidRPr="00BF3097">
        <w:rPr>
          <w:szCs w:val="26"/>
        </w:rPr>
        <w:t xml:space="preserve"> especialmente en el ejercicio de 2013</w:t>
      </w:r>
      <w:r w:rsidR="00534727">
        <w:rPr>
          <w:szCs w:val="26"/>
        </w:rPr>
        <w:t xml:space="preserve">, </w:t>
      </w:r>
      <w:r w:rsidR="0044756D">
        <w:rPr>
          <w:szCs w:val="26"/>
        </w:rPr>
        <w:t xml:space="preserve">el club </w:t>
      </w:r>
      <w:r w:rsidR="00293383">
        <w:rPr>
          <w:szCs w:val="26"/>
        </w:rPr>
        <w:t>realizó</w:t>
      </w:r>
      <w:r w:rsidR="00534727">
        <w:rPr>
          <w:szCs w:val="26"/>
        </w:rPr>
        <w:t xml:space="preserve"> un esfuerzo importante para el pago</w:t>
      </w:r>
      <w:r w:rsidR="009B090A">
        <w:rPr>
          <w:szCs w:val="26"/>
        </w:rPr>
        <w:t xml:space="preserve"> parcial</w:t>
      </w:r>
      <w:r w:rsidR="00534727">
        <w:rPr>
          <w:szCs w:val="26"/>
        </w:rPr>
        <w:t xml:space="preserve"> de la misma</w:t>
      </w:r>
      <w:r w:rsidRPr="00BF3097">
        <w:rPr>
          <w:szCs w:val="26"/>
        </w:rPr>
        <w:t>.</w:t>
      </w:r>
    </w:p>
    <w:p w:rsidR="00BF3097" w:rsidRDefault="00BF3097" w:rsidP="00293383">
      <w:pPr>
        <w:pStyle w:val="texto"/>
        <w:tabs>
          <w:tab w:val="clear" w:pos="2835"/>
          <w:tab w:val="clear" w:pos="3969"/>
          <w:tab w:val="clear" w:pos="5103"/>
          <w:tab w:val="clear" w:pos="6237"/>
          <w:tab w:val="clear" w:pos="7371"/>
        </w:tabs>
        <w:rPr>
          <w:szCs w:val="26"/>
        </w:rPr>
      </w:pPr>
      <w:r>
        <w:rPr>
          <w:szCs w:val="26"/>
        </w:rPr>
        <w:t>2º. La HTN ha aplicado</w:t>
      </w:r>
      <w:r w:rsidR="00534727">
        <w:rPr>
          <w:szCs w:val="26"/>
        </w:rPr>
        <w:t xml:space="preserve">, sobre </w:t>
      </w:r>
      <w:r>
        <w:rPr>
          <w:szCs w:val="26"/>
        </w:rPr>
        <w:t>dicha deuda</w:t>
      </w:r>
      <w:r w:rsidR="00534727">
        <w:rPr>
          <w:szCs w:val="26"/>
        </w:rPr>
        <w:t>,</w:t>
      </w:r>
      <w:r>
        <w:rPr>
          <w:szCs w:val="26"/>
        </w:rPr>
        <w:t xml:space="preserve"> los recargos e intereses que señala la normativa tributaria.</w:t>
      </w:r>
      <w:r w:rsidR="00293383" w:rsidRPr="00293383">
        <w:rPr>
          <w:szCs w:val="26"/>
        </w:rPr>
        <w:t xml:space="preserve"> </w:t>
      </w:r>
      <w:r w:rsidR="00293383">
        <w:rPr>
          <w:szCs w:val="26"/>
        </w:rPr>
        <w:t>Además</w:t>
      </w:r>
      <w:r w:rsidR="0044756D">
        <w:rPr>
          <w:szCs w:val="26"/>
        </w:rPr>
        <w:t>,</w:t>
      </w:r>
      <w:r w:rsidR="00293383">
        <w:rPr>
          <w:szCs w:val="26"/>
        </w:rPr>
        <w:t xml:space="preserve"> constan acciones</w:t>
      </w:r>
      <w:r w:rsidR="00293383" w:rsidRPr="00293383">
        <w:rPr>
          <w:szCs w:val="26"/>
        </w:rPr>
        <w:t xml:space="preserve"> </w:t>
      </w:r>
      <w:r w:rsidR="00293383">
        <w:rPr>
          <w:szCs w:val="26"/>
        </w:rPr>
        <w:t>de la HTN tales como continuos</w:t>
      </w:r>
      <w:r w:rsidR="00672AEC">
        <w:rPr>
          <w:szCs w:val="26"/>
        </w:rPr>
        <w:t xml:space="preserve"> </w:t>
      </w:r>
      <w:r w:rsidR="00293383">
        <w:rPr>
          <w:szCs w:val="26"/>
        </w:rPr>
        <w:t>requerimientos oficiales, inspecciones tributarias y otras actuaciones.</w:t>
      </w:r>
      <w:r w:rsidR="00672AEC">
        <w:rPr>
          <w:szCs w:val="26"/>
        </w:rPr>
        <w:t xml:space="preserve"> Asimismo, la práctica totalidad de los bienes recibidos en dación en pago ya estaban soportando cargas a favor de la Administración de la Comunidad Foral.</w:t>
      </w:r>
    </w:p>
    <w:p w:rsidR="00534727" w:rsidRDefault="00534727" w:rsidP="00BF3097">
      <w:pPr>
        <w:pStyle w:val="texto"/>
        <w:tabs>
          <w:tab w:val="clear" w:pos="2835"/>
          <w:tab w:val="clear" w:pos="3969"/>
          <w:tab w:val="clear" w:pos="5103"/>
          <w:tab w:val="clear" w:pos="6237"/>
          <w:tab w:val="clear" w:pos="7371"/>
        </w:tabs>
        <w:rPr>
          <w:szCs w:val="26"/>
        </w:rPr>
      </w:pPr>
      <w:r>
        <w:rPr>
          <w:szCs w:val="26"/>
        </w:rPr>
        <w:t xml:space="preserve">3º. En el periodo analizado se le han concedido </w:t>
      </w:r>
      <w:r w:rsidR="00293383">
        <w:rPr>
          <w:szCs w:val="26"/>
        </w:rPr>
        <w:t xml:space="preserve">al </w:t>
      </w:r>
      <w:r w:rsidR="0044756D">
        <w:rPr>
          <w:szCs w:val="26"/>
        </w:rPr>
        <w:t>c</w:t>
      </w:r>
      <w:r w:rsidR="00293383">
        <w:rPr>
          <w:szCs w:val="26"/>
        </w:rPr>
        <w:t>lub aplazamientos</w:t>
      </w:r>
      <w:r>
        <w:rPr>
          <w:szCs w:val="26"/>
        </w:rPr>
        <w:t xml:space="preserve"> de su deuda</w:t>
      </w:r>
      <w:r w:rsidR="00293383">
        <w:rPr>
          <w:szCs w:val="26"/>
        </w:rPr>
        <w:t xml:space="preserve"> realizados dentro del marco legal, amparándose, prácticamente en su totalidad, en el principio de excepcionalidad y bajo la premisa de que, para una mejor defensa de los recursos públicos, era mejor la solución de aplazar la deuda que la de no cobrar o ejecutar las cargas.</w:t>
      </w:r>
      <w:r>
        <w:rPr>
          <w:szCs w:val="26"/>
        </w:rPr>
        <w:t xml:space="preserve"> </w:t>
      </w:r>
    </w:p>
    <w:p w:rsidR="00534727" w:rsidRDefault="00534727" w:rsidP="00BF3097">
      <w:pPr>
        <w:pStyle w:val="texto"/>
        <w:tabs>
          <w:tab w:val="clear" w:pos="2835"/>
          <w:tab w:val="clear" w:pos="3969"/>
          <w:tab w:val="clear" w:pos="5103"/>
          <w:tab w:val="clear" w:pos="6237"/>
          <w:tab w:val="clear" w:pos="7371"/>
        </w:tabs>
        <w:rPr>
          <w:szCs w:val="26"/>
        </w:rPr>
      </w:pPr>
      <w:r>
        <w:rPr>
          <w:szCs w:val="26"/>
        </w:rPr>
        <w:t>4</w:t>
      </w:r>
      <w:r w:rsidR="00BF3097">
        <w:rPr>
          <w:szCs w:val="26"/>
        </w:rPr>
        <w:t>º. La HTN, de acuerdo con el sumario instruido por el juez del “caso Osasuna” no ha incurrido en la comisión de delito de cohecho o prevaricación en las actuaciones in</w:t>
      </w:r>
      <w:r>
        <w:rPr>
          <w:szCs w:val="26"/>
        </w:rPr>
        <w:t>s</w:t>
      </w:r>
      <w:r w:rsidR="00BF3097">
        <w:rPr>
          <w:szCs w:val="26"/>
        </w:rPr>
        <w:t>pectoras real</w:t>
      </w:r>
      <w:r>
        <w:rPr>
          <w:szCs w:val="26"/>
        </w:rPr>
        <w:t>izadas</w:t>
      </w:r>
      <w:r w:rsidR="00BF3097">
        <w:rPr>
          <w:szCs w:val="26"/>
        </w:rPr>
        <w:t xml:space="preserve"> al </w:t>
      </w:r>
      <w:r w:rsidR="0044756D">
        <w:rPr>
          <w:szCs w:val="26"/>
        </w:rPr>
        <w:t>c</w:t>
      </w:r>
      <w:r w:rsidR="00BF3097">
        <w:rPr>
          <w:szCs w:val="26"/>
        </w:rPr>
        <w:t>lub en 2008.</w:t>
      </w:r>
    </w:p>
    <w:p w:rsidR="009B090A" w:rsidRDefault="00293383" w:rsidP="00BF3097">
      <w:pPr>
        <w:pStyle w:val="texto"/>
        <w:tabs>
          <w:tab w:val="clear" w:pos="2835"/>
          <w:tab w:val="clear" w:pos="3969"/>
          <w:tab w:val="clear" w:pos="5103"/>
          <w:tab w:val="clear" w:pos="6237"/>
          <w:tab w:val="clear" w:pos="7371"/>
        </w:tabs>
        <w:rPr>
          <w:szCs w:val="26"/>
        </w:rPr>
      </w:pPr>
      <w:r>
        <w:rPr>
          <w:szCs w:val="26"/>
        </w:rPr>
        <w:t>5</w:t>
      </w:r>
      <w:r w:rsidR="00534727">
        <w:rPr>
          <w:szCs w:val="26"/>
        </w:rPr>
        <w:t>º.</w:t>
      </w:r>
      <w:r w:rsidR="00BF3097">
        <w:rPr>
          <w:szCs w:val="26"/>
        </w:rPr>
        <w:t xml:space="preserve"> </w:t>
      </w:r>
      <w:r w:rsidR="009B090A">
        <w:rPr>
          <w:szCs w:val="26"/>
        </w:rPr>
        <w:t xml:space="preserve">Ante el elevado volumen de la deuda tributaria alcanzado, la delicada situación financiera del </w:t>
      </w:r>
      <w:r w:rsidR="0044756D">
        <w:rPr>
          <w:szCs w:val="26"/>
        </w:rPr>
        <w:t>c</w:t>
      </w:r>
      <w:r w:rsidR="009B090A">
        <w:rPr>
          <w:szCs w:val="26"/>
        </w:rPr>
        <w:t>lub y su descenso de categoría, el Parlamento aprueba, como fórmula excepcional e individual, la Ley Foral 26/2014</w:t>
      </w:r>
      <w:r w:rsidR="00197AE6">
        <w:rPr>
          <w:szCs w:val="26"/>
        </w:rPr>
        <w:t>,</w:t>
      </w:r>
      <w:r w:rsidR="009B090A">
        <w:rPr>
          <w:szCs w:val="26"/>
        </w:rPr>
        <w:t xml:space="preserve"> con la finalidad de cobrar la integridad de dicha deuda mediante la entrega</w:t>
      </w:r>
      <w:r w:rsidR="00197AE6" w:rsidRPr="00197AE6">
        <w:rPr>
          <w:szCs w:val="26"/>
        </w:rPr>
        <w:t xml:space="preserve"> </w:t>
      </w:r>
      <w:r w:rsidR="00197AE6">
        <w:rPr>
          <w:szCs w:val="26"/>
        </w:rPr>
        <w:t>en dación de pago</w:t>
      </w:r>
      <w:r w:rsidR="009B090A">
        <w:rPr>
          <w:szCs w:val="26"/>
        </w:rPr>
        <w:t xml:space="preserve"> por el </w:t>
      </w:r>
      <w:r w:rsidR="0044756D">
        <w:rPr>
          <w:szCs w:val="26"/>
        </w:rPr>
        <w:t>c</w:t>
      </w:r>
      <w:r w:rsidR="009B090A">
        <w:rPr>
          <w:szCs w:val="26"/>
        </w:rPr>
        <w:t xml:space="preserve">lub de su </w:t>
      </w:r>
      <w:r w:rsidR="00277C95">
        <w:rPr>
          <w:szCs w:val="26"/>
        </w:rPr>
        <w:t>patrimonio</w:t>
      </w:r>
      <w:r w:rsidR="009B090A">
        <w:rPr>
          <w:szCs w:val="26"/>
        </w:rPr>
        <w:t xml:space="preserve"> y con un aplazamiento de la cuantía restante. </w:t>
      </w:r>
      <w:r w:rsidR="00197AE6">
        <w:rPr>
          <w:szCs w:val="26"/>
        </w:rPr>
        <w:t>Esta Ley Foral, en nuestra opinión, presenta algunas cuestiones que sería preciso aclarar o desarrollar.</w:t>
      </w:r>
    </w:p>
    <w:p w:rsidR="00B97EA8" w:rsidRPr="00B97EA8" w:rsidRDefault="00B97EA8" w:rsidP="00BF3097">
      <w:pPr>
        <w:pStyle w:val="texto"/>
        <w:tabs>
          <w:tab w:val="clear" w:pos="2835"/>
          <w:tab w:val="clear" w:pos="3969"/>
          <w:tab w:val="clear" w:pos="5103"/>
          <w:tab w:val="clear" w:pos="6237"/>
          <w:tab w:val="clear" w:pos="7371"/>
        </w:tabs>
        <w:rPr>
          <w:szCs w:val="26"/>
          <w:lang w:val="es-ES"/>
        </w:rPr>
      </w:pPr>
      <w:r w:rsidRPr="00B97EA8">
        <w:rPr>
          <w:szCs w:val="26"/>
        </w:rPr>
        <w:t>Informe que se emite a propuesta del auditor Ignacio Cabeza del Salvador, responsable de la realización de este trabajo, una vez cumplimentados los trámites previstos por la normativa vigente.</w:t>
      </w:r>
    </w:p>
    <w:p w:rsidR="00BB3700" w:rsidRPr="00BB3700" w:rsidRDefault="00BB3700" w:rsidP="00BB3700">
      <w:pPr>
        <w:pStyle w:val="texto"/>
        <w:jc w:val="center"/>
        <w:rPr>
          <w:szCs w:val="26"/>
        </w:rPr>
      </w:pPr>
      <w:r w:rsidRPr="00BB3700">
        <w:rPr>
          <w:szCs w:val="26"/>
        </w:rPr>
        <w:t>Pamplona,</w:t>
      </w:r>
      <w:r w:rsidR="00CD2194">
        <w:rPr>
          <w:szCs w:val="26"/>
        </w:rPr>
        <w:t xml:space="preserve"> </w:t>
      </w:r>
      <w:r w:rsidR="00292EC8">
        <w:rPr>
          <w:szCs w:val="26"/>
        </w:rPr>
        <w:t>30</w:t>
      </w:r>
      <w:r w:rsidR="00B97EA8">
        <w:rPr>
          <w:szCs w:val="26"/>
        </w:rPr>
        <w:t xml:space="preserve"> </w:t>
      </w:r>
      <w:r w:rsidRPr="00BB3700">
        <w:rPr>
          <w:szCs w:val="26"/>
        </w:rPr>
        <w:t>de ju</w:t>
      </w:r>
      <w:r w:rsidR="00B97EA8">
        <w:rPr>
          <w:szCs w:val="26"/>
        </w:rPr>
        <w:t>l</w:t>
      </w:r>
      <w:r w:rsidRPr="00BB3700">
        <w:rPr>
          <w:szCs w:val="26"/>
        </w:rPr>
        <w:t>io de 2015</w:t>
      </w:r>
    </w:p>
    <w:p w:rsidR="00B27B78" w:rsidRDefault="00BB3700" w:rsidP="00677849">
      <w:pPr>
        <w:pStyle w:val="texto"/>
        <w:jc w:val="center"/>
        <w:rPr>
          <w:rFonts w:ascii="Arial" w:hAnsi="Arial"/>
          <w:b/>
          <w:color w:val="000000"/>
          <w:kern w:val="28"/>
          <w:sz w:val="25"/>
          <w:szCs w:val="26"/>
        </w:rPr>
      </w:pPr>
      <w:r w:rsidRPr="00BB3700">
        <w:rPr>
          <w:szCs w:val="26"/>
        </w:rPr>
        <w:t xml:space="preserve">El </w:t>
      </w:r>
      <w:r w:rsidR="006500CA">
        <w:rPr>
          <w:szCs w:val="26"/>
        </w:rPr>
        <w:t>presidente</w:t>
      </w:r>
      <w:r w:rsidR="005E5F69">
        <w:rPr>
          <w:szCs w:val="26"/>
        </w:rPr>
        <w:t>,</w:t>
      </w:r>
      <w:r w:rsidR="00677849">
        <w:rPr>
          <w:szCs w:val="26"/>
        </w:rPr>
        <w:t xml:space="preserve"> </w:t>
      </w:r>
      <w:r w:rsidR="006500CA">
        <w:rPr>
          <w:szCs w:val="26"/>
        </w:rPr>
        <w:t>Helio Robleda Cabezas</w:t>
      </w:r>
      <w:r w:rsidR="00B27B78">
        <w:br w:type="page"/>
      </w:r>
    </w:p>
    <w:p w:rsidR="00362814" w:rsidRPr="00E73B1E" w:rsidRDefault="001C2DF7" w:rsidP="001C2DF7">
      <w:pPr>
        <w:pStyle w:val="atitulo1"/>
        <w:rPr>
          <w:rFonts w:ascii="Arial (W1)" w:hAnsi="Arial (W1)"/>
          <w:spacing w:val="4"/>
        </w:rPr>
      </w:pPr>
      <w:bookmarkStart w:id="23" w:name="_Toc425926956"/>
      <w:r w:rsidRPr="00E73B1E">
        <w:rPr>
          <w:rFonts w:ascii="Arial (W1)" w:hAnsi="Arial (W1)"/>
          <w:spacing w:val="4"/>
        </w:rPr>
        <w:t>Apéndice</w:t>
      </w:r>
      <w:r w:rsidR="00762FCD" w:rsidRPr="00E73B1E">
        <w:rPr>
          <w:rFonts w:ascii="Arial (W1)" w:hAnsi="Arial (W1)"/>
          <w:spacing w:val="4"/>
        </w:rPr>
        <w:t xml:space="preserve"> 1</w:t>
      </w:r>
      <w:r w:rsidRPr="00E73B1E">
        <w:rPr>
          <w:rFonts w:ascii="Arial (W1)" w:hAnsi="Arial (W1)"/>
          <w:spacing w:val="4"/>
        </w:rPr>
        <w:t>.</w:t>
      </w:r>
      <w:bookmarkEnd w:id="23"/>
      <w:r w:rsidRPr="00E73B1E">
        <w:rPr>
          <w:rFonts w:ascii="Arial (W1)" w:hAnsi="Arial (W1)"/>
          <w:spacing w:val="4"/>
        </w:rPr>
        <w:t xml:space="preserve"> </w:t>
      </w:r>
    </w:p>
    <w:p w:rsidR="00420576" w:rsidRPr="00E73B1E" w:rsidRDefault="001C2DF7" w:rsidP="001C2DF7">
      <w:pPr>
        <w:pStyle w:val="atitulo1"/>
        <w:rPr>
          <w:rFonts w:ascii="Arial (W1)" w:hAnsi="Arial (W1)"/>
          <w:spacing w:val="4"/>
        </w:rPr>
      </w:pPr>
      <w:bookmarkStart w:id="24" w:name="_Toc425926957"/>
      <w:r w:rsidRPr="00E73B1E">
        <w:rPr>
          <w:rFonts w:ascii="Arial (W1)" w:hAnsi="Arial (W1)"/>
          <w:spacing w:val="4"/>
        </w:rPr>
        <w:t>Informes de auditoría externa y evolución de la situación financiera del Club Atlétic</w:t>
      </w:r>
      <w:r w:rsidR="00DE0018" w:rsidRPr="00E73B1E">
        <w:rPr>
          <w:rFonts w:ascii="Arial (W1)" w:hAnsi="Arial (W1)"/>
          <w:spacing w:val="4"/>
        </w:rPr>
        <w:t>o Osasuna (temporadas de 2004/05 a 2013/</w:t>
      </w:r>
      <w:r w:rsidRPr="00E73B1E">
        <w:rPr>
          <w:rFonts w:ascii="Arial (W1)" w:hAnsi="Arial (W1)"/>
          <w:spacing w:val="4"/>
        </w:rPr>
        <w:t>14)</w:t>
      </w:r>
      <w:bookmarkEnd w:id="24"/>
    </w:p>
    <w:p w:rsidR="001C2DF7" w:rsidRPr="00050D8C" w:rsidRDefault="00050D8C" w:rsidP="00C70C21">
      <w:pPr>
        <w:pStyle w:val="texto"/>
        <w:numPr>
          <w:ilvl w:val="0"/>
          <w:numId w:val="4"/>
        </w:numPr>
        <w:tabs>
          <w:tab w:val="num" w:pos="4920"/>
        </w:tabs>
        <w:rPr>
          <w:b/>
          <w:szCs w:val="26"/>
        </w:rPr>
      </w:pPr>
      <w:r w:rsidRPr="00050D8C">
        <w:rPr>
          <w:b/>
          <w:szCs w:val="26"/>
        </w:rPr>
        <w:t>Informes de auditoría externa</w:t>
      </w:r>
    </w:p>
    <w:p w:rsidR="001C2DF7" w:rsidRDefault="00050D8C" w:rsidP="00FC0519">
      <w:pPr>
        <w:pStyle w:val="texto"/>
        <w:tabs>
          <w:tab w:val="num" w:pos="300"/>
          <w:tab w:val="num" w:pos="4920"/>
        </w:tabs>
        <w:rPr>
          <w:szCs w:val="26"/>
        </w:rPr>
      </w:pPr>
      <w:r>
        <w:rPr>
          <w:szCs w:val="26"/>
        </w:rPr>
        <w:t xml:space="preserve">Del análisis de los informes de auditoría de las cuentas anuales del </w:t>
      </w:r>
      <w:r w:rsidR="0044756D">
        <w:rPr>
          <w:szCs w:val="26"/>
        </w:rPr>
        <w:t>c</w:t>
      </w:r>
      <w:r>
        <w:rPr>
          <w:szCs w:val="26"/>
        </w:rPr>
        <w:t>lub para las temporadas de 2004/05 hasta la</w:t>
      </w:r>
      <w:r w:rsidR="00DE0018">
        <w:rPr>
          <w:szCs w:val="26"/>
        </w:rPr>
        <w:t xml:space="preserve"> de</w:t>
      </w:r>
      <w:r>
        <w:rPr>
          <w:szCs w:val="26"/>
        </w:rPr>
        <w:t xml:space="preserve"> 2013/14, destacamos los siguientes aspectos:</w:t>
      </w:r>
    </w:p>
    <w:p w:rsidR="00050D8C" w:rsidRPr="00362814" w:rsidRDefault="00362814" w:rsidP="00362814">
      <w:pPr>
        <w:pStyle w:val="texto"/>
        <w:tabs>
          <w:tab w:val="num" w:pos="300"/>
          <w:tab w:val="num" w:pos="4920"/>
        </w:tabs>
        <w:rPr>
          <w:szCs w:val="26"/>
        </w:rPr>
      </w:pPr>
      <w:r>
        <w:rPr>
          <w:szCs w:val="26"/>
        </w:rPr>
        <w:t xml:space="preserve">1. </w:t>
      </w:r>
      <w:r w:rsidR="00050D8C" w:rsidRPr="00362814">
        <w:rPr>
          <w:szCs w:val="26"/>
        </w:rPr>
        <w:t>Todos ellos presenta</w:t>
      </w:r>
      <w:r w:rsidR="00452BA8" w:rsidRPr="00362814">
        <w:rPr>
          <w:szCs w:val="26"/>
        </w:rPr>
        <w:t>n</w:t>
      </w:r>
      <w:r w:rsidR="00050D8C" w:rsidRPr="00362814">
        <w:rPr>
          <w:szCs w:val="26"/>
        </w:rPr>
        <w:t xml:space="preserve"> opinión </w:t>
      </w:r>
      <w:r w:rsidR="006B5211" w:rsidRPr="00362814">
        <w:rPr>
          <w:szCs w:val="26"/>
        </w:rPr>
        <w:t>c</w:t>
      </w:r>
      <w:r w:rsidR="00050D8C" w:rsidRPr="00362814">
        <w:rPr>
          <w:szCs w:val="26"/>
        </w:rPr>
        <w:t>on salvedades</w:t>
      </w:r>
      <w:r w:rsidR="006B5211" w:rsidRPr="00362814">
        <w:rPr>
          <w:szCs w:val="26"/>
        </w:rPr>
        <w:t xml:space="preserve"> relevantes</w:t>
      </w:r>
      <w:r w:rsidR="00574A3D" w:rsidRPr="00362814">
        <w:rPr>
          <w:szCs w:val="26"/>
        </w:rPr>
        <w:t>.</w:t>
      </w:r>
      <w:r w:rsidR="009C5613" w:rsidRPr="00362814">
        <w:rPr>
          <w:szCs w:val="26"/>
        </w:rPr>
        <w:t xml:space="preserve"> </w:t>
      </w:r>
      <w:r w:rsidR="00050D8C" w:rsidRPr="00362814">
        <w:rPr>
          <w:szCs w:val="26"/>
        </w:rPr>
        <w:t>Estas salvedades se refieren tanto a incorrectas aplicaciones de principios contables como a limitaciones al alcance e incertidumbres significativas.</w:t>
      </w:r>
    </w:p>
    <w:p w:rsidR="006B5211" w:rsidRPr="00362814" w:rsidRDefault="00362814" w:rsidP="00362814">
      <w:pPr>
        <w:pStyle w:val="texto"/>
        <w:tabs>
          <w:tab w:val="num" w:pos="300"/>
          <w:tab w:val="num" w:pos="4920"/>
        </w:tabs>
        <w:rPr>
          <w:szCs w:val="26"/>
        </w:rPr>
      </w:pPr>
      <w:r>
        <w:rPr>
          <w:szCs w:val="26"/>
        </w:rPr>
        <w:t xml:space="preserve">2. </w:t>
      </w:r>
      <w:r w:rsidR="006B5211" w:rsidRPr="00362814">
        <w:rPr>
          <w:szCs w:val="26"/>
        </w:rPr>
        <w:t>De est</w:t>
      </w:r>
      <w:r w:rsidR="00574A3D" w:rsidRPr="00362814">
        <w:rPr>
          <w:szCs w:val="26"/>
        </w:rPr>
        <w:t>os informes destacamos el correspondiente a la temporada 2013/14</w:t>
      </w:r>
      <w:r w:rsidR="007B1A33" w:rsidRPr="00362814">
        <w:rPr>
          <w:szCs w:val="26"/>
        </w:rPr>
        <w:t>, el cual presenta las siguientes salvedades y limitaciones</w:t>
      </w:r>
      <w:r w:rsidR="006B5211" w:rsidRPr="00362814">
        <w:rPr>
          <w:szCs w:val="26"/>
        </w:rPr>
        <w:t>:</w:t>
      </w:r>
    </w:p>
    <w:p w:rsidR="00574A3D" w:rsidRDefault="00843B23" w:rsidP="00843B23">
      <w:pPr>
        <w:pStyle w:val="texto"/>
        <w:tabs>
          <w:tab w:val="clear" w:pos="2835"/>
          <w:tab w:val="clear" w:pos="3969"/>
          <w:tab w:val="clear" w:pos="5103"/>
          <w:tab w:val="clear" w:pos="6237"/>
          <w:tab w:val="clear" w:pos="7371"/>
          <w:tab w:val="left" w:pos="480"/>
          <w:tab w:val="num" w:pos="720"/>
          <w:tab w:val="num" w:pos="6597"/>
        </w:tabs>
        <w:ind w:left="290" w:firstLine="0"/>
        <w:rPr>
          <w:szCs w:val="26"/>
        </w:rPr>
      </w:pPr>
      <w:r>
        <w:t xml:space="preserve">a) </w:t>
      </w:r>
      <w:r w:rsidR="00574A3D" w:rsidRPr="00843B23">
        <w:t>Limitaciones</w:t>
      </w:r>
      <w:r w:rsidR="0093767A">
        <w:rPr>
          <w:szCs w:val="26"/>
        </w:rPr>
        <w:t>:</w:t>
      </w:r>
    </w:p>
    <w:p w:rsidR="00574A3D" w:rsidRPr="0093767A" w:rsidRDefault="00BB3700" w:rsidP="00362814">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rPr>
          <w:szCs w:val="26"/>
        </w:rPr>
        <w:t xml:space="preserve"> </w:t>
      </w:r>
      <w:r w:rsidR="000A525A">
        <w:t>Los auditores no dispusieron de</w:t>
      </w:r>
      <w:r w:rsidR="00574A3D" w:rsidRPr="0093767A">
        <w:t xml:space="preserve"> las declaraciones presentadas por el club correspondientes a los periodos abiertos a inspección. </w:t>
      </w:r>
      <w:r w:rsidR="000A525A">
        <w:t>N</w:t>
      </w:r>
      <w:r w:rsidR="00AB738A" w:rsidRPr="0093767A">
        <w:t>o pueden concluir sobre su correcta contabilización y/o autoliquidación.</w:t>
      </w:r>
    </w:p>
    <w:p w:rsidR="00574A3D" w:rsidRPr="0056791E" w:rsidRDefault="00BB3700" w:rsidP="00362814">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t xml:space="preserve"> </w:t>
      </w:r>
      <w:r w:rsidR="003C3B73">
        <w:t>Al amparo de la ley Foral 21/2</w:t>
      </w:r>
      <w:r w:rsidR="005E5F69">
        <w:t>0</w:t>
      </w:r>
      <w:r w:rsidR="003C3B73">
        <w:t xml:space="preserve">12, de 26 de diciembre, se actualizó </w:t>
      </w:r>
      <w:r w:rsidR="00574A3D" w:rsidRPr="0056791E">
        <w:t>el inmovilizado</w:t>
      </w:r>
      <w:r w:rsidR="00AB738A">
        <w:t xml:space="preserve"> en la temporada 2012</w:t>
      </w:r>
      <w:r w:rsidR="0093767A">
        <w:t>/</w:t>
      </w:r>
      <w:r w:rsidR="00AB738A">
        <w:t xml:space="preserve">13, </w:t>
      </w:r>
      <w:r w:rsidR="00574A3D" w:rsidRPr="0056791E">
        <w:t>por</w:t>
      </w:r>
      <w:r w:rsidR="003C3B73">
        <w:t xml:space="preserve"> un</w:t>
      </w:r>
      <w:r w:rsidR="00574A3D" w:rsidRPr="0056791E">
        <w:t xml:space="preserve"> importe</w:t>
      </w:r>
      <w:r w:rsidR="00AB738A">
        <w:t xml:space="preserve"> de revaloración inicial</w:t>
      </w:r>
      <w:r w:rsidR="00574A3D" w:rsidRPr="0056791E">
        <w:t xml:space="preserve"> de 22,23 millones</w:t>
      </w:r>
      <w:r w:rsidR="003C3B73">
        <w:t xml:space="preserve">. No se </w:t>
      </w:r>
      <w:r w:rsidR="004C1FE2">
        <w:t>dispuso</w:t>
      </w:r>
      <w:r w:rsidR="00AB738A">
        <w:t xml:space="preserve"> de los cálculos realizados por el </w:t>
      </w:r>
      <w:r w:rsidR="0044756D">
        <w:t>c</w:t>
      </w:r>
      <w:r w:rsidR="00AB738A">
        <w:t xml:space="preserve">lub y </w:t>
      </w:r>
      <w:r w:rsidR="003C3B73">
        <w:t>no ha</w:t>
      </w:r>
      <w:r w:rsidR="00AB738A">
        <w:t xml:space="preserve"> pod</w:t>
      </w:r>
      <w:r w:rsidR="003C3B73">
        <w:t>ido</w:t>
      </w:r>
      <w:r w:rsidR="00AB738A">
        <w:t xml:space="preserve"> verificar</w:t>
      </w:r>
      <w:r w:rsidR="003C3B73">
        <w:t>se</w:t>
      </w:r>
      <w:r w:rsidR="00AB738A">
        <w:t xml:space="preserve"> el cumplimiento</w:t>
      </w:r>
      <w:r w:rsidR="00574A3D" w:rsidRPr="0056791E">
        <w:t xml:space="preserve"> de los requerimientos legales que impon</w:t>
      </w:r>
      <w:r w:rsidR="003C3B73">
        <w:t>ía</w:t>
      </w:r>
      <w:r w:rsidR="00574A3D" w:rsidRPr="0056791E">
        <w:t xml:space="preserve"> la</w:t>
      </w:r>
      <w:r w:rsidR="003C3B73">
        <w:t xml:space="preserve"> citada norma.</w:t>
      </w:r>
      <w:r w:rsidR="00AB738A">
        <w:t xml:space="preserve"> El valor neto contable al cierre del ejercicio</w:t>
      </w:r>
      <w:r w:rsidR="003C3B73">
        <w:t xml:space="preserve"> o temporada</w:t>
      </w:r>
      <w:r w:rsidR="00AB738A">
        <w:t xml:space="preserve"> es de 22,03 millones.</w:t>
      </w:r>
    </w:p>
    <w:p w:rsidR="00574A3D" w:rsidRPr="0093767A" w:rsidRDefault="00843B23" w:rsidP="00843B23">
      <w:pPr>
        <w:pStyle w:val="texto"/>
        <w:tabs>
          <w:tab w:val="clear" w:pos="2835"/>
          <w:tab w:val="clear" w:pos="3969"/>
          <w:tab w:val="clear" w:pos="5103"/>
          <w:tab w:val="clear" w:pos="6237"/>
          <w:tab w:val="clear" w:pos="7371"/>
          <w:tab w:val="left" w:pos="480"/>
          <w:tab w:val="num" w:pos="720"/>
          <w:tab w:val="num" w:pos="6597"/>
        </w:tabs>
        <w:ind w:left="290" w:firstLine="0"/>
        <w:rPr>
          <w:szCs w:val="26"/>
        </w:rPr>
      </w:pPr>
      <w:r>
        <w:t>b)</w:t>
      </w:r>
      <w:r w:rsidR="00362814">
        <w:t xml:space="preserve"> </w:t>
      </w:r>
      <w:r w:rsidR="00574A3D" w:rsidRPr="00843B23">
        <w:t>Salvedades</w:t>
      </w:r>
      <w:r w:rsidR="0093767A">
        <w:rPr>
          <w:szCs w:val="26"/>
        </w:rPr>
        <w:t>:</w:t>
      </w:r>
    </w:p>
    <w:p w:rsidR="00574A3D" w:rsidRDefault="00362814" w:rsidP="00362814">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t xml:space="preserve"> </w:t>
      </w:r>
      <w:r w:rsidR="00AB738A">
        <w:t>Actualización en 2004 del valor</w:t>
      </w:r>
      <w:r w:rsidR="00574A3D" w:rsidRPr="0056791E">
        <w:t xml:space="preserve"> de sus terrenos y construcciones</w:t>
      </w:r>
      <w:r w:rsidR="00AB738A">
        <w:t xml:space="preserve"> por un importe inicial de 11,94 millones</w:t>
      </w:r>
      <w:r w:rsidR="00574A3D" w:rsidRPr="0056791E">
        <w:t xml:space="preserve"> </w:t>
      </w:r>
      <w:r w:rsidR="00AB738A">
        <w:t>efectuada sin conformidad con los principios y criterios de contabilidad generalmente aceptados, estando en consecuencia sobrevalorados dichos bienes en el balance.</w:t>
      </w:r>
      <w:r w:rsidR="00AB738A" w:rsidRPr="00AB738A">
        <w:t xml:space="preserve"> </w:t>
      </w:r>
      <w:r w:rsidR="00AB738A">
        <w:t>El valor neto contable al cierre del ejercicio</w:t>
      </w:r>
      <w:r w:rsidR="003C3B73">
        <w:t xml:space="preserve"> o temporada es de 4,20</w:t>
      </w:r>
      <w:r w:rsidR="00AB738A">
        <w:t xml:space="preserve"> millones.</w:t>
      </w:r>
    </w:p>
    <w:p w:rsidR="00574A3D" w:rsidRDefault="00BB3700" w:rsidP="00362814">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t xml:space="preserve"> </w:t>
      </w:r>
      <w:r w:rsidR="00574A3D">
        <w:t>No se ha incluido en las cuentas anuales la corrección valorativa por deterioro de las deudas de la Fundación que ascienden a 12,</w:t>
      </w:r>
      <w:r w:rsidR="0047420E">
        <w:t>60</w:t>
      </w:r>
      <w:r w:rsidR="00574A3D">
        <w:t xml:space="preserve"> millones.</w:t>
      </w:r>
      <w:r w:rsidR="00687236">
        <w:t xml:space="preserve"> Esta Fundación se encuentra en una delicada situación financiera y patrimonial y re</w:t>
      </w:r>
      <w:r w:rsidR="00DE235E">
        <w:t>quiere</w:t>
      </w:r>
      <w:r w:rsidR="00687236">
        <w:t xml:space="preserve"> el apoyo financiero del propio </w:t>
      </w:r>
      <w:r w:rsidR="0044756D">
        <w:t>c</w:t>
      </w:r>
      <w:r w:rsidR="00687236">
        <w:t>lub.</w:t>
      </w:r>
    </w:p>
    <w:p w:rsidR="00574A3D" w:rsidRDefault="00BB3700" w:rsidP="00362814">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t xml:space="preserve"> </w:t>
      </w:r>
      <w:r w:rsidR="00574A3D">
        <w:t>El club ha registrado como ingresos</w:t>
      </w:r>
      <w:r w:rsidR="00687236">
        <w:t xml:space="preserve"> excepcionales</w:t>
      </w:r>
      <w:r w:rsidR="00574A3D">
        <w:t xml:space="preserve"> de la temporada un total de 9,11 millones derivado del acuerdo sobre pérdidas de ingresos como consecuencia del descenso de categoría. Según el correspondiente Reglamento que las regula, el devengo de esos ingresos corresponde a la temporada 2014/2015.</w:t>
      </w:r>
    </w:p>
    <w:p w:rsidR="00574A3D" w:rsidRPr="00574A3D" w:rsidRDefault="00BB3700" w:rsidP="00362814">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t xml:space="preserve"> </w:t>
      </w:r>
      <w:r w:rsidR="00574A3D" w:rsidRPr="00574A3D">
        <w:t>Los gastos financieros están minorados en 1,59 millones derivado en la no utilización del método del tipo de interés efectivo en diversos aplazamientos de deuda tributaria.</w:t>
      </w:r>
    </w:p>
    <w:p w:rsidR="00574A3D" w:rsidRPr="0056791E" w:rsidRDefault="00BB3700" w:rsidP="00362814">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t xml:space="preserve"> </w:t>
      </w:r>
      <w:r w:rsidR="00574A3D">
        <w:t>Las cuentas no incluyen un gasto de personal por 0,47 millones corres</w:t>
      </w:r>
      <w:r w:rsidR="000315CE">
        <w:t>pondiente</w:t>
      </w:r>
      <w:r w:rsidR="00574A3D">
        <w:t xml:space="preserve"> a la deuda del </w:t>
      </w:r>
      <w:r w:rsidR="0044756D">
        <w:t>c</w:t>
      </w:r>
      <w:r w:rsidR="00574A3D">
        <w:t xml:space="preserve">lub con un jugador, </w:t>
      </w:r>
      <w:r w:rsidR="005E5F69">
        <w:t>importe que ha</w:t>
      </w:r>
      <w:r w:rsidR="00574A3D">
        <w:t xml:space="preserve"> sido condonad</w:t>
      </w:r>
      <w:r w:rsidR="005E5F69">
        <w:t>o</w:t>
      </w:r>
      <w:r w:rsidR="00574A3D">
        <w:t xml:space="preserve"> con posterioridad al cierre del ejercicio. De acuerdo con las normas de valoración nº 23 del Plan, dichos gastos deberían figurar en las cuentas anuales de 2013/2014.</w:t>
      </w:r>
    </w:p>
    <w:p w:rsidR="00574A3D" w:rsidRPr="0093767A" w:rsidRDefault="00843B23" w:rsidP="00843B23">
      <w:pPr>
        <w:pStyle w:val="texto"/>
        <w:ind w:left="284" w:firstLine="0"/>
        <w:rPr>
          <w:szCs w:val="26"/>
        </w:rPr>
      </w:pPr>
      <w:r>
        <w:rPr>
          <w:szCs w:val="26"/>
        </w:rPr>
        <w:t xml:space="preserve">c) </w:t>
      </w:r>
      <w:r w:rsidR="00574A3D" w:rsidRPr="0093767A">
        <w:rPr>
          <w:szCs w:val="26"/>
        </w:rPr>
        <w:t>Párrafo de énfasis</w:t>
      </w:r>
    </w:p>
    <w:p w:rsidR="00574A3D" w:rsidRPr="00FF7640" w:rsidRDefault="00574A3D" w:rsidP="00843B23">
      <w:pPr>
        <w:pStyle w:val="texto"/>
        <w:tabs>
          <w:tab w:val="clear" w:pos="2835"/>
          <w:tab w:val="clear" w:pos="3969"/>
          <w:tab w:val="clear" w:pos="5103"/>
          <w:tab w:val="clear" w:pos="6237"/>
          <w:tab w:val="clear" w:pos="7371"/>
          <w:tab w:val="left" w:pos="480"/>
          <w:tab w:val="num" w:pos="1948"/>
          <w:tab w:val="num" w:pos="6597"/>
        </w:tabs>
      </w:pPr>
      <w:r w:rsidRPr="00FF7640">
        <w:t>Existen factores que ponen en duda la aplicación del principio de empresa en funcionamiento</w:t>
      </w:r>
      <w:r>
        <w:t>, principalmente por el descenso de categoría y la reducción relevante de ingresos que ello provocará</w:t>
      </w:r>
      <w:r w:rsidRPr="00FF7640">
        <w:t>.</w:t>
      </w:r>
      <w:r>
        <w:t xml:space="preserve">  La junta directiva presentó un Plan de Viabilidad,  que ha sido actualizado por la actual Junta Gestora mediante un plan de tesorería.</w:t>
      </w:r>
    </w:p>
    <w:p w:rsidR="00DD37F2" w:rsidRDefault="007661A3" w:rsidP="007661A3">
      <w:pPr>
        <w:pStyle w:val="texto"/>
        <w:tabs>
          <w:tab w:val="clear" w:pos="2835"/>
          <w:tab w:val="clear" w:pos="3969"/>
          <w:tab w:val="clear" w:pos="5103"/>
          <w:tab w:val="clear" w:pos="6237"/>
          <w:tab w:val="clear" w:pos="7371"/>
          <w:tab w:val="left" w:pos="480"/>
          <w:tab w:val="num" w:pos="1948"/>
          <w:tab w:val="num" w:pos="6597"/>
        </w:tabs>
      </w:pPr>
      <w:r>
        <w:t xml:space="preserve">3. </w:t>
      </w:r>
      <w:r w:rsidR="007B1A33" w:rsidRPr="007B1A33">
        <w:t>De</w:t>
      </w:r>
      <w:r w:rsidR="00DD37F2">
        <w:t xml:space="preserve"> </w:t>
      </w:r>
      <w:r w:rsidR="007B1A33" w:rsidRPr="007B1A33">
        <w:t>l</w:t>
      </w:r>
      <w:r w:rsidR="00DD37F2">
        <w:t>a</w:t>
      </w:r>
      <w:r w:rsidR="007B1A33" w:rsidRPr="007B1A33">
        <w:t xml:space="preserve"> información que contienen</w:t>
      </w:r>
      <w:r w:rsidR="00DE0018">
        <w:t xml:space="preserve"> el resto de</w:t>
      </w:r>
      <w:r w:rsidR="007B1A33" w:rsidRPr="007B1A33">
        <w:t xml:space="preserve"> informes</w:t>
      </w:r>
      <w:r w:rsidR="00DD37F2">
        <w:t xml:space="preserve"> de auditoría y las cuentas</w:t>
      </w:r>
      <w:r w:rsidR="009D0462">
        <w:t xml:space="preserve"> anuales</w:t>
      </w:r>
      <w:r w:rsidR="007B1A33" w:rsidRPr="007B1A33">
        <w:t xml:space="preserve"> </w:t>
      </w:r>
      <w:r w:rsidR="00DD37F2">
        <w:t xml:space="preserve">relativas a </w:t>
      </w:r>
      <w:r w:rsidR="00DD37F2" w:rsidRPr="0093767A">
        <w:rPr>
          <w:b/>
        </w:rPr>
        <w:t>materia fiscal y a relaciones con el Gobierno de Navarra</w:t>
      </w:r>
      <w:r w:rsidR="00DD37F2">
        <w:t xml:space="preserve"> señalamos:</w:t>
      </w:r>
    </w:p>
    <w:p w:rsidR="00DE235E" w:rsidRDefault="00F85FB8" w:rsidP="007661A3">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t xml:space="preserve"> </w:t>
      </w:r>
      <w:r w:rsidR="00DE235E">
        <w:t>Existe una deuda aplazada</w:t>
      </w:r>
      <w:r w:rsidR="00DE235E" w:rsidRPr="001E0150">
        <w:t xml:space="preserve"> a largo plazo con la H</w:t>
      </w:r>
      <w:r w:rsidR="00DE235E">
        <w:t xml:space="preserve">acienda </w:t>
      </w:r>
      <w:r w:rsidR="00DE235E" w:rsidRPr="001E0150">
        <w:t>T</w:t>
      </w:r>
      <w:r w:rsidR="00DE235E">
        <w:t>ributaria de Navarra</w:t>
      </w:r>
      <w:r w:rsidR="00DE235E" w:rsidRPr="001E0150">
        <w:t xml:space="preserve"> de 20,1 millones sin que se haya podido verificar los impuestos, periodos y contenido que recogen di</w:t>
      </w:r>
      <w:r>
        <w:t>chos acuerdos de aplazamiento</w:t>
      </w:r>
      <w:r w:rsidR="004D2C51">
        <w:t xml:space="preserve"> (</w:t>
      </w:r>
      <w:r w:rsidR="000C429F">
        <w:t xml:space="preserve">salvedad por </w:t>
      </w:r>
      <w:r>
        <w:t>l</w:t>
      </w:r>
      <w:r w:rsidR="004D2C51">
        <w:t>imitación en la opinión del informe sobre la temporada 2011/12)</w:t>
      </w:r>
      <w:r>
        <w:t>.</w:t>
      </w:r>
    </w:p>
    <w:p w:rsidR="004D2C51" w:rsidRPr="004D2C51" w:rsidRDefault="00F85FB8" w:rsidP="007661A3">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t xml:space="preserve"> </w:t>
      </w:r>
      <w:r w:rsidR="004D2C51" w:rsidRPr="00460AAD">
        <w:t xml:space="preserve">El </w:t>
      </w:r>
      <w:r w:rsidR="00B3365F">
        <w:t>c</w:t>
      </w:r>
      <w:r w:rsidR="004D2C51" w:rsidRPr="00460AAD">
        <w:t xml:space="preserve">lub ha llegado a un acuerdo de aplazamiento de su deuda tributaria el cual no </w:t>
      </w:r>
      <w:r w:rsidR="00DE0018">
        <w:t>fue</w:t>
      </w:r>
      <w:r w:rsidR="004D2C51" w:rsidRPr="00460AAD">
        <w:t xml:space="preserve"> facilitado, desconociéndose los conceptos a los que responde. Tampoco se ha aportado las declaraciones presentadas por el club en esta temporad</w:t>
      </w:r>
      <w:r>
        <w:t>a sobre los distintos impuestos</w:t>
      </w:r>
      <w:r w:rsidR="004D2C51" w:rsidRPr="004D2C51">
        <w:t xml:space="preserve"> </w:t>
      </w:r>
      <w:r w:rsidR="004D2C51">
        <w:t>(</w:t>
      </w:r>
      <w:r w:rsidR="000C429F">
        <w:t xml:space="preserve">salvedad por </w:t>
      </w:r>
      <w:r>
        <w:t>l</w:t>
      </w:r>
      <w:r w:rsidR="004D2C51">
        <w:t>imitación en la opinión del informe sobre la temporada 2012/13)</w:t>
      </w:r>
      <w:r>
        <w:t>.</w:t>
      </w:r>
    </w:p>
    <w:p w:rsidR="00DD37F2" w:rsidRPr="00DD37F2" w:rsidRDefault="00F85FB8" w:rsidP="007661A3">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t xml:space="preserve"> </w:t>
      </w:r>
      <w:r w:rsidR="00DD37F2" w:rsidRPr="00DD37F2">
        <w:t>Debido a las prácticas y criterios utilizados en materia fiscal podrían producirse pasivos adicionales a los registrados en balance de situación, no susceptibles de cuantificación objetiva</w:t>
      </w:r>
      <w:r w:rsidR="00DD37F2">
        <w:t xml:space="preserve"> (</w:t>
      </w:r>
      <w:r w:rsidR="000C429F">
        <w:t xml:space="preserve">salvedad por </w:t>
      </w:r>
      <w:r>
        <w:t>i</w:t>
      </w:r>
      <w:r w:rsidR="00DD37F2">
        <w:t>ncertidumbre</w:t>
      </w:r>
      <w:r w:rsidR="00DE235E">
        <w:t>s</w:t>
      </w:r>
      <w:r w:rsidR="004D2C51">
        <w:t xml:space="preserve"> en la opinión de los</w:t>
      </w:r>
      <w:r w:rsidR="00DD37F2">
        <w:t xml:space="preserve"> informes sobre las temporada</w:t>
      </w:r>
      <w:r w:rsidR="00DE235E">
        <w:t>s</w:t>
      </w:r>
      <w:r w:rsidR="00DD37F2">
        <w:t xml:space="preserve"> 2004/05, 2005/06, 2006/07, 2007/08</w:t>
      </w:r>
      <w:r w:rsidR="00DE235E">
        <w:t xml:space="preserve"> y 2008/09</w:t>
      </w:r>
      <w:r w:rsidR="00DD37F2">
        <w:t>)</w:t>
      </w:r>
      <w:r>
        <w:t>.</w:t>
      </w:r>
    </w:p>
    <w:p w:rsidR="00DE235E" w:rsidRPr="00DD37F2" w:rsidRDefault="00F85FB8" w:rsidP="007661A3">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t xml:space="preserve"> </w:t>
      </w:r>
      <w:r w:rsidR="00DE235E">
        <w:t>E</w:t>
      </w:r>
      <w:r w:rsidR="00DE235E" w:rsidRPr="00DE235E">
        <w:t xml:space="preserve">l </w:t>
      </w:r>
      <w:r w:rsidR="0044756D">
        <w:t>c</w:t>
      </w:r>
      <w:r w:rsidR="00DE235E" w:rsidRPr="00DE235E">
        <w:t>lub ha reclasificado deudas acreedoras con la</w:t>
      </w:r>
      <w:r w:rsidR="00DE235E">
        <w:t xml:space="preserve"> Hacienda Tributaria de Navarra</w:t>
      </w:r>
      <w:r w:rsidR="00DE235E" w:rsidRPr="00DE235E">
        <w:t xml:space="preserve"> del corto al largo plazo</w:t>
      </w:r>
      <w:r w:rsidR="00DE235E">
        <w:t xml:space="preserve"> por importe de </w:t>
      </w:r>
      <w:r w:rsidR="00DE235E" w:rsidRPr="00DE235E">
        <w:t>10,08 millones, sin que exista acuerdo de refinanciación de la deuda firmado entre ambas par</w:t>
      </w:r>
      <w:r>
        <w:t>tes</w:t>
      </w:r>
      <w:r w:rsidR="00DE235E" w:rsidRPr="00DE235E">
        <w:t xml:space="preserve"> </w:t>
      </w:r>
      <w:r w:rsidR="00DE235E">
        <w:t>(</w:t>
      </w:r>
      <w:r w:rsidR="000C429F">
        <w:t xml:space="preserve">salvedad por </w:t>
      </w:r>
      <w:r>
        <w:t>i</w:t>
      </w:r>
      <w:r w:rsidR="00DE235E">
        <w:t xml:space="preserve">ncertidumbre </w:t>
      </w:r>
      <w:r w:rsidR="004D2C51">
        <w:t>en la opinión del</w:t>
      </w:r>
      <w:r w:rsidR="00DE235E">
        <w:t xml:space="preserve"> informe de la temporada 2008/09).</w:t>
      </w:r>
    </w:p>
    <w:p w:rsidR="00DE235E" w:rsidRPr="00DD37F2" w:rsidRDefault="00F85FB8" w:rsidP="007661A3">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t xml:space="preserve"> </w:t>
      </w:r>
      <w:r w:rsidR="00DE235E" w:rsidRPr="00DE235E">
        <w:t>Dentro de las deudas a largo plazo</w:t>
      </w:r>
      <w:r w:rsidR="00DE235E">
        <w:t>,</w:t>
      </w:r>
      <w:r w:rsidR="00DE235E" w:rsidRPr="00DE235E">
        <w:t xml:space="preserve"> se ha</w:t>
      </w:r>
      <w:r w:rsidR="005E5F69">
        <w:t>n</w:t>
      </w:r>
      <w:r w:rsidR="00DE235E" w:rsidRPr="00DE235E">
        <w:t xml:space="preserve"> reclasificado 9,5 millones de deuda a corto plazo</w:t>
      </w:r>
      <w:r w:rsidR="00DE235E">
        <w:t xml:space="preserve"> de la Hacienda Tributaria de Navarra</w:t>
      </w:r>
      <w:r w:rsidR="00DE235E" w:rsidRPr="00DE235E">
        <w:t xml:space="preserve"> sin un calendario de pagos definido y que se encuentra, actualmente, en fase de negociación </w:t>
      </w:r>
      <w:r w:rsidR="00DE235E">
        <w:t>(información incluida en l</w:t>
      </w:r>
      <w:r w:rsidR="000C429F">
        <w:t>a memoria de las cuentas anuales</w:t>
      </w:r>
      <w:r w:rsidR="00DE235E">
        <w:t xml:space="preserve"> </w:t>
      </w:r>
      <w:r w:rsidR="000C429F">
        <w:t>de</w:t>
      </w:r>
      <w:r w:rsidR="00DE235E">
        <w:t xml:space="preserve"> la</w:t>
      </w:r>
      <w:r w:rsidR="003B4183">
        <w:t>s</w:t>
      </w:r>
      <w:r w:rsidR="00DE235E">
        <w:t xml:space="preserve"> temporadas 2009/10 y 2010/11).</w:t>
      </w:r>
    </w:p>
    <w:p w:rsidR="003B4183" w:rsidRPr="00DD37F2" w:rsidRDefault="00F85FB8" w:rsidP="007661A3">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t xml:space="preserve"> </w:t>
      </w:r>
      <w:r w:rsidR="003B4183" w:rsidRPr="00DE235E">
        <w:t>Dentro de las deudas a largo plazo</w:t>
      </w:r>
      <w:r w:rsidR="003B4183">
        <w:t>,</w:t>
      </w:r>
      <w:r w:rsidR="003B4183" w:rsidRPr="00DE235E">
        <w:t xml:space="preserve"> se ha</w:t>
      </w:r>
      <w:r w:rsidR="005E5F69">
        <w:t>n</w:t>
      </w:r>
      <w:r w:rsidR="003B4183" w:rsidRPr="00DE235E">
        <w:t xml:space="preserve"> reclasificado </w:t>
      </w:r>
      <w:r w:rsidR="003B4183">
        <w:t>38,4 millones</w:t>
      </w:r>
      <w:r w:rsidR="003B4183" w:rsidRPr="00DE235E">
        <w:t xml:space="preserve"> de deuda a corto plazo</w:t>
      </w:r>
      <w:r w:rsidR="003B4183">
        <w:t xml:space="preserve"> de la Hacienda Tributaria de Navarra (información incluida en</w:t>
      </w:r>
      <w:r w:rsidR="000C429F" w:rsidRPr="000C429F">
        <w:t xml:space="preserve"> </w:t>
      </w:r>
      <w:r w:rsidR="000C429F">
        <w:t>la memoria de</w:t>
      </w:r>
      <w:r w:rsidR="003B4183">
        <w:t xml:space="preserve"> </w:t>
      </w:r>
      <w:r w:rsidR="000C429F">
        <w:t>las cuentas anuales de la</w:t>
      </w:r>
      <w:r w:rsidR="003B4183">
        <w:t xml:space="preserve"> temporada 2012/13).</w:t>
      </w:r>
    </w:p>
    <w:p w:rsidR="00DE235E" w:rsidRDefault="00F85FB8" w:rsidP="007661A3">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t xml:space="preserve"> </w:t>
      </w:r>
      <w:r w:rsidR="00DE235E" w:rsidRPr="00DD37F2">
        <w:t xml:space="preserve">El </w:t>
      </w:r>
      <w:r w:rsidR="0044756D">
        <w:t>c</w:t>
      </w:r>
      <w:r w:rsidR="00DE235E" w:rsidRPr="00DD37F2">
        <w:t xml:space="preserve">lub declara cumplir con lo establecido en el artículo 152 de la Ley Foral del Impuesto sobre Sociedades, por lo que goza del régimen especial de entidades parcialmente exentas del citado impuesto </w:t>
      </w:r>
      <w:r w:rsidR="00F5619F">
        <w:t xml:space="preserve"> </w:t>
      </w:r>
      <w:r w:rsidR="00DE235E" w:rsidRPr="00DD37F2">
        <w:t>(</w:t>
      </w:r>
      <w:r w:rsidR="00F5619F">
        <w:t xml:space="preserve">información que </w:t>
      </w:r>
      <w:r w:rsidR="000C429F">
        <w:t>incluye</w:t>
      </w:r>
      <w:r w:rsidR="00F5619F">
        <w:t>n tod</w:t>
      </w:r>
      <w:r w:rsidR="000C429F">
        <w:t>as las memorias de las cuentas anuales</w:t>
      </w:r>
      <w:r w:rsidR="00F5619F">
        <w:t>).</w:t>
      </w:r>
    </w:p>
    <w:p w:rsidR="00DD37F2" w:rsidRPr="002E1AF0" w:rsidRDefault="00F85FB8" w:rsidP="007661A3">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t xml:space="preserve"> </w:t>
      </w:r>
      <w:r w:rsidR="00F5619F">
        <w:t xml:space="preserve">En aplicación de la Ley Foral 1/2003, el </w:t>
      </w:r>
      <w:r w:rsidR="00B3365F">
        <w:t>c</w:t>
      </w:r>
      <w:r w:rsidR="00F5619F">
        <w:t>lub ha hipotecado la totalidad de su patrimonio ante el Gobierno de Navarra por la concesió</w:t>
      </w:r>
      <w:r w:rsidR="000C429F">
        <w:t>n del aval de 18 millones (</w:t>
      </w:r>
      <w:r w:rsidR="00F5619F">
        <w:t>información</w:t>
      </w:r>
      <w:r w:rsidR="000C429F">
        <w:t xml:space="preserve"> incluida en la memoria de las cuentas anuales de</w:t>
      </w:r>
      <w:r w:rsidR="00F5619F">
        <w:t xml:space="preserve"> la temporada 2004/05).</w:t>
      </w:r>
    </w:p>
    <w:p w:rsidR="002E1AF0" w:rsidRPr="007661A3" w:rsidRDefault="007661A3" w:rsidP="007661A3">
      <w:pPr>
        <w:pStyle w:val="texto"/>
        <w:tabs>
          <w:tab w:val="num" w:pos="300"/>
          <w:tab w:val="num" w:pos="4920"/>
        </w:tabs>
        <w:rPr>
          <w:szCs w:val="26"/>
        </w:rPr>
      </w:pPr>
      <w:r>
        <w:rPr>
          <w:szCs w:val="26"/>
        </w:rPr>
        <w:t xml:space="preserve">4. </w:t>
      </w:r>
      <w:r w:rsidR="002E1AF0" w:rsidRPr="007661A3">
        <w:rPr>
          <w:szCs w:val="26"/>
        </w:rPr>
        <w:t>Todos los informes de auditoría externa han sido elaborados por la misma firma de auditores.</w:t>
      </w:r>
    </w:p>
    <w:p w:rsidR="00AD3F05" w:rsidRPr="007661A3" w:rsidRDefault="007661A3" w:rsidP="007661A3">
      <w:pPr>
        <w:pStyle w:val="texto"/>
        <w:tabs>
          <w:tab w:val="num" w:pos="300"/>
          <w:tab w:val="num" w:pos="4920"/>
        </w:tabs>
        <w:rPr>
          <w:szCs w:val="26"/>
        </w:rPr>
      </w:pPr>
      <w:r>
        <w:rPr>
          <w:szCs w:val="26"/>
        </w:rPr>
        <w:t xml:space="preserve">5. </w:t>
      </w:r>
      <w:r w:rsidR="00AD3F05" w:rsidRPr="007661A3">
        <w:rPr>
          <w:szCs w:val="26"/>
        </w:rPr>
        <w:t xml:space="preserve">Por último, señalar que en junio de 2015 se levanta parcialmente el secreto del sumario judicial seguido contra directivos y otro personal del club por actuaciones irregulares. </w:t>
      </w:r>
      <w:r w:rsidR="00B52FDD" w:rsidRPr="007661A3">
        <w:rPr>
          <w:szCs w:val="26"/>
        </w:rPr>
        <w:t xml:space="preserve">En el sumario, </w:t>
      </w:r>
      <w:r w:rsidR="00AD3F05" w:rsidRPr="007661A3">
        <w:rPr>
          <w:szCs w:val="26"/>
        </w:rPr>
        <w:t xml:space="preserve">el juez instructor </w:t>
      </w:r>
      <w:r w:rsidR="00B52FDD" w:rsidRPr="007661A3">
        <w:rPr>
          <w:szCs w:val="26"/>
        </w:rPr>
        <w:t>cuestiona</w:t>
      </w:r>
      <w:r w:rsidR="00AD3F05" w:rsidRPr="007661A3">
        <w:rPr>
          <w:szCs w:val="26"/>
        </w:rPr>
        <w:t xml:space="preserve"> las cuentas anuales del </w:t>
      </w:r>
      <w:r w:rsidR="00B3365F">
        <w:rPr>
          <w:szCs w:val="26"/>
        </w:rPr>
        <w:t>c</w:t>
      </w:r>
      <w:r w:rsidR="00AD3F05" w:rsidRPr="007661A3">
        <w:rPr>
          <w:szCs w:val="26"/>
        </w:rPr>
        <w:t>lub de los últimos años.</w:t>
      </w:r>
    </w:p>
    <w:p w:rsidR="00DD37F2" w:rsidRPr="002E1AF0" w:rsidRDefault="002E1AF0" w:rsidP="00C70C21">
      <w:pPr>
        <w:pStyle w:val="texto"/>
        <w:numPr>
          <w:ilvl w:val="0"/>
          <w:numId w:val="4"/>
        </w:numPr>
        <w:tabs>
          <w:tab w:val="num" w:pos="300"/>
          <w:tab w:val="num" w:pos="4920"/>
        </w:tabs>
        <w:rPr>
          <w:szCs w:val="26"/>
        </w:rPr>
      </w:pPr>
      <w:r w:rsidRPr="002E1AF0">
        <w:rPr>
          <w:b/>
          <w:szCs w:val="26"/>
        </w:rPr>
        <w:t>Evaluaci</w:t>
      </w:r>
      <w:r>
        <w:rPr>
          <w:b/>
          <w:szCs w:val="26"/>
        </w:rPr>
        <w:t>ón d</w:t>
      </w:r>
      <w:r w:rsidRPr="002E1AF0">
        <w:rPr>
          <w:b/>
          <w:szCs w:val="26"/>
        </w:rPr>
        <w:t>e</w:t>
      </w:r>
      <w:r>
        <w:rPr>
          <w:b/>
          <w:szCs w:val="26"/>
        </w:rPr>
        <w:t xml:space="preserve"> </w:t>
      </w:r>
      <w:r w:rsidRPr="002E1AF0">
        <w:rPr>
          <w:b/>
          <w:szCs w:val="26"/>
        </w:rPr>
        <w:t>las principales magnitudes financ</w:t>
      </w:r>
      <w:r>
        <w:rPr>
          <w:b/>
          <w:szCs w:val="26"/>
        </w:rPr>
        <w:t>ieras</w:t>
      </w:r>
    </w:p>
    <w:p w:rsidR="00DD37F2" w:rsidRDefault="00582A73" w:rsidP="009D0462">
      <w:pPr>
        <w:pStyle w:val="texto"/>
        <w:tabs>
          <w:tab w:val="num" w:pos="300"/>
          <w:tab w:val="num" w:pos="4920"/>
        </w:tabs>
        <w:rPr>
          <w:szCs w:val="26"/>
        </w:rPr>
      </w:pPr>
      <w:r>
        <w:rPr>
          <w:szCs w:val="26"/>
        </w:rPr>
        <w:t>En el cuadro siguiente se muestra</w:t>
      </w:r>
      <w:r w:rsidR="00DE0018">
        <w:rPr>
          <w:szCs w:val="26"/>
        </w:rPr>
        <w:t>, al objeto del informe,</w:t>
      </w:r>
      <w:r>
        <w:rPr>
          <w:szCs w:val="26"/>
        </w:rPr>
        <w:t xml:space="preserve"> la evolución de las principales magnitudes financieras</w:t>
      </w:r>
      <w:r w:rsidR="007661A3">
        <w:rPr>
          <w:szCs w:val="26"/>
        </w:rPr>
        <w:t>.</w:t>
      </w:r>
    </w:p>
    <w:p w:rsidR="00582A73" w:rsidRDefault="00582A73">
      <w:pPr>
        <w:spacing w:after="0"/>
        <w:ind w:firstLine="0"/>
        <w:jc w:val="left"/>
        <w:rPr>
          <w:spacing w:val="6"/>
          <w:sz w:val="26"/>
          <w:szCs w:val="26"/>
        </w:rPr>
      </w:pPr>
      <w:r>
        <w:rPr>
          <w:szCs w:val="26"/>
        </w:rPr>
        <w:br w:type="page"/>
      </w:r>
    </w:p>
    <w:p w:rsidR="009F3029" w:rsidRDefault="009F3029" w:rsidP="009D0462">
      <w:pPr>
        <w:pStyle w:val="texto"/>
        <w:tabs>
          <w:tab w:val="num" w:pos="300"/>
          <w:tab w:val="num" w:pos="4920"/>
        </w:tabs>
        <w:rPr>
          <w:szCs w:val="26"/>
        </w:rPr>
        <w:sectPr w:rsidR="009F3029" w:rsidSect="00897122">
          <w:headerReference w:type="even" r:id="rId14"/>
          <w:footerReference w:type="default" r:id="rId15"/>
          <w:pgSz w:w="11907" w:h="16840" w:code="9"/>
          <w:pgMar w:top="1985" w:right="1559" w:bottom="1644" w:left="1559" w:header="624" w:footer="136" w:gutter="0"/>
          <w:pgNumType w:start="3"/>
          <w:cols w:space="720"/>
          <w:docGrid w:linePitch="360"/>
        </w:sectPr>
      </w:pPr>
    </w:p>
    <w:p w:rsidR="00582A73" w:rsidRDefault="00582A73" w:rsidP="009D0462">
      <w:pPr>
        <w:pStyle w:val="texto"/>
        <w:tabs>
          <w:tab w:val="num" w:pos="300"/>
          <w:tab w:val="num" w:pos="4920"/>
        </w:tabs>
        <w:rPr>
          <w:szCs w:val="26"/>
        </w:rPr>
      </w:pPr>
    </w:p>
    <w:p w:rsidR="00E45FB3" w:rsidRDefault="00DB5026" w:rsidP="009D0462">
      <w:pPr>
        <w:pStyle w:val="texto"/>
        <w:tabs>
          <w:tab w:val="num" w:pos="300"/>
          <w:tab w:val="num" w:pos="4920"/>
        </w:tabs>
        <w:rPr>
          <w:szCs w:val="26"/>
        </w:rPr>
      </w:pPr>
      <w:r>
        <w:rPr>
          <w:szCs w:val="26"/>
        </w:rPr>
        <w:t>Cuadro. Evolución magnitudes Club Atlético Osasuna</w:t>
      </w:r>
    </w:p>
    <w:tbl>
      <w:tblPr>
        <w:tblW w:w="14457"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155"/>
        <w:gridCol w:w="1112"/>
        <w:gridCol w:w="1062"/>
        <w:gridCol w:w="922"/>
        <w:gridCol w:w="993"/>
        <w:gridCol w:w="1061"/>
        <w:gridCol w:w="1061"/>
        <w:gridCol w:w="1061"/>
        <w:gridCol w:w="1061"/>
        <w:gridCol w:w="1061"/>
        <w:gridCol w:w="976"/>
        <w:gridCol w:w="932"/>
      </w:tblGrid>
      <w:tr w:rsidR="00E45FB3" w:rsidRPr="00E517BF" w:rsidTr="0019331F">
        <w:trPr>
          <w:trHeight w:val="255"/>
          <w:jc w:val="center"/>
        </w:trPr>
        <w:tc>
          <w:tcPr>
            <w:tcW w:w="3155" w:type="dxa"/>
            <w:tcBorders>
              <w:top w:val="single" w:sz="4" w:space="0" w:color="auto"/>
              <w:bottom w:val="single" w:sz="2" w:space="0" w:color="auto"/>
            </w:tcBorders>
            <w:shd w:val="clear" w:color="auto" w:fill="8DB3E2" w:themeFill="text2" w:themeFillTint="66"/>
            <w:vAlign w:val="center"/>
          </w:tcPr>
          <w:p w:rsidR="00E45FB3" w:rsidRPr="00E517BF" w:rsidRDefault="00E45FB3" w:rsidP="0019331F">
            <w:pPr>
              <w:pStyle w:val="cuatexto"/>
              <w:ind w:left="-2"/>
              <w:jc w:val="left"/>
              <w:rPr>
                <w:rFonts w:ascii="Arial" w:hAnsi="Arial" w:cs="Arial"/>
                <w:sz w:val="16"/>
                <w:szCs w:val="16"/>
              </w:rPr>
            </w:pPr>
            <w:r>
              <w:rPr>
                <w:rFonts w:ascii="Arial" w:hAnsi="Arial" w:cs="Arial"/>
                <w:sz w:val="16"/>
                <w:szCs w:val="16"/>
              </w:rPr>
              <w:t>Magnitudes (miles de euros)</w:t>
            </w:r>
          </w:p>
        </w:tc>
        <w:tc>
          <w:tcPr>
            <w:tcW w:w="1112" w:type="dxa"/>
            <w:tcBorders>
              <w:top w:val="single" w:sz="4" w:space="0" w:color="auto"/>
              <w:bottom w:val="single" w:sz="2" w:space="0" w:color="auto"/>
            </w:tcBorders>
            <w:shd w:val="clear" w:color="auto" w:fill="8DB3E2" w:themeFill="text2" w:themeFillTint="66"/>
            <w:vAlign w:val="center"/>
          </w:tcPr>
          <w:p w:rsidR="00E45FB3" w:rsidRPr="00E517BF" w:rsidRDefault="00E45FB3" w:rsidP="0019331F">
            <w:pPr>
              <w:pStyle w:val="cuatexto"/>
              <w:ind w:left="-181"/>
              <w:jc w:val="right"/>
              <w:rPr>
                <w:rFonts w:ascii="Arial" w:hAnsi="Arial" w:cs="Arial"/>
                <w:sz w:val="16"/>
                <w:szCs w:val="16"/>
              </w:rPr>
            </w:pPr>
            <w:r>
              <w:rPr>
                <w:rFonts w:ascii="Arial" w:hAnsi="Arial" w:cs="Arial"/>
                <w:sz w:val="16"/>
                <w:szCs w:val="16"/>
              </w:rPr>
              <w:t>junio-04</w:t>
            </w:r>
          </w:p>
        </w:tc>
        <w:tc>
          <w:tcPr>
            <w:tcW w:w="1062" w:type="dxa"/>
            <w:tcBorders>
              <w:top w:val="single" w:sz="4" w:space="0" w:color="auto"/>
              <w:bottom w:val="single" w:sz="2" w:space="0" w:color="auto"/>
            </w:tcBorders>
            <w:shd w:val="clear" w:color="auto" w:fill="8DB3E2" w:themeFill="text2" w:themeFillTint="66"/>
            <w:vAlign w:val="center"/>
          </w:tcPr>
          <w:p w:rsidR="00E45FB3" w:rsidRPr="00E517BF" w:rsidRDefault="00E45FB3" w:rsidP="0019331F">
            <w:pPr>
              <w:pStyle w:val="cuatexto"/>
              <w:ind w:left="-181"/>
              <w:jc w:val="right"/>
              <w:rPr>
                <w:rFonts w:ascii="Arial" w:hAnsi="Arial" w:cs="Arial"/>
                <w:sz w:val="16"/>
                <w:szCs w:val="16"/>
              </w:rPr>
            </w:pPr>
            <w:r>
              <w:rPr>
                <w:rFonts w:ascii="Arial" w:hAnsi="Arial" w:cs="Arial"/>
                <w:sz w:val="16"/>
                <w:szCs w:val="16"/>
              </w:rPr>
              <w:t>junio-05</w:t>
            </w:r>
          </w:p>
        </w:tc>
        <w:tc>
          <w:tcPr>
            <w:tcW w:w="922" w:type="dxa"/>
            <w:tcBorders>
              <w:top w:val="single" w:sz="4" w:space="0" w:color="auto"/>
              <w:bottom w:val="single" w:sz="2" w:space="0" w:color="auto"/>
            </w:tcBorders>
            <w:shd w:val="clear" w:color="auto" w:fill="8DB3E2" w:themeFill="text2" w:themeFillTint="66"/>
            <w:vAlign w:val="center"/>
          </w:tcPr>
          <w:p w:rsidR="00E45FB3" w:rsidRPr="00E517BF" w:rsidRDefault="00E45FB3" w:rsidP="0019331F">
            <w:pPr>
              <w:pStyle w:val="cuatexto"/>
              <w:ind w:left="-181"/>
              <w:jc w:val="right"/>
              <w:rPr>
                <w:rFonts w:ascii="Arial" w:hAnsi="Arial" w:cs="Arial"/>
                <w:sz w:val="16"/>
                <w:szCs w:val="16"/>
              </w:rPr>
            </w:pPr>
            <w:r>
              <w:rPr>
                <w:rFonts w:ascii="Arial" w:hAnsi="Arial" w:cs="Arial"/>
                <w:sz w:val="16"/>
                <w:szCs w:val="16"/>
              </w:rPr>
              <w:t>junio-06</w:t>
            </w:r>
          </w:p>
        </w:tc>
        <w:tc>
          <w:tcPr>
            <w:tcW w:w="993" w:type="dxa"/>
            <w:tcBorders>
              <w:top w:val="single" w:sz="4" w:space="0" w:color="auto"/>
              <w:bottom w:val="single" w:sz="2" w:space="0" w:color="auto"/>
            </w:tcBorders>
            <w:shd w:val="clear" w:color="auto" w:fill="8DB3E2" w:themeFill="text2" w:themeFillTint="66"/>
            <w:vAlign w:val="center"/>
          </w:tcPr>
          <w:p w:rsidR="00E45FB3" w:rsidRPr="00E517BF" w:rsidRDefault="00E45FB3" w:rsidP="0019331F">
            <w:pPr>
              <w:pStyle w:val="cuatexto"/>
              <w:ind w:left="-181"/>
              <w:jc w:val="right"/>
              <w:rPr>
                <w:rFonts w:ascii="Arial" w:hAnsi="Arial" w:cs="Arial"/>
                <w:sz w:val="16"/>
                <w:szCs w:val="16"/>
              </w:rPr>
            </w:pPr>
            <w:r>
              <w:rPr>
                <w:rFonts w:ascii="Arial" w:hAnsi="Arial" w:cs="Arial"/>
                <w:sz w:val="16"/>
                <w:szCs w:val="16"/>
              </w:rPr>
              <w:t>junio-07</w:t>
            </w:r>
          </w:p>
        </w:tc>
        <w:tc>
          <w:tcPr>
            <w:tcW w:w="1061" w:type="dxa"/>
            <w:tcBorders>
              <w:top w:val="single" w:sz="4" w:space="0" w:color="auto"/>
              <w:bottom w:val="single" w:sz="2" w:space="0" w:color="auto"/>
            </w:tcBorders>
            <w:shd w:val="clear" w:color="auto" w:fill="8DB3E2" w:themeFill="text2" w:themeFillTint="66"/>
            <w:vAlign w:val="center"/>
          </w:tcPr>
          <w:p w:rsidR="00E45FB3" w:rsidRPr="00E517BF" w:rsidRDefault="00E45FB3" w:rsidP="0019331F">
            <w:pPr>
              <w:pStyle w:val="cuatexto"/>
              <w:ind w:left="-181"/>
              <w:jc w:val="right"/>
              <w:rPr>
                <w:rFonts w:ascii="Arial" w:hAnsi="Arial" w:cs="Arial"/>
                <w:sz w:val="16"/>
                <w:szCs w:val="16"/>
              </w:rPr>
            </w:pPr>
            <w:r>
              <w:rPr>
                <w:rFonts w:ascii="Arial" w:hAnsi="Arial" w:cs="Arial"/>
                <w:sz w:val="16"/>
                <w:szCs w:val="16"/>
              </w:rPr>
              <w:t>junio-08</w:t>
            </w:r>
          </w:p>
        </w:tc>
        <w:tc>
          <w:tcPr>
            <w:tcW w:w="1061" w:type="dxa"/>
            <w:tcBorders>
              <w:top w:val="single" w:sz="4" w:space="0" w:color="auto"/>
              <w:bottom w:val="single" w:sz="2" w:space="0" w:color="auto"/>
            </w:tcBorders>
            <w:shd w:val="clear" w:color="auto" w:fill="8DB3E2" w:themeFill="text2" w:themeFillTint="66"/>
            <w:vAlign w:val="center"/>
          </w:tcPr>
          <w:p w:rsidR="00E45FB3" w:rsidRPr="00E517BF" w:rsidRDefault="00E45FB3" w:rsidP="0019331F">
            <w:pPr>
              <w:pStyle w:val="cuatexto"/>
              <w:ind w:left="-181"/>
              <w:jc w:val="right"/>
              <w:rPr>
                <w:rFonts w:ascii="Arial" w:hAnsi="Arial" w:cs="Arial"/>
                <w:sz w:val="16"/>
                <w:szCs w:val="16"/>
              </w:rPr>
            </w:pPr>
            <w:r>
              <w:rPr>
                <w:rFonts w:ascii="Arial" w:hAnsi="Arial" w:cs="Arial"/>
                <w:sz w:val="16"/>
                <w:szCs w:val="16"/>
              </w:rPr>
              <w:t>junio-09</w:t>
            </w:r>
            <w:r w:rsidR="00190007">
              <w:rPr>
                <w:rFonts w:ascii="Arial" w:hAnsi="Arial" w:cs="Arial"/>
                <w:sz w:val="16"/>
                <w:szCs w:val="16"/>
              </w:rPr>
              <w:t xml:space="preserve"> </w:t>
            </w:r>
            <w:r w:rsidR="00190007" w:rsidRPr="00190007">
              <w:rPr>
                <w:sz w:val="18"/>
                <w:szCs w:val="18"/>
                <w:vertAlign w:val="superscript"/>
              </w:rPr>
              <w:t>(1)</w:t>
            </w:r>
          </w:p>
        </w:tc>
        <w:tc>
          <w:tcPr>
            <w:tcW w:w="1061" w:type="dxa"/>
            <w:tcBorders>
              <w:top w:val="single" w:sz="4" w:space="0" w:color="auto"/>
              <w:bottom w:val="single" w:sz="2" w:space="0" w:color="auto"/>
            </w:tcBorders>
            <w:shd w:val="clear" w:color="auto" w:fill="8DB3E2" w:themeFill="text2" w:themeFillTint="66"/>
            <w:vAlign w:val="center"/>
          </w:tcPr>
          <w:p w:rsidR="00E45FB3" w:rsidRPr="00E517BF" w:rsidRDefault="00E45FB3" w:rsidP="0019331F">
            <w:pPr>
              <w:pStyle w:val="cuatexto"/>
              <w:ind w:left="-181"/>
              <w:jc w:val="right"/>
              <w:rPr>
                <w:rFonts w:ascii="Arial" w:hAnsi="Arial" w:cs="Arial"/>
                <w:sz w:val="16"/>
                <w:szCs w:val="16"/>
              </w:rPr>
            </w:pPr>
            <w:r>
              <w:rPr>
                <w:rFonts w:ascii="Arial" w:hAnsi="Arial" w:cs="Arial"/>
                <w:sz w:val="16"/>
                <w:szCs w:val="16"/>
              </w:rPr>
              <w:t>junio-10</w:t>
            </w:r>
          </w:p>
        </w:tc>
        <w:tc>
          <w:tcPr>
            <w:tcW w:w="1061" w:type="dxa"/>
            <w:tcBorders>
              <w:top w:val="single" w:sz="4" w:space="0" w:color="auto"/>
              <w:bottom w:val="single" w:sz="2" w:space="0" w:color="auto"/>
            </w:tcBorders>
            <w:shd w:val="clear" w:color="auto" w:fill="8DB3E2" w:themeFill="text2" w:themeFillTint="66"/>
            <w:vAlign w:val="center"/>
          </w:tcPr>
          <w:p w:rsidR="00E45FB3" w:rsidRPr="00E517BF" w:rsidRDefault="00E45FB3" w:rsidP="0019331F">
            <w:pPr>
              <w:pStyle w:val="cuatexto"/>
              <w:ind w:left="-181"/>
              <w:jc w:val="right"/>
              <w:rPr>
                <w:rFonts w:ascii="Arial" w:hAnsi="Arial" w:cs="Arial"/>
                <w:sz w:val="16"/>
                <w:szCs w:val="16"/>
              </w:rPr>
            </w:pPr>
            <w:r>
              <w:rPr>
                <w:rFonts w:ascii="Arial" w:hAnsi="Arial" w:cs="Arial"/>
                <w:sz w:val="16"/>
                <w:szCs w:val="16"/>
              </w:rPr>
              <w:t>junio-11</w:t>
            </w:r>
          </w:p>
        </w:tc>
        <w:tc>
          <w:tcPr>
            <w:tcW w:w="1061" w:type="dxa"/>
            <w:tcBorders>
              <w:top w:val="single" w:sz="4" w:space="0" w:color="auto"/>
              <w:bottom w:val="single" w:sz="2" w:space="0" w:color="auto"/>
            </w:tcBorders>
            <w:shd w:val="clear" w:color="auto" w:fill="8DB3E2" w:themeFill="text2" w:themeFillTint="66"/>
            <w:vAlign w:val="center"/>
          </w:tcPr>
          <w:p w:rsidR="00E45FB3" w:rsidRPr="00E517BF" w:rsidRDefault="00E45FB3" w:rsidP="0019331F">
            <w:pPr>
              <w:pStyle w:val="cuatexto"/>
              <w:ind w:left="-181"/>
              <w:jc w:val="right"/>
              <w:rPr>
                <w:rFonts w:ascii="Arial" w:hAnsi="Arial" w:cs="Arial"/>
                <w:sz w:val="16"/>
                <w:szCs w:val="16"/>
              </w:rPr>
            </w:pPr>
            <w:r>
              <w:rPr>
                <w:rFonts w:ascii="Arial" w:hAnsi="Arial" w:cs="Arial"/>
                <w:sz w:val="16"/>
                <w:szCs w:val="16"/>
              </w:rPr>
              <w:t>junio-12</w:t>
            </w:r>
          </w:p>
        </w:tc>
        <w:tc>
          <w:tcPr>
            <w:tcW w:w="976" w:type="dxa"/>
            <w:tcBorders>
              <w:top w:val="single" w:sz="4" w:space="0" w:color="auto"/>
              <w:bottom w:val="single" w:sz="2" w:space="0" w:color="auto"/>
            </w:tcBorders>
            <w:shd w:val="clear" w:color="auto" w:fill="8DB3E2" w:themeFill="text2" w:themeFillTint="66"/>
            <w:vAlign w:val="center"/>
          </w:tcPr>
          <w:p w:rsidR="00E45FB3" w:rsidRDefault="00E45FB3" w:rsidP="0019331F">
            <w:pPr>
              <w:pStyle w:val="cuatexto"/>
              <w:ind w:left="-181"/>
              <w:jc w:val="right"/>
              <w:rPr>
                <w:rFonts w:ascii="Arial" w:hAnsi="Arial" w:cs="Arial"/>
                <w:sz w:val="16"/>
                <w:szCs w:val="16"/>
              </w:rPr>
            </w:pPr>
            <w:r>
              <w:rPr>
                <w:rFonts w:ascii="Arial" w:hAnsi="Arial" w:cs="Arial"/>
                <w:sz w:val="16"/>
                <w:szCs w:val="16"/>
              </w:rPr>
              <w:t>junio-13</w:t>
            </w:r>
          </w:p>
        </w:tc>
        <w:tc>
          <w:tcPr>
            <w:tcW w:w="932" w:type="dxa"/>
            <w:tcBorders>
              <w:top w:val="single" w:sz="4" w:space="0" w:color="auto"/>
              <w:bottom w:val="single" w:sz="2" w:space="0" w:color="auto"/>
            </w:tcBorders>
            <w:shd w:val="clear" w:color="auto" w:fill="8DB3E2" w:themeFill="text2" w:themeFillTint="66"/>
            <w:vAlign w:val="center"/>
          </w:tcPr>
          <w:p w:rsidR="00E45FB3" w:rsidRPr="00E517BF" w:rsidRDefault="00E45FB3" w:rsidP="0019331F">
            <w:pPr>
              <w:pStyle w:val="cuatexto"/>
              <w:ind w:left="-181"/>
              <w:jc w:val="right"/>
              <w:rPr>
                <w:rFonts w:ascii="Arial" w:hAnsi="Arial" w:cs="Arial"/>
                <w:sz w:val="16"/>
                <w:szCs w:val="16"/>
              </w:rPr>
            </w:pPr>
            <w:r>
              <w:rPr>
                <w:rFonts w:ascii="Arial" w:hAnsi="Arial" w:cs="Arial"/>
                <w:sz w:val="16"/>
                <w:szCs w:val="16"/>
              </w:rPr>
              <w:t>junio-14</w:t>
            </w:r>
          </w:p>
        </w:tc>
      </w:tr>
      <w:tr w:rsidR="00E45FB3" w:rsidRPr="00E517BF" w:rsidTr="0019331F">
        <w:trPr>
          <w:trHeight w:val="255"/>
          <w:jc w:val="center"/>
        </w:trPr>
        <w:tc>
          <w:tcPr>
            <w:tcW w:w="3155" w:type="dxa"/>
            <w:tcBorders>
              <w:top w:val="single" w:sz="4" w:space="0" w:color="auto"/>
              <w:bottom w:val="single" w:sz="2" w:space="0" w:color="auto"/>
            </w:tcBorders>
            <w:vAlign w:val="bottom"/>
          </w:tcPr>
          <w:p w:rsidR="00E45FB3" w:rsidRPr="00E517BF" w:rsidRDefault="00E45FB3" w:rsidP="0019331F">
            <w:pPr>
              <w:pStyle w:val="cuatexto"/>
              <w:ind w:left="-2"/>
              <w:jc w:val="left"/>
              <w:rPr>
                <w:sz w:val="18"/>
                <w:szCs w:val="18"/>
              </w:rPr>
            </w:pPr>
            <w:r w:rsidRPr="00E517BF">
              <w:rPr>
                <w:sz w:val="18"/>
                <w:szCs w:val="18"/>
              </w:rPr>
              <w:t>Patrimonio Neto</w:t>
            </w:r>
          </w:p>
        </w:tc>
        <w:tc>
          <w:tcPr>
            <w:tcW w:w="1112" w:type="dxa"/>
            <w:tcBorders>
              <w:top w:val="single" w:sz="4" w:space="0" w:color="auto"/>
              <w:bottom w:val="single" w:sz="2" w:space="0" w:color="auto"/>
            </w:tcBorders>
            <w:vAlign w:val="bottom"/>
          </w:tcPr>
          <w:p w:rsidR="00E45FB3" w:rsidRPr="00E517BF" w:rsidRDefault="00E45FB3" w:rsidP="0019331F">
            <w:pPr>
              <w:pStyle w:val="cuatexto"/>
              <w:ind w:left="-181"/>
              <w:jc w:val="right"/>
              <w:rPr>
                <w:sz w:val="18"/>
                <w:szCs w:val="18"/>
              </w:rPr>
            </w:pPr>
            <w:r w:rsidRPr="00E517BF">
              <w:rPr>
                <w:sz w:val="18"/>
                <w:szCs w:val="18"/>
              </w:rPr>
              <w:t>3.675</w:t>
            </w:r>
          </w:p>
        </w:tc>
        <w:tc>
          <w:tcPr>
            <w:tcW w:w="1062" w:type="dxa"/>
            <w:tcBorders>
              <w:top w:val="single" w:sz="4" w:space="0" w:color="auto"/>
              <w:bottom w:val="single" w:sz="2" w:space="0" w:color="auto"/>
            </w:tcBorders>
            <w:vAlign w:val="bottom"/>
          </w:tcPr>
          <w:p w:rsidR="00E45FB3" w:rsidRPr="00E517BF" w:rsidRDefault="00E45FB3" w:rsidP="0019331F">
            <w:pPr>
              <w:pStyle w:val="cuatexto"/>
              <w:ind w:left="-181"/>
              <w:jc w:val="right"/>
              <w:rPr>
                <w:sz w:val="18"/>
                <w:szCs w:val="18"/>
              </w:rPr>
            </w:pPr>
            <w:r w:rsidRPr="00E517BF">
              <w:rPr>
                <w:sz w:val="18"/>
                <w:szCs w:val="18"/>
              </w:rPr>
              <w:t>5.573</w:t>
            </w:r>
          </w:p>
        </w:tc>
        <w:tc>
          <w:tcPr>
            <w:tcW w:w="922" w:type="dxa"/>
            <w:tcBorders>
              <w:top w:val="single" w:sz="4" w:space="0" w:color="auto"/>
              <w:bottom w:val="single" w:sz="2" w:space="0" w:color="auto"/>
            </w:tcBorders>
            <w:vAlign w:val="bottom"/>
          </w:tcPr>
          <w:p w:rsidR="00E45FB3" w:rsidRPr="00E517BF" w:rsidRDefault="00E45FB3" w:rsidP="0019331F">
            <w:pPr>
              <w:pStyle w:val="cuatexto"/>
              <w:ind w:left="-181"/>
              <w:jc w:val="right"/>
              <w:rPr>
                <w:sz w:val="18"/>
                <w:szCs w:val="18"/>
              </w:rPr>
            </w:pPr>
            <w:r w:rsidRPr="00E517BF">
              <w:rPr>
                <w:sz w:val="18"/>
                <w:szCs w:val="18"/>
              </w:rPr>
              <w:t>7.441</w:t>
            </w:r>
          </w:p>
        </w:tc>
        <w:tc>
          <w:tcPr>
            <w:tcW w:w="993" w:type="dxa"/>
            <w:tcBorders>
              <w:top w:val="single" w:sz="4" w:space="0" w:color="auto"/>
              <w:bottom w:val="single" w:sz="2" w:space="0" w:color="auto"/>
            </w:tcBorders>
            <w:vAlign w:val="bottom"/>
          </w:tcPr>
          <w:p w:rsidR="00E45FB3" w:rsidRPr="00E517BF" w:rsidRDefault="00E45FB3" w:rsidP="0019331F">
            <w:pPr>
              <w:pStyle w:val="cuatexto"/>
              <w:ind w:left="-181"/>
              <w:jc w:val="right"/>
              <w:rPr>
                <w:sz w:val="18"/>
                <w:szCs w:val="18"/>
              </w:rPr>
            </w:pPr>
            <w:r w:rsidRPr="00E517BF">
              <w:rPr>
                <w:sz w:val="18"/>
                <w:szCs w:val="18"/>
              </w:rPr>
              <w:t>16.768</w:t>
            </w:r>
          </w:p>
        </w:tc>
        <w:tc>
          <w:tcPr>
            <w:tcW w:w="1061" w:type="dxa"/>
            <w:tcBorders>
              <w:top w:val="single" w:sz="4" w:space="0" w:color="auto"/>
              <w:bottom w:val="single" w:sz="2" w:space="0" w:color="auto"/>
            </w:tcBorders>
            <w:vAlign w:val="bottom"/>
          </w:tcPr>
          <w:p w:rsidR="00E45FB3" w:rsidRPr="00E517BF" w:rsidRDefault="00E45FB3" w:rsidP="0019331F">
            <w:pPr>
              <w:pStyle w:val="cuatexto"/>
              <w:ind w:left="-181"/>
              <w:jc w:val="right"/>
              <w:rPr>
                <w:sz w:val="18"/>
                <w:szCs w:val="18"/>
              </w:rPr>
            </w:pPr>
            <w:r w:rsidRPr="00E517BF">
              <w:rPr>
                <w:sz w:val="18"/>
                <w:szCs w:val="18"/>
              </w:rPr>
              <w:t>15.810</w:t>
            </w:r>
          </w:p>
        </w:tc>
        <w:tc>
          <w:tcPr>
            <w:tcW w:w="1061" w:type="dxa"/>
            <w:tcBorders>
              <w:top w:val="single" w:sz="4" w:space="0" w:color="auto"/>
              <w:bottom w:val="single" w:sz="2" w:space="0" w:color="auto"/>
            </w:tcBorders>
            <w:vAlign w:val="bottom"/>
          </w:tcPr>
          <w:p w:rsidR="00E45FB3" w:rsidRPr="00E517BF" w:rsidRDefault="00E45FB3" w:rsidP="0019331F">
            <w:pPr>
              <w:pStyle w:val="cuatexto"/>
              <w:ind w:left="-181"/>
              <w:jc w:val="right"/>
              <w:rPr>
                <w:sz w:val="18"/>
                <w:szCs w:val="18"/>
              </w:rPr>
            </w:pPr>
            <w:r w:rsidRPr="00E517BF">
              <w:rPr>
                <w:sz w:val="18"/>
                <w:szCs w:val="18"/>
              </w:rPr>
              <w:t>15.485</w:t>
            </w:r>
          </w:p>
        </w:tc>
        <w:tc>
          <w:tcPr>
            <w:tcW w:w="1061" w:type="dxa"/>
            <w:tcBorders>
              <w:top w:val="single" w:sz="4" w:space="0" w:color="auto"/>
              <w:bottom w:val="single" w:sz="2" w:space="0" w:color="auto"/>
            </w:tcBorders>
            <w:vAlign w:val="bottom"/>
          </w:tcPr>
          <w:p w:rsidR="00E45FB3" w:rsidRPr="00E517BF" w:rsidRDefault="00E45FB3" w:rsidP="0019331F">
            <w:pPr>
              <w:pStyle w:val="cuatexto"/>
              <w:ind w:left="-181"/>
              <w:jc w:val="right"/>
              <w:rPr>
                <w:sz w:val="18"/>
                <w:szCs w:val="18"/>
              </w:rPr>
            </w:pPr>
            <w:r w:rsidRPr="00E517BF">
              <w:rPr>
                <w:sz w:val="18"/>
                <w:szCs w:val="18"/>
              </w:rPr>
              <w:t>15.311</w:t>
            </w:r>
          </w:p>
        </w:tc>
        <w:tc>
          <w:tcPr>
            <w:tcW w:w="1061" w:type="dxa"/>
            <w:tcBorders>
              <w:top w:val="single" w:sz="4" w:space="0" w:color="auto"/>
              <w:bottom w:val="single" w:sz="2" w:space="0" w:color="auto"/>
            </w:tcBorders>
            <w:vAlign w:val="bottom"/>
          </w:tcPr>
          <w:p w:rsidR="00E45FB3" w:rsidRPr="00E517BF" w:rsidRDefault="00E45FB3" w:rsidP="0019331F">
            <w:pPr>
              <w:pStyle w:val="cuatexto"/>
              <w:ind w:left="-181"/>
              <w:jc w:val="right"/>
              <w:rPr>
                <w:sz w:val="18"/>
                <w:szCs w:val="18"/>
              </w:rPr>
            </w:pPr>
            <w:r w:rsidRPr="00E517BF">
              <w:rPr>
                <w:sz w:val="18"/>
                <w:szCs w:val="18"/>
              </w:rPr>
              <w:t>16.358</w:t>
            </w:r>
          </w:p>
        </w:tc>
        <w:tc>
          <w:tcPr>
            <w:tcW w:w="1061" w:type="dxa"/>
            <w:tcBorders>
              <w:top w:val="single" w:sz="4" w:space="0" w:color="auto"/>
              <w:bottom w:val="single" w:sz="2" w:space="0" w:color="auto"/>
            </w:tcBorders>
            <w:vAlign w:val="bottom"/>
          </w:tcPr>
          <w:p w:rsidR="00E45FB3" w:rsidRPr="00E517BF" w:rsidRDefault="00E45FB3" w:rsidP="0019331F">
            <w:pPr>
              <w:pStyle w:val="cuatexto"/>
              <w:ind w:left="-181"/>
              <w:jc w:val="right"/>
              <w:rPr>
                <w:sz w:val="18"/>
                <w:szCs w:val="18"/>
              </w:rPr>
            </w:pPr>
            <w:r w:rsidRPr="00E517BF">
              <w:rPr>
                <w:sz w:val="18"/>
                <w:szCs w:val="18"/>
              </w:rPr>
              <w:t>14.566</w:t>
            </w:r>
          </w:p>
        </w:tc>
        <w:tc>
          <w:tcPr>
            <w:tcW w:w="976" w:type="dxa"/>
            <w:tcBorders>
              <w:top w:val="single" w:sz="4" w:space="0" w:color="auto"/>
              <w:bottom w:val="single" w:sz="2" w:space="0" w:color="auto"/>
            </w:tcBorders>
            <w:vAlign w:val="bottom"/>
          </w:tcPr>
          <w:p w:rsidR="00E45FB3" w:rsidRPr="00E517BF" w:rsidRDefault="00E45FB3" w:rsidP="0019331F">
            <w:pPr>
              <w:pStyle w:val="cuatexto"/>
              <w:ind w:left="-181"/>
              <w:jc w:val="right"/>
              <w:rPr>
                <w:sz w:val="18"/>
                <w:szCs w:val="18"/>
              </w:rPr>
            </w:pPr>
            <w:r w:rsidRPr="00E517BF">
              <w:rPr>
                <w:sz w:val="18"/>
                <w:szCs w:val="18"/>
              </w:rPr>
              <w:t>7.954</w:t>
            </w:r>
          </w:p>
        </w:tc>
        <w:tc>
          <w:tcPr>
            <w:tcW w:w="932" w:type="dxa"/>
            <w:tcBorders>
              <w:top w:val="single" w:sz="4" w:space="0" w:color="auto"/>
              <w:bottom w:val="single" w:sz="2" w:space="0" w:color="auto"/>
            </w:tcBorders>
            <w:vAlign w:val="bottom"/>
          </w:tcPr>
          <w:p w:rsidR="00E45FB3" w:rsidRPr="00E517BF" w:rsidRDefault="00E45FB3" w:rsidP="0019331F">
            <w:pPr>
              <w:pStyle w:val="cuatexto"/>
              <w:ind w:left="-181"/>
              <w:jc w:val="right"/>
              <w:rPr>
                <w:sz w:val="18"/>
                <w:szCs w:val="18"/>
              </w:rPr>
            </w:pPr>
            <w:r>
              <w:rPr>
                <w:sz w:val="18"/>
                <w:szCs w:val="18"/>
              </w:rPr>
              <w:t>3.466</w:t>
            </w:r>
          </w:p>
        </w:tc>
      </w:tr>
      <w:tr w:rsidR="00E45FB3" w:rsidRPr="00E517BF" w:rsidTr="0019331F">
        <w:trPr>
          <w:trHeight w:val="255"/>
          <w:jc w:val="center"/>
        </w:trPr>
        <w:tc>
          <w:tcPr>
            <w:tcW w:w="3155" w:type="dxa"/>
            <w:tcBorders>
              <w:top w:val="single" w:sz="2" w:space="0" w:color="auto"/>
              <w:bottom w:val="single" w:sz="2" w:space="0" w:color="auto"/>
            </w:tcBorders>
            <w:vAlign w:val="center"/>
          </w:tcPr>
          <w:p w:rsidR="00E45FB3" w:rsidRPr="00E517BF" w:rsidRDefault="00E45FB3" w:rsidP="0019331F">
            <w:pPr>
              <w:pStyle w:val="cuatexto"/>
              <w:ind w:left="-2"/>
              <w:jc w:val="left"/>
              <w:rPr>
                <w:sz w:val="18"/>
                <w:szCs w:val="18"/>
              </w:rPr>
            </w:pPr>
          </w:p>
        </w:tc>
        <w:tc>
          <w:tcPr>
            <w:tcW w:w="111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106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92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993"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976"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932" w:type="dxa"/>
            <w:tcBorders>
              <w:top w:val="single" w:sz="2" w:space="0" w:color="auto"/>
              <w:bottom w:val="single" w:sz="2" w:space="0" w:color="auto"/>
            </w:tcBorders>
            <w:vAlign w:val="center"/>
          </w:tcPr>
          <w:p w:rsidR="00E45FB3" w:rsidRDefault="00E45FB3" w:rsidP="0019331F">
            <w:pPr>
              <w:pStyle w:val="cuatexto"/>
              <w:ind w:left="-181"/>
              <w:jc w:val="right"/>
              <w:rPr>
                <w:sz w:val="18"/>
                <w:szCs w:val="18"/>
              </w:rPr>
            </w:pPr>
          </w:p>
        </w:tc>
      </w:tr>
      <w:tr w:rsidR="00E45FB3" w:rsidRPr="00E517BF" w:rsidTr="0019331F">
        <w:trPr>
          <w:trHeight w:val="255"/>
          <w:jc w:val="center"/>
        </w:trPr>
        <w:tc>
          <w:tcPr>
            <w:tcW w:w="3155" w:type="dxa"/>
            <w:tcBorders>
              <w:top w:val="single" w:sz="2" w:space="0" w:color="auto"/>
              <w:bottom w:val="single" w:sz="2" w:space="0" w:color="auto"/>
            </w:tcBorders>
            <w:vAlign w:val="center"/>
          </w:tcPr>
          <w:p w:rsidR="00E45FB3" w:rsidRPr="00E517BF" w:rsidRDefault="00E45FB3" w:rsidP="0019331F">
            <w:pPr>
              <w:pStyle w:val="cuatexto"/>
              <w:ind w:left="-2"/>
              <w:jc w:val="left"/>
              <w:rPr>
                <w:sz w:val="18"/>
                <w:szCs w:val="18"/>
              </w:rPr>
            </w:pPr>
            <w:r w:rsidRPr="00E517BF">
              <w:rPr>
                <w:sz w:val="18"/>
                <w:szCs w:val="18"/>
              </w:rPr>
              <w:t>Deuda a LP entidades financieras</w:t>
            </w:r>
          </w:p>
        </w:tc>
        <w:tc>
          <w:tcPr>
            <w:tcW w:w="111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19.910</w:t>
            </w:r>
          </w:p>
        </w:tc>
        <w:tc>
          <w:tcPr>
            <w:tcW w:w="106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17.306</w:t>
            </w:r>
          </w:p>
        </w:tc>
        <w:tc>
          <w:tcPr>
            <w:tcW w:w="92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16.844</w:t>
            </w:r>
          </w:p>
        </w:tc>
        <w:tc>
          <w:tcPr>
            <w:tcW w:w="993"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16.663</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16.315</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21.907</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17.340</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18.015</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14.199</w:t>
            </w:r>
          </w:p>
        </w:tc>
        <w:tc>
          <w:tcPr>
            <w:tcW w:w="976"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11.854</w:t>
            </w:r>
          </w:p>
        </w:tc>
        <w:tc>
          <w:tcPr>
            <w:tcW w:w="93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Pr>
                <w:sz w:val="18"/>
                <w:szCs w:val="18"/>
              </w:rPr>
              <w:t>9.443</w:t>
            </w:r>
          </w:p>
        </w:tc>
      </w:tr>
      <w:tr w:rsidR="00E45FB3" w:rsidRPr="00E517BF" w:rsidTr="0019331F">
        <w:trPr>
          <w:trHeight w:val="255"/>
          <w:jc w:val="center"/>
        </w:trPr>
        <w:tc>
          <w:tcPr>
            <w:tcW w:w="3155" w:type="dxa"/>
            <w:tcBorders>
              <w:top w:val="single" w:sz="2" w:space="0" w:color="auto"/>
              <w:bottom w:val="single" w:sz="2" w:space="0" w:color="auto"/>
            </w:tcBorders>
            <w:vAlign w:val="center"/>
          </w:tcPr>
          <w:p w:rsidR="00E45FB3" w:rsidRPr="00E517BF" w:rsidRDefault="00E45FB3" w:rsidP="0019331F">
            <w:pPr>
              <w:pStyle w:val="cuatexto"/>
              <w:ind w:left="-2"/>
              <w:jc w:val="left"/>
              <w:rPr>
                <w:sz w:val="18"/>
                <w:szCs w:val="18"/>
              </w:rPr>
            </w:pPr>
            <w:r w:rsidRPr="00E517BF">
              <w:rPr>
                <w:sz w:val="18"/>
                <w:szCs w:val="18"/>
              </w:rPr>
              <w:t>Deuda a CP entidades financieras</w:t>
            </w:r>
          </w:p>
        </w:tc>
        <w:tc>
          <w:tcPr>
            <w:tcW w:w="111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3.500</w:t>
            </w:r>
          </w:p>
        </w:tc>
        <w:tc>
          <w:tcPr>
            <w:tcW w:w="106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8.971</w:t>
            </w:r>
          </w:p>
        </w:tc>
        <w:tc>
          <w:tcPr>
            <w:tcW w:w="92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11.331</w:t>
            </w:r>
          </w:p>
        </w:tc>
        <w:tc>
          <w:tcPr>
            <w:tcW w:w="993"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11.801</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19.970</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8.629</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10.115</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13.329</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12.393</w:t>
            </w:r>
          </w:p>
        </w:tc>
        <w:tc>
          <w:tcPr>
            <w:tcW w:w="976"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6.960</w:t>
            </w:r>
          </w:p>
        </w:tc>
        <w:tc>
          <w:tcPr>
            <w:tcW w:w="93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Pr>
                <w:sz w:val="18"/>
                <w:szCs w:val="18"/>
              </w:rPr>
              <w:t>3.368</w:t>
            </w:r>
          </w:p>
        </w:tc>
      </w:tr>
      <w:tr w:rsidR="00E45FB3" w:rsidRPr="00E517BF" w:rsidTr="0019331F">
        <w:trPr>
          <w:trHeight w:val="255"/>
          <w:jc w:val="center"/>
        </w:trPr>
        <w:tc>
          <w:tcPr>
            <w:tcW w:w="3155" w:type="dxa"/>
            <w:tcBorders>
              <w:top w:val="single" w:sz="2" w:space="0" w:color="auto"/>
              <w:bottom w:val="single" w:sz="2" w:space="0" w:color="auto"/>
            </w:tcBorders>
            <w:vAlign w:val="center"/>
          </w:tcPr>
          <w:p w:rsidR="00E45FB3" w:rsidRPr="00E517BF" w:rsidRDefault="006560B9" w:rsidP="006560B9">
            <w:pPr>
              <w:pStyle w:val="cuatexto"/>
              <w:ind w:left="-2"/>
              <w:jc w:val="left"/>
              <w:rPr>
                <w:b/>
                <w:bCs/>
                <w:sz w:val="18"/>
                <w:szCs w:val="18"/>
              </w:rPr>
            </w:pPr>
            <w:r>
              <w:rPr>
                <w:b/>
                <w:bCs/>
                <w:sz w:val="18"/>
                <w:szCs w:val="18"/>
              </w:rPr>
              <w:t>D</w:t>
            </w:r>
            <w:r w:rsidR="00E45FB3" w:rsidRPr="00E517BF">
              <w:rPr>
                <w:b/>
                <w:bCs/>
                <w:sz w:val="18"/>
                <w:szCs w:val="18"/>
              </w:rPr>
              <w:t>euda</w:t>
            </w:r>
            <w:r>
              <w:rPr>
                <w:b/>
                <w:bCs/>
                <w:sz w:val="18"/>
                <w:szCs w:val="18"/>
              </w:rPr>
              <w:t xml:space="preserve"> con</w:t>
            </w:r>
            <w:r w:rsidR="00E45FB3" w:rsidRPr="00E517BF">
              <w:rPr>
                <w:b/>
                <w:bCs/>
                <w:sz w:val="18"/>
                <w:szCs w:val="18"/>
              </w:rPr>
              <w:t xml:space="preserve"> entidades financieras</w:t>
            </w:r>
          </w:p>
        </w:tc>
        <w:tc>
          <w:tcPr>
            <w:tcW w:w="1112" w:type="dxa"/>
            <w:tcBorders>
              <w:top w:val="single" w:sz="2" w:space="0" w:color="auto"/>
              <w:bottom w:val="single" w:sz="2" w:space="0" w:color="auto"/>
            </w:tcBorders>
            <w:vAlign w:val="center"/>
          </w:tcPr>
          <w:p w:rsidR="00E45FB3" w:rsidRPr="00E517BF" w:rsidRDefault="00E45FB3" w:rsidP="0019331F">
            <w:pPr>
              <w:pStyle w:val="cuatexto"/>
              <w:ind w:left="-181"/>
              <w:jc w:val="right"/>
              <w:rPr>
                <w:b/>
                <w:bCs/>
                <w:sz w:val="18"/>
                <w:szCs w:val="18"/>
              </w:rPr>
            </w:pPr>
            <w:r w:rsidRPr="00E517BF">
              <w:rPr>
                <w:b/>
                <w:bCs/>
                <w:sz w:val="18"/>
                <w:szCs w:val="18"/>
              </w:rPr>
              <w:t>23.410</w:t>
            </w:r>
          </w:p>
        </w:tc>
        <w:tc>
          <w:tcPr>
            <w:tcW w:w="1062" w:type="dxa"/>
            <w:tcBorders>
              <w:top w:val="single" w:sz="2" w:space="0" w:color="auto"/>
              <w:bottom w:val="single" w:sz="2" w:space="0" w:color="auto"/>
            </w:tcBorders>
            <w:vAlign w:val="center"/>
          </w:tcPr>
          <w:p w:rsidR="00E45FB3" w:rsidRPr="00E517BF" w:rsidRDefault="00E45FB3" w:rsidP="0019331F">
            <w:pPr>
              <w:pStyle w:val="cuatexto"/>
              <w:ind w:left="-181"/>
              <w:jc w:val="right"/>
              <w:rPr>
                <w:b/>
                <w:bCs/>
                <w:sz w:val="18"/>
                <w:szCs w:val="18"/>
              </w:rPr>
            </w:pPr>
            <w:r w:rsidRPr="00E517BF">
              <w:rPr>
                <w:b/>
                <w:bCs/>
                <w:sz w:val="18"/>
                <w:szCs w:val="18"/>
              </w:rPr>
              <w:t>26.277</w:t>
            </w:r>
          </w:p>
        </w:tc>
        <w:tc>
          <w:tcPr>
            <w:tcW w:w="922" w:type="dxa"/>
            <w:tcBorders>
              <w:top w:val="single" w:sz="2" w:space="0" w:color="auto"/>
              <w:bottom w:val="single" w:sz="2" w:space="0" w:color="auto"/>
            </w:tcBorders>
            <w:vAlign w:val="center"/>
          </w:tcPr>
          <w:p w:rsidR="00E45FB3" w:rsidRPr="00E517BF" w:rsidRDefault="00E45FB3" w:rsidP="0019331F">
            <w:pPr>
              <w:pStyle w:val="cuatexto"/>
              <w:ind w:left="-181"/>
              <w:jc w:val="right"/>
              <w:rPr>
                <w:b/>
                <w:bCs/>
                <w:sz w:val="18"/>
                <w:szCs w:val="18"/>
              </w:rPr>
            </w:pPr>
            <w:r w:rsidRPr="00E517BF">
              <w:rPr>
                <w:b/>
                <w:bCs/>
                <w:sz w:val="18"/>
                <w:szCs w:val="18"/>
              </w:rPr>
              <w:t>28.175</w:t>
            </w:r>
          </w:p>
        </w:tc>
        <w:tc>
          <w:tcPr>
            <w:tcW w:w="993" w:type="dxa"/>
            <w:tcBorders>
              <w:top w:val="single" w:sz="2" w:space="0" w:color="auto"/>
              <w:bottom w:val="single" w:sz="2" w:space="0" w:color="auto"/>
            </w:tcBorders>
            <w:vAlign w:val="center"/>
          </w:tcPr>
          <w:p w:rsidR="00E45FB3" w:rsidRPr="00E517BF" w:rsidRDefault="00E45FB3" w:rsidP="0019331F">
            <w:pPr>
              <w:pStyle w:val="cuatexto"/>
              <w:ind w:left="-181"/>
              <w:jc w:val="right"/>
              <w:rPr>
                <w:b/>
                <w:bCs/>
                <w:sz w:val="18"/>
                <w:szCs w:val="18"/>
              </w:rPr>
            </w:pPr>
            <w:r w:rsidRPr="00E517BF">
              <w:rPr>
                <w:b/>
                <w:bCs/>
                <w:sz w:val="18"/>
                <w:szCs w:val="18"/>
              </w:rPr>
              <w:t>28.464</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b/>
                <w:bCs/>
                <w:sz w:val="18"/>
                <w:szCs w:val="18"/>
              </w:rPr>
            </w:pPr>
            <w:r w:rsidRPr="00E517BF">
              <w:rPr>
                <w:b/>
                <w:bCs/>
                <w:sz w:val="18"/>
                <w:szCs w:val="18"/>
              </w:rPr>
              <w:t>36.285</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b/>
                <w:bCs/>
                <w:sz w:val="18"/>
                <w:szCs w:val="18"/>
              </w:rPr>
            </w:pPr>
            <w:r w:rsidRPr="00E517BF">
              <w:rPr>
                <w:b/>
                <w:bCs/>
                <w:sz w:val="18"/>
                <w:szCs w:val="18"/>
              </w:rPr>
              <w:t>30.536</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b/>
                <w:bCs/>
                <w:sz w:val="18"/>
                <w:szCs w:val="18"/>
              </w:rPr>
            </w:pPr>
            <w:r w:rsidRPr="00E517BF">
              <w:rPr>
                <w:b/>
                <w:bCs/>
                <w:sz w:val="18"/>
                <w:szCs w:val="18"/>
              </w:rPr>
              <w:t>27.455</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b/>
                <w:bCs/>
                <w:sz w:val="18"/>
                <w:szCs w:val="18"/>
              </w:rPr>
            </w:pPr>
            <w:r w:rsidRPr="00E517BF">
              <w:rPr>
                <w:b/>
                <w:bCs/>
                <w:sz w:val="18"/>
                <w:szCs w:val="18"/>
              </w:rPr>
              <w:t>31.344</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b/>
                <w:bCs/>
                <w:sz w:val="18"/>
                <w:szCs w:val="18"/>
              </w:rPr>
            </w:pPr>
            <w:r w:rsidRPr="00E517BF">
              <w:rPr>
                <w:b/>
                <w:bCs/>
                <w:sz w:val="18"/>
                <w:szCs w:val="18"/>
              </w:rPr>
              <w:t>26.592</w:t>
            </w:r>
          </w:p>
        </w:tc>
        <w:tc>
          <w:tcPr>
            <w:tcW w:w="976" w:type="dxa"/>
            <w:tcBorders>
              <w:top w:val="single" w:sz="2" w:space="0" w:color="auto"/>
              <w:bottom w:val="single" w:sz="2" w:space="0" w:color="auto"/>
            </w:tcBorders>
            <w:vAlign w:val="center"/>
          </w:tcPr>
          <w:p w:rsidR="00E45FB3" w:rsidRPr="00E517BF" w:rsidRDefault="00E45FB3" w:rsidP="0019331F">
            <w:pPr>
              <w:pStyle w:val="cuatexto"/>
              <w:ind w:left="-181"/>
              <w:jc w:val="right"/>
              <w:rPr>
                <w:b/>
                <w:bCs/>
                <w:sz w:val="18"/>
                <w:szCs w:val="18"/>
              </w:rPr>
            </w:pPr>
            <w:r w:rsidRPr="00E517BF">
              <w:rPr>
                <w:b/>
                <w:bCs/>
                <w:sz w:val="18"/>
                <w:szCs w:val="18"/>
              </w:rPr>
              <w:t>18.814</w:t>
            </w:r>
          </w:p>
        </w:tc>
        <w:tc>
          <w:tcPr>
            <w:tcW w:w="932" w:type="dxa"/>
            <w:tcBorders>
              <w:top w:val="single" w:sz="2" w:space="0" w:color="auto"/>
              <w:bottom w:val="single" w:sz="2" w:space="0" w:color="auto"/>
            </w:tcBorders>
            <w:vAlign w:val="center"/>
          </w:tcPr>
          <w:p w:rsidR="00E45FB3" w:rsidRPr="00E517BF" w:rsidRDefault="00E45FB3" w:rsidP="0019331F">
            <w:pPr>
              <w:pStyle w:val="cuatexto"/>
              <w:ind w:left="-181"/>
              <w:jc w:val="right"/>
              <w:rPr>
                <w:b/>
                <w:bCs/>
                <w:sz w:val="18"/>
                <w:szCs w:val="18"/>
              </w:rPr>
            </w:pPr>
            <w:r>
              <w:rPr>
                <w:b/>
                <w:bCs/>
                <w:sz w:val="18"/>
                <w:szCs w:val="18"/>
              </w:rPr>
              <w:t>12.811</w:t>
            </w:r>
          </w:p>
        </w:tc>
      </w:tr>
      <w:tr w:rsidR="00E45FB3" w:rsidRPr="00E517BF" w:rsidTr="0019331F">
        <w:trPr>
          <w:trHeight w:val="255"/>
          <w:jc w:val="center"/>
        </w:trPr>
        <w:tc>
          <w:tcPr>
            <w:tcW w:w="3155" w:type="dxa"/>
            <w:tcBorders>
              <w:top w:val="single" w:sz="2" w:space="0" w:color="auto"/>
              <w:bottom w:val="single" w:sz="2" w:space="0" w:color="auto"/>
            </w:tcBorders>
            <w:vAlign w:val="center"/>
          </w:tcPr>
          <w:p w:rsidR="00E45FB3" w:rsidRPr="00E517BF" w:rsidRDefault="00E45FB3" w:rsidP="0019331F">
            <w:pPr>
              <w:pStyle w:val="cuatexto"/>
              <w:ind w:left="-2"/>
              <w:jc w:val="left"/>
              <w:rPr>
                <w:sz w:val="18"/>
                <w:szCs w:val="18"/>
              </w:rPr>
            </w:pPr>
          </w:p>
        </w:tc>
        <w:tc>
          <w:tcPr>
            <w:tcW w:w="111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106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92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993"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976"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932" w:type="dxa"/>
            <w:tcBorders>
              <w:top w:val="single" w:sz="2" w:space="0" w:color="auto"/>
              <w:bottom w:val="single" w:sz="2" w:space="0" w:color="auto"/>
            </w:tcBorders>
            <w:vAlign w:val="center"/>
          </w:tcPr>
          <w:p w:rsidR="00E45FB3" w:rsidRDefault="00E45FB3" w:rsidP="0019331F">
            <w:pPr>
              <w:pStyle w:val="cuatexto"/>
              <w:ind w:left="-181"/>
              <w:jc w:val="right"/>
              <w:rPr>
                <w:sz w:val="18"/>
                <w:szCs w:val="18"/>
              </w:rPr>
            </w:pPr>
          </w:p>
        </w:tc>
      </w:tr>
      <w:tr w:rsidR="00E45FB3" w:rsidRPr="00E517BF" w:rsidTr="0019331F">
        <w:trPr>
          <w:trHeight w:val="255"/>
          <w:jc w:val="center"/>
        </w:trPr>
        <w:tc>
          <w:tcPr>
            <w:tcW w:w="3155" w:type="dxa"/>
            <w:tcBorders>
              <w:top w:val="single" w:sz="2" w:space="0" w:color="auto"/>
              <w:bottom w:val="single" w:sz="2" w:space="0" w:color="auto"/>
            </w:tcBorders>
            <w:vAlign w:val="center"/>
          </w:tcPr>
          <w:p w:rsidR="00E45FB3" w:rsidRPr="00E517BF" w:rsidRDefault="00E45FB3" w:rsidP="0019331F">
            <w:pPr>
              <w:pStyle w:val="cuatexto"/>
              <w:ind w:left="-2"/>
              <w:jc w:val="left"/>
              <w:rPr>
                <w:sz w:val="18"/>
                <w:szCs w:val="18"/>
              </w:rPr>
            </w:pPr>
            <w:r w:rsidRPr="00E517BF">
              <w:rPr>
                <w:sz w:val="18"/>
                <w:szCs w:val="18"/>
              </w:rPr>
              <w:t xml:space="preserve">Deuda </w:t>
            </w:r>
            <w:r w:rsidR="00190007">
              <w:rPr>
                <w:sz w:val="18"/>
                <w:szCs w:val="18"/>
              </w:rPr>
              <w:t xml:space="preserve">corto plazo </w:t>
            </w:r>
            <w:r w:rsidRPr="00E517BF">
              <w:rPr>
                <w:sz w:val="18"/>
                <w:szCs w:val="18"/>
              </w:rPr>
              <w:t>Hacienda Pública</w:t>
            </w:r>
          </w:p>
        </w:tc>
        <w:tc>
          <w:tcPr>
            <w:tcW w:w="111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2.754</w:t>
            </w:r>
          </w:p>
        </w:tc>
        <w:tc>
          <w:tcPr>
            <w:tcW w:w="106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4.889</w:t>
            </w:r>
          </w:p>
        </w:tc>
        <w:tc>
          <w:tcPr>
            <w:tcW w:w="92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3.196</w:t>
            </w:r>
          </w:p>
        </w:tc>
        <w:tc>
          <w:tcPr>
            <w:tcW w:w="993"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5.969</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11.131</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7.772</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12.131</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6.269</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12.110</w:t>
            </w:r>
          </w:p>
        </w:tc>
        <w:tc>
          <w:tcPr>
            <w:tcW w:w="976"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9.750</w:t>
            </w:r>
          </w:p>
        </w:tc>
        <w:tc>
          <w:tcPr>
            <w:tcW w:w="93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Pr>
                <w:sz w:val="18"/>
                <w:szCs w:val="18"/>
              </w:rPr>
              <w:t>13.935</w:t>
            </w:r>
          </w:p>
        </w:tc>
      </w:tr>
      <w:tr w:rsidR="00E45FB3" w:rsidRPr="00E517BF" w:rsidTr="0019331F">
        <w:trPr>
          <w:trHeight w:val="255"/>
          <w:jc w:val="center"/>
        </w:trPr>
        <w:tc>
          <w:tcPr>
            <w:tcW w:w="3155" w:type="dxa"/>
            <w:tcBorders>
              <w:top w:val="single" w:sz="2" w:space="0" w:color="auto"/>
              <w:bottom w:val="single" w:sz="2" w:space="0" w:color="auto"/>
            </w:tcBorders>
            <w:vAlign w:val="center"/>
          </w:tcPr>
          <w:p w:rsidR="00E45FB3" w:rsidRPr="00E517BF" w:rsidRDefault="00E45FB3" w:rsidP="0019331F">
            <w:pPr>
              <w:pStyle w:val="cuatexto"/>
              <w:ind w:left="-2"/>
              <w:jc w:val="left"/>
              <w:rPr>
                <w:sz w:val="18"/>
                <w:szCs w:val="18"/>
              </w:rPr>
            </w:pPr>
            <w:r w:rsidRPr="00E517BF">
              <w:rPr>
                <w:sz w:val="18"/>
                <w:szCs w:val="18"/>
              </w:rPr>
              <w:t>Deuda HP reclasificada a largo plazo</w:t>
            </w:r>
          </w:p>
        </w:tc>
        <w:tc>
          <w:tcPr>
            <w:tcW w:w="111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0</w:t>
            </w:r>
          </w:p>
        </w:tc>
        <w:tc>
          <w:tcPr>
            <w:tcW w:w="106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0</w:t>
            </w:r>
          </w:p>
        </w:tc>
        <w:tc>
          <w:tcPr>
            <w:tcW w:w="92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0</w:t>
            </w:r>
          </w:p>
        </w:tc>
        <w:tc>
          <w:tcPr>
            <w:tcW w:w="993"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0</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0</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10.084</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9.500</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9.500</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20.100</w:t>
            </w:r>
          </w:p>
        </w:tc>
        <w:tc>
          <w:tcPr>
            <w:tcW w:w="976"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38.400</w:t>
            </w:r>
          </w:p>
        </w:tc>
        <w:tc>
          <w:tcPr>
            <w:tcW w:w="93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Pr>
                <w:sz w:val="18"/>
                <w:szCs w:val="18"/>
              </w:rPr>
              <w:t>32.406</w:t>
            </w:r>
          </w:p>
        </w:tc>
      </w:tr>
      <w:tr w:rsidR="00E45FB3" w:rsidRPr="00E517BF" w:rsidTr="0019331F">
        <w:trPr>
          <w:trHeight w:val="255"/>
          <w:jc w:val="center"/>
        </w:trPr>
        <w:tc>
          <w:tcPr>
            <w:tcW w:w="3155" w:type="dxa"/>
            <w:tcBorders>
              <w:top w:val="single" w:sz="2" w:space="0" w:color="auto"/>
              <w:bottom w:val="single" w:sz="2" w:space="0" w:color="auto"/>
            </w:tcBorders>
            <w:vAlign w:val="center"/>
          </w:tcPr>
          <w:p w:rsidR="00E45FB3" w:rsidRPr="00E517BF" w:rsidRDefault="00E45FB3" w:rsidP="0019331F">
            <w:pPr>
              <w:pStyle w:val="cuatexto"/>
              <w:ind w:left="-2"/>
              <w:jc w:val="left"/>
              <w:rPr>
                <w:b/>
                <w:bCs/>
                <w:sz w:val="18"/>
                <w:szCs w:val="18"/>
              </w:rPr>
            </w:pPr>
            <w:r w:rsidRPr="00E517BF">
              <w:rPr>
                <w:b/>
                <w:bCs/>
                <w:sz w:val="18"/>
                <w:szCs w:val="18"/>
              </w:rPr>
              <w:t>Hacienda Pública</w:t>
            </w:r>
            <w:r w:rsidR="00290902">
              <w:rPr>
                <w:b/>
                <w:bCs/>
                <w:sz w:val="18"/>
                <w:szCs w:val="18"/>
              </w:rPr>
              <w:t xml:space="preserve"> acreedor</w:t>
            </w:r>
          </w:p>
        </w:tc>
        <w:tc>
          <w:tcPr>
            <w:tcW w:w="1112" w:type="dxa"/>
            <w:tcBorders>
              <w:top w:val="single" w:sz="2" w:space="0" w:color="auto"/>
              <w:bottom w:val="single" w:sz="2" w:space="0" w:color="auto"/>
            </w:tcBorders>
            <w:vAlign w:val="center"/>
          </w:tcPr>
          <w:p w:rsidR="00E45FB3" w:rsidRPr="00E517BF" w:rsidRDefault="00E45FB3" w:rsidP="0019331F">
            <w:pPr>
              <w:pStyle w:val="cuatexto"/>
              <w:ind w:left="-181"/>
              <w:jc w:val="right"/>
              <w:rPr>
                <w:b/>
                <w:bCs/>
                <w:sz w:val="18"/>
                <w:szCs w:val="18"/>
              </w:rPr>
            </w:pPr>
            <w:r w:rsidRPr="00E517BF">
              <w:rPr>
                <w:b/>
                <w:bCs/>
                <w:sz w:val="18"/>
                <w:szCs w:val="18"/>
              </w:rPr>
              <w:t>2.754</w:t>
            </w:r>
          </w:p>
        </w:tc>
        <w:tc>
          <w:tcPr>
            <w:tcW w:w="1062" w:type="dxa"/>
            <w:tcBorders>
              <w:top w:val="single" w:sz="2" w:space="0" w:color="auto"/>
              <w:bottom w:val="single" w:sz="2" w:space="0" w:color="auto"/>
            </w:tcBorders>
            <w:vAlign w:val="center"/>
          </w:tcPr>
          <w:p w:rsidR="00E45FB3" w:rsidRPr="00E517BF" w:rsidRDefault="00E45FB3" w:rsidP="0019331F">
            <w:pPr>
              <w:pStyle w:val="cuatexto"/>
              <w:ind w:left="-181"/>
              <w:jc w:val="right"/>
              <w:rPr>
                <w:b/>
                <w:bCs/>
                <w:sz w:val="18"/>
                <w:szCs w:val="18"/>
              </w:rPr>
            </w:pPr>
            <w:r w:rsidRPr="00E517BF">
              <w:rPr>
                <w:b/>
                <w:bCs/>
                <w:sz w:val="18"/>
                <w:szCs w:val="18"/>
              </w:rPr>
              <w:t>4.889</w:t>
            </w:r>
          </w:p>
        </w:tc>
        <w:tc>
          <w:tcPr>
            <w:tcW w:w="922" w:type="dxa"/>
            <w:tcBorders>
              <w:top w:val="single" w:sz="2" w:space="0" w:color="auto"/>
              <w:bottom w:val="single" w:sz="2" w:space="0" w:color="auto"/>
            </w:tcBorders>
            <w:vAlign w:val="center"/>
          </w:tcPr>
          <w:p w:rsidR="00E45FB3" w:rsidRPr="00E517BF" w:rsidRDefault="00E45FB3" w:rsidP="0019331F">
            <w:pPr>
              <w:pStyle w:val="cuatexto"/>
              <w:ind w:left="-181"/>
              <w:jc w:val="right"/>
              <w:rPr>
                <w:b/>
                <w:bCs/>
                <w:sz w:val="18"/>
                <w:szCs w:val="18"/>
              </w:rPr>
            </w:pPr>
            <w:r w:rsidRPr="00E517BF">
              <w:rPr>
                <w:b/>
                <w:bCs/>
                <w:sz w:val="18"/>
                <w:szCs w:val="18"/>
              </w:rPr>
              <w:t>3.196</w:t>
            </w:r>
          </w:p>
        </w:tc>
        <w:tc>
          <w:tcPr>
            <w:tcW w:w="993" w:type="dxa"/>
            <w:tcBorders>
              <w:top w:val="single" w:sz="2" w:space="0" w:color="auto"/>
              <w:bottom w:val="single" w:sz="2" w:space="0" w:color="auto"/>
            </w:tcBorders>
            <w:vAlign w:val="center"/>
          </w:tcPr>
          <w:p w:rsidR="00E45FB3" w:rsidRPr="00E517BF" w:rsidRDefault="00E45FB3" w:rsidP="0019331F">
            <w:pPr>
              <w:pStyle w:val="cuatexto"/>
              <w:ind w:left="-181"/>
              <w:jc w:val="right"/>
              <w:rPr>
                <w:b/>
                <w:bCs/>
                <w:sz w:val="18"/>
                <w:szCs w:val="18"/>
              </w:rPr>
            </w:pPr>
            <w:r w:rsidRPr="00E517BF">
              <w:rPr>
                <w:b/>
                <w:bCs/>
                <w:sz w:val="18"/>
                <w:szCs w:val="18"/>
              </w:rPr>
              <w:t>5.969</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b/>
                <w:bCs/>
                <w:sz w:val="18"/>
                <w:szCs w:val="18"/>
              </w:rPr>
            </w:pPr>
            <w:r w:rsidRPr="00E517BF">
              <w:rPr>
                <w:b/>
                <w:bCs/>
                <w:sz w:val="18"/>
                <w:szCs w:val="18"/>
              </w:rPr>
              <w:t>11.131</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b/>
                <w:bCs/>
                <w:sz w:val="18"/>
                <w:szCs w:val="18"/>
              </w:rPr>
            </w:pPr>
            <w:r w:rsidRPr="00E517BF">
              <w:rPr>
                <w:b/>
                <w:bCs/>
                <w:sz w:val="18"/>
                <w:szCs w:val="18"/>
              </w:rPr>
              <w:t>17.856</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b/>
                <w:bCs/>
                <w:sz w:val="18"/>
                <w:szCs w:val="18"/>
              </w:rPr>
            </w:pPr>
            <w:r w:rsidRPr="00E517BF">
              <w:rPr>
                <w:b/>
                <w:bCs/>
                <w:sz w:val="18"/>
                <w:szCs w:val="18"/>
              </w:rPr>
              <w:t>21.631</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b/>
                <w:bCs/>
                <w:sz w:val="18"/>
                <w:szCs w:val="18"/>
              </w:rPr>
            </w:pPr>
            <w:r w:rsidRPr="00E517BF">
              <w:rPr>
                <w:b/>
                <w:bCs/>
                <w:sz w:val="18"/>
                <w:szCs w:val="18"/>
              </w:rPr>
              <w:t>15.769</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b/>
                <w:bCs/>
                <w:sz w:val="18"/>
                <w:szCs w:val="18"/>
              </w:rPr>
            </w:pPr>
            <w:r w:rsidRPr="00E517BF">
              <w:rPr>
                <w:b/>
                <w:bCs/>
                <w:sz w:val="18"/>
                <w:szCs w:val="18"/>
              </w:rPr>
              <w:t>32.210</w:t>
            </w:r>
          </w:p>
        </w:tc>
        <w:tc>
          <w:tcPr>
            <w:tcW w:w="976" w:type="dxa"/>
            <w:tcBorders>
              <w:top w:val="single" w:sz="2" w:space="0" w:color="auto"/>
              <w:bottom w:val="single" w:sz="2" w:space="0" w:color="auto"/>
            </w:tcBorders>
            <w:vAlign w:val="center"/>
          </w:tcPr>
          <w:p w:rsidR="00E45FB3" w:rsidRPr="00E517BF" w:rsidRDefault="00E45FB3" w:rsidP="0019331F">
            <w:pPr>
              <w:pStyle w:val="cuatexto"/>
              <w:ind w:left="-181"/>
              <w:jc w:val="right"/>
              <w:rPr>
                <w:b/>
                <w:bCs/>
                <w:sz w:val="18"/>
                <w:szCs w:val="18"/>
              </w:rPr>
            </w:pPr>
            <w:r w:rsidRPr="00E517BF">
              <w:rPr>
                <w:b/>
                <w:bCs/>
                <w:sz w:val="18"/>
                <w:szCs w:val="18"/>
              </w:rPr>
              <w:t>48.150</w:t>
            </w:r>
          </w:p>
        </w:tc>
        <w:tc>
          <w:tcPr>
            <w:tcW w:w="932" w:type="dxa"/>
            <w:tcBorders>
              <w:top w:val="single" w:sz="2" w:space="0" w:color="auto"/>
              <w:bottom w:val="single" w:sz="2" w:space="0" w:color="auto"/>
            </w:tcBorders>
            <w:vAlign w:val="center"/>
          </w:tcPr>
          <w:p w:rsidR="00E45FB3" w:rsidRPr="00E517BF" w:rsidRDefault="00E45FB3" w:rsidP="0019331F">
            <w:pPr>
              <w:pStyle w:val="cuatexto"/>
              <w:ind w:left="-181"/>
              <w:jc w:val="right"/>
              <w:rPr>
                <w:b/>
                <w:bCs/>
                <w:sz w:val="18"/>
                <w:szCs w:val="18"/>
              </w:rPr>
            </w:pPr>
            <w:r>
              <w:rPr>
                <w:b/>
                <w:bCs/>
                <w:sz w:val="18"/>
                <w:szCs w:val="18"/>
              </w:rPr>
              <w:t>46.341</w:t>
            </w:r>
          </w:p>
        </w:tc>
      </w:tr>
      <w:tr w:rsidR="00E45FB3" w:rsidRPr="00E517BF" w:rsidTr="0019331F">
        <w:trPr>
          <w:trHeight w:val="255"/>
          <w:jc w:val="center"/>
        </w:trPr>
        <w:tc>
          <w:tcPr>
            <w:tcW w:w="3155" w:type="dxa"/>
            <w:tcBorders>
              <w:top w:val="single" w:sz="2" w:space="0" w:color="auto"/>
              <w:bottom w:val="single" w:sz="2" w:space="0" w:color="auto"/>
            </w:tcBorders>
            <w:vAlign w:val="center"/>
          </w:tcPr>
          <w:p w:rsidR="00E45FB3" w:rsidRPr="00E517BF" w:rsidRDefault="00E45FB3" w:rsidP="0019331F">
            <w:pPr>
              <w:pStyle w:val="cuatexto"/>
              <w:ind w:left="-2"/>
              <w:jc w:val="left"/>
              <w:rPr>
                <w:sz w:val="18"/>
                <w:szCs w:val="18"/>
              </w:rPr>
            </w:pPr>
          </w:p>
        </w:tc>
        <w:tc>
          <w:tcPr>
            <w:tcW w:w="111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106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92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993"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976"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932" w:type="dxa"/>
            <w:tcBorders>
              <w:top w:val="single" w:sz="2" w:space="0" w:color="auto"/>
              <w:bottom w:val="single" w:sz="2" w:space="0" w:color="auto"/>
            </w:tcBorders>
            <w:vAlign w:val="center"/>
          </w:tcPr>
          <w:p w:rsidR="00E45FB3" w:rsidRDefault="00E45FB3" w:rsidP="0019331F">
            <w:pPr>
              <w:pStyle w:val="cuatexto"/>
              <w:ind w:left="-181"/>
              <w:jc w:val="right"/>
              <w:rPr>
                <w:sz w:val="18"/>
                <w:szCs w:val="18"/>
              </w:rPr>
            </w:pPr>
          </w:p>
        </w:tc>
      </w:tr>
      <w:tr w:rsidR="00E45FB3" w:rsidRPr="00E517BF" w:rsidTr="0019331F">
        <w:trPr>
          <w:trHeight w:val="255"/>
          <w:jc w:val="center"/>
        </w:trPr>
        <w:tc>
          <w:tcPr>
            <w:tcW w:w="3155" w:type="dxa"/>
            <w:tcBorders>
              <w:top w:val="single" w:sz="2" w:space="0" w:color="auto"/>
              <w:bottom w:val="single" w:sz="2" w:space="0" w:color="auto"/>
            </w:tcBorders>
            <w:vAlign w:val="center"/>
          </w:tcPr>
          <w:p w:rsidR="00E45FB3" w:rsidRPr="00E517BF" w:rsidRDefault="00E45FB3" w:rsidP="0019331F">
            <w:pPr>
              <w:pStyle w:val="cuatexto"/>
              <w:ind w:left="-2"/>
              <w:jc w:val="left"/>
              <w:rPr>
                <w:sz w:val="18"/>
                <w:szCs w:val="18"/>
              </w:rPr>
            </w:pPr>
            <w:r w:rsidRPr="00E517BF">
              <w:rPr>
                <w:sz w:val="18"/>
                <w:szCs w:val="18"/>
              </w:rPr>
              <w:t>Seguridad Social</w:t>
            </w:r>
            <w:r w:rsidR="00290902">
              <w:rPr>
                <w:sz w:val="18"/>
                <w:szCs w:val="18"/>
              </w:rPr>
              <w:t xml:space="preserve"> acreedor</w:t>
            </w:r>
          </w:p>
        </w:tc>
        <w:tc>
          <w:tcPr>
            <w:tcW w:w="111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0</w:t>
            </w:r>
          </w:p>
        </w:tc>
        <w:tc>
          <w:tcPr>
            <w:tcW w:w="106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0</w:t>
            </w:r>
          </w:p>
        </w:tc>
        <w:tc>
          <w:tcPr>
            <w:tcW w:w="92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0</w:t>
            </w:r>
          </w:p>
        </w:tc>
        <w:tc>
          <w:tcPr>
            <w:tcW w:w="993"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74</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73</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67</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82</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67</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78</w:t>
            </w:r>
          </w:p>
        </w:tc>
        <w:tc>
          <w:tcPr>
            <w:tcW w:w="976"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110</w:t>
            </w:r>
          </w:p>
        </w:tc>
        <w:tc>
          <w:tcPr>
            <w:tcW w:w="93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Pr>
                <w:sz w:val="18"/>
                <w:szCs w:val="18"/>
              </w:rPr>
              <w:t>1.007</w:t>
            </w:r>
          </w:p>
        </w:tc>
      </w:tr>
      <w:tr w:rsidR="00E45FB3" w:rsidRPr="00E517BF" w:rsidTr="0019331F">
        <w:trPr>
          <w:trHeight w:val="255"/>
          <w:jc w:val="center"/>
        </w:trPr>
        <w:tc>
          <w:tcPr>
            <w:tcW w:w="3155" w:type="dxa"/>
            <w:tcBorders>
              <w:top w:val="single" w:sz="2" w:space="0" w:color="auto"/>
              <w:bottom w:val="single" w:sz="2" w:space="0" w:color="auto"/>
            </w:tcBorders>
            <w:vAlign w:val="center"/>
          </w:tcPr>
          <w:p w:rsidR="00E45FB3" w:rsidRPr="00E517BF" w:rsidRDefault="00E45FB3" w:rsidP="0019331F">
            <w:pPr>
              <w:pStyle w:val="cuatexto"/>
              <w:ind w:left="-2"/>
              <w:jc w:val="left"/>
              <w:rPr>
                <w:sz w:val="18"/>
                <w:szCs w:val="18"/>
              </w:rPr>
            </w:pPr>
          </w:p>
        </w:tc>
        <w:tc>
          <w:tcPr>
            <w:tcW w:w="111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106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92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993"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976"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932" w:type="dxa"/>
            <w:tcBorders>
              <w:top w:val="single" w:sz="2" w:space="0" w:color="auto"/>
              <w:bottom w:val="single" w:sz="2" w:space="0" w:color="auto"/>
            </w:tcBorders>
            <w:vAlign w:val="center"/>
          </w:tcPr>
          <w:p w:rsidR="00E45FB3" w:rsidRDefault="00E45FB3" w:rsidP="0019331F">
            <w:pPr>
              <w:pStyle w:val="cuatexto"/>
              <w:ind w:left="-181"/>
              <w:jc w:val="right"/>
              <w:rPr>
                <w:sz w:val="18"/>
                <w:szCs w:val="18"/>
              </w:rPr>
            </w:pPr>
          </w:p>
        </w:tc>
      </w:tr>
      <w:tr w:rsidR="00E45FB3" w:rsidRPr="00E517BF" w:rsidTr="0019331F">
        <w:trPr>
          <w:trHeight w:val="255"/>
          <w:jc w:val="center"/>
        </w:trPr>
        <w:tc>
          <w:tcPr>
            <w:tcW w:w="3155" w:type="dxa"/>
            <w:tcBorders>
              <w:top w:val="single" w:sz="2" w:space="0" w:color="auto"/>
              <w:bottom w:val="single" w:sz="2" w:space="0" w:color="auto"/>
            </w:tcBorders>
            <w:vAlign w:val="center"/>
          </w:tcPr>
          <w:p w:rsidR="00E45FB3" w:rsidRPr="00E517BF" w:rsidRDefault="00E45FB3" w:rsidP="0019331F">
            <w:pPr>
              <w:pStyle w:val="cuatexto"/>
              <w:ind w:left="-2"/>
              <w:jc w:val="left"/>
              <w:rPr>
                <w:sz w:val="18"/>
                <w:szCs w:val="18"/>
              </w:rPr>
            </w:pPr>
            <w:r w:rsidRPr="00E517BF">
              <w:rPr>
                <w:sz w:val="18"/>
                <w:szCs w:val="18"/>
              </w:rPr>
              <w:t>Deuda de la Fundación Osasuna</w:t>
            </w:r>
          </w:p>
        </w:tc>
        <w:tc>
          <w:tcPr>
            <w:tcW w:w="1112" w:type="dxa"/>
            <w:tcBorders>
              <w:top w:val="single" w:sz="2" w:space="0" w:color="auto"/>
              <w:bottom w:val="single" w:sz="2" w:space="0" w:color="auto"/>
            </w:tcBorders>
            <w:vAlign w:val="center"/>
          </w:tcPr>
          <w:p w:rsidR="00E45FB3" w:rsidRPr="00E517BF" w:rsidRDefault="007B1D4F" w:rsidP="0019331F">
            <w:pPr>
              <w:pStyle w:val="cuatexto"/>
              <w:ind w:left="-181"/>
              <w:jc w:val="right"/>
              <w:rPr>
                <w:sz w:val="18"/>
                <w:szCs w:val="18"/>
              </w:rPr>
            </w:pPr>
            <w:r>
              <w:rPr>
                <w:sz w:val="18"/>
                <w:szCs w:val="18"/>
              </w:rPr>
              <w:t>n.d.</w:t>
            </w:r>
          </w:p>
        </w:tc>
        <w:tc>
          <w:tcPr>
            <w:tcW w:w="106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2.162</w:t>
            </w:r>
          </w:p>
        </w:tc>
        <w:tc>
          <w:tcPr>
            <w:tcW w:w="92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1.431</w:t>
            </w:r>
          </w:p>
        </w:tc>
        <w:tc>
          <w:tcPr>
            <w:tcW w:w="993"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937</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3.377</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6.205</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7.138</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9.687</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8.720</w:t>
            </w:r>
          </w:p>
        </w:tc>
        <w:tc>
          <w:tcPr>
            <w:tcW w:w="976"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12.370</w:t>
            </w:r>
          </w:p>
        </w:tc>
        <w:tc>
          <w:tcPr>
            <w:tcW w:w="93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Pr>
                <w:sz w:val="18"/>
                <w:szCs w:val="18"/>
              </w:rPr>
              <w:t>12.595</w:t>
            </w:r>
          </w:p>
        </w:tc>
      </w:tr>
      <w:tr w:rsidR="00E45FB3" w:rsidRPr="00E517BF" w:rsidTr="0019331F">
        <w:trPr>
          <w:trHeight w:val="255"/>
          <w:jc w:val="center"/>
        </w:trPr>
        <w:tc>
          <w:tcPr>
            <w:tcW w:w="3155" w:type="dxa"/>
            <w:tcBorders>
              <w:top w:val="single" w:sz="2" w:space="0" w:color="auto"/>
              <w:bottom w:val="single" w:sz="2" w:space="0" w:color="auto"/>
            </w:tcBorders>
            <w:vAlign w:val="center"/>
          </w:tcPr>
          <w:p w:rsidR="00E45FB3" w:rsidRPr="00E517BF" w:rsidRDefault="00E45FB3" w:rsidP="0019331F">
            <w:pPr>
              <w:pStyle w:val="cuatexto"/>
              <w:ind w:left="-2"/>
              <w:jc w:val="left"/>
              <w:rPr>
                <w:sz w:val="18"/>
                <w:szCs w:val="18"/>
              </w:rPr>
            </w:pPr>
          </w:p>
        </w:tc>
        <w:tc>
          <w:tcPr>
            <w:tcW w:w="111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106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92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993"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976"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p>
        </w:tc>
        <w:tc>
          <w:tcPr>
            <w:tcW w:w="932" w:type="dxa"/>
            <w:tcBorders>
              <w:top w:val="single" w:sz="2" w:space="0" w:color="auto"/>
              <w:bottom w:val="single" w:sz="2" w:space="0" w:color="auto"/>
            </w:tcBorders>
            <w:vAlign w:val="center"/>
          </w:tcPr>
          <w:p w:rsidR="00E45FB3" w:rsidRDefault="00E45FB3" w:rsidP="0019331F">
            <w:pPr>
              <w:pStyle w:val="cuatexto"/>
              <w:ind w:left="-181"/>
              <w:jc w:val="right"/>
              <w:rPr>
                <w:sz w:val="18"/>
                <w:szCs w:val="18"/>
              </w:rPr>
            </w:pPr>
          </w:p>
        </w:tc>
      </w:tr>
      <w:tr w:rsidR="00E45FB3" w:rsidRPr="00E517BF" w:rsidTr="0019331F">
        <w:trPr>
          <w:trHeight w:val="255"/>
          <w:jc w:val="center"/>
        </w:trPr>
        <w:tc>
          <w:tcPr>
            <w:tcW w:w="3155" w:type="dxa"/>
            <w:tcBorders>
              <w:top w:val="single" w:sz="2" w:space="0" w:color="auto"/>
              <w:bottom w:val="single" w:sz="2" w:space="0" w:color="auto"/>
            </w:tcBorders>
            <w:vAlign w:val="center"/>
          </w:tcPr>
          <w:p w:rsidR="00E45FB3" w:rsidRPr="00E517BF" w:rsidRDefault="00E45FB3" w:rsidP="0019331F">
            <w:pPr>
              <w:pStyle w:val="cuatexto"/>
              <w:ind w:left="-2"/>
              <w:jc w:val="left"/>
              <w:rPr>
                <w:sz w:val="18"/>
                <w:szCs w:val="18"/>
              </w:rPr>
            </w:pPr>
            <w:r w:rsidRPr="00E517BF">
              <w:rPr>
                <w:sz w:val="18"/>
                <w:szCs w:val="18"/>
              </w:rPr>
              <w:t>Fondo de Maniobra</w:t>
            </w:r>
          </w:p>
        </w:tc>
        <w:tc>
          <w:tcPr>
            <w:tcW w:w="111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-10.492</w:t>
            </w:r>
          </w:p>
        </w:tc>
        <w:tc>
          <w:tcPr>
            <w:tcW w:w="106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-9.843</w:t>
            </w:r>
          </w:p>
        </w:tc>
        <w:tc>
          <w:tcPr>
            <w:tcW w:w="92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-7.797</w:t>
            </w:r>
          </w:p>
        </w:tc>
        <w:tc>
          <w:tcPr>
            <w:tcW w:w="993"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-401</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-15.066</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5.680</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-5.558</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6.418</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2.997</w:t>
            </w:r>
          </w:p>
        </w:tc>
        <w:tc>
          <w:tcPr>
            <w:tcW w:w="976"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-361</w:t>
            </w:r>
          </w:p>
        </w:tc>
        <w:tc>
          <w:tcPr>
            <w:tcW w:w="93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Pr>
                <w:sz w:val="18"/>
                <w:szCs w:val="18"/>
              </w:rPr>
              <w:t>-12.204</w:t>
            </w:r>
          </w:p>
        </w:tc>
      </w:tr>
      <w:tr w:rsidR="006560B9" w:rsidRPr="00E517BF" w:rsidTr="0019331F">
        <w:trPr>
          <w:trHeight w:val="255"/>
          <w:jc w:val="center"/>
        </w:trPr>
        <w:tc>
          <w:tcPr>
            <w:tcW w:w="3155" w:type="dxa"/>
            <w:tcBorders>
              <w:top w:val="single" w:sz="2" w:space="0" w:color="auto"/>
              <w:bottom w:val="single" w:sz="2" w:space="0" w:color="auto"/>
            </w:tcBorders>
            <w:vAlign w:val="center"/>
          </w:tcPr>
          <w:p w:rsidR="006560B9" w:rsidRPr="00E517BF" w:rsidRDefault="006560B9" w:rsidP="0019331F">
            <w:pPr>
              <w:pStyle w:val="cuatexto"/>
              <w:ind w:left="-2"/>
              <w:jc w:val="left"/>
              <w:rPr>
                <w:sz w:val="18"/>
                <w:szCs w:val="18"/>
              </w:rPr>
            </w:pPr>
          </w:p>
        </w:tc>
        <w:tc>
          <w:tcPr>
            <w:tcW w:w="1112" w:type="dxa"/>
            <w:tcBorders>
              <w:top w:val="single" w:sz="2" w:space="0" w:color="auto"/>
              <w:bottom w:val="single" w:sz="2" w:space="0" w:color="auto"/>
            </w:tcBorders>
            <w:vAlign w:val="center"/>
          </w:tcPr>
          <w:p w:rsidR="006560B9" w:rsidRPr="00E517BF" w:rsidRDefault="006560B9" w:rsidP="0019331F">
            <w:pPr>
              <w:pStyle w:val="cuatexto"/>
              <w:ind w:left="-181"/>
              <w:jc w:val="right"/>
              <w:rPr>
                <w:sz w:val="18"/>
                <w:szCs w:val="18"/>
              </w:rPr>
            </w:pPr>
          </w:p>
        </w:tc>
        <w:tc>
          <w:tcPr>
            <w:tcW w:w="1062" w:type="dxa"/>
            <w:tcBorders>
              <w:top w:val="single" w:sz="2" w:space="0" w:color="auto"/>
              <w:bottom w:val="single" w:sz="2" w:space="0" w:color="auto"/>
            </w:tcBorders>
            <w:vAlign w:val="center"/>
          </w:tcPr>
          <w:p w:rsidR="006560B9" w:rsidRPr="00E517BF" w:rsidRDefault="006560B9" w:rsidP="0019331F">
            <w:pPr>
              <w:pStyle w:val="cuatexto"/>
              <w:ind w:left="-181"/>
              <w:jc w:val="right"/>
              <w:rPr>
                <w:sz w:val="18"/>
                <w:szCs w:val="18"/>
              </w:rPr>
            </w:pPr>
          </w:p>
        </w:tc>
        <w:tc>
          <w:tcPr>
            <w:tcW w:w="922" w:type="dxa"/>
            <w:tcBorders>
              <w:top w:val="single" w:sz="2" w:space="0" w:color="auto"/>
              <w:bottom w:val="single" w:sz="2" w:space="0" w:color="auto"/>
            </w:tcBorders>
            <w:vAlign w:val="center"/>
          </w:tcPr>
          <w:p w:rsidR="006560B9" w:rsidRPr="00E517BF" w:rsidRDefault="006560B9" w:rsidP="0019331F">
            <w:pPr>
              <w:pStyle w:val="cuatexto"/>
              <w:ind w:left="-181"/>
              <w:jc w:val="right"/>
              <w:rPr>
                <w:sz w:val="18"/>
                <w:szCs w:val="18"/>
              </w:rPr>
            </w:pPr>
          </w:p>
        </w:tc>
        <w:tc>
          <w:tcPr>
            <w:tcW w:w="993" w:type="dxa"/>
            <w:tcBorders>
              <w:top w:val="single" w:sz="2" w:space="0" w:color="auto"/>
              <w:bottom w:val="single" w:sz="2" w:space="0" w:color="auto"/>
            </w:tcBorders>
            <w:vAlign w:val="center"/>
          </w:tcPr>
          <w:p w:rsidR="006560B9" w:rsidRPr="00E517BF" w:rsidRDefault="006560B9" w:rsidP="0019331F">
            <w:pPr>
              <w:pStyle w:val="cuatexto"/>
              <w:ind w:left="-181"/>
              <w:jc w:val="right"/>
              <w:rPr>
                <w:sz w:val="18"/>
                <w:szCs w:val="18"/>
              </w:rPr>
            </w:pPr>
          </w:p>
        </w:tc>
        <w:tc>
          <w:tcPr>
            <w:tcW w:w="1061" w:type="dxa"/>
            <w:tcBorders>
              <w:top w:val="single" w:sz="2" w:space="0" w:color="auto"/>
              <w:bottom w:val="single" w:sz="2" w:space="0" w:color="auto"/>
            </w:tcBorders>
            <w:vAlign w:val="center"/>
          </w:tcPr>
          <w:p w:rsidR="006560B9" w:rsidRPr="00E517BF" w:rsidRDefault="006560B9" w:rsidP="0019331F">
            <w:pPr>
              <w:pStyle w:val="cuatexto"/>
              <w:ind w:left="-181"/>
              <w:jc w:val="right"/>
              <w:rPr>
                <w:sz w:val="18"/>
                <w:szCs w:val="18"/>
              </w:rPr>
            </w:pPr>
          </w:p>
        </w:tc>
        <w:tc>
          <w:tcPr>
            <w:tcW w:w="1061" w:type="dxa"/>
            <w:tcBorders>
              <w:top w:val="single" w:sz="2" w:space="0" w:color="auto"/>
              <w:bottom w:val="single" w:sz="2" w:space="0" w:color="auto"/>
            </w:tcBorders>
            <w:vAlign w:val="center"/>
          </w:tcPr>
          <w:p w:rsidR="006560B9" w:rsidRPr="00E517BF" w:rsidRDefault="006560B9" w:rsidP="0019331F">
            <w:pPr>
              <w:pStyle w:val="cuatexto"/>
              <w:ind w:left="-181"/>
              <w:jc w:val="right"/>
              <w:rPr>
                <w:sz w:val="18"/>
                <w:szCs w:val="18"/>
              </w:rPr>
            </w:pPr>
          </w:p>
        </w:tc>
        <w:tc>
          <w:tcPr>
            <w:tcW w:w="1061" w:type="dxa"/>
            <w:tcBorders>
              <w:top w:val="single" w:sz="2" w:space="0" w:color="auto"/>
              <w:bottom w:val="single" w:sz="2" w:space="0" w:color="auto"/>
            </w:tcBorders>
            <w:vAlign w:val="center"/>
          </w:tcPr>
          <w:p w:rsidR="006560B9" w:rsidRPr="00E517BF" w:rsidRDefault="006560B9" w:rsidP="0019331F">
            <w:pPr>
              <w:pStyle w:val="cuatexto"/>
              <w:ind w:left="-181"/>
              <w:jc w:val="right"/>
              <w:rPr>
                <w:sz w:val="18"/>
                <w:szCs w:val="18"/>
              </w:rPr>
            </w:pPr>
          </w:p>
        </w:tc>
        <w:tc>
          <w:tcPr>
            <w:tcW w:w="1061" w:type="dxa"/>
            <w:tcBorders>
              <w:top w:val="single" w:sz="2" w:space="0" w:color="auto"/>
              <w:bottom w:val="single" w:sz="2" w:space="0" w:color="auto"/>
            </w:tcBorders>
            <w:vAlign w:val="center"/>
          </w:tcPr>
          <w:p w:rsidR="006560B9" w:rsidRPr="00E517BF" w:rsidRDefault="006560B9" w:rsidP="0019331F">
            <w:pPr>
              <w:pStyle w:val="cuatexto"/>
              <w:ind w:left="-181"/>
              <w:jc w:val="right"/>
              <w:rPr>
                <w:sz w:val="18"/>
                <w:szCs w:val="18"/>
              </w:rPr>
            </w:pPr>
          </w:p>
        </w:tc>
        <w:tc>
          <w:tcPr>
            <w:tcW w:w="1061" w:type="dxa"/>
            <w:tcBorders>
              <w:top w:val="single" w:sz="2" w:space="0" w:color="auto"/>
              <w:bottom w:val="single" w:sz="2" w:space="0" w:color="auto"/>
            </w:tcBorders>
            <w:vAlign w:val="center"/>
          </w:tcPr>
          <w:p w:rsidR="006560B9" w:rsidRPr="00E517BF" w:rsidRDefault="006560B9" w:rsidP="0019331F">
            <w:pPr>
              <w:pStyle w:val="cuatexto"/>
              <w:ind w:left="-181"/>
              <w:jc w:val="right"/>
              <w:rPr>
                <w:sz w:val="18"/>
                <w:szCs w:val="18"/>
              </w:rPr>
            </w:pPr>
          </w:p>
        </w:tc>
        <w:tc>
          <w:tcPr>
            <w:tcW w:w="976" w:type="dxa"/>
            <w:tcBorders>
              <w:top w:val="single" w:sz="2" w:space="0" w:color="auto"/>
              <w:bottom w:val="single" w:sz="2" w:space="0" w:color="auto"/>
            </w:tcBorders>
            <w:vAlign w:val="center"/>
          </w:tcPr>
          <w:p w:rsidR="006560B9" w:rsidRPr="00E517BF" w:rsidRDefault="006560B9" w:rsidP="0019331F">
            <w:pPr>
              <w:pStyle w:val="cuatexto"/>
              <w:ind w:left="-181"/>
              <w:jc w:val="right"/>
              <w:rPr>
                <w:sz w:val="18"/>
                <w:szCs w:val="18"/>
              </w:rPr>
            </w:pPr>
          </w:p>
        </w:tc>
        <w:tc>
          <w:tcPr>
            <w:tcW w:w="932" w:type="dxa"/>
            <w:tcBorders>
              <w:top w:val="single" w:sz="2" w:space="0" w:color="auto"/>
              <w:bottom w:val="single" w:sz="2" w:space="0" w:color="auto"/>
            </w:tcBorders>
            <w:vAlign w:val="center"/>
          </w:tcPr>
          <w:p w:rsidR="006560B9" w:rsidRDefault="006560B9" w:rsidP="0019331F">
            <w:pPr>
              <w:pStyle w:val="cuatexto"/>
              <w:ind w:left="-181"/>
              <w:jc w:val="right"/>
              <w:rPr>
                <w:sz w:val="18"/>
                <w:szCs w:val="18"/>
              </w:rPr>
            </w:pPr>
          </w:p>
        </w:tc>
      </w:tr>
      <w:tr w:rsidR="00E45FB3" w:rsidRPr="00E517BF" w:rsidTr="0019331F">
        <w:trPr>
          <w:trHeight w:val="255"/>
          <w:jc w:val="center"/>
        </w:trPr>
        <w:tc>
          <w:tcPr>
            <w:tcW w:w="3155" w:type="dxa"/>
            <w:tcBorders>
              <w:top w:val="single" w:sz="2" w:space="0" w:color="auto"/>
              <w:bottom w:val="single" w:sz="2" w:space="0" w:color="auto"/>
            </w:tcBorders>
            <w:vAlign w:val="center"/>
          </w:tcPr>
          <w:p w:rsidR="00E45FB3" w:rsidRPr="006560B9" w:rsidRDefault="00E45FB3" w:rsidP="0019331F">
            <w:pPr>
              <w:pStyle w:val="cuatexto"/>
              <w:ind w:left="-2"/>
              <w:jc w:val="left"/>
              <w:rPr>
                <w:b/>
                <w:sz w:val="18"/>
                <w:szCs w:val="18"/>
              </w:rPr>
            </w:pPr>
            <w:r w:rsidRPr="006560B9">
              <w:rPr>
                <w:b/>
                <w:sz w:val="18"/>
                <w:szCs w:val="18"/>
              </w:rPr>
              <w:t>Resultado del ejercicio</w:t>
            </w:r>
          </w:p>
        </w:tc>
        <w:tc>
          <w:tcPr>
            <w:tcW w:w="1112" w:type="dxa"/>
            <w:tcBorders>
              <w:top w:val="single" w:sz="2" w:space="0" w:color="auto"/>
              <w:bottom w:val="single" w:sz="2" w:space="0" w:color="auto"/>
            </w:tcBorders>
            <w:vAlign w:val="center"/>
          </w:tcPr>
          <w:p w:rsidR="00E45FB3" w:rsidRPr="006560B9" w:rsidRDefault="00E45FB3" w:rsidP="0019331F">
            <w:pPr>
              <w:pStyle w:val="cuatexto"/>
              <w:ind w:left="-181"/>
              <w:jc w:val="right"/>
              <w:rPr>
                <w:b/>
                <w:sz w:val="18"/>
                <w:szCs w:val="18"/>
              </w:rPr>
            </w:pPr>
            <w:r w:rsidRPr="006560B9">
              <w:rPr>
                <w:b/>
                <w:sz w:val="18"/>
                <w:szCs w:val="18"/>
              </w:rPr>
              <w:t>1.827</w:t>
            </w:r>
          </w:p>
        </w:tc>
        <w:tc>
          <w:tcPr>
            <w:tcW w:w="1062" w:type="dxa"/>
            <w:tcBorders>
              <w:top w:val="single" w:sz="2" w:space="0" w:color="auto"/>
              <w:bottom w:val="single" w:sz="2" w:space="0" w:color="auto"/>
            </w:tcBorders>
            <w:vAlign w:val="center"/>
          </w:tcPr>
          <w:p w:rsidR="00E45FB3" w:rsidRPr="006560B9" w:rsidRDefault="00E45FB3" w:rsidP="0019331F">
            <w:pPr>
              <w:pStyle w:val="cuatexto"/>
              <w:ind w:left="-181"/>
              <w:jc w:val="right"/>
              <w:rPr>
                <w:b/>
                <w:sz w:val="18"/>
                <w:szCs w:val="18"/>
              </w:rPr>
            </w:pPr>
            <w:r w:rsidRPr="006560B9">
              <w:rPr>
                <w:b/>
                <w:sz w:val="18"/>
                <w:szCs w:val="18"/>
              </w:rPr>
              <w:t>1.769</w:t>
            </w:r>
          </w:p>
        </w:tc>
        <w:tc>
          <w:tcPr>
            <w:tcW w:w="922" w:type="dxa"/>
            <w:tcBorders>
              <w:top w:val="single" w:sz="2" w:space="0" w:color="auto"/>
              <w:bottom w:val="single" w:sz="2" w:space="0" w:color="auto"/>
            </w:tcBorders>
            <w:vAlign w:val="center"/>
          </w:tcPr>
          <w:p w:rsidR="00E45FB3" w:rsidRPr="006560B9" w:rsidRDefault="00E45FB3" w:rsidP="0019331F">
            <w:pPr>
              <w:pStyle w:val="cuatexto"/>
              <w:ind w:left="-181"/>
              <w:jc w:val="right"/>
              <w:rPr>
                <w:b/>
                <w:sz w:val="18"/>
                <w:szCs w:val="18"/>
              </w:rPr>
            </w:pPr>
            <w:r w:rsidRPr="006560B9">
              <w:rPr>
                <w:b/>
                <w:sz w:val="18"/>
                <w:szCs w:val="18"/>
              </w:rPr>
              <w:t>2.950</w:t>
            </w:r>
          </w:p>
        </w:tc>
        <w:tc>
          <w:tcPr>
            <w:tcW w:w="993" w:type="dxa"/>
            <w:tcBorders>
              <w:top w:val="single" w:sz="2" w:space="0" w:color="auto"/>
              <w:bottom w:val="single" w:sz="2" w:space="0" w:color="auto"/>
            </w:tcBorders>
            <w:vAlign w:val="center"/>
          </w:tcPr>
          <w:p w:rsidR="00E45FB3" w:rsidRPr="006560B9" w:rsidRDefault="00E45FB3" w:rsidP="0019331F">
            <w:pPr>
              <w:pStyle w:val="cuatexto"/>
              <w:ind w:left="-181"/>
              <w:jc w:val="right"/>
              <w:rPr>
                <w:b/>
                <w:sz w:val="18"/>
                <w:szCs w:val="18"/>
              </w:rPr>
            </w:pPr>
            <w:r w:rsidRPr="006560B9">
              <w:rPr>
                <w:b/>
                <w:sz w:val="18"/>
                <w:szCs w:val="18"/>
              </w:rPr>
              <w:t>9.458</w:t>
            </w:r>
          </w:p>
        </w:tc>
        <w:tc>
          <w:tcPr>
            <w:tcW w:w="1061" w:type="dxa"/>
            <w:tcBorders>
              <w:top w:val="single" w:sz="2" w:space="0" w:color="auto"/>
              <w:bottom w:val="single" w:sz="2" w:space="0" w:color="auto"/>
            </w:tcBorders>
            <w:vAlign w:val="center"/>
          </w:tcPr>
          <w:p w:rsidR="00E45FB3" w:rsidRPr="006560B9" w:rsidRDefault="00E45FB3" w:rsidP="0019331F">
            <w:pPr>
              <w:pStyle w:val="cuatexto"/>
              <w:ind w:left="-181"/>
              <w:jc w:val="right"/>
              <w:rPr>
                <w:b/>
                <w:sz w:val="18"/>
                <w:szCs w:val="18"/>
              </w:rPr>
            </w:pPr>
            <w:r w:rsidRPr="006560B9">
              <w:rPr>
                <w:b/>
                <w:sz w:val="18"/>
                <w:szCs w:val="18"/>
              </w:rPr>
              <w:t>-826</w:t>
            </w:r>
          </w:p>
        </w:tc>
        <w:tc>
          <w:tcPr>
            <w:tcW w:w="1061" w:type="dxa"/>
            <w:tcBorders>
              <w:top w:val="single" w:sz="2" w:space="0" w:color="auto"/>
              <w:bottom w:val="single" w:sz="2" w:space="0" w:color="auto"/>
            </w:tcBorders>
            <w:vAlign w:val="center"/>
          </w:tcPr>
          <w:p w:rsidR="00E45FB3" w:rsidRPr="006560B9" w:rsidRDefault="00E45FB3" w:rsidP="0019331F">
            <w:pPr>
              <w:pStyle w:val="cuatexto"/>
              <w:ind w:left="-181"/>
              <w:jc w:val="right"/>
              <w:rPr>
                <w:b/>
                <w:sz w:val="18"/>
                <w:szCs w:val="18"/>
              </w:rPr>
            </w:pPr>
            <w:r w:rsidRPr="006560B9">
              <w:rPr>
                <w:b/>
                <w:sz w:val="18"/>
                <w:szCs w:val="18"/>
              </w:rPr>
              <w:t>-193</w:t>
            </w:r>
          </w:p>
        </w:tc>
        <w:tc>
          <w:tcPr>
            <w:tcW w:w="1061" w:type="dxa"/>
            <w:tcBorders>
              <w:top w:val="single" w:sz="2" w:space="0" w:color="auto"/>
              <w:bottom w:val="single" w:sz="2" w:space="0" w:color="auto"/>
            </w:tcBorders>
            <w:vAlign w:val="center"/>
          </w:tcPr>
          <w:p w:rsidR="00E45FB3" w:rsidRPr="006560B9" w:rsidRDefault="00E45FB3" w:rsidP="0019331F">
            <w:pPr>
              <w:pStyle w:val="cuatexto"/>
              <w:ind w:left="-181"/>
              <w:jc w:val="right"/>
              <w:rPr>
                <w:b/>
                <w:sz w:val="18"/>
                <w:szCs w:val="18"/>
              </w:rPr>
            </w:pPr>
            <w:r w:rsidRPr="006560B9">
              <w:rPr>
                <w:b/>
                <w:sz w:val="18"/>
                <w:szCs w:val="18"/>
              </w:rPr>
              <w:t>-42</w:t>
            </w:r>
          </w:p>
        </w:tc>
        <w:tc>
          <w:tcPr>
            <w:tcW w:w="1061" w:type="dxa"/>
            <w:tcBorders>
              <w:top w:val="single" w:sz="2" w:space="0" w:color="auto"/>
              <w:bottom w:val="single" w:sz="2" w:space="0" w:color="auto"/>
            </w:tcBorders>
            <w:vAlign w:val="center"/>
          </w:tcPr>
          <w:p w:rsidR="00E45FB3" w:rsidRPr="006560B9" w:rsidRDefault="00E45FB3" w:rsidP="0019331F">
            <w:pPr>
              <w:pStyle w:val="cuatexto"/>
              <w:ind w:left="-181"/>
              <w:jc w:val="right"/>
              <w:rPr>
                <w:b/>
                <w:sz w:val="18"/>
                <w:szCs w:val="18"/>
              </w:rPr>
            </w:pPr>
            <w:r w:rsidRPr="006560B9">
              <w:rPr>
                <w:b/>
                <w:sz w:val="18"/>
                <w:szCs w:val="18"/>
              </w:rPr>
              <w:t>1.498</w:t>
            </w:r>
          </w:p>
        </w:tc>
        <w:tc>
          <w:tcPr>
            <w:tcW w:w="1061" w:type="dxa"/>
            <w:tcBorders>
              <w:top w:val="single" w:sz="2" w:space="0" w:color="auto"/>
              <w:bottom w:val="single" w:sz="2" w:space="0" w:color="auto"/>
            </w:tcBorders>
            <w:vAlign w:val="center"/>
          </w:tcPr>
          <w:p w:rsidR="00E45FB3" w:rsidRPr="006560B9" w:rsidRDefault="00E45FB3" w:rsidP="0019331F">
            <w:pPr>
              <w:pStyle w:val="cuatexto"/>
              <w:ind w:left="-181"/>
              <w:jc w:val="right"/>
              <w:rPr>
                <w:b/>
                <w:sz w:val="18"/>
                <w:szCs w:val="18"/>
              </w:rPr>
            </w:pPr>
            <w:r w:rsidRPr="006560B9">
              <w:rPr>
                <w:b/>
                <w:sz w:val="18"/>
                <w:szCs w:val="18"/>
              </w:rPr>
              <w:t>-1.712</w:t>
            </w:r>
          </w:p>
        </w:tc>
        <w:tc>
          <w:tcPr>
            <w:tcW w:w="976" w:type="dxa"/>
            <w:tcBorders>
              <w:top w:val="single" w:sz="2" w:space="0" w:color="auto"/>
              <w:bottom w:val="single" w:sz="2" w:space="0" w:color="auto"/>
            </w:tcBorders>
            <w:vAlign w:val="center"/>
          </w:tcPr>
          <w:p w:rsidR="00E45FB3" w:rsidRPr="006560B9" w:rsidRDefault="00E45FB3" w:rsidP="0019331F">
            <w:pPr>
              <w:pStyle w:val="cuatexto"/>
              <w:ind w:left="-181"/>
              <w:jc w:val="right"/>
              <w:rPr>
                <w:b/>
                <w:sz w:val="18"/>
                <w:szCs w:val="18"/>
              </w:rPr>
            </w:pPr>
            <w:r w:rsidRPr="006560B9">
              <w:rPr>
                <w:b/>
                <w:sz w:val="18"/>
                <w:szCs w:val="18"/>
              </w:rPr>
              <w:t>3.107</w:t>
            </w:r>
          </w:p>
        </w:tc>
        <w:tc>
          <w:tcPr>
            <w:tcW w:w="932" w:type="dxa"/>
            <w:tcBorders>
              <w:top w:val="single" w:sz="2" w:space="0" w:color="auto"/>
              <w:bottom w:val="single" w:sz="2" w:space="0" w:color="auto"/>
            </w:tcBorders>
            <w:vAlign w:val="center"/>
          </w:tcPr>
          <w:p w:rsidR="00E45FB3" w:rsidRPr="006560B9" w:rsidRDefault="00E45FB3" w:rsidP="0019331F">
            <w:pPr>
              <w:pStyle w:val="cuatexto"/>
              <w:ind w:left="-181"/>
              <w:jc w:val="right"/>
              <w:rPr>
                <w:b/>
                <w:sz w:val="18"/>
                <w:szCs w:val="18"/>
              </w:rPr>
            </w:pPr>
            <w:r w:rsidRPr="006560B9">
              <w:rPr>
                <w:b/>
                <w:sz w:val="18"/>
                <w:szCs w:val="18"/>
              </w:rPr>
              <w:t>-2.258</w:t>
            </w:r>
          </w:p>
        </w:tc>
      </w:tr>
      <w:tr w:rsidR="00E45FB3" w:rsidRPr="00E517BF" w:rsidTr="0019331F">
        <w:trPr>
          <w:trHeight w:val="255"/>
          <w:jc w:val="center"/>
        </w:trPr>
        <w:tc>
          <w:tcPr>
            <w:tcW w:w="3155" w:type="dxa"/>
            <w:tcBorders>
              <w:top w:val="single" w:sz="2" w:space="0" w:color="auto"/>
              <w:bottom w:val="single" w:sz="2" w:space="0" w:color="auto"/>
            </w:tcBorders>
            <w:vAlign w:val="center"/>
          </w:tcPr>
          <w:p w:rsidR="00E45FB3" w:rsidRPr="00E517BF" w:rsidRDefault="00E45FB3" w:rsidP="0019331F">
            <w:pPr>
              <w:pStyle w:val="cuatexto"/>
              <w:ind w:left="-2"/>
              <w:jc w:val="left"/>
              <w:rPr>
                <w:sz w:val="18"/>
                <w:szCs w:val="18"/>
              </w:rPr>
            </w:pPr>
            <w:r w:rsidRPr="00E517BF">
              <w:rPr>
                <w:sz w:val="18"/>
                <w:szCs w:val="18"/>
              </w:rPr>
              <w:t>Gastos de personal</w:t>
            </w:r>
          </w:p>
        </w:tc>
        <w:tc>
          <w:tcPr>
            <w:tcW w:w="111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11.955</w:t>
            </w:r>
          </w:p>
        </w:tc>
        <w:tc>
          <w:tcPr>
            <w:tcW w:w="106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17.021</w:t>
            </w:r>
          </w:p>
        </w:tc>
        <w:tc>
          <w:tcPr>
            <w:tcW w:w="92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15.937</w:t>
            </w:r>
          </w:p>
        </w:tc>
        <w:tc>
          <w:tcPr>
            <w:tcW w:w="993"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20.091</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21.812</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25.096</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20.397</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23.174</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23.457</w:t>
            </w:r>
          </w:p>
        </w:tc>
        <w:tc>
          <w:tcPr>
            <w:tcW w:w="976"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21.169</w:t>
            </w:r>
          </w:p>
        </w:tc>
        <w:tc>
          <w:tcPr>
            <w:tcW w:w="93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Pr>
                <w:sz w:val="18"/>
                <w:szCs w:val="18"/>
              </w:rPr>
              <w:t>21.788</w:t>
            </w:r>
          </w:p>
        </w:tc>
      </w:tr>
      <w:tr w:rsidR="00E45FB3" w:rsidRPr="00E517BF" w:rsidTr="0019331F">
        <w:trPr>
          <w:trHeight w:val="255"/>
          <w:jc w:val="center"/>
        </w:trPr>
        <w:tc>
          <w:tcPr>
            <w:tcW w:w="3155" w:type="dxa"/>
            <w:tcBorders>
              <w:top w:val="single" w:sz="2" w:space="0" w:color="auto"/>
              <w:bottom w:val="single" w:sz="2" w:space="0" w:color="auto"/>
            </w:tcBorders>
            <w:vAlign w:val="center"/>
          </w:tcPr>
          <w:p w:rsidR="00E45FB3" w:rsidRPr="00E517BF" w:rsidRDefault="00E45FB3" w:rsidP="00190007">
            <w:pPr>
              <w:pStyle w:val="cuatexto"/>
              <w:ind w:left="-2"/>
              <w:jc w:val="left"/>
              <w:rPr>
                <w:sz w:val="18"/>
                <w:szCs w:val="18"/>
              </w:rPr>
            </w:pPr>
            <w:r w:rsidRPr="00E517BF">
              <w:rPr>
                <w:sz w:val="18"/>
                <w:szCs w:val="18"/>
              </w:rPr>
              <w:t>Número medio empleados</w:t>
            </w:r>
            <w:r w:rsidRPr="00E517BF">
              <w:rPr>
                <w:sz w:val="18"/>
                <w:szCs w:val="18"/>
                <w:vertAlign w:val="superscript"/>
              </w:rPr>
              <w:t>(</w:t>
            </w:r>
            <w:r w:rsidR="00190007">
              <w:rPr>
                <w:sz w:val="18"/>
                <w:szCs w:val="18"/>
                <w:vertAlign w:val="superscript"/>
              </w:rPr>
              <w:t>2</w:t>
            </w:r>
            <w:r w:rsidRPr="00E517BF">
              <w:rPr>
                <w:sz w:val="18"/>
                <w:szCs w:val="18"/>
                <w:vertAlign w:val="superscript"/>
              </w:rPr>
              <w:t>)</w:t>
            </w:r>
          </w:p>
        </w:tc>
        <w:tc>
          <w:tcPr>
            <w:tcW w:w="1112" w:type="dxa"/>
            <w:tcBorders>
              <w:top w:val="single" w:sz="2" w:space="0" w:color="auto"/>
              <w:bottom w:val="single" w:sz="2" w:space="0" w:color="auto"/>
            </w:tcBorders>
            <w:vAlign w:val="center"/>
          </w:tcPr>
          <w:p w:rsidR="00E45FB3" w:rsidRPr="00E517BF" w:rsidRDefault="007B1D4F" w:rsidP="0019331F">
            <w:pPr>
              <w:pStyle w:val="cuatexto"/>
              <w:ind w:left="-181"/>
              <w:jc w:val="right"/>
              <w:rPr>
                <w:sz w:val="18"/>
                <w:szCs w:val="18"/>
              </w:rPr>
            </w:pPr>
            <w:r>
              <w:rPr>
                <w:sz w:val="18"/>
                <w:szCs w:val="18"/>
              </w:rPr>
              <w:t>n.d.</w:t>
            </w:r>
          </w:p>
        </w:tc>
        <w:tc>
          <w:tcPr>
            <w:tcW w:w="106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56</w:t>
            </w:r>
          </w:p>
        </w:tc>
        <w:tc>
          <w:tcPr>
            <w:tcW w:w="92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56</w:t>
            </w:r>
          </w:p>
        </w:tc>
        <w:tc>
          <w:tcPr>
            <w:tcW w:w="993"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72</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72</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72</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180</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176</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175</w:t>
            </w:r>
          </w:p>
        </w:tc>
        <w:tc>
          <w:tcPr>
            <w:tcW w:w="976"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183</w:t>
            </w:r>
          </w:p>
        </w:tc>
        <w:tc>
          <w:tcPr>
            <w:tcW w:w="93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Pr>
                <w:sz w:val="18"/>
                <w:szCs w:val="18"/>
              </w:rPr>
              <w:t>187</w:t>
            </w:r>
          </w:p>
        </w:tc>
      </w:tr>
      <w:tr w:rsidR="00E45FB3" w:rsidRPr="00E517BF" w:rsidTr="0019331F">
        <w:trPr>
          <w:trHeight w:val="255"/>
          <w:jc w:val="center"/>
        </w:trPr>
        <w:tc>
          <w:tcPr>
            <w:tcW w:w="3155" w:type="dxa"/>
            <w:tcBorders>
              <w:top w:val="single" w:sz="2" w:space="0" w:color="auto"/>
              <w:bottom w:val="single" w:sz="2" w:space="0" w:color="auto"/>
            </w:tcBorders>
            <w:vAlign w:val="center"/>
          </w:tcPr>
          <w:p w:rsidR="00E45FB3" w:rsidRPr="00E517BF" w:rsidRDefault="00E45FB3" w:rsidP="0019331F">
            <w:pPr>
              <w:pStyle w:val="cuatexto"/>
              <w:ind w:left="-2"/>
              <w:jc w:val="left"/>
              <w:rPr>
                <w:sz w:val="18"/>
                <w:szCs w:val="18"/>
              </w:rPr>
            </w:pPr>
            <w:r w:rsidRPr="00E517BF">
              <w:rPr>
                <w:sz w:val="18"/>
                <w:szCs w:val="18"/>
              </w:rPr>
              <w:t>Importe neto cifra de negocios</w:t>
            </w:r>
          </w:p>
        </w:tc>
        <w:tc>
          <w:tcPr>
            <w:tcW w:w="111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15.044</w:t>
            </w:r>
          </w:p>
        </w:tc>
        <w:tc>
          <w:tcPr>
            <w:tcW w:w="106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20.296</w:t>
            </w:r>
          </w:p>
        </w:tc>
        <w:tc>
          <w:tcPr>
            <w:tcW w:w="92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18.382</w:t>
            </w:r>
          </w:p>
        </w:tc>
        <w:tc>
          <w:tcPr>
            <w:tcW w:w="993"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26.018</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25.281</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29.446</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24.818</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24.448</w:t>
            </w:r>
          </w:p>
        </w:tc>
        <w:tc>
          <w:tcPr>
            <w:tcW w:w="1061"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25.403</w:t>
            </w:r>
          </w:p>
        </w:tc>
        <w:tc>
          <w:tcPr>
            <w:tcW w:w="976"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sidRPr="00E517BF">
              <w:rPr>
                <w:sz w:val="18"/>
                <w:szCs w:val="18"/>
              </w:rPr>
              <w:t>28.593</w:t>
            </w:r>
          </w:p>
        </w:tc>
        <w:tc>
          <w:tcPr>
            <w:tcW w:w="932" w:type="dxa"/>
            <w:tcBorders>
              <w:top w:val="single" w:sz="2" w:space="0" w:color="auto"/>
              <w:bottom w:val="single" w:sz="2" w:space="0" w:color="auto"/>
            </w:tcBorders>
            <w:vAlign w:val="center"/>
          </w:tcPr>
          <w:p w:rsidR="00E45FB3" w:rsidRPr="00E517BF" w:rsidRDefault="00E45FB3" w:rsidP="0019331F">
            <w:pPr>
              <w:pStyle w:val="cuatexto"/>
              <w:ind w:left="-181"/>
              <w:jc w:val="right"/>
              <w:rPr>
                <w:sz w:val="18"/>
                <w:szCs w:val="18"/>
              </w:rPr>
            </w:pPr>
            <w:r>
              <w:rPr>
                <w:sz w:val="18"/>
                <w:szCs w:val="18"/>
              </w:rPr>
              <w:t>25.824</w:t>
            </w:r>
          </w:p>
        </w:tc>
      </w:tr>
      <w:tr w:rsidR="00E45FB3" w:rsidRPr="00E517BF" w:rsidTr="0019331F">
        <w:trPr>
          <w:trHeight w:val="255"/>
          <w:jc w:val="center"/>
        </w:trPr>
        <w:tc>
          <w:tcPr>
            <w:tcW w:w="3155" w:type="dxa"/>
            <w:tcBorders>
              <w:top w:val="single" w:sz="2" w:space="0" w:color="auto"/>
              <w:bottom w:val="single" w:sz="4" w:space="0" w:color="auto"/>
            </w:tcBorders>
            <w:vAlign w:val="bottom"/>
          </w:tcPr>
          <w:p w:rsidR="00E45FB3" w:rsidRPr="00E517BF" w:rsidRDefault="00E45FB3" w:rsidP="0019331F">
            <w:pPr>
              <w:pStyle w:val="cuatexto"/>
              <w:ind w:left="-2"/>
              <w:jc w:val="left"/>
              <w:rPr>
                <w:sz w:val="18"/>
                <w:szCs w:val="18"/>
              </w:rPr>
            </w:pPr>
            <w:r w:rsidRPr="00E517BF">
              <w:rPr>
                <w:sz w:val="18"/>
                <w:szCs w:val="18"/>
              </w:rPr>
              <w:t>Resultado extraor/enajenación inmoviliz.</w:t>
            </w:r>
          </w:p>
        </w:tc>
        <w:tc>
          <w:tcPr>
            <w:tcW w:w="1112" w:type="dxa"/>
            <w:tcBorders>
              <w:top w:val="single" w:sz="2" w:space="0" w:color="auto"/>
              <w:bottom w:val="single" w:sz="4" w:space="0" w:color="auto"/>
            </w:tcBorders>
            <w:vAlign w:val="bottom"/>
          </w:tcPr>
          <w:p w:rsidR="00E45FB3" w:rsidRPr="00E517BF" w:rsidRDefault="00E45FB3" w:rsidP="0019331F">
            <w:pPr>
              <w:pStyle w:val="cuatexto"/>
              <w:ind w:left="-181"/>
              <w:jc w:val="right"/>
              <w:rPr>
                <w:sz w:val="18"/>
                <w:szCs w:val="18"/>
              </w:rPr>
            </w:pPr>
            <w:r w:rsidRPr="00E517BF">
              <w:rPr>
                <w:sz w:val="18"/>
                <w:szCs w:val="18"/>
              </w:rPr>
              <w:t>6.348</w:t>
            </w:r>
          </w:p>
        </w:tc>
        <w:tc>
          <w:tcPr>
            <w:tcW w:w="1062" w:type="dxa"/>
            <w:tcBorders>
              <w:top w:val="single" w:sz="2" w:space="0" w:color="auto"/>
              <w:bottom w:val="single" w:sz="4" w:space="0" w:color="auto"/>
            </w:tcBorders>
            <w:vAlign w:val="bottom"/>
          </w:tcPr>
          <w:p w:rsidR="00E45FB3" w:rsidRPr="00E517BF" w:rsidRDefault="00E45FB3" w:rsidP="0019331F">
            <w:pPr>
              <w:pStyle w:val="cuatexto"/>
              <w:ind w:left="-181"/>
              <w:jc w:val="right"/>
              <w:rPr>
                <w:sz w:val="18"/>
                <w:szCs w:val="18"/>
              </w:rPr>
            </w:pPr>
            <w:r w:rsidRPr="00E517BF">
              <w:rPr>
                <w:sz w:val="18"/>
                <w:szCs w:val="18"/>
              </w:rPr>
              <w:t>5.156</w:t>
            </w:r>
          </w:p>
        </w:tc>
        <w:tc>
          <w:tcPr>
            <w:tcW w:w="922" w:type="dxa"/>
            <w:tcBorders>
              <w:top w:val="single" w:sz="2" w:space="0" w:color="auto"/>
              <w:bottom w:val="single" w:sz="4" w:space="0" w:color="auto"/>
            </w:tcBorders>
            <w:vAlign w:val="bottom"/>
          </w:tcPr>
          <w:p w:rsidR="00E45FB3" w:rsidRPr="00E517BF" w:rsidRDefault="00E45FB3" w:rsidP="0019331F">
            <w:pPr>
              <w:pStyle w:val="cuatexto"/>
              <w:ind w:left="-181"/>
              <w:jc w:val="right"/>
              <w:rPr>
                <w:sz w:val="18"/>
                <w:szCs w:val="18"/>
              </w:rPr>
            </w:pPr>
            <w:r w:rsidRPr="00E517BF">
              <w:rPr>
                <w:sz w:val="18"/>
                <w:szCs w:val="18"/>
              </w:rPr>
              <w:t>5.730</w:t>
            </w:r>
          </w:p>
        </w:tc>
        <w:tc>
          <w:tcPr>
            <w:tcW w:w="993" w:type="dxa"/>
            <w:tcBorders>
              <w:top w:val="single" w:sz="2" w:space="0" w:color="auto"/>
              <w:bottom w:val="single" w:sz="4" w:space="0" w:color="auto"/>
            </w:tcBorders>
            <w:vAlign w:val="bottom"/>
          </w:tcPr>
          <w:p w:rsidR="00E45FB3" w:rsidRPr="00E517BF" w:rsidRDefault="00E45FB3" w:rsidP="0019331F">
            <w:pPr>
              <w:pStyle w:val="cuatexto"/>
              <w:ind w:left="-181"/>
              <w:jc w:val="right"/>
              <w:rPr>
                <w:sz w:val="18"/>
                <w:szCs w:val="18"/>
              </w:rPr>
            </w:pPr>
            <w:r w:rsidRPr="00E517BF">
              <w:rPr>
                <w:sz w:val="18"/>
                <w:szCs w:val="18"/>
              </w:rPr>
              <w:t>11.567</w:t>
            </w:r>
          </w:p>
        </w:tc>
        <w:tc>
          <w:tcPr>
            <w:tcW w:w="1061" w:type="dxa"/>
            <w:tcBorders>
              <w:top w:val="single" w:sz="2" w:space="0" w:color="auto"/>
              <w:bottom w:val="single" w:sz="4" w:space="0" w:color="auto"/>
            </w:tcBorders>
            <w:vAlign w:val="bottom"/>
          </w:tcPr>
          <w:p w:rsidR="00E45FB3" w:rsidRPr="00E517BF" w:rsidRDefault="00E45FB3" w:rsidP="0019331F">
            <w:pPr>
              <w:pStyle w:val="cuatexto"/>
              <w:ind w:left="-181"/>
              <w:jc w:val="right"/>
              <w:rPr>
                <w:sz w:val="18"/>
                <w:szCs w:val="18"/>
              </w:rPr>
            </w:pPr>
            <w:r w:rsidRPr="00E517BF">
              <w:rPr>
                <w:sz w:val="18"/>
                <w:szCs w:val="18"/>
              </w:rPr>
              <w:t>4.614</w:t>
            </w:r>
          </w:p>
        </w:tc>
        <w:tc>
          <w:tcPr>
            <w:tcW w:w="1061" w:type="dxa"/>
            <w:tcBorders>
              <w:top w:val="single" w:sz="2" w:space="0" w:color="auto"/>
              <w:bottom w:val="single" w:sz="4" w:space="0" w:color="auto"/>
            </w:tcBorders>
            <w:vAlign w:val="bottom"/>
          </w:tcPr>
          <w:p w:rsidR="00E45FB3" w:rsidRPr="00E517BF" w:rsidRDefault="00E45FB3" w:rsidP="0019331F">
            <w:pPr>
              <w:pStyle w:val="cuatexto"/>
              <w:ind w:left="-181"/>
              <w:jc w:val="right"/>
              <w:rPr>
                <w:sz w:val="18"/>
                <w:szCs w:val="18"/>
              </w:rPr>
            </w:pPr>
            <w:r w:rsidRPr="00E517BF">
              <w:rPr>
                <w:sz w:val="18"/>
                <w:szCs w:val="18"/>
              </w:rPr>
              <w:t>6.401</w:t>
            </w:r>
          </w:p>
        </w:tc>
        <w:tc>
          <w:tcPr>
            <w:tcW w:w="1061" w:type="dxa"/>
            <w:tcBorders>
              <w:top w:val="single" w:sz="2" w:space="0" w:color="auto"/>
              <w:bottom w:val="single" w:sz="4" w:space="0" w:color="auto"/>
            </w:tcBorders>
            <w:vAlign w:val="bottom"/>
          </w:tcPr>
          <w:p w:rsidR="00E45FB3" w:rsidRPr="00E517BF" w:rsidRDefault="00E45FB3" w:rsidP="0019331F">
            <w:pPr>
              <w:pStyle w:val="cuatexto"/>
              <w:ind w:left="-181"/>
              <w:jc w:val="right"/>
              <w:rPr>
                <w:sz w:val="18"/>
                <w:szCs w:val="18"/>
              </w:rPr>
            </w:pPr>
            <w:r w:rsidRPr="00E517BF">
              <w:rPr>
                <w:sz w:val="18"/>
                <w:szCs w:val="18"/>
              </w:rPr>
              <w:t>4.451</w:t>
            </w:r>
          </w:p>
        </w:tc>
        <w:tc>
          <w:tcPr>
            <w:tcW w:w="1061" w:type="dxa"/>
            <w:tcBorders>
              <w:top w:val="single" w:sz="2" w:space="0" w:color="auto"/>
              <w:bottom w:val="single" w:sz="4" w:space="0" w:color="auto"/>
            </w:tcBorders>
            <w:vAlign w:val="bottom"/>
          </w:tcPr>
          <w:p w:rsidR="00E45FB3" w:rsidRPr="00E517BF" w:rsidRDefault="00E45FB3" w:rsidP="0019331F">
            <w:pPr>
              <w:pStyle w:val="cuatexto"/>
              <w:ind w:left="-181"/>
              <w:jc w:val="right"/>
              <w:rPr>
                <w:sz w:val="18"/>
                <w:szCs w:val="18"/>
              </w:rPr>
            </w:pPr>
            <w:r w:rsidRPr="00E517BF">
              <w:rPr>
                <w:sz w:val="18"/>
                <w:szCs w:val="18"/>
              </w:rPr>
              <w:t>9.941</w:t>
            </w:r>
          </w:p>
        </w:tc>
        <w:tc>
          <w:tcPr>
            <w:tcW w:w="1061" w:type="dxa"/>
            <w:tcBorders>
              <w:top w:val="single" w:sz="2" w:space="0" w:color="auto"/>
              <w:bottom w:val="single" w:sz="4" w:space="0" w:color="auto"/>
            </w:tcBorders>
            <w:vAlign w:val="bottom"/>
          </w:tcPr>
          <w:p w:rsidR="00E45FB3" w:rsidRPr="00E517BF" w:rsidRDefault="00E45FB3" w:rsidP="0019331F">
            <w:pPr>
              <w:pStyle w:val="cuatexto"/>
              <w:ind w:left="-181"/>
              <w:jc w:val="right"/>
              <w:rPr>
                <w:sz w:val="18"/>
                <w:szCs w:val="18"/>
              </w:rPr>
            </w:pPr>
            <w:r w:rsidRPr="00E517BF">
              <w:rPr>
                <w:sz w:val="18"/>
                <w:szCs w:val="18"/>
              </w:rPr>
              <w:t>3.847</w:t>
            </w:r>
          </w:p>
        </w:tc>
        <w:tc>
          <w:tcPr>
            <w:tcW w:w="976" w:type="dxa"/>
            <w:tcBorders>
              <w:top w:val="single" w:sz="2" w:space="0" w:color="auto"/>
              <w:bottom w:val="single" w:sz="4" w:space="0" w:color="auto"/>
            </w:tcBorders>
            <w:vAlign w:val="bottom"/>
          </w:tcPr>
          <w:p w:rsidR="00E45FB3" w:rsidRPr="00E517BF" w:rsidRDefault="00E45FB3" w:rsidP="0019331F">
            <w:pPr>
              <w:pStyle w:val="cuatexto"/>
              <w:ind w:left="-181"/>
              <w:jc w:val="right"/>
              <w:rPr>
                <w:sz w:val="18"/>
                <w:szCs w:val="18"/>
              </w:rPr>
            </w:pPr>
            <w:r w:rsidRPr="00E517BF">
              <w:rPr>
                <w:sz w:val="18"/>
                <w:szCs w:val="18"/>
              </w:rPr>
              <w:t>4.723</w:t>
            </w:r>
          </w:p>
        </w:tc>
        <w:tc>
          <w:tcPr>
            <w:tcW w:w="932" w:type="dxa"/>
            <w:tcBorders>
              <w:top w:val="single" w:sz="2" w:space="0" w:color="auto"/>
              <w:bottom w:val="single" w:sz="4" w:space="0" w:color="auto"/>
            </w:tcBorders>
            <w:vAlign w:val="bottom"/>
          </w:tcPr>
          <w:p w:rsidR="00E45FB3" w:rsidRPr="00E517BF" w:rsidRDefault="00E45FB3" w:rsidP="0019331F">
            <w:pPr>
              <w:pStyle w:val="cuatexto"/>
              <w:ind w:left="-181"/>
              <w:jc w:val="right"/>
              <w:rPr>
                <w:sz w:val="18"/>
                <w:szCs w:val="18"/>
              </w:rPr>
            </w:pPr>
            <w:r>
              <w:rPr>
                <w:sz w:val="18"/>
                <w:szCs w:val="18"/>
              </w:rPr>
              <w:t>2.285</w:t>
            </w:r>
          </w:p>
        </w:tc>
      </w:tr>
    </w:tbl>
    <w:p w:rsidR="00190007" w:rsidRDefault="00190007" w:rsidP="00E45FB3">
      <w:pPr>
        <w:pStyle w:val="texto"/>
        <w:numPr>
          <w:ilvl w:val="0"/>
          <w:numId w:val="7"/>
        </w:numPr>
        <w:tabs>
          <w:tab w:val="num" w:pos="4920"/>
        </w:tabs>
        <w:spacing w:before="60" w:after="0"/>
        <w:rPr>
          <w:rFonts w:ascii="Arial Narrow" w:hAnsi="Arial Narrow"/>
          <w:spacing w:val="4"/>
          <w:sz w:val="20"/>
          <w:szCs w:val="20"/>
        </w:rPr>
      </w:pPr>
      <w:r>
        <w:rPr>
          <w:rFonts w:ascii="Arial Narrow" w:hAnsi="Arial Narrow"/>
          <w:spacing w:val="4"/>
          <w:sz w:val="20"/>
          <w:szCs w:val="20"/>
        </w:rPr>
        <w:t>Aplicación del nuevo Plan General de Contabilidad</w:t>
      </w:r>
    </w:p>
    <w:p w:rsidR="00E45FB3" w:rsidRPr="00D017B0" w:rsidRDefault="00622906" w:rsidP="00E45FB3">
      <w:pPr>
        <w:pStyle w:val="texto"/>
        <w:numPr>
          <w:ilvl w:val="0"/>
          <w:numId w:val="7"/>
        </w:numPr>
        <w:tabs>
          <w:tab w:val="num" w:pos="4920"/>
        </w:tabs>
        <w:spacing w:before="60" w:after="0"/>
        <w:rPr>
          <w:rFonts w:ascii="Arial Narrow" w:hAnsi="Arial Narrow"/>
          <w:spacing w:val="4"/>
          <w:sz w:val="20"/>
          <w:szCs w:val="20"/>
        </w:rPr>
      </w:pPr>
      <w:r>
        <w:rPr>
          <w:rFonts w:ascii="Arial Narrow" w:hAnsi="Arial Narrow"/>
          <w:spacing w:val="4"/>
          <w:sz w:val="20"/>
          <w:szCs w:val="20"/>
        </w:rPr>
        <w:t>Desde 2010, e</w:t>
      </w:r>
      <w:r w:rsidR="00E45FB3" w:rsidRPr="00D017B0">
        <w:rPr>
          <w:rFonts w:ascii="Arial Narrow" w:hAnsi="Arial Narrow"/>
          <w:spacing w:val="4"/>
          <w:sz w:val="20"/>
          <w:szCs w:val="20"/>
        </w:rPr>
        <w:t xml:space="preserve">l dato del número de </w:t>
      </w:r>
      <w:r>
        <w:rPr>
          <w:rFonts w:ascii="Arial Narrow" w:hAnsi="Arial Narrow"/>
          <w:spacing w:val="4"/>
          <w:sz w:val="20"/>
          <w:szCs w:val="20"/>
        </w:rPr>
        <w:t xml:space="preserve">empleados </w:t>
      </w:r>
      <w:r w:rsidR="00E45FB3" w:rsidRPr="00D017B0">
        <w:rPr>
          <w:rFonts w:ascii="Arial Narrow" w:hAnsi="Arial Narrow"/>
          <w:spacing w:val="4"/>
          <w:sz w:val="20"/>
          <w:szCs w:val="20"/>
        </w:rPr>
        <w:t>incluye al personal discontinuo vinculado a los días de partido jugados en casa.</w:t>
      </w:r>
    </w:p>
    <w:p w:rsidR="00E45FB3" w:rsidRDefault="00E45FB3" w:rsidP="009D0462">
      <w:pPr>
        <w:pStyle w:val="texto"/>
        <w:tabs>
          <w:tab w:val="num" w:pos="300"/>
          <w:tab w:val="num" w:pos="4920"/>
        </w:tabs>
        <w:rPr>
          <w:szCs w:val="26"/>
        </w:rPr>
      </w:pPr>
    </w:p>
    <w:p w:rsidR="009F3029" w:rsidRPr="009F3029" w:rsidRDefault="009F3029">
      <w:pPr>
        <w:spacing w:after="0"/>
        <w:ind w:firstLine="0"/>
        <w:jc w:val="left"/>
        <w:rPr>
          <w:szCs w:val="26"/>
          <w:lang w:val="es-ES"/>
        </w:rPr>
        <w:sectPr w:rsidR="009F3029" w:rsidRPr="009F3029" w:rsidSect="00080CD3">
          <w:footerReference w:type="default" r:id="rId16"/>
          <w:pgSz w:w="16840" w:h="11907" w:orient="landscape" w:code="9"/>
          <w:pgMar w:top="1559" w:right="1985" w:bottom="1559" w:left="1644" w:header="624" w:footer="136" w:gutter="0"/>
          <w:cols w:space="720"/>
          <w:docGrid w:linePitch="360"/>
        </w:sectPr>
      </w:pPr>
    </w:p>
    <w:p w:rsidR="00DE0018" w:rsidRDefault="00DE0018" w:rsidP="00DE0018">
      <w:pPr>
        <w:pStyle w:val="texto"/>
        <w:tabs>
          <w:tab w:val="num" w:pos="300"/>
          <w:tab w:val="num" w:pos="4920"/>
        </w:tabs>
        <w:rPr>
          <w:szCs w:val="26"/>
        </w:rPr>
      </w:pPr>
      <w:r>
        <w:rPr>
          <w:szCs w:val="26"/>
        </w:rPr>
        <w:t>Del análisis del cuadro anterior, destacamos los siguientes aspectos:</w:t>
      </w:r>
    </w:p>
    <w:p w:rsidR="00DE0018" w:rsidRDefault="00DE0018"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rsidRPr="00DB5026">
        <w:t>Patrimonio Neto:</w:t>
      </w:r>
      <w:r w:rsidR="0078441D">
        <w:t xml:space="preserve"> Como puede observarse, </w:t>
      </w:r>
      <w:r w:rsidR="0047420E">
        <w:t xml:space="preserve">en </w:t>
      </w:r>
      <w:r w:rsidR="0078441D">
        <w:t>las dos últimas temporadas, esta magnitud experimenta una reducción muy relevante, situándose en junio de 2014</w:t>
      </w:r>
      <w:r w:rsidR="00CD39F7">
        <w:t xml:space="preserve"> </w:t>
      </w:r>
      <w:r w:rsidR="000832F0">
        <w:t>–</w:t>
      </w:r>
      <w:r w:rsidR="00CD39F7">
        <w:t>3,47 millones</w:t>
      </w:r>
      <w:r w:rsidR="000832F0">
        <w:t>–</w:t>
      </w:r>
      <w:r w:rsidR="0078441D">
        <w:t xml:space="preserve"> en un importe muy similar a</w:t>
      </w:r>
      <w:r w:rsidR="0047420E">
        <w:t>l de</w:t>
      </w:r>
      <w:r w:rsidR="0078441D">
        <w:t xml:space="preserve"> junio de 2004. Y ello a pesar del incremento que experimenta</w:t>
      </w:r>
      <w:r w:rsidR="009A6F60">
        <w:t xml:space="preserve"> esta magnitud</w:t>
      </w:r>
      <w:r w:rsidR="0078441D">
        <w:t xml:space="preserve"> como consecuencia de las distintas revaloraciones de sus activos</w:t>
      </w:r>
      <w:r w:rsidR="009A6F60">
        <w:t xml:space="preserve"> aplicadas a la misma</w:t>
      </w:r>
      <w:r w:rsidR="0078441D">
        <w:t xml:space="preserve">. </w:t>
      </w:r>
    </w:p>
    <w:p w:rsidR="00DB5026" w:rsidRDefault="0078441D" w:rsidP="000832F0">
      <w:pPr>
        <w:pStyle w:val="texto"/>
        <w:tabs>
          <w:tab w:val="clear" w:pos="2835"/>
          <w:tab w:val="clear" w:pos="3969"/>
          <w:tab w:val="clear" w:pos="5103"/>
          <w:tab w:val="clear" w:pos="6237"/>
          <w:tab w:val="clear" w:pos="7371"/>
          <w:tab w:val="left" w:pos="480"/>
          <w:tab w:val="num" w:pos="4920"/>
        </w:tabs>
        <w:spacing w:after="0"/>
      </w:pPr>
      <w:r>
        <w:t>Gráficamente</w:t>
      </w:r>
      <w:r w:rsidR="003E788B">
        <w:rPr>
          <w:rStyle w:val="Refdenotaalpie"/>
        </w:rPr>
        <w:footnoteReference w:id="20"/>
      </w:r>
      <w:r>
        <w:t>, su evolución se refleja a continuación</w:t>
      </w:r>
    </w:p>
    <w:p w:rsidR="00DB5026" w:rsidRDefault="00DB5026" w:rsidP="000832F0">
      <w:pPr>
        <w:pStyle w:val="texto"/>
        <w:tabs>
          <w:tab w:val="clear" w:pos="2835"/>
          <w:tab w:val="clear" w:pos="3969"/>
          <w:tab w:val="clear" w:pos="5103"/>
          <w:tab w:val="clear" w:pos="6237"/>
          <w:tab w:val="clear" w:pos="7371"/>
          <w:tab w:val="left" w:pos="480"/>
          <w:tab w:val="num" w:pos="4920"/>
        </w:tabs>
        <w:spacing w:after="0"/>
        <w:ind w:firstLine="0"/>
      </w:pPr>
    </w:p>
    <w:p w:rsidR="00DB5026" w:rsidRPr="00DB5026" w:rsidRDefault="0051491B" w:rsidP="000832F0">
      <w:pPr>
        <w:pStyle w:val="texto"/>
        <w:tabs>
          <w:tab w:val="clear" w:pos="2835"/>
          <w:tab w:val="clear" w:pos="3969"/>
          <w:tab w:val="clear" w:pos="5103"/>
          <w:tab w:val="clear" w:pos="6237"/>
          <w:tab w:val="clear" w:pos="7371"/>
          <w:tab w:val="left" w:pos="480"/>
          <w:tab w:val="num" w:pos="4920"/>
        </w:tabs>
        <w:spacing w:after="0"/>
      </w:pPr>
      <w:r>
        <w:rPr>
          <w:noProof/>
          <w:lang w:val="es-ES" w:eastAsia="es-ES"/>
        </w:rPr>
        <w:drawing>
          <wp:inline distT="0" distB="0" distL="0" distR="0" wp14:anchorId="304198E1" wp14:editId="5F92C17C">
            <wp:extent cx="5446644" cy="2126974"/>
            <wp:effectExtent l="0" t="0" r="20955" b="26035"/>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E0018" w:rsidRDefault="00DE0018" w:rsidP="000832F0">
      <w:pPr>
        <w:pStyle w:val="texto"/>
        <w:tabs>
          <w:tab w:val="num" w:pos="300"/>
          <w:tab w:val="num" w:pos="4920"/>
        </w:tabs>
        <w:spacing w:after="0"/>
        <w:rPr>
          <w:szCs w:val="26"/>
        </w:rPr>
      </w:pPr>
    </w:p>
    <w:p w:rsidR="00CD39F7" w:rsidRPr="0019331F" w:rsidRDefault="00CD39F7"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rsidRPr="0019331F">
        <w:t>Deuda con entidades financieras: Esta magnitud alcanza su valor máximo en junio de 2008 con 36,29 millones; progresivamente se va reduciendo su cuantía hasta los 12,81 millones de junio de 2014, que corresponde con el menor endeudamiento de la serie analizada.</w:t>
      </w:r>
    </w:p>
    <w:p w:rsidR="00CD39F7" w:rsidRDefault="00CD39F7" w:rsidP="000832F0">
      <w:pPr>
        <w:pStyle w:val="texto"/>
        <w:tabs>
          <w:tab w:val="num" w:pos="300"/>
          <w:tab w:val="num" w:pos="4920"/>
        </w:tabs>
        <w:spacing w:after="0"/>
        <w:rPr>
          <w:szCs w:val="26"/>
        </w:rPr>
      </w:pPr>
      <w:r>
        <w:rPr>
          <w:szCs w:val="26"/>
        </w:rPr>
        <w:t>Gráficamente:</w:t>
      </w:r>
    </w:p>
    <w:p w:rsidR="000C7225" w:rsidRDefault="000C7225" w:rsidP="000832F0">
      <w:pPr>
        <w:pStyle w:val="texto"/>
        <w:tabs>
          <w:tab w:val="num" w:pos="300"/>
          <w:tab w:val="num" w:pos="4920"/>
        </w:tabs>
        <w:spacing w:after="0"/>
        <w:rPr>
          <w:szCs w:val="26"/>
        </w:rPr>
      </w:pPr>
    </w:p>
    <w:p w:rsidR="000C7225" w:rsidRDefault="0051491B" w:rsidP="00DE0018">
      <w:pPr>
        <w:pStyle w:val="texto"/>
        <w:tabs>
          <w:tab w:val="num" w:pos="300"/>
          <w:tab w:val="num" w:pos="4920"/>
        </w:tabs>
        <w:rPr>
          <w:szCs w:val="26"/>
        </w:rPr>
      </w:pPr>
      <w:r>
        <w:rPr>
          <w:noProof/>
          <w:lang w:val="es-ES" w:eastAsia="es-ES"/>
        </w:rPr>
        <w:drawing>
          <wp:inline distT="0" distB="0" distL="0" distR="0" wp14:anchorId="1C159268" wp14:editId="029E69E4">
            <wp:extent cx="5387009" cy="2315817"/>
            <wp:effectExtent l="0" t="0" r="23495" b="2794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12E70" w:rsidRDefault="00C12AFC" w:rsidP="00094483">
      <w:pPr>
        <w:pStyle w:val="texto"/>
        <w:tabs>
          <w:tab w:val="num" w:pos="300"/>
          <w:tab w:val="num" w:pos="4920"/>
        </w:tabs>
        <w:spacing w:after="200"/>
        <w:rPr>
          <w:szCs w:val="26"/>
        </w:rPr>
      </w:pPr>
      <w:r>
        <w:rPr>
          <w:szCs w:val="26"/>
        </w:rPr>
        <w:t>A 30 de junio de 2014, los préstamos vivos y su importe se reflejan en el cuadro siguiente en miles de euros</w:t>
      </w:r>
      <w:r w:rsidR="000832F0">
        <w:rPr>
          <w:szCs w:val="26"/>
        </w:rPr>
        <w:t>.</w:t>
      </w:r>
    </w:p>
    <w:tbl>
      <w:tblPr>
        <w:tblStyle w:val="Tablaconcuadrcula"/>
        <w:tblW w:w="8722" w:type="dxa"/>
        <w:jc w:val="center"/>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9"/>
        <w:gridCol w:w="1846"/>
        <w:gridCol w:w="1898"/>
        <w:gridCol w:w="1550"/>
        <w:gridCol w:w="1799"/>
      </w:tblGrid>
      <w:tr w:rsidR="00094483" w:rsidRPr="00094483" w:rsidTr="007661A3">
        <w:trPr>
          <w:trHeight w:val="255"/>
          <w:jc w:val="center"/>
        </w:trPr>
        <w:tc>
          <w:tcPr>
            <w:tcW w:w="1629" w:type="dxa"/>
            <w:tcBorders>
              <w:top w:val="single" w:sz="4" w:space="0" w:color="auto"/>
              <w:bottom w:val="single" w:sz="2" w:space="0" w:color="auto"/>
            </w:tcBorders>
            <w:shd w:val="clear" w:color="auto" w:fill="8DB3E2" w:themeFill="text2" w:themeFillTint="66"/>
            <w:vAlign w:val="center"/>
          </w:tcPr>
          <w:p w:rsidR="00094483" w:rsidRPr="00094483" w:rsidRDefault="00094483" w:rsidP="00DA0E88">
            <w:pPr>
              <w:pStyle w:val="cuatexto"/>
              <w:rPr>
                <w:rFonts w:ascii="Arial" w:hAnsi="Arial" w:cs="Arial"/>
                <w:sz w:val="18"/>
                <w:szCs w:val="18"/>
              </w:rPr>
            </w:pPr>
            <w:r w:rsidRPr="00094483">
              <w:rPr>
                <w:rFonts w:ascii="Arial" w:hAnsi="Arial" w:cs="Arial"/>
                <w:sz w:val="18"/>
                <w:szCs w:val="18"/>
              </w:rPr>
              <w:t>Entidad</w:t>
            </w:r>
          </w:p>
        </w:tc>
        <w:tc>
          <w:tcPr>
            <w:tcW w:w="1846" w:type="dxa"/>
            <w:tcBorders>
              <w:top w:val="single" w:sz="4" w:space="0" w:color="auto"/>
              <w:bottom w:val="single" w:sz="2" w:space="0" w:color="auto"/>
            </w:tcBorders>
            <w:shd w:val="clear" w:color="auto" w:fill="8DB3E2" w:themeFill="text2" w:themeFillTint="66"/>
            <w:vAlign w:val="center"/>
          </w:tcPr>
          <w:p w:rsidR="00094483" w:rsidRPr="00094483" w:rsidRDefault="00094483" w:rsidP="00094483">
            <w:pPr>
              <w:pStyle w:val="cuatexto"/>
              <w:jc w:val="left"/>
              <w:rPr>
                <w:rFonts w:ascii="Arial" w:hAnsi="Arial" w:cs="Arial"/>
                <w:sz w:val="18"/>
                <w:szCs w:val="18"/>
              </w:rPr>
            </w:pPr>
            <w:r w:rsidRPr="00094483">
              <w:rPr>
                <w:rFonts w:ascii="Arial" w:hAnsi="Arial" w:cs="Arial"/>
                <w:sz w:val="18"/>
                <w:szCs w:val="18"/>
              </w:rPr>
              <w:t>Fecha concesión</w:t>
            </w:r>
          </w:p>
        </w:tc>
        <w:tc>
          <w:tcPr>
            <w:tcW w:w="1898" w:type="dxa"/>
            <w:tcBorders>
              <w:top w:val="single" w:sz="4" w:space="0" w:color="auto"/>
              <w:bottom w:val="single" w:sz="2" w:space="0" w:color="auto"/>
            </w:tcBorders>
            <w:shd w:val="clear" w:color="auto" w:fill="8DB3E2" w:themeFill="text2" w:themeFillTint="66"/>
            <w:vAlign w:val="center"/>
          </w:tcPr>
          <w:p w:rsidR="00094483" w:rsidRPr="00094483" w:rsidRDefault="00094483" w:rsidP="00DA0E88">
            <w:pPr>
              <w:pStyle w:val="cuatexto"/>
              <w:rPr>
                <w:rFonts w:ascii="Arial" w:hAnsi="Arial" w:cs="Arial"/>
                <w:sz w:val="18"/>
                <w:szCs w:val="18"/>
              </w:rPr>
            </w:pPr>
            <w:r w:rsidRPr="00094483">
              <w:rPr>
                <w:rFonts w:ascii="Arial" w:hAnsi="Arial" w:cs="Arial"/>
                <w:sz w:val="18"/>
                <w:szCs w:val="18"/>
              </w:rPr>
              <w:t>Fecha vencimiento</w:t>
            </w:r>
          </w:p>
        </w:tc>
        <w:tc>
          <w:tcPr>
            <w:tcW w:w="1550" w:type="dxa"/>
            <w:tcBorders>
              <w:top w:val="single" w:sz="4" w:space="0" w:color="auto"/>
              <w:bottom w:val="single" w:sz="2" w:space="0" w:color="auto"/>
            </w:tcBorders>
            <w:shd w:val="clear" w:color="auto" w:fill="8DB3E2" w:themeFill="text2" w:themeFillTint="66"/>
            <w:vAlign w:val="center"/>
          </w:tcPr>
          <w:p w:rsidR="00094483" w:rsidRPr="00094483" w:rsidRDefault="00094483" w:rsidP="00094483">
            <w:pPr>
              <w:pStyle w:val="cuatexto"/>
              <w:jc w:val="right"/>
              <w:rPr>
                <w:rFonts w:ascii="Arial" w:hAnsi="Arial" w:cs="Arial"/>
                <w:sz w:val="18"/>
                <w:szCs w:val="18"/>
              </w:rPr>
            </w:pPr>
            <w:r w:rsidRPr="00094483">
              <w:rPr>
                <w:rFonts w:ascii="Arial" w:hAnsi="Arial" w:cs="Arial"/>
                <w:sz w:val="18"/>
                <w:szCs w:val="18"/>
              </w:rPr>
              <w:t>I</w:t>
            </w:r>
            <w:r>
              <w:rPr>
                <w:rFonts w:ascii="Arial" w:hAnsi="Arial" w:cs="Arial"/>
                <w:sz w:val="18"/>
                <w:szCs w:val="18"/>
              </w:rPr>
              <w:t>mp.</w:t>
            </w:r>
            <w:r w:rsidRPr="00094483">
              <w:rPr>
                <w:rFonts w:ascii="Arial" w:hAnsi="Arial" w:cs="Arial"/>
                <w:sz w:val="18"/>
                <w:szCs w:val="18"/>
              </w:rPr>
              <w:t xml:space="preserve"> concedido</w:t>
            </w:r>
          </w:p>
        </w:tc>
        <w:tc>
          <w:tcPr>
            <w:tcW w:w="1799" w:type="dxa"/>
            <w:tcBorders>
              <w:top w:val="single" w:sz="4" w:space="0" w:color="auto"/>
              <w:bottom w:val="single" w:sz="2" w:space="0" w:color="auto"/>
            </w:tcBorders>
            <w:shd w:val="clear" w:color="auto" w:fill="8DB3E2" w:themeFill="text2" w:themeFillTint="66"/>
            <w:vAlign w:val="center"/>
          </w:tcPr>
          <w:p w:rsidR="00094483" w:rsidRPr="00094483" w:rsidRDefault="00094483" w:rsidP="007661A3">
            <w:pPr>
              <w:pStyle w:val="cuatexto"/>
              <w:jc w:val="right"/>
              <w:rPr>
                <w:rFonts w:ascii="Arial" w:hAnsi="Arial" w:cs="Arial"/>
                <w:sz w:val="18"/>
                <w:szCs w:val="18"/>
              </w:rPr>
            </w:pPr>
            <w:r w:rsidRPr="00094483">
              <w:rPr>
                <w:rFonts w:ascii="Arial" w:hAnsi="Arial" w:cs="Arial"/>
                <w:sz w:val="18"/>
                <w:szCs w:val="18"/>
              </w:rPr>
              <w:t>Imp</w:t>
            </w:r>
            <w:r w:rsidR="007661A3">
              <w:rPr>
                <w:rFonts w:ascii="Arial" w:hAnsi="Arial" w:cs="Arial"/>
                <w:sz w:val="18"/>
                <w:szCs w:val="18"/>
              </w:rPr>
              <w:t>.</w:t>
            </w:r>
            <w:r w:rsidRPr="00094483">
              <w:rPr>
                <w:rFonts w:ascii="Arial" w:hAnsi="Arial" w:cs="Arial"/>
                <w:sz w:val="18"/>
                <w:szCs w:val="18"/>
              </w:rPr>
              <w:t xml:space="preserve"> pendiente</w:t>
            </w:r>
            <w:r w:rsidRPr="00094483">
              <w:rPr>
                <w:rFonts w:ascii="Arial" w:hAnsi="Arial" w:cs="Arial"/>
                <w:sz w:val="18"/>
                <w:szCs w:val="18"/>
                <w:vertAlign w:val="superscript"/>
              </w:rPr>
              <w:t>(3)</w:t>
            </w:r>
          </w:p>
        </w:tc>
      </w:tr>
      <w:tr w:rsidR="00094483" w:rsidRPr="00D11197" w:rsidTr="007661A3">
        <w:trPr>
          <w:trHeight w:val="255"/>
          <w:jc w:val="center"/>
        </w:trPr>
        <w:tc>
          <w:tcPr>
            <w:tcW w:w="1629" w:type="dxa"/>
            <w:tcBorders>
              <w:top w:val="single" w:sz="4" w:space="0" w:color="auto"/>
              <w:bottom w:val="single" w:sz="2" w:space="0" w:color="auto"/>
            </w:tcBorders>
            <w:vAlign w:val="center"/>
          </w:tcPr>
          <w:p w:rsidR="00C12E70" w:rsidRPr="00DA0E88" w:rsidRDefault="00C12E70" w:rsidP="00094483">
            <w:pPr>
              <w:pStyle w:val="cuatexto"/>
              <w:jc w:val="left"/>
            </w:pPr>
            <w:r w:rsidRPr="00DA0E88">
              <w:t>Banco Popular</w:t>
            </w:r>
            <w:r w:rsidR="00FC6034" w:rsidRPr="00DA0E88">
              <w:t xml:space="preserve"> </w:t>
            </w:r>
            <w:r w:rsidRPr="000832F0">
              <w:rPr>
                <w:vertAlign w:val="superscript"/>
              </w:rPr>
              <w:t>(</w:t>
            </w:r>
            <w:r w:rsidR="00913B0B" w:rsidRPr="000832F0">
              <w:rPr>
                <w:vertAlign w:val="superscript"/>
              </w:rPr>
              <w:t>1</w:t>
            </w:r>
            <w:r w:rsidRPr="000832F0">
              <w:rPr>
                <w:vertAlign w:val="superscript"/>
              </w:rPr>
              <w:t>)</w:t>
            </w:r>
          </w:p>
        </w:tc>
        <w:tc>
          <w:tcPr>
            <w:tcW w:w="1846" w:type="dxa"/>
            <w:tcBorders>
              <w:top w:val="single" w:sz="4" w:space="0" w:color="auto"/>
              <w:bottom w:val="single" w:sz="2" w:space="0" w:color="auto"/>
            </w:tcBorders>
            <w:vAlign w:val="center"/>
          </w:tcPr>
          <w:p w:rsidR="00C12E70" w:rsidRPr="00DA0E88" w:rsidRDefault="00963132" w:rsidP="00094483">
            <w:pPr>
              <w:pStyle w:val="cuatexto"/>
              <w:jc w:val="left"/>
            </w:pPr>
            <w:r w:rsidRPr="00DA0E88">
              <w:t>Febrero de 2003</w:t>
            </w:r>
          </w:p>
        </w:tc>
        <w:tc>
          <w:tcPr>
            <w:tcW w:w="1898" w:type="dxa"/>
            <w:tcBorders>
              <w:top w:val="single" w:sz="4" w:space="0" w:color="auto"/>
              <w:bottom w:val="single" w:sz="2" w:space="0" w:color="auto"/>
            </w:tcBorders>
            <w:vAlign w:val="center"/>
          </w:tcPr>
          <w:p w:rsidR="00C12E70" w:rsidRPr="00DA0E88" w:rsidRDefault="00FC6034" w:rsidP="00DA0E88">
            <w:pPr>
              <w:pStyle w:val="cuatexto"/>
            </w:pPr>
            <w:r w:rsidRPr="00DA0E88">
              <w:t>Mayo de 20</w:t>
            </w:r>
            <w:r w:rsidR="00C12E70" w:rsidRPr="00DA0E88">
              <w:t>20</w:t>
            </w:r>
          </w:p>
        </w:tc>
        <w:tc>
          <w:tcPr>
            <w:tcW w:w="1550" w:type="dxa"/>
            <w:tcBorders>
              <w:top w:val="single" w:sz="4" w:space="0" w:color="auto"/>
              <w:bottom w:val="single" w:sz="2" w:space="0" w:color="auto"/>
            </w:tcBorders>
            <w:vAlign w:val="center"/>
          </w:tcPr>
          <w:p w:rsidR="00C12E70" w:rsidRPr="00DA0E88" w:rsidRDefault="00C12E70" w:rsidP="000832F0">
            <w:pPr>
              <w:pStyle w:val="cuatexto"/>
              <w:jc w:val="right"/>
            </w:pPr>
            <w:r w:rsidRPr="00DA0E88">
              <w:t>4.508</w:t>
            </w:r>
          </w:p>
        </w:tc>
        <w:tc>
          <w:tcPr>
            <w:tcW w:w="1799" w:type="dxa"/>
            <w:tcBorders>
              <w:top w:val="single" w:sz="4" w:space="0" w:color="auto"/>
              <w:bottom w:val="single" w:sz="2" w:space="0" w:color="auto"/>
            </w:tcBorders>
            <w:vAlign w:val="center"/>
          </w:tcPr>
          <w:p w:rsidR="00C12E70" w:rsidRPr="00DA0E88" w:rsidRDefault="00C12E70" w:rsidP="000832F0">
            <w:pPr>
              <w:pStyle w:val="cuatexto"/>
              <w:jc w:val="right"/>
            </w:pPr>
            <w:r w:rsidRPr="00DA0E88">
              <w:t>2.103</w:t>
            </w:r>
          </w:p>
        </w:tc>
      </w:tr>
      <w:tr w:rsidR="00094483" w:rsidRPr="00D11197" w:rsidTr="007661A3">
        <w:trPr>
          <w:trHeight w:val="255"/>
          <w:jc w:val="center"/>
        </w:trPr>
        <w:tc>
          <w:tcPr>
            <w:tcW w:w="1629" w:type="dxa"/>
            <w:tcBorders>
              <w:top w:val="single" w:sz="2" w:space="0" w:color="auto"/>
              <w:bottom w:val="single" w:sz="2" w:space="0" w:color="auto"/>
            </w:tcBorders>
            <w:vAlign w:val="center"/>
          </w:tcPr>
          <w:p w:rsidR="00C12E70" w:rsidRPr="00DA0E88" w:rsidRDefault="00C12E70" w:rsidP="00DA0E88">
            <w:pPr>
              <w:pStyle w:val="cuatexto"/>
            </w:pPr>
            <w:r w:rsidRPr="00DA0E88">
              <w:t xml:space="preserve">Bankinter </w:t>
            </w:r>
            <w:r w:rsidRPr="000832F0">
              <w:rPr>
                <w:vertAlign w:val="superscript"/>
              </w:rPr>
              <w:t>(</w:t>
            </w:r>
            <w:r w:rsidR="00913B0B" w:rsidRPr="000832F0">
              <w:rPr>
                <w:vertAlign w:val="superscript"/>
              </w:rPr>
              <w:t>1</w:t>
            </w:r>
            <w:r w:rsidRPr="000832F0">
              <w:rPr>
                <w:vertAlign w:val="superscript"/>
              </w:rPr>
              <w:t>)</w:t>
            </w:r>
          </w:p>
        </w:tc>
        <w:tc>
          <w:tcPr>
            <w:tcW w:w="1846" w:type="dxa"/>
            <w:tcBorders>
              <w:top w:val="single" w:sz="2" w:space="0" w:color="auto"/>
              <w:bottom w:val="single" w:sz="2" w:space="0" w:color="auto"/>
            </w:tcBorders>
            <w:vAlign w:val="center"/>
          </w:tcPr>
          <w:p w:rsidR="00C12E70" w:rsidRPr="00DA0E88" w:rsidRDefault="00963132" w:rsidP="00094483">
            <w:pPr>
              <w:pStyle w:val="cuatexto"/>
              <w:jc w:val="left"/>
            </w:pPr>
            <w:r w:rsidRPr="00DA0E88">
              <w:t>Febrero de 2003</w:t>
            </w:r>
          </w:p>
        </w:tc>
        <w:tc>
          <w:tcPr>
            <w:tcW w:w="1898" w:type="dxa"/>
            <w:tcBorders>
              <w:top w:val="single" w:sz="2" w:space="0" w:color="auto"/>
              <w:bottom w:val="single" w:sz="2" w:space="0" w:color="auto"/>
            </w:tcBorders>
            <w:vAlign w:val="center"/>
          </w:tcPr>
          <w:p w:rsidR="00C12E70" w:rsidRPr="00DA0E88" w:rsidRDefault="00FC6034" w:rsidP="00DA0E88">
            <w:pPr>
              <w:pStyle w:val="cuatexto"/>
            </w:pPr>
            <w:r w:rsidRPr="00DA0E88">
              <w:t>Mayo de 2020</w:t>
            </w:r>
          </w:p>
        </w:tc>
        <w:tc>
          <w:tcPr>
            <w:tcW w:w="1550" w:type="dxa"/>
            <w:tcBorders>
              <w:top w:val="single" w:sz="2" w:space="0" w:color="auto"/>
              <w:bottom w:val="single" w:sz="2" w:space="0" w:color="auto"/>
            </w:tcBorders>
            <w:vAlign w:val="center"/>
          </w:tcPr>
          <w:p w:rsidR="00C12E70" w:rsidRPr="00DA0E88" w:rsidRDefault="00C12E70" w:rsidP="000832F0">
            <w:pPr>
              <w:pStyle w:val="cuatexto"/>
              <w:jc w:val="right"/>
            </w:pPr>
            <w:r w:rsidRPr="00DA0E88">
              <w:t>4.508</w:t>
            </w:r>
          </w:p>
        </w:tc>
        <w:tc>
          <w:tcPr>
            <w:tcW w:w="1799" w:type="dxa"/>
            <w:tcBorders>
              <w:top w:val="single" w:sz="2" w:space="0" w:color="auto"/>
              <w:bottom w:val="single" w:sz="2" w:space="0" w:color="auto"/>
            </w:tcBorders>
            <w:vAlign w:val="center"/>
          </w:tcPr>
          <w:p w:rsidR="00C12E70" w:rsidRPr="00DA0E88" w:rsidRDefault="00C12E70" w:rsidP="000832F0">
            <w:pPr>
              <w:pStyle w:val="cuatexto"/>
              <w:jc w:val="right"/>
            </w:pPr>
            <w:r w:rsidRPr="00DA0E88">
              <w:t>2.103</w:t>
            </w:r>
          </w:p>
        </w:tc>
      </w:tr>
      <w:tr w:rsidR="00094483" w:rsidRPr="00D11197" w:rsidTr="007661A3">
        <w:trPr>
          <w:trHeight w:val="255"/>
          <w:jc w:val="center"/>
        </w:trPr>
        <w:tc>
          <w:tcPr>
            <w:tcW w:w="1629" w:type="dxa"/>
            <w:tcBorders>
              <w:top w:val="single" w:sz="2" w:space="0" w:color="auto"/>
              <w:bottom w:val="single" w:sz="2" w:space="0" w:color="auto"/>
            </w:tcBorders>
            <w:vAlign w:val="center"/>
          </w:tcPr>
          <w:p w:rsidR="00C12E70" w:rsidRPr="00DA0E88" w:rsidRDefault="00C12E70" w:rsidP="00DA0E88">
            <w:pPr>
              <w:pStyle w:val="cuatexto"/>
            </w:pPr>
            <w:r w:rsidRPr="00DA0E88">
              <w:t xml:space="preserve">CaixaBank </w:t>
            </w:r>
            <w:r w:rsidRPr="000832F0">
              <w:rPr>
                <w:vertAlign w:val="superscript"/>
              </w:rPr>
              <w:t>(</w:t>
            </w:r>
            <w:r w:rsidR="00913B0B" w:rsidRPr="000832F0">
              <w:rPr>
                <w:vertAlign w:val="superscript"/>
              </w:rPr>
              <w:t>1</w:t>
            </w:r>
            <w:r w:rsidRPr="000832F0">
              <w:rPr>
                <w:vertAlign w:val="superscript"/>
              </w:rPr>
              <w:t>)</w:t>
            </w:r>
          </w:p>
        </w:tc>
        <w:tc>
          <w:tcPr>
            <w:tcW w:w="1846" w:type="dxa"/>
            <w:tcBorders>
              <w:top w:val="single" w:sz="2" w:space="0" w:color="auto"/>
              <w:bottom w:val="single" w:sz="2" w:space="0" w:color="auto"/>
            </w:tcBorders>
            <w:vAlign w:val="center"/>
          </w:tcPr>
          <w:p w:rsidR="00C12E70" w:rsidRPr="00DA0E88" w:rsidRDefault="00963132" w:rsidP="00094483">
            <w:pPr>
              <w:pStyle w:val="cuatexto"/>
              <w:jc w:val="left"/>
            </w:pPr>
            <w:r w:rsidRPr="00DA0E88">
              <w:t>Febrero de 2003</w:t>
            </w:r>
          </w:p>
        </w:tc>
        <w:tc>
          <w:tcPr>
            <w:tcW w:w="1898" w:type="dxa"/>
            <w:tcBorders>
              <w:top w:val="single" w:sz="2" w:space="0" w:color="auto"/>
              <w:bottom w:val="single" w:sz="2" w:space="0" w:color="auto"/>
            </w:tcBorders>
            <w:vAlign w:val="center"/>
          </w:tcPr>
          <w:p w:rsidR="00C12E70" w:rsidRPr="00DA0E88" w:rsidRDefault="00FC6034" w:rsidP="00DA0E88">
            <w:pPr>
              <w:pStyle w:val="cuatexto"/>
            </w:pPr>
            <w:r w:rsidRPr="00DA0E88">
              <w:t>Mayo de 2020</w:t>
            </w:r>
          </w:p>
        </w:tc>
        <w:tc>
          <w:tcPr>
            <w:tcW w:w="1550" w:type="dxa"/>
            <w:tcBorders>
              <w:top w:val="single" w:sz="2" w:space="0" w:color="auto"/>
              <w:bottom w:val="single" w:sz="2" w:space="0" w:color="auto"/>
            </w:tcBorders>
            <w:vAlign w:val="center"/>
          </w:tcPr>
          <w:p w:rsidR="00C12E70" w:rsidRPr="00DA0E88" w:rsidRDefault="00C12E70" w:rsidP="000832F0">
            <w:pPr>
              <w:pStyle w:val="cuatexto"/>
              <w:jc w:val="right"/>
            </w:pPr>
            <w:r w:rsidRPr="00DA0E88">
              <w:t>9.015</w:t>
            </w:r>
          </w:p>
        </w:tc>
        <w:tc>
          <w:tcPr>
            <w:tcW w:w="1799" w:type="dxa"/>
            <w:tcBorders>
              <w:top w:val="single" w:sz="2" w:space="0" w:color="auto"/>
              <w:bottom w:val="single" w:sz="2" w:space="0" w:color="auto"/>
            </w:tcBorders>
            <w:vAlign w:val="center"/>
          </w:tcPr>
          <w:p w:rsidR="00C12E70" w:rsidRPr="00DA0E88" w:rsidRDefault="00C12E70" w:rsidP="000832F0">
            <w:pPr>
              <w:pStyle w:val="cuatexto"/>
              <w:jc w:val="right"/>
            </w:pPr>
            <w:r w:rsidRPr="00DA0E88">
              <w:t>3.606</w:t>
            </w:r>
          </w:p>
        </w:tc>
      </w:tr>
      <w:tr w:rsidR="00094483" w:rsidRPr="00D11197" w:rsidTr="007661A3">
        <w:trPr>
          <w:trHeight w:val="255"/>
          <w:jc w:val="center"/>
        </w:trPr>
        <w:tc>
          <w:tcPr>
            <w:tcW w:w="1629" w:type="dxa"/>
            <w:tcBorders>
              <w:top w:val="single" w:sz="2" w:space="0" w:color="auto"/>
              <w:bottom w:val="single" w:sz="2" w:space="0" w:color="auto"/>
            </w:tcBorders>
            <w:vAlign w:val="center"/>
          </w:tcPr>
          <w:p w:rsidR="008A1031" w:rsidRPr="00DA0E88" w:rsidRDefault="008A1031" w:rsidP="00DA0E88">
            <w:pPr>
              <w:pStyle w:val="cuatexto"/>
            </w:pPr>
            <w:r w:rsidRPr="00DA0E88">
              <w:t xml:space="preserve">CaixaBank </w:t>
            </w:r>
            <w:r w:rsidRPr="000832F0">
              <w:rPr>
                <w:vertAlign w:val="superscript"/>
              </w:rPr>
              <w:t>(</w:t>
            </w:r>
            <w:r w:rsidR="00913B0B" w:rsidRPr="000832F0">
              <w:rPr>
                <w:vertAlign w:val="superscript"/>
              </w:rPr>
              <w:t>2</w:t>
            </w:r>
            <w:r w:rsidRPr="000832F0">
              <w:rPr>
                <w:vertAlign w:val="superscript"/>
              </w:rPr>
              <w:t>)</w:t>
            </w:r>
          </w:p>
        </w:tc>
        <w:tc>
          <w:tcPr>
            <w:tcW w:w="1846" w:type="dxa"/>
            <w:tcBorders>
              <w:top w:val="single" w:sz="2" w:space="0" w:color="auto"/>
              <w:bottom w:val="single" w:sz="2" w:space="0" w:color="auto"/>
            </w:tcBorders>
            <w:vAlign w:val="center"/>
          </w:tcPr>
          <w:p w:rsidR="008A1031" w:rsidRPr="00DA0E88" w:rsidRDefault="008A1031" w:rsidP="00094483">
            <w:pPr>
              <w:pStyle w:val="cuatexto"/>
              <w:jc w:val="left"/>
            </w:pPr>
            <w:r w:rsidRPr="00DA0E88">
              <w:t>Marzo de 2009</w:t>
            </w:r>
          </w:p>
        </w:tc>
        <w:tc>
          <w:tcPr>
            <w:tcW w:w="1898" w:type="dxa"/>
            <w:tcBorders>
              <w:top w:val="single" w:sz="2" w:space="0" w:color="auto"/>
              <w:bottom w:val="single" w:sz="2" w:space="0" w:color="auto"/>
            </w:tcBorders>
            <w:vAlign w:val="center"/>
          </w:tcPr>
          <w:p w:rsidR="008A1031" w:rsidRPr="00DA0E88" w:rsidRDefault="008A1031" w:rsidP="00DA0E88">
            <w:pPr>
              <w:pStyle w:val="cuatexto"/>
            </w:pPr>
            <w:r w:rsidRPr="00DA0E88">
              <w:t>Marzo de 2018</w:t>
            </w:r>
          </w:p>
        </w:tc>
        <w:tc>
          <w:tcPr>
            <w:tcW w:w="1550" w:type="dxa"/>
            <w:tcBorders>
              <w:top w:val="single" w:sz="2" w:space="0" w:color="auto"/>
              <w:bottom w:val="single" w:sz="2" w:space="0" w:color="auto"/>
            </w:tcBorders>
            <w:vAlign w:val="center"/>
          </w:tcPr>
          <w:p w:rsidR="008A1031" w:rsidRPr="00DA0E88" w:rsidRDefault="008A1031" w:rsidP="000832F0">
            <w:pPr>
              <w:pStyle w:val="cuatexto"/>
              <w:jc w:val="right"/>
            </w:pPr>
            <w:r w:rsidRPr="00DA0E88">
              <w:t>8.600</w:t>
            </w:r>
          </w:p>
        </w:tc>
        <w:tc>
          <w:tcPr>
            <w:tcW w:w="1799" w:type="dxa"/>
            <w:tcBorders>
              <w:top w:val="single" w:sz="2" w:space="0" w:color="auto"/>
              <w:bottom w:val="single" w:sz="2" w:space="0" w:color="auto"/>
            </w:tcBorders>
            <w:vAlign w:val="center"/>
          </w:tcPr>
          <w:p w:rsidR="008A1031" w:rsidRPr="00DA0E88" w:rsidRDefault="008A1031" w:rsidP="000832F0">
            <w:pPr>
              <w:pStyle w:val="cuatexto"/>
              <w:jc w:val="right"/>
            </w:pPr>
            <w:r w:rsidRPr="00DA0E88">
              <w:t>4.643</w:t>
            </w:r>
          </w:p>
        </w:tc>
      </w:tr>
      <w:tr w:rsidR="00094483" w:rsidRPr="00D11197" w:rsidTr="007661A3">
        <w:trPr>
          <w:trHeight w:val="255"/>
          <w:jc w:val="center"/>
        </w:trPr>
        <w:tc>
          <w:tcPr>
            <w:tcW w:w="1629" w:type="dxa"/>
            <w:tcBorders>
              <w:top w:val="single" w:sz="2" w:space="0" w:color="auto"/>
              <w:bottom w:val="single" w:sz="4" w:space="0" w:color="auto"/>
            </w:tcBorders>
            <w:vAlign w:val="center"/>
          </w:tcPr>
          <w:p w:rsidR="008A1031" w:rsidRPr="00DA0E88" w:rsidRDefault="008A1031" w:rsidP="00DA0E88">
            <w:pPr>
              <w:pStyle w:val="cuatexto"/>
            </w:pPr>
            <w:r w:rsidRPr="00DA0E88">
              <w:t>CaixaBank</w:t>
            </w:r>
          </w:p>
        </w:tc>
        <w:tc>
          <w:tcPr>
            <w:tcW w:w="1846" w:type="dxa"/>
            <w:tcBorders>
              <w:top w:val="single" w:sz="2" w:space="0" w:color="auto"/>
              <w:bottom w:val="single" w:sz="4" w:space="0" w:color="auto"/>
            </w:tcBorders>
            <w:vAlign w:val="center"/>
          </w:tcPr>
          <w:p w:rsidR="008A1031" w:rsidRPr="00DA0E88" w:rsidRDefault="008A1031" w:rsidP="00094483">
            <w:pPr>
              <w:pStyle w:val="cuatexto"/>
              <w:jc w:val="left"/>
            </w:pPr>
            <w:r w:rsidRPr="00DA0E88">
              <w:t>Febrero de 2013</w:t>
            </w:r>
          </w:p>
        </w:tc>
        <w:tc>
          <w:tcPr>
            <w:tcW w:w="1898" w:type="dxa"/>
            <w:tcBorders>
              <w:top w:val="single" w:sz="2" w:space="0" w:color="auto"/>
              <w:bottom w:val="single" w:sz="4" w:space="0" w:color="auto"/>
            </w:tcBorders>
            <w:vAlign w:val="center"/>
          </w:tcPr>
          <w:p w:rsidR="008A1031" w:rsidRPr="00DA0E88" w:rsidRDefault="008A1031" w:rsidP="00DA0E88">
            <w:pPr>
              <w:pStyle w:val="cuatexto"/>
            </w:pPr>
            <w:r w:rsidRPr="00DA0E88">
              <w:t>Julio de 2014</w:t>
            </w:r>
          </w:p>
        </w:tc>
        <w:tc>
          <w:tcPr>
            <w:tcW w:w="1550" w:type="dxa"/>
            <w:tcBorders>
              <w:top w:val="single" w:sz="2" w:space="0" w:color="auto"/>
              <w:bottom w:val="single" w:sz="4" w:space="0" w:color="auto"/>
            </w:tcBorders>
            <w:vAlign w:val="center"/>
          </w:tcPr>
          <w:p w:rsidR="008A1031" w:rsidRPr="00DA0E88" w:rsidRDefault="008A1031" w:rsidP="000832F0">
            <w:pPr>
              <w:pStyle w:val="cuatexto"/>
              <w:jc w:val="right"/>
            </w:pPr>
            <w:r w:rsidRPr="00DA0E88">
              <w:t>3.500</w:t>
            </w:r>
          </w:p>
        </w:tc>
        <w:tc>
          <w:tcPr>
            <w:tcW w:w="1799" w:type="dxa"/>
            <w:tcBorders>
              <w:top w:val="single" w:sz="2" w:space="0" w:color="auto"/>
              <w:bottom w:val="single" w:sz="4" w:space="0" w:color="auto"/>
            </w:tcBorders>
            <w:vAlign w:val="center"/>
          </w:tcPr>
          <w:p w:rsidR="008A1031" w:rsidRPr="00DA0E88" w:rsidRDefault="008A1031" w:rsidP="000832F0">
            <w:pPr>
              <w:pStyle w:val="cuatexto"/>
              <w:jc w:val="right"/>
            </w:pPr>
            <w:r w:rsidRPr="00DA0E88">
              <w:t>328</w:t>
            </w:r>
          </w:p>
        </w:tc>
      </w:tr>
      <w:tr w:rsidR="00094483" w:rsidRPr="00094483" w:rsidTr="007661A3">
        <w:trPr>
          <w:trHeight w:val="255"/>
          <w:jc w:val="center"/>
        </w:trPr>
        <w:tc>
          <w:tcPr>
            <w:tcW w:w="5373" w:type="dxa"/>
            <w:gridSpan w:val="3"/>
            <w:tcBorders>
              <w:top w:val="single" w:sz="2" w:space="0" w:color="auto"/>
              <w:bottom w:val="single" w:sz="4" w:space="0" w:color="auto"/>
            </w:tcBorders>
            <w:shd w:val="clear" w:color="auto" w:fill="8DB3E2" w:themeFill="text2" w:themeFillTint="66"/>
            <w:vAlign w:val="center"/>
          </w:tcPr>
          <w:p w:rsidR="00094483" w:rsidRPr="00094483" w:rsidRDefault="00094483" w:rsidP="00DA0E88">
            <w:pPr>
              <w:pStyle w:val="cuatexto"/>
              <w:rPr>
                <w:rFonts w:ascii="Arial" w:hAnsi="Arial" w:cs="Arial"/>
                <w:sz w:val="18"/>
                <w:szCs w:val="18"/>
              </w:rPr>
            </w:pPr>
            <w:r w:rsidRPr="00094483">
              <w:rPr>
                <w:rFonts w:ascii="Arial" w:hAnsi="Arial" w:cs="Arial"/>
                <w:sz w:val="18"/>
                <w:szCs w:val="18"/>
              </w:rPr>
              <w:t>Total endeudamiento con entidades financieras</w:t>
            </w:r>
          </w:p>
        </w:tc>
        <w:tc>
          <w:tcPr>
            <w:tcW w:w="1550" w:type="dxa"/>
            <w:tcBorders>
              <w:top w:val="single" w:sz="2" w:space="0" w:color="auto"/>
              <w:bottom w:val="single" w:sz="4" w:space="0" w:color="auto"/>
            </w:tcBorders>
            <w:shd w:val="clear" w:color="auto" w:fill="8DB3E2" w:themeFill="text2" w:themeFillTint="66"/>
            <w:vAlign w:val="center"/>
          </w:tcPr>
          <w:p w:rsidR="00094483" w:rsidRPr="00094483" w:rsidRDefault="00094483" w:rsidP="000832F0">
            <w:pPr>
              <w:pStyle w:val="cuatexto"/>
              <w:jc w:val="right"/>
              <w:rPr>
                <w:rFonts w:ascii="Arial" w:hAnsi="Arial" w:cs="Arial"/>
                <w:sz w:val="18"/>
                <w:szCs w:val="18"/>
              </w:rPr>
            </w:pPr>
            <w:r w:rsidRPr="00094483">
              <w:rPr>
                <w:rFonts w:ascii="Arial" w:hAnsi="Arial" w:cs="Arial"/>
                <w:sz w:val="18"/>
                <w:szCs w:val="18"/>
              </w:rPr>
              <w:t>30.131</w:t>
            </w:r>
          </w:p>
        </w:tc>
        <w:tc>
          <w:tcPr>
            <w:tcW w:w="1799" w:type="dxa"/>
            <w:tcBorders>
              <w:top w:val="single" w:sz="2" w:space="0" w:color="auto"/>
              <w:bottom w:val="single" w:sz="4" w:space="0" w:color="auto"/>
            </w:tcBorders>
            <w:shd w:val="clear" w:color="auto" w:fill="8DB3E2" w:themeFill="text2" w:themeFillTint="66"/>
            <w:vAlign w:val="center"/>
          </w:tcPr>
          <w:p w:rsidR="00094483" w:rsidRPr="00094483" w:rsidRDefault="00094483" w:rsidP="000832F0">
            <w:pPr>
              <w:pStyle w:val="cuatexto"/>
              <w:jc w:val="right"/>
              <w:rPr>
                <w:rFonts w:ascii="Arial" w:hAnsi="Arial" w:cs="Arial"/>
                <w:sz w:val="18"/>
                <w:szCs w:val="18"/>
              </w:rPr>
            </w:pPr>
            <w:r w:rsidRPr="00094483">
              <w:rPr>
                <w:rFonts w:ascii="Arial" w:hAnsi="Arial" w:cs="Arial"/>
                <w:sz w:val="18"/>
                <w:szCs w:val="18"/>
              </w:rPr>
              <w:t>12.783</w:t>
            </w:r>
          </w:p>
        </w:tc>
      </w:tr>
    </w:tbl>
    <w:p w:rsidR="00913B0B" w:rsidRPr="00963132" w:rsidRDefault="00C12E70" w:rsidP="00E766B3">
      <w:pPr>
        <w:pStyle w:val="texto"/>
        <w:spacing w:before="60" w:after="0"/>
        <w:ind w:left="284" w:firstLine="0"/>
        <w:rPr>
          <w:rFonts w:ascii="Arial Narrow" w:hAnsi="Arial Narrow"/>
          <w:spacing w:val="4"/>
          <w:sz w:val="20"/>
          <w:szCs w:val="20"/>
        </w:rPr>
      </w:pPr>
      <w:r w:rsidRPr="00094483">
        <w:rPr>
          <w:rFonts w:ascii="Arial Narrow" w:hAnsi="Arial Narrow"/>
          <w:spacing w:val="4"/>
          <w:sz w:val="20"/>
          <w:szCs w:val="20"/>
          <w:vertAlign w:val="superscript"/>
        </w:rPr>
        <w:t>(</w:t>
      </w:r>
      <w:r w:rsidR="00913B0B" w:rsidRPr="00094483">
        <w:rPr>
          <w:rFonts w:ascii="Arial Narrow" w:hAnsi="Arial Narrow"/>
          <w:spacing w:val="4"/>
          <w:sz w:val="20"/>
          <w:szCs w:val="20"/>
          <w:vertAlign w:val="superscript"/>
        </w:rPr>
        <w:t>1</w:t>
      </w:r>
      <w:r w:rsidRPr="00094483">
        <w:rPr>
          <w:rFonts w:ascii="Arial Narrow" w:hAnsi="Arial Narrow"/>
          <w:spacing w:val="4"/>
          <w:sz w:val="20"/>
          <w:szCs w:val="20"/>
          <w:vertAlign w:val="superscript"/>
        </w:rPr>
        <w:t>)</w:t>
      </w:r>
      <w:r w:rsidR="00FC6034">
        <w:rPr>
          <w:rFonts w:ascii="Arial Narrow" w:hAnsi="Arial Narrow"/>
          <w:spacing w:val="4"/>
          <w:sz w:val="20"/>
          <w:szCs w:val="20"/>
        </w:rPr>
        <w:t xml:space="preserve"> </w:t>
      </w:r>
      <w:r w:rsidR="00F80B33" w:rsidRPr="00963132">
        <w:rPr>
          <w:rFonts w:ascii="Arial Narrow" w:hAnsi="Arial Narrow"/>
          <w:spacing w:val="4"/>
          <w:sz w:val="20"/>
          <w:szCs w:val="20"/>
        </w:rPr>
        <w:t>Créditos avalados por el Gobierno de Navarra</w:t>
      </w:r>
      <w:r w:rsidR="00F80B33">
        <w:rPr>
          <w:rFonts w:ascii="Arial Narrow" w:hAnsi="Arial Narrow"/>
          <w:spacing w:val="4"/>
          <w:sz w:val="20"/>
          <w:szCs w:val="20"/>
        </w:rPr>
        <w:t xml:space="preserve"> al amparo de la</w:t>
      </w:r>
      <w:r w:rsidR="00F80B33" w:rsidRPr="00963132">
        <w:rPr>
          <w:rFonts w:ascii="Arial Narrow" w:hAnsi="Arial Narrow"/>
          <w:spacing w:val="4"/>
          <w:sz w:val="20"/>
          <w:szCs w:val="20"/>
        </w:rPr>
        <w:t xml:space="preserve"> Ley Foral 1/2003.</w:t>
      </w:r>
      <w:r w:rsidR="00094483">
        <w:rPr>
          <w:rFonts w:ascii="Arial Narrow" w:hAnsi="Arial Narrow"/>
          <w:spacing w:val="4"/>
          <w:sz w:val="20"/>
          <w:szCs w:val="20"/>
        </w:rPr>
        <w:t xml:space="preserve"> </w:t>
      </w:r>
      <w:r w:rsidR="00F80B33" w:rsidRPr="00094483">
        <w:rPr>
          <w:rFonts w:ascii="Arial Narrow" w:hAnsi="Arial Narrow"/>
          <w:spacing w:val="4"/>
          <w:sz w:val="20"/>
          <w:szCs w:val="20"/>
          <w:vertAlign w:val="superscript"/>
        </w:rPr>
        <w:t>(</w:t>
      </w:r>
      <w:r w:rsidR="00913B0B" w:rsidRPr="00094483">
        <w:rPr>
          <w:rFonts w:ascii="Arial Narrow" w:hAnsi="Arial Narrow"/>
          <w:spacing w:val="4"/>
          <w:sz w:val="20"/>
          <w:szCs w:val="20"/>
          <w:vertAlign w:val="superscript"/>
        </w:rPr>
        <w:t>2</w:t>
      </w:r>
      <w:r w:rsidR="00F80B33" w:rsidRPr="00094483">
        <w:rPr>
          <w:rFonts w:ascii="Arial Narrow" w:hAnsi="Arial Narrow"/>
          <w:spacing w:val="4"/>
          <w:sz w:val="20"/>
          <w:szCs w:val="20"/>
          <w:vertAlign w:val="superscript"/>
        </w:rPr>
        <w:t>)</w:t>
      </w:r>
      <w:r w:rsidR="00F80B33">
        <w:rPr>
          <w:rFonts w:ascii="Arial Narrow" w:hAnsi="Arial Narrow"/>
          <w:spacing w:val="4"/>
          <w:sz w:val="20"/>
          <w:szCs w:val="20"/>
        </w:rPr>
        <w:t xml:space="preserve"> </w:t>
      </w:r>
      <w:r w:rsidRPr="00963132">
        <w:rPr>
          <w:rFonts w:ascii="Arial Narrow" w:hAnsi="Arial Narrow"/>
          <w:spacing w:val="4"/>
          <w:sz w:val="20"/>
          <w:szCs w:val="20"/>
        </w:rPr>
        <w:t>Garantía hipotecaria sobre parcelas de Tajonar</w:t>
      </w:r>
      <w:r w:rsidR="00FC6034">
        <w:rPr>
          <w:rFonts w:ascii="Arial Narrow" w:hAnsi="Arial Narrow"/>
          <w:spacing w:val="4"/>
          <w:sz w:val="20"/>
          <w:szCs w:val="20"/>
        </w:rPr>
        <w:t>.</w:t>
      </w:r>
      <w:r w:rsidR="00094483">
        <w:rPr>
          <w:rFonts w:ascii="Arial Narrow" w:hAnsi="Arial Narrow"/>
          <w:spacing w:val="4"/>
          <w:sz w:val="20"/>
          <w:szCs w:val="20"/>
        </w:rPr>
        <w:t xml:space="preserve"> </w:t>
      </w:r>
      <w:r w:rsidR="00913B0B" w:rsidRPr="00094483">
        <w:rPr>
          <w:rFonts w:ascii="Arial Narrow" w:hAnsi="Arial Narrow"/>
          <w:spacing w:val="4"/>
          <w:sz w:val="20"/>
          <w:szCs w:val="20"/>
          <w:vertAlign w:val="superscript"/>
        </w:rPr>
        <w:t>(3)</w:t>
      </w:r>
      <w:r w:rsidR="00913B0B">
        <w:rPr>
          <w:rFonts w:ascii="Arial Narrow" w:hAnsi="Arial Narrow"/>
          <w:spacing w:val="4"/>
          <w:sz w:val="20"/>
          <w:szCs w:val="20"/>
        </w:rPr>
        <w:t xml:space="preserve"> No incluye los intereses devengados a corto plazo por importe de 28.742 euros</w:t>
      </w:r>
    </w:p>
    <w:p w:rsidR="000C7225" w:rsidRDefault="00BE66DA" w:rsidP="00E766B3">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spacing w:before="200"/>
        <w:ind w:left="0" w:firstLine="289"/>
      </w:pPr>
      <w:r w:rsidRPr="005B53B1">
        <w:t>Deuda con la Hacienda Tributaria de Navarra</w:t>
      </w:r>
      <w:r w:rsidR="005B53B1" w:rsidRPr="005B53B1">
        <w:t>. Contablemente, el importe de la deuda con la Hacienda ha ido creciendo de forma progresiva</w:t>
      </w:r>
      <w:r w:rsidR="009A6F60">
        <w:t xml:space="preserve"> –de 2,75 a 46,34 millones</w:t>
      </w:r>
      <w:r w:rsidR="00094483">
        <w:t>–</w:t>
      </w:r>
      <w:r w:rsidR="005B53B1" w:rsidRPr="005B53B1">
        <w:t xml:space="preserve"> alcanzado las últimas temporadas su</w:t>
      </w:r>
      <w:r w:rsidR="005B53B1">
        <w:t>s</w:t>
      </w:r>
      <w:r w:rsidR="009A6F60">
        <w:t xml:space="preserve"> valores máximos.</w:t>
      </w:r>
      <w:r w:rsidR="005B53B1" w:rsidRPr="005B53B1">
        <w:t xml:space="preserve"> </w:t>
      </w:r>
    </w:p>
    <w:p w:rsidR="005B53B1" w:rsidRPr="005B53B1" w:rsidRDefault="005B53B1" w:rsidP="00094483">
      <w:pPr>
        <w:pStyle w:val="texto"/>
        <w:tabs>
          <w:tab w:val="num" w:pos="300"/>
          <w:tab w:val="num" w:pos="4920"/>
        </w:tabs>
        <w:spacing w:after="0"/>
        <w:rPr>
          <w:szCs w:val="26"/>
        </w:rPr>
      </w:pPr>
      <w:r w:rsidRPr="005B53B1">
        <w:rPr>
          <w:szCs w:val="26"/>
        </w:rPr>
        <w:t>Tal evolución pu</w:t>
      </w:r>
      <w:r w:rsidR="00991A04">
        <w:rPr>
          <w:szCs w:val="26"/>
        </w:rPr>
        <w:t>e</w:t>
      </w:r>
      <w:r w:rsidRPr="005B53B1">
        <w:rPr>
          <w:szCs w:val="26"/>
        </w:rPr>
        <w:t>de observarse en el siguiente gráfico:</w:t>
      </w:r>
    </w:p>
    <w:p w:rsidR="005B53B1" w:rsidRDefault="005B53B1" w:rsidP="00094483">
      <w:pPr>
        <w:pStyle w:val="texto"/>
        <w:tabs>
          <w:tab w:val="num" w:pos="300"/>
          <w:tab w:val="num" w:pos="4920"/>
        </w:tabs>
        <w:spacing w:after="0"/>
        <w:rPr>
          <w:szCs w:val="26"/>
        </w:rPr>
      </w:pPr>
    </w:p>
    <w:p w:rsidR="005B53B1" w:rsidRPr="005B53B1" w:rsidRDefault="0051491B" w:rsidP="005B53B1">
      <w:pPr>
        <w:pStyle w:val="texto"/>
        <w:tabs>
          <w:tab w:val="num" w:pos="300"/>
          <w:tab w:val="num" w:pos="4920"/>
        </w:tabs>
        <w:rPr>
          <w:szCs w:val="26"/>
        </w:rPr>
      </w:pPr>
      <w:r>
        <w:rPr>
          <w:noProof/>
          <w:lang w:val="es-ES" w:eastAsia="es-ES"/>
        </w:rPr>
        <w:drawing>
          <wp:inline distT="0" distB="0" distL="0" distR="0" wp14:anchorId="1250F598" wp14:editId="46EA90AD">
            <wp:extent cx="5486400" cy="2107096"/>
            <wp:effectExtent l="0" t="0" r="19050" b="2667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B53B1" w:rsidRDefault="005B53B1" w:rsidP="00080CD3">
      <w:pPr>
        <w:pStyle w:val="texto"/>
        <w:tabs>
          <w:tab w:val="num" w:pos="300"/>
          <w:tab w:val="num" w:pos="4920"/>
        </w:tabs>
        <w:spacing w:before="240"/>
        <w:rPr>
          <w:szCs w:val="26"/>
        </w:rPr>
      </w:pPr>
      <w:r w:rsidRPr="005B53B1">
        <w:rPr>
          <w:szCs w:val="26"/>
        </w:rPr>
        <w:t xml:space="preserve">El </w:t>
      </w:r>
      <w:r w:rsidR="0044756D">
        <w:rPr>
          <w:szCs w:val="26"/>
        </w:rPr>
        <w:t>c</w:t>
      </w:r>
      <w:r w:rsidRPr="005B53B1">
        <w:rPr>
          <w:szCs w:val="26"/>
        </w:rPr>
        <w:t>lub</w:t>
      </w:r>
      <w:r w:rsidR="00991A04">
        <w:rPr>
          <w:szCs w:val="26"/>
        </w:rPr>
        <w:t>,</w:t>
      </w:r>
      <w:r w:rsidR="00991A04" w:rsidRPr="00991A04">
        <w:rPr>
          <w:szCs w:val="26"/>
        </w:rPr>
        <w:t xml:space="preserve"> </w:t>
      </w:r>
      <w:r w:rsidR="00991A04">
        <w:rPr>
          <w:szCs w:val="26"/>
        </w:rPr>
        <w:t>desde la temporada 2008/09,</w:t>
      </w:r>
      <w:r w:rsidRPr="005B53B1">
        <w:rPr>
          <w:szCs w:val="26"/>
        </w:rPr>
        <w:t xml:space="preserve"> ha seguido la práctica contable</w:t>
      </w:r>
      <w:r w:rsidR="00991A04">
        <w:rPr>
          <w:szCs w:val="26"/>
        </w:rPr>
        <w:t xml:space="preserve"> </w:t>
      </w:r>
      <w:r w:rsidRPr="005B53B1">
        <w:rPr>
          <w:szCs w:val="26"/>
        </w:rPr>
        <w:t>de reclasificar dicha deuda entre el largo y el corto plazo</w:t>
      </w:r>
      <w:r w:rsidR="00991A04">
        <w:rPr>
          <w:szCs w:val="26"/>
        </w:rPr>
        <w:t xml:space="preserve">. Esta práctica, ha sido objeto de salvedad en diversos informes de auditoría, dado que el </w:t>
      </w:r>
      <w:r w:rsidR="0044756D">
        <w:rPr>
          <w:szCs w:val="26"/>
        </w:rPr>
        <w:t>c</w:t>
      </w:r>
      <w:r w:rsidR="00991A04">
        <w:rPr>
          <w:szCs w:val="26"/>
        </w:rPr>
        <w:t>lub no ha aportado respaldo y/o información suficiente al respecto.</w:t>
      </w:r>
    </w:p>
    <w:p w:rsidR="009A6F60" w:rsidRDefault="009A6F60" w:rsidP="005B53B1">
      <w:pPr>
        <w:pStyle w:val="texto"/>
        <w:tabs>
          <w:tab w:val="num" w:pos="300"/>
          <w:tab w:val="num" w:pos="4920"/>
        </w:tabs>
        <w:rPr>
          <w:szCs w:val="26"/>
        </w:rPr>
      </w:pPr>
      <w:r>
        <w:rPr>
          <w:szCs w:val="26"/>
        </w:rPr>
        <w:t>De acuerdo con la información que contiene la memoria de la temporada 2013/14</w:t>
      </w:r>
      <w:r w:rsidR="009100B5">
        <w:rPr>
          <w:szCs w:val="26"/>
        </w:rPr>
        <w:t>, señalamos:</w:t>
      </w:r>
    </w:p>
    <w:p w:rsidR="009100B5" w:rsidRDefault="004C7675" w:rsidP="009100B5">
      <w:pPr>
        <w:pStyle w:val="texto"/>
        <w:tabs>
          <w:tab w:val="num" w:pos="4920"/>
        </w:tabs>
        <w:rPr>
          <w:szCs w:val="26"/>
        </w:rPr>
      </w:pPr>
      <w:r>
        <w:rPr>
          <w:szCs w:val="26"/>
        </w:rPr>
        <w:t>a)</w:t>
      </w:r>
      <w:r w:rsidR="009100B5">
        <w:rPr>
          <w:szCs w:val="26"/>
        </w:rPr>
        <w:t xml:space="preserve"> La deuda a corto plazo con Hacienda </w:t>
      </w:r>
      <w:r w:rsidR="00094483">
        <w:rPr>
          <w:szCs w:val="26"/>
        </w:rPr>
        <w:t>–</w:t>
      </w:r>
      <w:r w:rsidR="009100B5">
        <w:rPr>
          <w:szCs w:val="26"/>
        </w:rPr>
        <w:t>13,93 millones</w:t>
      </w:r>
      <w:r w:rsidR="00094483">
        <w:rPr>
          <w:szCs w:val="26"/>
        </w:rPr>
        <w:t>–</w:t>
      </w:r>
      <w:r w:rsidR="009100B5">
        <w:rPr>
          <w:szCs w:val="26"/>
        </w:rPr>
        <w:t xml:space="preserve"> se corresponde a los siguientes conceptos</w:t>
      </w:r>
      <w:r w:rsidR="00094483">
        <w:rPr>
          <w:szCs w:val="26"/>
        </w:rPr>
        <w:t xml:space="preserve"> </w:t>
      </w:r>
      <w:r>
        <w:rPr>
          <w:szCs w:val="26"/>
        </w:rPr>
        <w:t>en miles de euros</w:t>
      </w:r>
      <w:r w:rsidR="00094483">
        <w:rPr>
          <w:szCs w:val="26"/>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1"/>
        <w:gridCol w:w="1418"/>
      </w:tblGrid>
      <w:tr w:rsidR="009100B5" w:rsidRPr="00C12E70" w:rsidTr="00E766B3">
        <w:trPr>
          <w:trHeight w:val="255"/>
          <w:jc w:val="center"/>
        </w:trPr>
        <w:tc>
          <w:tcPr>
            <w:tcW w:w="7381" w:type="dxa"/>
            <w:tcBorders>
              <w:top w:val="single" w:sz="4" w:space="0" w:color="auto"/>
              <w:bottom w:val="single" w:sz="4" w:space="0" w:color="auto"/>
            </w:tcBorders>
            <w:shd w:val="clear" w:color="auto" w:fill="8DB3E2" w:themeFill="text2" w:themeFillTint="66"/>
            <w:vAlign w:val="center"/>
          </w:tcPr>
          <w:p w:rsidR="009100B5" w:rsidRPr="00DA0E88" w:rsidRDefault="009100B5" w:rsidP="00DA0E88">
            <w:pPr>
              <w:pStyle w:val="cuatexto"/>
              <w:rPr>
                <w:b/>
              </w:rPr>
            </w:pPr>
            <w:r w:rsidRPr="00DA0E88">
              <w:rPr>
                <w:b/>
              </w:rPr>
              <w:t>Concepto</w:t>
            </w:r>
          </w:p>
        </w:tc>
        <w:tc>
          <w:tcPr>
            <w:tcW w:w="1418" w:type="dxa"/>
            <w:tcBorders>
              <w:top w:val="single" w:sz="4" w:space="0" w:color="auto"/>
              <w:bottom w:val="single" w:sz="4" w:space="0" w:color="auto"/>
            </w:tcBorders>
            <w:shd w:val="clear" w:color="auto" w:fill="8DB3E2" w:themeFill="text2" w:themeFillTint="66"/>
            <w:vAlign w:val="center"/>
          </w:tcPr>
          <w:p w:rsidR="009100B5" w:rsidRPr="00DA0E88" w:rsidRDefault="009100B5" w:rsidP="00E766B3">
            <w:pPr>
              <w:pStyle w:val="cuatexto"/>
              <w:jc w:val="right"/>
              <w:rPr>
                <w:b/>
              </w:rPr>
            </w:pPr>
            <w:r w:rsidRPr="00DA0E88">
              <w:rPr>
                <w:b/>
              </w:rPr>
              <w:t>Importe</w:t>
            </w:r>
          </w:p>
        </w:tc>
      </w:tr>
      <w:tr w:rsidR="009100B5" w:rsidRPr="00C12E70" w:rsidTr="00E766B3">
        <w:trPr>
          <w:trHeight w:val="255"/>
          <w:jc w:val="center"/>
        </w:trPr>
        <w:tc>
          <w:tcPr>
            <w:tcW w:w="7381" w:type="dxa"/>
            <w:tcBorders>
              <w:top w:val="single" w:sz="4" w:space="0" w:color="auto"/>
              <w:bottom w:val="single" w:sz="2" w:space="0" w:color="auto"/>
            </w:tcBorders>
            <w:vAlign w:val="center"/>
          </w:tcPr>
          <w:p w:rsidR="009100B5" w:rsidRPr="00DA0E88" w:rsidRDefault="009100B5" w:rsidP="00DA0E88">
            <w:pPr>
              <w:pStyle w:val="cuatexto"/>
            </w:pPr>
            <w:r w:rsidRPr="00DA0E88">
              <w:t>IRPF</w:t>
            </w:r>
          </w:p>
        </w:tc>
        <w:tc>
          <w:tcPr>
            <w:tcW w:w="1418" w:type="dxa"/>
            <w:tcBorders>
              <w:top w:val="single" w:sz="4" w:space="0" w:color="auto"/>
              <w:bottom w:val="single" w:sz="2" w:space="0" w:color="auto"/>
            </w:tcBorders>
            <w:vAlign w:val="center"/>
          </w:tcPr>
          <w:p w:rsidR="009100B5" w:rsidRPr="009100B5" w:rsidRDefault="009100B5" w:rsidP="00E766B3">
            <w:pPr>
              <w:pStyle w:val="cuatexto"/>
              <w:jc w:val="right"/>
            </w:pPr>
            <w:r w:rsidRPr="009100B5">
              <w:t>6.134</w:t>
            </w:r>
          </w:p>
        </w:tc>
      </w:tr>
      <w:tr w:rsidR="009100B5" w:rsidRPr="00C12E70" w:rsidTr="00E766B3">
        <w:trPr>
          <w:trHeight w:val="255"/>
          <w:jc w:val="center"/>
        </w:trPr>
        <w:tc>
          <w:tcPr>
            <w:tcW w:w="7381" w:type="dxa"/>
            <w:tcBorders>
              <w:top w:val="single" w:sz="2" w:space="0" w:color="auto"/>
              <w:bottom w:val="single" w:sz="2" w:space="0" w:color="auto"/>
            </w:tcBorders>
            <w:vAlign w:val="center"/>
          </w:tcPr>
          <w:p w:rsidR="009100B5" w:rsidRPr="00DA0E88" w:rsidRDefault="009100B5" w:rsidP="00DA0E88">
            <w:pPr>
              <w:pStyle w:val="cuatexto"/>
            </w:pPr>
            <w:r w:rsidRPr="00DA0E88">
              <w:t>IVA</w:t>
            </w:r>
          </w:p>
        </w:tc>
        <w:tc>
          <w:tcPr>
            <w:tcW w:w="1418" w:type="dxa"/>
            <w:tcBorders>
              <w:top w:val="single" w:sz="2" w:space="0" w:color="auto"/>
              <w:bottom w:val="single" w:sz="2" w:space="0" w:color="auto"/>
            </w:tcBorders>
            <w:vAlign w:val="center"/>
          </w:tcPr>
          <w:p w:rsidR="009100B5" w:rsidRPr="009100B5" w:rsidRDefault="009100B5" w:rsidP="00E766B3">
            <w:pPr>
              <w:pStyle w:val="cuatexto"/>
              <w:jc w:val="right"/>
            </w:pPr>
            <w:r w:rsidRPr="009100B5">
              <w:t>4.244</w:t>
            </w:r>
          </w:p>
        </w:tc>
      </w:tr>
      <w:tr w:rsidR="009100B5" w:rsidRPr="00C12E70" w:rsidTr="00E766B3">
        <w:trPr>
          <w:trHeight w:val="255"/>
          <w:jc w:val="center"/>
        </w:trPr>
        <w:tc>
          <w:tcPr>
            <w:tcW w:w="7381" w:type="dxa"/>
            <w:tcBorders>
              <w:top w:val="single" w:sz="2" w:space="0" w:color="auto"/>
              <w:bottom w:val="single" w:sz="2" w:space="0" w:color="auto"/>
            </w:tcBorders>
            <w:vAlign w:val="center"/>
          </w:tcPr>
          <w:p w:rsidR="009100B5" w:rsidRPr="00DA0E88" w:rsidRDefault="009100B5" w:rsidP="00DA0E88">
            <w:pPr>
              <w:pStyle w:val="cuatexto"/>
            </w:pPr>
            <w:r w:rsidRPr="00DA0E88">
              <w:t>Otros impuestos</w:t>
            </w:r>
          </w:p>
        </w:tc>
        <w:tc>
          <w:tcPr>
            <w:tcW w:w="1418" w:type="dxa"/>
            <w:tcBorders>
              <w:top w:val="single" w:sz="2" w:space="0" w:color="auto"/>
              <w:bottom w:val="single" w:sz="2" w:space="0" w:color="auto"/>
            </w:tcBorders>
            <w:vAlign w:val="center"/>
          </w:tcPr>
          <w:p w:rsidR="009100B5" w:rsidRPr="009100B5" w:rsidRDefault="009100B5" w:rsidP="00E766B3">
            <w:pPr>
              <w:pStyle w:val="cuatexto"/>
              <w:jc w:val="right"/>
            </w:pPr>
            <w:r w:rsidRPr="009100B5">
              <w:t>1.112</w:t>
            </w:r>
          </w:p>
        </w:tc>
      </w:tr>
      <w:tr w:rsidR="009100B5" w:rsidRPr="00C12E70" w:rsidTr="00E766B3">
        <w:trPr>
          <w:trHeight w:val="255"/>
          <w:jc w:val="center"/>
        </w:trPr>
        <w:tc>
          <w:tcPr>
            <w:tcW w:w="7381" w:type="dxa"/>
            <w:tcBorders>
              <w:top w:val="single" w:sz="2" w:space="0" w:color="auto"/>
              <w:bottom w:val="single" w:sz="4" w:space="0" w:color="auto"/>
            </w:tcBorders>
            <w:vAlign w:val="center"/>
          </w:tcPr>
          <w:p w:rsidR="009100B5" w:rsidRPr="00DA0E88" w:rsidRDefault="009100B5" w:rsidP="00DA0E88">
            <w:pPr>
              <w:pStyle w:val="cuatexto"/>
            </w:pPr>
            <w:r w:rsidRPr="00DA0E88">
              <w:t>Otras cuentas a pagar</w:t>
            </w:r>
          </w:p>
        </w:tc>
        <w:tc>
          <w:tcPr>
            <w:tcW w:w="1418" w:type="dxa"/>
            <w:tcBorders>
              <w:top w:val="single" w:sz="2" w:space="0" w:color="auto"/>
              <w:bottom w:val="single" w:sz="4" w:space="0" w:color="auto"/>
            </w:tcBorders>
            <w:vAlign w:val="center"/>
          </w:tcPr>
          <w:p w:rsidR="009100B5" w:rsidRPr="009100B5" w:rsidRDefault="009100B5" w:rsidP="00E766B3">
            <w:pPr>
              <w:pStyle w:val="cuatexto"/>
              <w:jc w:val="right"/>
            </w:pPr>
            <w:r w:rsidRPr="009100B5">
              <w:t>2.445</w:t>
            </w:r>
          </w:p>
        </w:tc>
      </w:tr>
      <w:tr w:rsidR="009100B5" w:rsidRPr="00E766B3" w:rsidTr="00E766B3">
        <w:trPr>
          <w:trHeight w:val="255"/>
          <w:jc w:val="center"/>
        </w:trPr>
        <w:tc>
          <w:tcPr>
            <w:tcW w:w="7381" w:type="dxa"/>
            <w:tcBorders>
              <w:top w:val="single" w:sz="4" w:space="0" w:color="auto"/>
              <w:bottom w:val="single" w:sz="4" w:space="0" w:color="auto"/>
            </w:tcBorders>
            <w:shd w:val="clear" w:color="auto" w:fill="8DB3E2" w:themeFill="text2" w:themeFillTint="66"/>
            <w:vAlign w:val="center"/>
          </w:tcPr>
          <w:p w:rsidR="009100B5" w:rsidRPr="00E766B3" w:rsidRDefault="004C7675" w:rsidP="00DA0E88">
            <w:pPr>
              <w:pStyle w:val="cuatexto"/>
              <w:rPr>
                <w:rFonts w:ascii="Arial" w:hAnsi="Arial" w:cs="Arial"/>
                <w:sz w:val="18"/>
                <w:szCs w:val="18"/>
              </w:rPr>
            </w:pPr>
            <w:r w:rsidRPr="00E766B3">
              <w:rPr>
                <w:rFonts w:ascii="Arial" w:hAnsi="Arial" w:cs="Arial"/>
                <w:sz w:val="18"/>
                <w:szCs w:val="18"/>
              </w:rPr>
              <w:t xml:space="preserve">Total </w:t>
            </w:r>
            <w:r w:rsidR="00290902" w:rsidRPr="00E766B3">
              <w:rPr>
                <w:rFonts w:ascii="Arial" w:hAnsi="Arial" w:cs="Arial"/>
                <w:sz w:val="18"/>
                <w:szCs w:val="18"/>
              </w:rPr>
              <w:t>HP acreedor corto plazo</w:t>
            </w:r>
          </w:p>
        </w:tc>
        <w:tc>
          <w:tcPr>
            <w:tcW w:w="1418" w:type="dxa"/>
            <w:tcBorders>
              <w:top w:val="single" w:sz="4" w:space="0" w:color="auto"/>
              <w:bottom w:val="single" w:sz="4" w:space="0" w:color="auto"/>
            </w:tcBorders>
            <w:shd w:val="clear" w:color="auto" w:fill="8DB3E2" w:themeFill="text2" w:themeFillTint="66"/>
            <w:vAlign w:val="center"/>
          </w:tcPr>
          <w:p w:rsidR="009100B5" w:rsidRPr="00E766B3" w:rsidRDefault="009100B5" w:rsidP="00E766B3">
            <w:pPr>
              <w:pStyle w:val="cuatexto"/>
              <w:jc w:val="right"/>
              <w:rPr>
                <w:rFonts w:ascii="Arial" w:hAnsi="Arial" w:cs="Arial"/>
                <w:sz w:val="18"/>
                <w:szCs w:val="18"/>
              </w:rPr>
            </w:pPr>
            <w:r w:rsidRPr="00E766B3">
              <w:rPr>
                <w:rFonts w:ascii="Arial" w:hAnsi="Arial" w:cs="Arial"/>
                <w:sz w:val="18"/>
                <w:szCs w:val="18"/>
              </w:rPr>
              <w:t>13.935</w:t>
            </w:r>
          </w:p>
        </w:tc>
      </w:tr>
    </w:tbl>
    <w:p w:rsidR="009100B5" w:rsidRDefault="00290902" w:rsidP="003875B4">
      <w:pPr>
        <w:pStyle w:val="texto"/>
        <w:tabs>
          <w:tab w:val="num" w:pos="4920"/>
        </w:tabs>
        <w:spacing w:after="0"/>
        <w:rPr>
          <w:szCs w:val="26"/>
        </w:rPr>
      </w:pPr>
      <w:r>
        <w:rPr>
          <w:szCs w:val="26"/>
        </w:rPr>
        <w:t xml:space="preserve">b) </w:t>
      </w:r>
      <w:r w:rsidR="004C7675">
        <w:rPr>
          <w:szCs w:val="26"/>
        </w:rPr>
        <w:t>Sobre l</w:t>
      </w:r>
      <w:r>
        <w:rPr>
          <w:szCs w:val="26"/>
        </w:rPr>
        <w:t>a deuda reclasificada a largo plazo</w:t>
      </w:r>
      <w:r w:rsidR="004C7675">
        <w:rPr>
          <w:szCs w:val="26"/>
        </w:rPr>
        <w:t xml:space="preserve"> con hacienda -32,41 millones-, </w:t>
      </w:r>
      <w:r>
        <w:rPr>
          <w:szCs w:val="26"/>
        </w:rPr>
        <w:t>la mem</w:t>
      </w:r>
      <w:r w:rsidR="004C7675">
        <w:rPr>
          <w:szCs w:val="26"/>
        </w:rPr>
        <w:t>oria no indica el concepto</w:t>
      </w:r>
      <w:r>
        <w:rPr>
          <w:szCs w:val="26"/>
        </w:rPr>
        <w:t xml:space="preserve"> tributario correspondiente, </w:t>
      </w:r>
      <w:r w:rsidR="004C7675">
        <w:rPr>
          <w:szCs w:val="26"/>
        </w:rPr>
        <w:t>limitándose a señalar</w:t>
      </w:r>
      <w:r>
        <w:rPr>
          <w:szCs w:val="26"/>
        </w:rPr>
        <w:t xml:space="preserve"> las anualidades</w:t>
      </w:r>
      <w:r w:rsidR="004C7675">
        <w:rPr>
          <w:szCs w:val="26"/>
        </w:rPr>
        <w:t xml:space="preserve"> de pago establecidas; </w:t>
      </w:r>
      <w:r w:rsidR="007661A3">
        <w:rPr>
          <w:szCs w:val="26"/>
        </w:rPr>
        <w:t>este importe se desglosa de la manera siguiente en miles de euros.</w:t>
      </w:r>
    </w:p>
    <w:p w:rsidR="004C7675" w:rsidRDefault="004C7675" w:rsidP="003875B4">
      <w:pPr>
        <w:pStyle w:val="texto"/>
        <w:tabs>
          <w:tab w:val="num" w:pos="4920"/>
        </w:tabs>
        <w:spacing w:after="0"/>
        <w:rPr>
          <w:szCs w:val="2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8"/>
        <w:gridCol w:w="1418"/>
      </w:tblGrid>
      <w:tr w:rsidR="004C7675" w:rsidRPr="003875B4" w:rsidTr="003875B4">
        <w:trPr>
          <w:trHeight w:val="255"/>
          <w:jc w:val="center"/>
        </w:trPr>
        <w:tc>
          <w:tcPr>
            <w:tcW w:w="7258" w:type="dxa"/>
            <w:tcBorders>
              <w:top w:val="single" w:sz="4" w:space="0" w:color="auto"/>
              <w:bottom w:val="single" w:sz="4" w:space="0" w:color="auto"/>
            </w:tcBorders>
            <w:shd w:val="clear" w:color="auto" w:fill="8DB3E2" w:themeFill="text2" w:themeFillTint="66"/>
            <w:vAlign w:val="center"/>
          </w:tcPr>
          <w:p w:rsidR="004C7675" w:rsidRPr="003875B4" w:rsidRDefault="004C7675" w:rsidP="00E32A4F">
            <w:pPr>
              <w:pStyle w:val="cuatexto"/>
              <w:rPr>
                <w:rFonts w:ascii="Arial" w:hAnsi="Arial" w:cs="Arial"/>
                <w:sz w:val="18"/>
                <w:szCs w:val="18"/>
              </w:rPr>
            </w:pPr>
            <w:r w:rsidRPr="003875B4">
              <w:rPr>
                <w:rFonts w:ascii="Arial" w:hAnsi="Arial" w:cs="Arial"/>
                <w:sz w:val="18"/>
                <w:szCs w:val="18"/>
              </w:rPr>
              <w:t>Temporada</w:t>
            </w:r>
          </w:p>
        </w:tc>
        <w:tc>
          <w:tcPr>
            <w:tcW w:w="1418" w:type="dxa"/>
            <w:tcBorders>
              <w:top w:val="single" w:sz="4" w:space="0" w:color="auto"/>
              <w:bottom w:val="single" w:sz="4" w:space="0" w:color="auto"/>
            </w:tcBorders>
            <w:shd w:val="clear" w:color="auto" w:fill="8DB3E2" w:themeFill="text2" w:themeFillTint="66"/>
            <w:vAlign w:val="center"/>
          </w:tcPr>
          <w:p w:rsidR="004C7675" w:rsidRPr="003875B4" w:rsidRDefault="004C7675" w:rsidP="003875B4">
            <w:pPr>
              <w:pStyle w:val="cuatexto"/>
              <w:jc w:val="right"/>
              <w:rPr>
                <w:rFonts w:ascii="Arial" w:hAnsi="Arial" w:cs="Arial"/>
                <w:sz w:val="18"/>
                <w:szCs w:val="18"/>
              </w:rPr>
            </w:pPr>
            <w:r w:rsidRPr="003875B4">
              <w:rPr>
                <w:rFonts w:ascii="Arial" w:hAnsi="Arial" w:cs="Arial"/>
                <w:sz w:val="18"/>
                <w:szCs w:val="18"/>
              </w:rPr>
              <w:t>Importe</w:t>
            </w:r>
          </w:p>
        </w:tc>
      </w:tr>
      <w:tr w:rsidR="004C7675" w:rsidRPr="00C12E70" w:rsidTr="003875B4">
        <w:trPr>
          <w:trHeight w:val="255"/>
          <w:jc w:val="center"/>
        </w:trPr>
        <w:tc>
          <w:tcPr>
            <w:tcW w:w="7258" w:type="dxa"/>
            <w:tcBorders>
              <w:top w:val="single" w:sz="4" w:space="0" w:color="auto"/>
              <w:bottom w:val="single" w:sz="2" w:space="0" w:color="auto"/>
            </w:tcBorders>
            <w:vAlign w:val="center"/>
          </w:tcPr>
          <w:p w:rsidR="004C7675" w:rsidRPr="00E32A4F" w:rsidRDefault="004C7675" w:rsidP="00E32A4F">
            <w:pPr>
              <w:pStyle w:val="cuatexto"/>
            </w:pPr>
            <w:r w:rsidRPr="00E32A4F">
              <w:t>2015/16</w:t>
            </w:r>
          </w:p>
        </w:tc>
        <w:tc>
          <w:tcPr>
            <w:tcW w:w="1418" w:type="dxa"/>
            <w:tcBorders>
              <w:top w:val="single" w:sz="4" w:space="0" w:color="auto"/>
              <w:bottom w:val="single" w:sz="2" w:space="0" w:color="auto"/>
            </w:tcBorders>
            <w:vAlign w:val="center"/>
          </w:tcPr>
          <w:p w:rsidR="004C7675" w:rsidRPr="009100B5" w:rsidRDefault="004C7675" w:rsidP="003875B4">
            <w:pPr>
              <w:pStyle w:val="cuatexto"/>
              <w:jc w:val="right"/>
            </w:pPr>
            <w:r w:rsidRPr="00E32A4F">
              <w:t>3.162</w:t>
            </w:r>
          </w:p>
        </w:tc>
      </w:tr>
      <w:tr w:rsidR="004C7675" w:rsidRPr="00C12E70" w:rsidTr="003875B4">
        <w:trPr>
          <w:trHeight w:val="255"/>
          <w:jc w:val="center"/>
        </w:trPr>
        <w:tc>
          <w:tcPr>
            <w:tcW w:w="7258" w:type="dxa"/>
            <w:tcBorders>
              <w:top w:val="single" w:sz="2" w:space="0" w:color="auto"/>
              <w:bottom w:val="single" w:sz="2" w:space="0" w:color="auto"/>
            </w:tcBorders>
            <w:vAlign w:val="center"/>
          </w:tcPr>
          <w:p w:rsidR="004C7675" w:rsidRPr="00E32A4F" w:rsidRDefault="004C7675" w:rsidP="00E32A4F">
            <w:pPr>
              <w:pStyle w:val="cuatexto"/>
            </w:pPr>
            <w:r w:rsidRPr="00E32A4F">
              <w:t>2016/17</w:t>
            </w:r>
          </w:p>
        </w:tc>
        <w:tc>
          <w:tcPr>
            <w:tcW w:w="1418" w:type="dxa"/>
            <w:tcBorders>
              <w:top w:val="single" w:sz="2" w:space="0" w:color="auto"/>
              <w:bottom w:val="single" w:sz="2" w:space="0" w:color="auto"/>
            </w:tcBorders>
            <w:vAlign w:val="center"/>
          </w:tcPr>
          <w:p w:rsidR="004C7675" w:rsidRPr="009100B5" w:rsidRDefault="004C7675" w:rsidP="003875B4">
            <w:pPr>
              <w:pStyle w:val="cuatexto"/>
              <w:jc w:val="right"/>
            </w:pPr>
            <w:r w:rsidRPr="00E32A4F">
              <w:t>4.352</w:t>
            </w:r>
          </w:p>
        </w:tc>
      </w:tr>
      <w:tr w:rsidR="004C7675" w:rsidRPr="00C12E70" w:rsidTr="003875B4">
        <w:trPr>
          <w:trHeight w:val="255"/>
          <w:jc w:val="center"/>
        </w:trPr>
        <w:tc>
          <w:tcPr>
            <w:tcW w:w="7258" w:type="dxa"/>
            <w:tcBorders>
              <w:top w:val="single" w:sz="2" w:space="0" w:color="auto"/>
              <w:bottom w:val="single" w:sz="2" w:space="0" w:color="auto"/>
            </w:tcBorders>
            <w:vAlign w:val="center"/>
          </w:tcPr>
          <w:p w:rsidR="004C7675" w:rsidRPr="00E32A4F" w:rsidRDefault="004C7675" w:rsidP="00E32A4F">
            <w:pPr>
              <w:pStyle w:val="cuatexto"/>
            </w:pPr>
            <w:r w:rsidRPr="00E32A4F">
              <w:t>2017/18</w:t>
            </w:r>
          </w:p>
        </w:tc>
        <w:tc>
          <w:tcPr>
            <w:tcW w:w="1418" w:type="dxa"/>
            <w:tcBorders>
              <w:top w:val="single" w:sz="2" w:space="0" w:color="auto"/>
              <w:bottom w:val="single" w:sz="2" w:space="0" w:color="auto"/>
            </w:tcBorders>
            <w:vAlign w:val="center"/>
          </w:tcPr>
          <w:p w:rsidR="004C7675" w:rsidRPr="009100B5" w:rsidRDefault="004C7675" w:rsidP="003875B4">
            <w:pPr>
              <w:pStyle w:val="cuatexto"/>
              <w:jc w:val="right"/>
            </w:pPr>
            <w:r w:rsidRPr="00E32A4F">
              <w:t>5.289</w:t>
            </w:r>
          </w:p>
        </w:tc>
      </w:tr>
      <w:tr w:rsidR="004C7675" w:rsidRPr="00C12E70" w:rsidTr="003875B4">
        <w:trPr>
          <w:trHeight w:val="255"/>
          <w:jc w:val="center"/>
        </w:trPr>
        <w:tc>
          <w:tcPr>
            <w:tcW w:w="7258" w:type="dxa"/>
            <w:tcBorders>
              <w:top w:val="single" w:sz="2" w:space="0" w:color="auto"/>
              <w:bottom w:val="single" w:sz="4" w:space="0" w:color="auto"/>
            </w:tcBorders>
            <w:vAlign w:val="center"/>
          </w:tcPr>
          <w:p w:rsidR="004C7675" w:rsidRPr="00E32A4F" w:rsidRDefault="004C7675" w:rsidP="00E32A4F">
            <w:pPr>
              <w:pStyle w:val="cuatexto"/>
            </w:pPr>
            <w:r w:rsidRPr="00E32A4F">
              <w:t>2018/19 y siguientes</w:t>
            </w:r>
          </w:p>
        </w:tc>
        <w:tc>
          <w:tcPr>
            <w:tcW w:w="1418" w:type="dxa"/>
            <w:tcBorders>
              <w:top w:val="single" w:sz="2" w:space="0" w:color="auto"/>
              <w:bottom w:val="single" w:sz="4" w:space="0" w:color="auto"/>
            </w:tcBorders>
            <w:vAlign w:val="center"/>
          </w:tcPr>
          <w:p w:rsidR="004C7675" w:rsidRPr="009100B5" w:rsidRDefault="004C7675" w:rsidP="003875B4">
            <w:pPr>
              <w:pStyle w:val="cuatexto"/>
              <w:jc w:val="right"/>
            </w:pPr>
            <w:r w:rsidRPr="00E32A4F">
              <w:t>19.603</w:t>
            </w:r>
          </w:p>
        </w:tc>
      </w:tr>
      <w:tr w:rsidR="004C7675" w:rsidRPr="003875B4" w:rsidTr="003875B4">
        <w:trPr>
          <w:trHeight w:val="255"/>
          <w:jc w:val="center"/>
        </w:trPr>
        <w:tc>
          <w:tcPr>
            <w:tcW w:w="7258" w:type="dxa"/>
            <w:tcBorders>
              <w:top w:val="single" w:sz="4" w:space="0" w:color="auto"/>
              <w:bottom w:val="single" w:sz="4" w:space="0" w:color="auto"/>
            </w:tcBorders>
            <w:shd w:val="clear" w:color="auto" w:fill="8DB3E2" w:themeFill="text2" w:themeFillTint="66"/>
            <w:vAlign w:val="center"/>
          </w:tcPr>
          <w:p w:rsidR="004C7675" w:rsidRPr="003875B4" w:rsidRDefault="004C7675" w:rsidP="00E32A4F">
            <w:pPr>
              <w:pStyle w:val="cuatexto"/>
              <w:rPr>
                <w:rFonts w:ascii="Arial" w:hAnsi="Arial" w:cs="Arial"/>
                <w:sz w:val="18"/>
                <w:szCs w:val="18"/>
              </w:rPr>
            </w:pPr>
            <w:r w:rsidRPr="003875B4">
              <w:rPr>
                <w:rFonts w:ascii="Arial" w:hAnsi="Arial" w:cs="Arial"/>
                <w:sz w:val="18"/>
                <w:szCs w:val="18"/>
              </w:rPr>
              <w:t>Total HP acreedor largo plazo</w:t>
            </w:r>
          </w:p>
        </w:tc>
        <w:tc>
          <w:tcPr>
            <w:tcW w:w="1418" w:type="dxa"/>
            <w:tcBorders>
              <w:top w:val="single" w:sz="4" w:space="0" w:color="auto"/>
              <w:bottom w:val="single" w:sz="4" w:space="0" w:color="auto"/>
            </w:tcBorders>
            <w:shd w:val="clear" w:color="auto" w:fill="8DB3E2" w:themeFill="text2" w:themeFillTint="66"/>
            <w:vAlign w:val="center"/>
          </w:tcPr>
          <w:p w:rsidR="004C7675" w:rsidRPr="003875B4" w:rsidRDefault="004C7675" w:rsidP="003875B4">
            <w:pPr>
              <w:pStyle w:val="cuatexto"/>
              <w:jc w:val="right"/>
              <w:rPr>
                <w:rFonts w:ascii="Arial" w:hAnsi="Arial" w:cs="Arial"/>
                <w:sz w:val="18"/>
                <w:szCs w:val="18"/>
              </w:rPr>
            </w:pPr>
            <w:r w:rsidRPr="003875B4">
              <w:rPr>
                <w:rFonts w:ascii="Arial" w:hAnsi="Arial" w:cs="Arial"/>
                <w:sz w:val="18"/>
                <w:szCs w:val="18"/>
              </w:rPr>
              <w:t>32.406</w:t>
            </w:r>
          </w:p>
        </w:tc>
      </w:tr>
    </w:tbl>
    <w:p w:rsidR="003875B4" w:rsidRDefault="003875B4" w:rsidP="003875B4">
      <w:pPr>
        <w:pStyle w:val="texto"/>
        <w:tabs>
          <w:tab w:val="clear" w:pos="2835"/>
          <w:tab w:val="clear" w:pos="3969"/>
          <w:tab w:val="clear" w:pos="5103"/>
          <w:tab w:val="clear" w:pos="6237"/>
          <w:tab w:val="clear" w:pos="7371"/>
          <w:tab w:val="left" w:pos="480"/>
          <w:tab w:val="num" w:pos="1948"/>
          <w:tab w:val="num" w:pos="6597"/>
        </w:tabs>
        <w:spacing w:after="0"/>
        <w:ind w:left="289" w:firstLine="0"/>
      </w:pPr>
    </w:p>
    <w:p w:rsidR="000C7225" w:rsidRPr="005508CB" w:rsidRDefault="005508CB" w:rsidP="003875B4">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spacing w:after="240"/>
        <w:ind w:left="0" w:firstLine="289"/>
      </w:pPr>
      <w:r w:rsidRPr="005508CB">
        <w:t>Deuda de la Fundación Osasuna</w:t>
      </w:r>
      <w:r w:rsidR="00E10F33">
        <w:t xml:space="preserve"> con el </w:t>
      </w:r>
      <w:r w:rsidR="0044756D">
        <w:t>c</w:t>
      </w:r>
      <w:r w:rsidR="00E10F33">
        <w:t>lub</w:t>
      </w:r>
      <w:r w:rsidRPr="005508CB">
        <w:t>. La evolución de esta deuda experimenta un crecimiento progresiva, desde los 2,16 millones hasta los 12,60 millones. Gráficamente:</w:t>
      </w:r>
    </w:p>
    <w:p w:rsidR="005508CB" w:rsidRDefault="0051491B" w:rsidP="003875B4">
      <w:pPr>
        <w:pStyle w:val="texto"/>
        <w:tabs>
          <w:tab w:val="num" w:pos="300"/>
          <w:tab w:val="num" w:pos="4920"/>
        </w:tabs>
        <w:spacing w:after="0"/>
        <w:ind w:firstLine="0"/>
        <w:rPr>
          <w:szCs w:val="26"/>
        </w:rPr>
      </w:pPr>
      <w:r>
        <w:rPr>
          <w:noProof/>
          <w:lang w:val="es-ES" w:eastAsia="es-ES"/>
        </w:rPr>
        <w:drawing>
          <wp:inline distT="0" distB="0" distL="0" distR="0" wp14:anchorId="2FBD2021" wp14:editId="05865F51">
            <wp:extent cx="5565913" cy="2484783"/>
            <wp:effectExtent l="0" t="0" r="15875" b="1079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508CB" w:rsidRDefault="005508CB" w:rsidP="003875B4">
      <w:pPr>
        <w:pStyle w:val="texto"/>
        <w:tabs>
          <w:tab w:val="num" w:pos="300"/>
          <w:tab w:val="num" w:pos="4920"/>
        </w:tabs>
        <w:spacing w:after="0"/>
        <w:rPr>
          <w:szCs w:val="26"/>
        </w:rPr>
      </w:pPr>
    </w:p>
    <w:p w:rsidR="00D55250" w:rsidRDefault="00D55250" w:rsidP="00DE0018">
      <w:pPr>
        <w:pStyle w:val="texto"/>
        <w:tabs>
          <w:tab w:val="num" w:pos="300"/>
          <w:tab w:val="num" w:pos="4920"/>
        </w:tabs>
        <w:rPr>
          <w:szCs w:val="26"/>
        </w:rPr>
      </w:pPr>
      <w:r>
        <w:rPr>
          <w:szCs w:val="26"/>
        </w:rPr>
        <w:t>De acuerdo con la información que contienen las memorias analizadas y los informes de auditoría, señalamos:</w:t>
      </w:r>
    </w:p>
    <w:p w:rsidR="00D55250" w:rsidRPr="00716A3E" w:rsidRDefault="00716A3E" w:rsidP="00716A3E">
      <w:pPr>
        <w:pStyle w:val="texto"/>
        <w:tabs>
          <w:tab w:val="num" w:pos="4920"/>
        </w:tabs>
        <w:rPr>
          <w:szCs w:val="26"/>
        </w:rPr>
      </w:pPr>
      <w:r>
        <w:rPr>
          <w:szCs w:val="26"/>
        </w:rPr>
        <w:t xml:space="preserve">a) </w:t>
      </w:r>
      <w:r w:rsidR="00D55250" w:rsidRPr="00716A3E">
        <w:rPr>
          <w:szCs w:val="26"/>
        </w:rPr>
        <w:t>En la asamblea general extraordinaria de agosto de 1999 y mediante escritura pública de marzo de 2001, se constituye la Fundación Club Atlético Osa</w:t>
      </w:r>
      <w:r>
        <w:rPr>
          <w:szCs w:val="26"/>
        </w:rPr>
        <w:t xml:space="preserve">suna </w:t>
      </w:r>
      <w:r w:rsidR="00D55250" w:rsidRPr="00716A3E">
        <w:rPr>
          <w:szCs w:val="26"/>
        </w:rPr>
        <w:t xml:space="preserve">con la finalidad principal de la difusión y promoción, sin ánimo de lucro, de la dimensión deportiva, cultural y social del </w:t>
      </w:r>
      <w:r w:rsidR="0044756D">
        <w:rPr>
          <w:szCs w:val="26"/>
        </w:rPr>
        <w:t>c</w:t>
      </w:r>
      <w:r w:rsidR="00D55250" w:rsidRPr="00716A3E">
        <w:rPr>
          <w:szCs w:val="26"/>
        </w:rPr>
        <w:t xml:space="preserve">lub. Las deudas de la Fundación con el </w:t>
      </w:r>
      <w:r w:rsidR="0044756D">
        <w:rPr>
          <w:szCs w:val="26"/>
        </w:rPr>
        <w:t>c</w:t>
      </w:r>
      <w:r w:rsidR="00D55250" w:rsidRPr="00716A3E">
        <w:rPr>
          <w:szCs w:val="26"/>
        </w:rPr>
        <w:t>lub corresponde</w:t>
      </w:r>
      <w:r>
        <w:rPr>
          <w:szCs w:val="26"/>
        </w:rPr>
        <w:t>n</w:t>
      </w:r>
      <w:r w:rsidR="00D55250" w:rsidRPr="00716A3E">
        <w:rPr>
          <w:szCs w:val="26"/>
        </w:rPr>
        <w:t xml:space="preserve"> a gastos incurridos por el </w:t>
      </w:r>
      <w:r w:rsidR="0044756D">
        <w:rPr>
          <w:szCs w:val="26"/>
        </w:rPr>
        <w:t>c</w:t>
      </w:r>
      <w:r w:rsidR="00D55250" w:rsidRPr="00716A3E">
        <w:rPr>
          <w:szCs w:val="26"/>
        </w:rPr>
        <w:t>lub que no corresponden al futbol profesional y que le son traspasados a la Fundación</w:t>
      </w:r>
      <w:r>
        <w:rPr>
          <w:szCs w:val="26"/>
        </w:rPr>
        <w:t>.</w:t>
      </w:r>
    </w:p>
    <w:p w:rsidR="00D55250" w:rsidRPr="00716A3E" w:rsidRDefault="00716A3E" w:rsidP="00716A3E">
      <w:pPr>
        <w:pStyle w:val="texto"/>
        <w:tabs>
          <w:tab w:val="num" w:pos="300"/>
          <w:tab w:val="num" w:pos="4920"/>
        </w:tabs>
        <w:rPr>
          <w:szCs w:val="26"/>
        </w:rPr>
      </w:pPr>
      <w:r>
        <w:rPr>
          <w:szCs w:val="26"/>
        </w:rPr>
        <w:t>b) En la temporada 2005/06 se firma un c</w:t>
      </w:r>
      <w:r w:rsidR="00D55250" w:rsidRPr="00716A3E">
        <w:rPr>
          <w:szCs w:val="26"/>
        </w:rPr>
        <w:t xml:space="preserve">ontrato </w:t>
      </w:r>
      <w:r w:rsidR="0044756D">
        <w:rPr>
          <w:szCs w:val="26"/>
        </w:rPr>
        <w:t>entre el c</w:t>
      </w:r>
      <w:r>
        <w:rPr>
          <w:szCs w:val="26"/>
        </w:rPr>
        <w:t xml:space="preserve">lub y su Fundación </w:t>
      </w:r>
      <w:r w:rsidR="00D55250" w:rsidRPr="00716A3E">
        <w:rPr>
          <w:szCs w:val="26"/>
        </w:rPr>
        <w:t>por el que se devengan importes a pagar a dicha Fundación en concepto de derechos de formación de los jugadores a los que se tramita ficha de jugador profesional</w:t>
      </w:r>
      <w:r>
        <w:rPr>
          <w:szCs w:val="26"/>
        </w:rPr>
        <w:t>.</w:t>
      </w:r>
    </w:p>
    <w:p w:rsidR="00D55250" w:rsidRPr="00716A3E" w:rsidRDefault="00716A3E" w:rsidP="00716A3E">
      <w:pPr>
        <w:pStyle w:val="texto"/>
        <w:tabs>
          <w:tab w:val="num" w:pos="300"/>
          <w:tab w:val="num" w:pos="4920"/>
        </w:tabs>
        <w:rPr>
          <w:szCs w:val="26"/>
        </w:rPr>
      </w:pPr>
      <w:r>
        <w:rPr>
          <w:szCs w:val="26"/>
        </w:rPr>
        <w:t xml:space="preserve">c) El 30 de junio de 2012, se </w:t>
      </w:r>
      <w:r w:rsidR="00D55250" w:rsidRPr="00716A3E">
        <w:rPr>
          <w:szCs w:val="26"/>
        </w:rPr>
        <w:t>firm</w:t>
      </w:r>
      <w:r>
        <w:rPr>
          <w:szCs w:val="26"/>
        </w:rPr>
        <w:t>ó</w:t>
      </w:r>
      <w:r w:rsidR="00D55250" w:rsidRPr="00716A3E">
        <w:rPr>
          <w:szCs w:val="26"/>
        </w:rPr>
        <w:t xml:space="preserve"> un nuevo contrato con la Fundación para regular las relaciones entre ambas instituciones</w:t>
      </w:r>
      <w:r w:rsidRPr="00716A3E">
        <w:rPr>
          <w:szCs w:val="26"/>
        </w:rPr>
        <w:t xml:space="preserve"> </w:t>
      </w:r>
      <w:r>
        <w:rPr>
          <w:szCs w:val="26"/>
        </w:rPr>
        <w:t xml:space="preserve">y </w:t>
      </w:r>
      <w:r w:rsidRPr="00716A3E">
        <w:rPr>
          <w:szCs w:val="26"/>
        </w:rPr>
        <w:t>que supuso una aportación de 3,5 millones a favor de la Fundación</w:t>
      </w:r>
      <w:r w:rsidR="00D55250" w:rsidRPr="00716A3E">
        <w:rPr>
          <w:szCs w:val="26"/>
        </w:rPr>
        <w:t xml:space="preserve">; se regula que el </w:t>
      </w:r>
      <w:r w:rsidR="0044756D">
        <w:rPr>
          <w:szCs w:val="26"/>
        </w:rPr>
        <w:t>c</w:t>
      </w:r>
      <w:r w:rsidR="00D55250" w:rsidRPr="00716A3E">
        <w:rPr>
          <w:szCs w:val="26"/>
        </w:rPr>
        <w:t xml:space="preserve">lub adquiere los derechos de la totalidad de los jugadores de la cantera y cede anualmente, a partir de la temporada 2012/13, a dicha Fundación el 10 por ciento del importe facturado en concepto de derechos televisivos por el </w:t>
      </w:r>
      <w:r w:rsidR="00E404B2">
        <w:rPr>
          <w:szCs w:val="26"/>
        </w:rPr>
        <w:t>c</w:t>
      </w:r>
      <w:r w:rsidR="00D55250" w:rsidRPr="00716A3E">
        <w:rPr>
          <w:szCs w:val="26"/>
        </w:rPr>
        <w:t>lub.</w:t>
      </w:r>
    </w:p>
    <w:p w:rsidR="001600BF" w:rsidRPr="00716A3E" w:rsidRDefault="00716A3E" w:rsidP="00716A3E">
      <w:pPr>
        <w:pStyle w:val="texto"/>
        <w:tabs>
          <w:tab w:val="num" w:pos="300"/>
          <w:tab w:val="num" w:pos="4920"/>
        </w:tabs>
        <w:rPr>
          <w:szCs w:val="26"/>
        </w:rPr>
      </w:pPr>
      <w:r>
        <w:rPr>
          <w:szCs w:val="26"/>
        </w:rPr>
        <w:t xml:space="preserve">d) En agosto de 2014, se </w:t>
      </w:r>
      <w:r w:rsidR="001600BF" w:rsidRPr="00716A3E">
        <w:rPr>
          <w:szCs w:val="26"/>
        </w:rPr>
        <w:t>firma</w:t>
      </w:r>
      <w:r>
        <w:rPr>
          <w:szCs w:val="26"/>
        </w:rPr>
        <w:t>n</w:t>
      </w:r>
      <w:r w:rsidR="001600BF" w:rsidRPr="00716A3E">
        <w:rPr>
          <w:szCs w:val="26"/>
        </w:rPr>
        <w:t xml:space="preserve"> dos documentos que van a regular las relaciones entre el </w:t>
      </w:r>
      <w:r w:rsidR="0044756D">
        <w:rPr>
          <w:szCs w:val="26"/>
        </w:rPr>
        <w:t>c</w:t>
      </w:r>
      <w:r w:rsidR="001600BF" w:rsidRPr="00716A3E">
        <w:rPr>
          <w:szCs w:val="26"/>
        </w:rPr>
        <w:t>lub y su Fundación:</w:t>
      </w:r>
    </w:p>
    <w:p w:rsidR="001600BF" w:rsidRPr="007661A3" w:rsidRDefault="003875B4" w:rsidP="007661A3">
      <w:pPr>
        <w:pStyle w:val="texto"/>
        <w:tabs>
          <w:tab w:val="num" w:pos="300"/>
          <w:tab w:val="num" w:pos="4920"/>
        </w:tabs>
        <w:rPr>
          <w:szCs w:val="26"/>
        </w:rPr>
      </w:pPr>
      <w:r w:rsidRPr="007661A3">
        <w:rPr>
          <w:szCs w:val="26"/>
        </w:rPr>
        <w:t>1.</w:t>
      </w:r>
      <w:r w:rsidR="007661A3" w:rsidRPr="007661A3">
        <w:rPr>
          <w:szCs w:val="26"/>
        </w:rPr>
        <w:t>º</w:t>
      </w:r>
      <w:r w:rsidRPr="007661A3">
        <w:rPr>
          <w:szCs w:val="26"/>
        </w:rPr>
        <w:t xml:space="preserve"> </w:t>
      </w:r>
      <w:r w:rsidR="001600BF" w:rsidRPr="007661A3">
        <w:rPr>
          <w:szCs w:val="26"/>
        </w:rPr>
        <w:t xml:space="preserve">Contrato de préstamo entre el </w:t>
      </w:r>
      <w:r w:rsidR="0044756D">
        <w:rPr>
          <w:szCs w:val="26"/>
        </w:rPr>
        <w:t>c</w:t>
      </w:r>
      <w:r w:rsidR="001600BF" w:rsidRPr="007661A3">
        <w:rPr>
          <w:szCs w:val="26"/>
        </w:rPr>
        <w:t xml:space="preserve">lub y la Fundación por importe de 12,60 millones, a cobrar en 25 años, con amortización anual y a un tipo de interés de mercado. Se recoge igualmente la obligación del </w:t>
      </w:r>
      <w:r w:rsidR="00B3365F">
        <w:rPr>
          <w:szCs w:val="26"/>
        </w:rPr>
        <w:t>c</w:t>
      </w:r>
      <w:r w:rsidR="001600BF" w:rsidRPr="007661A3">
        <w:rPr>
          <w:szCs w:val="26"/>
        </w:rPr>
        <w:t>lub de asumir las pérdidas de la Fundación durante los años de vigencia del préstamo.</w:t>
      </w:r>
    </w:p>
    <w:p w:rsidR="001600BF" w:rsidRPr="007661A3" w:rsidRDefault="003875B4" w:rsidP="007661A3">
      <w:pPr>
        <w:pStyle w:val="texto"/>
        <w:tabs>
          <w:tab w:val="num" w:pos="300"/>
          <w:tab w:val="num" w:pos="4920"/>
        </w:tabs>
        <w:rPr>
          <w:szCs w:val="26"/>
        </w:rPr>
      </w:pPr>
      <w:r w:rsidRPr="007661A3">
        <w:rPr>
          <w:szCs w:val="26"/>
        </w:rPr>
        <w:t>2.</w:t>
      </w:r>
      <w:r w:rsidR="007661A3" w:rsidRPr="007661A3">
        <w:rPr>
          <w:szCs w:val="26"/>
        </w:rPr>
        <w:t>º</w:t>
      </w:r>
      <w:r w:rsidRPr="007661A3">
        <w:rPr>
          <w:szCs w:val="26"/>
        </w:rPr>
        <w:t xml:space="preserve"> </w:t>
      </w:r>
      <w:r w:rsidR="001600BF" w:rsidRPr="007661A3">
        <w:rPr>
          <w:szCs w:val="26"/>
        </w:rPr>
        <w:t>Con</w:t>
      </w:r>
      <w:r w:rsidR="0044756D">
        <w:rPr>
          <w:szCs w:val="26"/>
        </w:rPr>
        <w:t>venio de colaboración entre el c</w:t>
      </w:r>
      <w:r w:rsidR="001600BF" w:rsidRPr="007661A3">
        <w:rPr>
          <w:szCs w:val="26"/>
        </w:rPr>
        <w:t xml:space="preserve">lub y la Fundación, por el que el </w:t>
      </w:r>
      <w:r w:rsidR="00B3365F">
        <w:rPr>
          <w:szCs w:val="26"/>
        </w:rPr>
        <w:t>c</w:t>
      </w:r>
      <w:r w:rsidR="001600BF" w:rsidRPr="007661A3">
        <w:rPr>
          <w:szCs w:val="26"/>
        </w:rPr>
        <w:t>lub donará un importe equivalente a la cuota a amortizar más los intereses. Este convenio tiene vigencia anual y se renovará anualmente previa presentación por la Fundación de una memoria de actividades a realizar en el ejercicio.</w:t>
      </w:r>
    </w:p>
    <w:p w:rsidR="00D55250" w:rsidRDefault="00054E9A" w:rsidP="00F52F49">
      <w:pPr>
        <w:pStyle w:val="texto"/>
        <w:rPr>
          <w:szCs w:val="26"/>
        </w:rPr>
      </w:pPr>
      <w:r>
        <w:rPr>
          <w:szCs w:val="26"/>
        </w:rPr>
        <w:t xml:space="preserve">e) </w:t>
      </w:r>
      <w:r w:rsidR="00FA4CA1">
        <w:rPr>
          <w:szCs w:val="26"/>
        </w:rPr>
        <w:t>El tratamiento contable de las</w:t>
      </w:r>
      <w:r>
        <w:rPr>
          <w:szCs w:val="26"/>
        </w:rPr>
        <w:t xml:space="preserve"> deudas de la Fundación ha constituido</w:t>
      </w:r>
      <w:r w:rsidR="00FA4CA1">
        <w:rPr>
          <w:szCs w:val="26"/>
        </w:rPr>
        <w:t>,</w:t>
      </w:r>
      <w:r>
        <w:rPr>
          <w:szCs w:val="26"/>
        </w:rPr>
        <w:t xml:space="preserve"> en diversos informes de auditoría</w:t>
      </w:r>
      <w:r w:rsidR="00FA4CA1">
        <w:rPr>
          <w:szCs w:val="26"/>
        </w:rPr>
        <w:t>,</w:t>
      </w:r>
      <w:r>
        <w:rPr>
          <w:szCs w:val="26"/>
        </w:rPr>
        <w:t xml:space="preserve"> salvedades por limitación al alcance –al no disponer de información suficiente los auditores sobre las cuantificaciones realizadas</w:t>
      </w:r>
      <w:r w:rsidR="003875B4">
        <w:rPr>
          <w:szCs w:val="26"/>
        </w:rPr>
        <w:t>–</w:t>
      </w:r>
      <w:r>
        <w:rPr>
          <w:szCs w:val="26"/>
        </w:rPr>
        <w:t xml:space="preserve"> y salvedades por ausencia de correc</w:t>
      </w:r>
      <w:r w:rsidR="00E52D27">
        <w:rPr>
          <w:szCs w:val="26"/>
        </w:rPr>
        <w:t>c</w:t>
      </w:r>
      <w:r>
        <w:rPr>
          <w:szCs w:val="26"/>
        </w:rPr>
        <w:t>iones valorativas por deteri</w:t>
      </w:r>
      <w:r w:rsidR="00E52D27">
        <w:rPr>
          <w:szCs w:val="26"/>
        </w:rPr>
        <w:t>o</w:t>
      </w:r>
      <w:r>
        <w:rPr>
          <w:szCs w:val="26"/>
        </w:rPr>
        <w:t xml:space="preserve">ro de </w:t>
      </w:r>
      <w:r w:rsidR="00E52D27">
        <w:rPr>
          <w:szCs w:val="26"/>
        </w:rPr>
        <w:t>dichas deudas.</w:t>
      </w:r>
    </w:p>
    <w:p w:rsidR="00F52F49" w:rsidRPr="00F52F49" w:rsidRDefault="00F52F49" w:rsidP="003875B4">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spacing w:after="0"/>
        <w:ind w:left="0" w:firstLine="290"/>
      </w:pPr>
      <w:r w:rsidRPr="00F52F49">
        <w:t>Fondo de Maniobra</w:t>
      </w:r>
      <w:r>
        <w:t>. Salvo tres temporadas, el resto presentan valores negativos en esta magnitud, destacando especialmente la temporada de 2007/08 con 15,07 millones y la última temporada analizada con 12,20 millones.</w:t>
      </w:r>
      <w:r w:rsidR="007A41AC">
        <w:t xml:space="preserve"> Gr</w:t>
      </w:r>
      <w:r w:rsidR="0071501B">
        <w:t>á</w:t>
      </w:r>
      <w:r w:rsidR="007A41AC">
        <w:t>ficamente se observa tal evolución:</w:t>
      </w:r>
    </w:p>
    <w:p w:rsidR="00F52F49" w:rsidRDefault="00F52F49" w:rsidP="003875B4">
      <w:pPr>
        <w:pStyle w:val="texto"/>
        <w:tabs>
          <w:tab w:val="num" w:pos="300"/>
          <w:tab w:val="num" w:pos="4920"/>
        </w:tabs>
        <w:spacing w:after="0"/>
        <w:ind w:firstLine="0"/>
        <w:rPr>
          <w:szCs w:val="26"/>
        </w:rPr>
      </w:pPr>
    </w:p>
    <w:p w:rsidR="00F52F49" w:rsidRDefault="0051491B" w:rsidP="003875B4">
      <w:pPr>
        <w:pStyle w:val="texto"/>
        <w:tabs>
          <w:tab w:val="num" w:pos="300"/>
          <w:tab w:val="num" w:pos="4920"/>
        </w:tabs>
        <w:spacing w:after="0"/>
        <w:ind w:firstLine="0"/>
        <w:rPr>
          <w:szCs w:val="26"/>
        </w:rPr>
      </w:pPr>
      <w:r>
        <w:rPr>
          <w:noProof/>
          <w:lang w:val="es-ES" w:eastAsia="es-ES"/>
        </w:rPr>
        <w:drawing>
          <wp:inline distT="0" distB="0" distL="0" distR="0" wp14:anchorId="0F036B4A" wp14:editId="1137A697">
            <wp:extent cx="5456583" cy="2564296"/>
            <wp:effectExtent l="0" t="0" r="10795" b="2667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508CB" w:rsidRDefault="005508CB" w:rsidP="003875B4">
      <w:pPr>
        <w:pStyle w:val="texto"/>
        <w:tabs>
          <w:tab w:val="num" w:pos="300"/>
          <w:tab w:val="num" w:pos="4920"/>
        </w:tabs>
        <w:spacing w:after="0"/>
        <w:rPr>
          <w:szCs w:val="26"/>
        </w:rPr>
      </w:pPr>
    </w:p>
    <w:p w:rsidR="005508CB" w:rsidRPr="00CE427F" w:rsidRDefault="0071501B"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rsidRPr="00CE427F">
        <w:t>Resultado del ejercicio. Presenta unos valores muy dispares –tan</w:t>
      </w:r>
      <w:r w:rsidR="003875B4">
        <w:t>t</w:t>
      </w:r>
      <w:r w:rsidRPr="00CE427F">
        <w:t>o positivos como negativos</w:t>
      </w:r>
      <w:r w:rsidR="003875B4">
        <w:t>–</w:t>
      </w:r>
      <w:r w:rsidRPr="00CE427F">
        <w:t xml:space="preserve"> a lo largo de la serie analizada, sin que se observ</w:t>
      </w:r>
      <w:r w:rsidR="003875B4">
        <w:t>e</w:t>
      </w:r>
      <w:r w:rsidRPr="00CE427F">
        <w:t xml:space="preserve"> una tendencia definida. El mayor beneficio se observa en la temporada 2006/07 con 9,46 millones; las mayores pérdidas, 2,26 millones, en la temporada 2013/14. </w:t>
      </w:r>
    </w:p>
    <w:p w:rsidR="005508CB" w:rsidRDefault="00CE427F" w:rsidP="003875B4">
      <w:pPr>
        <w:pStyle w:val="texto"/>
        <w:tabs>
          <w:tab w:val="num" w:pos="300"/>
          <w:tab w:val="num" w:pos="4920"/>
        </w:tabs>
        <w:spacing w:after="0"/>
        <w:rPr>
          <w:szCs w:val="26"/>
        </w:rPr>
      </w:pPr>
      <w:r>
        <w:rPr>
          <w:szCs w:val="26"/>
        </w:rPr>
        <w:t>Gráficamente,</w:t>
      </w:r>
    </w:p>
    <w:p w:rsidR="000C7225" w:rsidRDefault="000C7225" w:rsidP="003875B4">
      <w:pPr>
        <w:pStyle w:val="texto"/>
        <w:tabs>
          <w:tab w:val="num" w:pos="300"/>
          <w:tab w:val="num" w:pos="4920"/>
        </w:tabs>
        <w:spacing w:after="0"/>
        <w:rPr>
          <w:szCs w:val="26"/>
        </w:rPr>
      </w:pPr>
    </w:p>
    <w:p w:rsidR="006560B9" w:rsidRDefault="0051491B" w:rsidP="003875B4">
      <w:pPr>
        <w:pStyle w:val="texto"/>
        <w:tabs>
          <w:tab w:val="num" w:pos="300"/>
          <w:tab w:val="num" w:pos="4920"/>
        </w:tabs>
        <w:ind w:firstLine="0"/>
        <w:rPr>
          <w:szCs w:val="26"/>
        </w:rPr>
      </w:pPr>
      <w:r>
        <w:rPr>
          <w:noProof/>
          <w:lang w:val="es-ES" w:eastAsia="es-ES"/>
        </w:rPr>
        <w:drawing>
          <wp:inline distT="0" distB="0" distL="0" distR="0" wp14:anchorId="1EFEA4E2" wp14:editId="2A082428">
            <wp:extent cx="5456583" cy="2524539"/>
            <wp:effectExtent l="0" t="0" r="10795" b="9525"/>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C7225" w:rsidRDefault="000C7225" w:rsidP="00FD2052">
      <w:pPr>
        <w:pStyle w:val="texto"/>
        <w:tabs>
          <w:tab w:val="num" w:pos="300"/>
          <w:tab w:val="num" w:pos="4920"/>
        </w:tabs>
        <w:spacing w:after="0"/>
        <w:rPr>
          <w:szCs w:val="26"/>
        </w:rPr>
      </w:pPr>
    </w:p>
    <w:p w:rsidR="007C62E1" w:rsidRDefault="007C62E1" w:rsidP="00FD2052">
      <w:pPr>
        <w:pStyle w:val="texto"/>
        <w:tabs>
          <w:tab w:val="num" w:pos="300"/>
          <w:tab w:val="num" w:pos="4920"/>
        </w:tabs>
        <w:spacing w:after="0"/>
        <w:rPr>
          <w:szCs w:val="26"/>
        </w:rPr>
      </w:pPr>
      <w:r>
        <w:rPr>
          <w:szCs w:val="26"/>
        </w:rPr>
        <w:t>El importe</w:t>
      </w:r>
      <w:r w:rsidR="003875B4">
        <w:rPr>
          <w:szCs w:val="26"/>
        </w:rPr>
        <w:t>, en miles de euros,</w:t>
      </w:r>
      <w:r>
        <w:rPr>
          <w:szCs w:val="26"/>
        </w:rPr>
        <w:t xml:space="preserve"> de la cifra neta de negocios en la temporada 2013/14 está formado</w:t>
      </w:r>
      <w:r w:rsidR="00FD2052">
        <w:rPr>
          <w:szCs w:val="26"/>
        </w:rPr>
        <w:t xml:space="preserve"> por</w:t>
      </w:r>
      <w:r w:rsidR="002A5A43">
        <w:rPr>
          <w:szCs w:val="26"/>
        </w:rPr>
        <w:t>:</w:t>
      </w:r>
    </w:p>
    <w:p w:rsidR="000C7225" w:rsidRDefault="000C7225" w:rsidP="00FD2052">
      <w:pPr>
        <w:pStyle w:val="texto"/>
        <w:tabs>
          <w:tab w:val="num" w:pos="300"/>
          <w:tab w:val="num" w:pos="4920"/>
        </w:tabs>
        <w:spacing w:after="0"/>
        <w:rPr>
          <w:szCs w:val="2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5"/>
        <w:gridCol w:w="1486"/>
      </w:tblGrid>
      <w:tr w:rsidR="007C62E1" w:rsidRPr="00FD2052" w:rsidTr="00FD2052">
        <w:trPr>
          <w:trHeight w:val="255"/>
          <w:jc w:val="center"/>
        </w:trPr>
        <w:tc>
          <w:tcPr>
            <w:tcW w:w="7235" w:type="dxa"/>
            <w:tcBorders>
              <w:top w:val="single" w:sz="4" w:space="0" w:color="auto"/>
              <w:bottom w:val="single" w:sz="4" w:space="0" w:color="auto"/>
            </w:tcBorders>
            <w:shd w:val="clear" w:color="auto" w:fill="8DB3E2" w:themeFill="text2" w:themeFillTint="66"/>
            <w:vAlign w:val="center"/>
          </w:tcPr>
          <w:p w:rsidR="007C62E1" w:rsidRPr="00FD2052" w:rsidRDefault="007C62E1" w:rsidP="00876421">
            <w:pPr>
              <w:pStyle w:val="cuatexto"/>
              <w:rPr>
                <w:rFonts w:ascii="Arial" w:hAnsi="Arial" w:cs="Arial"/>
                <w:sz w:val="18"/>
                <w:szCs w:val="18"/>
              </w:rPr>
            </w:pPr>
            <w:r w:rsidRPr="00FD2052">
              <w:rPr>
                <w:rFonts w:ascii="Arial" w:hAnsi="Arial" w:cs="Arial"/>
                <w:sz w:val="18"/>
                <w:szCs w:val="18"/>
              </w:rPr>
              <w:t>Cifra de negocio temporada 2013/14</w:t>
            </w:r>
          </w:p>
        </w:tc>
        <w:tc>
          <w:tcPr>
            <w:tcW w:w="1486" w:type="dxa"/>
            <w:tcBorders>
              <w:top w:val="single" w:sz="4" w:space="0" w:color="auto"/>
              <w:bottom w:val="single" w:sz="4" w:space="0" w:color="auto"/>
            </w:tcBorders>
            <w:shd w:val="clear" w:color="auto" w:fill="8DB3E2" w:themeFill="text2" w:themeFillTint="66"/>
            <w:vAlign w:val="center"/>
          </w:tcPr>
          <w:p w:rsidR="007C62E1" w:rsidRPr="00FD2052" w:rsidRDefault="007C62E1" w:rsidP="00FD2052">
            <w:pPr>
              <w:pStyle w:val="cuatexto"/>
              <w:jc w:val="right"/>
              <w:rPr>
                <w:rFonts w:ascii="Arial" w:hAnsi="Arial" w:cs="Arial"/>
                <w:sz w:val="18"/>
                <w:szCs w:val="18"/>
              </w:rPr>
            </w:pPr>
            <w:r w:rsidRPr="00FD2052">
              <w:rPr>
                <w:rFonts w:ascii="Arial" w:hAnsi="Arial" w:cs="Arial"/>
                <w:sz w:val="18"/>
                <w:szCs w:val="18"/>
              </w:rPr>
              <w:t>Importe</w:t>
            </w:r>
          </w:p>
        </w:tc>
      </w:tr>
      <w:tr w:rsidR="007C62E1" w:rsidRPr="00C12E70" w:rsidTr="00FD2052">
        <w:trPr>
          <w:trHeight w:val="255"/>
          <w:jc w:val="center"/>
        </w:trPr>
        <w:tc>
          <w:tcPr>
            <w:tcW w:w="7235" w:type="dxa"/>
            <w:tcBorders>
              <w:top w:val="single" w:sz="4" w:space="0" w:color="auto"/>
              <w:bottom w:val="single" w:sz="2" w:space="0" w:color="auto"/>
            </w:tcBorders>
            <w:vAlign w:val="center"/>
          </w:tcPr>
          <w:p w:rsidR="007C62E1" w:rsidRPr="00E32A4F" w:rsidRDefault="007C62E1" w:rsidP="007C62E1">
            <w:pPr>
              <w:pStyle w:val="cuatexto"/>
            </w:pPr>
            <w:r>
              <w:t>Taquillas</w:t>
            </w:r>
          </w:p>
        </w:tc>
        <w:tc>
          <w:tcPr>
            <w:tcW w:w="1486" w:type="dxa"/>
            <w:tcBorders>
              <w:top w:val="single" w:sz="4" w:space="0" w:color="auto"/>
              <w:bottom w:val="single" w:sz="2" w:space="0" w:color="auto"/>
            </w:tcBorders>
            <w:vAlign w:val="center"/>
          </w:tcPr>
          <w:p w:rsidR="007C62E1" w:rsidRPr="009100B5" w:rsidRDefault="007C62E1" w:rsidP="00FD2052">
            <w:pPr>
              <w:pStyle w:val="cuatexto"/>
              <w:jc w:val="right"/>
            </w:pPr>
            <w:r>
              <w:t>455</w:t>
            </w:r>
          </w:p>
        </w:tc>
      </w:tr>
      <w:tr w:rsidR="007C62E1" w:rsidRPr="00C12E70" w:rsidTr="00FD2052">
        <w:trPr>
          <w:trHeight w:val="255"/>
          <w:jc w:val="center"/>
        </w:trPr>
        <w:tc>
          <w:tcPr>
            <w:tcW w:w="7235" w:type="dxa"/>
            <w:tcBorders>
              <w:top w:val="single" w:sz="2" w:space="0" w:color="auto"/>
              <w:bottom w:val="single" w:sz="2" w:space="0" w:color="auto"/>
            </w:tcBorders>
            <w:vAlign w:val="center"/>
          </w:tcPr>
          <w:p w:rsidR="007C62E1" w:rsidRPr="00E32A4F" w:rsidRDefault="007C62E1" w:rsidP="00876421">
            <w:pPr>
              <w:pStyle w:val="cuatexto"/>
            </w:pPr>
            <w:r>
              <w:t>Socios</w:t>
            </w:r>
          </w:p>
        </w:tc>
        <w:tc>
          <w:tcPr>
            <w:tcW w:w="1486" w:type="dxa"/>
            <w:tcBorders>
              <w:top w:val="single" w:sz="2" w:space="0" w:color="auto"/>
              <w:bottom w:val="single" w:sz="2" w:space="0" w:color="auto"/>
            </w:tcBorders>
            <w:vAlign w:val="center"/>
          </w:tcPr>
          <w:p w:rsidR="007C62E1" w:rsidRPr="009100B5" w:rsidRDefault="007C62E1" w:rsidP="00FD2052">
            <w:pPr>
              <w:pStyle w:val="cuatexto"/>
              <w:jc w:val="right"/>
            </w:pPr>
            <w:r>
              <w:t>3.689</w:t>
            </w:r>
          </w:p>
        </w:tc>
      </w:tr>
      <w:tr w:rsidR="007C62E1" w:rsidRPr="00C12E70" w:rsidTr="00FD2052">
        <w:trPr>
          <w:trHeight w:val="255"/>
          <w:jc w:val="center"/>
        </w:trPr>
        <w:tc>
          <w:tcPr>
            <w:tcW w:w="7235" w:type="dxa"/>
            <w:tcBorders>
              <w:top w:val="single" w:sz="2" w:space="0" w:color="auto"/>
              <w:bottom w:val="single" w:sz="2" w:space="0" w:color="auto"/>
            </w:tcBorders>
            <w:vAlign w:val="center"/>
          </w:tcPr>
          <w:p w:rsidR="007C62E1" w:rsidRPr="00E32A4F" w:rsidRDefault="007C62E1" w:rsidP="00876421">
            <w:pPr>
              <w:pStyle w:val="cuatexto"/>
            </w:pPr>
            <w:r>
              <w:t>Derechos audiovisuales</w:t>
            </w:r>
          </w:p>
        </w:tc>
        <w:tc>
          <w:tcPr>
            <w:tcW w:w="1486" w:type="dxa"/>
            <w:tcBorders>
              <w:top w:val="single" w:sz="2" w:space="0" w:color="auto"/>
              <w:bottom w:val="single" w:sz="2" w:space="0" w:color="auto"/>
            </w:tcBorders>
            <w:vAlign w:val="center"/>
          </w:tcPr>
          <w:p w:rsidR="007C62E1" w:rsidRPr="009100B5" w:rsidRDefault="007C62E1" w:rsidP="00FD2052">
            <w:pPr>
              <w:pStyle w:val="cuatexto"/>
              <w:jc w:val="right"/>
            </w:pPr>
            <w:r>
              <w:t>18.589</w:t>
            </w:r>
          </w:p>
        </w:tc>
      </w:tr>
      <w:tr w:rsidR="007C62E1" w:rsidRPr="00C12E70" w:rsidTr="00FD2052">
        <w:trPr>
          <w:trHeight w:val="255"/>
          <w:jc w:val="center"/>
        </w:trPr>
        <w:tc>
          <w:tcPr>
            <w:tcW w:w="7235" w:type="dxa"/>
            <w:tcBorders>
              <w:top w:val="single" w:sz="2" w:space="0" w:color="auto"/>
              <w:bottom w:val="single" w:sz="2" w:space="0" w:color="auto"/>
            </w:tcBorders>
            <w:vAlign w:val="center"/>
          </w:tcPr>
          <w:p w:rsidR="007C62E1" w:rsidRPr="00E32A4F" w:rsidRDefault="007C62E1" w:rsidP="00876421">
            <w:pPr>
              <w:pStyle w:val="cuatexto"/>
            </w:pPr>
            <w:r>
              <w:t>Tienda</w:t>
            </w:r>
          </w:p>
        </w:tc>
        <w:tc>
          <w:tcPr>
            <w:tcW w:w="1486" w:type="dxa"/>
            <w:tcBorders>
              <w:top w:val="single" w:sz="2" w:space="0" w:color="auto"/>
              <w:bottom w:val="single" w:sz="2" w:space="0" w:color="auto"/>
            </w:tcBorders>
            <w:vAlign w:val="center"/>
          </w:tcPr>
          <w:p w:rsidR="007C62E1" w:rsidRPr="009100B5" w:rsidRDefault="007C62E1" w:rsidP="00FD2052">
            <w:pPr>
              <w:pStyle w:val="cuatexto"/>
              <w:jc w:val="right"/>
            </w:pPr>
            <w:r>
              <w:t>509</w:t>
            </w:r>
          </w:p>
        </w:tc>
      </w:tr>
      <w:tr w:rsidR="007C62E1" w:rsidRPr="00C12E70" w:rsidTr="00FD2052">
        <w:trPr>
          <w:trHeight w:val="255"/>
          <w:jc w:val="center"/>
        </w:trPr>
        <w:tc>
          <w:tcPr>
            <w:tcW w:w="7235" w:type="dxa"/>
            <w:tcBorders>
              <w:top w:val="single" w:sz="2" w:space="0" w:color="auto"/>
              <w:bottom w:val="single" w:sz="4" w:space="0" w:color="auto"/>
            </w:tcBorders>
            <w:vAlign w:val="center"/>
          </w:tcPr>
          <w:p w:rsidR="007C62E1" w:rsidRDefault="007C62E1" w:rsidP="00876421">
            <w:pPr>
              <w:pStyle w:val="cuatexto"/>
            </w:pPr>
            <w:r>
              <w:t>Publicidad</w:t>
            </w:r>
          </w:p>
        </w:tc>
        <w:tc>
          <w:tcPr>
            <w:tcW w:w="1486" w:type="dxa"/>
            <w:tcBorders>
              <w:top w:val="single" w:sz="2" w:space="0" w:color="auto"/>
              <w:bottom w:val="single" w:sz="4" w:space="0" w:color="auto"/>
            </w:tcBorders>
            <w:vAlign w:val="center"/>
          </w:tcPr>
          <w:p w:rsidR="007C62E1" w:rsidRDefault="007C62E1" w:rsidP="00FD2052">
            <w:pPr>
              <w:pStyle w:val="cuatexto"/>
              <w:jc w:val="right"/>
            </w:pPr>
            <w:r>
              <w:t>2.582</w:t>
            </w:r>
          </w:p>
        </w:tc>
      </w:tr>
      <w:tr w:rsidR="007C62E1" w:rsidRPr="00FD2052" w:rsidTr="00FD2052">
        <w:trPr>
          <w:trHeight w:val="255"/>
          <w:jc w:val="center"/>
        </w:trPr>
        <w:tc>
          <w:tcPr>
            <w:tcW w:w="7235" w:type="dxa"/>
            <w:tcBorders>
              <w:top w:val="single" w:sz="4" w:space="0" w:color="auto"/>
              <w:bottom w:val="single" w:sz="4" w:space="0" w:color="auto"/>
            </w:tcBorders>
            <w:shd w:val="clear" w:color="auto" w:fill="8DB3E2" w:themeFill="text2" w:themeFillTint="66"/>
            <w:vAlign w:val="center"/>
          </w:tcPr>
          <w:p w:rsidR="007C62E1" w:rsidRPr="00FD2052" w:rsidRDefault="007C62E1" w:rsidP="00876421">
            <w:pPr>
              <w:pStyle w:val="cuatexto"/>
              <w:rPr>
                <w:rFonts w:ascii="Arial" w:hAnsi="Arial" w:cs="Arial"/>
                <w:sz w:val="18"/>
                <w:szCs w:val="18"/>
              </w:rPr>
            </w:pPr>
            <w:r w:rsidRPr="00FD2052">
              <w:rPr>
                <w:rFonts w:ascii="Arial" w:hAnsi="Arial" w:cs="Arial"/>
                <w:sz w:val="18"/>
                <w:szCs w:val="18"/>
              </w:rPr>
              <w:t>Total</w:t>
            </w:r>
          </w:p>
        </w:tc>
        <w:tc>
          <w:tcPr>
            <w:tcW w:w="1486" w:type="dxa"/>
            <w:tcBorders>
              <w:top w:val="single" w:sz="4" w:space="0" w:color="auto"/>
              <w:bottom w:val="single" w:sz="4" w:space="0" w:color="auto"/>
            </w:tcBorders>
            <w:shd w:val="clear" w:color="auto" w:fill="8DB3E2" w:themeFill="text2" w:themeFillTint="66"/>
            <w:vAlign w:val="center"/>
          </w:tcPr>
          <w:p w:rsidR="007C62E1" w:rsidRPr="00FD2052" w:rsidRDefault="007C62E1" w:rsidP="00FD2052">
            <w:pPr>
              <w:pStyle w:val="cuatexto"/>
              <w:jc w:val="right"/>
              <w:rPr>
                <w:rFonts w:ascii="Arial" w:hAnsi="Arial" w:cs="Arial"/>
                <w:sz w:val="18"/>
                <w:szCs w:val="18"/>
              </w:rPr>
            </w:pPr>
            <w:r w:rsidRPr="00FD2052">
              <w:rPr>
                <w:rFonts w:ascii="Arial" w:hAnsi="Arial" w:cs="Arial"/>
                <w:sz w:val="18"/>
                <w:szCs w:val="18"/>
              </w:rPr>
              <w:t>25.824</w:t>
            </w:r>
          </w:p>
        </w:tc>
      </w:tr>
    </w:tbl>
    <w:p w:rsidR="000C7225" w:rsidRDefault="000C7225" w:rsidP="00FD2052">
      <w:pPr>
        <w:pStyle w:val="texto"/>
        <w:tabs>
          <w:tab w:val="num" w:pos="300"/>
          <w:tab w:val="num" w:pos="4920"/>
        </w:tabs>
        <w:spacing w:after="0"/>
        <w:rPr>
          <w:szCs w:val="26"/>
        </w:rPr>
      </w:pPr>
    </w:p>
    <w:p w:rsidR="000C7225" w:rsidRDefault="007C62E1" w:rsidP="00DE0018">
      <w:pPr>
        <w:pStyle w:val="texto"/>
        <w:tabs>
          <w:tab w:val="num" w:pos="300"/>
          <w:tab w:val="num" w:pos="4920"/>
        </w:tabs>
        <w:rPr>
          <w:szCs w:val="26"/>
        </w:rPr>
      </w:pPr>
      <w:r>
        <w:rPr>
          <w:szCs w:val="26"/>
        </w:rPr>
        <w:t>Con el descenso de categoría, los derechos audiovisuales se reducirán a</w:t>
      </w:r>
      <w:r w:rsidR="00521555">
        <w:rPr>
          <w:szCs w:val="26"/>
        </w:rPr>
        <w:t xml:space="preserve"> un total</w:t>
      </w:r>
      <w:r w:rsidR="00622906">
        <w:rPr>
          <w:szCs w:val="26"/>
        </w:rPr>
        <w:t xml:space="preserve"> en torno a los</w:t>
      </w:r>
      <w:r>
        <w:rPr>
          <w:szCs w:val="26"/>
        </w:rPr>
        <w:t xml:space="preserve"> 2,5 millones.</w:t>
      </w:r>
      <w:r w:rsidR="002A5A43">
        <w:rPr>
          <w:szCs w:val="26"/>
        </w:rPr>
        <w:t xml:space="preserve"> Igualmente, tal descenso implicará la reducción del gasto de personal de la primera plantilla, desde los actuales 18 millones a unos seis millones</w:t>
      </w:r>
      <w:r w:rsidR="009C5613">
        <w:rPr>
          <w:szCs w:val="26"/>
        </w:rPr>
        <w:t>; esta reducción viene impuesta por las normas de la LFP</w:t>
      </w:r>
      <w:r w:rsidR="002A5A43">
        <w:rPr>
          <w:szCs w:val="26"/>
        </w:rPr>
        <w:t>.</w:t>
      </w:r>
    </w:p>
    <w:p w:rsidR="002A5A43" w:rsidRDefault="0023437C" w:rsidP="002A5A43">
      <w:pPr>
        <w:pStyle w:val="texto"/>
        <w:tabs>
          <w:tab w:val="num" w:pos="300"/>
          <w:tab w:val="num" w:pos="4920"/>
        </w:tabs>
        <w:rPr>
          <w:szCs w:val="26"/>
        </w:rPr>
      </w:pPr>
      <w:r>
        <w:rPr>
          <w:szCs w:val="26"/>
        </w:rPr>
        <w:t>Asimismo</w:t>
      </w:r>
      <w:r w:rsidR="002A5A43">
        <w:rPr>
          <w:szCs w:val="26"/>
        </w:rPr>
        <w:t>, dentro del resultado, destacamos los extraordinarios derivados de la enajenación de inmovilizado que corresponden básicamente al traspaso de jugadores.</w:t>
      </w:r>
    </w:p>
    <w:p w:rsidR="00FD2052" w:rsidRDefault="00FD2052">
      <w:pPr>
        <w:spacing w:after="0"/>
        <w:ind w:firstLine="0"/>
        <w:jc w:val="left"/>
        <w:rPr>
          <w:rFonts w:ascii="Arial" w:hAnsi="Arial"/>
          <w:b/>
          <w:color w:val="000000"/>
          <w:kern w:val="28"/>
          <w:sz w:val="25"/>
          <w:szCs w:val="26"/>
        </w:rPr>
      </w:pPr>
      <w:r>
        <w:br w:type="page"/>
      </w:r>
    </w:p>
    <w:p w:rsidR="007661A3" w:rsidRDefault="00762FCD" w:rsidP="00762FCD">
      <w:pPr>
        <w:pStyle w:val="atitulo1"/>
        <w:rPr>
          <w:rFonts w:ascii="Arial (W1)" w:hAnsi="Arial (W1)"/>
          <w:spacing w:val="4"/>
        </w:rPr>
      </w:pPr>
      <w:bookmarkStart w:id="25" w:name="_Toc425926958"/>
      <w:r w:rsidRPr="00843B23">
        <w:rPr>
          <w:rFonts w:ascii="Arial (W1)" w:hAnsi="Arial (W1)"/>
          <w:spacing w:val="4"/>
        </w:rPr>
        <w:t>Apéndice 2.</w:t>
      </w:r>
      <w:bookmarkEnd w:id="25"/>
      <w:r w:rsidRPr="00843B23">
        <w:rPr>
          <w:rFonts w:ascii="Arial (W1)" w:hAnsi="Arial (W1)"/>
          <w:spacing w:val="4"/>
        </w:rPr>
        <w:t xml:space="preserve"> </w:t>
      </w:r>
    </w:p>
    <w:p w:rsidR="00762FCD" w:rsidRPr="00843B23" w:rsidRDefault="00762FCD" w:rsidP="00762FCD">
      <w:pPr>
        <w:pStyle w:val="atitulo1"/>
        <w:rPr>
          <w:rFonts w:ascii="Arial (W1)" w:hAnsi="Arial (W1)"/>
          <w:spacing w:val="4"/>
        </w:rPr>
      </w:pPr>
      <w:bookmarkStart w:id="26" w:name="_Toc425926959"/>
      <w:r w:rsidRPr="00843B23">
        <w:rPr>
          <w:rFonts w:ascii="Arial (W1)" w:hAnsi="Arial (W1)"/>
          <w:spacing w:val="4"/>
        </w:rPr>
        <w:t>Gastos presupuestarios del Gobierno de Navarra a favor del Club Atlético Osasuna</w:t>
      </w:r>
      <w:r w:rsidR="00AD43AE" w:rsidRPr="00843B23">
        <w:rPr>
          <w:rFonts w:ascii="Arial (W1)" w:hAnsi="Arial (W1)"/>
          <w:spacing w:val="4"/>
        </w:rPr>
        <w:t xml:space="preserve"> y compensaciones de pagos</w:t>
      </w:r>
      <w:r w:rsidRPr="00843B23">
        <w:rPr>
          <w:rFonts w:ascii="Arial (W1)" w:hAnsi="Arial (W1)"/>
          <w:spacing w:val="4"/>
        </w:rPr>
        <w:t xml:space="preserve"> (ejercicios de 2005 a 2014)</w:t>
      </w:r>
      <w:bookmarkEnd w:id="26"/>
    </w:p>
    <w:p w:rsidR="000C7225" w:rsidRDefault="0026160E" w:rsidP="00843B23">
      <w:pPr>
        <w:pStyle w:val="texto"/>
        <w:tabs>
          <w:tab w:val="num" w:pos="300"/>
          <w:tab w:val="num" w:pos="4920"/>
        </w:tabs>
        <w:spacing w:after="240"/>
        <w:rPr>
          <w:szCs w:val="26"/>
        </w:rPr>
      </w:pPr>
      <w:r>
        <w:rPr>
          <w:szCs w:val="26"/>
        </w:rPr>
        <w:t>De acuerdo con la contabilidad del Gobierno de Navarra, se han identificado</w:t>
      </w:r>
      <w:r w:rsidR="008F365E">
        <w:rPr>
          <w:szCs w:val="26"/>
        </w:rPr>
        <w:t xml:space="preserve"> por partida presupuestaria</w:t>
      </w:r>
      <w:r>
        <w:rPr>
          <w:szCs w:val="26"/>
        </w:rPr>
        <w:t xml:space="preserve"> los siguientes </w:t>
      </w:r>
      <w:r w:rsidR="008F365E" w:rsidRPr="00C517AF">
        <w:rPr>
          <w:szCs w:val="26"/>
        </w:rPr>
        <w:t>g</w:t>
      </w:r>
      <w:r w:rsidRPr="00C517AF">
        <w:rPr>
          <w:szCs w:val="26"/>
        </w:rPr>
        <w:t>astos</w:t>
      </w:r>
      <w:r w:rsidR="008F365E" w:rsidRPr="00C517AF">
        <w:rPr>
          <w:szCs w:val="26"/>
        </w:rPr>
        <w:t xml:space="preserve"> </w:t>
      </w:r>
      <w:r>
        <w:rPr>
          <w:szCs w:val="26"/>
        </w:rPr>
        <w:t xml:space="preserve">a favor del NIF del Club Atlético Osasuna </w:t>
      </w:r>
      <w:r w:rsidR="00C517AF">
        <w:rPr>
          <w:szCs w:val="26"/>
        </w:rPr>
        <w:t xml:space="preserve">y compensaciones </w:t>
      </w:r>
      <w:r w:rsidR="00AD43AE">
        <w:rPr>
          <w:szCs w:val="26"/>
        </w:rPr>
        <w:t xml:space="preserve">de pagos </w:t>
      </w:r>
      <w:r w:rsidR="00C517AF">
        <w:rPr>
          <w:szCs w:val="26"/>
        </w:rPr>
        <w:t xml:space="preserve">sobre el mismo </w:t>
      </w:r>
      <w:r>
        <w:rPr>
          <w:szCs w:val="26"/>
        </w:rPr>
        <w:t>en el periodo de 2005 a 2014</w:t>
      </w:r>
      <w:r w:rsidR="00FD2052">
        <w:rPr>
          <w:szCs w:val="26"/>
        </w:rPr>
        <w:t>. El importe es en euros.</w:t>
      </w:r>
    </w:p>
    <w:tbl>
      <w:tblPr>
        <w:tblW w:w="9892" w:type="dxa"/>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1391"/>
        <w:gridCol w:w="683"/>
        <w:gridCol w:w="808"/>
        <w:gridCol w:w="808"/>
        <w:gridCol w:w="852"/>
        <w:gridCol w:w="808"/>
        <w:gridCol w:w="897"/>
        <w:gridCol w:w="808"/>
        <w:gridCol w:w="719"/>
        <w:gridCol w:w="660"/>
        <w:gridCol w:w="650"/>
        <w:gridCol w:w="808"/>
      </w:tblGrid>
      <w:tr w:rsidR="0026160E" w:rsidRPr="00843B23" w:rsidTr="00843B23">
        <w:trPr>
          <w:trHeight w:val="340"/>
          <w:jc w:val="center"/>
        </w:trPr>
        <w:tc>
          <w:tcPr>
            <w:tcW w:w="1391" w:type="dxa"/>
            <w:tcBorders>
              <w:top w:val="single" w:sz="4" w:space="0" w:color="auto"/>
              <w:bottom w:val="single" w:sz="4" w:space="0" w:color="auto"/>
            </w:tcBorders>
            <w:shd w:val="clear" w:color="auto" w:fill="8DB3E2" w:themeFill="text2" w:themeFillTint="66"/>
            <w:noWrap/>
            <w:vAlign w:val="center"/>
          </w:tcPr>
          <w:p w:rsidR="0026160E" w:rsidRPr="00843B23" w:rsidRDefault="0026160E" w:rsidP="00843B23">
            <w:pPr>
              <w:spacing w:after="0"/>
              <w:ind w:firstLine="0"/>
              <w:jc w:val="left"/>
              <w:rPr>
                <w:rFonts w:ascii="Arial" w:hAnsi="Arial" w:cs="Arial"/>
                <w:sz w:val="15"/>
                <w:szCs w:val="15"/>
                <w:lang w:eastAsia="es-ES"/>
              </w:rPr>
            </w:pPr>
            <w:r w:rsidRPr="00843B23">
              <w:rPr>
                <w:rFonts w:ascii="Arial" w:hAnsi="Arial" w:cs="Arial"/>
                <w:sz w:val="15"/>
                <w:szCs w:val="15"/>
                <w:lang w:eastAsia="es-ES"/>
              </w:rPr>
              <w:t>Denominación partida</w:t>
            </w:r>
          </w:p>
        </w:tc>
        <w:tc>
          <w:tcPr>
            <w:tcW w:w="683" w:type="dxa"/>
            <w:tcBorders>
              <w:top w:val="single" w:sz="4" w:space="0" w:color="auto"/>
              <w:bottom w:val="single" w:sz="4" w:space="0" w:color="auto"/>
            </w:tcBorders>
            <w:shd w:val="clear" w:color="auto" w:fill="8DB3E2" w:themeFill="text2" w:themeFillTint="66"/>
            <w:noWrap/>
            <w:vAlign w:val="center"/>
          </w:tcPr>
          <w:p w:rsidR="0026160E" w:rsidRPr="00843B23" w:rsidRDefault="0026160E" w:rsidP="0026160E">
            <w:pPr>
              <w:spacing w:after="0"/>
              <w:ind w:firstLine="0"/>
              <w:jc w:val="right"/>
              <w:rPr>
                <w:rFonts w:ascii="Arial" w:hAnsi="Arial" w:cs="Arial"/>
                <w:sz w:val="15"/>
                <w:szCs w:val="15"/>
                <w:lang w:eastAsia="es-ES"/>
              </w:rPr>
            </w:pPr>
            <w:r w:rsidRPr="00843B23">
              <w:rPr>
                <w:rFonts w:ascii="Arial" w:hAnsi="Arial" w:cs="Arial"/>
                <w:sz w:val="15"/>
                <w:szCs w:val="15"/>
                <w:lang w:eastAsia="es-ES"/>
              </w:rPr>
              <w:t>2005</w:t>
            </w:r>
          </w:p>
        </w:tc>
        <w:tc>
          <w:tcPr>
            <w:tcW w:w="808" w:type="dxa"/>
            <w:tcBorders>
              <w:top w:val="single" w:sz="4" w:space="0" w:color="auto"/>
              <w:bottom w:val="single" w:sz="4" w:space="0" w:color="auto"/>
            </w:tcBorders>
            <w:shd w:val="clear" w:color="auto" w:fill="8DB3E2" w:themeFill="text2" w:themeFillTint="66"/>
            <w:noWrap/>
            <w:vAlign w:val="center"/>
          </w:tcPr>
          <w:p w:rsidR="0026160E" w:rsidRPr="00843B23" w:rsidRDefault="0026160E" w:rsidP="0026160E">
            <w:pPr>
              <w:spacing w:after="0"/>
              <w:ind w:firstLine="0"/>
              <w:jc w:val="right"/>
              <w:rPr>
                <w:rFonts w:ascii="Arial" w:hAnsi="Arial" w:cs="Arial"/>
                <w:sz w:val="15"/>
                <w:szCs w:val="15"/>
                <w:lang w:eastAsia="es-ES"/>
              </w:rPr>
            </w:pPr>
            <w:r w:rsidRPr="00843B23">
              <w:rPr>
                <w:rFonts w:ascii="Arial" w:hAnsi="Arial" w:cs="Arial"/>
                <w:sz w:val="15"/>
                <w:szCs w:val="15"/>
                <w:lang w:eastAsia="es-ES"/>
              </w:rPr>
              <w:t>2006</w:t>
            </w:r>
          </w:p>
        </w:tc>
        <w:tc>
          <w:tcPr>
            <w:tcW w:w="808" w:type="dxa"/>
            <w:tcBorders>
              <w:top w:val="single" w:sz="4" w:space="0" w:color="auto"/>
              <w:bottom w:val="single" w:sz="4" w:space="0" w:color="auto"/>
            </w:tcBorders>
            <w:shd w:val="clear" w:color="auto" w:fill="8DB3E2" w:themeFill="text2" w:themeFillTint="66"/>
            <w:noWrap/>
            <w:vAlign w:val="center"/>
          </w:tcPr>
          <w:p w:rsidR="0026160E" w:rsidRPr="00843B23" w:rsidRDefault="0026160E" w:rsidP="0026160E">
            <w:pPr>
              <w:spacing w:after="0"/>
              <w:ind w:firstLine="0"/>
              <w:jc w:val="right"/>
              <w:rPr>
                <w:rFonts w:ascii="Arial" w:hAnsi="Arial" w:cs="Arial"/>
                <w:sz w:val="15"/>
                <w:szCs w:val="15"/>
                <w:lang w:eastAsia="es-ES"/>
              </w:rPr>
            </w:pPr>
            <w:r w:rsidRPr="00843B23">
              <w:rPr>
                <w:rFonts w:ascii="Arial" w:hAnsi="Arial" w:cs="Arial"/>
                <w:sz w:val="15"/>
                <w:szCs w:val="15"/>
                <w:lang w:eastAsia="es-ES"/>
              </w:rPr>
              <w:t>2007</w:t>
            </w:r>
          </w:p>
        </w:tc>
        <w:tc>
          <w:tcPr>
            <w:tcW w:w="852" w:type="dxa"/>
            <w:tcBorders>
              <w:top w:val="single" w:sz="4" w:space="0" w:color="auto"/>
              <w:bottom w:val="single" w:sz="4" w:space="0" w:color="auto"/>
            </w:tcBorders>
            <w:shd w:val="clear" w:color="auto" w:fill="8DB3E2" w:themeFill="text2" w:themeFillTint="66"/>
            <w:noWrap/>
            <w:vAlign w:val="center"/>
          </w:tcPr>
          <w:p w:rsidR="0026160E" w:rsidRPr="00843B23" w:rsidRDefault="0026160E" w:rsidP="0026160E">
            <w:pPr>
              <w:spacing w:after="0"/>
              <w:ind w:firstLine="0"/>
              <w:jc w:val="right"/>
              <w:rPr>
                <w:rFonts w:ascii="Arial" w:hAnsi="Arial" w:cs="Arial"/>
                <w:sz w:val="15"/>
                <w:szCs w:val="15"/>
                <w:lang w:eastAsia="es-ES"/>
              </w:rPr>
            </w:pPr>
            <w:r w:rsidRPr="00843B23">
              <w:rPr>
                <w:rFonts w:ascii="Arial" w:hAnsi="Arial" w:cs="Arial"/>
                <w:sz w:val="15"/>
                <w:szCs w:val="15"/>
                <w:lang w:eastAsia="es-ES"/>
              </w:rPr>
              <w:t>2008</w:t>
            </w:r>
          </w:p>
        </w:tc>
        <w:tc>
          <w:tcPr>
            <w:tcW w:w="808" w:type="dxa"/>
            <w:tcBorders>
              <w:top w:val="single" w:sz="4" w:space="0" w:color="auto"/>
              <w:bottom w:val="single" w:sz="4" w:space="0" w:color="auto"/>
            </w:tcBorders>
            <w:shd w:val="clear" w:color="auto" w:fill="8DB3E2" w:themeFill="text2" w:themeFillTint="66"/>
            <w:noWrap/>
            <w:vAlign w:val="center"/>
          </w:tcPr>
          <w:p w:rsidR="0026160E" w:rsidRPr="00843B23" w:rsidRDefault="0026160E" w:rsidP="0026160E">
            <w:pPr>
              <w:spacing w:after="0"/>
              <w:ind w:firstLine="0"/>
              <w:jc w:val="right"/>
              <w:rPr>
                <w:rFonts w:ascii="Arial" w:hAnsi="Arial" w:cs="Arial"/>
                <w:sz w:val="15"/>
                <w:szCs w:val="15"/>
                <w:lang w:eastAsia="es-ES"/>
              </w:rPr>
            </w:pPr>
            <w:r w:rsidRPr="00843B23">
              <w:rPr>
                <w:rFonts w:ascii="Arial" w:hAnsi="Arial" w:cs="Arial"/>
                <w:sz w:val="15"/>
                <w:szCs w:val="15"/>
                <w:lang w:eastAsia="es-ES"/>
              </w:rPr>
              <w:t>2009</w:t>
            </w:r>
          </w:p>
        </w:tc>
        <w:tc>
          <w:tcPr>
            <w:tcW w:w="897" w:type="dxa"/>
            <w:tcBorders>
              <w:top w:val="single" w:sz="4" w:space="0" w:color="auto"/>
              <w:bottom w:val="single" w:sz="4" w:space="0" w:color="auto"/>
            </w:tcBorders>
            <w:shd w:val="clear" w:color="auto" w:fill="8DB3E2" w:themeFill="text2" w:themeFillTint="66"/>
            <w:noWrap/>
            <w:vAlign w:val="center"/>
          </w:tcPr>
          <w:p w:rsidR="0026160E" w:rsidRPr="00843B23" w:rsidRDefault="0026160E" w:rsidP="0026160E">
            <w:pPr>
              <w:spacing w:after="0"/>
              <w:ind w:firstLine="0"/>
              <w:jc w:val="right"/>
              <w:rPr>
                <w:rFonts w:ascii="Arial" w:hAnsi="Arial" w:cs="Arial"/>
                <w:sz w:val="15"/>
                <w:szCs w:val="15"/>
                <w:lang w:eastAsia="es-ES"/>
              </w:rPr>
            </w:pPr>
            <w:r w:rsidRPr="00843B23">
              <w:rPr>
                <w:rFonts w:ascii="Arial" w:hAnsi="Arial" w:cs="Arial"/>
                <w:sz w:val="15"/>
                <w:szCs w:val="15"/>
                <w:lang w:eastAsia="es-ES"/>
              </w:rPr>
              <w:t>2010</w:t>
            </w:r>
          </w:p>
        </w:tc>
        <w:tc>
          <w:tcPr>
            <w:tcW w:w="808" w:type="dxa"/>
            <w:tcBorders>
              <w:top w:val="single" w:sz="4" w:space="0" w:color="auto"/>
              <w:bottom w:val="single" w:sz="4" w:space="0" w:color="auto"/>
            </w:tcBorders>
            <w:shd w:val="clear" w:color="auto" w:fill="8DB3E2" w:themeFill="text2" w:themeFillTint="66"/>
            <w:noWrap/>
            <w:vAlign w:val="center"/>
          </w:tcPr>
          <w:p w:rsidR="0026160E" w:rsidRPr="00843B23" w:rsidRDefault="0026160E" w:rsidP="0026160E">
            <w:pPr>
              <w:spacing w:after="0"/>
              <w:ind w:firstLine="0"/>
              <w:jc w:val="right"/>
              <w:rPr>
                <w:rFonts w:ascii="Arial" w:hAnsi="Arial" w:cs="Arial"/>
                <w:sz w:val="15"/>
                <w:szCs w:val="15"/>
                <w:lang w:eastAsia="es-ES"/>
              </w:rPr>
            </w:pPr>
            <w:r w:rsidRPr="00843B23">
              <w:rPr>
                <w:rFonts w:ascii="Arial" w:hAnsi="Arial" w:cs="Arial"/>
                <w:sz w:val="15"/>
                <w:szCs w:val="15"/>
                <w:lang w:eastAsia="es-ES"/>
              </w:rPr>
              <w:t>2011</w:t>
            </w:r>
          </w:p>
        </w:tc>
        <w:tc>
          <w:tcPr>
            <w:tcW w:w="719" w:type="dxa"/>
            <w:tcBorders>
              <w:top w:val="single" w:sz="4" w:space="0" w:color="auto"/>
              <w:bottom w:val="single" w:sz="4" w:space="0" w:color="auto"/>
            </w:tcBorders>
            <w:shd w:val="clear" w:color="auto" w:fill="8DB3E2" w:themeFill="text2" w:themeFillTint="66"/>
            <w:noWrap/>
            <w:vAlign w:val="center"/>
          </w:tcPr>
          <w:p w:rsidR="0026160E" w:rsidRPr="00843B23" w:rsidRDefault="0026160E" w:rsidP="0026160E">
            <w:pPr>
              <w:spacing w:after="0"/>
              <w:ind w:firstLine="0"/>
              <w:jc w:val="right"/>
              <w:rPr>
                <w:rFonts w:ascii="Arial" w:hAnsi="Arial" w:cs="Arial"/>
                <w:sz w:val="15"/>
                <w:szCs w:val="15"/>
                <w:lang w:eastAsia="es-ES"/>
              </w:rPr>
            </w:pPr>
            <w:r w:rsidRPr="00843B23">
              <w:rPr>
                <w:rFonts w:ascii="Arial" w:hAnsi="Arial" w:cs="Arial"/>
                <w:sz w:val="15"/>
                <w:szCs w:val="15"/>
                <w:lang w:eastAsia="es-ES"/>
              </w:rPr>
              <w:t>2012</w:t>
            </w:r>
          </w:p>
        </w:tc>
        <w:tc>
          <w:tcPr>
            <w:tcW w:w="660" w:type="dxa"/>
            <w:tcBorders>
              <w:top w:val="single" w:sz="4" w:space="0" w:color="auto"/>
              <w:bottom w:val="single" w:sz="4" w:space="0" w:color="auto"/>
            </w:tcBorders>
            <w:shd w:val="clear" w:color="auto" w:fill="8DB3E2" w:themeFill="text2" w:themeFillTint="66"/>
            <w:noWrap/>
            <w:vAlign w:val="center"/>
          </w:tcPr>
          <w:p w:rsidR="0026160E" w:rsidRPr="00843B23" w:rsidRDefault="0026160E" w:rsidP="0026160E">
            <w:pPr>
              <w:spacing w:after="0"/>
              <w:ind w:firstLine="0"/>
              <w:jc w:val="right"/>
              <w:rPr>
                <w:rFonts w:ascii="Arial" w:hAnsi="Arial" w:cs="Arial"/>
                <w:sz w:val="15"/>
                <w:szCs w:val="15"/>
                <w:lang w:eastAsia="es-ES"/>
              </w:rPr>
            </w:pPr>
            <w:r w:rsidRPr="00843B23">
              <w:rPr>
                <w:rFonts w:ascii="Arial" w:hAnsi="Arial" w:cs="Arial"/>
                <w:sz w:val="15"/>
                <w:szCs w:val="15"/>
                <w:lang w:eastAsia="es-ES"/>
              </w:rPr>
              <w:t>2013</w:t>
            </w:r>
          </w:p>
        </w:tc>
        <w:tc>
          <w:tcPr>
            <w:tcW w:w="650" w:type="dxa"/>
            <w:tcBorders>
              <w:top w:val="single" w:sz="4" w:space="0" w:color="auto"/>
              <w:bottom w:val="single" w:sz="4" w:space="0" w:color="auto"/>
            </w:tcBorders>
            <w:shd w:val="clear" w:color="auto" w:fill="8DB3E2" w:themeFill="text2" w:themeFillTint="66"/>
            <w:noWrap/>
            <w:vAlign w:val="center"/>
          </w:tcPr>
          <w:p w:rsidR="0026160E" w:rsidRPr="00843B23" w:rsidRDefault="0026160E" w:rsidP="0026160E">
            <w:pPr>
              <w:spacing w:after="0"/>
              <w:ind w:firstLine="0"/>
              <w:jc w:val="right"/>
              <w:rPr>
                <w:rFonts w:ascii="Arial" w:hAnsi="Arial" w:cs="Arial"/>
                <w:sz w:val="15"/>
                <w:szCs w:val="15"/>
                <w:lang w:eastAsia="es-ES"/>
              </w:rPr>
            </w:pPr>
            <w:r w:rsidRPr="00843B23">
              <w:rPr>
                <w:rFonts w:ascii="Arial" w:hAnsi="Arial" w:cs="Arial"/>
                <w:sz w:val="15"/>
                <w:szCs w:val="15"/>
                <w:lang w:eastAsia="es-ES"/>
              </w:rPr>
              <w:t>2014</w:t>
            </w:r>
          </w:p>
        </w:tc>
        <w:tc>
          <w:tcPr>
            <w:tcW w:w="808" w:type="dxa"/>
            <w:tcBorders>
              <w:top w:val="single" w:sz="4" w:space="0" w:color="auto"/>
              <w:bottom w:val="single" w:sz="4" w:space="0" w:color="auto"/>
            </w:tcBorders>
            <w:shd w:val="clear" w:color="auto" w:fill="8DB3E2" w:themeFill="text2" w:themeFillTint="66"/>
            <w:noWrap/>
            <w:vAlign w:val="center"/>
          </w:tcPr>
          <w:p w:rsidR="0026160E" w:rsidRPr="00843B23" w:rsidRDefault="0026160E" w:rsidP="0026160E">
            <w:pPr>
              <w:spacing w:after="0"/>
              <w:ind w:firstLine="0"/>
              <w:jc w:val="right"/>
              <w:rPr>
                <w:rFonts w:ascii="Arial" w:hAnsi="Arial" w:cs="Arial"/>
                <w:sz w:val="15"/>
                <w:szCs w:val="15"/>
                <w:lang w:eastAsia="es-ES"/>
              </w:rPr>
            </w:pPr>
            <w:r w:rsidRPr="00843B23">
              <w:rPr>
                <w:rFonts w:ascii="Arial" w:hAnsi="Arial" w:cs="Arial"/>
                <w:sz w:val="15"/>
                <w:szCs w:val="15"/>
                <w:lang w:eastAsia="es-ES"/>
              </w:rPr>
              <w:t>Total</w:t>
            </w:r>
          </w:p>
        </w:tc>
      </w:tr>
      <w:tr w:rsidR="0026160E" w:rsidRPr="00843B23" w:rsidTr="00843B23">
        <w:trPr>
          <w:trHeight w:val="340"/>
          <w:jc w:val="center"/>
        </w:trPr>
        <w:tc>
          <w:tcPr>
            <w:tcW w:w="1391" w:type="dxa"/>
            <w:tcBorders>
              <w:top w:val="single" w:sz="4" w:space="0" w:color="auto"/>
            </w:tcBorders>
            <w:shd w:val="clear" w:color="auto" w:fill="auto"/>
            <w:noWrap/>
            <w:vAlign w:val="center"/>
          </w:tcPr>
          <w:p w:rsidR="0026160E" w:rsidRPr="00843B23" w:rsidRDefault="0026160E" w:rsidP="00843B23">
            <w:pPr>
              <w:spacing w:after="0"/>
              <w:ind w:firstLine="0"/>
              <w:jc w:val="left"/>
              <w:rPr>
                <w:rFonts w:ascii="Arial Narrow" w:hAnsi="Arial Narrow" w:cs="Arial"/>
                <w:i/>
                <w:sz w:val="16"/>
                <w:szCs w:val="16"/>
                <w:lang w:eastAsia="es-ES"/>
              </w:rPr>
            </w:pPr>
            <w:r w:rsidRPr="00843B23">
              <w:rPr>
                <w:rFonts w:ascii="Arial Narrow" w:hAnsi="Arial Narrow" w:cs="Arial"/>
                <w:i/>
                <w:sz w:val="16"/>
                <w:szCs w:val="16"/>
                <w:lang w:eastAsia="es-ES"/>
              </w:rPr>
              <w:t>Capítulo 2</w:t>
            </w:r>
          </w:p>
        </w:tc>
        <w:tc>
          <w:tcPr>
            <w:tcW w:w="683" w:type="dxa"/>
            <w:tcBorders>
              <w:top w:val="single" w:sz="4" w:space="0" w:color="auto"/>
            </w:tcBorders>
            <w:shd w:val="clear" w:color="auto" w:fill="auto"/>
            <w:noWrap/>
            <w:vAlign w:val="center"/>
          </w:tcPr>
          <w:p w:rsidR="0026160E" w:rsidRPr="00843B23" w:rsidRDefault="0026160E" w:rsidP="0026160E">
            <w:pPr>
              <w:spacing w:after="0"/>
              <w:ind w:firstLine="0"/>
              <w:jc w:val="right"/>
              <w:rPr>
                <w:rFonts w:ascii="Arial Narrow" w:hAnsi="Arial Narrow" w:cs="Arial"/>
                <w:sz w:val="16"/>
                <w:szCs w:val="16"/>
                <w:lang w:eastAsia="es-ES"/>
              </w:rPr>
            </w:pPr>
          </w:p>
        </w:tc>
        <w:tc>
          <w:tcPr>
            <w:tcW w:w="808" w:type="dxa"/>
            <w:tcBorders>
              <w:top w:val="single" w:sz="4" w:space="0" w:color="auto"/>
            </w:tcBorders>
            <w:shd w:val="clear" w:color="auto" w:fill="auto"/>
            <w:noWrap/>
            <w:vAlign w:val="center"/>
          </w:tcPr>
          <w:p w:rsidR="0026160E" w:rsidRPr="00843B23" w:rsidRDefault="0026160E" w:rsidP="0026160E">
            <w:pPr>
              <w:spacing w:after="0"/>
              <w:ind w:firstLine="0"/>
              <w:jc w:val="right"/>
              <w:rPr>
                <w:rFonts w:ascii="Arial Narrow" w:hAnsi="Arial Narrow" w:cs="Arial"/>
                <w:sz w:val="16"/>
                <w:szCs w:val="16"/>
                <w:lang w:eastAsia="es-ES"/>
              </w:rPr>
            </w:pPr>
          </w:p>
        </w:tc>
        <w:tc>
          <w:tcPr>
            <w:tcW w:w="808" w:type="dxa"/>
            <w:tcBorders>
              <w:top w:val="single" w:sz="4" w:space="0" w:color="auto"/>
            </w:tcBorders>
            <w:shd w:val="clear" w:color="auto" w:fill="auto"/>
            <w:noWrap/>
            <w:vAlign w:val="center"/>
          </w:tcPr>
          <w:p w:rsidR="0026160E" w:rsidRPr="00843B23" w:rsidRDefault="0026160E" w:rsidP="0026160E">
            <w:pPr>
              <w:spacing w:after="0"/>
              <w:ind w:firstLine="0"/>
              <w:jc w:val="right"/>
              <w:rPr>
                <w:rFonts w:ascii="Arial Narrow" w:hAnsi="Arial Narrow" w:cs="Arial"/>
                <w:sz w:val="16"/>
                <w:szCs w:val="16"/>
                <w:lang w:eastAsia="es-ES"/>
              </w:rPr>
            </w:pPr>
          </w:p>
        </w:tc>
        <w:tc>
          <w:tcPr>
            <w:tcW w:w="852" w:type="dxa"/>
            <w:tcBorders>
              <w:top w:val="single" w:sz="4" w:space="0" w:color="auto"/>
            </w:tcBorders>
            <w:shd w:val="clear" w:color="auto" w:fill="auto"/>
            <w:noWrap/>
            <w:vAlign w:val="center"/>
          </w:tcPr>
          <w:p w:rsidR="0026160E" w:rsidRPr="00843B23" w:rsidRDefault="0026160E" w:rsidP="0026160E">
            <w:pPr>
              <w:spacing w:after="0"/>
              <w:ind w:firstLine="0"/>
              <w:jc w:val="right"/>
              <w:rPr>
                <w:rFonts w:ascii="Arial Narrow" w:hAnsi="Arial Narrow" w:cs="Arial"/>
                <w:sz w:val="16"/>
                <w:szCs w:val="16"/>
                <w:lang w:eastAsia="es-ES"/>
              </w:rPr>
            </w:pPr>
          </w:p>
        </w:tc>
        <w:tc>
          <w:tcPr>
            <w:tcW w:w="808" w:type="dxa"/>
            <w:tcBorders>
              <w:top w:val="single" w:sz="4" w:space="0" w:color="auto"/>
            </w:tcBorders>
            <w:shd w:val="clear" w:color="auto" w:fill="auto"/>
            <w:noWrap/>
            <w:vAlign w:val="center"/>
          </w:tcPr>
          <w:p w:rsidR="0026160E" w:rsidRPr="00843B23" w:rsidRDefault="0026160E" w:rsidP="0026160E">
            <w:pPr>
              <w:spacing w:after="0"/>
              <w:ind w:firstLine="0"/>
              <w:jc w:val="right"/>
              <w:rPr>
                <w:rFonts w:ascii="Arial Narrow" w:hAnsi="Arial Narrow" w:cs="Arial"/>
                <w:sz w:val="16"/>
                <w:szCs w:val="16"/>
                <w:lang w:eastAsia="es-ES"/>
              </w:rPr>
            </w:pPr>
          </w:p>
        </w:tc>
        <w:tc>
          <w:tcPr>
            <w:tcW w:w="897" w:type="dxa"/>
            <w:tcBorders>
              <w:top w:val="single" w:sz="4" w:space="0" w:color="auto"/>
            </w:tcBorders>
            <w:shd w:val="clear" w:color="auto" w:fill="auto"/>
            <w:noWrap/>
            <w:vAlign w:val="center"/>
          </w:tcPr>
          <w:p w:rsidR="0026160E" w:rsidRPr="00843B23" w:rsidRDefault="0026160E" w:rsidP="0026160E">
            <w:pPr>
              <w:spacing w:after="0"/>
              <w:ind w:firstLine="0"/>
              <w:jc w:val="right"/>
              <w:rPr>
                <w:rFonts w:ascii="Arial Narrow" w:hAnsi="Arial Narrow" w:cs="Arial"/>
                <w:sz w:val="16"/>
                <w:szCs w:val="16"/>
                <w:lang w:eastAsia="es-ES"/>
              </w:rPr>
            </w:pPr>
          </w:p>
        </w:tc>
        <w:tc>
          <w:tcPr>
            <w:tcW w:w="808" w:type="dxa"/>
            <w:tcBorders>
              <w:top w:val="single" w:sz="4" w:space="0" w:color="auto"/>
            </w:tcBorders>
            <w:shd w:val="clear" w:color="auto" w:fill="auto"/>
            <w:noWrap/>
            <w:vAlign w:val="center"/>
          </w:tcPr>
          <w:p w:rsidR="0026160E" w:rsidRPr="00843B23" w:rsidRDefault="0026160E" w:rsidP="0026160E">
            <w:pPr>
              <w:spacing w:after="0"/>
              <w:ind w:firstLine="0"/>
              <w:jc w:val="right"/>
              <w:rPr>
                <w:rFonts w:ascii="Arial Narrow" w:hAnsi="Arial Narrow" w:cs="Arial"/>
                <w:sz w:val="16"/>
                <w:szCs w:val="16"/>
                <w:lang w:eastAsia="es-ES"/>
              </w:rPr>
            </w:pPr>
          </w:p>
        </w:tc>
        <w:tc>
          <w:tcPr>
            <w:tcW w:w="719" w:type="dxa"/>
            <w:tcBorders>
              <w:top w:val="single" w:sz="4" w:space="0" w:color="auto"/>
            </w:tcBorders>
            <w:shd w:val="clear" w:color="auto" w:fill="auto"/>
            <w:noWrap/>
            <w:vAlign w:val="center"/>
          </w:tcPr>
          <w:p w:rsidR="0026160E" w:rsidRPr="00843B23" w:rsidRDefault="0026160E" w:rsidP="0026160E">
            <w:pPr>
              <w:spacing w:after="0"/>
              <w:ind w:firstLine="0"/>
              <w:jc w:val="right"/>
              <w:rPr>
                <w:rFonts w:ascii="Arial Narrow" w:hAnsi="Arial Narrow" w:cs="Arial"/>
                <w:sz w:val="16"/>
                <w:szCs w:val="16"/>
                <w:lang w:eastAsia="es-ES"/>
              </w:rPr>
            </w:pPr>
          </w:p>
        </w:tc>
        <w:tc>
          <w:tcPr>
            <w:tcW w:w="660" w:type="dxa"/>
            <w:tcBorders>
              <w:top w:val="single" w:sz="4" w:space="0" w:color="auto"/>
            </w:tcBorders>
            <w:shd w:val="clear" w:color="auto" w:fill="auto"/>
            <w:noWrap/>
            <w:vAlign w:val="center"/>
          </w:tcPr>
          <w:p w:rsidR="0026160E" w:rsidRPr="00843B23" w:rsidRDefault="0026160E" w:rsidP="0026160E">
            <w:pPr>
              <w:spacing w:after="0"/>
              <w:ind w:firstLine="0"/>
              <w:jc w:val="right"/>
              <w:rPr>
                <w:rFonts w:ascii="Arial Narrow" w:hAnsi="Arial Narrow" w:cs="Arial"/>
                <w:sz w:val="16"/>
                <w:szCs w:val="16"/>
                <w:lang w:eastAsia="es-ES"/>
              </w:rPr>
            </w:pPr>
          </w:p>
        </w:tc>
        <w:tc>
          <w:tcPr>
            <w:tcW w:w="650" w:type="dxa"/>
            <w:tcBorders>
              <w:top w:val="single" w:sz="4" w:space="0" w:color="auto"/>
            </w:tcBorders>
            <w:shd w:val="clear" w:color="auto" w:fill="auto"/>
            <w:noWrap/>
            <w:vAlign w:val="center"/>
          </w:tcPr>
          <w:p w:rsidR="0026160E" w:rsidRPr="00843B23" w:rsidRDefault="0026160E" w:rsidP="0026160E">
            <w:pPr>
              <w:spacing w:after="0"/>
              <w:ind w:firstLine="0"/>
              <w:jc w:val="right"/>
              <w:rPr>
                <w:rFonts w:ascii="Arial Narrow" w:hAnsi="Arial Narrow" w:cs="Arial"/>
                <w:sz w:val="16"/>
                <w:szCs w:val="16"/>
                <w:lang w:eastAsia="es-ES"/>
              </w:rPr>
            </w:pPr>
          </w:p>
        </w:tc>
        <w:tc>
          <w:tcPr>
            <w:tcW w:w="808" w:type="dxa"/>
            <w:tcBorders>
              <w:top w:val="single" w:sz="4" w:space="0" w:color="auto"/>
            </w:tcBorders>
            <w:shd w:val="clear" w:color="auto" w:fill="auto"/>
            <w:noWrap/>
            <w:vAlign w:val="center"/>
          </w:tcPr>
          <w:p w:rsidR="0026160E" w:rsidRPr="00843B23" w:rsidRDefault="0026160E" w:rsidP="0026160E">
            <w:pPr>
              <w:spacing w:after="0"/>
              <w:ind w:firstLine="0"/>
              <w:jc w:val="right"/>
              <w:rPr>
                <w:rFonts w:ascii="Arial Narrow" w:hAnsi="Arial Narrow" w:cs="Arial"/>
                <w:sz w:val="16"/>
                <w:szCs w:val="16"/>
                <w:lang w:eastAsia="es-ES"/>
              </w:rPr>
            </w:pPr>
          </w:p>
        </w:tc>
      </w:tr>
      <w:tr w:rsidR="0026160E" w:rsidRPr="00843B23" w:rsidTr="00843B23">
        <w:trPr>
          <w:trHeight w:val="340"/>
          <w:jc w:val="center"/>
        </w:trPr>
        <w:tc>
          <w:tcPr>
            <w:tcW w:w="1391" w:type="dxa"/>
            <w:tcBorders>
              <w:top w:val="single" w:sz="4" w:space="0" w:color="auto"/>
            </w:tcBorders>
            <w:shd w:val="clear" w:color="auto" w:fill="auto"/>
            <w:noWrap/>
            <w:vAlign w:val="center"/>
            <w:hideMark/>
          </w:tcPr>
          <w:p w:rsidR="0026160E" w:rsidRPr="00843B23" w:rsidRDefault="0026160E" w:rsidP="00843B23">
            <w:pPr>
              <w:spacing w:after="0"/>
              <w:ind w:firstLine="0"/>
              <w:jc w:val="left"/>
              <w:rPr>
                <w:rFonts w:ascii="Arial Narrow" w:hAnsi="Arial Narrow" w:cs="Arial"/>
                <w:sz w:val="16"/>
                <w:szCs w:val="16"/>
                <w:lang w:eastAsia="es-ES"/>
              </w:rPr>
            </w:pPr>
            <w:r w:rsidRPr="00843B23">
              <w:rPr>
                <w:rFonts w:ascii="Arial Narrow" w:hAnsi="Arial Narrow" w:cs="Arial"/>
                <w:sz w:val="16"/>
                <w:szCs w:val="16"/>
                <w:lang w:eastAsia="es-ES"/>
              </w:rPr>
              <w:t>Atenc.</w:t>
            </w:r>
            <w:r w:rsidR="00843B23">
              <w:rPr>
                <w:rFonts w:ascii="Arial Narrow" w:hAnsi="Arial Narrow" w:cs="Arial"/>
                <w:sz w:val="16"/>
                <w:szCs w:val="16"/>
                <w:lang w:eastAsia="es-ES"/>
              </w:rPr>
              <w:t xml:space="preserve"> </w:t>
            </w:r>
            <w:r w:rsidRPr="00843B23">
              <w:rPr>
                <w:rFonts w:ascii="Arial Narrow" w:hAnsi="Arial Narrow" w:cs="Arial"/>
                <w:sz w:val="16"/>
                <w:szCs w:val="16"/>
                <w:lang w:eastAsia="es-ES"/>
              </w:rPr>
              <w:t>protocol</w:t>
            </w:r>
            <w:r w:rsidR="00843B23">
              <w:rPr>
                <w:rFonts w:ascii="Arial Narrow" w:hAnsi="Arial Narrow" w:cs="Arial"/>
                <w:sz w:val="16"/>
                <w:szCs w:val="16"/>
                <w:lang w:eastAsia="es-ES"/>
              </w:rPr>
              <w:t xml:space="preserve">aria </w:t>
            </w:r>
            <w:r w:rsidRPr="00843B23">
              <w:rPr>
                <w:rFonts w:ascii="Arial Narrow" w:hAnsi="Arial Narrow" w:cs="Arial"/>
                <w:sz w:val="16"/>
                <w:szCs w:val="16"/>
                <w:lang w:eastAsia="es-ES"/>
              </w:rPr>
              <w:t>y represent</w:t>
            </w:r>
            <w:r w:rsidR="00843B23">
              <w:rPr>
                <w:rFonts w:ascii="Arial Narrow" w:hAnsi="Arial Narrow" w:cs="Arial"/>
                <w:sz w:val="16"/>
                <w:szCs w:val="16"/>
                <w:lang w:eastAsia="es-ES"/>
              </w:rPr>
              <w:t>ación</w:t>
            </w:r>
          </w:p>
        </w:tc>
        <w:tc>
          <w:tcPr>
            <w:tcW w:w="683" w:type="dxa"/>
            <w:tcBorders>
              <w:top w:val="single" w:sz="4" w:space="0" w:color="auto"/>
            </w:tcBorders>
            <w:shd w:val="clear" w:color="auto" w:fill="auto"/>
            <w:noWrap/>
            <w:vAlign w:val="center"/>
            <w:hideMark/>
          </w:tcPr>
          <w:p w:rsidR="0026160E" w:rsidRPr="00843B23" w:rsidRDefault="0026160E" w:rsidP="0026160E">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16.640</w:t>
            </w:r>
          </w:p>
        </w:tc>
        <w:tc>
          <w:tcPr>
            <w:tcW w:w="808" w:type="dxa"/>
            <w:tcBorders>
              <w:top w:val="single" w:sz="4" w:space="0" w:color="auto"/>
            </w:tcBorders>
            <w:shd w:val="clear" w:color="auto" w:fill="auto"/>
            <w:noWrap/>
            <w:vAlign w:val="center"/>
            <w:hideMark/>
          </w:tcPr>
          <w:p w:rsidR="0026160E" w:rsidRPr="00843B23" w:rsidRDefault="0026160E" w:rsidP="0026160E">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21.700</w:t>
            </w:r>
          </w:p>
        </w:tc>
        <w:tc>
          <w:tcPr>
            <w:tcW w:w="808" w:type="dxa"/>
            <w:tcBorders>
              <w:top w:val="single" w:sz="4" w:space="0" w:color="auto"/>
            </w:tcBorders>
            <w:shd w:val="clear" w:color="auto" w:fill="auto"/>
            <w:noWrap/>
            <w:vAlign w:val="center"/>
            <w:hideMark/>
          </w:tcPr>
          <w:p w:rsidR="0026160E" w:rsidRPr="00843B23" w:rsidRDefault="0026160E" w:rsidP="0026160E">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16.350</w:t>
            </w:r>
          </w:p>
        </w:tc>
        <w:tc>
          <w:tcPr>
            <w:tcW w:w="852" w:type="dxa"/>
            <w:tcBorders>
              <w:top w:val="single" w:sz="4" w:space="0" w:color="auto"/>
            </w:tcBorders>
            <w:shd w:val="clear" w:color="auto" w:fill="auto"/>
            <w:noWrap/>
            <w:vAlign w:val="center"/>
            <w:hideMark/>
          </w:tcPr>
          <w:p w:rsidR="0026160E" w:rsidRPr="00843B23" w:rsidRDefault="0026160E" w:rsidP="0026160E">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14.880</w:t>
            </w:r>
          </w:p>
        </w:tc>
        <w:tc>
          <w:tcPr>
            <w:tcW w:w="808" w:type="dxa"/>
            <w:tcBorders>
              <w:top w:val="single" w:sz="4" w:space="0" w:color="auto"/>
            </w:tcBorders>
            <w:shd w:val="clear" w:color="auto" w:fill="auto"/>
            <w:noWrap/>
            <w:vAlign w:val="center"/>
            <w:hideMark/>
          </w:tcPr>
          <w:p w:rsidR="0026160E" w:rsidRPr="00843B23" w:rsidRDefault="0026160E" w:rsidP="0026160E">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15.990</w:t>
            </w:r>
          </w:p>
        </w:tc>
        <w:tc>
          <w:tcPr>
            <w:tcW w:w="897" w:type="dxa"/>
            <w:tcBorders>
              <w:top w:val="single" w:sz="4" w:space="0" w:color="auto"/>
            </w:tcBorders>
            <w:shd w:val="clear" w:color="auto" w:fill="auto"/>
            <w:noWrap/>
            <w:vAlign w:val="center"/>
            <w:hideMark/>
          </w:tcPr>
          <w:p w:rsidR="0026160E" w:rsidRPr="00843B23" w:rsidRDefault="0026160E" w:rsidP="0026160E">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19.290</w:t>
            </w:r>
          </w:p>
        </w:tc>
        <w:tc>
          <w:tcPr>
            <w:tcW w:w="808" w:type="dxa"/>
            <w:tcBorders>
              <w:top w:val="single" w:sz="4" w:space="0" w:color="auto"/>
            </w:tcBorders>
            <w:shd w:val="clear" w:color="auto" w:fill="auto"/>
            <w:noWrap/>
            <w:vAlign w:val="center"/>
            <w:hideMark/>
          </w:tcPr>
          <w:p w:rsidR="0026160E" w:rsidRPr="00843B23" w:rsidRDefault="0026160E" w:rsidP="0026160E">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19.812</w:t>
            </w:r>
          </w:p>
        </w:tc>
        <w:tc>
          <w:tcPr>
            <w:tcW w:w="719" w:type="dxa"/>
            <w:tcBorders>
              <w:top w:val="single" w:sz="4" w:space="0" w:color="auto"/>
            </w:tcBorders>
            <w:shd w:val="clear" w:color="auto" w:fill="auto"/>
            <w:noWrap/>
            <w:vAlign w:val="center"/>
            <w:hideMark/>
          </w:tcPr>
          <w:p w:rsidR="0026160E" w:rsidRPr="00843B23" w:rsidRDefault="0026160E" w:rsidP="0026160E">
            <w:pPr>
              <w:spacing w:after="0"/>
              <w:ind w:firstLine="0"/>
              <w:jc w:val="right"/>
              <w:rPr>
                <w:rFonts w:ascii="Arial Narrow" w:hAnsi="Arial Narrow" w:cs="Arial"/>
                <w:sz w:val="16"/>
                <w:szCs w:val="16"/>
                <w:lang w:eastAsia="es-ES"/>
              </w:rPr>
            </w:pPr>
          </w:p>
        </w:tc>
        <w:tc>
          <w:tcPr>
            <w:tcW w:w="660" w:type="dxa"/>
            <w:tcBorders>
              <w:top w:val="single" w:sz="4" w:space="0" w:color="auto"/>
            </w:tcBorders>
            <w:shd w:val="clear" w:color="auto" w:fill="auto"/>
            <w:noWrap/>
            <w:vAlign w:val="center"/>
            <w:hideMark/>
          </w:tcPr>
          <w:p w:rsidR="0026160E" w:rsidRPr="00843B23" w:rsidRDefault="0026160E" w:rsidP="0026160E">
            <w:pPr>
              <w:spacing w:after="0"/>
              <w:ind w:firstLine="0"/>
              <w:jc w:val="right"/>
              <w:rPr>
                <w:rFonts w:ascii="Arial Narrow" w:hAnsi="Arial Narrow" w:cs="Arial"/>
                <w:sz w:val="16"/>
                <w:szCs w:val="16"/>
                <w:lang w:eastAsia="es-ES"/>
              </w:rPr>
            </w:pPr>
          </w:p>
        </w:tc>
        <w:tc>
          <w:tcPr>
            <w:tcW w:w="650" w:type="dxa"/>
            <w:tcBorders>
              <w:top w:val="single" w:sz="4" w:space="0" w:color="auto"/>
            </w:tcBorders>
            <w:shd w:val="clear" w:color="auto" w:fill="auto"/>
            <w:noWrap/>
            <w:vAlign w:val="center"/>
            <w:hideMark/>
          </w:tcPr>
          <w:p w:rsidR="0026160E" w:rsidRPr="00843B23" w:rsidRDefault="0026160E" w:rsidP="0026160E">
            <w:pPr>
              <w:spacing w:after="0"/>
              <w:ind w:firstLine="0"/>
              <w:jc w:val="right"/>
              <w:rPr>
                <w:rFonts w:ascii="Arial Narrow" w:hAnsi="Arial Narrow" w:cs="Arial"/>
                <w:sz w:val="16"/>
                <w:szCs w:val="16"/>
                <w:lang w:eastAsia="es-ES"/>
              </w:rPr>
            </w:pPr>
          </w:p>
        </w:tc>
        <w:tc>
          <w:tcPr>
            <w:tcW w:w="808" w:type="dxa"/>
            <w:tcBorders>
              <w:top w:val="single" w:sz="4" w:space="0" w:color="auto"/>
            </w:tcBorders>
            <w:shd w:val="clear" w:color="auto" w:fill="auto"/>
            <w:noWrap/>
            <w:vAlign w:val="center"/>
          </w:tcPr>
          <w:p w:rsidR="0026160E" w:rsidRPr="00843B23" w:rsidRDefault="009A132F" w:rsidP="0026160E">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124.662</w:t>
            </w:r>
          </w:p>
        </w:tc>
      </w:tr>
      <w:tr w:rsidR="009A132F" w:rsidRPr="00843B23" w:rsidTr="00843B23">
        <w:trPr>
          <w:trHeight w:val="340"/>
          <w:jc w:val="center"/>
        </w:trPr>
        <w:tc>
          <w:tcPr>
            <w:tcW w:w="1391" w:type="dxa"/>
            <w:shd w:val="clear" w:color="auto" w:fill="auto"/>
            <w:noWrap/>
            <w:vAlign w:val="center"/>
            <w:hideMark/>
          </w:tcPr>
          <w:p w:rsidR="009A132F" w:rsidRPr="00843B23" w:rsidRDefault="009A132F" w:rsidP="00843B23">
            <w:pPr>
              <w:spacing w:after="0"/>
              <w:ind w:firstLine="0"/>
              <w:jc w:val="left"/>
              <w:rPr>
                <w:rFonts w:ascii="Arial Narrow" w:hAnsi="Arial Narrow" w:cs="Arial"/>
                <w:sz w:val="16"/>
                <w:szCs w:val="16"/>
                <w:lang w:eastAsia="es-ES"/>
              </w:rPr>
            </w:pPr>
            <w:r w:rsidRPr="00843B23">
              <w:rPr>
                <w:rFonts w:ascii="Arial Narrow" w:hAnsi="Arial Narrow" w:cs="Arial"/>
                <w:sz w:val="16"/>
                <w:szCs w:val="16"/>
                <w:lang w:eastAsia="es-ES"/>
              </w:rPr>
              <w:t>Publicidad. y propaganda</w:t>
            </w:r>
          </w:p>
        </w:tc>
        <w:tc>
          <w:tcPr>
            <w:tcW w:w="683" w:type="dxa"/>
            <w:shd w:val="clear" w:color="auto" w:fill="auto"/>
            <w:noWrap/>
            <w:vAlign w:val="center"/>
            <w:hideMark/>
          </w:tcPr>
          <w:p w:rsidR="009A132F" w:rsidRPr="00843B23" w:rsidRDefault="009A132F" w:rsidP="0026160E">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33.280</w:t>
            </w:r>
          </w:p>
        </w:tc>
        <w:tc>
          <w:tcPr>
            <w:tcW w:w="808" w:type="dxa"/>
            <w:shd w:val="clear" w:color="auto" w:fill="auto"/>
            <w:noWrap/>
            <w:vAlign w:val="center"/>
            <w:hideMark/>
          </w:tcPr>
          <w:p w:rsidR="009A132F" w:rsidRPr="00843B23" w:rsidRDefault="009A132F" w:rsidP="000C6073">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1.500.000</w:t>
            </w:r>
          </w:p>
        </w:tc>
        <w:tc>
          <w:tcPr>
            <w:tcW w:w="808" w:type="dxa"/>
            <w:shd w:val="clear" w:color="auto" w:fill="auto"/>
            <w:noWrap/>
            <w:vAlign w:val="center"/>
            <w:hideMark/>
          </w:tcPr>
          <w:p w:rsidR="009A132F" w:rsidRPr="00843B23" w:rsidRDefault="009A132F" w:rsidP="000C6073">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1.500.000</w:t>
            </w:r>
          </w:p>
        </w:tc>
        <w:tc>
          <w:tcPr>
            <w:tcW w:w="852" w:type="dxa"/>
            <w:shd w:val="clear" w:color="auto" w:fill="auto"/>
            <w:noWrap/>
            <w:vAlign w:val="center"/>
            <w:hideMark/>
          </w:tcPr>
          <w:p w:rsidR="009A132F" w:rsidRPr="00843B23" w:rsidRDefault="009A132F" w:rsidP="000C6073">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1.500.000</w:t>
            </w:r>
          </w:p>
        </w:tc>
        <w:tc>
          <w:tcPr>
            <w:tcW w:w="808" w:type="dxa"/>
            <w:shd w:val="clear" w:color="auto" w:fill="auto"/>
            <w:noWrap/>
            <w:vAlign w:val="center"/>
            <w:hideMark/>
          </w:tcPr>
          <w:p w:rsidR="009A132F" w:rsidRPr="00843B23" w:rsidRDefault="009A132F" w:rsidP="000C6073">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1.500.000</w:t>
            </w:r>
          </w:p>
        </w:tc>
        <w:tc>
          <w:tcPr>
            <w:tcW w:w="897" w:type="dxa"/>
            <w:shd w:val="clear" w:color="auto" w:fill="auto"/>
            <w:noWrap/>
            <w:vAlign w:val="center"/>
            <w:hideMark/>
          </w:tcPr>
          <w:p w:rsidR="009A132F" w:rsidRPr="00843B23" w:rsidRDefault="009A132F" w:rsidP="0026160E">
            <w:pPr>
              <w:spacing w:after="0"/>
              <w:ind w:firstLine="0"/>
              <w:jc w:val="right"/>
              <w:rPr>
                <w:rFonts w:ascii="Arial Narrow" w:hAnsi="Arial Narrow" w:cs="Arial"/>
                <w:sz w:val="16"/>
                <w:szCs w:val="16"/>
                <w:lang w:eastAsia="es-ES"/>
              </w:rPr>
            </w:pPr>
          </w:p>
        </w:tc>
        <w:tc>
          <w:tcPr>
            <w:tcW w:w="808" w:type="dxa"/>
            <w:shd w:val="clear" w:color="auto" w:fill="auto"/>
            <w:noWrap/>
            <w:vAlign w:val="center"/>
            <w:hideMark/>
          </w:tcPr>
          <w:p w:rsidR="009A132F" w:rsidRPr="00843B23" w:rsidRDefault="009A132F" w:rsidP="0026160E">
            <w:pPr>
              <w:spacing w:after="0"/>
              <w:ind w:firstLine="0"/>
              <w:jc w:val="right"/>
              <w:rPr>
                <w:rFonts w:ascii="Arial Narrow" w:hAnsi="Arial Narrow" w:cs="Arial"/>
                <w:sz w:val="16"/>
                <w:szCs w:val="16"/>
                <w:lang w:eastAsia="es-ES"/>
              </w:rPr>
            </w:pPr>
          </w:p>
        </w:tc>
        <w:tc>
          <w:tcPr>
            <w:tcW w:w="719" w:type="dxa"/>
            <w:shd w:val="clear" w:color="auto" w:fill="auto"/>
            <w:noWrap/>
            <w:vAlign w:val="center"/>
            <w:hideMark/>
          </w:tcPr>
          <w:p w:rsidR="009A132F" w:rsidRPr="00843B23" w:rsidRDefault="009A132F" w:rsidP="0026160E">
            <w:pPr>
              <w:spacing w:after="0"/>
              <w:ind w:firstLine="0"/>
              <w:jc w:val="right"/>
              <w:rPr>
                <w:rFonts w:ascii="Arial Narrow" w:hAnsi="Arial Narrow" w:cs="Arial"/>
                <w:sz w:val="16"/>
                <w:szCs w:val="16"/>
                <w:lang w:eastAsia="es-ES"/>
              </w:rPr>
            </w:pPr>
          </w:p>
        </w:tc>
        <w:tc>
          <w:tcPr>
            <w:tcW w:w="660" w:type="dxa"/>
            <w:shd w:val="clear" w:color="auto" w:fill="auto"/>
            <w:noWrap/>
            <w:vAlign w:val="center"/>
            <w:hideMark/>
          </w:tcPr>
          <w:p w:rsidR="009A132F" w:rsidRPr="00843B23" w:rsidRDefault="009A132F" w:rsidP="0026160E">
            <w:pPr>
              <w:spacing w:after="0"/>
              <w:ind w:firstLine="0"/>
              <w:jc w:val="right"/>
              <w:rPr>
                <w:rFonts w:ascii="Arial Narrow" w:hAnsi="Arial Narrow" w:cs="Arial"/>
                <w:sz w:val="16"/>
                <w:szCs w:val="16"/>
                <w:lang w:eastAsia="es-ES"/>
              </w:rPr>
            </w:pPr>
          </w:p>
        </w:tc>
        <w:tc>
          <w:tcPr>
            <w:tcW w:w="650" w:type="dxa"/>
            <w:shd w:val="clear" w:color="auto" w:fill="auto"/>
            <w:noWrap/>
            <w:vAlign w:val="center"/>
            <w:hideMark/>
          </w:tcPr>
          <w:p w:rsidR="009A132F" w:rsidRPr="00843B23" w:rsidRDefault="009A132F" w:rsidP="0026160E">
            <w:pPr>
              <w:spacing w:after="0"/>
              <w:ind w:firstLine="0"/>
              <w:jc w:val="right"/>
              <w:rPr>
                <w:rFonts w:ascii="Arial Narrow" w:hAnsi="Arial Narrow" w:cs="Arial"/>
                <w:sz w:val="16"/>
                <w:szCs w:val="16"/>
                <w:lang w:eastAsia="es-ES"/>
              </w:rPr>
            </w:pPr>
          </w:p>
        </w:tc>
        <w:tc>
          <w:tcPr>
            <w:tcW w:w="808" w:type="dxa"/>
            <w:shd w:val="clear" w:color="auto" w:fill="auto"/>
            <w:noWrap/>
            <w:vAlign w:val="center"/>
          </w:tcPr>
          <w:p w:rsidR="009A132F" w:rsidRPr="00843B23" w:rsidRDefault="009A132F" w:rsidP="009A132F">
            <w:pPr>
              <w:spacing w:after="0"/>
              <w:ind w:firstLine="0"/>
              <w:jc w:val="right"/>
              <w:rPr>
                <w:rFonts w:ascii="Arial Narrow" w:hAnsi="Arial Narrow"/>
                <w:color w:val="000000"/>
                <w:sz w:val="16"/>
                <w:szCs w:val="16"/>
                <w:lang w:val="es-ES" w:eastAsia="es-ES"/>
              </w:rPr>
            </w:pPr>
            <w:r w:rsidRPr="00843B23">
              <w:rPr>
                <w:rFonts w:ascii="Arial Narrow" w:hAnsi="Arial Narrow"/>
                <w:color w:val="000000"/>
                <w:sz w:val="16"/>
                <w:szCs w:val="16"/>
                <w:lang w:eastAsia="es-ES"/>
              </w:rPr>
              <w:t>6.033.280</w:t>
            </w:r>
          </w:p>
        </w:tc>
      </w:tr>
      <w:tr w:rsidR="009A132F" w:rsidRPr="00843B23" w:rsidTr="00843B23">
        <w:trPr>
          <w:trHeight w:val="340"/>
          <w:jc w:val="center"/>
        </w:trPr>
        <w:tc>
          <w:tcPr>
            <w:tcW w:w="1391" w:type="dxa"/>
            <w:shd w:val="clear" w:color="auto" w:fill="auto"/>
            <w:noWrap/>
            <w:vAlign w:val="center"/>
            <w:hideMark/>
          </w:tcPr>
          <w:p w:rsidR="009A132F" w:rsidRPr="00843B23" w:rsidRDefault="009A132F" w:rsidP="00843B23">
            <w:pPr>
              <w:spacing w:after="0"/>
              <w:ind w:firstLine="0"/>
              <w:jc w:val="left"/>
              <w:rPr>
                <w:rFonts w:ascii="Arial Narrow" w:hAnsi="Arial Narrow" w:cs="Arial"/>
                <w:sz w:val="16"/>
                <w:szCs w:val="16"/>
                <w:lang w:eastAsia="es-ES"/>
              </w:rPr>
            </w:pPr>
            <w:r w:rsidRPr="00843B23">
              <w:rPr>
                <w:rFonts w:ascii="Arial Narrow" w:hAnsi="Arial Narrow" w:cs="Arial"/>
                <w:sz w:val="16"/>
                <w:szCs w:val="16"/>
                <w:lang w:eastAsia="es-ES"/>
              </w:rPr>
              <w:t>Gastos diversos</w:t>
            </w:r>
          </w:p>
        </w:tc>
        <w:tc>
          <w:tcPr>
            <w:tcW w:w="683" w:type="dxa"/>
            <w:shd w:val="clear" w:color="auto" w:fill="auto"/>
            <w:noWrap/>
            <w:vAlign w:val="center"/>
            <w:hideMark/>
          </w:tcPr>
          <w:p w:rsidR="009A132F" w:rsidRPr="00843B23" w:rsidRDefault="009A132F" w:rsidP="0026160E">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52.200</w:t>
            </w:r>
          </w:p>
        </w:tc>
        <w:tc>
          <w:tcPr>
            <w:tcW w:w="808" w:type="dxa"/>
            <w:shd w:val="clear" w:color="auto" w:fill="auto"/>
            <w:noWrap/>
            <w:vAlign w:val="center"/>
            <w:hideMark/>
          </w:tcPr>
          <w:p w:rsidR="009A132F" w:rsidRPr="00843B23" w:rsidRDefault="009A132F" w:rsidP="0026160E">
            <w:pPr>
              <w:spacing w:after="0"/>
              <w:ind w:firstLine="0"/>
              <w:jc w:val="right"/>
              <w:rPr>
                <w:rFonts w:ascii="Arial Narrow" w:hAnsi="Arial Narrow" w:cs="Arial"/>
                <w:sz w:val="16"/>
                <w:szCs w:val="16"/>
                <w:lang w:eastAsia="es-ES"/>
              </w:rPr>
            </w:pPr>
          </w:p>
        </w:tc>
        <w:tc>
          <w:tcPr>
            <w:tcW w:w="808" w:type="dxa"/>
            <w:shd w:val="clear" w:color="auto" w:fill="auto"/>
            <w:noWrap/>
            <w:vAlign w:val="center"/>
            <w:hideMark/>
          </w:tcPr>
          <w:p w:rsidR="009A132F" w:rsidRPr="00843B23" w:rsidRDefault="009A132F" w:rsidP="0026160E">
            <w:pPr>
              <w:spacing w:after="0"/>
              <w:ind w:firstLine="0"/>
              <w:jc w:val="right"/>
              <w:rPr>
                <w:rFonts w:ascii="Arial Narrow" w:hAnsi="Arial Narrow" w:cs="Arial"/>
                <w:sz w:val="16"/>
                <w:szCs w:val="16"/>
                <w:lang w:eastAsia="es-ES"/>
              </w:rPr>
            </w:pPr>
          </w:p>
        </w:tc>
        <w:tc>
          <w:tcPr>
            <w:tcW w:w="852" w:type="dxa"/>
            <w:shd w:val="clear" w:color="auto" w:fill="auto"/>
            <w:noWrap/>
            <w:vAlign w:val="center"/>
            <w:hideMark/>
          </w:tcPr>
          <w:p w:rsidR="009A132F" w:rsidRPr="00843B23" w:rsidRDefault="009A132F" w:rsidP="0026160E">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880</w:t>
            </w:r>
          </w:p>
        </w:tc>
        <w:tc>
          <w:tcPr>
            <w:tcW w:w="808" w:type="dxa"/>
            <w:shd w:val="clear" w:color="auto" w:fill="auto"/>
            <w:noWrap/>
            <w:vAlign w:val="center"/>
            <w:hideMark/>
          </w:tcPr>
          <w:p w:rsidR="009A132F" w:rsidRPr="00843B23" w:rsidRDefault="009A132F" w:rsidP="0026160E">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1.980</w:t>
            </w:r>
          </w:p>
        </w:tc>
        <w:tc>
          <w:tcPr>
            <w:tcW w:w="897" w:type="dxa"/>
            <w:shd w:val="clear" w:color="auto" w:fill="auto"/>
            <w:noWrap/>
            <w:vAlign w:val="center"/>
            <w:hideMark/>
          </w:tcPr>
          <w:p w:rsidR="009A132F" w:rsidRPr="00843B23" w:rsidRDefault="009A132F" w:rsidP="0026160E">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1.532.690</w:t>
            </w:r>
          </w:p>
        </w:tc>
        <w:tc>
          <w:tcPr>
            <w:tcW w:w="808" w:type="dxa"/>
            <w:shd w:val="clear" w:color="auto" w:fill="auto"/>
            <w:noWrap/>
            <w:vAlign w:val="center"/>
            <w:hideMark/>
          </w:tcPr>
          <w:p w:rsidR="009A132F" w:rsidRPr="00843B23" w:rsidRDefault="009A132F" w:rsidP="0026160E">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1.566.030</w:t>
            </w:r>
          </w:p>
        </w:tc>
        <w:tc>
          <w:tcPr>
            <w:tcW w:w="719" w:type="dxa"/>
            <w:shd w:val="clear" w:color="auto" w:fill="auto"/>
            <w:noWrap/>
            <w:vAlign w:val="center"/>
            <w:hideMark/>
          </w:tcPr>
          <w:p w:rsidR="009A132F" w:rsidRPr="00843B23" w:rsidRDefault="009A132F" w:rsidP="0026160E">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360</w:t>
            </w:r>
          </w:p>
        </w:tc>
        <w:tc>
          <w:tcPr>
            <w:tcW w:w="660" w:type="dxa"/>
            <w:shd w:val="clear" w:color="auto" w:fill="auto"/>
            <w:noWrap/>
            <w:vAlign w:val="center"/>
            <w:hideMark/>
          </w:tcPr>
          <w:p w:rsidR="009A132F" w:rsidRPr="00843B23" w:rsidRDefault="009A132F" w:rsidP="0026160E">
            <w:pPr>
              <w:spacing w:after="0"/>
              <w:ind w:firstLine="0"/>
              <w:jc w:val="right"/>
              <w:rPr>
                <w:rFonts w:ascii="Arial Narrow" w:hAnsi="Arial Narrow" w:cs="Arial"/>
                <w:sz w:val="16"/>
                <w:szCs w:val="16"/>
                <w:lang w:eastAsia="es-ES"/>
              </w:rPr>
            </w:pPr>
          </w:p>
        </w:tc>
        <w:tc>
          <w:tcPr>
            <w:tcW w:w="650" w:type="dxa"/>
            <w:shd w:val="clear" w:color="auto" w:fill="auto"/>
            <w:noWrap/>
            <w:vAlign w:val="center"/>
            <w:hideMark/>
          </w:tcPr>
          <w:p w:rsidR="009A132F" w:rsidRPr="00843B23" w:rsidRDefault="009A132F" w:rsidP="0026160E">
            <w:pPr>
              <w:spacing w:after="0"/>
              <w:ind w:firstLine="0"/>
              <w:jc w:val="right"/>
              <w:rPr>
                <w:rFonts w:ascii="Arial Narrow" w:hAnsi="Arial Narrow" w:cs="Arial"/>
                <w:sz w:val="16"/>
                <w:szCs w:val="16"/>
                <w:lang w:eastAsia="es-ES"/>
              </w:rPr>
            </w:pPr>
          </w:p>
        </w:tc>
        <w:tc>
          <w:tcPr>
            <w:tcW w:w="808" w:type="dxa"/>
            <w:shd w:val="clear" w:color="auto" w:fill="auto"/>
            <w:noWrap/>
            <w:vAlign w:val="center"/>
          </w:tcPr>
          <w:p w:rsidR="009A132F" w:rsidRPr="00843B23" w:rsidRDefault="009A132F" w:rsidP="009A132F">
            <w:pPr>
              <w:spacing w:after="0"/>
              <w:ind w:firstLine="0"/>
              <w:jc w:val="right"/>
              <w:rPr>
                <w:rFonts w:ascii="Arial Narrow" w:hAnsi="Arial Narrow"/>
                <w:color w:val="000000"/>
                <w:sz w:val="16"/>
                <w:szCs w:val="16"/>
                <w:lang w:val="es-ES" w:eastAsia="es-ES"/>
              </w:rPr>
            </w:pPr>
            <w:r w:rsidRPr="00843B23">
              <w:rPr>
                <w:rFonts w:ascii="Arial Narrow" w:hAnsi="Arial Narrow"/>
                <w:color w:val="000000"/>
                <w:sz w:val="16"/>
                <w:szCs w:val="16"/>
                <w:lang w:eastAsia="es-ES"/>
              </w:rPr>
              <w:t>3.154.140</w:t>
            </w:r>
          </w:p>
        </w:tc>
      </w:tr>
      <w:tr w:rsidR="009A132F" w:rsidRPr="00843B23" w:rsidTr="00843B23">
        <w:trPr>
          <w:trHeight w:val="340"/>
          <w:jc w:val="center"/>
        </w:trPr>
        <w:tc>
          <w:tcPr>
            <w:tcW w:w="1391" w:type="dxa"/>
            <w:shd w:val="clear" w:color="auto" w:fill="auto"/>
            <w:noWrap/>
            <w:vAlign w:val="center"/>
          </w:tcPr>
          <w:p w:rsidR="009A132F" w:rsidRPr="00843B23" w:rsidRDefault="009A132F" w:rsidP="00843B23">
            <w:pPr>
              <w:spacing w:after="0"/>
              <w:ind w:firstLine="0"/>
              <w:jc w:val="left"/>
              <w:rPr>
                <w:rFonts w:ascii="Arial Narrow" w:hAnsi="Arial Narrow" w:cs="Arial"/>
                <w:i/>
                <w:sz w:val="16"/>
                <w:szCs w:val="16"/>
                <w:lang w:eastAsia="es-ES"/>
              </w:rPr>
            </w:pPr>
            <w:r w:rsidRPr="00843B23">
              <w:rPr>
                <w:rFonts w:ascii="Arial Narrow" w:hAnsi="Arial Narrow" w:cs="Arial"/>
                <w:i/>
                <w:sz w:val="16"/>
                <w:szCs w:val="16"/>
                <w:lang w:eastAsia="es-ES"/>
              </w:rPr>
              <w:t>Capítulo 4</w:t>
            </w:r>
          </w:p>
        </w:tc>
        <w:tc>
          <w:tcPr>
            <w:tcW w:w="683" w:type="dxa"/>
            <w:shd w:val="clear" w:color="auto" w:fill="auto"/>
            <w:noWrap/>
            <w:vAlign w:val="center"/>
          </w:tcPr>
          <w:p w:rsidR="009A132F" w:rsidRPr="00843B23" w:rsidRDefault="009A132F" w:rsidP="0026160E">
            <w:pPr>
              <w:spacing w:after="0"/>
              <w:ind w:firstLine="0"/>
              <w:jc w:val="right"/>
              <w:rPr>
                <w:rFonts w:ascii="Arial Narrow" w:hAnsi="Arial Narrow" w:cs="Arial"/>
                <w:sz w:val="16"/>
                <w:szCs w:val="16"/>
                <w:lang w:eastAsia="es-ES"/>
              </w:rPr>
            </w:pPr>
          </w:p>
        </w:tc>
        <w:tc>
          <w:tcPr>
            <w:tcW w:w="808" w:type="dxa"/>
            <w:shd w:val="clear" w:color="auto" w:fill="auto"/>
            <w:noWrap/>
            <w:vAlign w:val="center"/>
          </w:tcPr>
          <w:p w:rsidR="009A132F" w:rsidRPr="00843B23" w:rsidRDefault="009A132F" w:rsidP="0026160E">
            <w:pPr>
              <w:spacing w:after="0"/>
              <w:ind w:firstLine="0"/>
              <w:jc w:val="right"/>
              <w:rPr>
                <w:rFonts w:ascii="Arial Narrow" w:hAnsi="Arial Narrow" w:cs="Arial"/>
                <w:sz w:val="16"/>
                <w:szCs w:val="16"/>
                <w:lang w:eastAsia="es-ES"/>
              </w:rPr>
            </w:pPr>
          </w:p>
        </w:tc>
        <w:tc>
          <w:tcPr>
            <w:tcW w:w="808" w:type="dxa"/>
            <w:shd w:val="clear" w:color="auto" w:fill="auto"/>
            <w:noWrap/>
            <w:vAlign w:val="center"/>
          </w:tcPr>
          <w:p w:rsidR="009A132F" w:rsidRPr="00843B23" w:rsidRDefault="009A132F" w:rsidP="0026160E">
            <w:pPr>
              <w:spacing w:after="0"/>
              <w:ind w:firstLine="0"/>
              <w:jc w:val="right"/>
              <w:rPr>
                <w:rFonts w:ascii="Arial Narrow" w:hAnsi="Arial Narrow" w:cs="Arial"/>
                <w:sz w:val="16"/>
                <w:szCs w:val="16"/>
                <w:lang w:eastAsia="es-ES"/>
              </w:rPr>
            </w:pPr>
          </w:p>
        </w:tc>
        <w:tc>
          <w:tcPr>
            <w:tcW w:w="852" w:type="dxa"/>
            <w:shd w:val="clear" w:color="auto" w:fill="auto"/>
            <w:noWrap/>
            <w:vAlign w:val="center"/>
          </w:tcPr>
          <w:p w:rsidR="009A132F" w:rsidRPr="00843B23" w:rsidRDefault="009A132F" w:rsidP="0026160E">
            <w:pPr>
              <w:spacing w:after="0"/>
              <w:ind w:firstLine="0"/>
              <w:jc w:val="right"/>
              <w:rPr>
                <w:rFonts w:ascii="Arial Narrow" w:hAnsi="Arial Narrow" w:cs="Arial"/>
                <w:sz w:val="16"/>
                <w:szCs w:val="16"/>
                <w:lang w:eastAsia="es-ES"/>
              </w:rPr>
            </w:pPr>
          </w:p>
        </w:tc>
        <w:tc>
          <w:tcPr>
            <w:tcW w:w="808" w:type="dxa"/>
            <w:shd w:val="clear" w:color="auto" w:fill="auto"/>
            <w:noWrap/>
            <w:vAlign w:val="center"/>
          </w:tcPr>
          <w:p w:rsidR="009A132F" w:rsidRPr="00843B23" w:rsidRDefault="009A132F" w:rsidP="0026160E">
            <w:pPr>
              <w:spacing w:after="0"/>
              <w:ind w:firstLine="0"/>
              <w:jc w:val="right"/>
              <w:rPr>
                <w:rFonts w:ascii="Arial Narrow" w:hAnsi="Arial Narrow" w:cs="Arial"/>
                <w:sz w:val="16"/>
                <w:szCs w:val="16"/>
                <w:lang w:eastAsia="es-ES"/>
              </w:rPr>
            </w:pPr>
          </w:p>
        </w:tc>
        <w:tc>
          <w:tcPr>
            <w:tcW w:w="897" w:type="dxa"/>
            <w:shd w:val="clear" w:color="auto" w:fill="auto"/>
            <w:noWrap/>
            <w:vAlign w:val="center"/>
          </w:tcPr>
          <w:p w:rsidR="009A132F" w:rsidRPr="00843B23" w:rsidRDefault="009A132F" w:rsidP="0026160E">
            <w:pPr>
              <w:spacing w:after="0"/>
              <w:ind w:firstLine="0"/>
              <w:jc w:val="right"/>
              <w:rPr>
                <w:rFonts w:ascii="Arial Narrow" w:hAnsi="Arial Narrow" w:cs="Arial"/>
                <w:sz w:val="16"/>
                <w:szCs w:val="16"/>
                <w:lang w:eastAsia="es-ES"/>
              </w:rPr>
            </w:pPr>
          </w:p>
        </w:tc>
        <w:tc>
          <w:tcPr>
            <w:tcW w:w="808" w:type="dxa"/>
            <w:shd w:val="clear" w:color="auto" w:fill="auto"/>
            <w:noWrap/>
            <w:vAlign w:val="center"/>
          </w:tcPr>
          <w:p w:rsidR="009A132F" w:rsidRPr="00843B23" w:rsidRDefault="009A132F" w:rsidP="0026160E">
            <w:pPr>
              <w:spacing w:after="0"/>
              <w:ind w:firstLine="0"/>
              <w:jc w:val="right"/>
              <w:rPr>
                <w:rFonts w:ascii="Arial Narrow" w:hAnsi="Arial Narrow" w:cs="Arial"/>
                <w:sz w:val="16"/>
                <w:szCs w:val="16"/>
                <w:lang w:eastAsia="es-ES"/>
              </w:rPr>
            </w:pPr>
          </w:p>
        </w:tc>
        <w:tc>
          <w:tcPr>
            <w:tcW w:w="719" w:type="dxa"/>
            <w:shd w:val="clear" w:color="auto" w:fill="auto"/>
            <w:noWrap/>
            <w:vAlign w:val="center"/>
          </w:tcPr>
          <w:p w:rsidR="009A132F" w:rsidRPr="00843B23" w:rsidRDefault="009A132F" w:rsidP="0026160E">
            <w:pPr>
              <w:spacing w:after="0"/>
              <w:ind w:firstLine="0"/>
              <w:jc w:val="right"/>
              <w:rPr>
                <w:rFonts w:ascii="Arial Narrow" w:hAnsi="Arial Narrow" w:cs="Arial"/>
                <w:sz w:val="16"/>
                <w:szCs w:val="16"/>
                <w:lang w:eastAsia="es-ES"/>
              </w:rPr>
            </w:pPr>
          </w:p>
        </w:tc>
        <w:tc>
          <w:tcPr>
            <w:tcW w:w="660" w:type="dxa"/>
            <w:shd w:val="clear" w:color="auto" w:fill="auto"/>
            <w:noWrap/>
            <w:vAlign w:val="center"/>
          </w:tcPr>
          <w:p w:rsidR="009A132F" w:rsidRPr="00843B23" w:rsidRDefault="009A132F" w:rsidP="0026160E">
            <w:pPr>
              <w:spacing w:after="0"/>
              <w:ind w:firstLine="0"/>
              <w:jc w:val="right"/>
              <w:rPr>
                <w:rFonts w:ascii="Arial Narrow" w:hAnsi="Arial Narrow" w:cs="Arial"/>
                <w:sz w:val="16"/>
                <w:szCs w:val="16"/>
                <w:lang w:eastAsia="es-ES"/>
              </w:rPr>
            </w:pPr>
          </w:p>
        </w:tc>
        <w:tc>
          <w:tcPr>
            <w:tcW w:w="650" w:type="dxa"/>
            <w:shd w:val="clear" w:color="auto" w:fill="auto"/>
            <w:noWrap/>
            <w:vAlign w:val="center"/>
          </w:tcPr>
          <w:p w:rsidR="009A132F" w:rsidRPr="00843B23" w:rsidRDefault="009A132F" w:rsidP="0026160E">
            <w:pPr>
              <w:spacing w:after="0"/>
              <w:ind w:firstLine="0"/>
              <w:jc w:val="right"/>
              <w:rPr>
                <w:rFonts w:ascii="Arial Narrow" w:hAnsi="Arial Narrow" w:cs="Arial"/>
                <w:sz w:val="16"/>
                <w:szCs w:val="16"/>
                <w:lang w:eastAsia="es-ES"/>
              </w:rPr>
            </w:pPr>
          </w:p>
        </w:tc>
        <w:tc>
          <w:tcPr>
            <w:tcW w:w="808" w:type="dxa"/>
            <w:shd w:val="clear" w:color="auto" w:fill="auto"/>
            <w:noWrap/>
            <w:vAlign w:val="center"/>
          </w:tcPr>
          <w:p w:rsidR="009A132F" w:rsidRPr="00843B23" w:rsidRDefault="009A132F" w:rsidP="0026160E">
            <w:pPr>
              <w:spacing w:after="0"/>
              <w:ind w:firstLine="0"/>
              <w:jc w:val="right"/>
              <w:rPr>
                <w:rFonts w:ascii="Arial Narrow" w:hAnsi="Arial Narrow" w:cs="Arial"/>
                <w:sz w:val="16"/>
                <w:szCs w:val="16"/>
                <w:lang w:eastAsia="es-ES"/>
              </w:rPr>
            </w:pPr>
          </w:p>
        </w:tc>
      </w:tr>
      <w:tr w:rsidR="009A132F" w:rsidRPr="00843B23" w:rsidTr="00843B23">
        <w:trPr>
          <w:trHeight w:val="340"/>
          <w:jc w:val="center"/>
        </w:trPr>
        <w:tc>
          <w:tcPr>
            <w:tcW w:w="1391" w:type="dxa"/>
            <w:shd w:val="clear" w:color="auto" w:fill="auto"/>
            <w:noWrap/>
            <w:vAlign w:val="center"/>
            <w:hideMark/>
          </w:tcPr>
          <w:p w:rsidR="00843B23" w:rsidRDefault="009A132F" w:rsidP="00843B23">
            <w:pPr>
              <w:spacing w:after="0"/>
              <w:ind w:firstLine="0"/>
              <w:jc w:val="left"/>
              <w:rPr>
                <w:rFonts w:ascii="Arial Narrow" w:hAnsi="Arial Narrow" w:cs="Arial"/>
                <w:sz w:val="16"/>
                <w:szCs w:val="16"/>
                <w:lang w:eastAsia="es-ES"/>
              </w:rPr>
            </w:pPr>
            <w:r w:rsidRPr="00843B23">
              <w:rPr>
                <w:rFonts w:ascii="Arial Narrow" w:hAnsi="Arial Narrow" w:cs="Arial"/>
                <w:sz w:val="16"/>
                <w:szCs w:val="16"/>
                <w:lang w:eastAsia="es-ES"/>
              </w:rPr>
              <w:t xml:space="preserve">Plan empleo: </w:t>
            </w:r>
          </w:p>
          <w:p w:rsidR="009A132F" w:rsidRPr="00843B23" w:rsidRDefault="009A132F" w:rsidP="00843B23">
            <w:pPr>
              <w:spacing w:after="0"/>
              <w:ind w:firstLine="0"/>
              <w:jc w:val="left"/>
              <w:rPr>
                <w:rFonts w:ascii="Arial Narrow" w:hAnsi="Arial Narrow" w:cs="Arial"/>
                <w:sz w:val="16"/>
                <w:szCs w:val="16"/>
                <w:lang w:eastAsia="es-ES"/>
              </w:rPr>
            </w:pPr>
            <w:r w:rsidRPr="00843B23">
              <w:rPr>
                <w:rFonts w:ascii="Arial Narrow" w:hAnsi="Arial Narrow" w:cs="Arial"/>
                <w:sz w:val="16"/>
                <w:szCs w:val="16"/>
                <w:lang w:eastAsia="es-ES"/>
              </w:rPr>
              <w:t>Subvenciones</w:t>
            </w:r>
          </w:p>
        </w:tc>
        <w:tc>
          <w:tcPr>
            <w:tcW w:w="683" w:type="dxa"/>
            <w:shd w:val="clear" w:color="auto" w:fill="auto"/>
            <w:noWrap/>
            <w:vAlign w:val="center"/>
            <w:hideMark/>
          </w:tcPr>
          <w:p w:rsidR="009A132F" w:rsidRPr="00843B23" w:rsidRDefault="009A132F" w:rsidP="0026160E">
            <w:pPr>
              <w:spacing w:after="0"/>
              <w:ind w:firstLine="0"/>
              <w:jc w:val="right"/>
              <w:rPr>
                <w:rFonts w:ascii="Arial Narrow" w:hAnsi="Arial Narrow" w:cs="Arial"/>
                <w:sz w:val="16"/>
                <w:szCs w:val="16"/>
                <w:lang w:eastAsia="es-ES"/>
              </w:rPr>
            </w:pPr>
          </w:p>
        </w:tc>
        <w:tc>
          <w:tcPr>
            <w:tcW w:w="808" w:type="dxa"/>
            <w:shd w:val="clear" w:color="auto" w:fill="auto"/>
            <w:noWrap/>
            <w:vAlign w:val="center"/>
            <w:hideMark/>
          </w:tcPr>
          <w:p w:rsidR="009A132F" w:rsidRPr="00843B23" w:rsidRDefault="009A132F" w:rsidP="0026160E">
            <w:pPr>
              <w:spacing w:after="0"/>
              <w:ind w:firstLine="0"/>
              <w:jc w:val="right"/>
              <w:rPr>
                <w:rFonts w:ascii="Arial Narrow" w:hAnsi="Arial Narrow" w:cs="Arial"/>
                <w:sz w:val="16"/>
                <w:szCs w:val="16"/>
                <w:lang w:eastAsia="es-ES"/>
              </w:rPr>
            </w:pPr>
          </w:p>
        </w:tc>
        <w:tc>
          <w:tcPr>
            <w:tcW w:w="808" w:type="dxa"/>
            <w:shd w:val="clear" w:color="auto" w:fill="auto"/>
            <w:noWrap/>
            <w:vAlign w:val="center"/>
            <w:hideMark/>
          </w:tcPr>
          <w:p w:rsidR="009A132F" w:rsidRPr="00843B23" w:rsidRDefault="009A132F" w:rsidP="0026160E">
            <w:pPr>
              <w:spacing w:after="0"/>
              <w:ind w:firstLine="0"/>
              <w:jc w:val="right"/>
              <w:rPr>
                <w:rFonts w:ascii="Arial Narrow" w:hAnsi="Arial Narrow" w:cs="Arial"/>
                <w:sz w:val="16"/>
                <w:szCs w:val="16"/>
                <w:lang w:eastAsia="es-ES"/>
              </w:rPr>
            </w:pPr>
          </w:p>
        </w:tc>
        <w:tc>
          <w:tcPr>
            <w:tcW w:w="852" w:type="dxa"/>
            <w:shd w:val="clear" w:color="auto" w:fill="auto"/>
            <w:noWrap/>
            <w:vAlign w:val="center"/>
            <w:hideMark/>
          </w:tcPr>
          <w:p w:rsidR="009A132F" w:rsidRPr="00843B23" w:rsidRDefault="009A132F" w:rsidP="0026160E">
            <w:pPr>
              <w:spacing w:after="0"/>
              <w:ind w:firstLine="0"/>
              <w:jc w:val="right"/>
              <w:rPr>
                <w:rFonts w:ascii="Arial Narrow" w:hAnsi="Arial Narrow" w:cs="Arial"/>
                <w:sz w:val="16"/>
                <w:szCs w:val="16"/>
                <w:lang w:eastAsia="es-ES"/>
              </w:rPr>
            </w:pPr>
          </w:p>
        </w:tc>
        <w:tc>
          <w:tcPr>
            <w:tcW w:w="808" w:type="dxa"/>
            <w:shd w:val="clear" w:color="auto" w:fill="auto"/>
            <w:noWrap/>
            <w:vAlign w:val="center"/>
            <w:hideMark/>
          </w:tcPr>
          <w:p w:rsidR="009A132F" w:rsidRPr="00843B23" w:rsidRDefault="009A132F" w:rsidP="0026160E">
            <w:pPr>
              <w:spacing w:after="0"/>
              <w:ind w:firstLine="0"/>
              <w:jc w:val="right"/>
              <w:rPr>
                <w:rFonts w:ascii="Arial Narrow" w:hAnsi="Arial Narrow" w:cs="Arial"/>
                <w:sz w:val="16"/>
                <w:szCs w:val="16"/>
                <w:lang w:eastAsia="es-ES"/>
              </w:rPr>
            </w:pPr>
          </w:p>
        </w:tc>
        <w:tc>
          <w:tcPr>
            <w:tcW w:w="897" w:type="dxa"/>
            <w:shd w:val="clear" w:color="auto" w:fill="auto"/>
            <w:noWrap/>
            <w:vAlign w:val="center"/>
            <w:hideMark/>
          </w:tcPr>
          <w:p w:rsidR="009A132F" w:rsidRPr="00843B23" w:rsidRDefault="009A132F" w:rsidP="0026160E">
            <w:pPr>
              <w:spacing w:after="0"/>
              <w:ind w:firstLine="0"/>
              <w:jc w:val="right"/>
              <w:rPr>
                <w:rFonts w:ascii="Arial Narrow" w:hAnsi="Arial Narrow" w:cs="Arial"/>
                <w:sz w:val="16"/>
                <w:szCs w:val="16"/>
                <w:lang w:eastAsia="es-ES"/>
              </w:rPr>
            </w:pPr>
          </w:p>
        </w:tc>
        <w:tc>
          <w:tcPr>
            <w:tcW w:w="808" w:type="dxa"/>
            <w:shd w:val="clear" w:color="auto" w:fill="auto"/>
            <w:noWrap/>
            <w:vAlign w:val="center"/>
            <w:hideMark/>
          </w:tcPr>
          <w:p w:rsidR="009A132F" w:rsidRPr="00843B23" w:rsidRDefault="009A132F" w:rsidP="0026160E">
            <w:pPr>
              <w:spacing w:after="0"/>
              <w:ind w:firstLine="0"/>
              <w:jc w:val="right"/>
              <w:rPr>
                <w:rFonts w:ascii="Arial Narrow" w:hAnsi="Arial Narrow" w:cs="Arial"/>
                <w:sz w:val="16"/>
                <w:szCs w:val="16"/>
                <w:lang w:eastAsia="es-ES"/>
              </w:rPr>
            </w:pPr>
          </w:p>
        </w:tc>
        <w:tc>
          <w:tcPr>
            <w:tcW w:w="719" w:type="dxa"/>
            <w:shd w:val="clear" w:color="auto" w:fill="auto"/>
            <w:noWrap/>
            <w:vAlign w:val="center"/>
            <w:hideMark/>
          </w:tcPr>
          <w:p w:rsidR="009A132F" w:rsidRPr="00843B23" w:rsidRDefault="009A132F" w:rsidP="0026160E">
            <w:pPr>
              <w:spacing w:after="0"/>
              <w:ind w:firstLine="0"/>
              <w:jc w:val="right"/>
              <w:rPr>
                <w:rFonts w:ascii="Arial Narrow" w:hAnsi="Arial Narrow" w:cs="Arial"/>
                <w:sz w:val="16"/>
                <w:szCs w:val="16"/>
                <w:lang w:eastAsia="es-ES"/>
              </w:rPr>
            </w:pPr>
          </w:p>
        </w:tc>
        <w:tc>
          <w:tcPr>
            <w:tcW w:w="660" w:type="dxa"/>
            <w:shd w:val="clear" w:color="auto" w:fill="auto"/>
            <w:noWrap/>
            <w:vAlign w:val="center"/>
            <w:hideMark/>
          </w:tcPr>
          <w:p w:rsidR="009A132F" w:rsidRPr="00843B23" w:rsidRDefault="009A132F" w:rsidP="0026160E">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4.000</w:t>
            </w:r>
          </w:p>
        </w:tc>
        <w:tc>
          <w:tcPr>
            <w:tcW w:w="650" w:type="dxa"/>
            <w:shd w:val="clear" w:color="auto" w:fill="auto"/>
            <w:noWrap/>
            <w:vAlign w:val="center"/>
            <w:hideMark/>
          </w:tcPr>
          <w:p w:rsidR="009A132F" w:rsidRPr="00843B23" w:rsidRDefault="009A132F" w:rsidP="0026160E">
            <w:pPr>
              <w:spacing w:after="0"/>
              <w:ind w:firstLine="0"/>
              <w:jc w:val="right"/>
              <w:rPr>
                <w:rFonts w:ascii="Arial Narrow" w:hAnsi="Arial Narrow" w:cs="Arial"/>
                <w:sz w:val="16"/>
                <w:szCs w:val="16"/>
                <w:lang w:eastAsia="es-ES"/>
              </w:rPr>
            </w:pPr>
          </w:p>
        </w:tc>
        <w:tc>
          <w:tcPr>
            <w:tcW w:w="808" w:type="dxa"/>
            <w:shd w:val="clear" w:color="auto" w:fill="auto"/>
            <w:noWrap/>
            <w:vAlign w:val="center"/>
          </w:tcPr>
          <w:p w:rsidR="009A132F" w:rsidRPr="00843B23" w:rsidRDefault="009A132F" w:rsidP="0026160E">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4.000</w:t>
            </w:r>
          </w:p>
        </w:tc>
      </w:tr>
      <w:tr w:rsidR="009A132F" w:rsidRPr="00843B23" w:rsidTr="00843B23">
        <w:trPr>
          <w:trHeight w:val="340"/>
          <w:jc w:val="center"/>
        </w:trPr>
        <w:tc>
          <w:tcPr>
            <w:tcW w:w="1391" w:type="dxa"/>
            <w:shd w:val="clear" w:color="auto" w:fill="auto"/>
            <w:noWrap/>
            <w:vAlign w:val="center"/>
            <w:hideMark/>
          </w:tcPr>
          <w:p w:rsidR="009A132F" w:rsidRPr="00843B23" w:rsidRDefault="009A132F" w:rsidP="00843B23">
            <w:pPr>
              <w:spacing w:after="0"/>
              <w:ind w:firstLine="0"/>
              <w:jc w:val="left"/>
              <w:rPr>
                <w:rFonts w:ascii="Arial Narrow" w:hAnsi="Arial Narrow" w:cs="Arial"/>
                <w:sz w:val="16"/>
                <w:szCs w:val="16"/>
                <w:lang w:eastAsia="es-ES"/>
              </w:rPr>
            </w:pPr>
            <w:r w:rsidRPr="00843B23">
              <w:rPr>
                <w:rFonts w:ascii="Arial Narrow" w:hAnsi="Arial Narrow" w:cs="Arial"/>
                <w:sz w:val="16"/>
                <w:szCs w:val="16"/>
                <w:lang w:eastAsia="es-ES"/>
              </w:rPr>
              <w:t xml:space="preserve">Ayudas  a entidades. deportivas </w:t>
            </w:r>
          </w:p>
        </w:tc>
        <w:tc>
          <w:tcPr>
            <w:tcW w:w="683" w:type="dxa"/>
            <w:shd w:val="clear" w:color="auto" w:fill="auto"/>
            <w:noWrap/>
            <w:vAlign w:val="center"/>
            <w:hideMark/>
          </w:tcPr>
          <w:p w:rsidR="009A132F" w:rsidRPr="00843B23" w:rsidRDefault="009A132F" w:rsidP="0026160E">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25.339</w:t>
            </w:r>
          </w:p>
        </w:tc>
        <w:tc>
          <w:tcPr>
            <w:tcW w:w="808" w:type="dxa"/>
            <w:shd w:val="clear" w:color="auto" w:fill="auto"/>
            <w:noWrap/>
            <w:vAlign w:val="center"/>
            <w:hideMark/>
          </w:tcPr>
          <w:p w:rsidR="009A132F" w:rsidRPr="00843B23" w:rsidRDefault="009A132F" w:rsidP="0026160E">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37.420</w:t>
            </w:r>
          </w:p>
        </w:tc>
        <w:tc>
          <w:tcPr>
            <w:tcW w:w="808" w:type="dxa"/>
            <w:shd w:val="clear" w:color="auto" w:fill="auto"/>
            <w:noWrap/>
            <w:vAlign w:val="center"/>
            <w:hideMark/>
          </w:tcPr>
          <w:p w:rsidR="009A132F" w:rsidRPr="00843B23" w:rsidRDefault="009A132F" w:rsidP="0026160E">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40.000</w:t>
            </w:r>
          </w:p>
        </w:tc>
        <w:tc>
          <w:tcPr>
            <w:tcW w:w="852" w:type="dxa"/>
            <w:shd w:val="clear" w:color="auto" w:fill="auto"/>
            <w:noWrap/>
            <w:vAlign w:val="center"/>
          </w:tcPr>
          <w:p w:rsidR="009A132F" w:rsidRPr="00843B23" w:rsidRDefault="009A132F" w:rsidP="000C6073">
            <w:pPr>
              <w:spacing w:after="0"/>
              <w:ind w:firstLine="0"/>
              <w:jc w:val="right"/>
              <w:rPr>
                <w:rFonts w:ascii="Arial Narrow" w:hAnsi="Arial Narrow" w:cs="Arial"/>
                <w:sz w:val="16"/>
                <w:szCs w:val="16"/>
                <w:lang w:eastAsia="es-ES"/>
              </w:rPr>
            </w:pPr>
          </w:p>
        </w:tc>
        <w:tc>
          <w:tcPr>
            <w:tcW w:w="808" w:type="dxa"/>
            <w:shd w:val="clear" w:color="auto" w:fill="auto"/>
            <w:noWrap/>
            <w:vAlign w:val="center"/>
          </w:tcPr>
          <w:p w:rsidR="009A132F" w:rsidRPr="00843B23" w:rsidRDefault="009A132F" w:rsidP="000C6073">
            <w:pPr>
              <w:spacing w:after="0"/>
              <w:ind w:firstLine="0"/>
              <w:jc w:val="right"/>
              <w:rPr>
                <w:rFonts w:ascii="Arial Narrow" w:hAnsi="Arial Narrow" w:cs="Arial"/>
                <w:sz w:val="16"/>
                <w:szCs w:val="16"/>
                <w:lang w:eastAsia="es-ES"/>
              </w:rPr>
            </w:pPr>
          </w:p>
        </w:tc>
        <w:tc>
          <w:tcPr>
            <w:tcW w:w="897" w:type="dxa"/>
            <w:shd w:val="clear" w:color="auto" w:fill="auto"/>
            <w:noWrap/>
            <w:vAlign w:val="center"/>
          </w:tcPr>
          <w:p w:rsidR="009A132F" w:rsidRPr="00843B23" w:rsidRDefault="009A132F" w:rsidP="000C6073">
            <w:pPr>
              <w:spacing w:after="0"/>
              <w:ind w:firstLine="0"/>
              <w:jc w:val="right"/>
              <w:rPr>
                <w:rFonts w:ascii="Arial Narrow" w:hAnsi="Arial Narrow" w:cs="Arial"/>
                <w:sz w:val="16"/>
                <w:szCs w:val="16"/>
                <w:lang w:eastAsia="es-ES"/>
              </w:rPr>
            </w:pPr>
          </w:p>
        </w:tc>
        <w:tc>
          <w:tcPr>
            <w:tcW w:w="808" w:type="dxa"/>
            <w:shd w:val="clear" w:color="auto" w:fill="auto"/>
            <w:noWrap/>
            <w:vAlign w:val="center"/>
          </w:tcPr>
          <w:p w:rsidR="009A132F" w:rsidRPr="00843B23" w:rsidRDefault="009A132F" w:rsidP="000C6073">
            <w:pPr>
              <w:spacing w:after="0"/>
              <w:ind w:firstLine="0"/>
              <w:jc w:val="right"/>
              <w:rPr>
                <w:rFonts w:ascii="Arial Narrow" w:hAnsi="Arial Narrow" w:cs="Arial"/>
                <w:sz w:val="16"/>
                <w:szCs w:val="16"/>
                <w:lang w:eastAsia="es-ES"/>
              </w:rPr>
            </w:pPr>
          </w:p>
        </w:tc>
        <w:tc>
          <w:tcPr>
            <w:tcW w:w="719" w:type="dxa"/>
            <w:shd w:val="clear" w:color="auto" w:fill="auto"/>
            <w:noWrap/>
            <w:vAlign w:val="center"/>
          </w:tcPr>
          <w:p w:rsidR="009A132F" w:rsidRPr="00843B23" w:rsidRDefault="009A132F" w:rsidP="000C6073">
            <w:pPr>
              <w:spacing w:after="0"/>
              <w:ind w:firstLine="0"/>
              <w:jc w:val="right"/>
              <w:rPr>
                <w:rFonts w:ascii="Arial Narrow" w:hAnsi="Arial Narrow" w:cs="Arial"/>
                <w:sz w:val="16"/>
                <w:szCs w:val="16"/>
                <w:lang w:eastAsia="es-ES"/>
              </w:rPr>
            </w:pPr>
          </w:p>
        </w:tc>
        <w:tc>
          <w:tcPr>
            <w:tcW w:w="660" w:type="dxa"/>
            <w:shd w:val="clear" w:color="auto" w:fill="auto"/>
            <w:noWrap/>
            <w:vAlign w:val="center"/>
          </w:tcPr>
          <w:p w:rsidR="009A132F" w:rsidRPr="00843B23" w:rsidRDefault="009A132F" w:rsidP="000C6073">
            <w:pPr>
              <w:spacing w:after="0"/>
              <w:ind w:firstLine="0"/>
              <w:jc w:val="right"/>
              <w:rPr>
                <w:rFonts w:ascii="Arial Narrow" w:hAnsi="Arial Narrow" w:cs="Arial"/>
                <w:sz w:val="16"/>
                <w:szCs w:val="16"/>
                <w:lang w:eastAsia="es-ES"/>
              </w:rPr>
            </w:pPr>
          </w:p>
        </w:tc>
        <w:tc>
          <w:tcPr>
            <w:tcW w:w="650" w:type="dxa"/>
            <w:shd w:val="clear" w:color="auto" w:fill="auto"/>
            <w:noWrap/>
            <w:vAlign w:val="center"/>
          </w:tcPr>
          <w:p w:rsidR="009A132F" w:rsidRPr="00843B23" w:rsidRDefault="009A132F" w:rsidP="000C6073">
            <w:pPr>
              <w:spacing w:after="0"/>
              <w:ind w:firstLine="0"/>
              <w:jc w:val="right"/>
              <w:rPr>
                <w:rFonts w:ascii="Arial Narrow" w:hAnsi="Arial Narrow" w:cs="Arial"/>
                <w:sz w:val="16"/>
                <w:szCs w:val="16"/>
                <w:lang w:eastAsia="es-ES"/>
              </w:rPr>
            </w:pPr>
          </w:p>
        </w:tc>
        <w:tc>
          <w:tcPr>
            <w:tcW w:w="808" w:type="dxa"/>
            <w:shd w:val="clear" w:color="auto" w:fill="auto"/>
            <w:noWrap/>
            <w:vAlign w:val="center"/>
          </w:tcPr>
          <w:p w:rsidR="009A132F" w:rsidRPr="00843B23" w:rsidRDefault="009A132F" w:rsidP="0026160E">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102.759</w:t>
            </w:r>
          </w:p>
        </w:tc>
      </w:tr>
      <w:tr w:rsidR="009A132F" w:rsidRPr="00843B23" w:rsidTr="00843B23">
        <w:trPr>
          <w:trHeight w:val="340"/>
          <w:jc w:val="center"/>
        </w:trPr>
        <w:tc>
          <w:tcPr>
            <w:tcW w:w="1391" w:type="dxa"/>
            <w:shd w:val="clear" w:color="auto" w:fill="auto"/>
            <w:noWrap/>
            <w:vAlign w:val="center"/>
          </w:tcPr>
          <w:p w:rsidR="009A132F" w:rsidRPr="00843B23" w:rsidRDefault="009A132F" w:rsidP="00843B23">
            <w:pPr>
              <w:spacing w:after="0"/>
              <w:ind w:firstLine="0"/>
              <w:jc w:val="left"/>
              <w:rPr>
                <w:rFonts w:ascii="Arial Narrow" w:hAnsi="Arial Narrow" w:cs="Arial"/>
                <w:sz w:val="16"/>
                <w:szCs w:val="16"/>
                <w:lang w:eastAsia="es-ES"/>
              </w:rPr>
            </w:pPr>
            <w:r w:rsidRPr="00843B23">
              <w:rPr>
                <w:rFonts w:ascii="Arial Narrow" w:hAnsi="Arial Narrow" w:cs="Arial"/>
                <w:sz w:val="16"/>
                <w:szCs w:val="16"/>
                <w:lang w:eastAsia="es-ES"/>
              </w:rPr>
              <w:t>Acuerdos con entidades deportivas</w:t>
            </w:r>
          </w:p>
        </w:tc>
        <w:tc>
          <w:tcPr>
            <w:tcW w:w="683" w:type="dxa"/>
            <w:shd w:val="clear" w:color="auto" w:fill="auto"/>
            <w:noWrap/>
            <w:vAlign w:val="center"/>
          </w:tcPr>
          <w:p w:rsidR="009A132F" w:rsidRPr="00843B23" w:rsidRDefault="009A132F" w:rsidP="0026160E">
            <w:pPr>
              <w:spacing w:after="0"/>
              <w:ind w:firstLine="0"/>
              <w:jc w:val="right"/>
              <w:rPr>
                <w:rFonts w:ascii="Arial Narrow" w:hAnsi="Arial Narrow" w:cs="Arial"/>
                <w:sz w:val="16"/>
                <w:szCs w:val="16"/>
                <w:lang w:eastAsia="es-ES"/>
              </w:rPr>
            </w:pPr>
          </w:p>
        </w:tc>
        <w:tc>
          <w:tcPr>
            <w:tcW w:w="808" w:type="dxa"/>
            <w:shd w:val="clear" w:color="auto" w:fill="auto"/>
            <w:noWrap/>
            <w:vAlign w:val="center"/>
          </w:tcPr>
          <w:p w:rsidR="009A132F" w:rsidRPr="00843B23" w:rsidRDefault="009A132F" w:rsidP="0026160E">
            <w:pPr>
              <w:spacing w:after="0"/>
              <w:ind w:firstLine="0"/>
              <w:jc w:val="right"/>
              <w:rPr>
                <w:rFonts w:ascii="Arial Narrow" w:hAnsi="Arial Narrow" w:cs="Arial"/>
                <w:sz w:val="16"/>
                <w:szCs w:val="16"/>
                <w:lang w:eastAsia="es-ES"/>
              </w:rPr>
            </w:pPr>
          </w:p>
        </w:tc>
        <w:tc>
          <w:tcPr>
            <w:tcW w:w="808" w:type="dxa"/>
            <w:shd w:val="clear" w:color="auto" w:fill="auto"/>
            <w:noWrap/>
            <w:vAlign w:val="center"/>
          </w:tcPr>
          <w:p w:rsidR="009A132F" w:rsidRPr="00843B23" w:rsidRDefault="009A132F" w:rsidP="0026160E">
            <w:pPr>
              <w:spacing w:after="0"/>
              <w:ind w:firstLine="0"/>
              <w:jc w:val="right"/>
              <w:rPr>
                <w:rFonts w:ascii="Arial Narrow" w:hAnsi="Arial Narrow" w:cs="Arial"/>
                <w:sz w:val="16"/>
                <w:szCs w:val="16"/>
                <w:lang w:eastAsia="es-ES"/>
              </w:rPr>
            </w:pPr>
          </w:p>
        </w:tc>
        <w:tc>
          <w:tcPr>
            <w:tcW w:w="852" w:type="dxa"/>
            <w:shd w:val="clear" w:color="auto" w:fill="auto"/>
            <w:noWrap/>
            <w:vAlign w:val="center"/>
          </w:tcPr>
          <w:p w:rsidR="009A132F" w:rsidRPr="00843B23" w:rsidRDefault="009A132F" w:rsidP="000C6073">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81.500</w:t>
            </w:r>
          </w:p>
        </w:tc>
        <w:tc>
          <w:tcPr>
            <w:tcW w:w="808" w:type="dxa"/>
            <w:shd w:val="clear" w:color="auto" w:fill="auto"/>
            <w:noWrap/>
            <w:vAlign w:val="center"/>
          </w:tcPr>
          <w:p w:rsidR="009A132F" w:rsidRPr="00843B23" w:rsidRDefault="009A132F" w:rsidP="000C6073">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81.500</w:t>
            </w:r>
          </w:p>
        </w:tc>
        <w:tc>
          <w:tcPr>
            <w:tcW w:w="897" w:type="dxa"/>
            <w:shd w:val="clear" w:color="auto" w:fill="auto"/>
            <w:noWrap/>
            <w:vAlign w:val="center"/>
          </w:tcPr>
          <w:p w:rsidR="009A132F" w:rsidRPr="00843B23" w:rsidRDefault="009A132F" w:rsidP="000C6073">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67.680</w:t>
            </w:r>
          </w:p>
        </w:tc>
        <w:tc>
          <w:tcPr>
            <w:tcW w:w="808" w:type="dxa"/>
            <w:shd w:val="clear" w:color="auto" w:fill="auto"/>
            <w:noWrap/>
            <w:vAlign w:val="center"/>
          </w:tcPr>
          <w:p w:rsidR="009A132F" w:rsidRPr="00843B23" w:rsidRDefault="009A132F" w:rsidP="000C6073">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68.497</w:t>
            </w:r>
          </w:p>
        </w:tc>
        <w:tc>
          <w:tcPr>
            <w:tcW w:w="719" w:type="dxa"/>
            <w:shd w:val="clear" w:color="auto" w:fill="auto"/>
            <w:noWrap/>
            <w:vAlign w:val="center"/>
          </w:tcPr>
          <w:p w:rsidR="009A132F" w:rsidRPr="00843B23" w:rsidRDefault="009A132F" w:rsidP="000C6073">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60.400</w:t>
            </w:r>
          </w:p>
        </w:tc>
        <w:tc>
          <w:tcPr>
            <w:tcW w:w="660" w:type="dxa"/>
            <w:shd w:val="clear" w:color="auto" w:fill="auto"/>
            <w:noWrap/>
            <w:vAlign w:val="center"/>
          </w:tcPr>
          <w:p w:rsidR="009A132F" w:rsidRPr="00843B23" w:rsidRDefault="009A132F" w:rsidP="000C6073">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25.323</w:t>
            </w:r>
          </w:p>
        </w:tc>
        <w:tc>
          <w:tcPr>
            <w:tcW w:w="650" w:type="dxa"/>
            <w:shd w:val="clear" w:color="auto" w:fill="auto"/>
            <w:noWrap/>
            <w:vAlign w:val="center"/>
          </w:tcPr>
          <w:p w:rsidR="009A132F" w:rsidRPr="00843B23" w:rsidRDefault="009A132F" w:rsidP="000C6073">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10.127</w:t>
            </w:r>
          </w:p>
        </w:tc>
        <w:tc>
          <w:tcPr>
            <w:tcW w:w="808" w:type="dxa"/>
            <w:shd w:val="clear" w:color="auto" w:fill="auto"/>
            <w:noWrap/>
            <w:vAlign w:val="center"/>
          </w:tcPr>
          <w:p w:rsidR="009A132F" w:rsidRPr="00843B23" w:rsidRDefault="009A132F" w:rsidP="0026160E">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395.027</w:t>
            </w:r>
          </w:p>
        </w:tc>
      </w:tr>
      <w:tr w:rsidR="009A132F" w:rsidRPr="00843B23" w:rsidTr="00843B23">
        <w:trPr>
          <w:trHeight w:val="340"/>
          <w:jc w:val="center"/>
        </w:trPr>
        <w:tc>
          <w:tcPr>
            <w:tcW w:w="1391" w:type="dxa"/>
            <w:shd w:val="clear" w:color="auto" w:fill="8DB3E2" w:themeFill="text2" w:themeFillTint="66"/>
            <w:noWrap/>
            <w:vAlign w:val="center"/>
          </w:tcPr>
          <w:p w:rsidR="009A132F" w:rsidRPr="00843B23" w:rsidRDefault="009A132F" w:rsidP="00843B23">
            <w:pPr>
              <w:spacing w:after="0"/>
              <w:ind w:firstLine="0"/>
              <w:jc w:val="left"/>
              <w:rPr>
                <w:rFonts w:ascii="Arial" w:hAnsi="Arial" w:cs="Arial"/>
                <w:sz w:val="15"/>
                <w:szCs w:val="15"/>
                <w:lang w:eastAsia="es-ES"/>
              </w:rPr>
            </w:pPr>
            <w:r w:rsidRPr="00843B23">
              <w:rPr>
                <w:rFonts w:ascii="Arial" w:hAnsi="Arial" w:cs="Arial"/>
                <w:sz w:val="15"/>
                <w:szCs w:val="15"/>
                <w:lang w:eastAsia="es-ES"/>
              </w:rPr>
              <w:t>Total obligaciones reconocidas</w:t>
            </w:r>
          </w:p>
        </w:tc>
        <w:tc>
          <w:tcPr>
            <w:tcW w:w="683" w:type="dxa"/>
            <w:shd w:val="clear" w:color="auto" w:fill="8DB3E2" w:themeFill="text2" w:themeFillTint="66"/>
            <w:noWrap/>
            <w:vAlign w:val="center"/>
          </w:tcPr>
          <w:p w:rsidR="009A132F" w:rsidRPr="00843B23" w:rsidRDefault="009A132F" w:rsidP="0026160E">
            <w:pPr>
              <w:spacing w:after="0"/>
              <w:ind w:firstLine="0"/>
              <w:jc w:val="right"/>
              <w:rPr>
                <w:rFonts w:ascii="Arial" w:hAnsi="Arial" w:cs="Arial"/>
                <w:sz w:val="15"/>
                <w:szCs w:val="15"/>
                <w:lang w:eastAsia="es-ES"/>
              </w:rPr>
            </w:pPr>
            <w:r w:rsidRPr="00843B23">
              <w:rPr>
                <w:rFonts w:ascii="Arial" w:hAnsi="Arial" w:cs="Arial"/>
                <w:sz w:val="15"/>
                <w:szCs w:val="15"/>
                <w:lang w:eastAsia="es-ES"/>
              </w:rPr>
              <w:t>127.459</w:t>
            </w:r>
          </w:p>
        </w:tc>
        <w:tc>
          <w:tcPr>
            <w:tcW w:w="808" w:type="dxa"/>
            <w:shd w:val="clear" w:color="auto" w:fill="8DB3E2" w:themeFill="text2" w:themeFillTint="66"/>
            <w:noWrap/>
            <w:vAlign w:val="center"/>
          </w:tcPr>
          <w:p w:rsidR="009A132F" w:rsidRPr="00843B23" w:rsidRDefault="009A132F" w:rsidP="0026160E">
            <w:pPr>
              <w:spacing w:after="0"/>
              <w:ind w:firstLine="0"/>
              <w:jc w:val="right"/>
              <w:rPr>
                <w:rFonts w:ascii="Arial" w:hAnsi="Arial" w:cs="Arial"/>
                <w:sz w:val="15"/>
                <w:szCs w:val="15"/>
                <w:lang w:eastAsia="es-ES"/>
              </w:rPr>
            </w:pPr>
            <w:r w:rsidRPr="00843B23">
              <w:rPr>
                <w:rFonts w:ascii="Arial" w:hAnsi="Arial" w:cs="Arial"/>
                <w:sz w:val="15"/>
                <w:szCs w:val="15"/>
                <w:lang w:eastAsia="es-ES"/>
              </w:rPr>
              <w:t>1.559.120</w:t>
            </w:r>
          </w:p>
        </w:tc>
        <w:tc>
          <w:tcPr>
            <w:tcW w:w="808" w:type="dxa"/>
            <w:shd w:val="clear" w:color="auto" w:fill="8DB3E2" w:themeFill="text2" w:themeFillTint="66"/>
            <w:noWrap/>
            <w:vAlign w:val="center"/>
          </w:tcPr>
          <w:p w:rsidR="009A132F" w:rsidRPr="00843B23" w:rsidRDefault="009A132F" w:rsidP="0026160E">
            <w:pPr>
              <w:spacing w:after="0"/>
              <w:ind w:firstLine="0"/>
              <w:jc w:val="right"/>
              <w:rPr>
                <w:rFonts w:ascii="Arial" w:hAnsi="Arial" w:cs="Arial"/>
                <w:sz w:val="15"/>
                <w:szCs w:val="15"/>
                <w:lang w:eastAsia="es-ES"/>
              </w:rPr>
            </w:pPr>
            <w:r w:rsidRPr="00843B23">
              <w:rPr>
                <w:rFonts w:ascii="Arial" w:hAnsi="Arial" w:cs="Arial"/>
                <w:sz w:val="15"/>
                <w:szCs w:val="15"/>
                <w:lang w:eastAsia="es-ES"/>
              </w:rPr>
              <w:t>1.556.350</w:t>
            </w:r>
          </w:p>
        </w:tc>
        <w:tc>
          <w:tcPr>
            <w:tcW w:w="852" w:type="dxa"/>
            <w:shd w:val="clear" w:color="auto" w:fill="8DB3E2" w:themeFill="text2" w:themeFillTint="66"/>
            <w:noWrap/>
            <w:vAlign w:val="center"/>
          </w:tcPr>
          <w:p w:rsidR="009A132F" w:rsidRPr="00843B23" w:rsidRDefault="009A132F" w:rsidP="000C6073">
            <w:pPr>
              <w:spacing w:after="0"/>
              <w:ind w:firstLine="0"/>
              <w:jc w:val="right"/>
              <w:rPr>
                <w:rFonts w:ascii="Arial" w:hAnsi="Arial" w:cs="Arial"/>
                <w:sz w:val="15"/>
                <w:szCs w:val="15"/>
                <w:lang w:eastAsia="es-ES"/>
              </w:rPr>
            </w:pPr>
            <w:r w:rsidRPr="00843B23">
              <w:rPr>
                <w:rFonts w:ascii="Arial" w:hAnsi="Arial" w:cs="Arial"/>
                <w:sz w:val="15"/>
                <w:szCs w:val="15"/>
                <w:lang w:eastAsia="es-ES"/>
              </w:rPr>
              <w:t>1.599.470</w:t>
            </w:r>
          </w:p>
        </w:tc>
        <w:tc>
          <w:tcPr>
            <w:tcW w:w="808" w:type="dxa"/>
            <w:shd w:val="clear" w:color="auto" w:fill="8DB3E2" w:themeFill="text2" w:themeFillTint="66"/>
            <w:noWrap/>
            <w:vAlign w:val="center"/>
          </w:tcPr>
          <w:p w:rsidR="009A132F" w:rsidRPr="00843B23" w:rsidRDefault="009A132F" w:rsidP="000C6073">
            <w:pPr>
              <w:spacing w:after="0"/>
              <w:ind w:firstLine="0"/>
              <w:jc w:val="right"/>
              <w:rPr>
                <w:rFonts w:ascii="Arial" w:hAnsi="Arial" w:cs="Arial"/>
                <w:sz w:val="15"/>
                <w:szCs w:val="15"/>
                <w:lang w:eastAsia="es-ES"/>
              </w:rPr>
            </w:pPr>
            <w:r w:rsidRPr="00843B23">
              <w:rPr>
                <w:rFonts w:ascii="Arial" w:hAnsi="Arial" w:cs="Arial"/>
                <w:sz w:val="15"/>
                <w:szCs w:val="15"/>
                <w:lang w:eastAsia="es-ES"/>
              </w:rPr>
              <w:t>1.599.470</w:t>
            </w:r>
          </w:p>
        </w:tc>
        <w:tc>
          <w:tcPr>
            <w:tcW w:w="897" w:type="dxa"/>
            <w:shd w:val="clear" w:color="auto" w:fill="8DB3E2" w:themeFill="text2" w:themeFillTint="66"/>
            <w:noWrap/>
            <w:vAlign w:val="center"/>
          </w:tcPr>
          <w:p w:rsidR="009A132F" w:rsidRPr="00843B23" w:rsidRDefault="009A132F" w:rsidP="00C517AF">
            <w:pPr>
              <w:spacing w:after="0"/>
              <w:ind w:firstLine="0"/>
              <w:jc w:val="right"/>
              <w:rPr>
                <w:rFonts w:ascii="Arial" w:hAnsi="Arial" w:cs="Arial"/>
                <w:sz w:val="15"/>
                <w:szCs w:val="15"/>
                <w:lang w:eastAsia="es-ES"/>
              </w:rPr>
            </w:pPr>
            <w:r w:rsidRPr="00843B23">
              <w:rPr>
                <w:rFonts w:ascii="Arial" w:hAnsi="Arial" w:cs="Arial"/>
                <w:sz w:val="15"/>
                <w:szCs w:val="15"/>
                <w:lang w:eastAsia="es-ES"/>
              </w:rPr>
              <w:t>1.619.660</w:t>
            </w:r>
          </w:p>
        </w:tc>
        <w:tc>
          <w:tcPr>
            <w:tcW w:w="808" w:type="dxa"/>
            <w:shd w:val="clear" w:color="auto" w:fill="8DB3E2" w:themeFill="text2" w:themeFillTint="66"/>
            <w:noWrap/>
            <w:vAlign w:val="center"/>
          </w:tcPr>
          <w:p w:rsidR="009A132F" w:rsidRPr="00843B23" w:rsidRDefault="009A132F" w:rsidP="000C6073">
            <w:pPr>
              <w:spacing w:after="0"/>
              <w:ind w:firstLine="0"/>
              <w:jc w:val="right"/>
              <w:rPr>
                <w:rFonts w:ascii="Arial" w:hAnsi="Arial" w:cs="Arial"/>
                <w:sz w:val="15"/>
                <w:szCs w:val="15"/>
                <w:lang w:eastAsia="es-ES"/>
              </w:rPr>
            </w:pPr>
            <w:r w:rsidRPr="00843B23">
              <w:rPr>
                <w:rFonts w:ascii="Arial" w:hAnsi="Arial" w:cs="Arial"/>
                <w:sz w:val="15"/>
                <w:szCs w:val="15"/>
                <w:lang w:eastAsia="es-ES"/>
              </w:rPr>
              <w:t>1.654.339</w:t>
            </w:r>
          </w:p>
        </w:tc>
        <w:tc>
          <w:tcPr>
            <w:tcW w:w="719" w:type="dxa"/>
            <w:shd w:val="clear" w:color="auto" w:fill="8DB3E2" w:themeFill="text2" w:themeFillTint="66"/>
            <w:noWrap/>
            <w:vAlign w:val="center"/>
          </w:tcPr>
          <w:p w:rsidR="009A132F" w:rsidRPr="00843B23" w:rsidRDefault="009A132F" w:rsidP="000C6073">
            <w:pPr>
              <w:spacing w:after="0"/>
              <w:ind w:firstLine="0"/>
              <w:jc w:val="right"/>
              <w:rPr>
                <w:rFonts w:ascii="Arial" w:hAnsi="Arial" w:cs="Arial"/>
                <w:sz w:val="15"/>
                <w:szCs w:val="15"/>
                <w:lang w:eastAsia="es-ES"/>
              </w:rPr>
            </w:pPr>
            <w:r w:rsidRPr="00843B23">
              <w:rPr>
                <w:rFonts w:ascii="Arial" w:hAnsi="Arial" w:cs="Arial"/>
                <w:sz w:val="15"/>
                <w:szCs w:val="15"/>
                <w:lang w:eastAsia="es-ES"/>
              </w:rPr>
              <w:t>60.760</w:t>
            </w:r>
          </w:p>
        </w:tc>
        <w:tc>
          <w:tcPr>
            <w:tcW w:w="660" w:type="dxa"/>
            <w:shd w:val="clear" w:color="auto" w:fill="8DB3E2" w:themeFill="text2" w:themeFillTint="66"/>
            <w:noWrap/>
            <w:vAlign w:val="center"/>
          </w:tcPr>
          <w:p w:rsidR="009A132F" w:rsidRPr="00843B23" w:rsidRDefault="009A132F" w:rsidP="000C6073">
            <w:pPr>
              <w:spacing w:after="0"/>
              <w:ind w:firstLine="0"/>
              <w:jc w:val="right"/>
              <w:rPr>
                <w:rFonts w:ascii="Arial" w:hAnsi="Arial" w:cs="Arial"/>
                <w:sz w:val="15"/>
                <w:szCs w:val="15"/>
                <w:lang w:eastAsia="es-ES"/>
              </w:rPr>
            </w:pPr>
            <w:r w:rsidRPr="00843B23">
              <w:rPr>
                <w:rFonts w:ascii="Arial" w:hAnsi="Arial" w:cs="Arial"/>
                <w:sz w:val="15"/>
                <w:szCs w:val="15"/>
                <w:lang w:eastAsia="es-ES"/>
              </w:rPr>
              <w:t>29.323</w:t>
            </w:r>
          </w:p>
        </w:tc>
        <w:tc>
          <w:tcPr>
            <w:tcW w:w="650" w:type="dxa"/>
            <w:shd w:val="clear" w:color="auto" w:fill="8DB3E2" w:themeFill="text2" w:themeFillTint="66"/>
            <w:noWrap/>
            <w:vAlign w:val="center"/>
          </w:tcPr>
          <w:p w:rsidR="009A132F" w:rsidRPr="00843B23" w:rsidRDefault="009A132F" w:rsidP="000C6073">
            <w:pPr>
              <w:spacing w:after="0"/>
              <w:ind w:firstLine="0"/>
              <w:jc w:val="right"/>
              <w:rPr>
                <w:rFonts w:ascii="Arial" w:hAnsi="Arial" w:cs="Arial"/>
                <w:sz w:val="15"/>
                <w:szCs w:val="15"/>
                <w:lang w:eastAsia="es-ES"/>
              </w:rPr>
            </w:pPr>
            <w:r w:rsidRPr="00843B23">
              <w:rPr>
                <w:rFonts w:ascii="Arial" w:hAnsi="Arial" w:cs="Arial"/>
                <w:sz w:val="15"/>
                <w:szCs w:val="15"/>
                <w:lang w:eastAsia="es-ES"/>
              </w:rPr>
              <w:t>10.127</w:t>
            </w:r>
          </w:p>
        </w:tc>
        <w:tc>
          <w:tcPr>
            <w:tcW w:w="808" w:type="dxa"/>
            <w:shd w:val="clear" w:color="auto" w:fill="8DB3E2" w:themeFill="text2" w:themeFillTint="66"/>
            <w:noWrap/>
            <w:vAlign w:val="center"/>
          </w:tcPr>
          <w:p w:rsidR="009A132F" w:rsidRPr="00843B23" w:rsidRDefault="009A132F" w:rsidP="0026160E">
            <w:pPr>
              <w:spacing w:after="0"/>
              <w:ind w:firstLine="0"/>
              <w:jc w:val="right"/>
              <w:rPr>
                <w:rFonts w:ascii="Arial" w:hAnsi="Arial" w:cs="Arial"/>
                <w:sz w:val="15"/>
                <w:szCs w:val="15"/>
                <w:lang w:eastAsia="es-ES"/>
              </w:rPr>
            </w:pPr>
            <w:r w:rsidRPr="00843B23">
              <w:rPr>
                <w:rFonts w:ascii="Arial" w:hAnsi="Arial" w:cs="Arial"/>
                <w:sz w:val="15"/>
                <w:szCs w:val="15"/>
                <w:lang w:eastAsia="es-ES"/>
              </w:rPr>
              <w:t>9.813.868</w:t>
            </w:r>
          </w:p>
        </w:tc>
      </w:tr>
      <w:tr w:rsidR="004C27C0" w:rsidRPr="00843B23" w:rsidTr="00843B23">
        <w:trPr>
          <w:trHeight w:val="340"/>
          <w:jc w:val="center"/>
        </w:trPr>
        <w:tc>
          <w:tcPr>
            <w:tcW w:w="1391" w:type="dxa"/>
            <w:shd w:val="clear" w:color="auto" w:fill="auto"/>
            <w:noWrap/>
            <w:vAlign w:val="center"/>
          </w:tcPr>
          <w:p w:rsidR="004C27C0" w:rsidRPr="00843B23" w:rsidRDefault="004C27C0" w:rsidP="00843B23">
            <w:pPr>
              <w:spacing w:after="0"/>
              <w:ind w:firstLine="0"/>
              <w:jc w:val="left"/>
              <w:rPr>
                <w:rFonts w:ascii="Arial Narrow" w:hAnsi="Arial Narrow" w:cs="Arial"/>
                <w:sz w:val="16"/>
                <w:szCs w:val="16"/>
                <w:lang w:eastAsia="es-ES"/>
              </w:rPr>
            </w:pPr>
            <w:r w:rsidRPr="00843B23">
              <w:rPr>
                <w:rFonts w:ascii="Arial Narrow" w:hAnsi="Arial Narrow" w:cs="Arial"/>
                <w:sz w:val="16"/>
                <w:szCs w:val="16"/>
                <w:lang w:eastAsia="es-ES"/>
              </w:rPr>
              <w:t>Atenc.protocol.y  represent</w:t>
            </w:r>
          </w:p>
        </w:tc>
        <w:tc>
          <w:tcPr>
            <w:tcW w:w="683" w:type="dxa"/>
            <w:shd w:val="clear" w:color="auto" w:fill="auto"/>
            <w:noWrap/>
            <w:vAlign w:val="center"/>
          </w:tcPr>
          <w:p w:rsidR="004C27C0" w:rsidRPr="00843B23" w:rsidRDefault="004C27C0" w:rsidP="0026160E">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14.880</w:t>
            </w:r>
          </w:p>
        </w:tc>
        <w:tc>
          <w:tcPr>
            <w:tcW w:w="808" w:type="dxa"/>
            <w:shd w:val="clear" w:color="auto" w:fill="auto"/>
            <w:noWrap/>
            <w:vAlign w:val="center"/>
          </w:tcPr>
          <w:p w:rsidR="004C27C0" w:rsidRPr="00843B23" w:rsidRDefault="004C27C0" w:rsidP="0026160E">
            <w:pPr>
              <w:spacing w:after="0"/>
              <w:ind w:firstLine="0"/>
              <w:jc w:val="right"/>
              <w:rPr>
                <w:rFonts w:ascii="Arial Narrow" w:hAnsi="Arial Narrow" w:cs="Arial"/>
                <w:sz w:val="16"/>
                <w:szCs w:val="16"/>
                <w:lang w:eastAsia="es-ES"/>
              </w:rPr>
            </w:pPr>
          </w:p>
        </w:tc>
        <w:tc>
          <w:tcPr>
            <w:tcW w:w="808" w:type="dxa"/>
            <w:shd w:val="clear" w:color="auto" w:fill="auto"/>
            <w:noWrap/>
            <w:vAlign w:val="center"/>
          </w:tcPr>
          <w:p w:rsidR="004C27C0" w:rsidRPr="00843B23" w:rsidRDefault="004C27C0" w:rsidP="0026160E">
            <w:pPr>
              <w:spacing w:after="0"/>
              <w:ind w:firstLine="0"/>
              <w:jc w:val="right"/>
              <w:rPr>
                <w:rFonts w:ascii="Arial Narrow" w:hAnsi="Arial Narrow" w:cs="Arial"/>
                <w:sz w:val="16"/>
                <w:szCs w:val="16"/>
                <w:lang w:eastAsia="es-ES"/>
              </w:rPr>
            </w:pPr>
          </w:p>
        </w:tc>
        <w:tc>
          <w:tcPr>
            <w:tcW w:w="852" w:type="dxa"/>
            <w:shd w:val="clear" w:color="auto" w:fill="auto"/>
            <w:noWrap/>
            <w:vAlign w:val="center"/>
          </w:tcPr>
          <w:p w:rsidR="004C27C0" w:rsidRPr="00843B23" w:rsidRDefault="004C27C0" w:rsidP="000C6073">
            <w:pPr>
              <w:spacing w:after="0"/>
              <w:ind w:firstLine="0"/>
              <w:jc w:val="right"/>
              <w:rPr>
                <w:rFonts w:ascii="Arial Narrow" w:hAnsi="Arial Narrow" w:cs="Arial"/>
                <w:sz w:val="16"/>
                <w:szCs w:val="16"/>
                <w:lang w:eastAsia="es-ES"/>
              </w:rPr>
            </w:pPr>
          </w:p>
        </w:tc>
        <w:tc>
          <w:tcPr>
            <w:tcW w:w="808" w:type="dxa"/>
            <w:shd w:val="clear" w:color="auto" w:fill="auto"/>
            <w:noWrap/>
            <w:vAlign w:val="center"/>
          </w:tcPr>
          <w:p w:rsidR="004C27C0" w:rsidRPr="00843B23" w:rsidRDefault="004C27C0" w:rsidP="000C6073">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960</w:t>
            </w:r>
          </w:p>
        </w:tc>
        <w:tc>
          <w:tcPr>
            <w:tcW w:w="897" w:type="dxa"/>
            <w:shd w:val="clear" w:color="auto" w:fill="auto"/>
            <w:noWrap/>
            <w:vAlign w:val="center"/>
          </w:tcPr>
          <w:p w:rsidR="004C27C0" w:rsidRPr="00843B23" w:rsidRDefault="004C27C0" w:rsidP="000C6073">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26.076</w:t>
            </w:r>
          </w:p>
        </w:tc>
        <w:tc>
          <w:tcPr>
            <w:tcW w:w="808" w:type="dxa"/>
            <w:shd w:val="clear" w:color="auto" w:fill="auto"/>
            <w:noWrap/>
            <w:vAlign w:val="center"/>
          </w:tcPr>
          <w:p w:rsidR="004C27C0" w:rsidRPr="00843B23" w:rsidRDefault="004C27C0" w:rsidP="000C6073">
            <w:pPr>
              <w:spacing w:after="0"/>
              <w:ind w:firstLine="0"/>
              <w:jc w:val="right"/>
              <w:rPr>
                <w:rFonts w:ascii="Arial Narrow" w:hAnsi="Arial Narrow" w:cs="Arial"/>
                <w:sz w:val="16"/>
                <w:szCs w:val="16"/>
                <w:lang w:eastAsia="es-ES"/>
              </w:rPr>
            </w:pPr>
          </w:p>
        </w:tc>
        <w:tc>
          <w:tcPr>
            <w:tcW w:w="719" w:type="dxa"/>
            <w:shd w:val="clear" w:color="auto" w:fill="auto"/>
            <w:noWrap/>
            <w:vAlign w:val="center"/>
          </w:tcPr>
          <w:p w:rsidR="004C27C0" w:rsidRPr="00843B23" w:rsidRDefault="004C27C0" w:rsidP="000C6073">
            <w:pPr>
              <w:spacing w:after="0"/>
              <w:ind w:firstLine="0"/>
              <w:jc w:val="right"/>
              <w:rPr>
                <w:rFonts w:ascii="Arial Narrow" w:hAnsi="Arial Narrow" w:cs="Arial"/>
                <w:sz w:val="16"/>
                <w:szCs w:val="16"/>
                <w:lang w:eastAsia="es-ES"/>
              </w:rPr>
            </w:pPr>
          </w:p>
        </w:tc>
        <w:tc>
          <w:tcPr>
            <w:tcW w:w="660" w:type="dxa"/>
            <w:shd w:val="clear" w:color="auto" w:fill="auto"/>
            <w:noWrap/>
            <w:vAlign w:val="center"/>
          </w:tcPr>
          <w:p w:rsidR="004C27C0" w:rsidRPr="00843B23" w:rsidRDefault="004C27C0" w:rsidP="000C6073">
            <w:pPr>
              <w:spacing w:after="0"/>
              <w:ind w:firstLine="0"/>
              <w:jc w:val="right"/>
              <w:rPr>
                <w:rFonts w:ascii="Arial Narrow" w:hAnsi="Arial Narrow" w:cs="Arial"/>
                <w:sz w:val="16"/>
                <w:szCs w:val="16"/>
                <w:lang w:eastAsia="es-ES"/>
              </w:rPr>
            </w:pPr>
          </w:p>
        </w:tc>
        <w:tc>
          <w:tcPr>
            <w:tcW w:w="650" w:type="dxa"/>
            <w:shd w:val="clear" w:color="auto" w:fill="auto"/>
            <w:noWrap/>
            <w:vAlign w:val="center"/>
          </w:tcPr>
          <w:p w:rsidR="004C27C0" w:rsidRPr="00843B23" w:rsidRDefault="004C27C0" w:rsidP="000C6073">
            <w:pPr>
              <w:spacing w:after="0"/>
              <w:ind w:firstLine="0"/>
              <w:jc w:val="right"/>
              <w:rPr>
                <w:rFonts w:ascii="Arial Narrow" w:hAnsi="Arial Narrow" w:cs="Arial"/>
                <w:sz w:val="16"/>
                <w:szCs w:val="16"/>
                <w:lang w:eastAsia="es-ES"/>
              </w:rPr>
            </w:pPr>
          </w:p>
        </w:tc>
        <w:tc>
          <w:tcPr>
            <w:tcW w:w="808" w:type="dxa"/>
            <w:shd w:val="clear" w:color="auto" w:fill="auto"/>
            <w:noWrap/>
            <w:vAlign w:val="center"/>
          </w:tcPr>
          <w:p w:rsidR="004C27C0" w:rsidRPr="00843B23" w:rsidRDefault="004C27C0" w:rsidP="0026160E">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41.916</w:t>
            </w:r>
          </w:p>
        </w:tc>
      </w:tr>
      <w:tr w:rsidR="004C27C0" w:rsidRPr="00843B23" w:rsidTr="00843B23">
        <w:trPr>
          <w:trHeight w:val="340"/>
          <w:jc w:val="center"/>
        </w:trPr>
        <w:tc>
          <w:tcPr>
            <w:tcW w:w="1391" w:type="dxa"/>
            <w:shd w:val="clear" w:color="auto" w:fill="auto"/>
            <w:noWrap/>
            <w:vAlign w:val="center"/>
          </w:tcPr>
          <w:p w:rsidR="004C27C0" w:rsidRPr="00843B23" w:rsidRDefault="004C27C0" w:rsidP="00843B23">
            <w:pPr>
              <w:spacing w:after="0"/>
              <w:ind w:firstLine="0"/>
              <w:jc w:val="left"/>
              <w:rPr>
                <w:rFonts w:ascii="Arial Narrow" w:hAnsi="Arial Narrow" w:cs="Arial"/>
                <w:sz w:val="16"/>
                <w:szCs w:val="16"/>
                <w:lang w:eastAsia="es-ES"/>
              </w:rPr>
            </w:pPr>
            <w:r w:rsidRPr="00843B23">
              <w:rPr>
                <w:rFonts w:ascii="Arial Narrow" w:hAnsi="Arial Narrow" w:cs="Arial"/>
                <w:sz w:val="16"/>
                <w:szCs w:val="16"/>
                <w:lang w:eastAsia="es-ES"/>
              </w:rPr>
              <w:t>Gastos diversos</w:t>
            </w:r>
          </w:p>
        </w:tc>
        <w:tc>
          <w:tcPr>
            <w:tcW w:w="683" w:type="dxa"/>
            <w:shd w:val="clear" w:color="auto" w:fill="auto"/>
            <w:noWrap/>
            <w:vAlign w:val="center"/>
          </w:tcPr>
          <w:p w:rsidR="004C27C0" w:rsidRPr="00843B23" w:rsidRDefault="004C27C0" w:rsidP="0026160E">
            <w:pPr>
              <w:spacing w:after="0"/>
              <w:ind w:firstLine="0"/>
              <w:jc w:val="right"/>
              <w:rPr>
                <w:rFonts w:ascii="Arial Narrow" w:hAnsi="Arial Narrow" w:cs="Arial"/>
                <w:sz w:val="16"/>
                <w:szCs w:val="16"/>
                <w:lang w:eastAsia="es-ES"/>
              </w:rPr>
            </w:pPr>
          </w:p>
        </w:tc>
        <w:tc>
          <w:tcPr>
            <w:tcW w:w="808" w:type="dxa"/>
            <w:shd w:val="clear" w:color="auto" w:fill="auto"/>
            <w:noWrap/>
            <w:vAlign w:val="center"/>
          </w:tcPr>
          <w:p w:rsidR="004C27C0" w:rsidRPr="00843B23" w:rsidRDefault="004C27C0" w:rsidP="0026160E">
            <w:pPr>
              <w:spacing w:after="0"/>
              <w:ind w:firstLine="0"/>
              <w:jc w:val="right"/>
              <w:rPr>
                <w:rFonts w:ascii="Arial Narrow" w:hAnsi="Arial Narrow" w:cs="Arial"/>
                <w:sz w:val="16"/>
                <w:szCs w:val="16"/>
                <w:lang w:eastAsia="es-ES"/>
              </w:rPr>
            </w:pPr>
          </w:p>
        </w:tc>
        <w:tc>
          <w:tcPr>
            <w:tcW w:w="808" w:type="dxa"/>
            <w:shd w:val="clear" w:color="auto" w:fill="auto"/>
            <w:noWrap/>
            <w:vAlign w:val="center"/>
          </w:tcPr>
          <w:p w:rsidR="004C27C0" w:rsidRPr="00843B23" w:rsidRDefault="004C27C0" w:rsidP="0026160E">
            <w:pPr>
              <w:spacing w:after="0"/>
              <w:ind w:firstLine="0"/>
              <w:jc w:val="right"/>
              <w:rPr>
                <w:rFonts w:ascii="Arial Narrow" w:hAnsi="Arial Narrow" w:cs="Arial"/>
                <w:sz w:val="16"/>
                <w:szCs w:val="16"/>
                <w:lang w:eastAsia="es-ES"/>
              </w:rPr>
            </w:pPr>
          </w:p>
        </w:tc>
        <w:tc>
          <w:tcPr>
            <w:tcW w:w="852" w:type="dxa"/>
            <w:shd w:val="clear" w:color="auto" w:fill="auto"/>
            <w:noWrap/>
            <w:vAlign w:val="center"/>
          </w:tcPr>
          <w:p w:rsidR="004C27C0" w:rsidRPr="00843B23" w:rsidRDefault="004C27C0" w:rsidP="000C6073">
            <w:pPr>
              <w:spacing w:after="0"/>
              <w:ind w:firstLine="0"/>
              <w:jc w:val="right"/>
              <w:rPr>
                <w:rFonts w:ascii="Arial Narrow" w:hAnsi="Arial Narrow" w:cs="Arial"/>
                <w:sz w:val="16"/>
                <w:szCs w:val="16"/>
                <w:lang w:eastAsia="es-ES"/>
              </w:rPr>
            </w:pPr>
          </w:p>
        </w:tc>
        <w:tc>
          <w:tcPr>
            <w:tcW w:w="808" w:type="dxa"/>
            <w:shd w:val="clear" w:color="auto" w:fill="auto"/>
            <w:noWrap/>
            <w:vAlign w:val="center"/>
          </w:tcPr>
          <w:p w:rsidR="004C27C0" w:rsidRPr="00843B23" w:rsidRDefault="004C27C0" w:rsidP="000C6073">
            <w:pPr>
              <w:spacing w:after="0"/>
              <w:ind w:firstLine="0"/>
              <w:jc w:val="right"/>
              <w:rPr>
                <w:rFonts w:ascii="Arial Narrow" w:hAnsi="Arial Narrow" w:cs="Arial"/>
                <w:sz w:val="16"/>
                <w:szCs w:val="16"/>
                <w:lang w:eastAsia="es-ES"/>
              </w:rPr>
            </w:pPr>
          </w:p>
        </w:tc>
        <w:tc>
          <w:tcPr>
            <w:tcW w:w="897" w:type="dxa"/>
            <w:shd w:val="clear" w:color="auto" w:fill="auto"/>
            <w:noWrap/>
            <w:vAlign w:val="center"/>
          </w:tcPr>
          <w:p w:rsidR="004C27C0" w:rsidRPr="00843B23" w:rsidRDefault="004C27C0" w:rsidP="000C6073">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766.850</w:t>
            </w:r>
          </w:p>
        </w:tc>
        <w:tc>
          <w:tcPr>
            <w:tcW w:w="808" w:type="dxa"/>
            <w:shd w:val="clear" w:color="auto" w:fill="auto"/>
            <w:noWrap/>
            <w:vAlign w:val="center"/>
          </w:tcPr>
          <w:p w:rsidR="004C27C0" w:rsidRPr="00843B23" w:rsidRDefault="004C27C0" w:rsidP="000C6073">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765.840</w:t>
            </w:r>
          </w:p>
        </w:tc>
        <w:tc>
          <w:tcPr>
            <w:tcW w:w="719" w:type="dxa"/>
            <w:shd w:val="clear" w:color="auto" w:fill="auto"/>
            <w:noWrap/>
            <w:vAlign w:val="center"/>
          </w:tcPr>
          <w:p w:rsidR="004C27C0" w:rsidRPr="00843B23" w:rsidRDefault="004C27C0" w:rsidP="000C6073">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780.300</w:t>
            </w:r>
          </w:p>
        </w:tc>
        <w:tc>
          <w:tcPr>
            <w:tcW w:w="660" w:type="dxa"/>
            <w:shd w:val="clear" w:color="auto" w:fill="auto"/>
            <w:noWrap/>
            <w:vAlign w:val="center"/>
          </w:tcPr>
          <w:p w:rsidR="004C27C0" w:rsidRPr="00843B23" w:rsidRDefault="004C27C0" w:rsidP="000C6073">
            <w:pPr>
              <w:spacing w:after="0"/>
              <w:ind w:firstLine="0"/>
              <w:jc w:val="right"/>
              <w:rPr>
                <w:rFonts w:ascii="Arial Narrow" w:hAnsi="Arial Narrow" w:cs="Arial"/>
                <w:sz w:val="16"/>
                <w:szCs w:val="16"/>
                <w:lang w:eastAsia="es-ES"/>
              </w:rPr>
            </w:pPr>
          </w:p>
        </w:tc>
        <w:tc>
          <w:tcPr>
            <w:tcW w:w="650" w:type="dxa"/>
            <w:shd w:val="clear" w:color="auto" w:fill="auto"/>
            <w:noWrap/>
            <w:vAlign w:val="center"/>
          </w:tcPr>
          <w:p w:rsidR="004C27C0" w:rsidRPr="00843B23" w:rsidRDefault="004C27C0" w:rsidP="000C6073">
            <w:pPr>
              <w:spacing w:after="0"/>
              <w:ind w:firstLine="0"/>
              <w:jc w:val="right"/>
              <w:rPr>
                <w:rFonts w:ascii="Arial Narrow" w:hAnsi="Arial Narrow" w:cs="Arial"/>
                <w:sz w:val="16"/>
                <w:szCs w:val="16"/>
                <w:lang w:eastAsia="es-ES"/>
              </w:rPr>
            </w:pPr>
          </w:p>
        </w:tc>
        <w:tc>
          <w:tcPr>
            <w:tcW w:w="808" w:type="dxa"/>
            <w:shd w:val="clear" w:color="auto" w:fill="auto"/>
            <w:noWrap/>
            <w:vAlign w:val="center"/>
          </w:tcPr>
          <w:p w:rsidR="004C27C0" w:rsidRPr="00843B23" w:rsidRDefault="004C27C0" w:rsidP="0026160E">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2.312.990</w:t>
            </w:r>
          </w:p>
        </w:tc>
      </w:tr>
      <w:tr w:rsidR="004C27C0" w:rsidRPr="00843B23" w:rsidTr="00843B23">
        <w:trPr>
          <w:trHeight w:val="340"/>
          <w:jc w:val="center"/>
        </w:trPr>
        <w:tc>
          <w:tcPr>
            <w:tcW w:w="1391" w:type="dxa"/>
            <w:shd w:val="clear" w:color="auto" w:fill="auto"/>
            <w:noWrap/>
            <w:vAlign w:val="center"/>
          </w:tcPr>
          <w:p w:rsidR="004C27C0" w:rsidRPr="00843B23" w:rsidRDefault="004C27C0" w:rsidP="00843B23">
            <w:pPr>
              <w:spacing w:after="0"/>
              <w:ind w:firstLine="0"/>
              <w:jc w:val="left"/>
              <w:rPr>
                <w:rFonts w:ascii="Arial Narrow" w:hAnsi="Arial Narrow" w:cs="Arial"/>
                <w:sz w:val="16"/>
                <w:szCs w:val="16"/>
                <w:lang w:eastAsia="es-ES"/>
              </w:rPr>
            </w:pPr>
            <w:r w:rsidRPr="00843B23">
              <w:rPr>
                <w:rFonts w:ascii="Arial Narrow" w:hAnsi="Arial Narrow" w:cs="Arial"/>
                <w:sz w:val="16"/>
                <w:szCs w:val="16"/>
                <w:lang w:eastAsia="es-ES"/>
              </w:rPr>
              <w:t xml:space="preserve">Ayudas  a entidades. deportivas </w:t>
            </w:r>
          </w:p>
        </w:tc>
        <w:tc>
          <w:tcPr>
            <w:tcW w:w="683" w:type="dxa"/>
            <w:shd w:val="clear" w:color="auto" w:fill="auto"/>
            <w:noWrap/>
            <w:vAlign w:val="center"/>
          </w:tcPr>
          <w:p w:rsidR="004C27C0" w:rsidRPr="00843B23" w:rsidRDefault="004C27C0" w:rsidP="0026160E">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23.500</w:t>
            </w:r>
          </w:p>
        </w:tc>
        <w:tc>
          <w:tcPr>
            <w:tcW w:w="808" w:type="dxa"/>
            <w:shd w:val="clear" w:color="auto" w:fill="auto"/>
            <w:noWrap/>
            <w:vAlign w:val="center"/>
          </w:tcPr>
          <w:p w:rsidR="004C27C0" w:rsidRPr="00843B23" w:rsidRDefault="004C27C0" w:rsidP="0026160E">
            <w:pPr>
              <w:spacing w:after="0"/>
              <w:ind w:firstLine="0"/>
              <w:jc w:val="right"/>
              <w:rPr>
                <w:rFonts w:ascii="Arial Narrow" w:hAnsi="Arial Narrow" w:cs="Arial"/>
                <w:sz w:val="16"/>
                <w:szCs w:val="16"/>
                <w:lang w:eastAsia="es-ES"/>
              </w:rPr>
            </w:pPr>
          </w:p>
        </w:tc>
        <w:tc>
          <w:tcPr>
            <w:tcW w:w="808" w:type="dxa"/>
            <w:shd w:val="clear" w:color="auto" w:fill="auto"/>
            <w:noWrap/>
            <w:vAlign w:val="center"/>
          </w:tcPr>
          <w:p w:rsidR="004C27C0" w:rsidRPr="00843B23" w:rsidRDefault="004C27C0" w:rsidP="0026160E">
            <w:pPr>
              <w:spacing w:after="0"/>
              <w:ind w:firstLine="0"/>
              <w:jc w:val="right"/>
              <w:rPr>
                <w:rFonts w:ascii="Arial Narrow" w:hAnsi="Arial Narrow" w:cs="Arial"/>
                <w:sz w:val="16"/>
                <w:szCs w:val="16"/>
                <w:lang w:eastAsia="es-ES"/>
              </w:rPr>
            </w:pPr>
          </w:p>
        </w:tc>
        <w:tc>
          <w:tcPr>
            <w:tcW w:w="852" w:type="dxa"/>
            <w:shd w:val="clear" w:color="auto" w:fill="auto"/>
            <w:noWrap/>
            <w:vAlign w:val="center"/>
          </w:tcPr>
          <w:p w:rsidR="004C27C0" w:rsidRPr="00843B23" w:rsidRDefault="004C27C0" w:rsidP="000C6073">
            <w:pPr>
              <w:spacing w:after="0"/>
              <w:ind w:firstLine="0"/>
              <w:jc w:val="right"/>
              <w:rPr>
                <w:rFonts w:ascii="Arial Narrow" w:hAnsi="Arial Narrow" w:cs="Arial"/>
                <w:sz w:val="16"/>
                <w:szCs w:val="16"/>
                <w:lang w:eastAsia="es-ES"/>
              </w:rPr>
            </w:pPr>
          </w:p>
        </w:tc>
        <w:tc>
          <w:tcPr>
            <w:tcW w:w="808" w:type="dxa"/>
            <w:shd w:val="clear" w:color="auto" w:fill="auto"/>
            <w:noWrap/>
            <w:vAlign w:val="center"/>
          </w:tcPr>
          <w:p w:rsidR="004C27C0" w:rsidRPr="00843B23" w:rsidRDefault="004C27C0" w:rsidP="000C6073">
            <w:pPr>
              <w:spacing w:after="0"/>
              <w:ind w:firstLine="0"/>
              <w:jc w:val="right"/>
              <w:rPr>
                <w:rFonts w:ascii="Arial Narrow" w:hAnsi="Arial Narrow" w:cs="Arial"/>
                <w:sz w:val="16"/>
                <w:szCs w:val="16"/>
                <w:lang w:eastAsia="es-ES"/>
              </w:rPr>
            </w:pPr>
          </w:p>
        </w:tc>
        <w:tc>
          <w:tcPr>
            <w:tcW w:w="897" w:type="dxa"/>
            <w:shd w:val="clear" w:color="auto" w:fill="auto"/>
            <w:noWrap/>
            <w:vAlign w:val="center"/>
          </w:tcPr>
          <w:p w:rsidR="004C27C0" w:rsidRPr="00843B23" w:rsidRDefault="004C27C0" w:rsidP="000C6073">
            <w:pPr>
              <w:spacing w:after="0"/>
              <w:ind w:firstLine="0"/>
              <w:jc w:val="right"/>
              <w:rPr>
                <w:rFonts w:ascii="Arial Narrow" w:hAnsi="Arial Narrow" w:cs="Arial"/>
                <w:sz w:val="16"/>
                <w:szCs w:val="16"/>
                <w:lang w:eastAsia="es-ES"/>
              </w:rPr>
            </w:pPr>
          </w:p>
        </w:tc>
        <w:tc>
          <w:tcPr>
            <w:tcW w:w="808" w:type="dxa"/>
            <w:shd w:val="clear" w:color="auto" w:fill="auto"/>
            <w:noWrap/>
            <w:vAlign w:val="center"/>
          </w:tcPr>
          <w:p w:rsidR="004C27C0" w:rsidRPr="00843B23" w:rsidRDefault="004C27C0" w:rsidP="000C6073">
            <w:pPr>
              <w:spacing w:after="0"/>
              <w:ind w:firstLine="0"/>
              <w:jc w:val="right"/>
              <w:rPr>
                <w:rFonts w:ascii="Arial Narrow" w:hAnsi="Arial Narrow" w:cs="Arial"/>
                <w:sz w:val="16"/>
                <w:szCs w:val="16"/>
                <w:lang w:eastAsia="es-ES"/>
              </w:rPr>
            </w:pPr>
          </w:p>
        </w:tc>
        <w:tc>
          <w:tcPr>
            <w:tcW w:w="719" w:type="dxa"/>
            <w:shd w:val="clear" w:color="auto" w:fill="auto"/>
            <w:noWrap/>
            <w:vAlign w:val="center"/>
          </w:tcPr>
          <w:p w:rsidR="004C27C0" w:rsidRPr="00843B23" w:rsidRDefault="004C27C0" w:rsidP="000C6073">
            <w:pPr>
              <w:spacing w:after="0"/>
              <w:ind w:firstLine="0"/>
              <w:jc w:val="right"/>
              <w:rPr>
                <w:rFonts w:ascii="Arial Narrow" w:hAnsi="Arial Narrow" w:cs="Arial"/>
                <w:sz w:val="16"/>
                <w:szCs w:val="16"/>
                <w:lang w:eastAsia="es-ES"/>
              </w:rPr>
            </w:pPr>
          </w:p>
        </w:tc>
        <w:tc>
          <w:tcPr>
            <w:tcW w:w="660" w:type="dxa"/>
            <w:shd w:val="clear" w:color="auto" w:fill="auto"/>
            <w:noWrap/>
            <w:vAlign w:val="center"/>
          </w:tcPr>
          <w:p w:rsidR="004C27C0" w:rsidRPr="00843B23" w:rsidRDefault="004C27C0" w:rsidP="000C6073">
            <w:pPr>
              <w:spacing w:after="0"/>
              <w:ind w:firstLine="0"/>
              <w:jc w:val="right"/>
              <w:rPr>
                <w:rFonts w:ascii="Arial Narrow" w:hAnsi="Arial Narrow" w:cs="Arial"/>
                <w:sz w:val="16"/>
                <w:szCs w:val="16"/>
                <w:lang w:eastAsia="es-ES"/>
              </w:rPr>
            </w:pPr>
          </w:p>
        </w:tc>
        <w:tc>
          <w:tcPr>
            <w:tcW w:w="650" w:type="dxa"/>
            <w:shd w:val="clear" w:color="auto" w:fill="auto"/>
            <w:noWrap/>
            <w:vAlign w:val="center"/>
          </w:tcPr>
          <w:p w:rsidR="004C27C0" w:rsidRPr="00843B23" w:rsidRDefault="004C27C0" w:rsidP="000C6073">
            <w:pPr>
              <w:spacing w:after="0"/>
              <w:ind w:firstLine="0"/>
              <w:jc w:val="right"/>
              <w:rPr>
                <w:rFonts w:ascii="Arial Narrow" w:hAnsi="Arial Narrow" w:cs="Arial"/>
                <w:sz w:val="16"/>
                <w:szCs w:val="16"/>
                <w:lang w:eastAsia="es-ES"/>
              </w:rPr>
            </w:pPr>
          </w:p>
        </w:tc>
        <w:tc>
          <w:tcPr>
            <w:tcW w:w="808" w:type="dxa"/>
            <w:shd w:val="clear" w:color="auto" w:fill="auto"/>
            <w:noWrap/>
            <w:vAlign w:val="center"/>
          </w:tcPr>
          <w:p w:rsidR="004C27C0" w:rsidRPr="00843B23" w:rsidRDefault="004C27C0" w:rsidP="0026160E">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23.500</w:t>
            </w:r>
          </w:p>
        </w:tc>
      </w:tr>
      <w:tr w:rsidR="004C27C0" w:rsidRPr="00843B23" w:rsidTr="00843B23">
        <w:trPr>
          <w:trHeight w:val="340"/>
          <w:jc w:val="center"/>
        </w:trPr>
        <w:tc>
          <w:tcPr>
            <w:tcW w:w="1391" w:type="dxa"/>
            <w:shd w:val="clear" w:color="auto" w:fill="auto"/>
            <w:noWrap/>
            <w:vAlign w:val="center"/>
          </w:tcPr>
          <w:p w:rsidR="004C27C0" w:rsidRPr="00843B23" w:rsidRDefault="004C27C0" w:rsidP="00843B23">
            <w:pPr>
              <w:spacing w:after="0"/>
              <w:ind w:firstLine="0"/>
              <w:jc w:val="left"/>
              <w:rPr>
                <w:rFonts w:ascii="Arial Narrow" w:hAnsi="Arial Narrow" w:cs="Arial"/>
                <w:sz w:val="16"/>
                <w:szCs w:val="16"/>
                <w:lang w:eastAsia="es-ES"/>
              </w:rPr>
            </w:pPr>
            <w:r w:rsidRPr="00843B23">
              <w:rPr>
                <w:rFonts w:ascii="Arial Narrow" w:hAnsi="Arial Narrow" w:cs="Arial"/>
                <w:sz w:val="16"/>
                <w:szCs w:val="16"/>
                <w:lang w:eastAsia="es-ES"/>
              </w:rPr>
              <w:t>Acuerdos con entidades deportivas</w:t>
            </w:r>
          </w:p>
        </w:tc>
        <w:tc>
          <w:tcPr>
            <w:tcW w:w="683" w:type="dxa"/>
            <w:shd w:val="clear" w:color="auto" w:fill="auto"/>
            <w:noWrap/>
            <w:vAlign w:val="center"/>
          </w:tcPr>
          <w:p w:rsidR="004C27C0" w:rsidRPr="00843B23" w:rsidRDefault="004C27C0" w:rsidP="0026160E">
            <w:pPr>
              <w:spacing w:after="0"/>
              <w:ind w:firstLine="0"/>
              <w:jc w:val="right"/>
              <w:rPr>
                <w:rFonts w:ascii="Arial Narrow" w:hAnsi="Arial Narrow" w:cs="Arial"/>
                <w:sz w:val="16"/>
                <w:szCs w:val="16"/>
                <w:lang w:eastAsia="es-ES"/>
              </w:rPr>
            </w:pPr>
          </w:p>
        </w:tc>
        <w:tc>
          <w:tcPr>
            <w:tcW w:w="808" w:type="dxa"/>
            <w:shd w:val="clear" w:color="auto" w:fill="auto"/>
            <w:noWrap/>
            <w:vAlign w:val="center"/>
          </w:tcPr>
          <w:p w:rsidR="004C27C0" w:rsidRPr="00843B23" w:rsidRDefault="004C27C0" w:rsidP="0026160E">
            <w:pPr>
              <w:spacing w:after="0"/>
              <w:ind w:firstLine="0"/>
              <w:jc w:val="right"/>
              <w:rPr>
                <w:rFonts w:ascii="Arial Narrow" w:hAnsi="Arial Narrow" w:cs="Arial"/>
                <w:sz w:val="16"/>
                <w:szCs w:val="16"/>
                <w:lang w:eastAsia="es-ES"/>
              </w:rPr>
            </w:pPr>
          </w:p>
        </w:tc>
        <w:tc>
          <w:tcPr>
            <w:tcW w:w="808" w:type="dxa"/>
            <w:shd w:val="clear" w:color="auto" w:fill="auto"/>
            <w:noWrap/>
            <w:vAlign w:val="center"/>
          </w:tcPr>
          <w:p w:rsidR="004C27C0" w:rsidRPr="00843B23" w:rsidRDefault="004C27C0" w:rsidP="0026160E">
            <w:pPr>
              <w:spacing w:after="0"/>
              <w:ind w:firstLine="0"/>
              <w:jc w:val="right"/>
              <w:rPr>
                <w:rFonts w:ascii="Arial Narrow" w:hAnsi="Arial Narrow" w:cs="Arial"/>
                <w:sz w:val="16"/>
                <w:szCs w:val="16"/>
                <w:lang w:eastAsia="es-ES"/>
              </w:rPr>
            </w:pPr>
          </w:p>
        </w:tc>
        <w:tc>
          <w:tcPr>
            <w:tcW w:w="852" w:type="dxa"/>
            <w:shd w:val="clear" w:color="auto" w:fill="auto"/>
            <w:noWrap/>
            <w:vAlign w:val="center"/>
          </w:tcPr>
          <w:p w:rsidR="004C27C0" w:rsidRPr="00843B23" w:rsidRDefault="004C27C0" w:rsidP="000C6073">
            <w:pPr>
              <w:spacing w:after="0"/>
              <w:ind w:firstLine="0"/>
              <w:jc w:val="right"/>
              <w:rPr>
                <w:rFonts w:ascii="Arial Narrow" w:hAnsi="Arial Narrow" w:cs="Arial"/>
                <w:sz w:val="16"/>
                <w:szCs w:val="16"/>
                <w:lang w:eastAsia="es-ES"/>
              </w:rPr>
            </w:pPr>
          </w:p>
        </w:tc>
        <w:tc>
          <w:tcPr>
            <w:tcW w:w="808" w:type="dxa"/>
            <w:shd w:val="clear" w:color="auto" w:fill="auto"/>
            <w:noWrap/>
            <w:vAlign w:val="center"/>
          </w:tcPr>
          <w:p w:rsidR="004C27C0" w:rsidRPr="00843B23" w:rsidRDefault="004C27C0" w:rsidP="000C6073">
            <w:pPr>
              <w:spacing w:after="0"/>
              <w:ind w:firstLine="0"/>
              <w:jc w:val="right"/>
              <w:rPr>
                <w:rFonts w:ascii="Arial Narrow" w:hAnsi="Arial Narrow" w:cs="Arial"/>
                <w:sz w:val="16"/>
                <w:szCs w:val="16"/>
                <w:lang w:eastAsia="es-ES"/>
              </w:rPr>
            </w:pPr>
          </w:p>
        </w:tc>
        <w:tc>
          <w:tcPr>
            <w:tcW w:w="897" w:type="dxa"/>
            <w:shd w:val="clear" w:color="auto" w:fill="auto"/>
            <w:noWrap/>
            <w:vAlign w:val="center"/>
          </w:tcPr>
          <w:p w:rsidR="004C27C0" w:rsidRPr="00843B23" w:rsidRDefault="004C27C0" w:rsidP="000C6073">
            <w:pPr>
              <w:spacing w:after="0"/>
              <w:ind w:firstLine="0"/>
              <w:jc w:val="right"/>
              <w:rPr>
                <w:rFonts w:ascii="Arial Narrow" w:hAnsi="Arial Narrow" w:cs="Arial"/>
                <w:sz w:val="16"/>
                <w:szCs w:val="16"/>
                <w:lang w:eastAsia="es-ES"/>
              </w:rPr>
            </w:pPr>
          </w:p>
        </w:tc>
        <w:tc>
          <w:tcPr>
            <w:tcW w:w="808" w:type="dxa"/>
            <w:shd w:val="clear" w:color="auto" w:fill="auto"/>
            <w:noWrap/>
            <w:vAlign w:val="center"/>
          </w:tcPr>
          <w:p w:rsidR="004C27C0" w:rsidRPr="00843B23" w:rsidRDefault="004C27C0" w:rsidP="000C6073">
            <w:pPr>
              <w:spacing w:after="0"/>
              <w:ind w:firstLine="0"/>
              <w:jc w:val="right"/>
              <w:rPr>
                <w:rFonts w:ascii="Arial Narrow" w:hAnsi="Arial Narrow" w:cs="Arial"/>
                <w:sz w:val="16"/>
                <w:szCs w:val="16"/>
                <w:lang w:eastAsia="es-ES"/>
              </w:rPr>
            </w:pPr>
          </w:p>
        </w:tc>
        <w:tc>
          <w:tcPr>
            <w:tcW w:w="719" w:type="dxa"/>
            <w:shd w:val="clear" w:color="auto" w:fill="auto"/>
            <w:noWrap/>
            <w:vAlign w:val="center"/>
          </w:tcPr>
          <w:p w:rsidR="004C27C0" w:rsidRPr="00843B23" w:rsidRDefault="004C27C0" w:rsidP="000C6073">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60.400</w:t>
            </w:r>
          </w:p>
        </w:tc>
        <w:tc>
          <w:tcPr>
            <w:tcW w:w="660" w:type="dxa"/>
            <w:shd w:val="clear" w:color="auto" w:fill="auto"/>
            <w:noWrap/>
            <w:vAlign w:val="center"/>
          </w:tcPr>
          <w:p w:rsidR="004C27C0" w:rsidRPr="00843B23" w:rsidRDefault="004C27C0" w:rsidP="000C6073">
            <w:pPr>
              <w:spacing w:after="0"/>
              <w:ind w:firstLine="0"/>
              <w:jc w:val="right"/>
              <w:rPr>
                <w:rFonts w:ascii="Arial Narrow" w:hAnsi="Arial Narrow" w:cs="Arial"/>
                <w:sz w:val="16"/>
                <w:szCs w:val="16"/>
                <w:lang w:eastAsia="es-ES"/>
              </w:rPr>
            </w:pPr>
          </w:p>
        </w:tc>
        <w:tc>
          <w:tcPr>
            <w:tcW w:w="650" w:type="dxa"/>
            <w:shd w:val="clear" w:color="auto" w:fill="auto"/>
            <w:noWrap/>
            <w:vAlign w:val="center"/>
          </w:tcPr>
          <w:p w:rsidR="004C27C0" w:rsidRPr="00843B23" w:rsidRDefault="004C27C0" w:rsidP="000C6073">
            <w:pPr>
              <w:spacing w:after="0"/>
              <w:ind w:firstLine="0"/>
              <w:jc w:val="right"/>
              <w:rPr>
                <w:rFonts w:ascii="Arial Narrow" w:hAnsi="Arial Narrow" w:cs="Arial"/>
                <w:sz w:val="16"/>
                <w:szCs w:val="16"/>
                <w:lang w:eastAsia="es-ES"/>
              </w:rPr>
            </w:pPr>
          </w:p>
        </w:tc>
        <w:tc>
          <w:tcPr>
            <w:tcW w:w="808" w:type="dxa"/>
            <w:shd w:val="clear" w:color="auto" w:fill="auto"/>
            <w:noWrap/>
            <w:vAlign w:val="center"/>
          </w:tcPr>
          <w:p w:rsidR="004C27C0" w:rsidRPr="00843B23" w:rsidRDefault="004C27C0" w:rsidP="0026160E">
            <w:pPr>
              <w:spacing w:after="0"/>
              <w:ind w:firstLine="0"/>
              <w:jc w:val="right"/>
              <w:rPr>
                <w:rFonts w:ascii="Arial Narrow" w:hAnsi="Arial Narrow" w:cs="Arial"/>
                <w:sz w:val="16"/>
                <w:szCs w:val="16"/>
                <w:lang w:eastAsia="es-ES"/>
              </w:rPr>
            </w:pPr>
            <w:r w:rsidRPr="00843B23">
              <w:rPr>
                <w:rFonts w:ascii="Arial Narrow" w:hAnsi="Arial Narrow" w:cs="Arial"/>
                <w:sz w:val="16"/>
                <w:szCs w:val="16"/>
                <w:lang w:eastAsia="es-ES"/>
              </w:rPr>
              <w:t>60.400</w:t>
            </w:r>
          </w:p>
        </w:tc>
      </w:tr>
      <w:tr w:rsidR="004C27C0" w:rsidRPr="00843B23" w:rsidTr="00843B23">
        <w:trPr>
          <w:trHeight w:val="340"/>
          <w:jc w:val="center"/>
        </w:trPr>
        <w:tc>
          <w:tcPr>
            <w:tcW w:w="1391" w:type="dxa"/>
            <w:tcBorders>
              <w:top w:val="single" w:sz="4" w:space="0" w:color="auto"/>
              <w:bottom w:val="single" w:sz="4" w:space="0" w:color="auto"/>
            </w:tcBorders>
            <w:shd w:val="clear" w:color="auto" w:fill="8DB3E2" w:themeFill="text2" w:themeFillTint="66"/>
            <w:noWrap/>
            <w:vAlign w:val="center"/>
          </w:tcPr>
          <w:p w:rsidR="004C27C0" w:rsidRPr="00843B23" w:rsidRDefault="004C27C0" w:rsidP="00843B23">
            <w:pPr>
              <w:spacing w:after="0"/>
              <w:ind w:firstLine="0"/>
              <w:jc w:val="left"/>
              <w:rPr>
                <w:rFonts w:ascii="Arial" w:hAnsi="Arial" w:cs="Arial"/>
                <w:sz w:val="15"/>
                <w:szCs w:val="15"/>
                <w:lang w:eastAsia="es-ES"/>
              </w:rPr>
            </w:pPr>
            <w:r w:rsidRPr="00843B23">
              <w:rPr>
                <w:rFonts w:ascii="Arial" w:hAnsi="Arial" w:cs="Arial"/>
                <w:sz w:val="15"/>
                <w:szCs w:val="15"/>
                <w:lang w:eastAsia="es-ES"/>
              </w:rPr>
              <w:t>Total compensaciones</w:t>
            </w:r>
          </w:p>
        </w:tc>
        <w:tc>
          <w:tcPr>
            <w:tcW w:w="683" w:type="dxa"/>
            <w:tcBorders>
              <w:top w:val="single" w:sz="4" w:space="0" w:color="auto"/>
              <w:bottom w:val="single" w:sz="4" w:space="0" w:color="auto"/>
            </w:tcBorders>
            <w:shd w:val="clear" w:color="auto" w:fill="8DB3E2" w:themeFill="text2" w:themeFillTint="66"/>
            <w:noWrap/>
            <w:vAlign w:val="center"/>
          </w:tcPr>
          <w:p w:rsidR="004C27C0" w:rsidRPr="00843B23" w:rsidRDefault="004C27C0" w:rsidP="0026160E">
            <w:pPr>
              <w:spacing w:after="0"/>
              <w:ind w:firstLine="0"/>
              <w:jc w:val="right"/>
              <w:rPr>
                <w:rFonts w:ascii="Arial" w:hAnsi="Arial" w:cs="Arial"/>
                <w:sz w:val="15"/>
                <w:szCs w:val="15"/>
                <w:lang w:eastAsia="es-ES"/>
              </w:rPr>
            </w:pPr>
            <w:r w:rsidRPr="00843B23">
              <w:rPr>
                <w:rFonts w:ascii="Arial" w:hAnsi="Arial" w:cs="Arial"/>
                <w:sz w:val="15"/>
                <w:szCs w:val="15"/>
                <w:lang w:eastAsia="es-ES"/>
              </w:rPr>
              <w:t>38.380</w:t>
            </w:r>
          </w:p>
        </w:tc>
        <w:tc>
          <w:tcPr>
            <w:tcW w:w="808" w:type="dxa"/>
            <w:tcBorders>
              <w:top w:val="single" w:sz="4" w:space="0" w:color="auto"/>
              <w:bottom w:val="single" w:sz="4" w:space="0" w:color="auto"/>
            </w:tcBorders>
            <w:shd w:val="clear" w:color="auto" w:fill="8DB3E2" w:themeFill="text2" w:themeFillTint="66"/>
            <w:noWrap/>
            <w:vAlign w:val="center"/>
          </w:tcPr>
          <w:p w:rsidR="004C27C0" w:rsidRPr="00843B23" w:rsidRDefault="004C27C0" w:rsidP="0026160E">
            <w:pPr>
              <w:spacing w:after="0"/>
              <w:ind w:firstLine="0"/>
              <w:jc w:val="right"/>
              <w:rPr>
                <w:rFonts w:ascii="Arial" w:hAnsi="Arial" w:cs="Arial"/>
                <w:sz w:val="15"/>
                <w:szCs w:val="15"/>
                <w:lang w:eastAsia="es-ES"/>
              </w:rPr>
            </w:pPr>
            <w:r w:rsidRPr="00843B23">
              <w:rPr>
                <w:rFonts w:ascii="Arial" w:hAnsi="Arial" w:cs="Arial"/>
                <w:sz w:val="15"/>
                <w:szCs w:val="15"/>
                <w:lang w:eastAsia="es-ES"/>
              </w:rPr>
              <w:t>0</w:t>
            </w:r>
          </w:p>
        </w:tc>
        <w:tc>
          <w:tcPr>
            <w:tcW w:w="808" w:type="dxa"/>
            <w:tcBorders>
              <w:top w:val="single" w:sz="4" w:space="0" w:color="auto"/>
              <w:bottom w:val="single" w:sz="4" w:space="0" w:color="auto"/>
            </w:tcBorders>
            <w:shd w:val="clear" w:color="auto" w:fill="8DB3E2" w:themeFill="text2" w:themeFillTint="66"/>
            <w:noWrap/>
            <w:vAlign w:val="center"/>
          </w:tcPr>
          <w:p w:rsidR="004C27C0" w:rsidRPr="00843B23" w:rsidRDefault="004C27C0" w:rsidP="0026160E">
            <w:pPr>
              <w:spacing w:after="0"/>
              <w:ind w:firstLine="0"/>
              <w:jc w:val="right"/>
              <w:rPr>
                <w:rFonts w:ascii="Arial" w:hAnsi="Arial" w:cs="Arial"/>
                <w:sz w:val="15"/>
                <w:szCs w:val="15"/>
                <w:lang w:eastAsia="es-ES"/>
              </w:rPr>
            </w:pPr>
            <w:r w:rsidRPr="00843B23">
              <w:rPr>
                <w:rFonts w:ascii="Arial" w:hAnsi="Arial" w:cs="Arial"/>
                <w:sz w:val="15"/>
                <w:szCs w:val="15"/>
                <w:lang w:eastAsia="es-ES"/>
              </w:rPr>
              <w:t>0</w:t>
            </w:r>
          </w:p>
        </w:tc>
        <w:tc>
          <w:tcPr>
            <w:tcW w:w="852" w:type="dxa"/>
            <w:tcBorders>
              <w:top w:val="single" w:sz="4" w:space="0" w:color="auto"/>
              <w:bottom w:val="single" w:sz="4" w:space="0" w:color="auto"/>
            </w:tcBorders>
            <w:shd w:val="clear" w:color="auto" w:fill="8DB3E2" w:themeFill="text2" w:themeFillTint="66"/>
            <w:noWrap/>
            <w:vAlign w:val="center"/>
          </w:tcPr>
          <w:p w:rsidR="004C27C0" w:rsidRPr="00843B23" w:rsidRDefault="004C27C0" w:rsidP="0026160E">
            <w:pPr>
              <w:spacing w:after="0"/>
              <w:ind w:firstLine="0"/>
              <w:jc w:val="right"/>
              <w:rPr>
                <w:rFonts w:ascii="Arial" w:hAnsi="Arial" w:cs="Arial"/>
                <w:sz w:val="15"/>
                <w:szCs w:val="15"/>
                <w:lang w:eastAsia="es-ES"/>
              </w:rPr>
            </w:pPr>
            <w:r w:rsidRPr="00843B23">
              <w:rPr>
                <w:rFonts w:ascii="Arial" w:hAnsi="Arial" w:cs="Arial"/>
                <w:sz w:val="15"/>
                <w:szCs w:val="15"/>
                <w:lang w:eastAsia="es-ES"/>
              </w:rPr>
              <w:t>0</w:t>
            </w:r>
          </w:p>
        </w:tc>
        <w:tc>
          <w:tcPr>
            <w:tcW w:w="808" w:type="dxa"/>
            <w:tcBorders>
              <w:top w:val="single" w:sz="4" w:space="0" w:color="auto"/>
              <w:bottom w:val="single" w:sz="4" w:space="0" w:color="auto"/>
            </w:tcBorders>
            <w:shd w:val="clear" w:color="auto" w:fill="8DB3E2" w:themeFill="text2" w:themeFillTint="66"/>
            <w:noWrap/>
            <w:vAlign w:val="center"/>
          </w:tcPr>
          <w:p w:rsidR="004C27C0" w:rsidRPr="00843B23" w:rsidRDefault="004C27C0" w:rsidP="0026160E">
            <w:pPr>
              <w:spacing w:after="0"/>
              <w:ind w:firstLine="0"/>
              <w:jc w:val="right"/>
              <w:rPr>
                <w:rFonts w:ascii="Arial" w:hAnsi="Arial" w:cs="Arial"/>
                <w:sz w:val="15"/>
                <w:szCs w:val="15"/>
                <w:lang w:eastAsia="es-ES"/>
              </w:rPr>
            </w:pPr>
            <w:r w:rsidRPr="00843B23">
              <w:rPr>
                <w:rFonts w:ascii="Arial" w:hAnsi="Arial" w:cs="Arial"/>
                <w:sz w:val="15"/>
                <w:szCs w:val="15"/>
                <w:lang w:eastAsia="es-ES"/>
              </w:rPr>
              <w:t>960</w:t>
            </w:r>
          </w:p>
        </w:tc>
        <w:tc>
          <w:tcPr>
            <w:tcW w:w="897" w:type="dxa"/>
            <w:tcBorders>
              <w:top w:val="single" w:sz="4" w:space="0" w:color="auto"/>
              <w:bottom w:val="single" w:sz="4" w:space="0" w:color="auto"/>
            </w:tcBorders>
            <w:shd w:val="clear" w:color="auto" w:fill="8DB3E2" w:themeFill="text2" w:themeFillTint="66"/>
            <w:noWrap/>
            <w:vAlign w:val="center"/>
          </w:tcPr>
          <w:p w:rsidR="004C27C0" w:rsidRPr="00843B23" w:rsidRDefault="004C27C0" w:rsidP="0026160E">
            <w:pPr>
              <w:spacing w:after="0"/>
              <w:ind w:firstLine="0"/>
              <w:jc w:val="right"/>
              <w:rPr>
                <w:rFonts w:ascii="Arial" w:hAnsi="Arial" w:cs="Arial"/>
                <w:sz w:val="15"/>
                <w:szCs w:val="15"/>
                <w:lang w:eastAsia="es-ES"/>
              </w:rPr>
            </w:pPr>
            <w:r w:rsidRPr="00843B23">
              <w:rPr>
                <w:rFonts w:ascii="Arial" w:hAnsi="Arial" w:cs="Arial"/>
                <w:sz w:val="15"/>
                <w:szCs w:val="15"/>
                <w:lang w:eastAsia="es-ES"/>
              </w:rPr>
              <w:t>792.926</w:t>
            </w:r>
          </w:p>
        </w:tc>
        <w:tc>
          <w:tcPr>
            <w:tcW w:w="808" w:type="dxa"/>
            <w:tcBorders>
              <w:top w:val="single" w:sz="4" w:space="0" w:color="auto"/>
              <w:bottom w:val="single" w:sz="4" w:space="0" w:color="auto"/>
            </w:tcBorders>
            <w:shd w:val="clear" w:color="auto" w:fill="8DB3E2" w:themeFill="text2" w:themeFillTint="66"/>
            <w:noWrap/>
            <w:vAlign w:val="center"/>
          </w:tcPr>
          <w:p w:rsidR="004C27C0" w:rsidRPr="00843B23" w:rsidRDefault="004C27C0" w:rsidP="0026160E">
            <w:pPr>
              <w:spacing w:after="0"/>
              <w:ind w:firstLine="0"/>
              <w:jc w:val="right"/>
              <w:rPr>
                <w:rFonts w:ascii="Arial" w:hAnsi="Arial" w:cs="Arial"/>
                <w:sz w:val="15"/>
                <w:szCs w:val="15"/>
                <w:lang w:eastAsia="es-ES"/>
              </w:rPr>
            </w:pPr>
            <w:r w:rsidRPr="00843B23">
              <w:rPr>
                <w:rFonts w:ascii="Arial" w:hAnsi="Arial" w:cs="Arial"/>
                <w:sz w:val="15"/>
                <w:szCs w:val="15"/>
                <w:lang w:eastAsia="es-ES"/>
              </w:rPr>
              <w:t>765.840</w:t>
            </w:r>
          </w:p>
        </w:tc>
        <w:tc>
          <w:tcPr>
            <w:tcW w:w="719" w:type="dxa"/>
            <w:tcBorders>
              <w:top w:val="single" w:sz="4" w:space="0" w:color="auto"/>
              <w:bottom w:val="single" w:sz="4" w:space="0" w:color="auto"/>
            </w:tcBorders>
            <w:shd w:val="clear" w:color="auto" w:fill="8DB3E2" w:themeFill="text2" w:themeFillTint="66"/>
            <w:noWrap/>
            <w:vAlign w:val="center"/>
          </w:tcPr>
          <w:p w:rsidR="004C27C0" w:rsidRPr="00843B23" w:rsidRDefault="004C27C0" w:rsidP="0026160E">
            <w:pPr>
              <w:spacing w:after="0"/>
              <w:ind w:firstLine="0"/>
              <w:jc w:val="right"/>
              <w:rPr>
                <w:rFonts w:ascii="Arial" w:hAnsi="Arial" w:cs="Arial"/>
                <w:sz w:val="15"/>
                <w:szCs w:val="15"/>
                <w:lang w:eastAsia="es-ES"/>
              </w:rPr>
            </w:pPr>
            <w:r w:rsidRPr="00843B23">
              <w:rPr>
                <w:rFonts w:ascii="Arial" w:hAnsi="Arial" w:cs="Arial"/>
                <w:sz w:val="15"/>
                <w:szCs w:val="15"/>
                <w:lang w:eastAsia="es-ES"/>
              </w:rPr>
              <w:t>840.700</w:t>
            </w:r>
          </w:p>
        </w:tc>
        <w:tc>
          <w:tcPr>
            <w:tcW w:w="660" w:type="dxa"/>
            <w:tcBorders>
              <w:top w:val="single" w:sz="4" w:space="0" w:color="auto"/>
              <w:bottom w:val="single" w:sz="4" w:space="0" w:color="auto"/>
            </w:tcBorders>
            <w:shd w:val="clear" w:color="auto" w:fill="8DB3E2" w:themeFill="text2" w:themeFillTint="66"/>
            <w:noWrap/>
            <w:vAlign w:val="center"/>
          </w:tcPr>
          <w:p w:rsidR="004C27C0" w:rsidRPr="00843B23" w:rsidRDefault="004C27C0" w:rsidP="0026160E">
            <w:pPr>
              <w:spacing w:after="0"/>
              <w:ind w:firstLine="0"/>
              <w:jc w:val="right"/>
              <w:rPr>
                <w:rFonts w:ascii="Arial" w:hAnsi="Arial" w:cs="Arial"/>
                <w:sz w:val="15"/>
                <w:szCs w:val="15"/>
                <w:lang w:eastAsia="es-ES"/>
              </w:rPr>
            </w:pPr>
            <w:r w:rsidRPr="00843B23">
              <w:rPr>
                <w:rFonts w:ascii="Arial" w:hAnsi="Arial" w:cs="Arial"/>
                <w:sz w:val="15"/>
                <w:szCs w:val="15"/>
                <w:lang w:eastAsia="es-ES"/>
              </w:rPr>
              <w:t>0</w:t>
            </w:r>
          </w:p>
        </w:tc>
        <w:tc>
          <w:tcPr>
            <w:tcW w:w="650" w:type="dxa"/>
            <w:tcBorders>
              <w:top w:val="single" w:sz="4" w:space="0" w:color="auto"/>
              <w:bottom w:val="single" w:sz="4" w:space="0" w:color="auto"/>
            </w:tcBorders>
            <w:shd w:val="clear" w:color="auto" w:fill="8DB3E2" w:themeFill="text2" w:themeFillTint="66"/>
            <w:noWrap/>
            <w:vAlign w:val="center"/>
          </w:tcPr>
          <w:p w:rsidR="004C27C0" w:rsidRPr="00843B23" w:rsidRDefault="004C27C0" w:rsidP="0026160E">
            <w:pPr>
              <w:spacing w:after="0"/>
              <w:ind w:firstLine="0"/>
              <w:jc w:val="right"/>
              <w:rPr>
                <w:rFonts w:ascii="Arial" w:hAnsi="Arial" w:cs="Arial"/>
                <w:sz w:val="15"/>
                <w:szCs w:val="15"/>
                <w:lang w:eastAsia="es-ES"/>
              </w:rPr>
            </w:pPr>
            <w:r w:rsidRPr="00843B23">
              <w:rPr>
                <w:rFonts w:ascii="Arial" w:hAnsi="Arial" w:cs="Arial"/>
                <w:sz w:val="15"/>
                <w:szCs w:val="15"/>
                <w:lang w:eastAsia="es-ES"/>
              </w:rPr>
              <w:t>0</w:t>
            </w:r>
          </w:p>
        </w:tc>
        <w:tc>
          <w:tcPr>
            <w:tcW w:w="808" w:type="dxa"/>
            <w:tcBorders>
              <w:top w:val="single" w:sz="4" w:space="0" w:color="auto"/>
              <w:bottom w:val="single" w:sz="4" w:space="0" w:color="auto"/>
            </w:tcBorders>
            <w:shd w:val="clear" w:color="auto" w:fill="8DB3E2" w:themeFill="text2" w:themeFillTint="66"/>
            <w:noWrap/>
            <w:vAlign w:val="center"/>
          </w:tcPr>
          <w:p w:rsidR="004C27C0" w:rsidRPr="00843B23" w:rsidRDefault="004C27C0" w:rsidP="0026160E">
            <w:pPr>
              <w:spacing w:after="0"/>
              <w:ind w:firstLine="0"/>
              <w:jc w:val="right"/>
              <w:rPr>
                <w:rFonts w:ascii="Arial" w:hAnsi="Arial" w:cs="Arial"/>
                <w:sz w:val="15"/>
                <w:szCs w:val="15"/>
                <w:lang w:eastAsia="es-ES"/>
              </w:rPr>
            </w:pPr>
            <w:r w:rsidRPr="00843B23">
              <w:rPr>
                <w:rFonts w:ascii="Arial" w:hAnsi="Arial" w:cs="Arial"/>
                <w:sz w:val="15"/>
                <w:szCs w:val="15"/>
                <w:lang w:eastAsia="es-ES"/>
              </w:rPr>
              <w:t>2.438.806</w:t>
            </w:r>
          </w:p>
        </w:tc>
      </w:tr>
    </w:tbl>
    <w:p w:rsidR="0026160E" w:rsidRDefault="0026160E" w:rsidP="00843B23">
      <w:pPr>
        <w:pStyle w:val="texto"/>
        <w:tabs>
          <w:tab w:val="num" w:pos="300"/>
          <w:tab w:val="num" w:pos="4920"/>
        </w:tabs>
        <w:spacing w:after="0"/>
        <w:rPr>
          <w:szCs w:val="26"/>
        </w:rPr>
      </w:pPr>
    </w:p>
    <w:p w:rsidR="001C2DF7" w:rsidRDefault="00D9512D" w:rsidP="004A251B">
      <w:pPr>
        <w:pStyle w:val="texto"/>
        <w:tabs>
          <w:tab w:val="num" w:pos="300"/>
          <w:tab w:val="num" w:pos="4920"/>
        </w:tabs>
        <w:rPr>
          <w:szCs w:val="26"/>
        </w:rPr>
      </w:pPr>
      <w:r>
        <w:rPr>
          <w:szCs w:val="26"/>
        </w:rPr>
        <w:t xml:space="preserve">Es decir, en el periodo analizado, los </w:t>
      </w:r>
      <w:r w:rsidRPr="0044756D">
        <w:rPr>
          <w:szCs w:val="26"/>
        </w:rPr>
        <w:t>gastos presupuestarios</w:t>
      </w:r>
      <w:r>
        <w:rPr>
          <w:szCs w:val="26"/>
        </w:rPr>
        <w:t xml:space="preserve"> del Gobierno a favor del </w:t>
      </w:r>
      <w:r w:rsidR="00B3365F">
        <w:rPr>
          <w:szCs w:val="26"/>
        </w:rPr>
        <w:t>c</w:t>
      </w:r>
      <w:r>
        <w:rPr>
          <w:szCs w:val="26"/>
        </w:rPr>
        <w:t xml:space="preserve">lub han ascendido a </w:t>
      </w:r>
      <w:r w:rsidR="009A132F">
        <w:rPr>
          <w:szCs w:val="26"/>
        </w:rPr>
        <w:t>9,81</w:t>
      </w:r>
      <w:r>
        <w:rPr>
          <w:szCs w:val="26"/>
        </w:rPr>
        <w:t xml:space="preserve"> millones. De esto</w:t>
      </w:r>
      <w:r w:rsidR="002A462C">
        <w:rPr>
          <w:szCs w:val="26"/>
        </w:rPr>
        <w:t>s</w:t>
      </w:r>
      <w:r>
        <w:rPr>
          <w:szCs w:val="26"/>
        </w:rPr>
        <w:t xml:space="preserve"> gastos, dest</w:t>
      </w:r>
      <w:r w:rsidR="002A462C">
        <w:rPr>
          <w:szCs w:val="26"/>
        </w:rPr>
        <w:t>a</w:t>
      </w:r>
      <w:r>
        <w:rPr>
          <w:szCs w:val="26"/>
        </w:rPr>
        <w:t>camos:</w:t>
      </w:r>
    </w:p>
    <w:p w:rsidR="002A462C" w:rsidRPr="002A462C" w:rsidRDefault="002A462C"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rsidRPr="002A462C">
        <w:t>Atenciones protocolarias y de repr</w:t>
      </w:r>
      <w:r>
        <w:t xml:space="preserve">esentación: </w:t>
      </w:r>
      <w:r w:rsidRPr="002A462C">
        <w:t>Re</w:t>
      </w:r>
      <w:r>
        <w:t>flejan</w:t>
      </w:r>
      <w:r w:rsidRPr="002A462C">
        <w:t xml:space="preserve"> el </w:t>
      </w:r>
      <w:r>
        <w:t>gasto</w:t>
      </w:r>
      <w:r w:rsidRPr="002A462C">
        <w:t xml:space="preserve"> de entradas para determinados partidos, tarjetas de temporada, y el arrendamiento de 18 plazas en el palco nº 1.</w:t>
      </w:r>
    </w:p>
    <w:p w:rsidR="002A462C" w:rsidRDefault="002A462C"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rsidRPr="002A462C">
        <w:t>Publicidad y Propaganda</w:t>
      </w:r>
      <w:r w:rsidR="00A95D26">
        <w:t>-Promoción de equipos deportivos</w:t>
      </w:r>
      <w:r w:rsidRPr="002A462C">
        <w:t xml:space="preserve">. </w:t>
      </w:r>
      <w:r w:rsidR="00A95D26">
        <w:t xml:space="preserve">Se le imputan </w:t>
      </w:r>
      <w:r w:rsidRPr="002A462C">
        <w:t xml:space="preserve">gastos de publicidad en el estadio </w:t>
      </w:r>
      <w:r w:rsidR="00A95D26">
        <w:t>E</w:t>
      </w:r>
      <w:r w:rsidRPr="002A462C">
        <w:t>l Sadar</w:t>
      </w:r>
      <w:r w:rsidR="00A95D26">
        <w:t xml:space="preserve">; </w:t>
      </w:r>
      <w:r w:rsidR="0023437C">
        <w:t>Asimismo</w:t>
      </w:r>
      <w:r w:rsidR="00A95D26">
        <w:t>, desde 2006</w:t>
      </w:r>
      <w:r w:rsidR="00136754">
        <w:t xml:space="preserve"> a 2009</w:t>
      </w:r>
      <w:r w:rsidR="00A95D26">
        <w:t xml:space="preserve"> </w:t>
      </w:r>
      <w:r w:rsidRPr="002A462C">
        <w:t xml:space="preserve">se incluye </w:t>
      </w:r>
      <w:r w:rsidR="00A95D26">
        <w:t>los gastos</w:t>
      </w:r>
      <w:r w:rsidRPr="002A462C">
        <w:t xml:space="preserve"> por contrato de patrocinio deportivo a Osasuna, por un total de 1</w:t>
      </w:r>
      <w:r w:rsidR="00A95D26">
        <w:t>,5 millones</w:t>
      </w:r>
      <w:r w:rsidR="00136754">
        <w:t xml:space="preserve"> anuales.</w:t>
      </w:r>
      <w:r w:rsidR="005C1A34">
        <w:t xml:space="preserve"> E</w:t>
      </w:r>
      <w:r w:rsidRPr="002A462C">
        <w:t>n 2010 se abonan 1</w:t>
      </w:r>
      <w:r w:rsidR="00A22917">
        <w:t>,53 millones</w:t>
      </w:r>
      <w:r w:rsidRPr="002A462C">
        <w:t xml:space="preserve"> por el mismo concepto bajo el código </w:t>
      </w:r>
      <w:r w:rsidR="00A22917">
        <w:t>presupuestario de</w:t>
      </w:r>
      <w:r w:rsidR="00A95D26">
        <w:t xml:space="preserve"> </w:t>
      </w:r>
      <w:r w:rsidRPr="002A462C">
        <w:t>“gastos diversos”</w:t>
      </w:r>
      <w:r w:rsidR="00A22917">
        <w:t>,</w:t>
      </w:r>
      <w:r w:rsidRPr="002A462C">
        <w:t xml:space="preserve"> al igual que en 2011, por </w:t>
      </w:r>
      <w:r w:rsidR="00A22917">
        <w:t>1,56 millones</w:t>
      </w:r>
      <w:r w:rsidRPr="002A462C">
        <w:t xml:space="preserve">. </w:t>
      </w:r>
      <w:r w:rsidR="00B87FB5">
        <w:t>Este 2011 es el último año que se concierta el patrocinio.</w:t>
      </w:r>
    </w:p>
    <w:p w:rsidR="00FF5E54" w:rsidRPr="00F60223" w:rsidRDefault="00FF5E54" w:rsidP="00F60223">
      <w:pPr>
        <w:pStyle w:val="texto"/>
        <w:tabs>
          <w:tab w:val="num" w:pos="300"/>
          <w:tab w:val="num" w:pos="4920"/>
        </w:tabs>
        <w:rPr>
          <w:szCs w:val="26"/>
        </w:rPr>
      </w:pPr>
      <w:r w:rsidRPr="00F60223">
        <w:rPr>
          <w:szCs w:val="26"/>
        </w:rPr>
        <w:t xml:space="preserve">En definitiva, por patrocinio, se generó un gasto total </w:t>
      </w:r>
      <w:r w:rsidR="00F60223" w:rsidRPr="00F60223">
        <w:rPr>
          <w:szCs w:val="26"/>
        </w:rPr>
        <w:t>para el Gobierno de Navarra de</w:t>
      </w:r>
      <w:r w:rsidRPr="00F60223">
        <w:rPr>
          <w:szCs w:val="26"/>
        </w:rPr>
        <w:t xml:space="preserve"> 9,</w:t>
      </w:r>
      <w:r w:rsidR="00136754" w:rsidRPr="00F60223">
        <w:rPr>
          <w:szCs w:val="26"/>
        </w:rPr>
        <w:t>09</w:t>
      </w:r>
      <w:r w:rsidRPr="00F60223">
        <w:rPr>
          <w:szCs w:val="26"/>
        </w:rPr>
        <w:t xml:space="preserve"> millones.</w:t>
      </w:r>
    </w:p>
    <w:p w:rsidR="002A462C" w:rsidRPr="002A462C" w:rsidRDefault="002A462C"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rsidRPr="002A462C">
        <w:t>Gastos diversos: Además de los</w:t>
      </w:r>
      <w:r w:rsidR="005C1A34">
        <w:t xml:space="preserve"> gastos por patrocinio</w:t>
      </w:r>
      <w:r w:rsidRPr="002A462C">
        <w:t xml:space="preserve"> ya mencionados </w:t>
      </w:r>
      <w:r w:rsidR="005C1A34">
        <w:t xml:space="preserve">en el punto anterior, </w:t>
      </w:r>
      <w:r w:rsidRPr="002A462C">
        <w:t>este epígrafe económi</w:t>
      </w:r>
      <w:r w:rsidR="005C1A34">
        <w:t xml:space="preserve">co </w:t>
      </w:r>
      <w:r w:rsidRPr="002A462C">
        <w:t>incluye</w:t>
      </w:r>
      <w:r w:rsidR="005C1A34">
        <w:t xml:space="preserve"> gastos por</w:t>
      </w:r>
      <w:r w:rsidRPr="002A462C">
        <w:t xml:space="preserve"> entradas para partidos concretos, gastos denom</w:t>
      </w:r>
      <w:r w:rsidR="005C1A34">
        <w:t>inados “presencia institucional</w:t>
      </w:r>
      <w:r w:rsidRPr="002A462C">
        <w:t>”  también para partidos concretos</w:t>
      </w:r>
      <w:r w:rsidR="005C1A34">
        <w:t xml:space="preserve"> </w:t>
      </w:r>
      <w:r w:rsidRPr="002A462C">
        <w:t xml:space="preserve">y pequeñas cantidades por patrocinio de publicidad. </w:t>
      </w:r>
    </w:p>
    <w:p w:rsidR="00136754" w:rsidRDefault="002A462C"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rsidRPr="002A462C">
        <w:t>Transferencias corrientes: Como subvenci</w:t>
      </w:r>
      <w:r w:rsidR="008A6AE7">
        <w:t>ones</w:t>
      </w:r>
      <w:r w:rsidRPr="002A462C">
        <w:t xml:space="preserve"> del Plan de Empleo se abonan a Osasuna 4.000 euros en 2013, por la contratación de discapacita</w:t>
      </w:r>
      <w:r w:rsidR="008F365E">
        <w:t xml:space="preserve">dos. Bajo el epígrafe de acuerdos y </w:t>
      </w:r>
      <w:r w:rsidRPr="002A462C">
        <w:t>ayudas a clubes y asociaciones se incl</w:t>
      </w:r>
      <w:r w:rsidR="008A6AE7">
        <w:t>u</w:t>
      </w:r>
      <w:r w:rsidRPr="002A462C">
        <w:t>yen diversas subvenciones</w:t>
      </w:r>
      <w:r w:rsidR="008F365E">
        <w:t xml:space="preserve"> para competiciones nacionales, </w:t>
      </w:r>
      <w:r w:rsidRPr="002A462C">
        <w:t xml:space="preserve">como división femenina de fútbol, </w:t>
      </w:r>
      <w:r w:rsidR="008F365E">
        <w:t>otras divisiones masculinas, etc.</w:t>
      </w:r>
      <w:r w:rsidRPr="002A462C">
        <w:t xml:space="preserve"> </w:t>
      </w:r>
    </w:p>
    <w:p w:rsidR="00232B50" w:rsidRDefault="00232B50" w:rsidP="00232B50">
      <w:pPr>
        <w:pStyle w:val="texto"/>
        <w:tabs>
          <w:tab w:val="num" w:pos="300"/>
          <w:tab w:val="num" w:pos="4920"/>
        </w:tabs>
        <w:rPr>
          <w:szCs w:val="26"/>
        </w:rPr>
      </w:pPr>
      <w:r>
        <w:rPr>
          <w:szCs w:val="26"/>
        </w:rPr>
        <w:t xml:space="preserve">En el periodo analizado se han </w:t>
      </w:r>
      <w:r w:rsidRPr="0044756D">
        <w:rPr>
          <w:szCs w:val="26"/>
        </w:rPr>
        <w:t>compensado</w:t>
      </w:r>
      <w:r>
        <w:rPr>
          <w:szCs w:val="26"/>
        </w:rPr>
        <w:t xml:space="preserve"> por el Gobierno de Navarra </w:t>
      </w:r>
      <w:r w:rsidR="00044845">
        <w:rPr>
          <w:szCs w:val="26"/>
        </w:rPr>
        <w:t xml:space="preserve">diversos </w:t>
      </w:r>
      <w:r>
        <w:rPr>
          <w:szCs w:val="26"/>
        </w:rPr>
        <w:t xml:space="preserve">pagos al </w:t>
      </w:r>
      <w:r w:rsidR="00B3365F">
        <w:rPr>
          <w:szCs w:val="26"/>
        </w:rPr>
        <w:t>c</w:t>
      </w:r>
      <w:r>
        <w:rPr>
          <w:szCs w:val="26"/>
        </w:rPr>
        <w:t>lub por importe de 2,44 millones</w:t>
      </w:r>
      <w:r w:rsidR="005F3AF4" w:rsidRPr="00232B50">
        <w:rPr>
          <w:szCs w:val="26"/>
        </w:rPr>
        <w:t xml:space="preserve">. </w:t>
      </w:r>
      <w:r w:rsidR="00B87FB5">
        <w:rPr>
          <w:szCs w:val="26"/>
        </w:rPr>
        <w:t>De estas</w:t>
      </w:r>
      <w:r>
        <w:rPr>
          <w:szCs w:val="26"/>
        </w:rPr>
        <w:t xml:space="preserve"> compensaciones </w:t>
      </w:r>
      <w:r w:rsidR="00B87FB5">
        <w:rPr>
          <w:szCs w:val="26"/>
        </w:rPr>
        <w:t>señalamos:</w:t>
      </w:r>
    </w:p>
    <w:p w:rsidR="00232B50" w:rsidRDefault="005F3AF4"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rsidRPr="00232B50">
        <w:t>En el ejercicio 2005</w:t>
      </w:r>
      <w:r w:rsidR="004C27C0">
        <w:t xml:space="preserve"> y 2009</w:t>
      </w:r>
      <w:r w:rsidRPr="00232B50">
        <w:t xml:space="preserve"> se compensan</w:t>
      </w:r>
      <w:r w:rsidR="00377EB2">
        <w:t xml:space="preserve"> </w:t>
      </w:r>
      <w:r w:rsidR="00A22917">
        <w:t xml:space="preserve">pagos </w:t>
      </w:r>
      <w:r w:rsidR="00377EB2">
        <w:t xml:space="preserve">por la agencia ejecutiva </w:t>
      </w:r>
      <w:r w:rsidR="004C27C0">
        <w:t>deudas</w:t>
      </w:r>
      <w:r w:rsidR="00377EB2">
        <w:t xml:space="preserve"> </w:t>
      </w:r>
      <w:r w:rsidR="004C27C0">
        <w:t>que, en el primer año, hace referencia a</w:t>
      </w:r>
      <w:r w:rsidR="00377EB2">
        <w:t xml:space="preserve"> retenciones de IRPF de diciembre de 2004</w:t>
      </w:r>
      <w:r w:rsidR="004C27C0">
        <w:t xml:space="preserve"> </w:t>
      </w:r>
      <w:r w:rsidR="00843B23">
        <w:t>–</w:t>
      </w:r>
      <w:r w:rsidR="004C27C0">
        <w:t>38.380 euros</w:t>
      </w:r>
      <w:r w:rsidR="00843B23">
        <w:t>–</w:t>
      </w:r>
      <w:r w:rsidR="004C27C0">
        <w:t xml:space="preserve"> y, en el segundo año citado, a aplazamientos especiales </w:t>
      </w:r>
      <w:r w:rsidR="00843B23">
        <w:t>–</w:t>
      </w:r>
      <w:r w:rsidR="004C27C0">
        <w:t>960 euros</w:t>
      </w:r>
      <w:r w:rsidR="00843B23">
        <w:t>–</w:t>
      </w:r>
      <w:r w:rsidR="004C27C0">
        <w:t>.</w:t>
      </w:r>
    </w:p>
    <w:p w:rsidR="005F3AF4" w:rsidRPr="00232B50" w:rsidRDefault="005F3AF4" w:rsidP="00D535E0">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pPr>
      <w:r w:rsidRPr="00232B50">
        <w:t xml:space="preserve"> </w:t>
      </w:r>
      <w:r w:rsidR="00B87FB5">
        <w:t>El patrocinio de 2010 se compensa en su totalidad en los ejercicios de 2010 y 2011; del patrocinio de 2011, se compensa exclusivamente el último semestre en 2012.</w:t>
      </w:r>
      <w:r w:rsidR="00B52FDD">
        <w:t xml:space="preserve"> Estas compensaciones se destinan fundamentalmente a plazos de fraccionamientos, retenciones de IRPF en la agencia ejecutiva y recargos de extemporánea.</w:t>
      </w:r>
    </w:p>
    <w:p w:rsidR="002D6E07" w:rsidRDefault="00A22917" w:rsidP="00A22917">
      <w:pPr>
        <w:pStyle w:val="texto"/>
        <w:tabs>
          <w:tab w:val="num" w:pos="300"/>
          <w:tab w:val="num" w:pos="4920"/>
        </w:tabs>
        <w:rPr>
          <w:szCs w:val="26"/>
        </w:rPr>
      </w:pPr>
      <w:r w:rsidRPr="00A22917">
        <w:rPr>
          <w:szCs w:val="26"/>
        </w:rPr>
        <w:t xml:space="preserve">Conviene precisar que estas compensaciones </w:t>
      </w:r>
      <w:r>
        <w:rPr>
          <w:szCs w:val="26"/>
        </w:rPr>
        <w:t>emp</w:t>
      </w:r>
      <w:r w:rsidRPr="00A22917">
        <w:rPr>
          <w:szCs w:val="26"/>
        </w:rPr>
        <w:t>i</w:t>
      </w:r>
      <w:r>
        <w:rPr>
          <w:szCs w:val="26"/>
        </w:rPr>
        <w:t>ezan realmente en 20</w:t>
      </w:r>
      <w:r w:rsidR="00B87FB5">
        <w:rPr>
          <w:szCs w:val="26"/>
        </w:rPr>
        <w:t>10</w:t>
      </w:r>
      <w:r>
        <w:rPr>
          <w:szCs w:val="26"/>
        </w:rPr>
        <w:t>, es decir, cuando</w:t>
      </w:r>
      <w:r w:rsidR="00B87FB5">
        <w:rPr>
          <w:szCs w:val="26"/>
        </w:rPr>
        <w:t xml:space="preserve"> en los acuerdos de concesión de aplazamientos se incluye como garantía de pago estos ingresos por patrocinio.</w:t>
      </w:r>
      <w:r w:rsidRPr="00A22917">
        <w:rPr>
          <w:szCs w:val="26"/>
        </w:rPr>
        <w:t xml:space="preserve"> </w:t>
      </w:r>
    </w:p>
    <w:p w:rsidR="00292EC8" w:rsidRPr="00292EC8" w:rsidRDefault="002D6E07" w:rsidP="00292EC8">
      <w:pPr>
        <w:spacing w:after="0"/>
        <w:ind w:firstLine="0"/>
        <w:jc w:val="left"/>
        <w:rPr>
          <w:szCs w:val="26"/>
        </w:rPr>
      </w:pPr>
      <w:r>
        <w:rPr>
          <w:szCs w:val="26"/>
        </w:rPr>
        <w:br w:type="page"/>
      </w:r>
      <w:r w:rsidR="00292EC8" w:rsidRPr="00843B23">
        <w:rPr>
          <w:rFonts w:ascii="Arial (W1)" w:hAnsi="Arial (W1)"/>
          <w:spacing w:val="4"/>
        </w:rPr>
        <w:t xml:space="preserve"> </w:t>
      </w:r>
    </w:p>
    <w:p w:rsidR="002D6E07" w:rsidRDefault="002D6E07">
      <w:pPr>
        <w:spacing w:after="0"/>
        <w:ind w:firstLine="0"/>
        <w:jc w:val="left"/>
        <w:rPr>
          <w:spacing w:val="6"/>
          <w:sz w:val="26"/>
          <w:szCs w:val="26"/>
        </w:rPr>
      </w:pPr>
    </w:p>
    <w:p w:rsidR="002D6E07" w:rsidRPr="002D6E07" w:rsidRDefault="002D6E07" w:rsidP="002D6E07">
      <w:pPr>
        <w:pStyle w:val="texto"/>
        <w:tabs>
          <w:tab w:val="num" w:pos="300"/>
          <w:tab w:val="num" w:pos="4920"/>
        </w:tabs>
        <w:rPr>
          <w:szCs w:val="26"/>
        </w:rPr>
      </w:pPr>
    </w:p>
    <w:p w:rsidR="002D6E07" w:rsidRDefault="002D6E07" w:rsidP="002D6E07">
      <w:pPr>
        <w:pStyle w:val="atitulo1"/>
        <w:ind w:left="3402"/>
        <w:rPr>
          <w:sz w:val="32"/>
          <w:szCs w:val="32"/>
        </w:rPr>
      </w:pPr>
    </w:p>
    <w:p w:rsidR="002D6E07" w:rsidRDefault="002D6E07" w:rsidP="002D6E07">
      <w:pPr>
        <w:pStyle w:val="atitulo1"/>
        <w:ind w:left="3402"/>
        <w:rPr>
          <w:sz w:val="32"/>
          <w:szCs w:val="32"/>
        </w:rPr>
      </w:pPr>
    </w:p>
    <w:p w:rsidR="002D6E07" w:rsidRDefault="002D6E07" w:rsidP="002D6E07">
      <w:pPr>
        <w:pStyle w:val="atitulo1"/>
        <w:ind w:left="3402"/>
        <w:rPr>
          <w:sz w:val="32"/>
          <w:szCs w:val="32"/>
        </w:rPr>
      </w:pPr>
    </w:p>
    <w:p w:rsidR="002D6E07" w:rsidRDefault="002D6E07" w:rsidP="002D6E07">
      <w:pPr>
        <w:pStyle w:val="atitulo1"/>
        <w:ind w:left="3402"/>
        <w:rPr>
          <w:sz w:val="32"/>
          <w:szCs w:val="32"/>
        </w:rPr>
      </w:pPr>
    </w:p>
    <w:p w:rsidR="002D6E07" w:rsidRPr="002D6E07" w:rsidRDefault="002D6E07" w:rsidP="002D6E07">
      <w:pPr>
        <w:pStyle w:val="atitulo1"/>
        <w:ind w:left="3402"/>
        <w:rPr>
          <w:sz w:val="32"/>
          <w:szCs w:val="32"/>
        </w:rPr>
      </w:pPr>
      <w:bookmarkStart w:id="27" w:name="_Toc425926960"/>
      <w:r w:rsidRPr="002D6E07">
        <w:rPr>
          <w:sz w:val="32"/>
          <w:szCs w:val="32"/>
        </w:rPr>
        <w:t>Alegaciones formuladas al informe provisional</w:t>
      </w:r>
      <w:bookmarkEnd w:id="27"/>
      <w:r w:rsidRPr="002D6E07">
        <w:rPr>
          <w:sz w:val="32"/>
          <w:szCs w:val="32"/>
        </w:rPr>
        <w:t xml:space="preserve"> </w:t>
      </w:r>
    </w:p>
    <w:p w:rsidR="002D6E07" w:rsidRPr="002D6E07" w:rsidRDefault="002D6E07" w:rsidP="002D6E07">
      <w:pPr>
        <w:pStyle w:val="texto"/>
        <w:tabs>
          <w:tab w:val="num" w:pos="300"/>
          <w:tab w:val="num" w:pos="4920"/>
        </w:tabs>
        <w:rPr>
          <w:szCs w:val="26"/>
        </w:rPr>
      </w:pPr>
    </w:p>
    <w:p w:rsidR="002D6E07" w:rsidRPr="002D6E07" w:rsidRDefault="002D6E07" w:rsidP="002D6E07">
      <w:pPr>
        <w:pStyle w:val="texto"/>
        <w:tabs>
          <w:tab w:val="num" w:pos="300"/>
          <w:tab w:val="num" w:pos="4920"/>
        </w:tabs>
        <w:rPr>
          <w:szCs w:val="26"/>
        </w:rPr>
      </w:pPr>
    </w:p>
    <w:p w:rsidR="002D6E07" w:rsidRPr="002D6E07" w:rsidRDefault="002D6E07" w:rsidP="002D6E07">
      <w:pPr>
        <w:pStyle w:val="texto"/>
        <w:tabs>
          <w:tab w:val="num" w:pos="300"/>
          <w:tab w:val="num" w:pos="4920"/>
        </w:tabs>
        <w:rPr>
          <w:szCs w:val="26"/>
        </w:rPr>
      </w:pPr>
      <w:r w:rsidRPr="002D6E07">
        <w:rPr>
          <w:szCs w:val="26"/>
        </w:rPr>
        <w:t xml:space="preserve"> </w:t>
      </w:r>
    </w:p>
    <w:p w:rsidR="002D6E07" w:rsidRDefault="002D6E07">
      <w:pPr>
        <w:spacing w:after="0"/>
        <w:ind w:firstLine="0"/>
        <w:jc w:val="left"/>
        <w:rPr>
          <w:spacing w:val="6"/>
          <w:sz w:val="26"/>
          <w:szCs w:val="26"/>
        </w:rPr>
      </w:pPr>
      <w:r>
        <w:rPr>
          <w:szCs w:val="26"/>
        </w:rPr>
        <w:br w:type="page"/>
      </w:r>
    </w:p>
    <w:p w:rsidR="00292EC8" w:rsidRDefault="00292EC8">
      <w:pPr>
        <w:spacing w:after="0"/>
        <w:ind w:firstLine="0"/>
        <w:jc w:val="left"/>
        <w:rPr>
          <w:rFonts w:eastAsiaTheme="minorHAnsi"/>
          <w:lang w:val="es-ES"/>
        </w:rPr>
      </w:pPr>
    </w:p>
    <w:p w:rsidR="00595B5F" w:rsidRDefault="00292EC8" w:rsidP="00595B5F">
      <w:pPr>
        <w:pStyle w:val="texto"/>
        <w:tabs>
          <w:tab w:val="num" w:pos="300"/>
          <w:tab w:val="num" w:pos="4920"/>
        </w:tabs>
        <w:rPr>
          <w:szCs w:val="26"/>
        </w:rPr>
      </w:pPr>
      <w:r w:rsidRPr="00595B5F">
        <w:rPr>
          <w:szCs w:val="26"/>
        </w:rPr>
        <w:t>Dentro del plazo concedido,</w:t>
      </w:r>
      <w:r w:rsidR="0078439A">
        <w:rPr>
          <w:szCs w:val="26"/>
        </w:rPr>
        <w:t xml:space="preserve"> han presentado</w:t>
      </w:r>
      <w:r w:rsidRPr="00595B5F">
        <w:rPr>
          <w:szCs w:val="26"/>
        </w:rPr>
        <w:t xml:space="preserve"> alegaciones</w:t>
      </w:r>
      <w:r w:rsidR="001B0D3B">
        <w:rPr>
          <w:szCs w:val="26"/>
        </w:rPr>
        <w:t xml:space="preserve"> al informe provisional</w:t>
      </w:r>
      <w:r w:rsidRPr="00595B5F">
        <w:rPr>
          <w:szCs w:val="26"/>
        </w:rPr>
        <w:t xml:space="preserve"> </w:t>
      </w:r>
      <w:r w:rsidR="00E320FE">
        <w:rPr>
          <w:szCs w:val="26"/>
        </w:rPr>
        <w:t>la Hacienda Tributaria de Navarra</w:t>
      </w:r>
      <w:r w:rsidR="00595B5F">
        <w:rPr>
          <w:szCs w:val="26"/>
        </w:rPr>
        <w:t xml:space="preserve"> y el Club Atlético Osasuna.</w:t>
      </w:r>
    </w:p>
    <w:p w:rsidR="00595B5F" w:rsidRDefault="00595B5F" w:rsidP="00595B5F">
      <w:pPr>
        <w:pStyle w:val="texto"/>
        <w:tabs>
          <w:tab w:val="num" w:pos="300"/>
          <w:tab w:val="num" w:pos="4920"/>
        </w:tabs>
        <w:rPr>
          <w:szCs w:val="26"/>
        </w:rPr>
      </w:pPr>
      <w:r>
        <w:rPr>
          <w:szCs w:val="26"/>
        </w:rPr>
        <w:t>Las alega</w:t>
      </w:r>
      <w:r w:rsidR="00E320FE">
        <w:rPr>
          <w:szCs w:val="26"/>
        </w:rPr>
        <w:t xml:space="preserve">ciones formuladas por el </w:t>
      </w:r>
      <w:r>
        <w:rPr>
          <w:szCs w:val="26"/>
        </w:rPr>
        <w:t>Director Gerente</w:t>
      </w:r>
      <w:r w:rsidR="00E320FE">
        <w:rPr>
          <w:szCs w:val="26"/>
        </w:rPr>
        <w:t xml:space="preserve"> de la HTN</w:t>
      </w:r>
      <w:r>
        <w:rPr>
          <w:szCs w:val="26"/>
        </w:rPr>
        <w:t xml:space="preserve"> se han incorporado al informe definitivo, por lo que no se transcriben. En el texto del citado informe se indica expresamente los párrafos introducidos y/o modificados de</w:t>
      </w:r>
      <w:r w:rsidR="00972B78">
        <w:rPr>
          <w:szCs w:val="26"/>
        </w:rPr>
        <w:t xml:space="preserve"> acuerdo con dichas alegaciones y que básicamente se refieren a precisiones, matizaciones y aportaciones de nueva información.</w:t>
      </w:r>
    </w:p>
    <w:p w:rsidR="00595B5F" w:rsidRDefault="00595B5F" w:rsidP="00595B5F">
      <w:pPr>
        <w:pStyle w:val="texto"/>
        <w:tabs>
          <w:tab w:val="num" w:pos="300"/>
          <w:tab w:val="num" w:pos="4920"/>
        </w:tabs>
        <w:rPr>
          <w:szCs w:val="26"/>
        </w:rPr>
      </w:pPr>
      <w:r>
        <w:rPr>
          <w:szCs w:val="26"/>
        </w:rPr>
        <w:t>La alegación presentada por el Club Atlético Osasuna se transcribe literalmente a continuación:</w:t>
      </w:r>
    </w:p>
    <w:p w:rsidR="00595B5F" w:rsidRPr="00321AAC" w:rsidRDefault="00595B5F" w:rsidP="00595B5F">
      <w:pPr>
        <w:pStyle w:val="texto"/>
        <w:tabs>
          <w:tab w:val="num" w:pos="300"/>
          <w:tab w:val="num" w:pos="4920"/>
        </w:tabs>
        <w:rPr>
          <w:i/>
          <w:szCs w:val="26"/>
        </w:rPr>
      </w:pPr>
      <w:r>
        <w:rPr>
          <w:szCs w:val="26"/>
        </w:rPr>
        <w:t>“</w:t>
      </w:r>
      <w:r w:rsidRPr="00321AAC">
        <w:rPr>
          <w:i/>
          <w:szCs w:val="26"/>
        </w:rPr>
        <w:t>Se ha remitido el informe provisional realizado por la Cámara de Comptos al Club Atlético Osasuna para que éste formule las alegaciones que considere oportunas al mismo.</w:t>
      </w:r>
    </w:p>
    <w:p w:rsidR="00595B5F" w:rsidRPr="00321AAC" w:rsidRDefault="00595B5F" w:rsidP="00595B5F">
      <w:pPr>
        <w:pStyle w:val="texto"/>
        <w:tabs>
          <w:tab w:val="num" w:pos="300"/>
          <w:tab w:val="num" w:pos="4920"/>
        </w:tabs>
        <w:rPr>
          <w:i/>
          <w:szCs w:val="26"/>
        </w:rPr>
      </w:pPr>
      <w:r w:rsidRPr="00321AAC">
        <w:rPr>
          <w:i/>
          <w:szCs w:val="26"/>
        </w:rPr>
        <w:t>Este Club entiende en consecuencia, y dicho sea con el debido respeto, que la conclusión número 5 del informe provisional es considerada por este Club extemporánea y fuera de las atribuciones que le fueron encargadas por el Gobierno de Navarra a la Cámara de Comptos.</w:t>
      </w:r>
    </w:p>
    <w:p w:rsidR="00595B5F" w:rsidRPr="00321AAC" w:rsidRDefault="00595B5F" w:rsidP="00595B5F">
      <w:pPr>
        <w:pStyle w:val="texto"/>
        <w:tabs>
          <w:tab w:val="num" w:pos="300"/>
          <w:tab w:val="num" w:pos="4920"/>
        </w:tabs>
        <w:rPr>
          <w:i/>
          <w:szCs w:val="26"/>
        </w:rPr>
      </w:pPr>
      <w:r w:rsidRPr="00321AAC">
        <w:rPr>
          <w:i/>
          <w:szCs w:val="26"/>
        </w:rPr>
        <w:t>Tal y como consta en el mandato del Gobierno, de acuerdo con lo establecido en la Ley Foral 26/2014, se trataba de realizar una auditoría de todas las actuaciones realizadas, o que debió realizar, la Hacienda de Navarra en relación con el Club Atlético Osasuna en el periodo de 2005-2014.</w:t>
      </w:r>
    </w:p>
    <w:p w:rsidR="00595B5F" w:rsidRPr="00321AAC" w:rsidRDefault="00595B5F" w:rsidP="00595B5F">
      <w:pPr>
        <w:pStyle w:val="texto"/>
        <w:tabs>
          <w:tab w:val="num" w:pos="300"/>
          <w:tab w:val="num" w:pos="4920"/>
        </w:tabs>
        <w:rPr>
          <w:i/>
          <w:szCs w:val="26"/>
        </w:rPr>
      </w:pPr>
      <w:r w:rsidRPr="00321AAC">
        <w:rPr>
          <w:i/>
          <w:szCs w:val="26"/>
        </w:rPr>
        <w:t>En modo alguno se le ha solic</w:t>
      </w:r>
      <w:r w:rsidR="00321AAC" w:rsidRPr="00321AAC">
        <w:rPr>
          <w:i/>
          <w:szCs w:val="26"/>
        </w:rPr>
        <w:t>i</w:t>
      </w:r>
      <w:r w:rsidRPr="00321AAC">
        <w:rPr>
          <w:i/>
          <w:szCs w:val="26"/>
        </w:rPr>
        <w:t xml:space="preserve">tado actuación y análisis de la Ley Foral 26/2014 </w:t>
      </w:r>
      <w:r w:rsidR="00321AAC" w:rsidRPr="00321AAC">
        <w:rPr>
          <w:i/>
          <w:szCs w:val="26"/>
        </w:rPr>
        <w:t xml:space="preserve">en la que se menciona este mandato, por lo que esta parte entiende que el punto 5 del informe debe ser eliminado y debe constar en la única y exclusivamente la actuación de la Hacienda de Navarra con el Club Atlético Osasuna </w:t>
      </w:r>
      <w:r w:rsidRPr="00321AAC">
        <w:rPr>
          <w:i/>
          <w:szCs w:val="26"/>
        </w:rPr>
        <w:t>en el peri</w:t>
      </w:r>
      <w:r w:rsidR="00321AAC" w:rsidRPr="00321AAC">
        <w:rPr>
          <w:i/>
          <w:szCs w:val="26"/>
        </w:rPr>
        <w:t>o</w:t>
      </w:r>
      <w:r w:rsidRPr="00321AAC">
        <w:rPr>
          <w:i/>
          <w:szCs w:val="26"/>
        </w:rPr>
        <w:t>do de 2005-2014, pero en modo alguno una opinión sobre la mencionada ley  que ni entra en sus atribuciones ni ha sido objeto en el requ</w:t>
      </w:r>
      <w:r w:rsidR="00321AAC" w:rsidRPr="00321AAC">
        <w:rPr>
          <w:i/>
          <w:szCs w:val="26"/>
        </w:rPr>
        <w:t>e</w:t>
      </w:r>
      <w:r w:rsidRPr="00321AAC">
        <w:rPr>
          <w:i/>
          <w:szCs w:val="26"/>
        </w:rPr>
        <w:t>rimiento</w:t>
      </w:r>
      <w:r w:rsidR="00321AAC" w:rsidRPr="00321AAC">
        <w:rPr>
          <w:i/>
          <w:szCs w:val="26"/>
        </w:rPr>
        <w:t>.”</w:t>
      </w:r>
    </w:p>
    <w:p w:rsidR="00321AAC" w:rsidRPr="009B7FD5" w:rsidRDefault="00321AAC" w:rsidP="00595B5F">
      <w:pPr>
        <w:pStyle w:val="texto"/>
        <w:tabs>
          <w:tab w:val="num" w:pos="300"/>
          <w:tab w:val="num" w:pos="4920"/>
        </w:tabs>
        <w:rPr>
          <w:i/>
          <w:szCs w:val="26"/>
        </w:rPr>
      </w:pPr>
      <w:r w:rsidRPr="009B7FD5">
        <w:rPr>
          <w:i/>
          <w:szCs w:val="26"/>
        </w:rPr>
        <w:t>Firmado: Angel Ardanaz Rípodas.</w:t>
      </w:r>
    </w:p>
    <w:p w:rsidR="00292EC8" w:rsidRPr="00595B5F" w:rsidRDefault="00292EC8" w:rsidP="00595B5F">
      <w:pPr>
        <w:pStyle w:val="texto"/>
        <w:tabs>
          <w:tab w:val="num" w:pos="300"/>
          <w:tab w:val="num" w:pos="4920"/>
        </w:tabs>
        <w:rPr>
          <w:szCs w:val="26"/>
        </w:rPr>
      </w:pPr>
      <w:r w:rsidRPr="00595B5F">
        <w:rPr>
          <w:szCs w:val="26"/>
        </w:rPr>
        <w:br w:type="page"/>
      </w:r>
    </w:p>
    <w:p w:rsidR="002D6E07" w:rsidRPr="00321AAC" w:rsidRDefault="002D6E07" w:rsidP="00321AAC">
      <w:pPr>
        <w:pStyle w:val="atitulo1"/>
        <w:rPr>
          <w:rFonts w:eastAsiaTheme="minorHAnsi"/>
          <w:lang w:val="es-ES"/>
        </w:rPr>
      </w:pPr>
      <w:bookmarkStart w:id="28" w:name="_Toc425926961"/>
      <w:r w:rsidRPr="002D6E07">
        <w:rPr>
          <w:rFonts w:eastAsiaTheme="minorHAnsi"/>
          <w:lang w:val="es-ES"/>
        </w:rPr>
        <w:t>Contestación de la Cámara de Comptos a las alegaciones pres</w:t>
      </w:r>
      <w:r>
        <w:rPr>
          <w:rFonts w:eastAsiaTheme="minorHAnsi"/>
          <w:lang w:val="es-ES"/>
        </w:rPr>
        <w:t xml:space="preserve">entadas por el </w:t>
      </w:r>
      <w:r w:rsidR="00321AAC">
        <w:rPr>
          <w:rFonts w:eastAsiaTheme="minorHAnsi"/>
          <w:lang w:val="es-ES"/>
        </w:rPr>
        <w:t>Club Atlético Osasuna</w:t>
      </w:r>
      <w:bookmarkEnd w:id="28"/>
    </w:p>
    <w:p w:rsidR="002D6E07" w:rsidRDefault="002D6E07" w:rsidP="00080CD3">
      <w:pPr>
        <w:pStyle w:val="texto"/>
        <w:tabs>
          <w:tab w:val="num" w:pos="300"/>
          <w:tab w:val="num" w:pos="4920"/>
        </w:tabs>
        <w:spacing w:after="180"/>
        <w:rPr>
          <w:szCs w:val="26"/>
        </w:rPr>
      </w:pPr>
      <w:r w:rsidRPr="002D6E07">
        <w:rPr>
          <w:szCs w:val="26"/>
        </w:rPr>
        <w:t>Analizadas las alegaciones presentadas por</w:t>
      </w:r>
      <w:r w:rsidR="00321AAC">
        <w:rPr>
          <w:szCs w:val="26"/>
        </w:rPr>
        <w:t xml:space="preserve"> el Club Atlético Osasuna</w:t>
      </w:r>
      <w:r>
        <w:rPr>
          <w:szCs w:val="26"/>
        </w:rPr>
        <w:t xml:space="preserve"> </w:t>
      </w:r>
      <w:r w:rsidRPr="002D6E07">
        <w:rPr>
          <w:szCs w:val="26"/>
        </w:rPr>
        <w:t>y dado que las mismas no modifican las conclusiones del informe provisional, se acuerda elevar éste a definitivo.</w:t>
      </w:r>
    </w:p>
    <w:p w:rsidR="00321AAC" w:rsidRDefault="00321AAC" w:rsidP="00080CD3">
      <w:pPr>
        <w:pStyle w:val="texto"/>
        <w:tabs>
          <w:tab w:val="num" w:pos="300"/>
          <w:tab w:val="num" w:pos="4920"/>
        </w:tabs>
        <w:spacing w:after="180"/>
        <w:rPr>
          <w:szCs w:val="26"/>
        </w:rPr>
      </w:pPr>
      <w:r>
        <w:rPr>
          <w:szCs w:val="26"/>
        </w:rPr>
        <w:t>No obstante esta Cámara manifiesta lo siguiente:</w:t>
      </w:r>
    </w:p>
    <w:p w:rsidR="00321AAC" w:rsidRDefault="00321AAC" w:rsidP="00080CD3">
      <w:pPr>
        <w:pStyle w:val="texto"/>
        <w:tabs>
          <w:tab w:val="num" w:pos="300"/>
          <w:tab w:val="num" w:pos="4920"/>
        </w:tabs>
        <w:spacing w:after="180"/>
        <w:rPr>
          <w:szCs w:val="26"/>
        </w:rPr>
      </w:pPr>
      <w:r>
        <w:rPr>
          <w:szCs w:val="26"/>
        </w:rPr>
        <w:t>1º. En cumplimiento de la Ley Foral 26/2014</w:t>
      </w:r>
      <w:r w:rsidR="001D1432">
        <w:rPr>
          <w:szCs w:val="26"/>
        </w:rPr>
        <w:t xml:space="preserve"> por la que se aprueba la reestructuración de la deuda del Club Atlético Osasuna con la Comunidad Foral, y tras el Acuerdo del Gobierno de Navarra de 17 de diciembre en este sentido, la Junta de Portavoces del Parlamento de Navarra en su sesión del 22 de diciembre de 2014, acordó solicitar de la Cámara de Comptos</w:t>
      </w:r>
      <w:r w:rsidR="001D1432" w:rsidRPr="001D1432">
        <w:rPr>
          <w:i/>
          <w:szCs w:val="26"/>
        </w:rPr>
        <w:t xml:space="preserve"> </w:t>
      </w:r>
      <w:r w:rsidR="001D1432">
        <w:rPr>
          <w:i/>
          <w:szCs w:val="26"/>
        </w:rPr>
        <w:t xml:space="preserve">“la realización de </w:t>
      </w:r>
      <w:r w:rsidR="001D1432" w:rsidRPr="00026242">
        <w:rPr>
          <w:i/>
          <w:szCs w:val="26"/>
        </w:rPr>
        <w:t>una auditoría de todas las actuaciones realizadas, o que debió realizar, la Hacienda de Navarra en relación con el Club Atlético Osasuna en el periodo de 2005 a 2014</w:t>
      </w:r>
      <w:r w:rsidR="001D1432" w:rsidRPr="00026242">
        <w:rPr>
          <w:szCs w:val="26"/>
        </w:rPr>
        <w:t>”</w:t>
      </w:r>
      <w:r w:rsidR="001D1432">
        <w:rPr>
          <w:szCs w:val="26"/>
        </w:rPr>
        <w:t>. La realización de esta auditoría, se enmarca en el objetivo recogido en la exposición de motivos de esa ley foral, de que el club “</w:t>
      </w:r>
      <w:r w:rsidR="001D1432" w:rsidRPr="001D1432">
        <w:rPr>
          <w:i/>
          <w:szCs w:val="26"/>
        </w:rPr>
        <w:t>llegue a satisfacer íntegramente las obligaciones contraídas con el erario público</w:t>
      </w:r>
      <w:r w:rsidR="001D1432">
        <w:rPr>
          <w:szCs w:val="26"/>
        </w:rPr>
        <w:t>”.</w:t>
      </w:r>
    </w:p>
    <w:p w:rsidR="001D1432" w:rsidRDefault="001D1432" w:rsidP="00080CD3">
      <w:pPr>
        <w:pStyle w:val="texto"/>
        <w:tabs>
          <w:tab w:val="num" w:pos="300"/>
          <w:tab w:val="num" w:pos="4920"/>
        </w:tabs>
        <w:spacing w:after="180"/>
        <w:rPr>
          <w:szCs w:val="26"/>
        </w:rPr>
      </w:pPr>
      <w:r>
        <w:rPr>
          <w:szCs w:val="26"/>
        </w:rPr>
        <w:t xml:space="preserve">2º. De conformidad con lo dispuesto en el Amejoramiento y en la Ley Foral 19/1984 de la Cámara de Comptos, corresponde a esta institución </w:t>
      </w:r>
      <w:r w:rsidRPr="001D1432">
        <w:rPr>
          <w:i/>
          <w:szCs w:val="26"/>
        </w:rPr>
        <w:t>“la fiscalización externa de la gestión económico financiera del sector público de la Comunidad Foral, así como de aquellos fondos que tengan la consideración de públicos”</w:t>
      </w:r>
      <w:r>
        <w:rPr>
          <w:szCs w:val="26"/>
        </w:rPr>
        <w:t xml:space="preserve">. Por su parte, el apartado 2 del artículo 2 de la citada ley foral, dispone que </w:t>
      </w:r>
      <w:r w:rsidRPr="001D1432">
        <w:rPr>
          <w:i/>
          <w:szCs w:val="26"/>
        </w:rPr>
        <w:t>“corresponde a la Cámara de Comptos la fiscal</w:t>
      </w:r>
      <w:r>
        <w:rPr>
          <w:i/>
          <w:szCs w:val="26"/>
        </w:rPr>
        <w:t>iz</w:t>
      </w:r>
      <w:r w:rsidRPr="001D1432">
        <w:rPr>
          <w:i/>
          <w:szCs w:val="26"/>
        </w:rPr>
        <w:t>ación de las subvenciones, créditos, avales, exenciones, bonificaciones fiscales y cualquier otra ayuda del sector público que ben</w:t>
      </w:r>
      <w:r>
        <w:rPr>
          <w:i/>
          <w:szCs w:val="26"/>
        </w:rPr>
        <w:t>e</w:t>
      </w:r>
      <w:r w:rsidRPr="001D1432">
        <w:rPr>
          <w:i/>
          <w:szCs w:val="26"/>
        </w:rPr>
        <w:t>ficie al sector privado”</w:t>
      </w:r>
      <w:r>
        <w:rPr>
          <w:szCs w:val="26"/>
        </w:rPr>
        <w:t>. Por tanto, la competencia fiscalizadora de la Cámara de Comptos sobre la Hacienda Foral, más allá del mandato concreto contenido en la citada Ley Foral 26/2014 antes citada, deriva de su propia normativa reguladora presidida por el Amejoramiento.</w:t>
      </w:r>
    </w:p>
    <w:p w:rsidR="00547D65" w:rsidRDefault="00547D65" w:rsidP="00080CD3">
      <w:pPr>
        <w:pStyle w:val="texto"/>
        <w:tabs>
          <w:tab w:val="num" w:pos="300"/>
          <w:tab w:val="num" w:pos="4920"/>
        </w:tabs>
        <w:spacing w:after="180"/>
        <w:rPr>
          <w:szCs w:val="26"/>
        </w:rPr>
      </w:pPr>
      <w:r>
        <w:rPr>
          <w:szCs w:val="26"/>
        </w:rPr>
        <w:t>3º. La Cámara de Comptos ha considerado esencial para la auditoría que se ha realizado para el Parlamento de Navarra analizar y dar cuenta en su informe de las actuaciones efectuadas por el Gobierno de Navarra en aplicación de la precitada Ley Foral 26/2014. Según las normas internacionales de auditoría pública, de obligado cumplimiento para esta institución, este tipo de hechos posteriores deben ponerse de relieve en los informes de fiscalización.</w:t>
      </w:r>
    </w:p>
    <w:p w:rsidR="00547D65" w:rsidRDefault="004A7F6E" w:rsidP="00080CD3">
      <w:pPr>
        <w:pStyle w:val="texto"/>
        <w:tabs>
          <w:tab w:val="num" w:pos="300"/>
          <w:tab w:val="num" w:pos="4920"/>
        </w:tabs>
        <w:spacing w:after="180"/>
        <w:rPr>
          <w:szCs w:val="26"/>
        </w:rPr>
      </w:pPr>
      <w:r>
        <w:rPr>
          <w:szCs w:val="26"/>
        </w:rPr>
        <w:t>4º. Esta Presidencia</w:t>
      </w:r>
      <w:r w:rsidR="00547D65">
        <w:rPr>
          <w:szCs w:val="26"/>
        </w:rPr>
        <w:t xml:space="preserve"> como órgano competente y máximo responsable de esta institución, a quien corresponde determinar el alcance del trabajo fiscalizador de la misma, ha considerado necesario revisar las actuaciones citadas, ya que de lo contrario la Cámara de Comptos</w:t>
      </w:r>
      <w:r>
        <w:rPr>
          <w:szCs w:val="26"/>
        </w:rPr>
        <w:t>, además de</w:t>
      </w:r>
      <w:r w:rsidR="00547D65">
        <w:rPr>
          <w:szCs w:val="26"/>
        </w:rPr>
        <w:t xml:space="preserve"> incumpli</w:t>
      </w:r>
      <w:r>
        <w:rPr>
          <w:szCs w:val="26"/>
        </w:rPr>
        <w:t>r</w:t>
      </w:r>
      <w:r w:rsidR="00547D65">
        <w:rPr>
          <w:szCs w:val="26"/>
        </w:rPr>
        <w:t xml:space="preserve"> las normas de auditoría</w:t>
      </w:r>
      <w:r>
        <w:rPr>
          <w:szCs w:val="26"/>
        </w:rPr>
        <w:t>, estaría</w:t>
      </w:r>
      <w:r w:rsidR="00547D65">
        <w:rPr>
          <w:szCs w:val="26"/>
        </w:rPr>
        <w:t xml:space="preserve"> ofreciendo al Parlamento</w:t>
      </w:r>
      <w:r>
        <w:rPr>
          <w:szCs w:val="26"/>
        </w:rPr>
        <w:t xml:space="preserve"> de Navarra</w:t>
      </w:r>
      <w:r w:rsidR="00547D65">
        <w:rPr>
          <w:szCs w:val="26"/>
        </w:rPr>
        <w:t xml:space="preserve"> un informe incompleto sobre las actuaciones de la Hacienda Foral en relación a esta cuestión. Por otra parte y en contra de lo indicado en las alegaciones, esta Cámara entiende </w:t>
      </w:r>
      <w:r w:rsidR="00E320FE">
        <w:rPr>
          <w:szCs w:val="26"/>
        </w:rPr>
        <w:t xml:space="preserve">no solo </w:t>
      </w:r>
      <w:r w:rsidR="00547D65">
        <w:rPr>
          <w:szCs w:val="26"/>
        </w:rPr>
        <w:t>que su contenido está directamente relacionado con los objetivos de la auditoría solicitada</w:t>
      </w:r>
      <w:r w:rsidR="00E320FE">
        <w:rPr>
          <w:szCs w:val="26"/>
        </w:rPr>
        <w:t xml:space="preserve"> sino que el informe elaborado</w:t>
      </w:r>
      <w:r w:rsidR="00D02CB6">
        <w:rPr>
          <w:szCs w:val="26"/>
        </w:rPr>
        <w:t xml:space="preserve"> sin analizar la aplicación de la citada Ley Foral 26/2014</w:t>
      </w:r>
      <w:r w:rsidR="00E320FE">
        <w:rPr>
          <w:szCs w:val="26"/>
        </w:rPr>
        <w:t xml:space="preserve"> adolecería de carencias importantes</w:t>
      </w:r>
      <w:r w:rsidR="00547D65">
        <w:rPr>
          <w:szCs w:val="26"/>
        </w:rPr>
        <w:t>.</w:t>
      </w:r>
    </w:p>
    <w:p w:rsidR="004A7F6E" w:rsidRPr="002D6E07" w:rsidRDefault="004A7F6E" w:rsidP="00080CD3">
      <w:pPr>
        <w:pStyle w:val="texto"/>
        <w:tabs>
          <w:tab w:val="num" w:pos="300"/>
          <w:tab w:val="num" w:pos="4920"/>
        </w:tabs>
        <w:spacing w:after="0"/>
        <w:ind w:firstLine="0"/>
        <w:rPr>
          <w:szCs w:val="26"/>
        </w:rPr>
      </w:pPr>
    </w:p>
    <w:p w:rsidR="002D6E07" w:rsidRPr="002D6E07" w:rsidRDefault="002D6E07" w:rsidP="002D6E07">
      <w:pPr>
        <w:pStyle w:val="texto"/>
        <w:tabs>
          <w:tab w:val="num" w:pos="300"/>
          <w:tab w:val="num" w:pos="4920"/>
        </w:tabs>
        <w:jc w:val="center"/>
        <w:rPr>
          <w:szCs w:val="26"/>
        </w:rPr>
      </w:pPr>
      <w:r>
        <w:rPr>
          <w:szCs w:val="26"/>
        </w:rPr>
        <w:t xml:space="preserve">Pamplona, </w:t>
      </w:r>
      <w:r w:rsidR="00F85CFE">
        <w:rPr>
          <w:szCs w:val="26"/>
        </w:rPr>
        <w:t>30</w:t>
      </w:r>
      <w:r w:rsidRPr="002D6E07">
        <w:rPr>
          <w:szCs w:val="26"/>
        </w:rPr>
        <w:t xml:space="preserve"> de </w:t>
      </w:r>
      <w:r>
        <w:rPr>
          <w:szCs w:val="26"/>
        </w:rPr>
        <w:t>julio</w:t>
      </w:r>
      <w:r w:rsidRPr="002D6E07">
        <w:rPr>
          <w:szCs w:val="26"/>
        </w:rPr>
        <w:t xml:space="preserve"> de 2015</w:t>
      </w:r>
    </w:p>
    <w:p w:rsidR="002D6E07" w:rsidRPr="002D6E07" w:rsidRDefault="002D6E07" w:rsidP="002D6E07">
      <w:pPr>
        <w:pStyle w:val="texto"/>
        <w:tabs>
          <w:tab w:val="num" w:pos="300"/>
          <w:tab w:val="num" w:pos="4920"/>
        </w:tabs>
        <w:jc w:val="center"/>
        <w:rPr>
          <w:szCs w:val="26"/>
        </w:rPr>
      </w:pPr>
    </w:p>
    <w:p w:rsidR="002D6E07" w:rsidRPr="002D6E07" w:rsidRDefault="002D6E07" w:rsidP="002D6E07">
      <w:pPr>
        <w:pStyle w:val="texto"/>
        <w:tabs>
          <w:tab w:val="num" w:pos="300"/>
          <w:tab w:val="num" w:pos="4920"/>
        </w:tabs>
        <w:jc w:val="center"/>
        <w:rPr>
          <w:szCs w:val="26"/>
        </w:rPr>
      </w:pPr>
      <w:r w:rsidRPr="002D6E07">
        <w:rPr>
          <w:szCs w:val="26"/>
        </w:rPr>
        <w:t>El presidente, Helio Robleda Cabezas</w:t>
      </w:r>
    </w:p>
    <w:p w:rsidR="00D9512D" w:rsidRPr="00A22917" w:rsidRDefault="00D9512D" w:rsidP="00A22917">
      <w:pPr>
        <w:pStyle w:val="texto"/>
        <w:tabs>
          <w:tab w:val="num" w:pos="300"/>
          <w:tab w:val="num" w:pos="4920"/>
        </w:tabs>
        <w:rPr>
          <w:szCs w:val="26"/>
        </w:rPr>
      </w:pPr>
    </w:p>
    <w:sectPr w:rsidR="00D9512D" w:rsidRPr="00A22917" w:rsidSect="00897122">
      <w:pgSz w:w="11907" w:h="16840" w:code="9"/>
      <w:pgMar w:top="1985" w:right="1559" w:bottom="1644" w:left="1559" w:header="624"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82A" w:rsidRDefault="00AC782A">
      <w:r>
        <w:separator/>
      </w:r>
    </w:p>
    <w:p w:rsidR="00AC782A" w:rsidRDefault="00AC782A"/>
    <w:p w:rsidR="00AC782A" w:rsidRDefault="00AC782A"/>
    <w:p w:rsidR="00AC782A" w:rsidRDefault="00AC782A"/>
  </w:endnote>
  <w:endnote w:type="continuationSeparator" w:id="0">
    <w:p w:rsidR="00AC782A" w:rsidRDefault="00AC782A">
      <w:r>
        <w:continuationSeparator/>
      </w:r>
    </w:p>
    <w:p w:rsidR="00AC782A" w:rsidRDefault="00AC782A"/>
    <w:p w:rsidR="00AC782A" w:rsidRDefault="00AC782A"/>
    <w:p w:rsidR="00AC782A" w:rsidRDefault="00AC78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ajan">
    <w:altName w:val="Courier New"/>
    <w:panose1 w:val="00000000000000000000"/>
    <w:charset w:val="00"/>
    <w:family w:val="roman"/>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82A" w:rsidRDefault="00AC782A"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C782A" w:rsidRDefault="00AC782A"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82A" w:rsidRPr="00F03814" w:rsidRDefault="00AC782A"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453FC792" wp14:editId="3AD802E2">
          <wp:extent cx="219075" cy="371475"/>
          <wp:effectExtent l="0" t="0" r="9525" b="9525"/>
          <wp:docPr id="13" name="Imagen 1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AC782A" w:rsidRPr="00F74E38" w:rsidRDefault="00AC782A" w:rsidP="00F03814">
    <w:pPr>
      <w:pStyle w:val="Piedepgina"/>
      <w:tabs>
        <w:tab w:val="clear" w:pos="4252"/>
        <w:tab w:val="clear" w:pos="8504"/>
        <w:tab w:val="center" w:pos="4560"/>
      </w:tabs>
      <w:ind w:right="360"/>
      <w:jc w:val="left"/>
      <w:rPr>
        <w:rStyle w:val="Nmerodepgin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82A" w:rsidRDefault="00AC782A"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82A" w:rsidRDefault="00AC782A"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Style w:val="Nmerodepgina"/>
        <w:szCs w:val="24"/>
      </w:rPr>
    </w:pPr>
    <w:r>
      <w:rPr>
        <w:rFonts w:ascii="GillSans" w:hAnsi="GillSans"/>
        <w:noProof/>
        <w:lang w:val="es-ES" w:eastAsia="es-ES"/>
      </w:rPr>
      <w:drawing>
        <wp:anchor distT="0" distB="0" distL="114300" distR="114300" simplePos="0" relativeHeight="251660288" behindDoc="0" locked="0" layoutInCell="1" allowOverlap="1" wp14:anchorId="218398E3" wp14:editId="508CFBA1">
          <wp:simplePos x="0" y="0"/>
          <wp:positionH relativeFrom="column">
            <wp:posOffset>-119380</wp:posOffset>
          </wp:positionH>
          <wp:positionV relativeFrom="paragraph">
            <wp:posOffset>-123190</wp:posOffset>
          </wp:positionV>
          <wp:extent cx="219075" cy="371475"/>
          <wp:effectExtent l="0" t="0" r="9525" b="9525"/>
          <wp:wrapSquare wrapText="bothSides"/>
          <wp:docPr id="21" name="Imagen 21"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8D24C0">
      <w:rPr>
        <w:rStyle w:val="Nmerodepgina"/>
        <w:noProof/>
        <w:szCs w:val="24"/>
      </w:rPr>
      <w:t>3</w:t>
    </w:r>
    <w:r w:rsidRPr="001D4F09">
      <w:rPr>
        <w:rStyle w:val="Nmerodepgina"/>
        <w:szCs w:val="24"/>
      </w:rPr>
      <w:fldChar w:fldCharType="end"/>
    </w:r>
    <w:r w:rsidRPr="001D4F09">
      <w:rPr>
        <w:rStyle w:val="Nmerodepgina"/>
        <w:szCs w:val="24"/>
      </w:rPr>
      <w:t xml:space="preserve"> </w:t>
    </w:r>
    <w:r>
      <w:rPr>
        <w:rStyle w:val="Nmerodepgina"/>
        <w:szCs w:val="24"/>
      </w:rPr>
      <w:t>–</w:t>
    </w:r>
  </w:p>
  <w:p w:rsidR="00AC782A" w:rsidRPr="00B96E4C" w:rsidRDefault="00AC782A" w:rsidP="00873B7F">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rFonts w:ascii="Arial" w:hAnsi="Arial" w:cs="Arial"/>
        <w:color w:val="A6A6A6" w:themeColor="background1" w:themeShade="A6"/>
        <w:sz w:val="32"/>
        <w:szCs w:val="32"/>
      </w:rPr>
    </w:pPr>
  </w:p>
  <w:p w:rsidR="00AC782A" w:rsidRDefault="00AC782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82A" w:rsidRDefault="00AC782A" w:rsidP="000832F0">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rStyle w:val="Nmerodepgina"/>
        <w:szCs w:val="24"/>
      </w:rPr>
    </w:pPr>
    <w:r>
      <w:rPr>
        <w:rFonts w:ascii="GillSans" w:hAnsi="GillSans"/>
        <w:noProof/>
        <w:lang w:val="es-ES" w:eastAsia="es-ES"/>
      </w:rPr>
      <w:drawing>
        <wp:anchor distT="0" distB="0" distL="114300" distR="114300" simplePos="0" relativeHeight="251661312" behindDoc="0" locked="0" layoutInCell="1" allowOverlap="1" wp14:anchorId="3A12668F" wp14:editId="6EF556E9">
          <wp:simplePos x="0" y="0"/>
          <wp:positionH relativeFrom="column">
            <wp:posOffset>-749935</wp:posOffset>
          </wp:positionH>
          <wp:positionV relativeFrom="paragraph">
            <wp:posOffset>-77470</wp:posOffset>
          </wp:positionV>
          <wp:extent cx="218440" cy="367665"/>
          <wp:effectExtent l="0" t="0" r="0" b="0"/>
          <wp:wrapSquare wrapText="bothSides"/>
          <wp:docPr id="22" name="Imagen 22"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8440" cy="367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677849">
      <w:rPr>
        <w:rStyle w:val="Nmerodepgina"/>
        <w:noProof/>
        <w:szCs w:val="24"/>
      </w:rPr>
      <w:t>64</w:t>
    </w:r>
    <w:r w:rsidRPr="001D4F09">
      <w:rPr>
        <w:rStyle w:val="Nmerodepgina"/>
        <w:szCs w:val="24"/>
      </w:rPr>
      <w:fldChar w:fldCharType="end"/>
    </w:r>
    <w:r w:rsidRPr="001D4F09">
      <w:rPr>
        <w:rStyle w:val="Nmerodepgina"/>
        <w:szCs w:val="24"/>
      </w:rPr>
      <w:t xml:space="preserve"> </w:t>
    </w:r>
    <w:r>
      <w:rPr>
        <w:rStyle w:val="Nmerodepgina"/>
        <w:szCs w:val="24"/>
      </w:rPr>
      <w:t>–</w:t>
    </w:r>
  </w:p>
  <w:p w:rsidR="00AC782A" w:rsidRPr="008B32A9" w:rsidRDefault="00AC782A" w:rsidP="00873B7F">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rStyle w:val="Nmerodepgina"/>
        <w:rFonts w:ascii="Arial (W1)" w:hAnsi="Arial (W1)"/>
        <w:i/>
        <w:color w:val="A6A6A6" w:themeColor="background1" w:themeShade="A6"/>
        <w:sz w:val="36"/>
        <w:szCs w:val="24"/>
      </w:rPr>
    </w:pPr>
  </w:p>
  <w:p w:rsidR="00AC782A" w:rsidRPr="008B32A9" w:rsidRDefault="00AC782A" w:rsidP="00873B7F">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rFonts w:ascii="Arial (W1)" w:hAnsi="Arial (W1)"/>
        <w:i/>
        <w:color w:val="A6A6A6" w:themeColor="background1" w:themeShade="A6"/>
        <w:sz w:val="36"/>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82A" w:rsidRDefault="00AC782A" w:rsidP="001F2A05">
      <w:pPr>
        <w:ind w:firstLine="0"/>
      </w:pPr>
      <w:r>
        <w:separator/>
      </w:r>
    </w:p>
  </w:footnote>
  <w:footnote w:type="continuationSeparator" w:id="0">
    <w:p w:rsidR="00AC782A" w:rsidRDefault="00AC782A" w:rsidP="00A5319B">
      <w:pPr>
        <w:ind w:firstLine="0"/>
      </w:pPr>
      <w:r>
        <w:continuationSeparator/>
      </w:r>
    </w:p>
  </w:footnote>
  <w:footnote w:id="1">
    <w:p w:rsidR="00AC782A" w:rsidRDefault="00AC782A" w:rsidP="00D90120">
      <w:pPr>
        <w:pStyle w:val="Textonotapie"/>
        <w:ind w:firstLine="0"/>
      </w:pPr>
      <w:r>
        <w:rPr>
          <w:rStyle w:val="Refdenotaalpie"/>
        </w:rPr>
        <w:footnoteRef/>
      </w:r>
      <w:r>
        <w:t xml:space="preserve"> El ejercicio económico del club coincide con la temporada deportiva y abarca desde 1 de julio hasta el 30 de junio del ejercicio siguiente.</w:t>
      </w:r>
    </w:p>
  </w:footnote>
  <w:footnote w:id="2">
    <w:p w:rsidR="00AC782A" w:rsidRDefault="00AC782A" w:rsidP="009913AD">
      <w:pPr>
        <w:pStyle w:val="Textonotapie"/>
        <w:spacing w:after="0"/>
        <w:ind w:firstLine="0"/>
      </w:pPr>
      <w:r>
        <w:rPr>
          <w:rStyle w:val="Refdenotaalpie"/>
        </w:rPr>
        <w:footnoteRef/>
      </w:r>
      <w:r>
        <w:t xml:space="preserve"> Si bien con anterioridad a dicho año se viene hablando ya de la búsqueda de un fórmula para el pago de la deuda tributaria del Club.</w:t>
      </w:r>
    </w:p>
  </w:footnote>
  <w:footnote w:id="3">
    <w:p w:rsidR="00AC782A" w:rsidRDefault="00AC782A" w:rsidP="00CA40CB">
      <w:pPr>
        <w:pStyle w:val="Textonotapie"/>
        <w:spacing w:after="0"/>
        <w:ind w:firstLine="0"/>
        <w:jc w:val="left"/>
      </w:pPr>
      <w:r>
        <w:rPr>
          <w:rStyle w:val="Refdenotaalpie"/>
        </w:rPr>
        <w:footnoteRef/>
      </w:r>
      <w:r>
        <w:t xml:space="preserve"> Incluye el principal más los intereses y recargos devengados hasta la fecha del acuerdo.</w:t>
      </w:r>
    </w:p>
  </w:footnote>
  <w:footnote w:id="4">
    <w:p w:rsidR="00AC782A" w:rsidRDefault="00AC782A" w:rsidP="00EE634C">
      <w:pPr>
        <w:pStyle w:val="Textonotapie"/>
        <w:spacing w:after="0"/>
        <w:ind w:firstLine="0"/>
      </w:pPr>
      <w:r>
        <w:rPr>
          <w:rStyle w:val="Refdenotaalpie"/>
        </w:rPr>
        <w:footnoteRef/>
      </w:r>
      <w:r>
        <w:t xml:space="preserve"> También hay dispensa de garantías, entre otras exigencias, cuando el importe a aplazar sea inferior a 6.000 o 12.000 euros.</w:t>
      </w:r>
    </w:p>
  </w:footnote>
  <w:footnote w:id="5">
    <w:p w:rsidR="00AC782A" w:rsidRPr="00A56AFC" w:rsidRDefault="00AC782A" w:rsidP="001B0D3B">
      <w:pPr>
        <w:pStyle w:val="Textonotapie"/>
        <w:spacing w:after="0"/>
        <w:ind w:firstLine="0"/>
        <w:rPr>
          <w:rStyle w:val="Refdenotaalpie"/>
          <w:sz w:val="24"/>
          <w:szCs w:val="24"/>
        </w:rPr>
      </w:pPr>
      <w:r w:rsidRPr="00A56AFC">
        <w:rPr>
          <w:rStyle w:val="Refdenotaalpie"/>
          <w:sz w:val="24"/>
          <w:szCs w:val="24"/>
        </w:rPr>
        <w:footnoteRef/>
      </w:r>
      <w:r w:rsidRPr="00A56AFC">
        <w:rPr>
          <w:rStyle w:val="Refdenotaalpie"/>
          <w:sz w:val="24"/>
          <w:szCs w:val="24"/>
        </w:rPr>
        <w:t xml:space="preserve"> Párrafo introducido de acuerdo con la alegación presentada por la HTN.</w:t>
      </w:r>
    </w:p>
  </w:footnote>
  <w:footnote w:id="6">
    <w:p w:rsidR="00AC782A" w:rsidRPr="00A56AFC" w:rsidRDefault="00AC782A" w:rsidP="001B0D3B">
      <w:pPr>
        <w:pStyle w:val="Textonotapie"/>
        <w:spacing w:after="0"/>
        <w:ind w:firstLine="0"/>
        <w:rPr>
          <w:rStyle w:val="Refdenotaalpie"/>
          <w:sz w:val="24"/>
          <w:szCs w:val="24"/>
        </w:rPr>
      </w:pPr>
      <w:r w:rsidRPr="00A56AFC">
        <w:rPr>
          <w:rStyle w:val="Refdenotaalpie"/>
          <w:sz w:val="24"/>
          <w:szCs w:val="24"/>
        </w:rPr>
        <w:footnoteRef/>
      </w:r>
      <w:r w:rsidRPr="00A56AFC">
        <w:rPr>
          <w:rStyle w:val="Refdenotaalpie"/>
          <w:sz w:val="24"/>
          <w:szCs w:val="24"/>
        </w:rPr>
        <w:t xml:space="preserve"> Párrafo modificado de acuerdo con la alegación presentada por la HTN</w:t>
      </w:r>
    </w:p>
  </w:footnote>
  <w:footnote w:id="7">
    <w:p w:rsidR="00AC782A" w:rsidRDefault="00AC782A" w:rsidP="00D663E4">
      <w:pPr>
        <w:pStyle w:val="Textonotapie"/>
        <w:spacing w:after="0"/>
        <w:ind w:firstLine="0"/>
      </w:pPr>
      <w:r>
        <w:rPr>
          <w:rStyle w:val="Refdenotaalpie"/>
        </w:rPr>
        <w:footnoteRef/>
      </w:r>
      <w:r>
        <w:t xml:space="preserve"> Cuyo detalle puede verse en el Apéndice 2 de este informe.</w:t>
      </w:r>
    </w:p>
  </w:footnote>
  <w:footnote w:id="8">
    <w:p w:rsidR="00AC782A" w:rsidRDefault="00AC782A" w:rsidP="00D663E4">
      <w:pPr>
        <w:pStyle w:val="Textonotapie"/>
        <w:spacing w:after="0"/>
        <w:ind w:firstLine="0"/>
      </w:pPr>
      <w:r>
        <w:rPr>
          <w:rStyle w:val="Refdenotaalpie"/>
        </w:rPr>
        <w:footnoteRef/>
      </w:r>
      <w:r>
        <w:t xml:space="preserve"> Según notificación de la Tesorería General de la Seguridad Social de 3 de octubre de 2014.</w:t>
      </w:r>
    </w:p>
  </w:footnote>
  <w:footnote w:id="9">
    <w:p w:rsidR="00AC782A" w:rsidRDefault="00AC782A" w:rsidP="00D663E4">
      <w:pPr>
        <w:pStyle w:val="Textonotapie"/>
        <w:spacing w:after="0"/>
        <w:ind w:firstLine="0"/>
      </w:pPr>
      <w:r>
        <w:rPr>
          <w:rStyle w:val="Refdenotaalpie"/>
        </w:rPr>
        <w:footnoteRef/>
      </w:r>
      <w:r>
        <w:t xml:space="preserve"> Según notificación de la Tesorería General de la Seguridad Social de 3 de octubre de 2014.</w:t>
      </w:r>
    </w:p>
  </w:footnote>
  <w:footnote w:id="10">
    <w:p w:rsidR="00AC782A" w:rsidRDefault="00AC782A" w:rsidP="00D663E4">
      <w:pPr>
        <w:pStyle w:val="Textonotapie"/>
        <w:spacing w:after="0"/>
        <w:ind w:firstLine="0"/>
      </w:pPr>
      <w:r>
        <w:rPr>
          <w:rStyle w:val="Refdenotaalpie"/>
        </w:rPr>
        <w:footnoteRef/>
      </w:r>
      <w:r>
        <w:t xml:space="preserve"> Según notificación de la Tesorería General de la Seguridad Social de 3 de octubre de 2014.</w:t>
      </w:r>
    </w:p>
  </w:footnote>
  <w:footnote w:id="11">
    <w:p w:rsidR="00AC782A" w:rsidRDefault="00AC782A" w:rsidP="007331F2">
      <w:pPr>
        <w:pStyle w:val="Textonotapie"/>
        <w:spacing w:after="0"/>
        <w:ind w:firstLine="0"/>
      </w:pPr>
      <w:r>
        <w:rPr>
          <w:rStyle w:val="Refdenotaalpie"/>
        </w:rPr>
        <w:footnoteRef/>
      </w:r>
      <w:r>
        <w:t xml:space="preserve"> Según notificación de la Tesorería General de la Seguridad Social de 3 de octubre de 2014.</w:t>
      </w:r>
    </w:p>
  </w:footnote>
  <w:footnote w:id="12">
    <w:p w:rsidR="00AC782A" w:rsidRDefault="00AC782A" w:rsidP="00A161A8">
      <w:pPr>
        <w:pStyle w:val="Textonotapie"/>
        <w:ind w:firstLine="0"/>
      </w:pPr>
      <w:r>
        <w:rPr>
          <w:rStyle w:val="Refdenotaalpie"/>
        </w:rPr>
        <w:footnoteRef/>
      </w:r>
      <w:r>
        <w:t xml:space="preserve"> Párrafo introducido de acuerdo con la alegación presentada por la HTN.</w:t>
      </w:r>
    </w:p>
  </w:footnote>
  <w:footnote w:id="13">
    <w:p w:rsidR="00AC782A" w:rsidRPr="00AC782A" w:rsidRDefault="00AC782A" w:rsidP="00AC782A">
      <w:pPr>
        <w:pStyle w:val="Textonotapie"/>
        <w:spacing w:after="0"/>
        <w:ind w:firstLine="0"/>
      </w:pPr>
      <w:r w:rsidRPr="00AC782A">
        <w:rPr>
          <w:rStyle w:val="Refdenotaalpie"/>
        </w:rPr>
        <w:footnoteRef/>
      </w:r>
      <w:r w:rsidRPr="00AC782A">
        <w:t xml:space="preserve"> Párrafos introducidos de acuerdo con la alegación presentada por la HTN</w:t>
      </w:r>
      <w:r>
        <w:t>.</w:t>
      </w:r>
    </w:p>
  </w:footnote>
  <w:footnote w:id="14">
    <w:p w:rsidR="00AC782A" w:rsidRPr="00AC782A" w:rsidRDefault="00AC782A" w:rsidP="00AC782A">
      <w:pPr>
        <w:pStyle w:val="Textonotapie"/>
        <w:spacing w:after="0"/>
        <w:ind w:firstLine="0"/>
      </w:pPr>
      <w:r w:rsidRPr="00AC782A">
        <w:rPr>
          <w:rStyle w:val="Refdenotaalpie"/>
        </w:rPr>
        <w:footnoteRef/>
      </w:r>
      <w:r w:rsidRPr="00AC782A">
        <w:t xml:space="preserve"> Párrafo modificado de acuerdo con la alegación presentada por la HTN.</w:t>
      </w:r>
    </w:p>
  </w:footnote>
  <w:footnote w:id="15">
    <w:p w:rsidR="00AC782A" w:rsidRDefault="00AC782A" w:rsidP="00AC782A">
      <w:pPr>
        <w:pStyle w:val="Textonotapie"/>
        <w:spacing w:after="0"/>
        <w:ind w:firstLine="0"/>
      </w:pPr>
      <w:r>
        <w:rPr>
          <w:rStyle w:val="Refdenotaalpie"/>
        </w:rPr>
        <w:footnoteRef/>
      </w:r>
      <w:r>
        <w:t xml:space="preserve"> Párrafo introducido de acuerdo con la alegación presentada por la HTN.</w:t>
      </w:r>
    </w:p>
  </w:footnote>
  <w:footnote w:id="16">
    <w:p w:rsidR="00AC782A" w:rsidRDefault="00AC782A" w:rsidP="00AC782A">
      <w:pPr>
        <w:pStyle w:val="Textonotapie"/>
        <w:spacing w:after="60"/>
        <w:ind w:firstLine="0"/>
      </w:pPr>
      <w:r>
        <w:rPr>
          <w:rStyle w:val="Refdenotaalpie"/>
        </w:rPr>
        <w:footnoteRef/>
      </w:r>
      <w:r>
        <w:t xml:space="preserve"> Una vez descontadas las deudas del propio club con los entes concedentes de las ayudas.</w:t>
      </w:r>
    </w:p>
  </w:footnote>
  <w:footnote w:id="17">
    <w:p w:rsidR="00AC782A" w:rsidRDefault="00AC782A" w:rsidP="00AC782A">
      <w:pPr>
        <w:pStyle w:val="Textonotapie"/>
        <w:spacing w:after="60"/>
        <w:ind w:firstLine="0"/>
      </w:pPr>
      <w:r>
        <w:rPr>
          <w:rStyle w:val="Refdenotaalpie"/>
        </w:rPr>
        <w:footnoteRef/>
      </w:r>
      <w:r>
        <w:t xml:space="preserve"> Además de la ayuda citada de la LFP, existe otra ayuda del denominado grupo de clubes G-35 por importe total de 9,11 millones, a percibir entre octubre de 2014 y enero 2016. </w:t>
      </w:r>
    </w:p>
  </w:footnote>
  <w:footnote w:id="18">
    <w:p w:rsidR="00AC782A" w:rsidRDefault="00AC782A" w:rsidP="00AC782A">
      <w:pPr>
        <w:pStyle w:val="Textonotapie"/>
        <w:spacing w:after="60"/>
        <w:ind w:firstLine="0"/>
      </w:pPr>
      <w:r>
        <w:rPr>
          <w:rStyle w:val="Refdenotaalpie"/>
        </w:rPr>
        <w:footnoteRef/>
      </w:r>
      <w:r>
        <w:t xml:space="preserve"> Párrafo introducido de acuerdo con la alegación presentada por la HTN.</w:t>
      </w:r>
    </w:p>
  </w:footnote>
  <w:footnote w:id="19">
    <w:p w:rsidR="00AC782A" w:rsidRDefault="00AC782A" w:rsidP="007676BC">
      <w:pPr>
        <w:pStyle w:val="Textonotapie"/>
        <w:spacing w:after="0"/>
        <w:ind w:firstLine="0"/>
      </w:pPr>
      <w:r>
        <w:rPr>
          <w:rStyle w:val="Refdenotaalpie"/>
        </w:rPr>
        <w:footnoteRef/>
      </w:r>
      <w:r>
        <w:t xml:space="preserve"> Figura no prevista en la Ley Foral del Deporte de Navarra, por lo que fue necesario dictar un Decreto-Ley Foral para introducirla.</w:t>
      </w:r>
    </w:p>
  </w:footnote>
  <w:footnote w:id="20">
    <w:p w:rsidR="00AC782A" w:rsidRDefault="00AC782A" w:rsidP="000832F0">
      <w:pPr>
        <w:pStyle w:val="Textonotapie"/>
        <w:spacing w:after="0"/>
        <w:ind w:firstLine="0"/>
      </w:pPr>
      <w:r>
        <w:rPr>
          <w:rStyle w:val="Refdenotaalpie"/>
        </w:rPr>
        <w:footnoteRef/>
      </w:r>
      <w:r>
        <w:t xml:space="preserve"> Todos los gráficos que se exponen a continuación están referidos al ámbito temporal de 30 de junio de cada uno de los años.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82A" w:rsidRDefault="00AC782A" w:rsidP="00B96E4C">
    <w:pPr>
      <w:pStyle w:val="Encabezado"/>
      <w:pBdr>
        <w:bottom w:val="single" w:sz="4" w:space="1" w:color="auto"/>
      </w:pBdr>
      <w:spacing w:after="40"/>
      <w:ind w:firstLine="0"/>
      <w:rPr>
        <w:lang w:val="es-ES"/>
      </w:rPr>
    </w:pPr>
    <w:r>
      <w:rPr>
        <w:b/>
        <w:noProof/>
        <w:lang w:val="es-ES" w:eastAsia="es-ES"/>
      </w:rPr>
      <w:drawing>
        <wp:anchor distT="0" distB="0" distL="114300" distR="114300" simplePos="0" relativeHeight="251659264" behindDoc="0" locked="0" layoutInCell="1" allowOverlap="1" wp14:anchorId="75ED4FE0" wp14:editId="2C1E3119">
          <wp:simplePos x="0" y="0"/>
          <wp:positionH relativeFrom="column">
            <wp:posOffset>-380365</wp:posOffset>
          </wp:positionH>
          <wp:positionV relativeFrom="paragraph">
            <wp:posOffset>-80645</wp:posOffset>
          </wp:positionV>
          <wp:extent cx="723265" cy="714375"/>
          <wp:effectExtent l="0" t="0" r="635" b="9525"/>
          <wp:wrapSquare wrapText="bothSides"/>
          <wp:docPr id="12" name="Imagen 1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26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782A" w:rsidRDefault="00AC782A" w:rsidP="00B96E4C">
    <w:pPr>
      <w:pStyle w:val="Encabezado"/>
      <w:pBdr>
        <w:bottom w:val="single" w:sz="4" w:space="1" w:color="auto"/>
      </w:pBdr>
      <w:spacing w:after="40"/>
      <w:ind w:firstLine="0"/>
      <w:rPr>
        <w:lang w:val="es-ES"/>
      </w:rPr>
    </w:pPr>
  </w:p>
  <w:p w:rsidR="00AC782A" w:rsidRDefault="00AC782A" w:rsidP="00B96E4C">
    <w:pPr>
      <w:pStyle w:val="Encabezado"/>
      <w:pBdr>
        <w:bottom w:val="single" w:sz="4" w:space="1" w:color="auto"/>
      </w:pBdr>
      <w:spacing w:after="40"/>
      <w:ind w:firstLine="0"/>
      <w:rPr>
        <w:lang w:val="es-ES"/>
      </w:rPr>
    </w:pPr>
  </w:p>
  <w:p w:rsidR="00AC782A" w:rsidRDefault="00AC782A" w:rsidP="00B96E4C">
    <w:pPr>
      <w:pStyle w:val="Encabezado"/>
      <w:pBdr>
        <w:bottom w:val="single" w:sz="4" w:space="1" w:color="auto"/>
      </w:pBdr>
      <w:spacing w:after="40"/>
      <w:ind w:firstLine="0"/>
      <w:rPr>
        <w:lang w:val="es-ES"/>
      </w:rPr>
    </w:pPr>
    <w:r>
      <w:rPr>
        <w:lang w:val="es-ES"/>
      </w:rPr>
      <w:t xml:space="preserve">informe de fiscalización SOBRE la actuación de la hacienda foral en relación con el </w:t>
    </w:r>
  </w:p>
  <w:p w:rsidR="00AC782A" w:rsidRPr="0059650E" w:rsidRDefault="00AC782A" w:rsidP="009B4B94">
    <w:pPr>
      <w:pStyle w:val="Encabezado"/>
      <w:pBdr>
        <w:bottom w:val="single" w:sz="4" w:space="1" w:color="auto"/>
      </w:pBdr>
      <w:spacing w:after="40"/>
      <w:ind w:firstLine="0"/>
      <w:rPr>
        <w:lang w:val="es-ES"/>
      </w:rPr>
    </w:pPr>
    <w:r>
      <w:rPr>
        <w:lang w:val="es-ES"/>
      </w:rPr>
      <w:t>c.a. osasuna y Aplicación de la ley foral 26/2014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82A" w:rsidRDefault="00AC782A" w:rsidP="006A2D41">
    <w:pPr>
      <w:pStyle w:val="Encabezado"/>
      <w:ind w:firstLine="0"/>
      <w:jc w:val="left"/>
    </w:pPr>
    <w:r>
      <w:rPr>
        <w:noProof/>
        <w:lang w:val="es-ES" w:eastAsia="es-ES"/>
      </w:rPr>
      <w:drawing>
        <wp:inline distT="0" distB="0" distL="0" distR="0" wp14:anchorId="0BF35F96" wp14:editId="12A6BBE9">
          <wp:extent cx="771525" cy="762000"/>
          <wp:effectExtent l="0" t="0" r="9525" b="0"/>
          <wp:docPr id="20" name="Imagen 20"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82A" w:rsidRDefault="00AC782A"/>
  <w:p w:rsidR="00AC782A" w:rsidRDefault="00AC782A"/>
  <w:p w:rsidR="00AC782A" w:rsidRDefault="00AC78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5pt;height:10.95pt" o:bullet="t">
        <v:imagedata r:id="rId1" o:title="msoA105"/>
      </v:shape>
    </w:pict>
  </w:numPicBullet>
  <w:abstractNum w:abstractNumId="0">
    <w:nsid w:val="01E9738C"/>
    <w:multiLevelType w:val="hybridMultilevel"/>
    <w:tmpl w:val="805A9B30"/>
    <w:lvl w:ilvl="0" w:tplc="0C0A0001">
      <w:start w:val="1"/>
      <w:numFmt w:val="bullet"/>
      <w:lvlText w:val=""/>
      <w:lvlJc w:val="left"/>
      <w:pPr>
        <w:tabs>
          <w:tab w:val="num" w:pos="460"/>
        </w:tabs>
        <w:ind w:left="460" w:hanging="360"/>
      </w:pPr>
      <w:rPr>
        <w:rFonts w:ascii="Symbol" w:hAnsi="Symbol"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
    <w:nsid w:val="046B27DF"/>
    <w:multiLevelType w:val="hybridMultilevel"/>
    <w:tmpl w:val="66844E94"/>
    <w:lvl w:ilvl="0" w:tplc="CBD08AF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nsid w:val="096C278A"/>
    <w:multiLevelType w:val="hybridMultilevel"/>
    <w:tmpl w:val="219495CC"/>
    <w:lvl w:ilvl="0" w:tplc="7F84840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nsid w:val="09B51299"/>
    <w:multiLevelType w:val="hybridMultilevel"/>
    <w:tmpl w:val="28E2CAC2"/>
    <w:lvl w:ilvl="0" w:tplc="318C10CC">
      <w:start w:val="1"/>
      <w:numFmt w:val="upperLetter"/>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nsid w:val="10665F14"/>
    <w:multiLevelType w:val="hybridMultilevel"/>
    <w:tmpl w:val="C9D8E87E"/>
    <w:lvl w:ilvl="0" w:tplc="99FAAFA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6">
    <w:nsid w:val="12AB4BA6"/>
    <w:multiLevelType w:val="hybridMultilevel"/>
    <w:tmpl w:val="CA92DB34"/>
    <w:lvl w:ilvl="0" w:tplc="EB10802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nsid w:val="14FE15A5"/>
    <w:multiLevelType w:val="hybridMultilevel"/>
    <w:tmpl w:val="34A8868A"/>
    <w:lvl w:ilvl="0" w:tplc="A6F47724">
      <w:start w:val="3"/>
      <w:numFmt w:val="decimal"/>
      <w:lvlText w:val="%1."/>
      <w:lvlJc w:val="left"/>
      <w:pPr>
        <w:ind w:left="650" w:hanging="360"/>
      </w:pPr>
      <w:rPr>
        <w:rFonts w:hint="default"/>
      </w:rPr>
    </w:lvl>
    <w:lvl w:ilvl="1" w:tplc="0C0A0019" w:tentative="1">
      <w:start w:val="1"/>
      <w:numFmt w:val="lowerLetter"/>
      <w:lvlText w:val="%2."/>
      <w:lvlJc w:val="left"/>
      <w:pPr>
        <w:ind w:left="1370" w:hanging="360"/>
      </w:pPr>
    </w:lvl>
    <w:lvl w:ilvl="2" w:tplc="0C0A001B" w:tentative="1">
      <w:start w:val="1"/>
      <w:numFmt w:val="lowerRoman"/>
      <w:lvlText w:val="%3."/>
      <w:lvlJc w:val="right"/>
      <w:pPr>
        <w:ind w:left="2090" w:hanging="180"/>
      </w:pPr>
    </w:lvl>
    <w:lvl w:ilvl="3" w:tplc="0C0A000F" w:tentative="1">
      <w:start w:val="1"/>
      <w:numFmt w:val="decimal"/>
      <w:lvlText w:val="%4."/>
      <w:lvlJc w:val="left"/>
      <w:pPr>
        <w:ind w:left="2810" w:hanging="360"/>
      </w:pPr>
    </w:lvl>
    <w:lvl w:ilvl="4" w:tplc="0C0A0019" w:tentative="1">
      <w:start w:val="1"/>
      <w:numFmt w:val="lowerLetter"/>
      <w:lvlText w:val="%5."/>
      <w:lvlJc w:val="left"/>
      <w:pPr>
        <w:ind w:left="3530" w:hanging="360"/>
      </w:pPr>
    </w:lvl>
    <w:lvl w:ilvl="5" w:tplc="0C0A001B" w:tentative="1">
      <w:start w:val="1"/>
      <w:numFmt w:val="lowerRoman"/>
      <w:lvlText w:val="%6."/>
      <w:lvlJc w:val="right"/>
      <w:pPr>
        <w:ind w:left="4250" w:hanging="180"/>
      </w:pPr>
    </w:lvl>
    <w:lvl w:ilvl="6" w:tplc="0C0A000F" w:tentative="1">
      <w:start w:val="1"/>
      <w:numFmt w:val="decimal"/>
      <w:lvlText w:val="%7."/>
      <w:lvlJc w:val="left"/>
      <w:pPr>
        <w:ind w:left="4970" w:hanging="360"/>
      </w:pPr>
    </w:lvl>
    <w:lvl w:ilvl="7" w:tplc="0C0A0019" w:tentative="1">
      <w:start w:val="1"/>
      <w:numFmt w:val="lowerLetter"/>
      <w:lvlText w:val="%8."/>
      <w:lvlJc w:val="left"/>
      <w:pPr>
        <w:ind w:left="5690" w:hanging="360"/>
      </w:pPr>
    </w:lvl>
    <w:lvl w:ilvl="8" w:tplc="0C0A001B" w:tentative="1">
      <w:start w:val="1"/>
      <w:numFmt w:val="lowerRoman"/>
      <w:lvlText w:val="%9."/>
      <w:lvlJc w:val="right"/>
      <w:pPr>
        <w:ind w:left="6410" w:hanging="180"/>
      </w:pPr>
    </w:lvl>
  </w:abstractNum>
  <w:abstractNum w:abstractNumId="8">
    <w:nsid w:val="174B3E62"/>
    <w:multiLevelType w:val="hybridMultilevel"/>
    <w:tmpl w:val="0472E546"/>
    <w:lvl w:ilvl="0" w:tplc="03CC2BE2">
      <w:start w:val="1"/>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9">
    <w:nsid w:val="17BD5498"/>
    <w:multiLevelType w:val="hybridMultilevel"/>
    <w:tmpl w:val="2B18B69C"/>
    <w:lvl w:ilvl="0" w:tplc="EA008F5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92F66C6"/>
    <w:multiLevelType w:val="hybridMultilevel"/>
    <w:tmpl w:val="633C49BA"/>
    <w:lvl w:ilvl="0" w:tplc="6026EABA">
      <w:start w:val="1"/>
      <w:numFmt w:val="decimal"/>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1">
    <w:nsid w:val="1BE6739D"/>
    <w:multiLevelType w:val="hybridMultilevel"/>
    <w:tmpl w:val="C9D8E87E"/>
    <w:lvl w:ilvl="0" w:tplc="99FAAFA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CE12AE9"/>
    <w:multiLevelType w:val="hybridMultilevel"/>
    <w:tmpl w:val="9BCA1D1C"/>
    <w:lvl w:ilvl="0" w:tplc="5070586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nsid w:val="1E9154EB"/>
    <w:multiLevelType w:val="hybridMultilevel"/>
    <w:tmpl w:val="880CCDAE"/>
    <w:lvl w:ilvl="0" w:tplc="E08015E0">
      <w:start w:val="1"/>
      <w:numFmt w:val="lowerLetter"/>
      <w:lvlText w:val="%1)"/>
      <w:lvlJc w:val="left"/>
      <w:pPr>
        <w:ind w:left="650" w:hanging="360"/>
      </w:pPr>
      <w:rPr>
        <w:rFonts w:hint="default"/>
      </w:rPr>
    </w:lvl>
    <w:lvl w:ilvl="1" w:tplc="0C0A0019" w:tentative="1">
      <w:start w:val="1"/>
      <w:numFmt w:val="lowerLetter"/>
      <w:lvlText w:val="%2."/>
      <w:lvlJc w:val="left"/>
      <w:pPr>
        <w:ind w:left="1370" w:hanging="360"/>
      </w:pPr>
    </w:lvl>
    <w:lvl w:ilvl="2" w:tplc="0C0A001B" w:tentative="1">
      <w:start w:val="1"/>
      <w:numFmt w:val="lowerRoman"/>
      <w:lvlText w:val="%3."/>
      <w:lvlJc w:val="right"/>
      <w:pPr>
        <w:ind w:left="2090" w:hanging="180"/>
      </w:pPr>
    </w:lvl>
    <w:lvl w:ilvl="3" w:tplc="0C0A000F" w:tentative="1">
      <w:start w:val="1"/>
      <w:numFmt w:val="decimal"/>
      <w:lvlText w:val="%4."/>
      <w:lvlJc w:val="left"/>
      <w:pPr>
        <w:ind w:left="2810" w:hanging="360"/>
      </w:pPr>
    </w:lvl>
    <w:lvl w:ilvl="4" w:tplc="0C0A0019" w:tentative="1">
      <w:start w:val="1"/>
      <w:numFmt w:val="lowerLetter"/>
      <w:lvlText w:val="%5."/>
      <w:lvlJc w:val="left"/>
      <w:pPr>
        <w:ind w:left="3530" w:hanging="360"/>
      </w:pPr>
    </w:lvl>
    <w:lvl w:ilvl="5" w:tplc="0C0A001B" w:tentative="1">
      <w:start w:val="1"/>
      <w:numFmt w:val="lowerRoman"/>
      <w:lvlText w:val="%6."/>
      <w:lvlJc w:val="right"/>
      <w:pPr>
        <w:ind w:left="4250" w:hanging="180"/>
      </w:pPr>
    </w:lvl>
    <w:lvl w:ilvl="6" w:tplc="0C0A000F" w:tentative="1">
      <w:start w:val="1"/>
      <w:numFmt w:val="decimal"/>
      <w:lvlText w:val="%7."/>
      <w:lvlJc w:val="left"/>
      <w:pPr>
        <w:ind w:left="4970" w:hanging="360"/>
      </w:pPr>
    </w:lvl>
    <w:lvl w:ilvl="7" w:tplc="0C0A0019" w:tentative="1">
      <w:start w:val="1"/>
      <w:numFmt w:val="lowerLetter"/>
      <w:lvlText w:val="%8."/>
      <w:lvlJc w:val="left"/>
      <w:pPr>
        <w:ind w:left="5690" w:hanging="360"/>
      </w:pPr>
    </w:lvl>
    <w:lvl w:ilvl="8" w:tplc="0C0A001B" w:tentative="1">
      <w:start w:val="1"/>
      <w:numFmt w:val="lowerRoman"/>
      <w:lvlText w:val="%9."/>
      <w:lvlJc w:val="right"/>
      <w:pPr>
        <w:ind w:left="6410" w:hanging="180"/>
      </w:pPr>
    </w:lvl>
  </w:abstractNum>
  <w:abstractNum w:abstractNumId="14">
    <w:nsid w:val="2455119A"/>
    <w:multiLevelType w:val="hybridMultilevel"/>
    <w:tmpl w:val="C9D8E87E"/>
    <w:lvl w:ilvl="0" w:tplc="99FAAFA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9C07347"/>
    <w:multiLevelType w:val="hybridMultilevel"/>
    <w:tmpl w:val="9B300A5A"/>
    <w:lvl w:ilvl="0" w:tplc="DBEA19B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AAF379A"/>
    <w:multiLevelType w:val="hybridMultilevel"/>
    <w:tmpl w:val="7CAE7BF8"/>
    <w:lvl w:ilvl="0" w:tplc="C33EC71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nsid w:val="330624D6"/>
    <w:multiLevelType w:val="hybridMultilevel"/>
    <w:tmpl w:val="C9D8E87E"/>
    <w:lvl w:ilvl="0" w:tplc="99FAAFA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5E54CE6"/>
    <w:multiLevelType w:val="hybridMultilevel"/>
    <w:tmpl w:val="C746726E"/>
    <w:lvl w:ilvl="0" w:tplc="0C0A0007">
      <w:start w:val="1"/>
      <w:numFmt w:val="bullet"/>
      <w:lvlText w:val=""/>
      <w:lvlPicBulletId w:val="0"/>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9">
    <w:nsid w:val="39DC6349"/>
    <w:multiLevelType w:val="hybridMultilevel"/>
    <w:tmpl w:val="B5E0BFBE"/>
    <w:lvl w:ilvl="0" w:tplc="D5A47DEE">
      <w:start w:val="1"/>
      <w:numFmt w:val="lowerLetter"/>
      <w:lvlText w:val="%1)"/>
      <w:lvlJc w:val="left"/>
      <w:pPr>
        <w:ind w:left="704" w:hanging="360"/>
      </w:pPr>
      <w:rPr>
        <w:rFonts w:hint="default"/>
      </w:rPr>
    </w:lvl>
    <w:lvl w:ilvl="1" w:tplc="0C0A0019" w:tentative="1">
      <w:start w:val="1"/>
      <w:numFmt w:val="lowerLetter"/>
      <w:lvlText w:val="%2."/>
      <w:lvlJc w:val="left"/>
      <w:pPr>
        <w:ind w:left="1424" w:hanging="360"/>
      </w:pPr>
    </w:lvl>
    <w:lvl w:ilvl="2" w:tplc="0C0A001B" w:tentative="1">
      <w:start w:val="1"/>
      <w:numFmt w:val="lowerRoman"/>
      <w:lvlText w:val="%3."/>
      <w:lvlJc w:val="right"/>
      <w:pPr>
        <w:ind w:left="2144" w:hanging="180"/>
      </w:pPr>
    </w:lvl>
    <w:lvl w:ilvl="3" w:tplc="0C0A000F" w:tentative="1">
      <w:start w:val="1"/>
      <w:numFmt w:val="decimal"/>
      <w:lvlText w:val="%4."/>
      <w:lvlJc w:val="left"/>
      <w:pPr>
        <w:ind w:left="2864" w:hanging="360"/>
      </w:pPr>
    </w:lvl>
    <w:lvl w:ilvl="4" w:tplc="0C0A0019" w:tentative="1">
      <w:start w:val="1"/>
      <w:numFmt w:val="lowerLetter"/>
      <w:lvlText w:val="%5."/>
      <w:lvlJc w:val="left"/>
      <w:pPr>
        <w:ind w:left="3584" w:hanging="360"/>
      </w:pPr>
    </w:lvl>
    <w:lvl w:ilvl="5" w:tplc="0C0A001B" w:tentative="1">
      <w:start w:val="1"/>
      <w:numFmt w:val="lowerRoman"/>
      <w:lvlText w:val="%6."/>
      <w:lvlJc w:val="right"/>
      <w:pPr>
        <w:ind w:left="4304" w:hanging="180"/>
      </w:pPr>
    </w:lvl>
    <w:lvl w:ilvl="6" w:tplc="0C0A000F" w:tentative="1">
      <w:start w:val="1"/>
      <w:numFmt w:val="decimal"/>
      <w:lvlText w:val="%7."/>
      <w:lvlJc w:val="left"/>
      <w:pPr>
        <w:ind w:left="5024" w:hanging="360"/>
      </w:pPr>
    </w:lvl>
    <w:lvl w:ilvl="7" w:tplc="0C0A0019" w:tentative="1">
      <w:start w:val="1"/>
      <w:numFmt w:val="lowerLetter"/>
      <w:lvlText w:val="%8."/>
      <w:lvlJc w:val="left"/>
      <w:pPr>
        <w:ind w:left="5744" w:hanging="360"/>
      </w:pPr>
    </w:lvl>
    <w:lvl w:ilvl="8" w:tplc="0C0A001B" w:tentative="1">
      <w:start w:val="1"/>
      <w:numFmt w:val="lowerRoman"/>
      <w:lvlText w:val="%9."/>
      <w:lvlJc w:val="right"/>
      <w:pPr>
        <w:ind w:left="6464" w:hanging="180"/>
      </w:pPr>
    </w:lvl>
  </w:abstractNum>
  <w:abstractNum w:abstractNumId="20">
    <w:nsid w:val="3AD00AF6"/>
    <w:multiLevelType w:val="hybridMultilevel"/>
    <w:tmpl w:val="839A3660"/>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nsid w:val="3B3F11EC"/>
    <w:multiLevelType w:val="hybridMultilevel"/>
    <w:tmpl w:val="79427D94"/>
    <w:lvl w:ilvl="0" w:tplc="F1A011F6">
      <w:start w:val="1"/>
      <w:numFmt w:val="decimal"/>
      <w:lvlText w:val="(%1)"/>
      <w:lvlJc w:val="left"/>
      <w:pPr>
        <w:ind w:left="650" w:hanging="360"/>
      </w:pPr>
      <w:rPr>
        <w:rFonts w:hint="default"/>
      </w:rPr>
    </w:lvl>
    <w:lvl w:ilvl="1" w:tplc="0C0A0019" w:tentative="1">
      <w:start w:val="1"/>
      <w:numFmt w:val="lowerLetter"/>
      <w:lvlText w:val="%2."/>
      <w:lvlJc w:val="left"/>
      <w:pPr>
        <w:ind w:left="1370" w:hanging="360"/>
      </w:pPr>
    </w:lvl>
    <w:lvl w:ilvl="2" w:tplc="0C0A001B" w:tentative="1">
      <w:start w:val="1"/>
      <w:numFmt w:val="lowerRoman"/>
      <w:lvlText w:val="%3."/>
      <w:lvlJc w:val="right"/>
      <w:pPr>
        <w:ind w:left="2090" w:hanging="180"/>
      </w:pPr>
    </w:lvl>
    <w:lvl w:ilvl="3" w:tplc="0C0A000F" w:tentative="1">
      <w:start w:val="1"/>
      <w:numFmt w:val="decimal"/>
      <w:lvlText w:val="%4."/>
      <w:lvlJc w:val="left"/>
      <w:pPr>
        <w:ind w:left="2810" w:hanging="360"/>
      </w:pPr>
    </w:lvl>
    <w:lvl w:ilvl="4" w:tplc="0C0A0019" w:tentative="1">
      <w:start w:val="1"/>
      <w:numFmt w:val="lowerLetter"/>
      <w:lvlText w:val="%5."/>
      <w:lvlJc w:val="left"/>
      <w:pPr>
        <w:ind w:left="3530" w:hanging="360"/>
      </w:pPr>
    </w:lvl>
    <w:lvl w:ilvl="5" w:tplc="0C0A001B" w:tentative="1">
      <w:start w:val="1"/>
      <w:numFmt w:val="lowerRoman"/>
      <w:lvlText w:val="%6."/>
      <w:lvlJc w:val="right"/>
      <w:pPr>
        <w:ind w:left="4250" w:hanging="180"/>
      </w:pPr>
    </w:lvl>
    <w:lvl w:ilvl="6" w:tplc="0C0A000F" w:tentative="1">
      <w:start w:val="1"/>
      <w:numFmt w:val="decimal"/>
      <w:lvlText w:val="%7."/>
      <w:lvlJc w:val="left"/>
      <w:pPr>
        <w:ind w:left="4970" w:hanging="360"/>
      </w:pPr>
    </w:lvl>
    <w:lvl w:ilvl="7" w:tplc="0C0A0019" w:tentative="1">
      <w:start w:val="1"/>
      <w:numFmt w:val="lowerLetter"/>
      <w:lvlText w:val="%8."/>
      <w:lvlJc w:val="left"/>
      <w:pPr>
        <w:ind w:left="5690" w:hanging="360"/>
      </w:pPr>
    </w:lvl>
    <w:lvl w:ilvl="8" w:tplc="0C0A001B" w:tentative="1">
      <w:start w:val="1"/>
      <w:numFmt w:val="lowerRoman"/>
      <w:lvlText w:val="%9."/>
      <w:lvlJc w:val="right"/>
      <w:pPr>
        <w:ind w:left="6410" w:hanging="180"/>
      </w:pPr>
    </w:lvl>
  </w:abstractNum>
  <w:abstractNum w:abstractNumId="22">
    <w:nsid w:val="3BB547F8"/>
    <w:multiLevelType w:val="hybridMultilevel"/>
    <w:tmpl w:val="7A5A4DC0"/>
    <w:lvl w:ilvl="0" w:tplc="0C0A000F">
      <w:start w:val="1"/>
      <w:numFmt w:val="decimal"/>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3">
    <w:nsid w:val="3E74270B"/>
    <w:multiLevelType w:val="hybridMultilevel"/>
    <w:tmpl w:val="7AA0C260"/>
    <w:lvl w:ilvl="0" w:tplc="80B2B4F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nsid w:val="423B1AE9"/>
    <w:multiLevelType w:val="hybridMultilevel"/>
    <w:tmpl w:val="F55A453C"/>
    <w:lvl w:ilvl="0" w:tplc="5088F404">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nsid w:val="464212BE"/>
    <w:multiLevelType w:val="hybridMultilevel"/>
    <w:tmpl w:val="BA2CE32E"/>
    <w:lvl w:ilvl="0" w:tplc="F164495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nsid w:val="48F517D1"/>
    <w:multiLevelType w:val="hybridMultilevel"/>
    <w:tmpl w:val="0DDCFC54"/>
    <w:lvl w:ilvl="0" w:tplc="0032B9A8">
      <w:start w:val="1"/>
      <w:numFmt w:val="decimal"/>
      <w:lvlText w:val="(%1)"/>
      <w:lvlJc w:val="left"/>
      <w:pPr>
        <w:ind w:left="720" w:hanging="360"/>
      </w:pPr>
      <w:rPr>
        <w:rFonts w:ascii="Arial Narrow" w:hAnsi="Arial Narrow"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C9F4681"/>
    <w:multiLevelType w:val="hybridMultilevel"/>
    <w:tmpl w:val="12021290"/>
    <w:lvl w:ilvl="0" w:tplc="0C1CF718">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8">
    <w:nsid w:val="50146845"/>
    <w:multiLevelType w:val="hybridMultilevel"/>
    <w:tmpl w:val="346EE62A"/>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1">
      <w:start w:val="1"/>
      <w:numFmt w:val="bullet"/>
      <w:lvlText w:val=""/>
      <w:lvlJc w:val="left"/>
      <w:pPr>
        <w:tabs>
          <w:tab w:val="num" w:pos="2340"/>
        </w:tabs>
        <w:ind w:left="2340" w:hanging="360"/>
      </w:pPr>
      <w:rPr>
        <w:rFonts w:ascii="Symbol" w:hAnsi="Symbol" w:hint="default"/>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9">
    <w:nsid w:val="5973524C"/>
    <w:multiLevelType w:val="hybridMultilevel"/>
    <w:tmpl w:val="D71E2B5A"/>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nsid w:val="5EC16FC7"/>
    <w:multiLevelType w:val="hybridMultilevel"/>
    <w:tmpl w:val="1D70A550"/>
    <w:lvl w:ilvl="0" w:tplc="99FAAFA4">
      <w:start w:val="1"/>
      <w:numFmt w:val="decimal"/>
      <w:lvlText w:val="(%1)"/>
      <w:lvlJc w:val="left"/>
      <w:pPr>
        <w:ind w:left="92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09575DE"/>
    <w:multiLevelType w:val="hybridMultilevel"/>
    <w:tmpl w:val="1864FF6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2">
    <w:nsid w:val="6211615C"/>
    <w:multiLevelType w:val="hybridMultilevel"/>
    <w:tmpl w:val="1690D110"/>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3">
    <w:nsid w:val="644B5128"/>
    <w:multiLevelType w:val="singleLevel"/>
    <w:tmpl w:val="1ABE4862"/>
    <w:lvl w:ilvl="0">
      <w:start w:val="46"/>
      <w:numFmt w:val="bullet"/>
      <w:lvlText w:val=""/>
      <w:lvlJc w:val="left"/>
      <w:pPr>
        <w:tabs>
          <w:tab w:val="num" w:pos="1948"/>
        </w:tabs>
        <w:ind w:left="1418" w:firstLine="170"/>
      </w:pPr>
      <w:rPr>
        <w:rFonts w:ascii="Wingdings" w:hAnsi="Wingdings" w:hint="default"/>
        <w:color w:val="auto"/>
      </w:rPr>
    </w:lvl>
  </w:abstractNum>
  <w:abstractNum w:abstractNumId="34">
    <w:nsid w:val="6A3837BD"/>
    <w:multiLevelType w:val="hybridMultilevel"/>
    <w:tmpl w:val="B1F0CA44"/>
    <w:lvl w:ilvl="0" w:tplc="A86E19A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nsid w:val="6A3D04CD"/>
    <w:multiLevelType w:val="hybridMultilevel"/>
    <w:tmpl w:val="7708DC30"/>
    <w:lvl w:ilvl="0" w:tplc="284679D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nsid w:val="6BE04A5C"/>
    <w:multiLevelType w:val="hybridMultilevel"/>
    <w:tmpl w:val="B802B122"/>
    <w:lvl w:ilvl="0" w:tplc="3BE2D82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nsid w:val="6C647BAF"/>
    <w:multiLevelType w:val="hybridMultilevel"/>
    <w:tmpl w:val="9A24FA22"/>
    <w:lvl w:ilvl="0" w:tplc="B0F08116">
      <w:start w:val="1"/>
      <w:numFmt w:val="lowerLetter"/>
      <w:lvlText w:val="%1)"/>
      <w:lvlJc w:val="left"/>
      <w:pPr>
        <w:ind w:left="899" w:hanging="615"/>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nsid w:val="6E033DB5"/>
    <w:multiLevelType w:val="hybridMultilevel"/>
    <w:tmpl w:val="35186C4C"/>
    <w:lvl w:ilvl="0" w:tplc="7C3C86A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nsid w:val="70FD61E0"/>
    <w:multiLevelType w:val="hybridMultilevel"/>
    <w:tmpl w:val="4ACE50BC"/>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0">
    <w:nsid w:val="713C6B7A"/>
    <w:multiLevelType w:val="hybridMultilevel"/>
    <w:tmpl w:val="59E04D58"/>
    <w:lvl w:ilvl="0" w:tplc="B6101B0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nsid w:val="736F2BB4"/>
    <w:multiLevelType w:val="hybridMultilevel"/>
    <w:tmpl w:val="6BA4DD6C"/>
    <w:lvl w:ilvl="0" w:tplc="69EE3004">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nsid w:val="7E8207E4"/>
    <w:multiLevelType w:val="hybridMultilevel"/>
    <w:tmpl w:val="79923AB6"/>
    <w:lvl w:ilvl="0" w:tplc="34B2149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7EE27C2C"/>
    <w:multiLevelType w:val="hybridMultilevel"/>
    <w:tmpl w:val="A5F2B526"/>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3"/>
  </w:num>
  <w:num w:numId="2">
    <w:abstractNumId w:val="5"/>
  </w:num>
  <w:num w:numId="3">
    <w:abstractNumId w:val="24"/>
  </w:num>
  <w:num w:numId="4">
    <w:abstractNumId w:val="3"/>
  </w:num>
  <w:num w:numId="5">
    <w:abstractNumId w:val="25"/>
  </w:num>
  <w:num w:numId="6">
    <w:abstractNumId w:val="18"/>
  </w:num>
  <w:num w:numId="7">
    <w:abstractNumId w:val="8"/>
  </w:num>
  <w:num w:numId="8">
    <w:abstractNumId w:val="1"/>
  </w:num>
  <w:num w:numId="9">
    <w:abstractNumId w:val="20"/>
  </w:num>
  <w:num w:numId="10">
    <w:abstractNumId w:val="12"/>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3"/>
  </w:num>
  <w:num w:numId="14">
    <w:abstractNumId w:val="34"/>
  </w:num>
  <w:num w:numId="15">
    <w:abstractNumId w:val="16"/>
  </w:num>
  <w:num w:numId="16">
    <w:abstractNumId w:val="38"/>
  </w:num>
  <w:num w:numId="17">
    <w:abstractNumId w:val="37"/>
  </w:num>
  <w:num w:numId="18">
    <w:abstractNumId w:val="32"/>
  </w:num>
  <w:num w:numId="19">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num>
  <w:num w:numId="21">
    <w:abstractNumId w:val="43"/>
  </w:num>
  <w:num w:numId="22">
    <w:abstractNumId w:val="29"/>
  </w:num>
  <w:num w:numId="23">
    <w:abstractNumId w:val="39"/>
  </w:num>
  <w:num w:numId="24">
    <w:abstractNumId w:val="6"/>
  </w:num>
  <w:num w:numId="25">
    <w:abstractNumId w:val="2"/>
  </w:num>
  <w:num w:numId="26">
    <w:abstractNumId w:val="35"/>
  </w:num>
  <w:num w:numId="27">
    <w:abstractNumId w:val="26"/>
  </w:num>
  <w:num w:numId="28">
    <w:abstractNumId w:val="13"/>
  </w:num>
  <w:num w:numId="29">
    <w:abstractNumId w:val="40"/>
  </w:num>
  <w:num w:numId="30">
    <w:abstractNumId w:val="21"/>
  </w:num>
  <w:num w:numId="31">
    <w:abstractNumId w:val="9"/>
  </w:num>
  <w:num w:numId="32">
    <w:abstractNumId w:val="27"/>
  </w:num>
  <w:num w:numId="33">
    <w:abstractNumId w:val="4"/>
  </w:num>
  <w:num w:numId="34">
    <w:abstractNumId w:val="15"/>
  </w:num>
  <w:num w:numId="35">
    <w:abstractNumId w:val="11"/>
  </w:num>
  <w:num w:numId="36">
    <w:abstractNumId w:val="14"/>
  </w:num>
  <w:num w:numId="37">
    <w:abstractNumId w:val="17"/>
  </w:num>
  <w:num w:numId="38">
    <w:abstractNumId w:val="30"/>
  </w:num>
  <w:num w:numId="39">
    <w:abstractNumId w:val="41"/>
  </w:num>
  <w:num w:numId="40">
    <w:abstractNumId w:val="10"/>
  </w:num>
  <w:num w:numId="41">
    <w:abstractNumId w:val="22"/>
  </w:num>
  <w:num w:numId="42">
    <w:abstractNumId w:val="7"/>
  </w:num>
  <w:num w:numId="43">
    <w:abstractNumId w:val="19"/>
  </w:num>
  <w:num w:numId="44">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0CC"/>
    <w:rsid w:val="00000781"/>
    <w:rsid w:val="000019D8"/>
    <w:rsid w:val="00001A4D"/>
    <w:rsid w:val="00002640"/>
    <w:rsid w:val="00002AFC"/>
    <w:rsid w:val="000035B7"/>
    <w:rsid w:val="00004162"/>
    <w:rsid w:val="0000450C"/>
    <w:rsid w:val="00004531"/>
    <w:rsid w:val="00004B55"/>
    <w:rsid w:val="00004E87"/>
    <w:rsid w:val="00005604"/>
    <w:rsid w:val="00005A48"/>
    <w:rsid w:val="00005E98"/>
    <w:rsid w:val="0000620B"/>
    <w:rsid w:val="00006736"/>
    <w:rsid w:val="00006A97"/>
    <w:rsid w:val="00006F99"/>
    <w:rsid w:val="00011172"/>
    <w:rsid w:val="0001123B"/>
    <w:rsid w:val="00011662"/>
    <w:rsid w:val="00011C9B"/>
    <w:rsid w:val="00012053"/>
    <w:rsid w:val="0001223E"/>
    <w:rsid w:val="00012A7F"/>
    <w:rsid w:val="00012C14"/>
    <w:rsid w:val="000132E9"/>
    <w:rsid w:val="00013553"/>
    <w:rsid w:val="00014941"/>
    <w:rsid w:val="00015835"/>
    <w:rsid w:val="00016952"/>
    <w:rsid w:val="00016A0F"/>
    <w:rsid w:val="0001781F"/>
    <w:rsid w:val="00017A3A"/>
    <w:rsid w:val="00020941"/>
    <w:rsid w:val="000210B4"/>
    <w:rsid w:val="000212A5"/>
    <w:rsid w:val="00023062"/>
    <w:rsid w:val="00023AAB"/>
    <w:rsid w:val="00024922"/>
    <w:rsid w:val="00026242"/>
    <w:rsid w:val="00026720"/>
    <w:rsid w:val="00030EB6"/>
    <w:rsid w:val="000315CE"/>
    <w:rsid w:val="00032D0F"/>
    <w:rsid w:val="000331B4"/>
    <w:rsid w:val="00033BB1"/>
    <w:rsid w:val="00034301"/>
    <w:rsid w:val="000349F5"/>
    <w:rsid w:val="00036C0F"/>
    <w:rsid w:val="00036E42"/>
    <w:rsid w:val="00036F10"/>
    <w:rsid w:val="00037F6A"/>
    <w:rsid w:val="00040911"/>
    <w:rsid w:val="000417D2"/>
    <w:rsid w:val="00041F12"/>
    <w:rsid w:val="00042714"/>
    <w:rsid w:val="0004373B"/>
    <w:rsid w:val="00043A0C"/>
    <w:rsid w:val="00044845"/>
    <w:rsid w:val="000448FA"/>
    <w:rsid w:val="00044F0F"/>
    <w:rsid w:val="00044F35"/>
    <w:rsid w:val="000468C3"/>
    <w:rsid w:val="00047167"/>
    <w:rsid w:val="00047297"/>
    <w:rsid w:val="000478F4"/>
    <w:rsid w:val="000504A6"/>
    <w:rsid w:val="00050D8C"/>
    <w:rsid w:val="00051483"/>
    <w:rsid w:val="0005190E"/>
    <w:rsid w:val="000528F8"/>
    <w:rsid w:val="000531FF"/>
    <w:rsid w:val="00053783"/>
    <w:rsid w:val="00053A42"/>
    <w:rsid w:val="00053AA1"/>
    <w:rsid w:val="000540D1"/>
    <w:rsid w:val="00054BF0"/>
    <w:rsid w:val="00054E9A"/>
    <w:rsid w:val="0005517D"/>
    <w:rsid w:val="0005601A"/>
    <w:rsid w:val="000561FF"/>
    <w:rsid w:val="00056408"/>
    <w:rsid w:val="00057914"/>
    <w:rsid w:val="0006133D"/>
    <w:rsid w:val="00061AA9"/>
    <w:rsid w:val="00063585"/>
    <w:rsid w:val="00064240"/>
    <w:rsid w:val="000649A0"/>
    <w:rsid w:val="00065DE2"/>
    <w:rsid w:val="00066838"/>
    <w:rsid w:val="00067C61"/>
    <w:rsid w:val="00071558"/>
    <w:rsid w:val="00071CD0"/>
    <w:rsid w:val="00071F6B"/>
    <w:rsid w:val="000728EB"/>
    <w:rsid w:val="00072B53"/>
    <w:rsid w:val="00074C75"/>
    <w:rsid w:val="000755EC"/>
    <w:rsid w:val="00075692"/>
    <w:rsid w:val="0007622A"/>
    <w:rsid w:val="00076450"/>
    <w:rsid w:val="00076947"/>
    <w:rsid w:val="00077848"/>
    <w:rsid w:val="00080352"/>
    <w:rsid w:val="00080CD3"/>
    <w:rsid w:val="000811B8"/>
    <w:rsid w:val="000820C9"/>
    <w:rsid w:val="0008248E"/>
    <w:rsid w:val="00082A28"/>
    <w:rsid w:val="000832F0"/>
    <w:rsid w:val="00083ADC"/>
    <w:rsid w:val="00084140"/>
    <w:rsid w:val="00084177"/>
    <w:rsid w:val="0008445D"/>
    <w:rsid w:val="0008509C"/>
    <w:rsid w:val="000862A3"/>
    <w:rsid w:val="00087B8D"/>
    <w:rsid w:val="00090E15"/>
    <w:rsid w:val="00092434"/>
    <w:rsid w:val="00092DF2"/>
    <w:rsid w:val="00093D67"/>
    <w:rsid w:val="00093E60"/>
    <w:rsid w:val="000940D7"/>
    <w:rsid w:val="00094483"/>
    <w:rsid w:val="00094A47"/>
    <w:rsid w:val="00095932"/>
    <w:rsid w:val="00095941"/>
    <w:rsid w:val="00095BE9"/>
    <w:rsid w:val="000974EA"/>
    <w:rsid w:val="00097731"/>
    <w:rsid w:val="000A08FC"/>
    <w:rsid w:val="000A0FCD"/>
    <w:rsid w:val="000A12A7"/>
    <w:rsid w:val="000A1792"/>
    <w:rsid w:val="000A18B7"/>
    <w:rsid w:val="000A225D"/>
    <w:rsid w:val="000A244E"/>
    <w:rsid w:val="000A27A2"/>
    <w:rsid w:val="000A2C1E"/>
    <w:rsid w:val="000A330C"/>
    <w:rsid w:val="000A35C1"/>
    <w:rsid w:val="000A3752"/>
    <w:rsid w:val="000A4219"/>
    <w:rsid w:val="000A42F6"/>
    <w:rsid w:val="000A4697"/>
    <w:rsid w:val="000A46F3"/>
    <w:rsid w:val="000A4A9C"/>
    <w:rsid w:val="000A4FCC"/>
    <w:rsid w:val="000A5222"/>
    <w:rsid w:val="000A525A"/>
    <w:rsid w:val="000A5AD2"/>
    <w:rsid w:val="000A5B88"/>
    <w:rsid w:val="000B0434"/>
    <w:rsid w:val="000B0B1E"/>
    <w:rsid w:val="000B1558"/>
    <w:rsid w:val="000B1576"/>
    <w:rsid w:val="000B1805"/>
    <w:rsid w:val="000B18ED"/>
    <w:rsid w:val="000B1F62"/>
    <w:rsid w:val="000B20F0"/>
    <w:rsid w:val="000B23DF"/>
    <w:rsid w:val="000B2728"/>
    <w:rsid w:val="000B3943"/>
    <w:rsid w:val="000B4477"/>
    <w:rsid w:val="000B4CF6"/>
    <w:rsid w:val="000B5065"/>
    <w:rsid w:val="000B5AB0"/>
    <w:rsid w:val="000B6896"/>
    <w:rsid w:val="000B6F64"/>
    <w:rsid w:val="000C0704"/>
    <w:rsid w:val="000C17DD"/>
    <w:rsid w:val="000C19FC"/>
    <w:rsid w:val="000C1BBA"/>
    <w:rsid w:val="000C2411"/>
    <w:rsid w:val="000C2B07"/>
    <w:rsid w:val="000C30E9"/>
    <w:rsid w:val="000C39CC"/>
    <w:rsid w:val="000C429F"/>
    <w:rsid w:val="000C4397"/>
    <w:rsid w:val="000C4AB2"/>
    <w:rsid w:val="000C4F53"/>
    <w:rsid w:val="000C55C3"/>
    <w:rsid w:val="000C6073"/>
    <w:rsid w:val="000C64D6"/>
    <w:rsid w:val="000C7225"/>
    <w:rsid w:val="000C7566"/>
    <w:rsid w:val="000C7C8D"/>
    <w:rsid w:val="000D0A95"/>
    <w:rsid w:val="000D0E71"/>
    <w:rsid w:val="000D188E"/>
    <w:rsid w:val="000D1B3B"/>
    <w:rsid w:val="000D1F16"/>
    <w:rsid w:val="000D2433"/>
    <w:rsid w:val="000D2601"/>
    <w:rsid w:val="000D26A1"/>
    <w:rsid w:val="000D29E9"/>
    <w:rsid w:val="000D48B4"/>
    <w:rsid w:val="000D5178"/>
    <w:rsid w:val="000D5335"/>
    <w:rsid w:val="000D67E8"/>
    <w:rsid w:val="000D70E5"/>
    <w:rsid w:val="000E0F69"/>
    <w:rsid w:val="000E2297"/>
    <w:rsid w:val="000E2E81"/>
    <w:rsid w:val="000E472F"/>
    <w:rsid w:val="000E4927"/>
    <w:rsid w:val="000E495B"/>
    <w:rsid w:val="000E4E1D"/>
    <w:rsid w:val="000E4F75"/>
    <w:rsid w:val="000E573A"/>
    <w:rsid w:val="000E5894"/>
    <w:rsid w:val="000E600D"/>
    <w:rsid w:val="000E6102"/>
    <w:rsid w:val="000E64FF"/>
    <w:rsid w:val="000E7B86"/>
    <w:rsid w:val="000E7EE8"/>
    <w:rsid w:val="000F000D"/>
    <w:rsid w:val="000F1931"/>
    <w:rsid w:val="000F2B66"/>
    <w:rsid w:val="000F3478"/>
    <w:rsid w:val="000F3D83"/>
    <w:rsid w:val="000F465E"/>
    <w:rsid w:val="000F5424"/>
    <w:rsid w:val="000F5C5C"/>
    <w:rsid w:val="000F5EFF"/>
    <w:rsid w:val="000F7298"/>
    <w:rsid w:val="001002E6"/>
    <w:rsid w:val="00100A4A"/>
    <w:rsid w:val="00100E07"/>
    <w:rsid w:val="00100F12"/>
    <w:rsid w:val="00101E1C"/>
    <w:rsid w:val="00102392"/>
    <w:rsid w:val="00103489"/>
    <w:rsid w:val="00103589"/>
    <w:rsid w:val="0010370B"/>
    <w:rsid w:val="00104149"/>
    <w:rsid w:val="001045C9"/>
    <w:rsid w:val="001058CE"/>
    <w:rsid w:val="00105D2E"/>
    <w:rsid w:val="00105DA1"/>
    <w:rsid w:val="001064A4"/>
    <w:rsid w:val="001075C1"/>
    <w:rsid w:val="00107CC1"/>
    <w:rsid w:val="00110483"/>
    <w:rsid w:val="00110545"/>
    <w:rsid w:val="00110757"/>
    <w:rsid w:val="001111E9"/>
    <w:rsid w:val="00111893"/>
    <w:rsid w:val="00111A92"/>
    <w:rsid w:val="00112AAA"/>
    <w:rsid w:val="00112E0D"/>
    <w:rsid w:val="00112F66"/>
    <w:rsid w:val="001131A9"/>
    <w:rsid w:val="00113466"/>
    <w:rsid w:val="001145C3"/>
    <w:rsid w:val="001158AB"/>
    <w:rsid w:val="00116150"/>
    <w:rsid w:val="001161D2"/>
    <w:rsid w:val="001176AA"/>
    <w:rsid w:val="00117E2F"/>
    <w:rsid w:val="00120A8B"/>
    <w:rsid w:val="00120CBD"/>
    <w:rsid w:val="00120D31"/>
    <w:rsid w:val="001212CD"/>
    <w:rsid w:val="001213F4"/>
    <w:rsid w:val="0012153E"/>
    <w:rsid w:val="00121E13"/>
    <w:rsid w:val="00123574"/>
    <w:rsid w:val="00124B38"/>
    <w:rsid w:val="00125013"/>
    <w:rsid w:val="00125497"/>
    <w:rsid w:val="00126818"/>
    <w:rsid w:val="00126E34"/>
    <w:rsid w:val="00127527"/>
    <w:rsid w:val="001304F7"/>
    <w:rsid w:val="001310C0"/>
    <w:rsid w:val="001310F2"/>
    <w:rsid w:val="00131899"/>
    <w:rsid w:val="00131DF1"/>
    <w:rsid w:val="00131F86"/>
    <w:rsid w:val="00132C38"/>
    <w:rsid w:val="00132DC3"/>
    <w:rsid w:val="00133984"/>
    <w:rsid w:val="00133A1E"/>
    <w:rsid w:val="001359DB"/>
    <w:rsid w:val="0013637D"/>
    <w:rsid w:val="001365C4"/>
    <w:rsid w:val="00136754"/>
    <w:rsid w:val="00136C3B"/>
    <w:rsid w:val="001370C3"/>
    <w:rsid w:val="0013728E"/>
    <w:rsid w:val="00137870"/>
    <w:rsid w:val="00137ECE"/>
    <w:rsid w:val="00141052"/>
    <w:rsid w:val="0014147D"/>
    <w:rsid w:val="00141C69"/>
    <w:rsid w:val="00141D29"/>
    <w:rsid w:val="001428A3"/>
    <w:rsid w:val="001433BB"/>
    <w:rsid w:val="00144595"/>
    <w:rsid w:val="0014471F"/>
    <w:rsid w:val="0014506A"/>
    <w:rsid w:val="00145A9D"/>
    <w:rsid w:val="00146151"/>
    <w:rsid w:val="00146342"/>
    <w:rsid w:val="00146343"/>
    <w:rsid w:val="00146881"/>
    <w:rsid w:val="0014728F"/>
    <w:rsid w:val="00150A1E"/>
    <w:rsid w:val="00150E74"/>
    <w:rsid w:val="00151243"/>
    <w:rsid w:val="001521A2"/>
    <w:rsid w:val="00152358"/>
    <w:rsid w:val="00153382"/>
    <w:rsid w:val="00153678"/>
    <w:rsid w:val="00153708"/>
    <w:rsid w:val="00154927"/>
    <w:rsid w:val="00154A81"/>
    <w:rsid w:val="0015558D"/>
    <w:rsid w:val="001556A3"/>
    <w:rsid w:val="00155BFF"/>
    <w:rsid w:val="00157A5B"/>
    <w:rsid w:val="001600BF"/>
    <w:rsid w:val="00160AEA"/>
    <w:rsid w:val="00160F66"/>
    <w:rsid w:val="00161B4F"/>
    <w:rsid w:val="001622C0"/>
    <w:rsid w:val="001633AF"/>
    <w:rsid w:val="00164B0F"/>
    <w:rsid w:val="0016510D"/>
    <w:rsid w:val="00165A95"/>
    <w:rsid w:val="00165FD7"/>
    <w:rsid w:val="001668AB"/>
    <w:rsid w:val="00166A6C"/>
    <w:rsid w:val="00167A64"/>
    <w:rsid w:val="001707A0"/>
    <w:rsid w:val="00171448"/>
    <w:rsid w:val="00171A39"/>
    <w:rsid w:val="00171A4E"/>
    <w:rsid w:val="001729F2"/>
    <w:rsid w:val="001736A5"/>
    <w:rsid w:val="00173EDD"/>
    <w:rsid w:val="0017402B"/>
    <w:rsid w:val="001743A8"/>
    <w:rsid w:val="0017459B"/>
    <w:rsid w:val="00174606"/>
    <w:rsid w:val="00175958"/>
    <w:rsid w:val="00175D5B"/>
    <w:rsid w:val="00175E9A"/>
    <w:rsid w:val="0017645F"/>
    <w:rsid w:val="00177EC9"/>
    <w:rsid w:val="0018040A"/>
    <w:rsid w:val="0018077E"/>
    <w:rsid w:val="00180885"/>
    <w:rsid w:val="00180D21"/>
    <w:rsid w:val="00181AB5"/>
    <w:rsid w:val="00181D37"/>
    <w:rsid w:val="00181DA3"/>
    <w:rsid w:val="00182A49"/>
    <w:rsid w:val="00182DB2"/>
    <w:rsid w:val="00183412"/>
    <w:rsid w:val="001835B7"/>
    <w:rsid w:val="001841D5"/>
    <w:rsid w:val="0018426B"/>
    <w:rsid w:val="00184C58"/>
    <w:rsid w:val="00184F43"/>
    <w:rsid w:val="00185A37"/>
    <w:rsid w:val="001865D8"/>
    <w:rsid w:val="00186777"/>
    <w:rsid w:val="001868A4"/>
    <w:rsid w:val="00190007"/>
    <w:rsid w:val="001905AE"/>
    <w:rsid w:val="00190E64"/>
    <w:rsid w:val="00191B74"/>
    <w:rsid w:val="00191C9C"/>
    <w:rsid w:val="001923A8"/>
    <w:rsid w:val="00192848"/>
    <w:rsid w:val="0019331F"/>
    <w:rsid w:val="001933A0"/>
    <w:rsid w:val="001937E5"/>
    <w:rsid w:val="00194309"/>
    <w:rsid w:val="00194606"/>
    <w:rsid w:val="00195084"/>
    <w:rsid w:val="0019660E"/>
    <w:rsid w:val="00196A28"/>
    <w:rsid w:val="00196F5E"/>
    <w:rsid w:val="00197AE6"/>
    <w:rsid w:val="00197CF6"/>
    <w:rsid w:val="001A197F"/>
    <w:rsid w:val="001A3C95"/>
    <w:rsid w:val="001A426D"/>
    <w:rsid w:val="001A428F"/>
    <w:rsid w:val="001A45C2"/>
    <w:rsid w:val="001A4B1E"/>
    <w:rsid w:val="001A52F1"/>
    <w:rsid w:val="001A5FB2"/>
    <w:rsid w:val="001A5FF0"/>
    <w:rsid w:val="001A627F"/>
    <w:rsid w:val="001A6D61"/>
    <w:rsid w:val="001A756A"/>
    <w:rsid w:val="001A76F5"/>
    <w:rsid w:val="001B0451"/>
    <w:rsid w:val="001B0597"/>
    <w:rsid w:val="001B06A2"/>
    <w:rsid w:val="001B0D3B"/>
    <w:rsid w:val="001B0DFE"/>
    <w:rsid w:val="001B13ED"/>
    <w:rsid w:val="001B38E3"/>
    <w:rsid w:val="001B39E2"/>
    <w:rsid w:val="001B39F8"/>
    <w:rsid w:val="001B474F"/>
    <w:rsid w:val="001B5078"/>
    <w:rsid w:val="001B5B58"/>
    <w:rsid w:val="001C0F51"/>
    <w:rsid w:val="001C28AC"/>
    <w:rsid w:val="001C2B26"/>
    <w:rsid w:val="001C2C55"/>
    <w:rsid w:val="001C2DF7"/>
    <w:rsid w:val="001C3873"/>
    <w:rsid w:val="001C3A32"/>
    <w:rsid w:val="001C3C5A"/>
    <w:rsid w:val="001C628B"/>
    <w:rsid w:val="001C6484"/>
    <w:rsid w:val="001D068E"/>
    <w:rsid w:val="001D0B9B"/>
    <w:rsid w:val="001D11FE"/>
    <w:rsid w:val="001D1432"/>
    <w:rsid w:val="001D25C8"/>
    <w:rsid w:val="001D3D28"/>
    <w:rsid w:val="001D3EB4"/>
    <w:rsid w:val="001D4BF2"/>
    <w:rsid w:val="001D4F09"/>
    <w:rsid w:val="001D5C1B"/>
    <w:rsid w:val="001D6968"/>
    <w:rsid w:val="001E06D8"/>
    <w:rsid w:val="001E0E24"/>
    <w:rsid w:val="001E0F99"/>
    <w:rsid w:val="001E108E"/>
    <w:rsid w:val="001E115A"/>
    <w:rsid w:val="001E1411"/>
    <w:rsid w:val="001E17CB"/>
    <w:rsid w:val="001E1D08"/>
    <w:rsid w:val="001E1E49"/>
    <w:rsid w:val="001E2A02"/>
    <w:rsid w:val="001E3621"/>
    <w:rsid w:val="001E4B93"/>
    <w:rsid w:val="001E5C1F"/>
    <w:rsid w:val="001E5D69"/>
    <w:rsid w:val="001E6108"/>
    <w:rsid w:val="001E6F0C"/>
    <w:rsid w:val="001E7189"/>
    <w:rsid w:val="001E77FC"/>
    <w:rsid w:val="001E7AE7"/>
    <w:rsid w:val="001E7CFC"/>
    <w:rsid w:val="001F02EF"/>
    <w:rsid w:val="001F0C73"/>
    <w:rsid w:val="001F0D85"/>
    <w:rsid w:val="001F0E51"/>
    <w:rsid w:val="001F118D"/>
    <w:rsid w:val="001F1482"/>
    <w:rsid w:val="001F20D7"/>
    <w:rsid w:val="001F2418"/>
    <w:rsid w:val="001F2A05"/>
    <w:rsid w:val="001F3165"/>
    <w:rsid w:val="001F323F"/>
    <w:rsid w:val="001F3851"/>
    <w:rsid w:val="001F3B76"/>
    <w:rsid w:val="001F4548"/>
    <w:rsid w:val="001F55D9"/>
    <w:rsid w:val="001F55DC"/>
    <w:rsid w:val="001F6503"/>
    <w:rsid w:val="001F6AA3"/>
    <w:rsid w:val="001F7056"/>
    <w:rsid w:val="001F709B"/>
    <w:rsid w:val="001F73D1"/>
    <w:rsid w:val="001F7744"/>
    <w:rsid w:val="001F7D17"/>
    <w:rsid w:val="002001CE"/>
    <w:rsid w:val="00201178"/>
    <w:rsid w:val="002014EB"/>
    <w:rsid w:val="00201729"/>
    <w:rsid w:val="0020222C"/>
    <w:rsid w:val="00202B1A"/>
    <w:rsid w:val="002030F4"/>
    <w:rsid w:val="00204979"/>
    <w:rsid w:val="00205EDE"/>
    <w:rsid w:val="0020716D"/>
    <w:rsid w:val="00207C7E"/>
    <w:rsid w:val="00207D58"/>
    <w:rsid w:val="00211452"/>
    <w:rsid w:val="002118CC"/>
    <w:rsid w:val="00211905"/>
    <w:rsid w:val="00211C61"/>
    <w:rsid w:val="00211D69"/>
    <w:rsid w:val="00211F55"/>
    <w:rsid w:val="002129BD"/>
    <w:rsid w:val="002129DF"/>
    <w:rsid w:val="00212E0E"/>
    <w:rsid w:val="00213494"/>
    <w:rsid w:val="00213C27"/>
    <w:rsid w:val="00214F6C"/>
    <w:rsid w:val="002154BD"/>
    <w:rsid w:val="00215553"/>
    <w:rsid w:val="0021587E"/>
    <w:rsid w:val="00216A5C"/>
    <w:rsid w:val="0021726F"/>
    <w:rsid w:val="002176E2"/>
    <w:rsid w:val="002179DB"/>
    <w:rsid w:val="00217C03"/>
    <w:rsid w:val="002217E1"/>
    <w:rsid w:val="00222AE6"/>
    <w:rsid w:val="00223C21"/>
    <w:rsid w:val="00225058"/>
    <w:rsid w:val="00225B2C"/>
    <w:rsid w:val="002263B7"/>
    <w:rsid w:val="00226C3E"/>
    <w:rsid w:val="002273FB"/>
    <w:rsid w:val="00227A1D"/>
    <w:rsid w:val="00227E48"/>
    <w:rsid w:val="00230577"/>
    <w:rsid w:val="002305E0"/>
    <w:rsid w:val="00230A7F"/>
    <w:rsid w:val="002312AF"/>
    <w:rsid w:val="00231437"/>
    <w:rsid w:val="00231A37"/>
    <w:rsid w:val="0023209D"/>
    <w:rsid w:val="00232B50"/>
    <w:rsid w:val="002333F8"/>
    <w:rsid w:val="00233D79"/>
    <w:rsid w:val="002340C1"/>
    <w:rsid w:val="0023437C"/>
    <w:rsid w:val="0023439D"/>
    <w:rsid w:val="00235152"/>
    <w:rsid w:val="00235189"/>
    <w:rsid w:val="002355BC"/>
    <w:rsid w:val="00236ADF"/>
    <w:rsid w:val="0023744B"/>
    <w:rsid w:val="0023751E"/>
    <w:rsid w:val="00237657"/>
    <w:rsid w:val="0024068F"/>
    <w:rsid w:val="002406E1"/>
    <w:rsid w:val="00240B3A"/>
    <w:rsid w:val="00242177"/>
    <w:rsid w:val="00242981"/>
    <w:rsid w:val="00242985"/>
    <w:rsid w:val="00242BA7"/>
    <w:rsid w:val="002437B5"/>
    <w:rsid w:val="002448C1"/>
    <w:rsid w:val="00244EF1"/>
    <w:rsid w:val="002453C8"/>
    <w:rsid w:val="00246173"/>
    <w:rsid w:val="002461EC"/>
    <w:rsid w:val="00246F21"/>
    <w:rsid w:val="002473F8"/>
    <w:rsid w:val="00247870"/>
    <w:rsid w:val="002502E8"/>
    <w:rsid w:val="00250E5B"/>
    <w:rsid w:val="00251C95"/>
    <w:rsid w:val="00251DEF"/>
    <w:rsid w:val="00252241"/>
    <w:rsid w:val="00252551"/>
    <w:rsid w:val="00252B24"/>
    <w:rsid w:val="0025369E"/>
    <w:rsid w:val="0025381A"/>
    <w:rsid w:val="00253835"/>
    <w:rsid w:val="00253E78"/>
    <w:rsid w:val="00254123"/>
    <w:rsid w:val="00254ACE"/>
    <w:rsid w:val="00254E1C"/>
    <w:rsid w:val="00255305"/>
    <w:rsid w:val="0025620F"/>
    <w:rsid w:val="002563C9"/>
    <w:rsid w:val="00256947"/>
    <w:rsid w:val="00257245"/>
    <w:rsid w:val="00257743"/>
    <w:rsid w:val="002607F0"/>
    <w:rsid w:val="00260B2B"/>
    <w:rsid w:val="00260E80"/>
    <w:rsid w:val="002610BB"/>
    <w:rsid w:val="0026160E"/>
    <w:rsid w:val="00261964"/>
    <w:rsid w:val="00262C3C"/>
    <w:rsid w:val="00264C88"/>
    <w:rsid w:val="00264DF2"/>
    <w:rsid w:val="0026532C"/>
    <w:rsid w:val="0026539B"/>
    <w:rsid w:val="0026575D"/>
    <w:rsid w:val="00265A09"/>
    <w:rsid w:val="00265C7E"/>
    <w:rsid w:val="00265E74"/>
    <w:rsid w:val="00266639"/>
    <w:rsid w:val="002667F5"/>
    <w:rsid w:val="002705B0"/>
    <w:rsid w:val="00270DD7"/>
    <w:rsid w:val="0027135F"/>
    <w:rsid w:val="002717A6"/>
    <w:rsid w:val="00272015"/>
    <w:rsid w:val="00272540"/>
    <w:rsid w:val="00272DD8"/>
    <w:rsid w:val="00273B97"/>
    <w:rsid w:val="00273C10"/>
    <w:rsid w:val="002741D4"/>
    <w:rsid w:val="00274B4C"/>
    <w:rsid w:val="00275693"/>
    <w:rsid w:val="00276264"/>
    <w:rsid w:val="00276608"/>
    <w:rsid w:val="00277A3C"/>
    <w:rsid w:val="00277C95"/>
    <w:rsid w:val="00281688"/>
    <w:rsid w:val="00281ABD"/>
    <w:rsid w:val="00281DCA"/>
    <w:rsid w:val="00283322"/>
    <w:rsid w:val="00283B5C"/>
    <w:rsid w:val="0028444E"/>
    <w:rsid w:val="002846A5"/>
    <w:rsid w:val="00284993"/>
    <w:rsid w:val="00284A2C"/>
    <w:rsid w:val="00284C02"/>
    <w:rsid w:val="00284F9A"/>
    <w:rsid w:val="00285041"/>
    <w:rsid w:val="0028543E"/>
    <w:rsid w:val="00285678"/>
    <w:rsid w:val="002857BD"/>
    <w:rsid w:val="0028594B"/>
    <w:rsid w:val="00286718"/>
    <w:rsid w:val="0028799C"/>
    <w:rsid w:val="00287D7E"/>
    <w:rsid w:val="00287EF9"/>
    <w:rsid w:val="0029006F"/>
    <w:rsid w:val="00290593"/>
    <w:rsid w:val="00290902"/>
    <w:rsid w:val="00290D1E"/>
    <w:rsid w:val="002924F3"/>
    <w:rsid w:val="00292EC8"/>
    <w:rsid w:val="00293383"/>
    <w:rsid w:val="0029475E"/>
    <w:rsid w:val="0029660C"/>
    <w:rsid w:val="00296E2B"/>
    <w:rsid w:val="00297834"/>
    <w:rsid w:val="00297B04"/>
    <w:rsid w:val="002A002A"/>
    <w:rsid w:val="002A056C"/>
    <w:rsid w:val="002A1A5B"/>
    <w:rsid w:val="002A1F1D"/>
    <w:rsid w:val="002A2EFA"/>
    <w:rsid w:val="002A3219"/>
    <w:rsid w:val="002A3BB1"/>
    <w:rsid w:val="002A462C"/>
    <w:rsid w:val="002A4CCE"/>
    <w:rsid w:val="002A537D"/>
    <w:rsid w:val="002A5A43"/>
    <w:rsid w:val="002A66A5"/>
    <w:rsid w:val="002A6EBB"/>
    <w:rsid w:val="002A7D99"/>
    <w:rsid w:val="002B13ED"/>
    <w:rsid w:val="002B1B8E"/>
    <w:rsid w:val="002B1F9B"/>
    <w:rsid w:val="002B21E9"/>
    <w:rsid w:val="002B254E"/>
    <w:rsid w:val="002B2891"/>
    <w:rsid w:val="002B2A49"/>
    <w:rsid w:val="002B2B21"/>
    <w:rsid w:val="002B2B87"/>
    <w:rsid w:val="002B34FC"/>
    <w:rsid w:val="002B3691"/>
    <w:rsid w:val="002B3FEF"/>
    <w:rsid w:val="002B4E0F"/>
    <w:rsid w:val="002B501E"/>
    <w:rsid w:val="002B5190"/>
    <w:rsid w:val="002B5754"/>
    <w:rsid w:val="002B5F68"/>
    <w:rsid w:val="002B702C"/>
    <w:rsid w:val="002B72D7"/>
    <w:rsid w:val="002B74A8"/>
    <w:rsid w:val="002C1BE4"/>
    <w:rsid w:val="002C48AE"/>
    <w:rsid w:val="002C581F"/>
    <w:rsid w:val="002C60B7"/>
    <w:rsid w:val="002C6D2A"/>
    <w:rsid w:val="002C7026"/>
    <w:rsid w:val="002C71CD"/>
    <w:rsid w:val="002C7494"/>
    <w:rsid w:val="002C7E08"/>
    <w:rsid w:val="002D089F"/>
    <w:rsid w:val="002D16BF"/>
    <w:rsid w:val="002D1B2A"/>
    <w:rsid w:val="002D210E"/>
    <w:rsid w:val="002D2BFD"/>
    <w:rsid w:val="002D3843"/>
    <w:rsid w:val="002D387D"/>
    <w:rsid w:val="002D388B"/>
    <w:rsid w:val="002D3B2F"/>
    <w:rsid w:val="002D3E0C"/>
    <w:rsid w:val="002D4169"/>
    <w:rsid w:val="002D443A"/>
    <w:rsid w:val="002D4BA7"/>
    <w:rsid w:val="002D5057"/>
    <w:rsid w:val="002D5635"/>
    <w:rsid w:val="002D5E8A"/>
    <w:rsid w:val="002D65E8"/>
    <w:rsid w:val="002D6D12"/>
    <w:rsid w:val="002D6E07"/>
    <w:rsid w:val="002D7D32"/>
    <w:rsid w:val="002D7E8E"/>
    <w:rsid w:val="002E02E5"/>
    <w:rsid w:val="002E0394"/>
    <w:rsid w:val="002E0478"/>
    <w:rsid w:val="002E0791"/>
    <w:rsid w:val="002E07F2"/>
    <w:rsid w:val="002E0EA0"/>
    <w:rsid w:val="002E155D"/>
    <w:rsid w:val="002E1AF0"/>
    <w:rsid w:val="002E1B92"/>
    <w:rsid w:val="002E3038"/>
    <w:rsid w:val="002E399F"/>
    <w:rsid w:val="002E3FA8"/>
    <w:rsid w:val="002E4C02"/>
    <w:rsid w:val="002E5089"/>
    <w:rsid w:val="002E510A"/>
    <w:rsid w:val="002E5286"/>
    <w:rsid w:val="002E62E9"/>
    <w:rsid w:val="002E6E76"/>
    <w:rsid w:val="002E75BE"/>
    <w:rsid w:val="002E7B81"/>
    <w:rsid w:val="002F0383"/>
    <w:rsid w:val="002F09FB"/>
    <w:rsid w:val="002F0AF2"/>
    <w:rsid w:val="002F0D85"/>
    <w:rsid w:val="002F0DD8"/>
    <w:rsid w:val="002F0FE3"/>
    <w:rsid w:val="002F107B"/>
    <w:rsid w:val="002F1240"/>
    <w:rsid w:val="002F1AF0"/>
    <w:rsid w:val="002F1E01"/>
    <w:rsid w:val="002F2006"/>
    <w:rsid w:val="002F2530"/>
    <w:rsid w:val="002F272A"/>
    <w:rsid w:val="002F3225"/>
    <w:rsid w:val="002F5038"/>
    <w:rsid w:val="002F533D"/>
    <w:rsid w:val="002F53B4"/>
    <w:rsid w:val="002F55CF"/>
    <w:rsid w:val="002F74D8"/>
    <w:rsid w:val="002F76D6"/>
    <w:rsid w:val="002F7A38"/>
    <w:rsid w:val="00300A33"/>
    <w:rsid w:val="003010A2"/>
    <w:rsid w:val="00301A23"/>
    <w:rsid w:val="00301E9A"/>
    <w:rsid w:val="00303506"/>
    <w:rsid w:val="00304017"/>
    <w:rsid w:val="003041DF"/>
    <w:rsid w:val="00304861"/>
    <w:rsid w:val="00306EF0"/>
    <w:rsid w:val="00307057"/>
    <w:rsid w:val="0031045A"/>
    <w:rsid w:val="0031219F"/>
    <w:rsid w:val="00312819"/>
    <w:rsid w:val="00312A5B"/>
    <w:rsid w:val="00312E9C"/>
    <w:rsid w:val="00313875"/>
    <w:rsid w:val="0031394C"/>
    <w:rsid w:val="00313F4D"/>
    <w:rsid w:val="0031486F"/>
    <w:rsid w:val="00314A0E"/>
    <w:rsid w:val="00314A3E"/>
    <w:rsid w:val="0031546E"/>
    <w:rsid w:val="003161F2"/>
    <w:rsid w:val="00316389"/>
    <w:rsid w:val="003166E0"/>
    <w:rsid w:val="00316E99"/>
    <w:rsid w:val="0031743A"/>
    <w:rsid w:val="003203BF"/>
    <w:rsid w:val="00320D9F"/>
    <w:rsid w:val="00321369"/>
    <w:rsid w:val="003219AF"/>
    <w:rsid w:val="00321AAC"/>
    <w:rsid w:val="00322145"/>
    <w:rsid w:val="003222BE"/>
    <w:rsid w:val="003235F5"/>
    <w:rsid w:val="003236D7"/>
    <w:rsid w:val="00323899"/>
    <w:rsid w:val="00324269"/>
    <w:rsid w:val="00324A67"/>
    <w:rsid w:val="00324C16"/>
    <w:rsid w:val="00326851"/>
    <w:rsid w:val="00327C96"/>
    <w:rsid w:val="00330787"/>
    <w:rsid w:val="00331E58"/>
    <w:rsid w:val="00331E90"/>
    <w:rsid w:val="0033419F"/>
    <w:rsid w:val="003341E2"/>
    <w:rsid w:val="003353C5"/>
    <w:rsid w:val="00335763"/>
    <w:rsid w:val="00335D3F"/>
    <w:rsid w:val="003363BC"/>
    <w:rsid w:val="00336641"/>
    <w:rsid w:val="00337493"/>
    <w:rsid w:val="003403B8"/>
    <w:rsid w:val="00341F45"/>
    <w:rsid w:val="0034226A"/>
    <w:rsid w:val="0034285F"/>
    <w:rsid w:val="00342B31"/>
    <w:rsid w:val="00344091"/>
    <w:rsid w:val="003441EF"/>
    <w:rsid w:val="00344444"/>
    <w:rsid w:val="00344465"/>
    <w:rsid w:val="0034495F"/>
    <w:rsid w:val="00345219"/>
    <w:rsid w:val="00345A9E"/>
    <w:rsid w:val="00346135"/>
    <w:rsid w:val="003464A4"/>
    <w:rsid w:val="00346745"/>
    <w:rsid w:val="00346F08"/>
    <w:rsid w:val="003478D0"/>
    <w:rsid w:val="0034795E"/>
    <w:rsid w:val="00347B38"/>
    <w:rsid w:val="0035007A"/>
    <w:rsid w:val="003503C0"/>
    <w:rsid w:val="00351684"/>
    <w:rsid w:val="003519C0"/>
    <w:rsid w:val="00351CB5"/>
    <w:rsid w:val="00351E8F"/>
    <w:rsid w:val="00352EF4"/>
    <w:rsid w:val="0035334F"/>
    <w:rsid w:val="00353655"/>
    <w:rsid w:val="00353C00"/>
    <w:rsid w:val="00353C01"/>
    <w:rsid w:val="00354458"/>
    <w:rsid w:val="00354B28"/>
    <w:rsid w:val="00355001"/>
    <w:rsid w:val="003550B6"/>
    <w:rsid w:val="0035512A"/>
    <w:rsid w:val="00356D0D"/>
    <w:rsid w:val="00357326"/>
    <w:rsid w:val="00357735"/>
    <w:rsid w:val="00360F45"/>
    <w:rsid w:val="003618AF"/>
    <w:rsid w:val="00361937"/>
    <w:rsid w:val="00361B11"/>
    <w:rsid w:val="00361D89"/>
    <w:rsid w:val="00361F78"/>
    <w:rsid w:val="00361F9E"/>
    <w:rsid w:val="0036275A"/>
    <w:rsid w:val="00362814"/>
    <w:rsid w:val="0036287C"/>
    <w:rsid w:val="00363653"/>
    <w:rsid w:val="00363874"/>
    <w:rsid w:val="00363ECA"/>
    <w:rsid w:val="003647B0"/>
    <w:rsid w:val="0036509D"/>
    <w:rsid w:val="00365C57"/>
    <w:rsid w:val="003665CC"/>
    <w:rsid w:val="003672FF"/>
    <w:rsid w:val="00367F6E"/>
    <w:rsid w:val="00372241"/>
    <w:rsid w:val="0037228C"/>
    <w:rsid w:val="003737A7"/>
    <w:rsid w:val="003738FD"/>
    <w:rsid w:val="00373BB0"/>
    <w:rsid w:val="00373CB5"/>
    <w:rsid w:val="00375BD4"/>
    <w:rsid w:val="00375DC0"/>
    <w:rsid w:val="00376451"/>
    <w:rsid w:val="00377128"/>
    <w:rsid w:val="003775E8"/>
    <w:rsid w:val="00377C66"/>
    <w:rsid w:val="00377EB2"/>
    <w:rsid w:val="00380F70"/>
    <w:rsid w:val="003810BE"/>
    <w:rsid w:val="003812CC"/>
    <w:rsid w:val="003837C8"/>
    <w:rsid w:val="00384FC0"/>
    <w:rsid w:val="0038652C"/>
    <w:rsid w:val="00386F6C"/>
    <w:rsid w:val="003875B4"/>
    <w:rsid w:val="00387675"/>
    <w:rsid w:val="00387709"/>
    <w:rsid w:val="00387794"/>
    <w:rsid w:val="00387904"/>
    <w:rsid w:val="003905B5"/>
    <w:rsid w:val="0039090A"/>
    <w:rsid w:val="00390B06"/>
    <w:rsid w:val="003912CC"/>
    <w:rsid w:val="00391DA7"/>
    <w:rsid w:val="003924FE"/>
    <w:rsid w:val="003937DB"/>
    <w:rsid w:val="00393A2A"/>
    <w:rsid w:val="0039420E"/>
    <w:rsid w:val="003947DC"/>
    <w:rsid w:val="00394871"/>
    <w:rsid w:val="00394B06"/>
    <w:rsid w:val="0039610F"/>
    <w:rsid w:val="00396989"/>
    <w:rsid w:val="00396B9F"/>
    <w:rsid w:val="00397162"/>
    <w:rsid w:val="003A060B"/>
    <w:rsid w:val="003A1A84"/>
    <w:rsid w:val="003A2B8D"/>
    <w:rsid w:val="003A303A"/>
    <w:rsid w:val="003A335E"/>
    <w:rsid w:val="003A3DD2"/>
    <w:rsid w:val="003A3F7D"/>
    <w:rsid w:val="003A44DE"/>
    <w:rsid w:val="003A4DD8"/>
    <w:rsid w:val="003A515E"/>
    <w:rsid w:val="003A5733"/>
    <w:rsid w:val="003A5FFE"/>
    <w:rsid w:val="003A63F5"/>
    <w:rsid w:val="003A6B3C"/>
    <w:rsid w:val="003A7553"/>
    <w:rsid w:val="003A761F"/>
    <w:rsid w:val="003B0779"/>
    <w:rsid w:val="003B0791"/>
    <w:rsid w:val="003B0CA7"/>
    <w:rsid w:val="003B10E2"/>
    <w:rsid w:val="003B1120"/>
    <w:rsid w:val="003B1514"/>
    <w:rsid w:val="003B1A82"/>
    <w:rsid w:val="003B278D"/>
    <w:rsid w:val="003B2BC6"/>
    <w:rsid w:val="003B3573"/>
    <w:rsid w:val="003B3699"/>
    <w:rsid w:val="003B3E45"/>
    <w:rsid w:val="003B40C4"/>
    <w:rsid w:val="003B4183"/>
    <w:rsid w:val="003B4C93"/>
    <w:rsid w:val="003B57BB"/>
    <w:rsid w:val="003B5813"/>
    <w:rsid w:val="003B6564"/>
    <w:rsid w:val="003B7B30"/>
    <w:rsid w:val="003B7B65"/>
    <w:rsid w:val="003B7CE7"/>
    <w:rsid w:val="003C03EA"/>
    <w:rsid w:val="003C196B"/>
    <w:rsid w:val="003C1986"/>
    <w:rsid w:val="003C2B44"/>
    <w:rsid w:val="003C2E02"/>
    <w:rsid w:val="003C2FB4"/>
    <w:rsid w:val="003C3B73"/>
    <w:rsid w:val="003C3FAC"/>
    <w:rsid w:val="003C42AA"/>
    <w:rsid w:val="003C4E9C"/>
    <w:rsid w:val="003C55B2"/>
    <w:rsid w:val="003C58A4"/>
    <w:rsid w:val="003C5E11"/>
    <w:rsid w:val="003C5F92"/>
    <w:rsid w:val="003C614A"/>
    <w:rsid w:val="003C6E1D"/>
    <w:rsid w:val="003C7784"/>
    <w:rsid w:val="003C7B82"/>
    <w:rsid w:val="003D058C"/>
    <w:rsid w:val="003D1771"/>
    <w:rsid w:val="003D1F78"/>
    <w:rsid w:val="003D2A3C"/>
    <w:rsid w:val="003D343A"/>
    <w:rsid w:val="003D439D"/>
    <w:rsid w:val="003D45B2"/>
    <w:rsid w:val="003D48C2"/>
    <w:rsid w:val="003D4A18"/>
    <w:rsid w:val="003D5DBD"/>
    <w:rsid w:val="003D6C1C"/>
    <w:rsid w:val="003D6E22"/>
    <w:rsid w:val="003D76B1"/>
    <w:rsid w:val="003D7ECD"/>
    <w:rsid w:val="003E0672"/>
    <w:rsid w:val="003E08C6"/>
    <w:rsid w:val="003E0D8C"/>
    <w:rsid w:val="003E1594"/>
    <w:rsid w:val="003E17A6"/>
    <w:rsid w:val="003E1DDA"/>
    <w:rsid w:val="003E2164"/>
    <w:rsid w:val="003E2A35"/>
    <w:rsid w:val="003E2C45"/>
    <w:rsid w:val="003E417E"/>
    <w:rsid w:val="003E4AA5"/>
    <w:rsid w:val="003E4C43"/>
    <w:rsid w:val="003E4F46"/>
    <w:rsid w:val="003E54C5"/>
    <w:rsid w:val="003E5562"/>
    <w:rsid w:val="003E624D"/>
    <w:rsid w:val="003E76E3"/>
    <w:rsid w:val="003E7748"/>
    <w:rsid w:val="003E788B"/>
    <w:rsid w:val="003E7E48"/>
    <w:rsid w:val="003F07AC"/>
    <w:rsid w:val="003F0D7D"/>
    <w:rsid w:val="003F172F"/>
    <w:rsid w:val="003F1CEC"/>
    <w:rsid w:val="003F3963"/>
    <w:rsid w:val="003F4080"/>
    <w:rsid w:val="003F43BF"/>
    <w:rsid w:val="003F4EC2"/>
    <w:rsid w:val="003F6B64"/>
    <w:rsid w:val="003F6BE4"/>
    <w:rsid w:val="003F6BF5"/>
    <w:rsid w:val="003F765F"/>
    <w:rsid w:val="004005F2"/>
    <w:rsid w:val="00400738"/>
    <w:rsid w:val="00400773"/>
    <w:rsid w:val="00400C4F"/>
    <w:rsid w:val="004016D5"/>
    <w:rsid w:val="00402592"/>
    <w:rsid w:val="00403365"/>
    <w:rsid w:val="00403CF8"/>
    <w:rsid w:val="00403E3F"/>
    <w:rsid w:val="004040E3"/>
    <w:rsid w:val="00405265"/>
    <w:rsid w:val="00407459"/>
    <w:rsid w:val="00407746"/>
    <w:rsid w:val="00410523"/>
    <w:rsid w:val="004109E2"/>
    <w:rsid w:val="004120D4"/>
    <w:rsid w:val="00412720"/>
    <w:rsid w:val="004133E4"/>
    <w:rsid w:val="004145E8"/>
    <w:rsid w:val="00414782"/>
    <w:rsid w:val="00414907"/>
    <w:rsid w:val="00414D01"/>
    <w:rsid w:val="00414E8C"/>
    <w:rsid w:val="004153F0"/>
    <w:rsid w:val="00416D98"/>
    <w:rsid w:val="00416FC7"/>
    <w:rsid w:val="004170FE"/>
    <w:rsid w:val="004172E5"/>
    <w:rsid w:val="00420576"/>
    <w:rsid w:val="0042072F"/>
    <w:rsid w:val="004209E6"/>
    <w:rsid w:val="00420A0A"/>
    <w:rsid w:val="00420E41"/>
    <w:rsid w:val="00420FC5"/>
    <w:rsid w:val="0042111F"/>
    <w:rsid w:val="004214D6"/>
    <w:rsid w:val="004225FA"/>
    <w:rsid w:val="0042324B"/>
    <w:rsid w:val="004234E8"/>
    <w:rsid w:val="00423D92"/>
    <w:rsid w:val="00425025"/>
    <w:rsid w:val="00425100"/>
    <w:rsid w:val="004251AD"/>
    <w:rsid w:val="00425A1F"/>
    <w:rsid w:val="00426805"/>
    <w:rsid w:val="00426A5C"/>
    <w:rsid w:val="00426B7D"/>
    <w:rsid w:val="004275DE"/>
    <w:rsid w:val="00427FED"/>
    <w:rsid w:val="00430150"/>
    <w:rsid w:val="004302F9"/>
    <w:rsid w:val="00430669"/>
    <w:rsid w:val="00430A69"/>
    <w:rsid w:val="00430E84"/>
    <w:rsid w:val="004315AD"/>
    <w:rsid w:val="00431831"/>
    <w:rsid w:val="0043229B"/>
    <w:rsid w:val="00432531"/>
    <w:rsid w:val="004325F2"/>
    <w:rsid w:val="00432F23"/>
    <w:rsid w:val="004342B2"/>
    <w:rsid w:val="004348E3"/>
    <w:rsid w:val="0043523B"/>
    <w:rsid w:val="00435287"/>
    <w:rsid w:val="004359DF"/>
    <w:rsid w:val="00436EDB"/>
    <w:rsid w:val="00436F5D"/>
    <w:rsid w:val="0043739C"/>
    <w:rsid w:val="00437A81"/>
    <w:rsid w:val="00437A90"/>
    <w:rsid w:val="00440A22"/>
    <w:rsid w:val="00440B08"/>
    <w:rsid w:val="00441093"/>
    <w:rsid w:val="00441518"/>
    <w:rsid w:val="00443FC2"/>
    <w:rsid w:val="00444E1C"/>
    <w:rsid w:val="004453B1"/>
    <w:rsid w:val="00445777"/>
    <w:rsid w:val="004468AA"/>
    <w:rsid w:val="0044756D"/>
    <w:rsid w:val="00447AA4"/>
    <w:rsid w:val="004504D5"/>
    <w:rsid w:val="0045114E"/>
    <w:rsid w:val="00451A44"/>
    <w:rsid w:val="0045212B"/>
    <w:rsid w:val="00452B44"/>
    <w:rsid w:val="00452BA8"/>
    <w:rsid w:val="00453A07"/>
    <w:rsid w:val="0045406E"/>
    <w:rsid w:val="004546C3"/>
    <w:rsid w:val="004546EB"/>
    <w:rsid w:val="00454874"/>
    <w:rsid w:val="0045550E"/>
    <w:rsid w:val="00455B1C"/>
    <w:rsid w:val="00455C56"/>
    <w:rsid w:val="00456456"/>
    <w:rsid w:val="004564C5"/>
    <w:rsid w:val="00457A55"/>
    <w:rsid w:val="00457B86"/>
    <w:rsid w:val="0046190B"/>
    <w:rsid w:val="00461E28"/>
    <w:rsid w:val="00462367"/>
    <w:rsid w:val="00464811"/>
    <w:rsid w:val="0046490C"/>
    <w:rsid w:val="00466E5A"/>
    <w:rsid w:val="00470287"/>
    <w:rsid w:val="00470288"/>
    <w:rsid w:val="0047036C"/>
    <w:rsid w:val="004704BF"/>
    <w:rsid w:val="00470733"/>
    <w:rsid w:val="0047193C"/>
    <w:rsid w:val="00472111"/>
    <w:rsid w:val="00473880"/>
    <w:rsid w:val="00473AF9"/>
    <w:rsid w:val="0047420E"/>
    <w:rsid w:val="004744DF"/>
    <w:rsid w:val="0047493B"/>
    <w:rsid w:val="00474F71"/>
    <w:rsid w:val="004757B4"/>
    <w:rsid w:val="00475CA4"/>
    <w:rsid w:val="004762E0"/>
    <w:rsid w:val="004772AA"/>
    <w:rsid w:val="004773D4"/>
    <w:rsid w:val="00477C53"/>
    <w:rsid w:val="00480EC4"/>
    <w:rsid w:val="004818E3"/>
    <w:rsid w:val="00481CA1"/>
    <w:rsid w:val="00482523"/>
    <w:rsid w:val="00482CFA"/>
    <w:rsid w:val="00483575"/>
    <w:rsid w:val="00485380"/>
    <w:rsid w:val="0048595A"/>
    <w:rsid w:val="00485A13"/>
    <w:rsid w:val="00485FD9"/>
    <w:rsid w:val="004878EA"/>
    <w:rsid w:val="00490322"/>
    <w:rsid w:val="0049033C"/>
    <w:rsid w:val="004907BE"/>
    <w:rsid w:val="00491198"/>
    <w:rsid w:val="00491AF0"/>
    <w:rsid w:val="00492461"/>
    <w:rsid w:val="004928C1"/>
    <w:rsid w:val="00493762"/>
    <w:rsid w:val="00493D87"/>
    <w:rsid w:val="00493E6A"/>
    <w:rsid w:val="0049418F"/>
    <w:rsid w:val="00494925"/>
    <w:rsid w:val="004950CC"/>
    <w:rsid w:val="004950D4"/>
    <w:rsid w:val="0049569D"/>
    <w:rsid w:val="004962C4"/>
    <w:rsid w:val="00496F1B"/>
    <w:rsid w:val="004971A9"/>
    <w:rsid w:val="0049799C"/>
    <w:rsid w:val="004A0506"/>
    <w:rsid w:val="004A0712"/>
    <w:rsid w:val="004A13EB"/>
    <w:rsid w:val="004A14F0"/>
    <w:rsid w:val="004A22BB"/>
    <w:rsid w:val="004A2342"/>
    <w:rsid w:val="004A251B"/>
    <w:rsid w:val="004A2F62"/>
    <w:rsid w:val="004A39B8"/>
    <w:rsid w:val="004A3AA7"/>
    <w:rsid w:val="004A3FC6"/>
    <w:rsid w:val="004A6FE5"/>
    <w:rsid w:val="004A7F6E"/>
    <w:rsid w:val="004B05AD"/>
    <w:rsid w:val="004B1BD3"/>
    <w:rsid w:val="004B1DB8"/>
    <w:rsid w:val="004B2EB6"/>
    <w:rsid w:val="004B2F01"/>
    <w:rsid w:val="004B3039"/>
    <w:rsid w:val="004B316D"/>
    <w:rsid w:val="004B33E1"/>
    <w:rsid w:val="004B355C"/>
    <w:rsid w:val="004B37CB"/>
    <w:rsid w:val="004B4182"/>
    <w:rsid w:val="004B4538"/>
    <w:rsid w:val="004B482C"/>
    <w:rsid w:val="004B48F0"/>
    <w:rsid w:val="004B5E75"/>
    <w:rsid w:val="004B6670"/>
    <w:rsid w:val="004B6FB6"/>
    <w:rsid w:val="004C012F"/>
    <w:rsid w:val="004C0AC9"/>
    <w:rsid w:val="004C11CA"/>
    <w:rsid w:val="004C17F0"/>
    <w:rsid w:val="004C1D9B"/>
    <w:rsid w:val="004C1FE2"/>
    <w:rsid w:val="004C27C0"/>
    <w:rsid w:val="004C3851"/>
    <w:rsid w:val="004C3AFF"/>
    <w:rsid w:val="004C4182"/>
    <w:rsid w:val="004C54B2"/>
    <w:rsid w:val="004C571D"/>
    <w:rsid w:val="004C5A61"/>
    <w:rsid w:val="004C7675"/>
    <w:rsid w:val="004C7F80"/>
    <w:rsid w:val="004D004E"/>
    <w:rsid w:val="004D00A7"/>
    <w:rsid w:val="004D12B6"/>
    <w:rsid w:val="004D1A7F"/>
    <w:rsid w:val="004D2C51"/>
    <w:rsid w:val="004D34FC"/>
    <w:rsid w:val="004D35A2"/>
    <w:rsid w:val="004D39C3"/>
    <w:rsid w:val="004D4921"/>
    <w:rsid w:val="004D4A02"/>
    <w:rsid w:val="004D5FD1"/>
    <w:rsid w:val="004D6035"/>
    <w:rsid w:val="004D6689"/>
    <w:rsid w:val="004D674C"/>
    <w:rsid w:val="004D6933"/>
    <w:rsid w:val="004D77CF"/>
    <w:rsid w:val="004E04E7"/>
    <w:rsid w:val="004E15EC"/>
    <w:rsid w:val="004E25D3"/>
    <w:rsid w:val="004E30F9"/>
    <w:rsid w:val="004E3890"/>
    <w:rsid w:val="004E52C3"/>
    <w:rsid w:val="004E67DC"/>
    <w:rsid w:val="004E6C30"/>
    <w:rsid w:val="004E75F6"/>
    <w:rsid w:val="004F0008"/>
    <w:rsid w:val="004F0032"/>
    <w:rsid w:val="004F0B9A"/>
    <w:rsid w:val="004F2E22"/>
    <w:rsid w:val="004F41AB"/>
    <w:rsid w:val="004F5247"/>
    <w:rsid w:val="004F5B85"/>
    <w:rsid w:val="004F665B"/>
    <w:rsid w:val="004F753A"/>
    <w:rsid w:val="004F7C93"/>
    <w:rsid w:val="00502091"/>
    <w:rsid w:val="00503198"/>
    <w:rsid w:val="00503934"/>
    <w:rsid w:val="00503D82"/>
    <w:rsid w:val="00503F5E"/>
    <w:rsid w:val="005040C2"/>
    <w:rsid w:val="0050462F"/>
    <w:rsid w:val="00504987"/>
    <w:rsid w:val="00505460"/>
    <w:rsid w:val="00506105"/>
    <w:rsid w:val="005062EE"/>
    <w:rsid w:val="00507232"/>
    <w:rsid w:val="00507563"/>
    <w:rsid w:val="00507972"/>
    <w:rsid w:val="005103CA"/>
    <w:rsid w:val="005104A6"/>
    <w:rsid w:val="00510DCC"/>
    <w:rsid w:val="0051114F"/>
    <w:rsid w:val="00511D5B"/>
    <w:rsid w:val="00511D94"/>
    <w:rsid w:val="00512856"/>
    <w:rsid w:val="005130E5"/>
    <w:rsid w:val="00513162"/>
    <w:rsid w:val="00514672"/>
    <w:rsid w:val="005147A2"/>
    <w:rsid w:val="0051491B"/>
    <w:rsid w:val="0051736D"/>
    <w:rsid w:val="00521555"/>
    <w:rsid w:val="00521960"/>
    <w:rsid w:val="00522286"/>
    <w:rsid w:val="005229AD"/>
    <w:rsid w:val="00522C4A"/>
    <w:rsid w:val="00522C9F"/>
    <w:rsid w:val="00522CF7"/>
    <w:rsid w:val="0052315A"/>
    <w:rsid w:val="00523691"/>
    <w:rsid w:val="00523F1D"/>
    <w:rsid w:val="00524C20"/>
    <w:rsid w:val="00525809"/>
    <w:rsid w:val="00526B08"/>
    <w:rsid w:val="00526E8A"/>
    <w:rsid w:val="0052716B"/>
    <w:rsid w:val="00527654"/>
    <w:rsid w:val="00532F9A"/>
    <w:rsid w:val="00534072"/>
    <w:rsid w:val="00534727"/>
    <w:rsid w:val="0053502C"/>
    <w:rsid w:val="00535130"/>
    <w:rsid w:val="00535648"/>
    <w:rsid w:val="00536006"/>
    <w:rsid w:val="0053606A"/>
    <w:rsid w:val="00536094"/>
    <w:rsid w:val="00537141"/>
    <w:rsid w:val="00537302"/>
    <w:rsid w:val="0053738C"/>
    <w:rsid w:val="00540162"/>
    <w:rsid w:val="00541928"/>
    <w:rsid w:val="00542B93"/>
    <w:rsid w:val="00542D3C"/>
    <w:rsid w:val="005430ED"/>
    <w:rsid w:val="00543952"/>
    <w:rsid w:val="005441BD"/>
    <w:rsid w:val="005445A7"/>
    <w:rsid w:val="00545D3E"/>
    <w:rsid w:val="00545EB2"/>
    <w:rsid w:val="005466D8"/>
    <w:rsid w:val="0054780C"/>
    <w:rsid w:val="00547D65"/>
    <w:rsid w:val="00550386"/>
    <w:rsid w:val="005505A6"/>
    <w:rsid w:val="005508CB"/>
    <w:rsid w:val="00550BC7"/>
    <w:rsid w:val="00551473"/>
    <w:rsid w:val="00551FEC"/>
    <w:rsid w:val="00551FFD"/>
    <w:rsid w:val="0055261D"/>
    <w:rsid w:val="00552C42"/>
    <w:rsid w:val="00553A5E"/>
    <w:rsid w:val="00553F16"/>
    <w:rsid w:val="0055473D"/>
    <w:rsid w:val="005549A3"/>
    <w:rsid w:val="00554DEF"/>
    <w:rsid w:val="00555509"/>
    <w:rsid w:val="00555940"/>
    <w:rsid w:val="00557083"/>
    <w:rsid w:val="00557A74"/>
    <w:rsid w:val="00560605"/>
    <w:rsid w:val="00560876"/>
    <w:rsid w:val="00560953"/>
    <w:rsid w:val="00560F74"/>
    <w:rsid w:val="00561066"/>
    <w:rsid w:val="00561476"/>
    <w:rsid w:val="00561C5B"/>
    <w:rsid w:val="00563D61"/>
    <w:rsid w:val="00564F2D"/>
    <w:rsid w:val="005650B9"/>
    <w:rsid w:val="005653E1"/>
    <w:rsid w:val="0056594C"/>
    <w:rsid w:val="005661FF"/>
    <w:rsid w:val="00566CDA"/>
    <w:rsid w:val="0056727E"/>
    <w:rsid w:val="00567BA6"/>
    <w:rsid w:val="00570033"/>
    <w:rsid w:val="00570147"/>
    <w:rsid w:val="00570477"/>
    <w:rsid w:val="005706FB"/>
    <w:rsid w:val="005716D8"/>
    <w:rsid w:val="00571E23"/>
    <w:rsid w:val="00572942"/>
    <w:rsid w:val="00572BC0"/>
    <w:rsid w:val="0057307E"/>
    <w:rsid w:val="005737FF"/>
    <w:rsid w:val="00573A4C"/>
    <w:rsid w:val="00574A3D"/>
    <w:rsid w:val="00574A77"/>
    <w:rsid w:val="00574B79"/>
    <w:rsid w:val="00574D12"/>
    <w:rsid w:val="005763F6"/>
    <w:rsid w:val="00576545"/>
    <w:rsid w:val="005766B7"/>
    <w:rsid w:val="005800B4"/>
    <w:rsid w:val="0058070B"/>
    <w:rsid w:val="00580766"/>
    <w:rsid w:val="0058102C"/>
    <w:rsid w:val="00581068"/>
    <w:rsid w:val="0058183D"/>
    <w:rsid w:val="005818D3"/>
    <w:rsid w:val="00581F55"/>
    <w:rsid w:val="005820DA"/>
    <w:rsid w:val="0058296F"/>
    <w:rsid w:val="00582A73"/>
    <w:rsid w:val="00582B04"/>
    <w:rsid w:val="00583104"/>
    <w:rsid w:val="0058347D"/>
    <w:rsid w:val="00584013"/>
    <w:rsid w:val="005846EA"/>
    <w:rsid w:val="005847C4"/>
    <w:rsid w:val="00584A8A"/>
    <w:rsid w:val="00584E9D"/>
    <w:rsid w:val="00584E9F"/>
    <w:rsid w:val="005860E6"/>
    <w:rsid w:val="00586197"/>
    <w:rsid w:val="005865E3"/>
    <w:rsid w:val="00586A16"/>
    <w:rsid w:val="0058715A"/>
    <w:rsid w:val="00587AC6"/>
    <w:rsid w:val="00587BCE"/>
    <w:rsid w:val="005908A8"/>
    <w:rsid w:val="0059113E"/>
    <w:rsid w:val="00593B0C"/>
    <w:rsid w:val="005942EE"/>
    <w:rsid w:val="00594D2B"/>
    <w:rsid w:val="00595B5F"/>
    <w:rsid w:val="00595E80"/>
    <w:rsid w:val="0059650E"/>
    <w:rsid w:val="00596953"/>
    <w:rsid w:val="00596EA1"/>
    <w:rsid w:val="0059760F"/>
    <w:rsid w:val="00597A0B"/>
    <w:rsid w:val="005A01ED"/>
    <w:rsid w:val="005A0CA1"/>
    <w:rsid w:val="005A1CC0"/>
    <w:rsid w:val="005A1D37"/>
    <w:rsid w:val="005A247A"/>
    <w:rsid w:val="005A258B"/>
    <w:rsid w:val="005A485F"/>
    <w:rsid w:val="005A4A09"/>
    <w:rsid w:val="005A4C85"/>
    <w:rsid w:val="005A581C"/>
    <w:rsid w:val="005A5D7D"/>
    <w:rsid w:val="005A6030"/>
    <w:rsid w:val="005A66C3"/>
    <w:rsid w:val="005A6970"/>
    <w:rsid w:val="005B008A"/>
    <w:rsid w:val="005B174C"/>
    <w:rsid w:val="005B29CF"/>
    <w:rsid w:val="005B340D"/>
    <w:rsid w:val="005B4014"/>
    <w:rsid w:val="005B4182"/>
    <w:rsid w:val="005B53B1"/>
    <w:rsid w:val="005B57AD"/>
    <w:rsid w:val="005B5A88"/>
    <w:rsid w:val="005B6606"/>
    <w:rsid w:val="005B69EE"/>
    <w:rsid w:val="005B7012"/>
    <w:rsid w:val="005B722E"/>
    <w:rsid w:val="005B7996"/>
    <w:rsid w:val="005C02FE"/>
    <w:rsid w:val="005C0423"/>
    <w:rsid w:val="005C0D9E"/>
    <w:rsid w:val="005C1397"/>
    <w:rsid w:val="005C13DE"/>
    <w:rsid w:val="005C1A34"/>
    <w:rsid w:val="005C2227"/>
    <w:rsid w:val="005C2285"/>
    <w:rsid w:val="005C2A20"/>
    <w:rsid w:val="005C3046"/>
    <w:rsid w:val="005C31ED"/>
    <w:rsid w:val="005C42E7"/>
    <w:rsid w:val="005C50AC"/>
    <w:rsid w:val="005C5279"/>
    <w:rsid w:val="005C540E"/>
    <w:rsid w:val="005C5D66"/>
    <w:rsid w:val="005C6406"/>
    <w:rsid w:val="005C726F"/>
    <w:rsid w:val="005D0E6A"/>
    <w:rsid w:val="005D2737"/>
    <w:rsid w:val="005D29A3"/>
    <w:rsid w:val="005D2DFA"/>
    <w:rsid w:val="005D3407"/>
    <w:rsid w:val="005D42C4"/>
    <w:rsid w:val="005D5893"/>
    <w:rsid w:val="005D5CA8"/>
    <w:rsid w:val="005D5F03"/>
    <w:rsid w:val="005D69D1"/>
    <w:rsid w:val="005D6CDF"/>
    <w:rsid w:val="005D75A2"/>
    <w:rsid w:val="005E1ECC"/>
    <w:rsid w:val="005E210D"/>
    <w:rsid w:val="005E23BA"/>
    <w:rsid w:val="005E268B"/>
    <w:rsid w:val="005E3415"/>
    <w:rsid w:val="005E359F"/>
    <w:rsid w:val="005E3E90"/>
    <w:rsid w:val="005E4833"/>
    <w:rsid w:val="005E4A46"/>
    <w:rsid w:val="005E4BE4"/>
    <w:rsid w:val="005E50E5"/>
    <w:rsid w:val="005E5296"/>
    <w:rsid w:val="005E5696"/>
    <w:rsid w:val="005E5F69"/>
    <w:rsid w:val="005E5FA1"/>
    <w:rsid w:val="005F0BEA"/>
    <w:rsid w:val="005F1029"/>
    <w:rsid w:val="005F11C0"/>
    <w:rsid w:val="005F1C7E"/>
    <w:rsid w:val="005F2425"/>
    <w:rsid w:val="005F38E3"/>
    <w:rsid w:val="005F3AF4"/>
    <w:rsid w:val="005F4093"/>
    <w:rsid w:val="005F415E"/>
    <w:rsid w:val="005F4D82"/>
    <w:rsid w:val="005F4E1A"/>
    <w:rsid w:val="005F588A"/>
    <w:rsid w:val="005F5EC7"/>
    <w:rsid w:val="005F689F"/>
    <w:rsid w:val="005F6F47"/>
    <w:rsid w:val="005F7207"/>
    <w:rsid w:val="005F77CD"/>
    <w:rsid w:val="005F7FCF"/>
    <w:rsid w:val="00601DC3"/>
    <w:rsid w:val="00601E67"/>
    <w:rsid w:val="006021E4"/>
    <w:rsid w:val="00603E7D"/>
    <w:rsid w:val="00604551"/>
    <w:rsid w:val="006048DA"/>
    <w:rsid w:val="00604AA1"/>
    <w:rsid w:val="00604BDA"/>
    <w:rsid w:val="006066DF"/>
    <w:rsid w:val="00607691"/>
    <w:rsid w:val="0060775E"/>
    <w:rsid w:val="0060799C"/>
    <w:rsid w:val="00607A36"/>
    <w:rsid w:val="006101F0"/>
    <w:rsid w:val="0061062C"/>
    <w:rsid w:val="00610FAB"/>
    <w:rsid w:val="00611120"/>
    <w:rsid w:val="006117ED"/>
    <w:rsid w:val="006119B4"/>
    <w:rsid w:val="00611F45"/>
    <w:rsid w:val="00612A48"/>
    <w:rsid w:val="00613183"/>
    <w:rsid w:val="006133F0"/>
    <w:rsid w:val="00613D2A"/>
    <w:rsid w:val="006145B6"/>
    <w:rsid w:val="00614808"/>
    <w:rsid w:val="00615ACC"/>
    <w:rsid w:val="00616543"/>
    <w:rsid w:val="00616888"/>
    <w:rsid w:val="006176BE"/>
    <w:rsid w:val="006212CB"/>
    <w:rsid w:val="00621AFC"/>
    <w:rsid w:val="00621F90"/>
    <w:rsid w:val="00622579"/>
    <w:rsid w:val="00622906"/>
    <w:rsid w:val="006231B5"/>
    <w:rsid w:val="0062358E"/>
    <w:rsid w:val="00624EF3"/>
    <w:rsid w:val="00624FCE"/>
    <w:rsid w:val="00626387"/>
    <w:rsid w:val="00626A1C"/>
    <w:rsid w:val="00627202"/>
    <w:rsid w:val="006276DF"/>
    <w:rsid w:val="006279F9"/>
    <w:rsid w:val="006315FC"/>
    <w:rsid w:val="00631651"/>
    <w:rsid w:val="00631A7D"/>
    <w:rsid w:val="00631AD1"/>
    <w:rsid w:val="00631AFF"/>
    <w:rsid w:val="00631DEF"/>
    <w:rsid w:val="00632833"/>
    <w:rsid w:val="00632B3A"/>
    <w:rsid w:val="006330E5"/>
    <w:rsid w:val="00633401"/>
    <w:rsid w:val="006347D7"/>
    <w:rsid w:val="0063498C"/>
    <w:rsid w:val="00635B1F"/>
    <w:rsid w:val="00635E7C"/>
    <w:rsid w:val="00635ED5"/>
    <w:rsid w:val="00635F9D"/>
    <w:rsid w:val="006361C4"/>
    <w:rsid w:val="006369EE"/>
    <w:rsid w:val="00636DAD"/>
    <w:rsid w:val="00636E08"/>
    <w:rsid w:val="006376E1"/>
    <w:rsid w:val="00637ED1"/>
    <w:rsid w:val="00640D8F"/>
    <w:rsid w:val="00642434"/>
    <w:rsid w:val="006425A2"/>
    <w:rsid w:val="00642F84"/>
    <w:rsid w:val="00643411"/>
    <w:rsid w:val="00644EC5"/>
    <w:rsid w:val="0064504E"/>
    <w:rsid w:val="006451EC"/>
    <w:rsid w:val="00645222"/>
    <w:rsid w:val="006455AC"/>
    <w:rsid w:val="0064700E"/>
    <w:rsid w:val="00647D03"/>
    <w:rsid w:val="00647F59"/>
    <w:rsid w:val="006500CA"/>
    <w:rsid w:val="00650677"/>
    <w:rsid w:val="00650F41"/>
    <w:rsid w:val="0065115D"/>
    <w:rsid w:val="0065117C"/>
    <w:rsid w:val="00651554"/>
    <w:rsid w:val="00651ADF"/>
    <w:rsid w:val="006537D2"/>
    <w:rsid w:val="00653916"/>
    <w:rsid w:val="00654B00"/>
    <w:rsid w:val="00654B62"/>
    <w:rsid w:val="00654F59"/>
    <w:rsid w:val="006560B9"/>
    <w:rsid w:val="00656DA6"/>
    <w:rsid w:val="00657513"/>
    <w:rsid w:val="00657BDD"/>
    <w:rsid w:val="0066012B"/>
    <w:rsid w:val="0066038E"/>
    <w:rsid w:val="0066041B"/>
    <w:rsid w:val="0066091C"/>
    <w:rsid w:val="006609E6"/>
    <w:rsid w:val="00660F67"/>
    <w:rsid w:val="00661001"/>
    <w:rsid w:val="00661D79"/>
    <w:rsid w:val="00663B71"/>
    <w:rsid w:val="00663D56"/>
    <w:rsid w:val="006642F7"/>
    <w:rsid w:val="00665244"/>
    <w:rsid w:val="00665B8E"/>
    <w:rsid w:val="00665D56"/>
    <w:rsid w:val="00665E7B"/>
    <w:rsid w:val="006668A2"/>
    <w:rsid w:val="00666D69"/>
    <w:rsid w:val="00667A7B"/>
    <w:rsid w:val="00667D3D"/>
    <w:rsid w:val="006706E7"/>
    <w:rsid w:val="0067223F"/>
    <w:rsid w:val="00672AEC"/>
    <w:rsid w:val="00672D15"/>
    <w:rsid w:val="006736A9"/>
    <w:rsid w:val="00673BC7"/>
    <w:rsid w:val="00673DEF"/>
    <w:rsid w:val="006743EE"/>
    <w:rsid w:val="00674975"/>
    <w:rsid w:val="00674E46"/>
    <w:rsid w:val="00675ADD"/>
    <w:rsid w:val="00675D39"/>
    <w:rsid w:val="006766C5"/>
    <w:rsid w:val="00676743"/>
    <w:rsid w:val="00677849"/>
    <w:rsid w:val="00677F3C"/>
    <w:rsid w:val="00680576"/>
    <w:rsid w:val="00682C98"/>
    <w:rsid w:val="00683162"/>
    <w:rsid w:val="00683A12"/>
    <w:rsid w:val="006855AB"/>
    <w:rsid w:val="0068560B"/>
    <w:rsid w:val="0068562B"/>
    <w:rsid w:val="006856C3"/>
    <w:rsid w:val="006856E7"/>
    <w:rsid w:val="00686928"/>
    <w:rsid w:val="00687236"/>
    <w:rsid w:val="00690320"/>
    <w:rsid w:val="00691574"/>
    <w:rsid w:val="00691E12"/>
    <w:rsid w:val="0069464C"/>
    <w:rsid w:val="00697401"/>
    <w:rsid w:val="006979F4"/>
    <w:rsid w:val="00697F96"/>
    <w:rsid w:val="006A05F3"/>
    <w:rsid w:val="006A0DA0"/>
    <w:rsid w:val="006A0DED"/>
    <w:rsid w:val="006A1277"/>
    <w:rsid w:val="006A2227"/>
    <w:rsid w:val="006A230A"/>
    <w:rsid w:val="006A2602"/>
    <w:rsid w:val="006A2D41"/>
    <w:rsid w:val="006A314F"/>
    <w:rsid w:val="006A3D16"/>
    <w:rsid w:val="006A6424"/>
    <w:rsid w:val="006A67D3"/>
    <w:rsid w:val="006A67E1"/>
    <w:rsid w:val="006A6FB3"/>
    <w:rsid w:val="006B1754"/>
    <w:rsid w:val="006B2C09"/>
    <w:rsid w:val="006B394C"/>
    <w:rsid w:val="006B51AD"/>
    <w:rsid w:val="006B5211"/>
    <w:rsid w:val="006B5BE9"/>
    <w:rsid w:val="006B6685"/>
    <w:rsid w:val="006B69E5"/>
    <w:rsid w:val="006B779A"/>
    <w:rsid w:val="006C09ED"/>
    <w:rsid w:val="006C0C65"/>
    <w:rsid w:val="006C1091"/>
    <w:rsid w:val="006C1403"/>
    <w:rsid w:val="006C155B"/>
    <w:rsid w:val="006C172B"/>
    <w:rsid w:val="006C1AC7"/>
    <w:rsid w:val="006C1D2B"/>
    <w:rsid w:val="006C251D"/>
    <w:rsid w:val="006C2700"/>
    <w:rsid w:val="006C2717"/>
    <w:rsid w:val="006C2DBB"/>
    <w:rsid w:val="006C36FB"/>
    <w:rsid w:val="006C3F71"/>
    <w:rsid w:val="006C4FBF"/>
    <w:rsid w:val="006C51EF"/>
    <w:rsid w:val="006C679F"/>
    <w:rsid w:val="006C67B0"/>
    <w:rsid w:val="006C6892"/>
    <w:rsid w:val="006C6D67"/>
    <w:rsid w:val="006C7D62"/>
    <w:rsid w:val="006D06C1"/>
    <w:rsid w:val="006D0A5D"/>
    <w:rsid w:val="006D0B23"/>
    <w:rsid w:val="006D2482"/>
    <w:rsid w:val="006D286D"/>
    <w:rsid w:val="006D2D26"/>
    <w:rsid w:val="006D2ED6"/>
    <w:rsid w:val="006D3355"/>
    <w:rsid w:val="006D3EF4"/>
    <w:rsid w:val="006D4840"/>
    <w:rsid w:val="006D48F3"/>
    <w:rsid w:val="006D4BF2"/>
    <w:rsid w:val="006D4CA2"/>
    <w:rsid w:val="006D5685"/>
    <w:rsid w:val="006D5937"/>
    <w:rsid w:val="006D63F8"/>
    <w:rsid w:val="006D698C"/>
    <w:rsid w:val="006E0D08"/>
    <w:rsid w:val="006E14A3"/>
    <w:rsid w:val="006E14C2"/>
    <w:rsid w:val="006E1987"/>
    <w:rsid w:val="006E23B2"/>
    <w:rsid w:val="006E2D99"/>
    <w:rsid w:val="006E3BCF"/>
    <w:rsid w:val="006E41BF"/>
    <w:rsid w:val="006E5207"/>
    <w:rsid w:val="006E6B72"/>
    <w:rsid w:val="006F1331"/>
    <w:rsid w:val="006F19FB"/>
    <w:rsid w:val="006F2637"/>
    <w:rsid w:val="006F2B1B"/>
    <w:rsid w:val="006F2E2E"/>
    <w:rsid w:val="006F2FE7"/>
    <w:rsid w:val="006F5C70"/>
    <w:rsid w:val="006F5C77"/>
    <w:rsid w:val="006F5FB8"/>
    <w:rsid w:val="006F6378"/>
    <w:rsid w:val="006F6909"/>
    <w:rsid w:val="006F6A20"/>
    <w:rsid w:val="0070072E"/>
    <w:rsid w:val="00700875"/>
    <w:rsid w:val="007008D9"/>
    <w:rsid w:val="00700908"/>
    <w:rsid w:val="00701AA3"/>
    <w:rsid w:val="00702A8B"/>
    <w:rsid w:val="007035D0"/>
    <w:rsid w:val="00703DB8"/>
    <w:rsid w:val="007042AC"/>
    <w:rsid w:val="007046E0"/>
    <w:rsid w:val="007047B2"/>
    <w:rsid w:val="00704DE7"/>
    <w:rsid w:val="0070564E"/>
    <w:rsid w:val="007057FE"/>
    <w:rsid w:val="00706394"/>
    <w:rsid w:val="00706868"/>
    <w:rsid w:val="00706E93"/>
    <w:rsid w:val="0070708D"/>
    <w:rsid w:val="007072A6"/>
    <w:rsid w:val="00707319"/>
    <w:rsid w:val="00707418"/>
    <w:rsid w:val="007078B8"/>
    <w:rsid w:val="007109BE"/>
    <w:rsid w:val="007118AA"/>
    <w:rsid w:val="00711969"/>
    <w:rsid w:val="00712069"/>
    <w:rsid w:val="00712B4B"/>
    <w:rsid w:val="00713978"/>
    <w:rsid w:val="007146DF"/>
    <w:rsid w:val="0071501B"/>
    <w:rsid w:val="00715E32"/>
    <w:rsid w:val="007162D1"/>
    <w:rsid w:val="00716463"/>
    <w:rsid w:val="00716A3E"/>
    <w:rsid w:val="0071706E"/>
    <w:rsid w:val="00720326"/>
    <w:rsid w:val="00721203"/>
    <w:rsid w:val="00723039"/>
    <w:rsid w:val="00723618"/>
    <w:rsid w:val="00724DCF"/>
    <w:rsid w:val="0072539E"/>
    <w:rsid w:val="00725502"/>
    <w:rsid w:val="00727292"/>
    <w:rsid w:val="00727C25"/>
    <w:rsid w:val="007307D7"/>
    <w:rsid w:val="00731832"/>
    <w:rsid w:val="00731B55"/>
    <w:rsid w:val="00731C93"/>
    <w:rsid w:val="00732302"/>
    <w:rsid w:val="007331F2"/>
    <w:rsid w:val="0073407C"/>
    <w:rsid w:val="00734203"/>
    <w:rsid w:val="00734BCF"/>
    <w:rsid w:val="00735293"/>
    <w:rsid w:val="00735658"/>
    <w:rsid w:val="00735E1C"/>
    <w:rsid w:val="00736DBD"/>
    <w:rsid w:val="00740950"/>
    <w:rsid w:val="007409C2"/>
    <w:rsid w:val="00740CCF"/>
    <w:rsid w:val="00742E00"/>
    <w:rsid w:val="00742F6A"/>
    <w:rsid w:val="007446E8"/>
    <w:rsid w:val="007451AD"/>
    <w:rsid w:val="00745FC7"/>
    <w:rsid w:val="00746845"/>
    <w:rsid w:val="00746929"/>
    <w:rsid w:val="00746C83"/>
    <w:rsid w:val="00747271"/>
    <w:rsid w:val="00747CCD"/>
    <w:rsid w:val="00750514"/>
    <w:rsid w:val="00751553"/>
    <w:rsid w:val="0075165E"/>
    <w:rsid w:val="007528E8"/>
    <w:rsid w:val="007545A5"/>
    <w:rsid w:val="00754E10"/>
    <w:rsid w:val="00755FDC"/>
    <w:rsid w:val="00756092"/>
    <w:rsid w:val="0075724A"/>
    <w:rsid w:val="00760503"/>
    <w:rsid w:val="0076088A"/>
    <w:rsid w:val="0076137A"/>
    <w:rsid w:val="0076183C"/>
    <w:rsid w:val="00761AAC"/>
    <w:rsid w:val="00761C9B"/>
    <w:rsid w:val="00762030"/>
    <w:rsid w:val="00762702"/>
    <w:rsid w:val="0076292E"/>
    <w:rsid w:val="00762A29"/>
    <w:rsid w:val="00762D4C"/>
    <w:rsid w:val="00762FCD"/>
    <w:rsid w:val="0076327D"/>
    <w:rsid w:val="007636DE"/>
    <w:rsid w:val="00764122"/>
    <w:rsid w:val="007644B4"/>
    <w:rsid w:val="0076467F"/>
    <w:rsid w:val="00764B5C"/>
    <w:rsid w:val="00764C0B"/>
    <w:rsid w:val="00765214"/>
    <w:rsid w:val="007657D4"/>
    <w:rsid w:val="00765B5A"/>
    <w:rsid w:val="007661A3"/>
    <w:rsid w:val="007661FF"/>
    <w:rsid w:val="00766527"/>
    <w:rsid w:val="00766864"/>
    <w:rsid w:val="0076743C"/>
    <w:rsid w:val="007676BC"/>
    <w:rsid w:val="00767745"/>
    <w:rsid w:val="007702F4"/>
    <w:rsid w:val="00770436"/>
    <w:rsid w:val="007707FC"/>
    <w:rsid w:val="00770BE3"/>
    <w:rsid w:val="00770E54"/>
    <w:rsid w:val="00770E9B"/>
    <w:rsid w:val="0077136F"/>
    <w:rsid w:val="0077176E"/>
    <w:rsid w:val="0077177A"/>
    <w:rsid w:val="00771C84"/>
    <w:rsid w:val="00771CCE"/>
    <w:rsid w:val="007728A8"/>
    <w:rsid w:val="00772957"/>
    <w:rsid w:val="00772F23"/>
    <w:rsid w:val="007735E1"/>
    <w:rsid w:val="00773A37"/>
    <w:rsid w:val="0077455C"/>
    <w:rsid w:val="007746DD"/>
    <w:rsid w:val="00776129"/>
    <w:rsid w:val="00776356"/>
    <w:rsid w:val="0077661F"/>
    <w:rsid w:val="00776AF5"/>
    <w:rsid w:val="007771BF"/>
    <w:rsid w:val="00777CEB"/>
    <w:rsid w:val="00781912"/>
    <w:rsid w:val="0078206C"/>
    <w:rsid w:val="007831B7"/>
    <w:rsid w:val="007837BD"/>
    <w:rsid w:val="0078439A"/>
    <w:rsid w:val="0078441D"/>
    <w:rsid w:val="007845AA"/>
    <w:rsid w:val="0078490C"/>
    <w:rsid w:val="0078497C"/>
    <w:rsid w:val="00784D21"/>
    <w:rsid w:val="00784ECF"/>
    <w:rsid w:val="00785A76"/>
    <w:rsid w:val="00786204"/>
    <w:rsid w:val="00786B4D"/>
    <w:rsid w:val="00786F05"/>
    <w:rsid w:val="00787334"/>
    <w:rsid w:val="007876E1"/>
    <w:rsid w:val="00787852"/>
    <w:rsid w:val="00787A78"/>
    <w:rsid w:val="0079029F"/>
    <w:rsid w:val="00790AA2"/>
    <w:rsid w:val="0079105B"/>
    <w:rsid w:val="007915BC"/>
    <w:rsid w:val="00792488"/>
    <w:rsid w:val="00793324"/>
    <w:rsid w:val="00793455"/>
    <w:rsid w:val="007940C9"/>
    <w:rsid w:val="0079475D"/>
    <w:rsid w:val="00794AA5"/>
    <w:rsid w:val="00794DE8"/>
    <w:rsid w:val="00794F43"/>
    <w:rsid w:val="00796473"/>
    <w:rsid w:val="007967AF"/>
    <w:rsid w:val="007967FA"/>
    <w:rsid w:val="0079712F"/>
    <w:rsid w:val="00797E7A"/>
    <w:rsid w:val="007A0206"/>
    <w:rsid w:val="007A0EA6"/>
    <w:rsid w:val="007A14BC"/>
    <w:rsid w:val="007A1DB0"/>
    <w:rsid w:val="007A2D9E"/>
    <w:rsid w:val="007A3174"/>
    <w:rsid w:val="007A41AC"/>
    <w:rsid w:val="007A4B0D"/>
    <w:rsid w:val="007A4D76"/>
    <w:rsid w:val="007A4DF9"/>
    <w:rsid w:val="007A5B84"/>
    <w:rsid w:val="007A6BFF"/>
    <w:rsid w:val="007A7095"/>
    <w:rsid w:val="007A738D"/>
    <w:rsid w:val="007B0381"/>
    <w:rsid w:val="007B0ACE"/>
    <w:rsid w:val="007B0F3D"/>
    <w:rsid w:val="007B148D"/>
    <w:rsid w:val="007B1751"/>
    <w:rsid w:val="007B1758"/>
    <w:rsid w:val="007B18C8"/>
    <w:rsid w:val="007B1A33"/>
    <w:rsid w:val="007B1D4F"/>
    <w:rsid w:val="007B2552"/>
    <w:rsid w:val="007B28DE"/>
    <w:rsid w:val="007B3712"/>
    <w:rsid w:val="007B4231"/>
    <w:rsid w:val="007B43D6"/>
    <w:rsid w:val="007B4B15"/>
    <w:rsid w:val="007B6ADE"/>
    <w:rsid w:val="007B71C2"/>
    <w:rsid w:val="007B7A5F"/>
    <w:rsid w:val="007C007D"/>
    <w:rsid w:val="007C103C"/>
    <w:rsid w:val="007C164E"/>
    <w:rsid w:val="007C241C"/>
    <w:rsid w:val="007C273E"/>
    <w:rsid w:val="007C2BD2"/>
    <w:rsid w:val="007C2EEB"/>
    <w:rsid w:val="007C3016"/>
    <w:rsid w:val="007C3026"/>
    <w:rsid w:val="007C35A3"/>
    <w:rsid w:val="007C36BE"/>
    <w:rsid w:val="007C373D"/>
    <w:rsid w:val="007C3BF7"/>
    <w:rsid w:val="007C4E4F"/>
    <w:rsid w:val="007C50BD"/>
    <w:rsid w:val="007C5EFA"/>
    <w:rsid w:val="007C62E1"/>
    <w:rsid w:val="007D0145"/>
    <w:rsid w:val="007D03A2"/>
    <w:rsid w:val="007D0FFD"/>
    <w:rsid w:val="007D242A"/>
    <w:rsid w:val="007D3BDB"/>
    <w:rsid w:val="007D4770"/>
    <w:rsid w:val="007D4B49"/>
    <w:rsid w:val="007D4B5F"/>
    <w:rsid w:val="007D53ED"/>
    <w:rsid w:val="007D59C4"/>
    <w:rsid w:val="007D6001"/>
    <w:rsid w:val="007D6561"/>
    <w:rsid w:val="007D66D6"/>
    <w:rsid w:val="007D7049"/>
    <w:rsid w:val="007D780F"/>
    <w:rsid w:val="007D7F94"/>
    <w:rsid w:val="007E0279"/>
    <w:rsid w:val="007E05CE"/>
    <w:rsid w:val="007E0D98"/>
    <w:rsid w:val="007E0E48"/>
    <w:rsid w:val="007E12CB"/>
    <w:rsid w:val="007E1B76"/>
    <w:rsid w:val="007E219A"/>
    <w:rsid w:val="007E280D"/>
    <w:rsid w:val="007E31B6"/>
    <w:rsid w:val="007E37BF"/>
    <w:rsid w:val="007E4CA4"/>
    <w:rsid w:val="007E50FC"/>
    <w:rsid w:val="007E52B1"/>
    <w:rsid w:val="007E5437"/>
    <w:rsid w:val="007E551F"/>
    <w:rsid w:val="007E5897"/>
    <w:rsid w:val="007E6400"/>
    <w:rsid w:val="007E6593"/>
    <w:rsid w:val="007E7035"/>
    <w:rsid w:val="007E753B"/>
    <w:rsid w:val="007E7D02"/>
    <w:rsid w:val="007F0A9A"/>
    <w:rsid w:val="007F1101"/>
    <w:rsid w:val="007F2555"/>
    <w:rsid w:val="007F2568"/>
    <w:rsid w:val="007F2CB1"/>
    <w:rsid w:val="007F2DB2"/>
    <w:rsid w:val="007F2F9B"/>
    <w:rsid w:val="007F3D67"/>
    <w:rsid w:val="007F533D"/>
    <w:rsid w:val="007F559A"/>
    <w:rsid w:val="007F70AC"/>
    <w:rsid w:val="007F7320"/>
    <w:rsid w:val="007F7B3D"/>
    <w:rsid w:val="007F7B5E"/>
    <w:rsid w:val="007F7DBF"/>
    <w:rsid w:val="00800416"/>
    <w:rsid w:val="00800953"/>
    <w:rsid w:val="008011A1"/>
    <w:rsid w:val="00802143"/>
    <w:rsid w:val="00802252"/>
    <w:rsid w:val="008036EC"/>
    <w:rsid w:val="0080386F"/>
    <w:rsid w:val="00803D20"/>
    <w:rsid w:val="00803E6F"/>
    <w:rsid w:val="00804844"/>
    <w:rsid w:val="008051E4"/>
    <w:rsid w:val="00806AAC"/>
    <w:rsid w:val="00807C00"/>
    <w:rsid w:val="00807F96"/>
    <w:rsid w:val="00810032"/>
    <w:rsid w:val="008112A0"/>
    <w:rsid w:val="008113C7"/>
    <w:rsid w:val="008129B0"/>
    <w:rsid w:val="00812D58"/>
    <w:rsid w:val="00813289"/>
    <w:rsid w:val="00814563"/>
    <w:rsid w:val="00814977"/>
    <w:rsid w:val="0081533C"/>
    <w:rsid w:val="0081696D"/>
    <w:rsid w:val="00816E01"/>
    <w:rsid w:val="008173D0"/>
    <w:rsid w:val="00820241"/>
    <w:rsid w:val="008204CD"/>
    <w:rsid w:val="008209F4"/>
    <w:rsid w:val="00820B26"/>
    <w:rsid w:val="00820E3F"/>
    <w:rsid w:val="0082100A"/>
    <w:rsid w:val="0082143B"/>
    <w:rsid w:val="00821957"/>
    <w:rsid w:val="0082269E"/>
    <w:rsid w:val="00822F28"/>
    <w:rsid w:val="00823235"/>
    <w:rsid w:val="00823AD4"/>
    <w:rsid w:val="008249F1"/>
    <w:rsid w:val="00824AF2"/>
    <w:rsid w:val="00825208"/>
    <w:rsid w:val="00825902"/>
    <w:rsid w:val="00825B8D"/>
    <w:rsid w:val="00826158"/>
    <w:rsid w:val="00826686"/>
    <w:rsid w:val="00827C60"/>
    <w:rsid w:val="00827DB2"/>
    <w:rsid w:val="00827F74"/>
    <w:rsid w:val="00830B6C"/>
    <w:rsid w:val="00830B6D"/>
    <w:rsid w:val="00831643"/>
    <w:rsid w:val="00832530"/>
    <w:rsid w:val="0083277B"/>
    <w:rsid w:val="0083369F"/>
    <w:rsid w:val="00834B15"/>
    <w:rsid w:val="00835563"/>
    <w:rsid w:val="00835A9D"/>
    <w:rsid w:val="00835DA5"/>
    <w:rsid w:val="00836511"/>
    <w:rsid w:val="00836827"/>
    <w:rsid w:val="00836B02"/>
    <w:rsid w:val="00836EC6"/>
    <w:rsid w:val="008372C9"/>
    <w:rsid w:val="0083741E"/>
    <w:rsid w:val="00837939"/>
    <w:rsid w:val="00837985"/>
    <w:rsid w:val="00837D3B"/>
    <w:rsid w:val="00840140"/>
    <w:rsid w:val="00840BAF"/>
    <w:rsid w:val="00840E3D"/>
    <w:rsid w:val="0084142E"/>
    <w:rsid w:val="00841D8C"/>
    <w:rsid w:val="00841EB7"/>
    <w:rsid w:val="00842220"/>
    <w:rsid w:val="00843B23"/>
    <w:rsid w:val="00844111"/>
    <w:rsid w:val="008448DC"/>
    <w:rsid w:val="00844F74"/>
    <w:rsid w:val="00845725"/>
    <w:rsid w:val="00846382"/>
    <w:rsid w:val="008463F0"/>
    <w:rsid w:val="00847245"/>
    <w:rsid w:val="008506EC"/>
    <w:rsid w:val="00850F57"/>
    <w:rsid w:val="00850FE8"/>
    <w:rsid w:val="0085190E"/>
    <w:rsid w:val="00853262"/>
    <w:rsid w:val="0085368E"/>
    <w:rsid w:val="008536C2"/>
    <w:rsid w:val="00854893"/>
    <w:rsid w:val="00854ACC"/>
    <w:rsid w:val="00854AFB"/>
    <w:rsid w:val="00854FBB"/>
    <w:rsid w:val="00855378"/>
    <w:rsid w:val="00855D3F"/>
    <w:rsid w:val="00856D98"/>
    <w:rsid w:val="008572C9"/>
    <w:rsid w:val="00857358"/>
    <w:rsid w:val="008600C7"/>
    <w:rsid w:val="0086116D"/>
    <w:rsid w:val="008611D8"/>
    <w:rsid w:val="008617D0"/>
    <w:rsid w:val="008619AD"/>
    <w:rsid w:val="00861A38"/>
    <w:rsid w:val="00861A60"/>
    <w:rsid w:val="00861F2A"/>
    <w:rsid w:val="00862357"/>
    <w:rsid w:val="008623CD"/>
    <w:rsid w:val="00862D02"/>
    <w:rsid w:val="008637B9"/>
    <w:rsid w:val="00864194"/>
    <w:rsid w:val="00864212"/>
    <w:rsid w:val="0086427B"/>
    <w:rsid w:val="00864876"/>
    <w:rsid w:val="00864B5D"/>
    <w:rsid w:val="0086592D"/>
    <w:rsid w:val="00866278"/>
    <w:rsid w:val="00866924"/>
    <w:rsid w:val="00866B39"/>
    <w:rsid w:val="00866BDB"/>
    <w:rsid w:val="00867368"/>
    <w:rsid w:val="0086762E"/>
    <w:rsid w:val="008700BE"/>
    <w:rsid w:val="008702A6"/>
    <w:rsid w:val="00870399"/>
    <w:rsid w:val="00870FA1"/>
    <w:rsid w:val="008711EC"/>
    <w:rsid w:val="008718FE"/>
    <w:rsid w:val="00872946"/>
    <w:rsid w:val="00872CF4"/>
    <w:rsid w:val="00873B7F"/>
    <w:rsid w:val="00874349"/>
    <w:rsid w:val="008748C1"/>
    <w:rsid w:val="00874A3E"/>
    <w:rsid w:val="00874B57"/>
    <w:rsid w:val="00874E5B"/>
    <w:rsid w:val="00875333"/>
    <w:rsid w:val="008756E4"/>
    <w:rsid w:val="00876421"/>
    <w:rsid w:val="00876DC6"/>
    <w:rsid w:val="008771CE"/>
    <w:rsid w:val="00877F3E"/>
    <w:rsid w:val="0088040D"/>
    <w:rsid w:val="00880904"/>
    <w:rsid w:val="008811F1"/>
    <w:rsid w:val="00881876"/>
    <w:rsid w:val="00881DA8"/>
    <w:rsid w:val="00881E01"/>
    <w:rsid w:val="008828F8"/>
    <w:rsid w:val="0088296F"/>
    <w:rsid w:val="00882BEB"/>
    <w:rsid w:val="00882DFC"/>
    <w:rsid w:val="00883254"/>
    <w:rsid w:val="008834B4"/>
    <w:rsid w:val="008837C5"/>
    <w:rsid w:val="00883928"/>
    <w:rsid w:val="00883B36"/>
    <w:rsid w:val="00883DDE"/>
    <w:rsid w:val="0088510E"/>
    <w:rsid w:val="00885890"/>
    <w:rsid w:val="00886CB6"/>
    <w:rsid w:val="00887DA0"/>
    <w:rsid w:val="008903A0"/>
    <w:rsid w:val="00890C5D"/>
    <w:rsid w:val="00891470"/>
    <w:rsid w:val="008914B9"/>
    <w:rsid w:val="008914BC"/>
    <w:rsid w:val="008919F3"/>
    <w:rsid w:val="00891D73"/>
    <w:rsid w:val="00892054"/>
    <w:rsid w:val="0089211A"/>
    <w:rsid w:val="00892A44"/>
    <w:rsid w:val="008931DD"/>
    <w:rsid w:val="0089372A"/>
    <w:rsid w:val="008944C4"/>
    <w:rsid w:val="00894DED"/>
    <w:rsid w:val="008955AC"/>
    <w:rsid w:val="00895BB3"/>
    <w:rsid w:val="00896FE4"/>
    <w:rsid w:val="00897122"/>
    <w:rsid w:val="00897AEC"/>
    <w:rsid w:val="00897F0A"/>
    <w:rsid w:val="00897FD0"/>
    <w:rsid w:val="008A019B"/>
    <w:rsid w:val="008A1031"/>
    <w:rsid w:val="008A1396"/>
    <w:rsid w:val="008A1409"/>
    <w:rsid w:val="008A1B1A"/>
    <w:rsid w:val="008A2535"/>
    <w:rsid w:val="008A2561"/>
    <w:rsid w:val="008A2DE8"/>
    <w:rsid w:val="008A312D"/>
    <w:rsid w:val="008A3E09"/>
    <w:rsid w:val="008A3E57"/>
    <w:rsid w:val="008A4647"/>
    <w:rsid w:val="008A61C1"/>
    <w:rsid w:val="008A6963"/>
    <w:rsid w:val="008A6AE7"/>
    <w:rsid w:val="008A734A"/>
    <w:rsid w:val="008A745C"/>
    <w:rsid w:val="008A77A7"/>
    <w:rsid w:val="008A7B1B"/>
    <w:rsid w:val="008B1A4D"/>
    <w:rsid w:val="008B2913"/>
    <w:rsid w:val="008B32A9"/>
    <w:rsid w:val="008B344A"/>
    <w:rsid w:val="008B3EE8"/>
    <w:rsid w:val="008B3F34"/>
    <w:rsid w:val="008B4059"/>
    <w:rsid w:val="008B4CFD"/>
    <w:rsid w:val="008B6504"/>
    <w:rsid w:val="008B672C"/>
    <w:rsid w:val="008B6B9E"/>
    <w:rsid w:val="008B6FD8"/>
    <w:rsid w:val="008C01E0"/>
    <w:rsid w:val="008C0794"/>
    <w:rsid w:val="008C07A8"/>
    <w:rsid w:val="008C10D0"/>
    <w:rsid w:val="008C1648"/>
    <w:rsid w:val="008C1925"/>
    <w:rsid w:val="008C1E80"/>
    <w:rsid w:val="008C2E26"/>
    <w:rsid w:val="008C2E8D"/>
    <w:rsid w:val="008C48CF"/>
    <w:rsid w:val="008C5383"/>
    <w:rsid w:val="008C56B9"/>
    <w:rsid w:val="008C5BFC"/>
    <w:rsid w:val="008C5C35"/>
    <w:rsid w:val="008C5D16"/>
    <w:rsid w:val="008C65F4"/>
    <w:rsid w:val="008C6626"/>
    <w:rsid w:val="008C68EA"/>
    <w:rsid w:val="008C789D"/>
    <w:rsid w:val="008D05E0"/>
    <w:rsid w:val="008D1DB7"/>
    <w:rsid w:val="008D24C0"/>
    <w:rsid w:val="008D2600"/>
    <w:rsid w:val="008D3B9B"/>
    <w:rsid w:val="008D3CB7"/>
    <w:rsid w:val="008D514F"/>
    <w:rsid w:val="008D624B"/>
    <w:rsid w:val="008D6BE2"/>
    <w:rsid w:val="008D70BC"/>
    <w:rsid w:val="008D721C"/>
    <w:rsid w:val="008D77F5"/>
    <w:rsid w:val="008D7E55"/>
    <w:rsid w:val="008E0394"/>
    <w:rsid w:val="008E061C"/>
    <w:rsid w:val="008E0AC0"/>
    <w:rsid w:val="008E2004"/>
    <w:rsid w:val="008E221A"/>
    <w:rsid w:val="008E2773"/>
    <w:rsid w:val="008E28D8"/>
    <w:rsid w:val="008E3634"/>
    <w:rsid w:val="008E36B7"/>
    <w:rsid w:val="008E3FFE"/>
    <w:rsid w:val="008E4809"/>
    <w:rsid w:val="008E5218"/>
    <w:rsid w:val="008E5287"/>
    <w:rsid w:val="008E5817"/>
    <w:rsid w:val="008E60BE"/>
    <w:rsid w:val="008E647E"/>
    <w:rsid w:val="008E667A"/>
    <w:rsid w:val="008E6B74"/>
    <w:rsid w:val="008E70F4"/>
    <w:rsid w:val="008F0FAF"/>
    <w:rsid w:val="008F147F"/>
    <w:rsid w:val="008F1E1A"/>
    <w:rsid w:val="008F365E"/>
    <w:rsid w:val="008F46CD"/>
    <w:rsid w:val="008F48EB"/>
    <w:rsid w:val="008F6480"/>
    <w:rsid w:val="008F6B9D"/>
    <w:rsid w:val="008F7740"/>
    <w:rsid w:val="00900091"/>
    <w:rsid w:val="0090046D"/>
    <w:rsid w:val="00900BAC"/>
    <w:rsid w:val="00900CA2"/>
    <w:rsid w:val="00900D9F"/>
    <w:rsid w:val="0090143A"/>
    <w:rsid w:val="009015CB"/>
    <w:rsid w:val="00901824"/>
    <w:rsid w:val="00901AB2"/>
    <w:rsid w:val="00903653"/>
    <w:rsid w:val="00903CD7"/>
    <w:rsid w:val="009047F5"/>
    <w:rsid w:val="00904CED"/>
    <w:rsid w:val="0090508C"/>
    <w:rsid w:val="00907217"/>
    <w:rsid w:val="009100B5"/>
    <w:rsid w:val="00910A52"/>
    <w:rsid w:val="00911479"/>
    <w:rsid w:val="009117FB"/>
    <w:rsid w:val="0091217A"/>
    <w:rsid w:val="009129C6"/>
    <w:rsid w:val="00913074"/>
    <w:rsid w:val="009138A3"/>
    <w:rsid w:val="00913B0B"/>
    <w:rsid w:val="0091484D"/>
    <w:rsid w:val="00914D67"/>
    <w:rsid w:val="00914D9E"/>
    <w:rsid w:val="00914E67"/>
    <w:rsid w:val="00914F44"/>
    <w:rsid w:val="0091601D"/>
    <w:rsid w:val="009166EA"/>
    <w:rsid w:val="0092038D"/>
    <w:rsid w:val="009205C3"/>
    <w:rsid w:val="00920D8E"/>
    <w:rsid w:val="00921C41"/>
    <w:rsid w:val="00921E96"/>
    <w:rsid w:val="00922B2B"/>
    <w:rsid w:val="009231F1"/>
    <w:rsid w:val="00923C81"/>
    <w:rsid w:val="0092435C"/>
    <w:rsid w:val="00924412"/>
    <w:rsid w:val="0092487A"/>
    <w:rsid w:val="009249C6"/>
    <w:rsid w:val="009251B5"/>
    <w:rsid w:val="0092575D"/>
    <w:rsid w:val="0092583A"/>
    <w:rsid w:val="00925E71"/>
    <w:rsid w:val="00925F9A"/>
    <w:rsid w:val="00927C98"/>
    <w:rsid w:val="00927D1C"/>
    <w:rsid w:val="00930745"/>
    <w:rsid w:val="0093100A"/>
    <w:rsid w:val="009310B9"/>
    <w:rsid w:val="00931840"/>
    <w:rsid w:val="00931991"/>
    <w:rsid w:val="00932C9D"/>
    <w:rsid w:val="00932F9F"/>
    <w:rsid w:val="0093329F"/>
    <w:rsid w:val="009337C1"/>
    <w:rsid w:val="00934505"/>
    <w:rsid w:val="0093461F"/>
    <w:rsid w:val="0093482A"/>
    <w:rsid w:val="00935C95"/>
    <w:rsid w:val="00936FEF"/>
    <w:rsid w:val="00937043"/>
    <w:rsid w:val="0093767A"/>
    <w:rsid w:val="00940C40"/>
    <w:rsid w:val="00942B27"/>
    <w:rsid w:val="0094391C"/>
    <w:rsid w:val="00943E42"/>
    <w:rsid w:val="009440D2"/>
    <w:rsid w:val="00944551"/>
    <w:rsid w:val="009445D3"/>
    <w:rsid w:val="0094542A"/>
    <w:rsid w:val="00945A8F"/>
    <w:rsid w:val="00946083"/>
    <w:rsid w:val="00947C70"/>
    <w:rsid w:val="00947E9D"/>
    <w:rsid w:val="00950DB7"/>
    <w:rsid w:val="0095142E"/>
    <w:rsid w:val="00951926"/>
    <w:rsid w:val="00951CD7"/>
    <w:rsid w:val="00952206"/>
    <w:rsid w:val="00952460"/>
    <w:rsid w:val="00952550"/>
    <w:rsid w:val="009527B2"/>
    <w:rsid w:val="009531D8"/>
    <w:rsid w:val="00953500"/>
    <w:rsid w:val="009535CC"/>
    <w:rsid w:val="00953C45"/>
    <w:rsid w:val="0095459A"/>
    <w:rsid w:val="00955166"/>
    <w:rsid w:val="0095536A"/>
    <w:rsid w:val="00955A8A"/>
    <w:rsid w:val="009568BA"/>
    <w:rsid w:val="00956F9F"/>
    <w:rsid w:val="00957E24"/>
    <w:rsid w:val="00961E49"/>
    <w:rsid w:val="00962B92"/>
    <w:rsid w:val="00963132"/>
    <w:rsid w:val="0096400D"/>
    <w:rsid w:val="00964021"/>
    <w:rsid w:val="00964078"/>
    <w:rsid w:val="009641D2"/>
    <w:rsid w:val="009645BC"/>
    <w:rsid w:val="009653AC"/>
    <w:rsid w:val="009663C8"/>
    <w:rsid w:val="00966600"/>
    <w:rsid w:val="0096676F"/>
    <w:rsid w:val="009671D9"/>
    <w:rsid w:val="00967A5F"/>
    <w:rsid w:val="00967D1D"/>
    <w:rsid w:val="00970359"/>
    <w:rsid w:val="00970543"/>
    <w:rsid w:val="009706AA"/>
    <w:rsid w:val="009707CE"/>
    <w:rsid w:val="009710BE"/>
    <w:rsid w:val="00971352"/>
    <w:rsid w:val="0097148C"/>
    <w:rsid w:val="00971831"/>
    <w:rsid w:val="00971EBB"/>
    <w:rsid w:val="0097292D"/>
    <w:rsid w:val="00972B78"/>
    <w:rsid w:val="0097312B"/>
    <w:rsid w:val="00974DD3"/>
    <w:rsid w:val="00975547"/>
    <w:rsid w:val="00975E5B"/>
    <w:rsid w:val="00975F51"/>
    <w:rsid w:val="00976F22"/>
    <w:rsid w:val="009779B1"/>
    <w:rsid w:val="00977C8F"/>
    <w:rsid w:val="00977CD9"/>
    <w:rsid w:val="00977F94"/>
    <w:rsid w:val="009803E3"/>
    <w:rsid w:val="00980998"/>
    <w:rsid w:val="00981131"/>
    <w:rsid w:val="00983326"/>
    <w:rsid w:val="009863E9"/>
    <w:rsid w:val="0098757B"/>
    <w:rsid w:val="00990025"/>
    <w:rsid w:val="00990C45"/>
    <w:rsid w:val="009913AD"/>
    <w:rsid w:val="009918FE"/>
    <w:rsid w:val="00991A04"/>
    <w:rsid w:val="00991A21"/>
    <w:rsid w:val="00991EEC"/>
    <w:rsid w:val="00991F31"/>
    <w:rsid w:val="00992E20"/>
    <w:rsid w:val="009936FC"/>
    <w:rsid w:val="00993925"/>
    <w:rsid w:val="00993977"/>
    <w:rsid w:val="00993A00"/>
    <w:rsid w:val="009969B5"/>
    <w:rsid w:val="00997397"/>
    <w:rsid w:val="009A04F1"/>
    <w:rsid w:val="009A05D1"/>
    <w:rsid w:val="009A0628"/>
    <w:rsid w:val="009A09A7"/>
    <w:rsid w:val="009A132F"/>
    <w:rsid w:val="009A28AC"/>
    <w:rsid w:val="009A37B3"/>
    <w:rsid w:val="009A3A5B"/>
    <w:rsid w:val="009A3F2A"/>
    <w:rsid w:val="009A467D"/>
    <w:rsid w:val="009A56D0"/>
    <w:rsid w:val="009A6F60"/>
    <w:rsid w:val="009A72D4"/>
    <w:rsid w:val="009A73D8"/>
    <w:rsid w:val="009B090A"/>
    <w:rsid w:val="009B1BFA"/>
    <w:rsid w:val="009B2087"/>
    <w:rsid w:val="009B2AAC"/>
    <w:rsid w:val="009B3298"/>
    <w:rsid w:val="009B3521"/>
    <w:rsid w:val="009B37CF"/>
    <w:rsid w:val="009B3D5F"/>
    <w:rsid w:val="009B4B94"/>
    <w:rsid w:val="009B4BEC"/>
    <w:rsid w:val="009B541C"/>
    <w:rsid w:val="009B554C"/>
    <w:rsid w:val="009B6B8B"/>
    <w:rsid w:val="009B7404"/>
    <w:rsid w:val="009B786F"/>
    <w:rsid w:val="009B7FD5"/>
    <w:rsid w:val="009C076C"/>
    <w:rsid w:val="009C1EC5"/>
    <w:rsid w:val="009C3B19"/>
    <w:rsid w:val="009C4460"/>
    <w:rsid w:val="009C4706"/>
    <w:rsid w:val="009C493E"/>
    <w:rsid w:val="009C5345"/>
    <w:rsid w:val="009C5613"/>
    <w:rsid w:val="009C6AB1"/>
    <w:rsid w:val="009D0462"/>
    <w:rsid w:val="009D05C1"/>
    <w:rsid w:val="009D36F1"/>
    <w:rsid w:val="009D3CC7"/>
    <w:rsid w:val="009D3D6B"/>
    <w:rsid w:val="009D4F56"/>
    <w:rsid w:val="009D5239"/>
    <w:rsid w:val="009D52E7"/>
    <w:rsid w:val="009D5528"/>
    <w:rsid w:val="009D575F"/>
    <w:rsid w:val="009D59BB"/>
    <w:rsid w:val="009D641E"/>
    <w:rsid w:val="009D7192"/>
    <w:rsid w:val="009D7EE8"/>
    <w:rsid w:val="009D7F6F"/>
    <w:rsid w:val="009E0E38"/>
    <w:rsid w:val="009E1A35"/>
    <w:rsid w:val="009E1DB4"/>
    <w:rsid w:val="009E2B94"/>
    <w:rsid w:val="009E2D23"/>
    <w:rsid w:val="009E33D4"/>
    <w:rsid w:val="009E3752"/>
    <w:rsid w:val="009E3EDF"/>
    <w:rsid w:val="009E4D49"/>
    <w:rsid w:val="009E688D"/>
    <w:rsid w:val="009E7199"/>
    <w:rsid w:val="009E7931"/>
    <w:rsid w:val="009E7C3A"/>
    <w:rsid w:val="009F01BE"/>
    <w:rsid w:val="009F06B4"/>
    <w:rsid w:val="009F09AA"/>
    <w:rsid w:val="009F1BAE"/>
    <w:rsid w:val="009F1C49"/>
    <w:rsid w:val="009F2C16"/>
    <w:rsid w:val="009F2C1B"/>
    <w:rsid w:val="009F2DF6"/>
    <w:rsid w:val="009F2F78"/>
    <w:rsid w:val="009F3029"/>
    <w:rsid w:val="009F335C"/>
    <w:rsid w:val="009F401B"/>
    <w:rsid w:val="009F4DFA"/>
    <w:rsid w:val="009F5039"/>
    <w:rsid w:val="009F5BAD"/>
    <w:rsid w:val="009F615D"/>
    <w:rsid w:val="009F7987"/>
    <w:rsid w:val="00A002B5"/>
    <w:rsid w:val="00A0260C"/>
    <w:rsid w:val="00A041B5"/>
    <w:rsid w:val="00A042E4"/>
    <w:rsid w:val="00A04F8C"/>
    <w:rsid w:val="00A05158"/>
    <w:rsid w:val="00A103F3"/>
    <w:rsid w:val="00A103F7"/>
    <w:rsid w:val="00A10780"/>
    <w:rsid w:val="00A10873"/>
    <w:rsid w:val="00A11A30"/>
    <w:rsid w:val="00A11D81"/>
    <w:rsid w:val="00A123ED"/>
    <w:rsid w:val="00A1253C"/>
    <w:rsid w:val="00A1290C"/>
    <w:rsid w:val="00A13BF5"/>
    <w:rsid w:val="00A1428B"/>
    <w:rsid w:val="00A1474E"/>
    <w:rsid w:val="00A14837"/>
    <w:rsid w:val="00A148C1"/>
    <w:rsid w:val="00A15ADD"/>
    <w:rsid w:val="00A161A8"/>
    <w:rsid w:val="00A16479"/>
    <w:rsid w:val="00A1671F"/>
    <w:rsid w:val="00A20BA8"/>
    <w:rsid w:val="00A21EF7"/>
    <w:rsid w:val="00A2248C"/>
    <w:rsid w:val="00A225E3"/>
    <w:rsid w:val="00A22917"/>
    <w:rsid w:val="00A229F8"/>
    <w:rsid w:val="00A23822"/>
    <w:rsid w:val="00A23A26"/>
    <w:rsid w:val="00A23A7A"/>
    <w:rsid w:val="00A23F00"/>
    <w:rsid w:val="00A24A8F"/>
    <w:rsid w:val="00A24E13"/>
    <w:rsid w:val="00A25708"/>
    <w:rsid w:val="00A25A15"/>
    <w:rsid w:val="00A25BF0"/>
    <w:rsid w:val="00A25C83"/>
    <w:rsid w:val="00A262AA"/>
    <w:rsid w:val="00A26BFA"/>
    <w:rsid w:val="00A26EEA"/>
    <w:rsid w:val="00A2796B"/>
    <w:rsid w:val="00A3026E"/>
    <w:rsid w:val="00A30DC5"/>
    <w:rsid w:val="00A30F07"/>
    <w:rsid w:val="00A314CE"/>
    <w:rsid w:val="00A31554"/>
    <w:rsid w:val="00A3183D"/>
    <w:rsid w:val="00A31F0B"/>
    <w:rsid w:val="00A32042"/>
    <w:rsid w:val="00A336AE"/>
    <w:rsid w:val="00A33D3A"/>
    <w:rsid w:val="00A34390"/>
    <w:rsid w:val="00A368E8"/>
    <w:rsid w:val="00A371C0"/>
    <w:rsid w:val="00A3756D"/>
    <w:rsid w:val="00A403A5"/>
    <w:rsid w:val="00A40884"/>
    <w:rsid w:val="00A40AFA"/>
    <w:rsid w:val="00A40E3B"/>
    <w:rsid w:val="00A410C2"/>
    <w:rsid w:val="00A424B3"/>
    <w:rsid w:val="00A42BEA"/>
    <w:rsid w:val="00A43093"/>
    <w:rsid w:val="00A4370E"/>
    <w:rsid w:val="00A43F29"/>
    <w:rsid w:val="00A452DC"/>
    <w:rsid w:val="00A4576A"/>
    <w:rsid w:val="00A45AD0"/>
    <w:rsid w:val="00A45EE9"/>
    <w:rsid w:val="00A46711"/>
    <w:rsid w:val="00A5090E"/>
    <w:rsid w:val="00A522C1"/>
    <w:rsid w:val="00A5319B"/>
    <w:rsid w:val="00A535FD"/>
    <w:rsid w:val="00A53852"/>
    <w:rsid w:val="00A53C14"/>
    <w:rsid w:val="00A564C4"/>
    <w:rsid w:val="00A56AFC"/>
    <w:rsid w:val="00A57689"/>
    <w:rsid w:val="00A57770"/>
    <w:rsid w:val="00A61058"/>
    <w:rsid w:val="00A61410"/>
    <w:rsid w:val="00A6198A"/>
    <w:rsid w:val="00A62AA8"/>
    <w:rsid w:val="00A63E26"/>
    <w:rsid w:val="00A63F09"/>
    <w:rsid w:val="00A646BF"/>
    <w:rsid w:val="00A64A75"/>
    <w:rsid w:val="00A65108"/>
    <w:rsid w:val="00A65760"/>
    <w:rsid w:val="00A65D86"/>
    <w:rsid w:val="00A66140"/>
    <w:rsid w:val="00A665E6"/>
    <w:rsid w:val="00A668D0"/>
    <w:rsid w:val="00A66B1B"/>
    <w:rsid w:val="00A67478"/>
    <w:rsid w:val="00A705AD"/>
    <w:rsid w:val="00A7067F"/>
    <w:rsid w:val="00A707A7"/>
    <w:rsid w:val="00A70D31"/>
    <w:rsid w:val="00A71790"/>
    <w:rsid w:val="00A718FD"/>
    <w:rsid w:val="00A719D9"/>
    <w:rsid w:val="00A72341"/>
    <w:rsid w:val="00A72486"/>
    <w:rsid w:val="00A728D3"/>
    <w:rsid w:val="00A73A83"/>
    <w:rsid w:val="00A73BFB"/>
    <w:rsid w:val="00A75447"/>
    <w:rsid w:val="00A7712B"/>
    <w:rsid w:val="00A776ED"/>
    <w:rsid w:val="00A80E50"/>
    <w:rsid w:val="00A81279"/>
    <w:rsid w:val="00A82800"/>
    <w:rsid w:val="00A8309B"/>
    <w:rsid w:val="00A83663"/>
    <w:rsid w:val="00A83B0F"/>
    <w:rsid w:val="00A84216"/>
    <w:rsid w:val="00A859EC"/>
    <w:rsid w:val="00A85B47"/>
    <w:rsid w:val="00A85D2C"/>
    <w:rsid w:val="00A86022"/>
    <w:rsid w:val="00A864E3"/>
    <w:rsid w:val="00A86761"/>
    <w:rsid w:val="00A87B61"/>
    <w:rsid w:val="00A90586"/>
    <w:rsid w:val="00A90BFA"/>
    <w:rsid w:val="00A90C89"/>
    <w:rsid w:val="00A91433"/>
    <w:rsid w:val="00A9260A"/>
    <w:rsid w:val="00A92BF3"/>
    <w:rsid w:val="00A93830"/>
    <w:rsid w:val="00A93C3E"/>
    <w:rsid w:val="00A93E9A"/>
    <w:rsid w:val="00A943C8"/>
    <w:rsid w:val="00A94538"/>
    <w:rsid w:val="00A94AB3"/>
    <w:rsid w:val="00A94FFA"/>
    <w:rsid w:val="00A950A4"/>
    <w:rsid w:val="00A9520D"/>
    <w:rsid w:val="00A95D26"/>
    <w:rsid w:val="00A95F63"/>
    <w:rsid w:val="00A96012"/>
    <w:rsid w:val="00A96479"/>
    <w:rsid w:val="00A96588"/>
    <w:rsid w:val="00A97026"/>
    <w:rsid w:val="00A9747D"/>
    <w:rsid w:val="00AA00A6"/>
    <w:rsid w:val="00AA0DD0"/>
    <w:rsid w:val="00AA0FD3"/>
    <w:rsid w:val="00AA1FFD"/>
    <w:rsid w:val="00AA24EF"/>
    <w:rsid w:val="00AA2D3D"/>
    <w:rsid w:val="00AA3DCD"/>
    <w:rsid w:val="00AA4480"/>
    <w:rsid w:val="00AA44FE"/>
    <w:rsid w:val="00AA4966"/>
    <w:rsid w:val="00AA5053"/>
    <w:rsid w:val="00AA5333"/>
    <w:rsid w:val="00AA5897"/>
    <w:rsid w:val="00AA6B49"/>
    <w:rsid w:val="00AA6BA8"/>
    <w:rsid w:val="00AA757B"/>
    <w:rsid w:val="00AA7B5F"/>
    <w:rsid w:val="00AA7F5A"/>
    <w:rsid w:val="00AB09D6"/>
    <w:rsid w:val="00AB0B6B"/>
    <w:rsid w:val="00AB2340"/>
    <w:rsid w:val="00AB280E"/>
    <w:rsid w:val="00AB31A3"/>
    <w:rsid w:val="00AB3CFC"/>
    <w:rsid w:val="00AB4F95"/>
    <w:rsid w:val="00AB5D36"/>
    <w:rsid w:val="00AB5E23"/>
    <w:rsid w:val="00AB5FE4"/>
    <w:rsid w:val="00AB659D"/>
    <w:rsid w:val="00AB6BA2"/>
    <w:rsid w:val="00AB6DBE"/>
    <w:rsid w:val="00AB738A"/>
    <w:rsid w:val="00AC026E"/>
    <w:rsid w:val="00AC0AFF"/>
    <w:rsid w:val="00AC140E"/>
    <w:rsid w:val="00AC1567"/>
    <w:rsid w:val="00AC19AD"/>
    <w:rsid w:val="00AC229F"/>
    <w:rsid w:val="00AC252A"/>
    <w:rsid w:val="00AC31C2"/>
    <w:rsid w:val="00AC32AB"/>
    <w:rsid w:val="00AC3FC0"/>
    <w:rsid w:val="00AC43CC"/>
    <w:rsid w:val="00AC4B85"/>
    <w:rsid w:val="00AC53A9"/>
    <w:rsid w:val="00AC6D51"/>
    <w:rsid w:val="00AC782A"/>
    <w:rsid w:val="00AC7A58"/>
    <w:rsid w:val="00AC7E86"/>
    <w:rsid w:val="00AD0B1F"/>
    <w:rsid w:val="00AD0FB6"/>
    <w:rsid w:val="00AD2569"/>
    <w:rsid w:val="00AD260A"/>
    <w:rsid w:val="00AD3627"/>
    <w:rsid w:val="00AD3774"/>
    <w:rsid w:val="00AD3F05"/>
    <w:rsid w:val="00AD43AE"/>
    <w:rsid w:val="00AD4C32"/>
    <w:rsid w:val="00AD4E7C"/>
    <w:rsid w:val="00AD592D"/>
    <w:rsid w:val="00AD5A07"/>
    <w:rsid w:val="00AD718F"/>
    <w:rsid w:val="00AD7671"/>
    <w:rsid w:val="00AD7D1E"/>
    <w:rsid w:val="00AE14A2"/>
    <w:rsid w:val="00AE1F28"/>
    <w:rsid w:val="00AE23C9"/>
    <w:rsid w:val="00AE311C"/>
    <w:rsid w:val="00AE365B"/>
    <w:rsid w:val="00AE53E8"/>
    <w:rsid w:val="00AE5CF6"/>
    <w:rsid w:val="00AE5E09"/>
    <w:rsid w:val="00AE6FE4"/>
    <w:rsid w:val="00AE7120"/>
    <w:rsid w:val="00AE7941"/>
    <w:rsid w:val="00AF0554"/>
    <w:rsid w:val="00AF0BA0"/>
    <w:rsid w:val="00AF13F9"/>
    <w:rsid w:val="00AF1D2D"/>
    <w:rsid w:val="00AF1D5C"/>
    <w:rsid w:val="00AF2059"/>
    <w:rsid w:val="00AF2186"/>
    <w:rsid w:val="00AF2C44"/>
    <w:rsid w:val="00AF342D"/>
    <w:rsid w:val="00AF3D84"/>
    <w:rsid w:val="00AF4161"/>
    <w:rsid w:val="00AF464F"/>
    <w:rsid w:val="00AF580B"/>
    <w:rsid w:val="00AF67F9"/>
    <w:rsid w:val="00AF6EB0"/>
    <w:rsid w:val="00AF6EEF"/>
    <w:rsid w:val="00AF6F6A"/>
    <w:rsid w:val="00AF700A"/>
    <w:rsid w:val="00AF70B9"/>
    <w:rsid w:val="00AF7ACC"/>
    <w:rsid w:val="00AF7C1B"/>
    <w:rsid w:val="00B00089"/>
    <w:rsid w:val="00B007C8"/>
    <w:rsid w:val="00B00AAF"/>
    <w:rsid w:val="00B01442"/>
    <w:rsid w:val="00B02523"/>
    <w:rsid w:val="00B02B4D"/>
    <w:rsid w:val="00B03533"/>
    <w:rsid w:val="00B047B2"/>
    <w:rsid w:val="00B04C3B"/>
    <w:rsid w:val="00B057A6"/>
    <w:rsid w:val="00B05882"/>
    <w:rsid w:val="00B0610A"/>
    <w:rsid w:val="00B06369"/>
    <w:rsid w:val="00B06746"/>
    <w:rsid w:val="00B0791C"/>
    <w:rsid w:val="00B1036E"/>
    <w:rsid w:val="00B10A8F"/>
    <w:rsid w:val="00B10B6D"/>
    <w:rsid w:val="00B10FE0"/>
    <w:rsid w:val="00B11834"/>
    <w:rsid w:val="00B1224D"/>
    <w:rsid w:val="00B126AC"/>
    <w:rsid w:val="00B136E9"/>
    <w:rsid w:val="00B14410"/>
    <w:rsid w:val="00B14778"/>
    <w:rsid w:val="00B14C1B"/>
    <w:rsid w:val="00B15CB9"/>
    <w:rsid w:val="00B15E61"/>
    <w:rsid w:val="00B1628B"/>
    <w:rsid w:val="00B16926"/>
    <w:rsid w:val="00B169E9"/>
    <w:rsid w:val="00B17A34"/>
    <w:rsid w:val="00B22EF8"/>
    <w:rsid w:val="00B24245"/>
    <w:rsid w:val="00B24954"/>
    <w:rsid w:val="00B24F15"/>
    <w:rsid w:val="00B24F35"/>
    <w:rsid w:val="00B255B8"/>
    <w:rsid w:val="00B25C01"/>
    <w:rsid w:val="00B26207"/>
    <w:rsid w:val="00B270E4"/>
    <w:rsid w:val="00B27B78"/>
    <w:rsid w:val="00B27CED"/>
    <w:rsid w:val="00B27F20"/>
    <w:rsid w:val="00B31BA6"/>
    <w:rsid w:val="00B3295A"/>
    <w:rsid w:val="00B32C88"/>
    <w:rsid w:val="00B33080"/>
    <w:rsid w:val="00B3365F"/>
    <w:rsid w:val="00B34638"/>
    <w:rsid w:val="00B34747"/>
    <w:rsid w:val="00B347DB"/>
    <w:rsid w:val="00B3498C"/>
    <w:rsid w:val="00B35D07"/>
    <w:rsid w:val="00B36369"/>
    <w:rsid w:val="00B36F77"/>
    <w:rsid w:val="00B37D93"/>
    <w:rsid w:val="00B409AE"/>
    <w:rsid w:val="00B42246"/>
    <w:rsid w:val="00B42AB7"/>
    <w:rsid w:val="00B42CBA"/>
    <w:rsid w:val="00B42E49"/>
    <w:rsid w:val="00B43338"/>
    <w:rsid w:val="00B438D2"/>
    <w:rsid w:val="00B444D7"/>
    <w:rsid w:val="00B44D0B"/>
    <w:rsid w:val="00B471A5"/>
    <w:rsid w:val="00B50903"/>
    <w:rsid w:val="00B5099F"/>
    <w:rsid w:val="00B51241"/>
    <w:rsid w:val="00B51AF0"/>
    <w:rsid w:val="00B51C71"/>
    <w:rsid w:val="00B522C8"/>
    <w:rsid w:val="00B52998"/>
    <w:rsid w:val="00B52FDD"/>
    <w:rsid w:val="00B53666"/>
    <w:rsid w:val="00B54883"/>
    <w:rsid w:val="00B55B0E"/>
    <w:rsid w:val="00B57392"/>
    <w:rsid w:val="00B574B6"/>
    <w:rsid w:val="00B60104"/>
    <w:rsid w:val="00B61C24"/>
    <w:rsid w:val="00B62FFE"/>
    <w:rsid w:val="00B6463B"/>
    <w:rsid w:val="00B65013"/>
    <w:rsid w:val="00B650FE"/>
    <w:rsid w:val="00B6525C"/>
    <w:rsid w:val="00B65643"/>
    <w:rsid w:val="00B7012C"/>
    <w:rsid w:val="00B708B9"/>
    <w:rsid w:val="00B709A6"/>
    <w:rsid w:val="00B7123A"/>
    <w:rsid w:val="00B71346"/>
    <w:rsid w:val="00B71EDD"/>
    <w:rsid w:val="00B71EFD"/>
    <w:rsid w:val="00B72540"/>
    <w:rsid w:val="00B72AC4"/>
    <w:rsid w:val="00B7435C"/>
    <w:rsid w:val="00B74477"/>
    <w:rsid w:val="00B748C1"/>
    <w:rsid w:val="00B748E3"/>
    <w:rsid w:val="00B75493"/>
    <w:rsid w:val="00B76C4D"/>
    <w:rsid w:val="00B76F38"/>
    <w:rsid w:val="00B77F17"/>
    <w:rsid w:val="00B805FF"/>
    <w:rsid w:val="00B8085D"/>
    <w:rsid w:val="00B80B24"/>
    <w:rsid w:val="00B80DF8"/>
    <w:rsid w:val="00B81909"/>
    <w:rsid w:val="00B81EFF"/>
    <w:rsid w:val="00B82623"/>
    <w:rsid w:val="00B831BA"/>
    <w:rsid w:val="00B836BB"/>
    <w:rsid w:val="00B838C1"/>
    <w:rsid w:val="00B83C2D"/>
    <w:rsid w:val="00B83F8C"/>
    <w:rsid w:val="00B84122"/>
    <w:rsid w:val="00B8548A"/>
    <w:rsid w:val="00B85DC0"/>
    <w:rsid w:val="00B85FAD"/>
    <w:rsid w:val="00B862B0"/>
    <w:rsid w:val="00B863F9"/>
    <w:rsid w:val="00B864FB"/>
    <w:rsid w:val="00B87784"/>
    <w:rsid w:val="00B87FB5"/>
    <w:rsid w:val="00B90EBD"/>
    <w:rsid w:val="00B92F80"/>
    <w:rsid w:val="00B932C1"/>
    <w:rsid w:val="00B93314"/>
    <w:rsid w:val="00B95983"/>
    <w:rsid w:val="00B96105"/>
    <w:rsid w:val="00B96E4C"/>
    <w:rsid w:val="00B9783A"/>
    <w:rsid w:val="00B97B23"/>
    <w:rsid w:val="00B97EA8"/>
    <w:rsid w:val="00B97F71"/>
    <w:rsid w:val="00BA10BA"/>
    <w:rsid w:val="00BA1908"/>
    <w:rsid w:val="00BA2946"/>
    <w:rsid w:val="00BA2B7C"/>
    <w:rsid w:val="00BA3DFA"/>
    <w:rsid w:val="00BA44B0"/>
    <w:rsid w:val="00BA4775"/>
    <w:rsid w:val="00BA5600"/>
    <w:rsid w:val="00BA5CFF"/>
    <w:rsid w:val="00BA7867"/>
    <w:rsid w:val="00BB07B4"/>
    <w:rsid w:val="00BB142A"/>
    <w:rsid w:val="00BB17D0"/>
    <w:rsid w:val="00BB2334"/>
    <w:rsid w:val="00BB2A78"/>
    <w:rsid w:val="00BB2E12"/>
    <w:rsid w:val="00BB2E23"/>
    <w:rsid w:val="00BB34B9"/>
    <w:rsid w:val="00BB35C2"/>
    <w:rsid w:val="00BB3700"/>
    <w:rsid w:val="00BB3989"/>
    <w:rsid w:val="00BB42AB"/>
    <w:rsid w:val="00BB476E"/>
    <w:rsid w:val="00BB4841"/>
    <w:rsid w:val="00BB553B"/>
    <w:rsid w:val="00BB5606"/>
    <w:rsid w:val="00BB5607"/>
    <w:rsid w:val="00BB57AC"/>
    <w:rsid w:val="00BB5CDF"/>
    <w:rsid w:val="00BB5D9C"/>
    <w:rsid w:val="00BB7180"/>
    <w:rsid w:val="00BB71AB"/>
    <w:rsid w:val="00BB7FD6"/>
    <w:rsid w:val="00BC0913"/>
    <w:rsid w:val="00BC0B83"/>
    <w:rsid w:val="00BC12B7"/>
    <w:rsid w:val="00BC28D7"/>
    <w:rsid w:val="00BC376C"/>
    <w:rsid w:val="00BC4EA5"/>
    <w:rsid w:val="00BC55C3"/>
    <w:rsid w:val="00BC5711"/>
    <w:rsid w:val="00BC5EBC"/>
    <w:rsid w:val="00BC6321"/>
    <w:rsid w:val="00BC7817"/>
    <w:rsid w:val="00BD0D79"/>
    <w:rsid w:val="00BD13EA"/>
    <w:rsid w:val="00BD1836"/>
    <w:rsid w:val="00BD2676"/>
    <w:rsid w:val="00BD2F85"/>
    <w:rsid w:val="00BD371B"/>
    <w:rsid w:val="00BD3819"/>
    <w:rsid w:val="00BD3D6B"/>
    <w:rsid w:val="00BD45EB"/>
    <w:rsid w:val="00BD486F"/>
    <w:rsid w:val="00BD5272"/>
    <w:rsid w:val="00BD5766"/>
    <w:rsid w:val="00BD62C5"/>
    <w:rsid w:val="00BD642D"/>
    <w:rsid w:val="00BD6988"/>
    <w:rsid w:val="00BD725D"/>
    <w:rsid w:val="00BD7474"/>
    <w:rsid w:val="00BE0190"/>
    <w:rsid w:val="00BE03DA"/>
    <w:rsid w:val="00BE0C60"/>
    <w:rsid w:val="00BE17E0"/>
    <w:rsid w:val="00BE19F0"/>
    <w:rsid w:val="00BE1A77"/>
    <w:rsid w:val="00BE1DC7"/>
    <w:rsid w:val="00BE2911"/>
    <w:rsid w:val="00BE2C0B"/>
    <w:rsid w:val="00BE2DD1"/>
    <w:rsid w:val="00BE4742"/>
    <w:rsid w:val="00BE66DA"/>
    <w:rsid w:val="00BE6F61"/>
    <w:rsid w:val="00BE7383"/>
    <w:rsid w:val="00BE754D"/>
    <w:rsid w:val="00BF124B"/>
    <w:rsid w:val="00BF1DB9"/>
    <w:rsid w:val="00BF1DF2"/>
    <w:rsid w:val="00BF2273"/>
    <w:rsid w:val="00BF3097"/>
    <w:rsid w:val="00BF3120"/>
    <w:rsid w:val="00BF555B"/>
    <w:rsid w:val="00BF5ABB"/>
    <w:rsid w:val="00BF6D10"/>
    <w:rsid w:val="00BF6E79"/>
    <w:rsid w:val="00BF751B"/>
    <w:rsid w:val="00BF7592"/>
    <w:rsid w:val="00C002BB"/>
    <w:rsid w:val="00C002FE"/>
    <w:rsid w:val="00C01727"/>
    <w:rsid w:val="00C0174D"/>
    <w:rsid w:val="00C01938"/>
    <w:rsid w:val="00C01D18"/>
    <w:rsid w:val="00C0222F"/>
    <w:rsid w:val="00C022C3"/>
    <w:rsid w:val="00C03C4F"/>
    <w:rsid w:val="00C03F6C"/>
    <w:rsid w:val="00C05472"/>
    <w:rsid w:val="00C0599E"/>
    <w:rsid w:val="00C059BE"/>
    <w:rsid w:val="00C06275"/>
    <w:rsid w:val="00C0636B"/>
    <w:rsid w:val="00C0737F"/>
    <w:rsid w:val="00C074ED"/>
    <w:rsid w:val="00C07564"/>
    <w:rsid w:val="00C105B5"/>
    <w:rsid w:val="00C1091D"/>
    <w:rsid w:val="00C10BDA"/>
    <w:rsid w:val="00C10F53"/>
    <w:rsid w:val="00C12108"/>
    <w:rsid w:val="00C121D9"/>
    <w:rsid w:val="00C12AFC"/>
    <w:rsid w:val="00C12E14"/>
    <w:rsid w:val="00C12E70"/>
    <w:rsid w:val="00C13453"/>
    <w:rsid w:val="00C13CBB"/>
    <w:rsid w:val="00C13F24"/>
    <w:rsid w:val="00C14386"/>
    <w:rsid w:val="00C1468F"/>
    <w:rsid w:val="00C154C0"/>
    <w:rsid w:val="00C159DF"/>
    <w:rsid w:val="00C15BDB"/>
    <w:rsid w:val="00C15C0D"/>
    <w:rsid w:val="00C16225"/>
    <w:rsid w:val="00C173CD"/>
    <w:rsid w:val="00C2000C"/>
    <w:rsid w:val="00C20F03"/>
    <w:rsid w:val="00C21DB7"/>
    <w:rsid w:val="00C220F9"/>
    <w:rsid w:val="00C2223B"/>
    <w:rsid w:val="00C22597"/>
    <w:rsid w:val="00C22B74"/>
    <w:rsid w:val="00C237E7"/>
    <w:rsid w:val="00C2428E"/>
    <w:rsid w:val="00C2541C"/>
    <w:rsid w:val="00C25D63"/>
    <w:rsid w:val="00C25F0E"/>
    <w:rsid w:val="00C261B6"/>
    <w:rsid w:val="00C26862"/>
    <w:rsid w:val="00C271EB"/>
    <w:rsid w:val="00C30315"/>
    <w:rsid w:val="00C30458"/>
    <w:rsid w:val="00C309D0"/>
    <w:rsid w:val="00C30ACB"/>
    <w:rsid w:val="00C31DA6"/>
    <w:rsid w:val="00C32630"/>
    <w:rsid w:val="00C3285F"/>
    <w:rsid w:val="00C32AE9"/>
    <w:rsid w:val="00C3306F"/>
    <w:rsid w:val="00C33260"/>
    <w:rsid w:val="00C33612"/>
    <w:rsid w:val="00C37964"/>
    <w:rsid w:val="00C40385"/>
    <w:rsid w:val="00C409CA"/>
    <w:rsid w:val="00C40D0B"/>
    <w:rsid w:val="00C410A7"/>
    <w:rsid w:val="00C414B6"/>
    <w:rsid w:val="00C42398"/>
    <w:rsid w:val="00C43EAF"/>
    <w:rsid w:val="00C44416"/>
    <w:rsid w:val="00C446C5"/>
    <w:rsid w:val="00C4542F"/>
    <w:rsid w:val="00C4598F"/>
    <w:rsid w:val="00C459C4"/>
    <w:rsid w:val="00C46549"/>
    <w:rsid w:val="00C46A92"/>
    <w:rsid w:val="00C46DAD"/>
    <w:rsid w:val="00C50360"/>
    <w:rsid w:val="00C51070"/>
    <w:rsid w:val="00C517AF"/>
    <w:rsid w:val="00C52403"/>
    <w:rsid w:val="00C528B2"/>
    <w:rsid w:val="00C52A1A"/>
    <w:rsid w:val="00C53092"/>
    <w:rsid w:val="00C533D9"/>
    <w:rsid w:val="00C54E12"/>
    <w:rsid w:val="00C55005"/>
    <w:rsid w:val="00C552ED"/>
    <w:rsid w:val="00C553F6"/>
    <w:rsid w:val="00C55468"/>
    <w:rsid w:val="00C55A6D"/>
    <w:rsid w:val="00C573B2"/>
    <w:rsid w:val="00C57C4D"/>
    <w:rsid w:val="00C60532"/>
    <w:rsid w:val="00C613C5"/>
    <w:rsid w:val="00C618F4"/>
    <w:rsid w:val="00C622C3"/>
    <w:rsid w:val="00C624FB"/>
    <w:rsid w:val="00C62A99"/>
    <w:rsid w:val="00C6370F"/>
    <w:rsid w:val="00C63BD5"/>
    <w:rsid w:val="00C6586C"/>
    <w:rsid w:val="00C65986"/>
    <w:rsid w:val="00C66EAB"/>
    <w:rsid w:val="00C6776F"/>
    <w:rsid w:val="00C67A19"/>
    <w:rsid w:val="00C67AF3"/>
    <w:rsid w:val="00C708ED"/>
    <w:rsid w:val="00C70BFF"/>
    <w:rsid w:val="00C70C21"/>
    <w:rsid w:val="00C72CA5"/>
    <w:rsid w:val="00C74906"/>
    <w:rsid w:val="00C75B20"/>
    <w:rsid w:val="00C75B9A"/>
    <w:rsid w:val="00C81042"/>
    <w:rsid w:val="00C814C9"/>
    <w:rsid w:val="00C81B40"/>
    <w:rsid w:val="00C81D95"/>
    <w:rsid w:val="00C81EA9"/>
    <w:rsid w:val="00C81FEA"/>
    <w:rsid w:val="00C82B49"/>
    <w:rsid w:val="00C82E05"/>
    <w:rsid w:val="00C83969"/>
    <w:rsid w:val="00C84E20"/>
    <w:rsid w:val="00C85234"/>
    <w:rsid w:val="00C85F9C"/>
    <w:rsid w:val="00C86154"/>
    <w:rsid w:val="00C866E5"/>
    <w:rsid w:val="00C86843"/>
    <w:rsid w:val="00C86C95"/>
    <w:rsid w:val="00C910EF"/>
    <w:rsid w:val="00C91BD7"/>
    <w:rsid w:val="00C9253E"/>
    <w:rsid w:val="00C937D2"/>
    <w:rsid w:val="00C93915"/>
    <w:rsid w:val="00C9403F"/>
    <w:rsid w:val="00C949BF"/>
    <w:rsid w:val="00C9624F"/>
    <w:rsid w:val="00C96280"/>
    <w:rsid w:val="00C96628"/>
    <w:rsid w:val="00C9665D"/>
    <w:rsid w:val="00C96BD5"/>
    <w:rsid w:val="00C97209"/>
    <w:rsid w:val="00CA05EB"/>
    <w:rsid w:val="00CA0C88"/>
    <w:rsid w:val="00CA3515"/>
    <w:rsid w:val="00CA3535"/>
    <w:rsid w:val="00CA3755"/>
    <w:rsid w:val="00CA3770"/>
    <w:rsid w:val="00CA3A05"/>
    <w:rsid w:val="00CA3CBF"/>
    <w:rsid w:val="00CA40CB"/>
    <w:rsid w:val="00CA4C2F"/>
    <w:rsid w:val="00CA5894"/>
    <w:rsid w:val="00CA62BE"/>
    <w:rsid w:val="00CA75D4"/>
    <w:rsid w:val="00CA76D9"/>
    <w:rsid w:val="00CA7D61"/>
    <w:rsid w:val="00CB04E2"/>
    <w:rsid w:val="00CB05A0"/>
    <w:rsid w:val="00CB0EF1"/>
    <w:rsid w:val="00CB14E9"/>
    <w:rsid w:val="00CB1D83"/>
    <w:rsid w:val="00CB2947"/>
    <w:rsid w:val="00CB320E"/>
    <w:rsid w:val="00CB3217"/>
    <w:rsid w:val="00CB573A"/>
    <w:rsid w:val="00CB60D4"/>
    <w:rsid w:val="00CB63DA"/>
    <w:rsid w:val="00CB6A6F"/>
    <w:rsid w:val="00CB6D90"/>
    <w:rsid w:val="00CB70CD"/>
    <w:rsid w:val="00CB71CB"/>
    <w:rsid w:val="00CB72C3"/>
    <w:rsid w:val="00CB7ECA"/>
    <w:rsid w:val="00CC051A"/>
    <w:rsid w:val="00CC05C8"/>
    <w:rsid w:val="00CC0D27"/>
    <w:rsid w:val="00CC125C"/>
    <w:rsid w:val="00CC36BD"/>
    <w:rsid w:val="00CC3A7F"/>
    <w:rsid w:val="00CC45E4"/>
    <w:rsid w:val="00CC46E0"/>
    <w:rsid w:val="00CC53C3"/>
    <w:rsid w:val="00CC566C"/>
    <w:rsid w:val="00CC60B7"/>
    <w:rsid w:val="00CC6345"/>
    <w:rsid w:val="00CC67EF"/>
    <w:rsid w:val="00CC6940"/>
    <w:rsid w:val="00CC722A"/>
    <w:rsid w:val="00CC78A9"/>
    <w:rsid w:val="00CC7A56"/>
    <w:rsid w:val="00CC7D06"/>
    <w:rsid w:val="00CD019F"/>
    <w:rsid w:val="00CD0829"/>
    <w:rsid w:val="00CD11A5"/>
    <w:rsid w:val="00CD2194"/>
    <w:rsid w:val="00CD27C5"/>
    <w:rsid w:val="00CD3026"/>
    <w:rsid w:val="00CD3834"/>
    <w:rsid w:val="00CD39F7"/>
    <w:rsid w:val="00CD48E6"/>
    <w:rsid w:val="00CD4CCE"/>
    <w:rsid w:val="00CD4F1C"/>
    <w:rsid w:val="00CD4F79"/>
    <w:rsid w:val="00CD59B3"/>
    <w:rsid w:val="00CD5E0A"/>
    <w:rsid w:val="00CD5F32"/>
    <w:rsid w:val="00CD6577"/>
    <w:rsid w:val="00CD663A"/>
    <w:rsid w:val="00CD78D2"/>
    <w:rsid w:val="00CD7C03"/>
    <w:rsid w:val="00CE0766"/>
    <w:rsid w:val="00CE14C6"/>
    <w:rsid w:val="00CE18F3"/>
    <w:rsid w:val="00CE1F1E"/>
    <w:rsid w:val="00CE28BE"/>
    <w:rsid w:val="00CE313E"/>
    <w:rsid w:val="00CE350B"/>
    <w:rsid w:val="00CE4169"/>
    <w:rsid w:val="00CE427F"/>
    <w:rsid w:val="00CE5256"/>
    <w:rsid w:val="00CE57A2"/>
    <w:rsid w:val="00CE5D21"/>
    <w:rsid w:val="00CE5D72"/>
    <w:rsid w:val="00CE6334"/>
    <w:rsid w:val="00CE6EBD"/>
    <w:rsid w:val="00CE70FE"/>
    <w:rsid w:val="00CE7894"/>
    <w:rsid w:val="00CF001D"/>
    <w:rsid w:val="00CF06A1"/>
    <w:rsid w:val="00CF1467"/>
    <w:rsid w:val="00CF2645"/>
    <w:rsid w:val="00CF3412"/>
    <w:rsid w:val="00CF34EE"/>
    <w:rsid w:val="00CF3532"/>
    <w:rsid w:val="00CF47E6"/>
    <w:rsid w:val="00CF48D6"/>
    <w:rsid w:val="00CF5112"/>
    <w:rsid w:val="00CF57D6"/>
    <w:rsid w:val="00CF5C3F"/>
    <w:rsid w:val="00CF61D7"/>
    <w:rsid w:val="00CF63D5"/>
    <w:rsid w:val="00CF6C1B"/>
    <w:rsid w:val="00CF75AB"/>
    <w:rsid w:val="00D019D5"/>
    <w:rsid w:val="00D02224"/>
    <w:rsid w:val="00D02CB6"/>
    <w:rsid w:val="00D0363A"/>
    <w:rsid w:val="00D03D32"/>
    <w:rsid w:val="00D03D62"/>
    <w:rsid w:val="00D040FE"/>
    <w:rsid w:val="00D0427B"/>
    <w:rsid w:val="00D047DE"/>
    <w:rsid w:val="00D04ED4"/>
    <w:rsid w:val="00D05B28"/>
    <w:rsid w:val="00D05FA0"/>
    <w:rsid w:val="00D06377"/>
    <w:rsid w:val="00D068CB"/>
    <w:rsid w:val="00D0728A"/>
    <w:rsid w:val="00D07E57"/>
    <w:rsid w:val="00D1029C"/>
    <w:rsid w:val="00D1115E"/>
    <w:rsid w:val="00D114A0"/>
    <w:rsid w:val="00D118D5"/>
    <w:rsid w:val="00D11EB1"/>
    <w:rsid w:val="00D12DF6"/>
    <w:rsid w:val="00D13999"/>
    <w:rsid w:val="00D139F5"/>
    <w:rsid w:val="00D13A70"/>
    <w:rsid w:val="00D13D6A"/>
    <w:rsid w:val="00D14709"/>
    <w:rsid w:val="00D14B06"/>
    <w:rsid w:val="00D14E89"/>
    <w:rsid w:val="00D159BF"/>
    <w:rsid w:val="00D162E2"/>
    <w:rsid w:val="00D1668F"/>
    <w:rsid w:val="00D168BF"/>
    <w:rsid w:val="00D168FD"/>
    <w:rsid w:val="00D16A6B"/>
    <w:rsid w:val="00D16F64"/>
    <w:rsid w:val="00D17052"/>
    <w:rsid w:val="00D174BE"/>
    <w:rsid w:val="00D20268"/>
    <w:rsid w:val="00D207F2"/>
    <w:rsid w:val="00D20CDC"/>
    <w:rsid w:val="00D212EB"/>
    <w:rsid w:val="00D230A7"/>
    <w:rsid w:val="00D233DE"/>
    <w:rsid w:val="00D23D4C"/>
    <w:rsid w:val="00D23F8E"/>
    <w:rsid w:val="00D2407D"/>
    <w:rsid w:val="00D2472C"/>
    <w:rsid w:val="00D25590"/>
    <w:rsid w:val="00D25D87"/>
    <w:rsid w:val="00D2685A"/>
    <w:rsid w:val="00D279BA"/>
    <w:rsid w:val="00D27A79"/>
    <w:rsid w:val="00D27EEC"/>
    <w:rsid w:val="00D30381"/>
    <w:rsid w:val="00D31835"/>
    <w:rsid w:val="00D31ACE"/>
    <w:rsid w:val="00D320D0"/>
    <w:rsid w:val="00D3217D"/>
    <w:rsid w:val="00D325E1"/>
    <w:rsid w:val="00D32BD3"/>
    <w:rsid w:val="00D33BB0"/>
    <w:rsid w:val="00D34413"/>
    <w:rsid w:val="00D35E0B"/>
    <w:rsid w:val="00D3779A"/>
    <w:rsid w:val="00D37997"/>
    <w:rsid w:val="00D40026"/>
    <w:rsid w:val="00D402C4"/>
    <w:rsid w:val="00D404B5"/>
    <w:rsid w:val="00D41731"/>
    <w:rsid w:val="00D422C4"/>
    <w:rsid w:val="00D42C56"/>
    <w:rsid w:val="00D43335"/>
    <w:rsid w:val="00D43F74"/>
    <w:rsid w:val="00D43FDC"/>
    <w:rsid w:val="00D4432E"/>
    <w:rsid w:val="00D447CB"/>
    <w:rsid w:val="00D4545C"/>
    <w:rsid w:val="00D475F4"/>
    <w:rsid w:val="00D47728"/>
    <w:rsid w:val="00D47D16"/>
    <w:rsid w:val="00D5039B"/>
    <w:rsid w:val="00D505F4"/>
    <w:rsid w:val="00D50FF7"/>
    <w:rsid w:val="00D511C9"/>
    <w:rsid w:val="00D5166F"/>
    <w:rsid w:val="00D518B9"/>
    <w:rsid w:val="00D51CE1"/>
    <w:rsid w:val="00D535E0"/>
    <w:rsid w:val="00D55250"/>
    <w:rsid w:val="00D55D76"/>
    <w:rsid w:val="00D55F38"/>
    <w:rsid w:val="00D562F2"/>
    <w:rsid w:val="00D56F5A"/>
    <w:rsid w:val="00D56FE3"/>
    <w:rsid w:val="00D57120"/>
    <w:rsid w:val="00D57390"/>
    <w:rsid w:val="00D576A0"/>
    <w:rsid w:val="00D60A2A"/>
    <w:rsid w:val="00D60CAA"/>
    <w:rsid w:val="00D61464"/>
    <w:rsid w:val="00D61858"/>
    <w:rsid w:val="00D61B8D"/>
    <w:rsid w:val="00D61B93"/>
    <w:rsid w:val="00D61CAD"/>
    <w:rsid w:val="00D62D31"/>
    <w:rsid w:val="00D63CF3"/>
    <w:rsid w:val="00D64721"/>
    <w:rsid w:val="00D64B04"/>
    <w:rsid w:val="00D663E4"/>
    <w:rsid w:val="00D66A15"/>
    <w:rsid w:val="00D67B9E"/>
    <w:rsid w:val="00D67E4A"/>
    <w:rsid w:val="00D73C01"/>
    <w:rsid w:val="00D73D6F"/>
    <w:rsid w:val="00D74181"/>
    <w:rsid w:val="00D74357"/>
    <w:rsid w:val="00D74A26"/>
    <w:rsid w:val="00D759AC"/>
    <w:rsid w:val="00D75A2B"/>
    <w:rsid w:val="00D763FD"/>
    <w:rsid w:val="00D7670F"/>
    <w:rsid w:val="00D76F89"/>
    <w:rsid w:val="00D80C31"/>
    <w:rsid w:val="00D80DD2"/>
    <w:rsid w:val="00D81A7A"/>
    <w:rsid w:val="00D81BD8"/>
    <w:rsid w:val="00D82D84"/>
    <w:rsid w:val="00D84738"/>
    <w:rsid w:val="00D84E00"/>
    <w:rsid w:val="00D862FF"/>
    <w:rsid w:val="00D86FEE"/>
    <w:rsid w:val="00D90120"/>
    <w:rsid w:val="00D9045F"/>
    <w:rsid w:val="00D90AD1"/>
    <w:rsid w:val="00D912C0"/>
    <w:rsid w:val="00D91529"/>
    <w:rsid w:val="00D91E92"/>
    <w:rsid w:val="00D91FD9"/>
    <w:rsid w:val="00D92622"/>
    <w:rsid w:val="00D92896"/>
    <w:rsid w:val="00D936E2"/>
    <w:rsid w:val="00D93792"/>
    <w:rsid w:val="00D941F7"/>
    <w:rsid w:val="00D942B8"/>
    <w:rsid w:val="00D9512D"/>
    <w:rsid w:val="00D9583E"/>
    <w:rsid w:val="00D96D3D"/>
    <w:rsid w:val="00D9702F"/>
    <w:rsid w:val="00D9769A"/>
    <w:rsid w:val="00DA069D"/>
    <w:rsid w:val="00DA07A5"/>
    <w:rsid w:val="00DA0E88"/>
    <w:rsid w:val="00DA13CF"/>
    <w:rsid w:val="00DA1E08"/>
    <w:rsid w:val="00DA2210"/>
    <w:rsid w:val="00DA2510"/>
    <w:rsid w:val="00DA2D5D"/>
    <w:rsid w:val="00DA45B8"/>
    <w:rsid w:val="00DA4DDF"/>
    <w:rsid w:val="00DA55CF"/>
    <w:rsid w:val="00DA6081"/>
    <w:rsid w:val="00DA632F"/>
    <w:rsid w:val="00DB0804"/>
    <w:rsid w:val="00DB0891"/>
    <w:rsid w:val="00DB18D6"/>
    <w:rsid w:val="00DB1B11"/>
    <w:rsid w:val="00DB1C2E"/>
    <w:rsid w:val="00DB2041"/>
    <w:rsid w:val="00DB23D6"/>
    <w:rsid w:val="00DB2FC4"/>
    <w:rsid w:val="00DB48E2"/>
    <w:rsid w:val="00DB5026"/>
    <w:rsid w:val="00DB52BF"/>
    <w:rsid w:val="00DB5A99"/>
    <w:rsid w:val="00DB5BED"/>
    <w:rsid w:val="00DB6F39"/>
    <w:rsid w:val="00DB7F5A"/>
    <w:rsid w:val="00DC1C0B"/>
    <w:rsid w:val="00DC1C52"/>
    <w:rsid w:val="00DC1D98"/>
    <w:rsid w:val="00DC2AAC"/>
    <w:rsid w:val="00DC366B"/>
    <w:rsid w:val="00DC382A"/>
    <w:rsid w:val="00DC4955"/>
    <w:rsid w:val="00DC4FF3"/>
    <w:rsid w:val="00DC54F0"/>
    <w:rsid w:val="00DC5BAE"/>
    <w:rsid w:val="00DC64D5"/>
    <w:rsid w:val="00DD0165"/>
    <w:rsid w:val="00DD1035"/>
    <w:rsid w:val="00DD2C87"/>
    <w:rsid w:val="00DD2F2E"/>
    <w:rsid w:val="00DD37F2"/>
    <w:rsid w:val="00DD5063"/>
    <w:rsid w:val="00DD54E7"/>
    <w:rsid w:val="00DD5947"/>
    <w:rsid w:val="00DD6CE5"/>
    <w:rsid w:val="00DE0018"/>
    <w:rsid w:val="00DE026C"/>
    <w:rsid w:val="00DE0ABB"/>
    <w:rsid w:val="00DE1012"/>
    <w:rsid w:val="00DE1426"/>
    <w:rsid w:val="00DE1828"/>
    <w:rsid w:val="00DE1923"/>
    <w:rsid w:val="00DE1AFD"/>
    <w:rsid w:val="00DE1D08"/>
    <w:rsid w:val="00DE235E"/>
    <w:rsid w:val="00DE29A2"/>
    <w:rsid w:val="00DE2B33"/>
    <w:rsid w:val="00DE2C80"/>
    <w:rsid w:val="00DE360C"/>
    <w:rsid w:val="00DE39B5"/>
    <w:rsid w:val="00DE4131"/>
    <w:rsid w:val="00DE434C"/>
    <w:rsid w:val="00DE5AA1"/>
    <w:rsid w:val="00DE5CC7"/>
    <w:rsid w:val="00DE638B"/>
    <w:rsid w:val="00DE6919"/>
    <w:rsid w:val="00DE72EE"/>
    <w:rsid w:val="00DE7481"/>
    <w:rsid w:val="00DE75BE"/>
    <w:rsid w:val="00DE7EF2"/>
    <w:rsid w:val="00DF04B0"/>
    <w:rsid w:val="00DF05C7"/>
    <w:rsid w:val="00DF07D2"/>
    <w:rsid w:val="00DF0AA0"/>
    <w:rsid w:val="00DF26B7"/>
    <w:rsid w:val="00DF2BC4"/>
    <w:rsid w:val="00DF2C7F"/>
    <w:rsid w:val="00DF37E5"/>
    <w:rsid w:val="00DF3895"/>
    <w:rsid w:val="00DF51AE"/>
    <w:rsid w:val="00DF7555"/>
    <w:rsid w:val="00DF7603"/>
    <w:rsid w:val="00DF77A5"/>
    <w:rsid w:val="00E007FE"/>
    <w:rsid w:val="00E034FE"/>
    <w:rsid w:val="00E03709"/>
    <w:rsid w:val="00E03C4D"/>
    <w:rsid w:val="00E041E5"/>
    <w:rsid w:val="00E04287"/>
    <w:rsid w:val="00E04812"/>
    <w:rsid w:val="00E04888"/>
    <w:rsid w:val="00E0525D"/>
    <w:rsid w:val="00E05F1B"/>
    <w:rsid w:val="00E0639F"/>
    <w:rsid w:val="00E06D0B"/>
    <w:rsid w:val="00E0759C"/>
    <w:rsid w:val="00E0763B"/>
    <w:rsid w:val="00E0796A"/>
    <w:rsid w:val="00E10302"/>
    <w:rsid w:val="00E1032F"/>
    <w:rsid w:val="00E107B0"/>
    <w:rsid w:val="00E10F33"/>
    <w:rsid w:val="00E118E6"/>
    <w:rsid w:val="00E129AB"/>
    <w:rsid w:val="00E12E6D"/>
    <w:rsid w:val="00E133A7"/>
    <w:rsid w:val="00E13A49"/>
    <w:rsid w:val="00E15096"/>
    <w:rsid w:val="00E15285"/>
    <w:rsid w:val="00E1651D"/>
    <w:rsid w:val="00E16C0E"/>
    <w:rsid w:val="00E17EC5"/>
    <w:rsid w:val="00E2009D"/>
    <w:rsid w:val="00E20155"/>
    <w:rsid w:val="00E208B6"/>
    <w:rsid w:val="00E209FB"/>
    <w:rsid w:val="00E21967"/>
    <w:rsid w:val="00E21F2D"/>
    <w:rsid w:val="00E23147"/>
    <w:rsid w:val="00E262E0"/>
    <w:rsid w:val="00E26545"/>
    <w:rsid w:val="00E26A41"/>
    <w:rsid w:val="00E26BFD"/>
    <w:rsid w:val="00E26C55"/>
    <w:rsid w:val="00E26E5C"/>
    <w:rsid w:val="00E27E90"/>
    <w:rsid w:val="00E301F2"/>
    <w:rsid w:val="00E31643"/>
    <w:rsid w:val="00E32077"/>
    <w:rsid w:val="00E320FE"/>
    <w:rsid w:val="00E326BF"/>
    <w:rsid w:val="00E328A7"/>
    <w:rsid w:val="00E32A4F"/>
    <w:rsid w:val="00E32E5A"/>
    <w:rsid w:val="00E332B4"/>
    <w:rsid w:val="00E336EA"/>
    <w:rsid w:val="00E33C83"/>
    <w:rsid w:val="00E33D02"/>
    <w:rsid w:val="00E344C2"/>
    <w:rsid w:val="00E34970"/>
    <w:rsid w:val="00E34F2C"/>
    <w:rsid w:val="00E34FAD"/>
    <w:rsid w:val="00E35D2F"/>
    <w:rsid w:val="00E35D79"/>
    <w:rsid w:val="00E36496"/>
    <w:rsid w:val="00E404B2"/>
    <w:rsid w:val="00E43707"/>
    <w:rsid w:val="00E43758"/>
    <w:rsid w:val="00E43D07"/>
    <w:rsid w:val="00E44202"/>
    <w:rsid w:val="00E44235"/>
    <w:rsid w:val="00E443C2"/>
    <w:rsid w:val="00E4548B"/>
    <w:rsid w:val="00E45DB9"/>
    <w:rsid w:val="00E45FB3"/>
    <w:rsid w:val="00E4641E"/>
    <w:rsid w:val="00E469DA"/>
    <w:rsid w:val="00E47747"/>
    <w:rsid w:val="00E47996"/>
    <w:rsid w:val="00E47D19"/>
    <w:rsid w:val="00E50BC7"/>
    <w:rsid w:val="00E50DB6"/>
    <w:rsid w:val="00E50F86"/>
    <w:rsid w:val="00E519AE"/>
    <w:rsid w:val="00E51CCC"/>
    <w:rsid w:val="00E527AD"/>
    <w:rsid w:val="00E52D27"/>
    <w:rsid w:val="00E53100"/>
    <w:rsid w:val="00E5365F"/>
    <w:rsid w:val="00E53B63"/>
    <w:rsid w:val="00E53B84"/>
    <w:rsid w:val="00E56149"/>
    <w:rsid w:val="00E561B7"/>
    <w:rsid w:val="00E5629D"/>
    <w:rsid w:val="00E57AF7"/>
    <w:rsid w:val="00E57B2F"/>
    <w:rsid w:val="00E57F60"/>
    <w:rsid w:val="00E6085A"/>
    <w:rsid w:val="00E6135A"/>
    <w:rsid w:val="00E6166A"/>
    <w:rsid w:val="00E61A8C"/>
    <w:rsid w:val="00E6241B"/>
    <w:rsid w:val="00E62547"/>
    <w:rsid w:val="00E6419A"/>
    <w:rsid w:val="00E641BA"/>
    <w:rsid w:val="00E64628"/>
    <w:rsid w:val="00E64FCC"/>
    <w:rsid w:val="00E64FD7"/>
    <w:rsid w:val="00E650B5"/>
    <w:rsid w:val="00E6637C"/>
    <w:rsid w:val="00E67492"/>
    <w:rsid w:val="00E67B57"/>
    <w:rsid w:val="00E703B6"/>
    <w:rsid w:val="00E71F15"/>
    <w:rsid w:val="00E720E7"/>
    <w:rsid w:val="00E72200"/>
    <w:rsid w:val="00E72B1B"/>
    <w:rsid w:val="00E72BD5"/>
    <w:rsid w:val="00E72C0C"/>
    <w:rsid w:val="00E72DD5"/>
    <w:rsid w:val="00E72ECD"/>
    <w:rsid w:val="00E731DC"/>
    <w:rsid w:val="00E73207"/>
    <w:rsid w:val="00E732F4"/>
    <w:rsid w:val="00E735F8"/>
    <w:rsid w:val="00E73B1E"/>
    <w:rsid w:val="00E7495B"/>
    <w:rsid w:val="00E74D26"/>
    <w:rsid w:val="00E7510D"/>
    <w:rsid w:val="00E75A93"/>
    <w:rsid w:val="00E75C9B"/>
    <w:rsid w:val="00E75D47"/>
    <w:rsid w:val="00E75E4D"/>
    <w:rsid w:val="00E763BF"/>
    <w:rsid w:val="00E766B3"/>
    <w:rsid w:val="00E766F5"/>
    <w:rsid w:val="00E76932"/>
    <w:rsid w:val="00E806E0"/>
    <w:rsid w:val="00E808A3"/>
    <w:rsid w:val="00E80EDF"/>
    <w:rsid w:val="00E80FC3"/>
    <w:rsid w:val="00E8145D"/>
    <w:rsid w:val="00E82948"/>
    <w:rsid w:val="00E82B28"/>
    <w:rsid w:val="00E82F9C"/>
    <w:rsid w:val="00E83810"/>
    <w:rsid w:val="00E83B14"/>
    <w:rsid w:val="00E848FB"/>
    <w:rsid w:val="00E85AC3"/>
    <w:rsid w:val="00E9013A"/>
    <w:rsid w:val="00E90218"/>
    <w:rsid w:val="00E913BB"/>
    <w:rsid w:val="00E91AAF"/>
    <w:rsid w:val="00E92708"/>
    <w:rsid w:val="00E931A9"/>
    <w:rsid w:val="00E948E3"/>
    <w:rsid w:val="00E94C21"/>
    <w:rsid w:val="00E94FAD"/>
    <w:rsid w:val="00E95A35"/>
    <w:rsid w:val="00E95A94"/>
    <w:rsid w:val="00E95F2E"/>
    <w:rsid w:val="00E96213"/>
    <w:rsid w:val="00E96A23"/>
    <w:rsid w:val="00E97198"/>
    <w:rsid w:val="00EA0235"/>
    <w:rsid w:val="00EA06A5"/>
    <w:rsid w:val="00EA08E7"/>
    <w:rsid w:val="00EA0C24"/>
    <w:rsid w:val="00EA109C"/>
    <w:rsid w:val="00EA1508"/>
    <w:rsid w:val="00EA1541"/>
    <w:rsid w:val="00EA1A5D"/>
    <w:rsid w:val="00EA29F4"/>
    <w:rsid w:val="00EA32E4"/>
    <w:rsid w:val="00EA3C0D"/>
    <w:rsid w:val="00EA4106"/>
    <w:rsid w:val="00EA4E37"/>
    <w:rsid w:val="00EA59DF"/>
    <w:rsid w:val="00EA6859"/>
    <w:rsid w:val="00EA6C3B"/>
    <w:rsid w:val="00EA7B05"/>
    <w:rsid w:val="00EA7E36"/>
    <w:rsid w:val="00EB0335"/>
    <w:rsid w:val="00EB0898"/>
    <w:rsid w:val="00EB0AC1"/>
    <w:rsid w:val="00EB119E"/>
    <w:rsid w:val="00EB1957"/>
    <w:rsid w:val="00EB19B7"/>
    <w:rsid w:val="00EB1B28"/>
    <w:rsid w:val="00EB22CA"/>
    <w:rsid w:val="00EB24A7"/>
    <w:rsid w:val="00EB36F5"/>
    <w:rsid w:val="00EB4EA0"/>
    <w:rsid w:val="00EB5CEF"/>
    <w:rsid w:val="00EB627B"/>
    <w:rsid w:val="00EB6906"/>
    <w:rsid w:val="00EB6D94"/>
    <w:rsid w:val="00EB7206"/>
    <w:rsid w:val="00EB7691"/>
    <w:rsid w:val="00EB7815"/>
    <w:rsid w:val="00EB7C4B"/>
    <w:rsid w:val="00EB7DDF"/>
    <w:rsid w:val="00EC05E6"/>
    <w:rsid w:val="00EC0DC0"/>
    <w:rsid w:val="00EC206D"/>
    <w:rsid w:val="00EC2098"/>
    <w:rsid w:val="00EC4183"/>
    <w:rsid w:val="00EC4EA2"/>
    <w:rsid w:val="00EC5903"/>
    <w:rsid w:val="00EC5950"/>
    <w:rsid w:val="00EC61A4"/>
    <w:rsid w:val="00EC6468"/>
    <w:rsid w:val="00EC6708"/>
    <w:rsid w:val="00EC6A20"/>
    <w:rsid w:val="00EC772D"/>
    <w:rsid w:val="00ED02B3"/>
    <w:rsid w:val="00ED0361"/>
    <w:rsid w:val="00ED0D7F"/>
    <w:rsid w:val="00ED1A98"/>
    <w:rsid w:val="00ED1CB6"/>
    <w:rsid w:val="00ED207C"/>
    <w:rsid w:val="00ED2449"/>
    <w:rsid w:val="00ED24CB"/>
    <w:rsid w:val="00ED2D30"/>
    <w:rsid w:val="00ED2F16"/>
    <w:rsid w:val="00ED325A"/>
    <w:rsid w:val="00ED38A4"/>
    <w:rsid w:val="00ED3F41"/>
    <w:rsid w:val="00ED4089"/>
    <w:rsid w:val="00ED5615"/>
    <w:rsid w:val="00ED692E"/>
    <w:rsid w:val="00ED69AF"/>
    <w:rsid w:val="00ED6B3B"/>
    <w:rsid w:val="00ED6C5A"/>
    <w:rsid w:val="00ED7D7F"/>
    <w:rsid w:val="00EE00A7"/>
    <w:rsid w:val="00EE023D"/>
    <w:rsid w:val="00EE0B35"/>
    <w:rsid w:val="00EE13CF"/>
    <w:rsid w:val="00EE1485"/>
    <w:rsid w:val="00EE1847"/>
    <w:rsid w:val="00EE240E"/>
    <w:rsid w:val="00EE2560"/>
    <w:rsid w:val="00EE3092"/>
    <w:rsid w:val="00EE3421"/>
    <w:rsid w:val="00EE3546"/>
    <w:rsid w:val="00EE5654"/>
    <w:rsid w:val="00EE634C"/>
    <w:rsid w:val="00EE66C0"/>
    <w:rsid w:val="00EE688E"/>
    <w:rsid w:val="00EE6A6D"/>
    <w:rsid w:val="00EE70B8"/>
    <w:rsid w:val="00EF034B"/>
    <w:rsid w:val="00EF03E2"/>
    <w:rsid w:val="00EF0B24"/>
    <w:rsid w:val="00EF141D"/>
    <w:rsid w:val="00EF1ADE"/>
    <w:rsid w:val="00EF1B85"/>
    <w:rsid w:val="00EF270E"/>
    <w:rsid w:val="00EF37D0"/>
    <w:rsid w:val="00EF43CE"/>
    <w:rsid w:val="00EF4C92"/>
    <w:rsid w:val="00EF4CDE"/>
    <w:rsid w:val="00EF4E55"/>
    <w:rsid w:val="00EF7069"/>
    <w:rsid w:val="00EF715B"/>
    <w:rsid w:val="00EF77AF"/>
    <w:rsid w:val="00EF7F8B"/>
    <w:rsid w:val="00F0002B"/>
    <w:rsid w:val="00F01146"/>
    <w:rsid w:val="00F0153C"/>
    <w:rsid w:val="00F01C81"/>
    <w:rsid w:val="00F02115"/>
    <w:rsid w:val="00F02CBA"/>
    <w:rsid w:val="00F0300F"/>
    <w:rsid w:val="00F03814"/>
    <w:rsid w:val="00F03C69"/>
    <w:rsid w:val="00F03D11"/>
    <w:rsid w:val="00F04075"/>
    <w:rsid w:val="00F063A5"/>
    <w:rsid w:val="00F067B5"/>
    <w:rsid w:val="00F067E4"/>
    <w:rsid w:val="00F07A09"/>
    <w:rsid w:val="00F10F26"/>
    <w:rsid w:val="00F11EC1"/>
    <w:rsid w:val="00F12DD6"/>
    <w:rsid w:val="00F12E4F"/>
    <w:rsid w:val="00F1390C"/>
    <w:rsid w:val="00F13E69"/>
    <w:rsid w:val="00F141B9"/>
    <w:rsid w:val="00F14D98"/>
    <w:rsid w:val="00F159C1"/>
    <w:rsid w:val="00F15ED1"/>
    <w:rsid w:val="00F166DB"/>
    <w:rsid w:val="00F16A12"/>
    <w:rsid w:val="00F16C06"/>
    <w:rsid w:val="00F17A9E"/>
    <w:rsid w:val="00F17FC9"/>
    <w:rsid w:val="00F20C5E"/>
    <w:rsid w:val="00F22A54"/>
    <w:rsid w:val="00F22A7B"/>
    <w:rsid w:val="00F23400"/>
    <w:rsid w:val="00F257EF"/>
    <w:rsid w:val="00F26B34"/>
    <w:rsid w:val="00F27A40"/>
    <w:rsid w:val="00F30575"/>
    <w:rsid w:val="00F3083F"/>
    <w:rsid w:val="00F30C5B"/>
    <w:rsid w:val="00F31CC2"/>
    <w:rsid w:val="00F31EEF"/>
    <w:rsid w:val="00F31FB7"/>
    <w:rsid w:val="00F32318"/>
    <w:rsid w:val="00F342DE"/>
    <w:rsid w:val="00F356BE"/>
    <w:rsid w:val="00F365C6"/>
    <w:rsid w:val="00F36A1D"/>
    <w:rsid w:val="00F36ACD"/>
    <w:rsid w:val="00F36C80"/>
    <w:rsid w:val="00F37291"/>
    <w:rsid w:val="00F37567"/>
    <w:rsid w:val="00F378FE"/>
    <w:rsid w:val="00F37E2C"/>
    <w:rsid w:val="00F37EBC"/>
    <w:rsid w:val="00F40245"/>
    <w:rsid w:val="00F4036D"/>
    <w:rsid w:val="00F40888"/>
    <w:rsid w:val="00F40B0F"/>
    <w:rsid w:val="00F41122"/>
    <w:rsid w:val="00F4123E"/>
    <w:rsid w:val="00F41969"/>
    <w:rsid w:val="00F42B7B"/>
    <w:rsid w:val="00F43E44"/>
    <w:rsid w:val="00F43FE0"/>
    <w:rsid w:val="00F44079"/>
    <w:rsid w:val="00F44278"/>
    <w:rsid w:val="00F44A8C"/>
    <w:rsid w:val="00F44D06"/>
    <w:rsid w:val="00F44EF7"/>
    <w:rsid w:val="00F456A7"/>
    <w:rsid w:val="00F4773E"/>
    <w:rsid w:val="00F51B65"/>
    <w:rsid w:val="00F51DE6"/>
    <w:rsid w:val="00F51E25"/>
    <w:rsid w:val="00F52AAB"/>
    <w:rsid w:val="00F52DC6"/>
    <w:rsid w:val="00F52EB6"/>
    <w:rsid w:val="00F52F49"/>
    <w:rsid w:val="00F53B46"/>
    <w:rsid w:val="00F55260"/>
    <w:rsid w:val="00F55592"/>
    <w:rsid w:val="00F5619F"/>
    <w:rsid w:val="00F56356"/>
    <w:rsid w:val="00F56481"/>
    <w:rsid w:val="00F60021"/>
    <w:rsid w:val="00F60223"/>
    <w:rsid w:val="00F60E62"/>
    <w:rsid w:val="00F61628"/>
    <w:rsid w:val="00F61686"/>
    <w:rsid w:val="00F61E8E"/>
    <w:rsid w:val="00F6251D"/>
    <w:rsid w:val="00F6316B"/>
    <w:rsid w:val="00F633F3"/>
    <w:rsid w:val="00F63403"/>
    <w:rsid w:val="00F63D32"/>
    <w:rsid w:val="00F63FED"/>
    <w:rsid w:val="00F64381"/>
    <w:rsid w:val="00F646FB"/>
    <w:rsid w:val="00F64A9F"/>
    <w:rsid w:val="00F64DD4"/>
    <w:rsid w:val="00F65376"/>
    <w:rsid w:val="00F657D2"/>
    <w:rsid w:val="00F65AE0"/>
    <w:rsid w:val="00F66971"/>
    <w:rsid w:val="00F7085C"/>
    <w:rsid w:val="00F74554"/>
    <w:rsid w:val="00F7466D"/>
    <w:rsid w:val="00F74A3D"/>
    <w:rsid w:val="00F74E38"/>
    <w:rsid w:val="00F761B8"/>
    <w:rsid w:val="00F7623E"/>
    <w:rsid w:val="00F764F1"/>
    <w:rsid w:val="00F76D6F"/>
    <w:rsid w:val="00F76F3F"/>
    <w:rsid w:val="00F778B0"/>
    <w:rsid w:val="00F7792E"/>
    <w:rsid w:val="00F80A95"/>
    <w:rsid w:val="00F80B33"/>
    <w:rsid w:val="00F80EBD"/>
    <w:rsid w:val="00F8186E"/>
    <w:rsid w:val="00F81B4D"/>
    <w:rsid w:val="00F81BB2"/>
    <w:rsid w:val="00F81EDE"/>
    <w:rsid w:val="00F82E38"/>
    <w:rsid w:val="00F83293"/>
    <w:rsid w:val="00F833F6"/>
    <w:rsid w:val="00F8352C"/>
    <w:rsid w:val="00F83BC2"/>
    <w:rsid w:val="00F848A4"/>
    <w:rsid w:val="00F84B03"/>
    <w:rsid w:val="00F84B9D"/>
    <w:rsid w:val="00F84DBD"/>
    <w:rsid w:val="00F84FEC"/>
    <w:rsid w:val="00F85144"/>
    <w:rsid w:val="00F8544A"/>
    <w:rsid w:val="00F85CFE"/>
    <w:rsid w:val="00F85FB8"/>
    <w:rsid w:val="00F864ED"/>
    <w:rsid w:val="00F86DF6"/>
    <w:rsid w:val="00F87551"/>
    <w:rsid w:val="00F907B7"/>
    <w:rsid w:val="00F90B8D"/>
    <w:rsid w:val="00F90D80"/>
    <w:rsid w:val="00F916B9"/>
    <w:rsid w:val="00F91B02"/>
    <w:rsid w:val="00F91F2C"/>
    <w:rsid w:val="00F923AF"/>
    <w:rsid w:val="00F92EC1"/>
    <w:rsid w:val="00F934B6"/>
    <w:rsid w:val="00F93691"/>
    <w:rsid w:val="00F946F5"/>
    <w:rsid w:val="00F94BCB"/>
    <w:rsid w:val="00F94C47"/>
    <w:rsid w:val="00F94D67"/>
    <w:rsid w:val="00F956C9"/>
    <w:rsid w:val="00F9595A"/>
    <w:rsid w:val="00F9659B"/>
    <w:rsid w:val="00F96AA9"/>
    <w:rsid w:val="00F972A5"/>
    <w:rsid w:val="00F97425"/>
    <w:rsid w:val="00F97F68"/>
    <w:rsid w:val="00FA0148"/>
    <w:rsid w:val="00FA0421"/>
    <w:rsid w:val="00FA0912"/>
    <w:rsid w:val="00FA0C66"/>
    <w:rsid w:val="00FA1CDA"/>
    <w:rsid w:val="00FA1DCF"/>
    <w:rsid w:val="00FA1DD9"/>
    <w:rsid w:val="00FA1E63"/>
    <w:rsid w:val="00FA2310"/>
    <w:rsid w:val="00FA2BD2"/>
    <w:rsid w:val="00FA2EB8"/>
    <w:rsid w:val="00FA3389"/>
    <w:rsid w:val="00FA3476"/>
    <w:rsid w:val="00FA361A"/>
    <w:rsid w:val="00FA44E5"/>
    <w:rsid w:val="00FA4CA1"/>
    <w:rsid w:val="00FA5A16"/>
    <w:rsid w:val="00FA5C31"/>
    <w:rsid w:val="00FA669E"/>
    <w:rsid w:val="00FA67D9"/>
    <w:rsid w:val="00FA6919"/>
    <w:rsid w:val="00FA75C6"/>
    <w:rsid w:val="00FA7E49"/>
    <w:rsid w:val="00FB0C10"/>
    <w:rsid w:val="00FB11F8"/>
    <w:rsid w:val="00FB1CFB"/>
    <w:rsid w:val="00FB3C36"/>
    <w:rsid w:val="00FB423D"/>
    <w:rsid w:val="00FB4280"/>
    <w:rsid w:val="00FB4B60"/>
    <w:rsid w:val="00FB57F8"/>
    <w:rsid w:val="00FB580D"/>
    <w:rsid w:val="00FB5B24"/>
    <w:rsid w:val="00FB5B7F"/>
    <w:rsid w:val="00FB6DA7"/>
    <w:rsid w:val="00FB7CCE"/>
    <w:rsid w:val="00FC0104"/>
    <w:rsid w:val="00FC01C8"/>
    <w:rsid w:val="00FC0519"/>
    <w:rsid w:val="00FC0D8F"/>
    <w:rsid w:val="00FC0F61"/>
    <w:rsid w:val="00FC145B"/>
    <w:rsid w:val="00FC1577"/>
    <w:rsid w:val="00FC198F"/>
    <w:rsid w:val="00FC2590"/>
    <w:rsid w:val="00FC3501"/>
    <w:rsid w:val="00FC36A1"/>
    <w:rsid w:val="00FC3790"/>
    <w:rsid w:val="00FC39FD"/>
    <w:rsid w:val="00FC3D67"/>
    <w:rsid w:val="00FC423D"/>
    <w:rsid w:val="00FC455F"/>
    <w:rsid w:val="00FC5027"/>
    <w:rsid w:val="00FC50C7"/>
    <w:rsid w:val="00FC511D"/>
    <w:rsid w:val="00FC5C7C"/>
    <w:rsid w:val="00FC6034"/>
    <w:rsid w:val="00FC68BC"/>
    <w:rsid w:val="00FC7366"/>
    <w:rsid w:val="00FD097A"/>
    <w:rsid w:val="00FD0E3D"/>
    <w:rsid w:val="00FD11D4"/>
    <w:rsid w:val="00FD2052"/>
    <w:rsid w:val="00FD217B"/>
    <w:rsid w:val="00FD225D"/>
    <w:rsid w:val="00FD2384"/>
    <w:rsid w:val="00FD29D4"/>
    <w:rsid w:val="00FD4293"/>
    <w:rsid w:val="00FD4AF6"/>
    <w:rsid w:val="00FD4C24"/>
    <w:rsid w:val="00FD4C88"/>
    <w:rsid w:val="00FD4F32"/>
    <w:rsid w:val="00FD59ED"/>
    <w:rsid w:val="00FD66C6"/>
    <w:rsid w:val="00FD7C9B"/>
    <w:rsid w:val="00FD7E67"/>
    <w:rsid w:val="00FE125C"/>
    <w:rsid w:val="00FE1F3B"/>
    <w:rsid w:val="00FE2BEA"/>
    <w:rsid w:val="00FE3738"/>
    <w:rsid w:val="00FE41E7"/>
    <w:rsid w:val="00FE452E"/>
    <w:rsid w:val="00FE4963"/>
    <w:rsid w:val="00FE58C7"/>
    <w:rsid w:val="00FE7B6C"/>
    <w:rsid w:val="00FF03BA"/>
    <w:rsid w:val="00FF0C42"/>
    <w:rsid w:val="00FF16C8"/>
    <w:rsid w:val="00FF2D9A"/>
    <w:rsid w:val="00FF3663"/>
    <w:rsid w:val="00FF3FBF"/>
    <w:rsid w:val="00FF4275"/>
    <w:rsid w:val="00FF4A4C"/>
    <w:rsid w:val="00FF4B79"/>
    <w:rsid w:val="00FF4C15"/>
    <w:rsid w:val="00FF5E54"/>
    <w:rsid w:val="00FF70F1"/>
    <w:rsid w:val="00FF7EB8"/>
    <w:rsid w:val="00FF7F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5062EE"/>
    <w:pPr>
      <w:spacing w:after="140"/>
      <w:ind w:firstLine="567"/>
      <w:jc w:val="both"/>
    </w:pPr>
    <w:rPr>
      <w:lang w:val="es-ES_tradnl"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character" w:customStyle="1" w:styleId="textoCar">
    <w:name w:val="texto Car"/>
    <w:link w:val="texto"/>
    <w:rsid w:val="001D4F09"/>
    <w:rPr>
      <w:spacing w:val="6"/>
      <w:sz w:val="26"/>
      <w:szCs w:val="24"/>
      <w:lang w:val="es-ES_tradnl" w:eastAsia="en-US" w:bidi="ar-SA"/>
    </w:rPr>
  </w:style>
  <w:style w:type="paragraph" w:customStyle="1" w:styleId="recomen">
    <w:name w:val="recomen"/>
    <w:basedOn w:val="texto"/>
    <w:rsid w:val="001D4F09"/>
    <w:pPr>
      <w:numPr>
        <w:numId w:val="2"/>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character" w:customStyle="1" w:styleId="atitulo2Car">
    <w:name w:val="atitulo2 Car"/>
    <w:link w:val="atitulo2"/>
    <w:rsid w:val="00882BEB"/>
    <w:rPr>
      <w:rFonts w:ascii="Arial" w:hAnsi="Arial"/>
      <w:bCs/>
      <w:iCs/>
      <w:color w:val="000000"/>
      <w:spacing w:val="10"/>
      <w:kern w:val="28"/>
      <w:sz w:val="25"/>
      <w:szCs w:val="26"/>
      <w:lang w:val="es-ES_tradnl" w:eastAsia="en-US" w:bidi="ar-SA"/>
    </w:rPr>
  </w:style>
  <w:style w:type="paragraph" w:customStyle="1" w:styleId="atitulo3">
    <w:name w:val="atitulo3"/>
    <w:basedOn w:val="atitulo2"/>
    <w:qFormat/>
    <w:rsid w:val="004B2F01"/>
    <w:rPr>
      <w:bCs w:val="0"/>
      <w:i/>
    </w:rPr>
  </w:style>
  <w:style w:type="paragraph" w:styleId="TDC1">
    <w:name w:val="toc 1"/>
    <w:basedOn w:val="Normal"/>
    <w:next w:val="Normal"/>
    <w:autoRedefine/>
    <w:uiPriority w:val="39"/>
    <w:rsid w:val="00B96E4C"/>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B96E4C"/>
    <w:pPr>
      <w:tabs>
        <w:tab w:val="right" w:leader="dot" w:pos="8930"/>
      </w:tabs>
      <w:spacing w:after="0"/>
      <w:ind w:left="378" w:firstLine="0"/>
      <w:jc w:val="left"/>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Epgrafe">
    <w:name w:val="caption"/>
    <w:basedOn w:val="Normal"/>
    <w:next w:val="Normal"/>
    <w:qFormat/>
    <w:rsid w:val="00891D73"/>
    <w:rPr>
      <w:b/>
      <w:bCs/>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uiPriority w:val="39"/>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paragraph" w:customStyle="1" w:styleId="Estndar">
    <w:name w:val="Estándar"/>
    <w:rsid w:val="00882BEB"/>
    <w:pPr>
      <w:snapToGrid w:val="0"/>
    </w:pPr>
    <w:rPr>
      <w:rFonts w:ascii="CG Omega" w:hAnsi="CG Omega"/>
      <w:color w:val="000000"/>
      <w:sz w:val="22"/>
    </w:rPr>
  </w:style>
  <w:style w:type="paragraph" w:customStyle="1" w:styleId="tabla10">
    <w:name w:val="tabla10"/>
    <w:rsid w:val="00882BEB"/>
    <w:pPr>
      <w:tabs>
        <w:tab w:val="left" w:pos="567"/>
        <w:tab w:val="left" w:pos="1134"/>
      </w:tabs>
      <w:snapToGrid w:val="0"/>
    </w:pPr>
    <w:rPr>
      <w:rFonts w:ascii="CG Times" w:hAnsi="CG Times"/>
      <w:color w:val="000000"/>
    </w:rPr>
  </w:style>
  <w:style w:type="paragraph" w:styleId="NormalWeb">
    <w:name w:val="Normal (Web)"/>
    <w:basedOn w:val="Normal"/>
    <w:uiPriority w:val="99"/>
    <w:rsid w:val="00882BEB"/>
    <w:pPr>
      <w:spacing w:before="100" w:beforeAutospacing="1" w:after="100" w:afterAutospacing="1"/>
      <w:ind w:firstLine="0"/>
    </w:pPr>
    <w:rPr>
      <w:rFonts w:ascii="Verdana" w:hAnsi="Verdana"/>
      <w:sz w:val="13"/>
      <w:szCs w:val="13"/>
      <w:lang w:val="es-ES" w:eastAsia="es-ES"/>
    </w:rPr>
  </w:style>
  <w:style w:type="paragraph" w:styleId="Textocomentario">
    <w:name w:val="annotation text"/>
    <w:basedOn w:val="Normal"/>
    <w:link w:val="TextocomentarioCar"/>
    <w:semiHidden/>
    <w:rsid w:val="00882BEB"/>
  </w:style>
  <w:style w:type="character" w:customStyle="1" w:styleId="TextocomentarioCar">
    <w:name w:val="Texto comentario Car"/>
    <w:link w:val="Textocomentario"/>
    <w:semiHidden/>
    <w:rsid w:val="00882BEB"/>
    <w:rPr>
      <w:lang w:val="es-ES_tradnl" w:eastAsia="en-US" w:bidi="ar-SA"/>
    </w:rPr>
  </w:style>
  <w:style w:type="paragraph" w:styleId="Asuntodelcomentario">
    <w:name w:val="annotation subject"/>
    <w:basedOn w:val="Textocomentario"/>
    <w:next w:val="Textocomentario"/>
    <w:semiHidden/>
    <w:rsid w:val="00882BEB"/>
    <w:rPr>
      <w:b/>
      <w:bCs/>
    </w:rPr>
  </w:style>
  <w:style w:type="paragraph" w:styleId="Mapadeldocumento">
    <w:name w:val="Document Map"/>
    <w:basedOn w:val="Normal"/>
    <w:semiHidden/>
    <w:rsid w:val="00882BEB"/>
    <w:pPr>
      <w:shd w:val="clear" w:color="auto" w:fill="000080"/>
    </w:pPr>
    <w:rPr>
      <w:rFonts w:ascii="Tahoma" w:hAnsi="Tahoma" w:cs="Tahoma"/>
    </w:rPr>
  </w:style>
  <w:style w:type="paragraph" w:styleId="Textonotapie">
    <w:name w:val="footnote text"/>
    <w:basedOn w:val="Normal"/>
    <w:link w:val="TextonotapieCar"/>
    <w:rsid w:val="00882BEB"/>
  </w:style>
  <w:style w:type="character" w:customStyle="1" w:styleId="TextonotapieCar">
    <w:name w:val="Texto nota pie Car"/>
    <w:link w:val="Textonotapie"/>
    <w:rsid w:val="00882BEB"/>
    <w:rPr>
      <w:lang w:val="es-ES_tradnl" w:eastAsia="en-US" w:bidi="ar-SA"/>
    </w:rPr>
  </w:style>
  <w:style w:type="character" w:styleId="Refdenotaalpie">
    <w:name w:val="footnote reference"/>
    <w:rsid w:val="00882BEB"/>
    <w:rPr>
      <w:vertAlign w:val="superscript"/>
    </w:rPr>
  </w:style>
  <w:style w:type="paragraph" w:styleId="Prrafodelista">
    <w:name w:val="List Paragraph"/>
    <w:basedOn w:val="Normal"/>
    <w:uiPriority w:val="34"/>
    <w:qFormat/>
    <w:rsid w:val="002E399F"/>
    <w:pPr>
      <w:ind w:left="720"/>
      <w:contextualSpacing/>
    </w:pPr>
  </w:style>
  <w:style w:type="character" w:customStyle="1" w:styleId="PiedepginaCar">
    <w:name w:val="Pie de página Car"/>
    <w:basedOn w:val="Fuentedeprrafopredeter"/>
    <w:link w:val="Piedepgina"/>
    <w:uiPriority w:val="99"/>
    <w:rsid w:val="00667D3D"/>
    <w:rPr>
      <w:spacing w:val="6"/>
      <w:lang w:val="es-ES_tradnl" w:eastAsia="en-US"/>
    </w:rPr>
  </w:style>
  <w:style w:type="character" w:customStyle="1" w:styleId="atitulo1Car">
    <w:name w:val="atitulo1 Car"/>
    <w:link w:val="atitulo1"/>
    <w:rsid w:val="0066012B"/>
    <w:rPr>
      <w:rFonts w:ascii="Arial" w:hAnsi="Arial"/>
      <w:b/>
      <w:color w:val="000000"/>
      <w:kern w:val="28"/>
      <w:sz w:val="25"/>
      <w:szCs w:val="26"/>
      <w:lang w:val="es-ES_tradnl" w:eastAsia="en-US"/>
    </w:rPr>
  </w:style>
  <w:style w:type="paragraph" w:customStyle="1" w:styleId="Default">
    <w:name w:val="Default"/>
    <w:rsid w:val="006C2717"/>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uiPriority w:val="99"/>
    <w:rsid w:val="006C2717"/>
    <w:rPr>
      <w:color w:val="auto"/>
    </w:rPr>
  </w:style>
  <w:style w:type="paragraph" w:styleId="Textoindependiente">
    <w:name w:val="Body Text"/>
    <w:basedOn w:val="Normal"/>
    <w:link w:val="TextoindependienteCar"/>
    <w:rsid w:val="00794AA5"/>
    <w:pPr>
      <w:spacing w:after="120"/>
      <w:ind w:firstLine="709"/>
    </w:pPr>
    <w:rPr>
      <w:rFonts w:ascii="Arial" w:hAnsi="Arial"/>
      <w:sz w:val="24"/>
      <w:lang w:eastAsia="es-ES"/>
    </w:rPr>
  </w:style>
  <w:style w:type="character" w:customStyle="1" w:styleId="TextoindependienteCar">
    <w:name w:val="Texto independiente Car"/>
    <w:basedOn w:val="Fuentedeprrafopredeter"/>
    <w:link w:val="Textoindependiente"/>
    <w:rsid w:val="00794AA5"/>
    <w:rPr>
      <w:rFonts w:ascii="Arial" w:hAnsi="Arial"/>
      <w:sz w:val="24"/>
      <w:lang w:val="es-ES_tradnl"/>
    </w:rPr>
  </w:style>
  <w:style w:type="paragraph" w:customStyle="1" w:styleId="Pa7">
    <w:name w:val="Pa7"/>
    <w:basedOn w:val="Default"/>
    <w:next w:val="Default"/>
    <w:uiPriority w:val="99"/>
    <w:rsid w:val="00B82623"/>
    <w:pPr>
      <w:spacing w:line="201" w:lineRule="atLeast"/>
    </w:pPr>
    <w:rPr>
      <w:color w:val="auto"/>
    </w:rPr>
  </w:style>
  <w:style w:type="character" w:customStyle="1" w:styleId="corchete-llamada1">
    <w:name w:val="corchete-llamada1"/>
    <w:basedOn w:val="Fuentedeprrafopredeter"/>
    <w:rsid w:val="00974DD3"/>
    <w:rPr>
      <w:vanish/>
      <w:webHidden w:val="0"/>
      <w:specVanish w:val="0"/>
    </w:rPr>
  </w:style>
  <w:style w:type="paragraph" w:customStyle="1" w:styleId="xl1">
    <w:name w:val="xl1"/>
    <w:basedOn w:val="Normal"/>
    <w:rsid w:val="00870FA1"/>
    <w:pPr>
      <w:spacing w:after="240"/>
      <w:ind w:left="300" w:right="75" w:hanging="225"/>
    </w:pPr>
    <w:rPr>
      <w:sz w:val="24"/>
      <w:szCs w:val="24"/>
      <w:lang w:val="es-ES" w:eastAsia="es-ES"/>
    </w:rPr>
  </w:style>
  <w:style w:type="paragraph" w:customStyle="1" w:styleId="xl2">
    <w:name w:val="xl2"/>
    <w:basedOn w:val="Normal"/>
    <w:rsid w:val="00E2009D"/>
    <w:pPr>
      <w:spacing w:after="240"/>
      <w:ind w:left="525" w:right="75" w:hanging="225"/>
    </w:pPr>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5062EE"/>
    <w:pPr>
      <w:spacing w:after="140"/>
      <w:ind w:firstLine="567"/>
      <w:jc w:val="both"/>
    </w:pPr>
    <w:rPr>
      <w:lang w:val="es-ES_tradnl"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character" w:customStyle="1" w:styleId="textoCar">
    <w:name w:val="texto Car"/>
    <w:link w:val="texto"/>
    <w:rsid w:val="001D4F09"/>
    <w:rPr>
      <w:spacing w:val="6"/>
      <w:sz w:val="26"/>
      <w:szCs w:val="24"/>
      <w:lang w:val="es-ES_tradnl" w:eastAsia="en-US" w:bidi="ar-SA"/>
    </w:rPr>
  </w:style>
  <w:style w:type="paragraph" w:customStyle="1" w:styleId="recomen">
    <w:name w:val="recomen"/>
    <w:basedOn w:val="texto"/>
    <w:rsid w:val="001D4F09"/>
    <w:pPr>
      <w:numPr>
        <w:numId w:val="2"/>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character" w:customStyle="1" w:styleId="atitulo2Car">
    <w:name w:val="atitulo2 Car"/>
    <w:link w:val="atitulo2"/>
    <w:rsid w:val="00882BEB"/>
    <w:rPr>
      <w:rFonts w:ascii="Arial" w:hAnsi="Arial"/>
      <w:bCs/>
      <w:iCs/>
      <w:color w:val="000000"/>
      <w:spacing w:val="10"/>
      <w:kern w:val="28"/>
      <w:sz w:val="25"/>
      <w:szCs w:val="26"/>
      <w:lang w:val="es-ES_tradnl" w:eastAsia="en-US" w:bidi="ar-SA"/>
    </w:rPr>
  </w:style>
  <w:style w:type="paragraph" w:customStyle="1" w:styleId="atitulo3">
    <w:name w:val="atitulo3"/>
    <w:basedOn w:val="atitulo2"/>
    <w:qFormat/>
    <w:rsid w:val="004B2F01"/>
    <w:rPr>
      <w:bCs w:val="0"/>
      <w:i/>
    </w:rPr>
  </w:style>
  <w:style w:type="paragraph" w:styleId="TDC1">
    <w:name w:val="toc 1"/>
    <w:basedOn w:val="Normal"/>
    <w:next w:val="Normal"/>
    <w:autoRedefine/>
    <w:uiPriority w:val="39"/>
    <w:rsid w:val="00B96E4C"/>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B96E4C"/>
    <w:pPr>
      <w:tabs>
        <w:tab w:val="right" w:leader="dot" w:pos="8930"/>
      </w:tabs>
      <w:spacing w:after="0"/>
      <w:ind w:left="378" w:firstLine="0"/>
      <w:jc w:val="left"/>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Epgrafe">
    <w:name w:val="caption"/>
    <w:basedOn w:val="Normal"/>
    <w:next w:val="Normal"/>
    <w:qFormat/>
    <w:rsid w:val="00891D73"/>
    <w:rPr>
      <w:b/>
      <w:bCs/>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uiPriority w:val="39"/>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paragraph" w:customStyle="1" w:styleId="Estndar">
    <w:name w:val="Estándar"/>
    <w:rsid w:val="00882BEB"/>
    <w:pPr>
      <w:snapToGrid w:val="0"/>
    </w:pPr>
    <w:rPr>
      <w:rFonts w:ascii="CG Omega" w:hAnsi="CG Omega"/>
      <w:color w:val="000000"/>
      <w:sz w:val="22"/>
    </w:rPr>
  </w:style>
  <w:style w:type="paragraph" w:customStyle="1" w:styleId="tabla10">
    <w:name w:val="tabla10"/>
    <w:rsid w:val="00882BEB"/>
    <w:pPr>
      <w:tabs>
        <w:tab w:val="left" w:pos="567"/>
        <w:tab w:val="left" w:pos="1134"/>
      </w:tabs>
      <w:snapToGrid w:val="0"/>
    </w:pPr>
    <w:rPr>
      <w:rFonts w:ascii="CG Times" w:hAnsi="CG Times"/>
      <w:color w:val="000000"/>
    </w:rPr>
  </w:style>
  <w:style w:type="paragraph" w:styleId="NormalWeb">
    <w:name w:val="Normal (Web)"/>
    <w:basedOn w:val="Normal"/>
    <w:uiPriority w:val="99"/>
    <w:rsid w:val="00882BEB"/>
    <w:pPr>
      <w:spacing w:before="100" w:beforeAutospacing="1" w:after="100" w:afterAutospacing="1"/>
      <w:ind w:firstLine="0"/>
    </w:pPr>
    <w:rPr>
      <w:rFonts w:ascii="Verdana" w:hAnsi="Verdana"/>
      <w:sz w:val="13"/>
      <w:szCs w:val="13"/>
      <w:lang w:val="es-ES" w:eastAsia="es-ES"/>
    </w:rPr>
  </w:style>
  <w:style w:type="paragraph" w:styleId="Textocomentario">
    <w:name w:val="annotation text"/>
    <w:basedOn w:val="Normal"/>
    <w:link w:val="TextocomentarioCar"/>
    <w:semiHidden/>
    <w:rsid w:val="00882BEB"/>
  </w:style>
  <w:style w:type="character" w:customStyle="1" w:styleId="TextocomentarioCar">
    <w:name w:val="Texto comentario Car"/>
    <w:link w:val="Textocomentario"/>
    <w:semiHidden/>
    <w:rsid w:val="00882BEB"/>
    <w:rPr>
      <w:lang w:val="es-ES_tradnl" w:eastAsia="en-US" w:bidi="ar-SA"/>
    </w:rPr>
  </w:style>
  <w:style w:type="paragraph" w:styleId="Asuntodelcomentario">
    <w:name w:val="annotation subject"/>
    <w:basedOn w:val="Textocomentario"/>
    <w:next w:val="Textocomentario"/>
    <w:semiHidden/>
    <w:rsid w:val="00882BEB"/>
    <w:rPr>
      <w:b/>
      <w:bCs/>
    </w:rPr>
  </w:style>
  <w:style w:type="paragraph" w:styleId="Mapadeldocumento">
    <w:name w:val="Document Map"/>
    <w:basedOn w:val="Normal"/>
    <w:semiHidden/>
    <w:rsid w:val="00882BEB"/>
    <w:pPr>
      <w:shd w:val="clear" w:color="auto" w:fill="000080"/>
    </w:pPr>
    <w:rPr>
      <w:rFonts w:ascii="Tahoma" w:hAnsi="Tahoma" w:cs="Tahoma"/>
    </w:rPr>
  </w:style>
  <w:style w:type="paragraph" w:styleId="Textonotapie">
    <w:name w:val="footnote text"/>
    <w:basedOn w:val="Normal"/>
    <w:link w:val="TextonotapieCar"/>
    <w:rsid w:val="00882BEB"/>
  </w:style>
  <w:style w:type="character" w:customStyle="1" w:styleId="TextonotapieCar">
    <w:name w:val="Texto nota pie Car"/>
    <w:link w:val="Textonotapie"/>
    <w:rsid w:val="00882BEB"/>
    <w:rPr>
      <w:lang w:val="es-ES_tradnl" w:eastAsia="en-US" w:bidi="ar-SA"/>
    </w:rPr>
  </w:style>
  <w:style w:type="character" w:styleId="Refdenotaalpie">
    <w:name w:val="footnote reference"/>
    <w:rsid w:val="00882BEB"/>
    <w:rPr>
      <w:vertAlign w:val="superscript"/>
    </w:rPr>
  </w:style>
  <w:style w:type="paragraph" w:styleId="Prrafodelista">
    <w:name w:val="List Paragraph"/>
    <w:basedOn w:val="Normal"/>
    <w:uiPriority w:val="34"/>
    <w:qFormat/>
    <w:rsid w:val="002E399F"/>
    <w:pPr>
      <w:ind w:left="720"/>
      <w:contextualSpacing/>
    </w:pPr>
  </w:style>
  <w:style w:type="character" w:customStyle="1" w:styleId="PiedepginaCar">
    <w:name w:val="Pie de página Car"/>
    <w:basedOn w:val="Fuentedeprrafopredeter"/>
    <w:link w:val="Piedepgina"/>
    <w:uiPriority w:val="99"/>
    <w:rsid w:val="00667D3D"/>
    <w:rPr>
      <w:spacing w:val="6"/>
      <w:lang w:val="es-ES_tradnl" w:eastAsia="en-US"/>
    </w:rPr>
  </w:style>
  <w:style w:type="character" w:customStyle="1" w:styleId="atitulo1Car">
    <w:name w:val="atitulo1 Car"/>
    <w:link w:val="atitulo1"/>
    <w:rsid w:val="0066012B"/>
    <w:rPr>
      <w:rFonts w:ascii="Arial" w:hAnsi="Arial"/>
      <w:b/>
      <w:color w:val="000000"/>
      <w:kern w:val="28"/>
      <w:sz w:val="25"/>
      <w:szCs w:val="26"/>
      <w:lang w:val="es-ES_tradnl" w:eastAsia="en-US"/>
    </w:rPr>
  </w:style>
  <w:style w:type="paragraph" w:customStyle="1" w:styleId="Default">
    <w:name w:val="Default"/>
    <w:rsid w:val="006C2717"/>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uiPriority w:val="99"/>
    <w:rsid w:val="006C2717"/>
    <w:rPr>
      <w:color w:val="auto"/>
    </w:rPr>
  </w:style>
  <w:style w:type="paragraph" w:styleId="Textoindependiente">
    <w:name w:val="Body Text"/>
    <w:basedOn w:val="Normal"/>
    <w:link w:val="TextoindependienteCar"/>
    <w:rsid w:val="00794AA5"/>
    <w:pPr>
      <w:spacing w:after="120"/>
      <w:ind w:firstLine="709"/>
    </w:pPr>
    <w:rPr>
      <w:rFonts w:ascii="Arial" w:hAnsi="Arial"/>
      <w:sz w:val="24"/>
      <w:lang w:eastAsia="es-ES"/>
    </w:rPr>
  </w:style>
  <w:style w:type="character" w:customStyle="1" w:styleId="TextoindependienteCar">
    <w:name w:val="Texto independiente Car"/>
    <w:basedOn w:val="Fuentedeprrafopredeter"/>
    <w:link w:val="Textoindependiente"/>
    <w:rsid w:val="00794AA5"/>
    <w:rPr>
      <w:rFonts w:ascii="Arial" w:hAnsi="Arial"/>
      <w:sz w:val="24"/>
      <w:lang w:val="es-ES_tradnl"/>
    </w:rPr>
  </w:style>
  <w:style w:type="paragraph" w:customStyle="1" w:styleId="Pa7">
    <w:name w:val="Pa7"/>
    <w:basedOn w:val="Default"/>
    <w:next w:val="Default"/>
    <w:uiPriority w:val="99"/>
    <w:rsid w:val="00B82623"/>
    <w:pPr>
      <w:spacing w:line="201" w:lineRule="atLeast"/>
    </w:pPr>
    <w:rPr>
      <w:color w:val="auto"/>
    </w:rPr>
  </w:style>
  <w:style w:type="character" w:customStyle="1" w:styleId="corchete-llamada1">
    <w:name w:val="corchete-llamada1"/>
    <w:basedOn w:val="Fuentedeprrafopredeter"/>
    <w:rsid w:val="00974DD3"/>
    <w:rPr>
      <w:vanish/>
      <w:webHidden w:val="0"/>
      <w:specVanish w:val="0"/>
    </w:rPr>
  </w:style>
  <w:style w:type="paragraph" w:customStyle="1" w:styleId="xl1">
    <w:name w:val="xl1"/>
    <w:basedOn w:val="Normal"/>
    <w:rsid w:val="00870FA1"/>
    <w:pPr>
      <w:spacing w:after="240"/>
      <w:ind w:left="300" w:right="75" w:hanging="225"/>
    </w:pPr>
    <w:rPr>
      <w:sz w:val="24"/>
      <w:szCs w:val="24"/>
      <w:lang w:val="es-ES" w:eastAsia="es-ES"/>
    </w:rPr>
  </w:style>
  <w:style w:type="paragraph" w:customStyle="1" w:styleId="xl2">
    <w:name w:val="xl2"/>
    <w:basedOn w:val="Normal"/>
    <w:rsid w:val="00E2009D"/>
    <w:pPr>
      <w:spacing w:after="240"/>
      <w:ind w:left="525" w:right="75" w:hanging="225"/>
    </w:pPr>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6017">
      <w:bodyDiv w:val="1"/>
      <w:marLeft w:val="0"/>
      <w:marRight w:val="0"/>
      <w:marTop w:val="0"/>
      <w:marBottom w:val="0"/>
      <w:divBdr>
        <w:top w:val="none" w:sz="0" w:space="0" w:color="auto"/>
        <w:left w:val="none" w:sz="0" w:space="0" w:color="auto"/>
        <w:bottom w:val="none" w:sz="0" w:space="0" w:color="auto"/>
        <w:right w:val="none" w:sz="0" w:space="0" w:color="auto"/>
      </w:divBdr>
    </w:div>
    <w:div w:id="17124647">
      <w:bodyDiv w:val="1"/>
      <w:marLeft w:val="0"/>
      <w:marRight w:val="0"/>
      <w:marTop w:val="0"/>
      <w:marBottom w:val="0"/>
      <w:divBdr>
        <w:top w:val="none" w:sz="0" w:space="0" w:color="auto"/>
        <w:left w:val="none" w:sz="0" w:space="0" w:color="auto"/>
        <w:bottom w:val="none" w:sz="0" w:space="0" w:color="auto"/>
        <w:right w:val="none" w:sz="0" w:space="0" w:color="auto"/>
      </w:divBdr>
    </w:div>
    <w:div w:id="50621157">
      <w:bodyDiv w:val="1"/>
      <w:marLeft w:val="0"/>
      <w:marRight w:val="0"/>
      <w:marTop w:val="0"/>
      <w:marBottom w:val="0"/>
      <w:divBdr>
        <w:top w:val="none" w:sz="0" w:space="0" w:color="auto"/>
        <w:left w:val="none" w:sz="0" w:space="0" w:color="auto"/>
        <w:bottom w:val="none" w:sz="0" w:space="0" w:color="auto"/>
        <w:right w:val="none" w:sz="0" w:space="0" w:color="auto"/>
      </w:divBdr>
    </w:div>
    <w:div w:id="56435535">
      <w:bodyDiv w:val="1"/>
      <w:marLeft w:val="0"/>
      <w:marRight w:val="0"/>
      <w:marTop w:val="0"/>
      <w:marBottom w:val="0"/>
      <w:divBdr>
        <w:top w:val="none" w:sz="0" w:space="0" w:color="auto"/>
        <w:left w:val="none" w:sz="0" w:space="0" w:color="auto"/>
        <w:bottom w:val="none" w:sz="0" w:space="0" w:color="auto"/>
        <w:right w:val="none" w:sz="0" w:space="0" w:color="auto"/>
      </w:divBdr>
    </w:div>
    <w:div w:id="78065607">
      <w:bodyDiv w:val="1"/>
      <w:marLeft w:val="0"/>
      <w:marRight w:val="0"/>
      <w:marTop w:val="0"/>
      <w:marBottom w:val="0"/>
      <w:divBdr>
        <w:top w:val="none" w:sz="0" w:space="0" w:color="auto"/>
        <w:left w:val="none" w:sz="0" w:space="0" w:color="auto"/>
        <w:bottom w:val="none" w:sz="0" w:space="0" w:color="auto"/>
        <w:right w:val="none" w:sz="0" w:space="0" w:color="auto"/>
      </w:divBdr>
    </w:div>
    <w:div w:id="81533763">
      <w:bodyDiv w:val="1"/>
      <w:marLeft w:val="0"/>
      <w:marRight w:val="0"/>
      <w:marTop w:val="0"/>
      <w:marBottom w:val="0"/>
      <w:divBdr>
        <w:top w:val="none" w:sz="0" w:space="0" w:color="auto"/>
        <w:left w:val="none" w:sz="0" w:space="0" w:color="auto"/>
        <w:bottom w:val="none" w:sz="0" w:space="0" w:color="auto"/>
        <w:right w:val="none" w:sz="0" w:space="0" w:color="auto"/>
      </w:divBdr>
    </w:div>
    <w:div w:id="108664643">
      <w:bodyDiv w:val="1"/>
      <w:marLeft w:val="0"/>
      <w:marRight w:val="0"/>
      <w:marTop w:val="0"/>
      <w:marBottom w:val="0"/>
      <w:divBdr>
        <w:top w:val="none" w:sz="0" w:space="0" w:color="auto"/>
        <w:left w:val="none" w:sz="0" w:space="0" w:color="auto"/>
        <w:bottom w:val="none" w:sz="0" w:space="0" w:color="auto"/>
        <w:right w:val="none" w:sz="0" w:space="0" w:color="auto"/>
      </w:divBdr>
      <w:divsChild>
        <w:div w:id="1847210755">
          <w:marLeft w:val="0"/>
          <w:marRight w:val="0"/>
          <w:marTop w:val="0"/>
          <w:marBottom w:val="240"/>
          <w:divBdr>
            <w:top w:val="none" w:sz="0" w:space="0" w:color="auto"/>
            <w:left w:val="none" w:sz="0" w:space="0" w:color="auto"/>
            <w:bottom w:val="none" w:sz="0" w:space="0" w:color="auto"/>
            <w:right w:val="none" w:sz="0" w:space="0" w:color="auto"/>
          </w:divBdr>
        </w:div>
      </w:divsChild>
    </w:div>
    <w:div w:id="110515822">
      <w:bodyDiv w:val="1"/>
      <w:marLeft w:val="0"/>
      <w:marRight w:val="0"/>
      <w:marTop w:val="0"/>
      <w:marBottom w:val="0"/>
      <w:divBdr>
        <w:top w:val="none" w:sz="0" w:space="0" w:color="auto"/>
        <w:left w:val="none" w:sz="0" w:space="0" w:color="auto"/>
        <w:bottom w:val="none" w:sz="0" w:space="0" w:color="auto"/>
        <w:right w:val="none" w:sz="0" w:space="0" w:color="auto"/>
      </w:divBdr>
    </w:div>
    <w:div w:id="119568630">
      <w:bodyDiv w:val="1"/>
      <w:marLeft w:val="0"/>
      <w:marRight w:val="0"/>
      <w:marTop w:val="0"/>
      <w:marBottom w:val="0"/>
      <w:divBdr>
        <w:top w:val="none" w:sz="0" w:space="0" w:color="auto"/>
        <w:left w:val="none" w:sz="0" w:space="0" w:color="auto"/>
        <w:bottom w:val="none" w:sz="0" w:space="0" w:color="auto"/>
        <w:right w:val="none" w:sz="0" w:space="0" w:color="auto"/>
      </w:divBdr>
    </w:div>
    <w:div w:id="180320233">
      <w:bodyDiv w:val="1"/>
      <w:marLeft w:val="0"/>
      <w:marRight w:val="0"/>
      <w:marTop w:val="0"/>
      <w:marBottom w:val="0"/>
      <w:divBdr>
        <w:top w:val="none" w:sz="0" w:space="0" w:color="auto"/>
        <w:left w:val="none" w:sz="0" w:space="0" w:color="auto"/>
        <w:bottom w:val="none" w:sz="0" w:space="0" w:color="auto"/>
        <w:right w:val="none" w:sz="0" w:space="0" w:color="auto"/>
      </w:divBdr>
    </w:div>
    <w:div w:id="190606820">
      <w:bodyDiv w:val="1"/>
      <w:marLeft w:val="0"/>
      <w:marRight w:val="0"/>
      <w:marTop w:val="0"/>
      <w:marBottom w:val="0"/>
      <w:divBdr>
        <w:top w:val="none" w:sz="0" w:space="0" w:color="auto"/>
        <w:left w:val="none" w:sz="0" w:space="0" w:color="auto"/>
        <w:bottom w:val="none" w:sz="0" w:space="0" w:color="auto"/>
        <w:right w:val="none" w:sz="0" w:space="0" w:color="auto"/>
      </w:divBdr>
    </w:div>
    <w:div w:id="192813352">
      <w:bodyDiv w:val="1"/>
      <w:marLeft w:val="0"/>
      <w:marRight w:val="0"/>
      <w:marTop w:val="0"/>
      <w:marBottom w:val="0"/>
      <w:divBdr>
        <w:top w:val="none" w:sz="0" w:space="0" w:color="auto"/>
        <w:left w:val="none" w:sz="0" w:space="0" w:color="auto"/>
        <w:bottom w:val="none" w:sz="0" w:space="0" w:color="auto"/>
        <w:right w:val="none" w:sz="0" w:space="0" w:color="auto"/>
      </w:divBdr>
    </w:div>
    <w:div w:id="223882043">
      <w:bodyDiv w:val="1"/>
      <w:marLeft w:val="0"/>
      <w:marRight w:val="0"/>
      <w:marTop w:val="0"/>
      <w:marBottom w:val="0"/>
      <w:divBdr>
        <w:top w:val="none" w:sz="0" w:space="0" w:color="auto"/>
        <w:left w:val="none" w:sz="0" w:space="0" w:color="auto"/>
        <w:bottom w:val="none" w:sz="0" w:space="0" w:color="auto"/>
        <w:right w:val="none" w:sz="0" w:space="0" w:color="auto"/>
      </w:divBdr>
    </w:div>
    <w:div w:id="254870220">
      <w:bodyDiv w:val="1"/>
      <w:marLeft w:val="0"/>
      <w:marRight w:val="0"/>
      <w:marTop w:val="0"/>
      <w:marBottom w:val="0"/>
      <w:divBdr>
        <w:top w:val="none" w:sz="0" w:space="0" w:color="auto"/>
        <w:left w:val="none" w:sz="0" w:space="0" w:color="auto"/>
        <w:bottom w:val="none" w:sz="0" w:space="0" w:color="auto"/>
        <w:right w:val="none" w:sz="0" w:space="0" w:color="auto"/>
      </w:divBdr>
    </w:div>
    <w:div w:id="260843207">
      <w:bodyDiv w:val="1"/>
      <w:marLeft w:val="0"/>
      <w:marRight w:val="0"/>
      <w:marTop w:val="0"/>
      <w:marBottom w:val="0"/>
      <w:divBdr>
        <w:top w:val="none" w:sz="0" w:space="0" w:color="auto"/>
        <w:left w:val="none" w:sz="0" w:space="0" w:color="auto"/>
        <w:bottom w:val="none" w:sz="0" w:space="0" w:color="auto"/>
        <w:right w:val="none" w:sz="0" w:space="0" w:color="auto"/>
      </w:divBdr>
    </w:div>
    <w:div w:id="265818071">
      <w:bodyDiv w:val="1"/>
      <w:marLeft w:val="0"/>
      <w:marRight w:val="0"/>
      <w:marTop w:val="0"/>
      <w:marBottom w:val="0"/>
      <w:divBdr>
        <w:top w:val="none" w:sz="0" w:space="0" w:color="auto"/>
        <w:left w:val="none" w:sz="0" w:space="0" w:color="auto"/>
        <w:bottom w:val="none" w:sz="0" w:space="0" w:color="auto"/>
        <w:right w:val="none" w:sz="0" w:space="0" w:color="auto"/>
      </w:divBdr>
    </w:div>
    <w:div w:id="266624709">
      <w:bodyDiv w:val="1"/>
      <w:marLeft w:val="0"/>
      <w:marRight w:val="0"/>
      <w:marTop w:val="0"/>
      <w:marBottom w:val="0"/>
      <w:divBdr>
        <w:top w:val="none" w:sz="0" w:space="0" w:color="auto"/>
        <w:left w:val="none" w:sz="0" w:space="0" w:color="auto"/>
        <w:bottom w:val="none" w:sz="0" w:space="0" w:color="auto"/>
        <w:right w:val="none" w:sz="0" w:space="0" w:color="auto"/>
      </w:divBdr>
    </w:div>
    <w:div w:id="275329168">
      <w:bodyDiv w:val="1"/>
      <w:marLeft w:val="0"/>
      <w:marRight w:val="0"/>
      <w:marTop w:val="0"/>
      <w:marBottom w:val="0"/>
      <w:divBdr>
        <w:top w:val="none" w:sz="0" w:space="0" w:color="auto"/>
        <w:left w:val="none" w:sz="0" w:space="0" w:color="auto"/>
        <w:bottom w:val="none" w:sz="0" w:space="0" w:color="auto"/>
        <w:right w:val="none" w:sz="0" w:space="0" w:color="auto"/>
      </w:divBdr>
    </w:div>
    <w:div w:id="297079566">
      <w:bodyDiv w:val="1"/>
      <w:marLeft w:val="0"/>
      <w:marRight w:val="0"/>
      <w:marTop w:val="0"/>
      <w:marBottom w:val="0"/>
      <w:divBdr>
        <w:top w:val="none" w:sz="0" w:space="0" w:color="auto"/>
        <w:left w:val="none" w:sz="0" w:space="0" w:color="auto"/>
        <w:bottom w:val="none" w:sz="0" w:space="0" w:color="auto"/>
        <w:right w:val="none" w:sz="0" w:space="0" w:color="auto"/>
      </w:divBdr>
    </w:div>
    <w:div w:id="303199653">
      <w:bodyDiv w:val="1"/>
      <w:marLeft w:val="0"/>
      <w:marRight w:val="0"/>
      <w:marTop w:val="0"/>
      <w:marBottom w:val="0"/>
      <w:divBdr>
        <w:top w:val="none" w:sz="0" w:space="0" w:color="auto"/>
        <w:left w:val="none" w:sz="0" w:space="0" w:color="auto"/>
        <w:bottom w:val="none" w:sz="0" w:space="0" w:color="auto"/>
        <w:right w:val="none" w:sz="0" w:space="0" w:color="auto"/>
      </w:divBdr>
    </w:div>
    <w:div w:id="311642180">
      <w:bodyDiv w:val="1"/>
      <w:marLeft w:val="0"/>
      <w:marRight w:val="0"/>
      <w:marTop w:val="0"/>
      <w:marBottom w:val="0"/>
      <w:divBdr>
        <w:top w:val="none" w:sz="0" w:space="0" w:color="auto"/>
        <w:left w:val="none" w:sz="0" w:space="0" w:color="auto"/>
        <w:bottom w:val="none" w:sz="0" w:space="0" w:color="auto"/>
        <w:right w:val="none" w:sz="0" w:space="0" w:color="auto"/>
      </w:divBdr>
    </w:div>
    <w:div w:id="312758666">
      <w:bodyDiv w:val="1"/>
      <w:marLeft w:val="0"/>
      <w:marRight w:val="0"/>
      <w:marTop w:val="0"/>
      <w:marBottom w:val="0"/>
      <w:divBdr>
        <w:top w:val="none" w:sz="0" w:space="0" w:color="auto"/>
        <w:left w:val="none" w:sz="0" w:space="0" w:color="auto"/>
        <w:bottom w:val="none" w:sz="0" w:space="0" w:color="auto"/>
        <w:right w:val="none" w:sz="0" w:space="0" w:color="auto"/>
      </w:divBdr>
    </w:div>
    <w:div w:id="319309051">
      <w:bodyDiv w:val="1"/>
      <w:marLeft w:val="0"/>
      <w:marRight w:val="0"/>
      <w:marTop w:val="0"/>
      <w:marBottom w:val="0"/>
      <w:divBdr>
        <w:top w:val="none" w:sz="0" w:space="0" w:color="auto"/>
        <w:left w:val="none" w:sz="0" w:space="0" w:color="auto"/>
        <w:bottom w:val="none" w:sz="0" w:space="0" w:color="auto"/>
        <w:right w:val="none" w:sz="0" w:space="0" w:color="auto"/>
      </w:divBdr>
    </w:div>
    <w:div w:id="328951744">
      <w:bodyDiv w:val="1"/>
      <w:marLeft w:val="0"/>
      <w:marRight w:val="0"/>
      <w:marTop w:val="0"/>
      <w:marBottom w:val="0"/>
      <w:divBdr>
        <w:top w:val="none" w:sz="0" w:space="0" w:color="auto"/>
        <w:left w:val="none" w:sz="0" w:space="0" w:color="auto"/>
        <w:bottom w:val="none" w:sz="0" w:space="0" w:color="auto"/>
        <w:right w:val="none" w:sz="0" w:space="0" w:color="auto"/>
      </w:divBdr>
    </w:div>
    <w:div w:id="330915615">
      <w:bodyDiv w:val="1"/>
      <w:marLeft w:val="0"/>
      <w:marRight w:val="0"/>
      <w:marTop w:val="0"/>
      <w:marBottom w:val="0"/>
      <w:divBdr>
        <w:top w:val="none" w:sz="0" w:space="0" w:color="auto"/>
        <w:left w:val="none" w:sz="0" w:space="0" w:color="auto"/>
        <w:bottom w:val="none" w:sz="0" w:space="0" w:color="auto"/>
        <w:right w:val="none" w:sz="0" w:space="0" w:color="auto"/>
      </w:divBdr>
    </w:div>
    <w:div w:id="331299447">
      <w:bodyDiv w:val="1"/>
      <w:marLeft w:val="0"/>
      <w:marRight w:val="0"/>
      <w:marTop w:val="0"/>
      <w:marBottom w:val="0"/>
      <w:divBdr>
        <w:top w:val="none" w:sz="0" w:space="0" w:color="auto"/>
        <w:left w:val="none" w:sz="0" w:space="0" w:color="auto"/>
        <w:bottom w:val="none" w:sz="0" w:space="0" w:color="auto"/>
        <w:right w:val="none" w:sz="0" w:space="0" w:color="auto"/>
      </w:divBdr>
    </w:div>
    <w:div w:id="337344758">
      <w:bodyDiv w:val="1"/>
      <w:marLeft w:val="0"/>
      <w:marRight w:val="0"/>
      <w:marTop w:val="0"/>
      <w:marBottom w:val="0"/>
      <w:divBdr>
        <w:top w:val="none" w:sz="0" w:space="0" w:color="auto"/>
        <w:left w:val="none" w:sz="0" w:space="0" w:color="auto"/>
        <w:bottom w:val="none" w:sz="0" w:space="0" w:color="auto"/>
        <w:right w:val="none" w:sz="0" w:space="0" w:color="auto"/>
      </w:divBdr>
    </w:div>
    <w:div w:id="339890930">
      <w:bodyDiv w:val="1"/>
      <w:marLeft w:val="0"/>
      <w:marRight w:val="0"/>
      <w:marTop w:val="0"/>
      <w:marBottom w:val="0"/>
      <w:divBdr>
        <w:top w:val="none" w:sz="0" w:space="0" w:color="auto"/>
        <w:left w:val="none" w:sz="0" w:space="0" w:color="auto"/>
        <w:bottom w:val="none" w:sz="0" w:space="0" w:color="auto"/>
        <w:right w:val="none" w:sz="0" w:space="0" w:color="auto"/>
      </w:divBdr>
    </w:div>
    <w:div w:id="367683364">
      <w:bodyDiv w:val="1"/>
      <w:marLeft w:val="0"/>
      <w:marRight w:val="0"/>
      <w:marTop w:val="0"/>
      <w:marBottom w:val="0"/>
      <w:divBdr>
        <w:top w:val="none" w:sz="0" w:space="0" w:color="auto"/>
        <w:left w:val="none" w:sz="0" w:space="0" w:color="auto"/>
        <w:bottom w:val="none" w:sz="0" w:space="0" w:color="auto"/>
        <w:right w:val="none" w:sz="0" w:space="0" w:color="auto"/>
      </w:divBdr>
    </w:div>
    <w:div w:id="369380692">
      <w:bodyDiv w:val="1"/>
      <w:marLeft w:val="0"/>
      <w:marRight w:val="0"/>
      <w:marTop w:val="0"/>
      <w:marBottom w:val="0"/>
      <w:divBdr>
        <w:top w:val="none" w:sz="0" w:space="0" w:color="auto"/>
        <w:left w:val="none" w:sz="0" w:space="0" w:color="auto"/>
        <w:bottom w:val="none" w:sz="0" w:space="0" w:color="auto"/>
        <w:right w:val="none" w:sz="0" w:space="0" w:color="auto"/>
      </w:divBdr>
    </w:div>
    <w:div w:id="379716502">
      <w:bodyDiv w:val="1"/>
      <w:marLeft w:val="0"/>
      <w:marRight w:val="0"/>
      <w:marTop w:val="0"/>
      <w:marBottom w:val="0"/>
      <w:divBdr>
        <w:top w:val="none" w:sz="0" w:space="0" w:color="auto"/>
        <w:left w:val="none" w:sz="0" w:space="0" w:color="auto"/>
        <w:bottom w:val="none" w:sz="0" w:space="0" w:color="auto"/>
        <w:right w:val="none" w:sz="0" w:space="0" w:color="auto"/>
      </w:divBdr>
    </w:div>
    <w:div w:id="398598552">
      <w:bodyDiv w:val="1"/>
      <w:marLeft w:val="0"/>
      <w:marRight w:val="0"/>
      <w:marTop w:val="0"/>
      <w:marBottom w:val="0"/>
      <w:divBdr>
        <w:top w:val="none" w:sz="0" w:space="0" w:color="auto"/>
        <w:left w:val="none" w:sz="0" w:space="0" w:color="auto"/>
        <w:bottom w:val="none" w:sz="0" w:space="0" w:color="auto"/>
        <w:right w:val="none" w:sz="0" w:space="0" w:color="auto"/>
      </w:divBdr>
    </w:div>
    <w:div w:id="400713784">
      <w:bodyDiv w:val="1"/>
      <w:marLeft w:val="0"/>
      <w:marRight w:val="0"/>
      <w:marTop w:val="0"/>
      <w:marBottom w:val="0"/>
      <w:divBdr>
        <w:top w:val="none" w:sz="0" w:space="0" w:color="auto"/>
        <w:left w:val="none" w:sz="0" w:space="0" w:color="auto"/>
        <w:bottom w:val="none" w:sz="0" w:space="0" w:color="auto"/>
        <w:right w:val="none" w:sz="0" w:space="0" w:color="auto"/>
      </w:divBdr>
    </w:div>
    <w:div w:id="401223216">
      <w:bodyDiv w:val="1"/>
      <w:marLeft w:val="0"/>
      <w:marRight w:val="0"/>
      <w:marTop w:val="0"/>
      <w:marBottom w:val="0"/>
      <w:divBdr>
        <w:top w:val="none" w:sz="0" w:space="0" w:color="auto"/>
        <w:left w:val="none" w:sz="0" w:space="0" w:color="auto"/>
        <w:bottom w:val="none" w:sz="0" w:space="0" w:color="auto"/>
        <w:right w:val="none" w:sz="0" w:space="0" w:color="auto"/>
      </w:divBdr>
    </w:div>
    <w:div w:id="441387624">
      <w:bodyDiv w:val="1"/>
      <w:marLeft w:val="0"/>
      <w:marRight w:val="0"/>
      <w:marTop w:val="0"/>
      <w:marBottom w:val="0"/>
      <w:divBdr>
        <w:top w:val="none" w:sz="0" w:space="0" w:color="auto"/>
        <w:left w:val="none" w:sz="0" w:space="0" w:color="auto"/>
        <w:bottom w:val="none" w:sz="0" w:space="0" w:color="auto"/>
        <w:right w:val="none" w:sz="0" w:space="0" w:color="auto"/>
      </w:divBdr>
    </w:div>
    <w:div w:id="448815961">
      <w:bodyDiv w:val="1"/>
      <w:marLeft w:val="0"/>
      <w:marRight w:val="0"/>
      <w:marTop w:val="0"/>
      <w:marBottom w:val="0"/>
      <w:divBdr>
        <w:top w:val="none" w:sz="0" w:space="0" w:color="auto"/>
        <w:left w:val="none" w:sz="0" w:space="0" w:color="auto"/>
        <w:bottom w:val="none" w:sz="0" w:space="0" w:color="auto"/>
        <w:right w:val="none" w:sz="0" w:space="0" w:color="auto"/>
      </w:divBdr>
    </w:div>
    <w:div w:id="469052685">
      <w:bodyDiv w:val="1"/>
      <w:marLeft w:val="0"/>
      <w:marRight w:val="0"/>
      <w:marTop w:val="0"/>
      <w:marBottom w:val="0"/>
      <w:divBdr>
        <w:top w:val="none" w:sz="0" w:space="0" w:color="auto"/>
        <w:left w:val="none" w:sz="0" w:space="0" w:color="auto"/>
        <w:bottom w:val="none" w:sz="0" w:space="0" w:color="auto"/>
        <w:right w:val="none" w:sz="0" w:space="0" w:color="auto"/>
      </w:divBdr>
    </w:div>
    <w:div w:id="46990114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
    <w:div w:id="482620108">
      <w:bodyDiv w:val="1"/>
      <w:marLeft w:val="0"/>
      <w:marRight w:val="0"/>
      <w:marTop w:val="0"/>
      <w:marBottom w:val="0"/>
      <w:divBdr>
        <w:top w:val="none" w:sz="0" w:space="0" w:color="auto"/>
        <w:left w:val="none" w:sz="0" w:space="0" w:color="auto"/>
        <w:bottom w:val="none" w:sz="0" w:space="0" w:color="auto"/>
        <w:right w:val="none" w:sz="0" w:space="0" w:color="auto"/>
      </w:divBdr>
    </w:div>
    <w:div w:id="494566633">
      <w:bodyDiv w:val="1"/>
      <w:marLeft w:val="0"/>
      <w:marRight w:val="0"/>
      <w:marTop w:val="0"/>
      <w:marBottom w:val="0"/>
      <w:divBdr>
        <w:top w:val="none" w:sz="0" w:space="0" w:color="auto"/>
        <w:left w:val="none" w:sz="0" w:space="0" w:color="auto"/>
        <w:bottom w:val="none" w:sz="0" w:space="0" w:color="auto"/>
        <w:right w:val="none" w:sz="0" w:space="0" w:color="auto"/>
      </w:divBdr>
    </w:div>
    <w:div w:id="514461063">
      <w:bodyDiv w:val="1"/>
      <w:marLeft w:val="0"/>
      <w:marRight w:val="0"/>
      <w:marTop w:val="0"/>
      <w:marBottom w:val="0"/>
      <w:divBdr>
        <w:top w:val="none" w:sz="0" w:space="0" w:color="auto"/>
        <w:left w:val="none" w:sz="0" w:space="0" w:color="auto"/>
        <w:bottom w:val="none" w:sz="0" w:space="0" w:color="auto"/>
        <w:right w:val="none" w:sz="0" w:space="0" w:color="auto"/>
      </w:divBdr>
    </w:div>
    <w:div w:id="523982022">
      <w:bodyDiv w:val="1"/>
      <w:marLeft w:val="0"/>
      <w:marRight w:val="0"/>
      <w:marTop w:val="0"/>
      <w:marBottom w:val="0"/>
      <w:divBdr>
        <w:top w:val="none" w:sz="0" w:space="0" w:color="auto"/>
        <w:left w:val="none" w:sz="0" w:space="0" w:color="auto"/>
        <w:bottom w:val="none" w:sz="0" w:space="0" w:color="auto"/>
        <w:right w:val="none" w:sz="0" w:space="0" w:color="auto"/>
      </w:divBdr>
    </w:div>
    <w:div w:id="565191777">
      <w:bodyDiv w:val="1"/>
      <w:marLeft w:val="0"/>
      <w:marRight w:val="0"/>
      <w:marTop w:val="0"/>
      <w:marBottom w:val="0"/>
      <w:divBdr>
        <w:top w:val="none" w:sz="0" w:space="0" w:color="auto"/>
        <w:left w:val="none" w:sz="0" w:space="0" w:color="auto"/>
        <w:bottom w:val="none" w:sz="0" w:space="0" w:color="auto"/>
        <w:right w:val="none" w:sz="0" w:space="0" w:color="auto"/>
      </w:divBdr>
    </w:div>
    <w:div w:id="598370329">
      <w:bodyDiv w:val="1"/>
      <w:marLeft w:val="0"/>
      <w:marRight w:val="0"/>
      <w:marTop w:val="0"/>
      <w:marBottom w:val="0"/>
      <w:divBdr>
        <w:top w:val="none" w:sz="0" w:space="0" w:color="auto"/>
        <w:left w:val="none" w:sz="0" w:space="0" w:color="auto"/>
        <w:bottom w:val="none" w:sz="0" w:space="0" w:color="auto"/>
        <w:right w:val="none" w:sz="0" w:space="0" w:color="auto"/>
      </w:divBdr>
    </w:div>
    <w:div w:id="605815932">
      <w:bodyDiv w:val="1"/>
      <w:marLeft w:val="0"/>
      <w:marRight w:val="0"/>
      <w:marTop w:val="0"/>
      <w:marBottom w:val="0"/>
      <w:divBdr>
        <w:top w:val="none" w:sz="0" w:space="0" w:color="auto"/>
        <w:left w:val="none" w:sz="0" w:space="0" w:color="auto"/>
        <w:bottom w:val="none" w:sz="0" w:space="0" w:color="auto"/>
        <w:right w:val="none" w:sz="0" w:space="0" w:color="auto"/>
      </w:divBdr>
    </w:div>
    <w:div w:id="607934664">
      <w:bodyDiv w:val="1"/>
      <w:marLeft w:val="0"/>
      <w:marRight w:val="0"/>
      <w:marTop w:val="0"/>
      <w:marBottom w:val="0"/>
      <w:divBdr>
        <w:top w:val="none" w:sz="0" w:space="0" w:color="auto"/>
        <w:left w:val="none" w:sz="0" w:space="0" w:color="auto"/>
        <w:bottom w:val="none" w:sz="0" w:space="0" w:color="auto"/>
        <w:right w:val="none" w:sz="0" w:space="0" w:color="auto"/>
      </w:divBdr>
    </w:div>
    <w:div w:id="622616766">
      <w:bodyDiv w:val="1"/>
      <w:marLeft w:val="0"/>
      <w:marRight w:val="0"/>
      <w:marTop w:val="0"/>
      <w:marBottom w:val="0"/>
      <w:divBdr>
        <w:top w:val="none" w:sz="0" w:space="0" w:color="auto"/>
        <w:left w:val="none" w:sz="0" w:space="0" w:color="auto"/>
        <w:bottom w:val="none" w:sz="0" w:space="0" w:color="auto"/>
        <w:right w:val="none" w:sz="0" w:space="0" w:color="auto"/>
      </w:divBdr>
    </w:div>
    <w:div w:id="623345054">
      <w:bodyDiv w:val="1"/>
      <w:marLeft w:val="0"/>
      <w:marRight w:val="0"/>
      <w:marTop w:val="0"/>
      <w:marBottom w:val="0"/>
      <w:divBdr>
        <w:top w:val="none" w:sz="0" w:space="0" w:color="auto"/>
        <w:left w:val="none" w:sz="0" w:space="0" w:color="auto"/>
        <w:bottom w:val="none" w:sz="0" w:space="0" w:color="auto"/>
        <w:right w:val="none" w:sz="0" w:space="0" w:color="auto"/>
      </w:divBdr>
    </w:div>
    <w:div w:id="645204361">
      <w:bodyDiv w:val="1"/>
      <w:marLeft w:val="0"/>
      <w:marRight w:val="0"/>
      <w:marTop w:val="0"/>
      <w:marBottom w:val="0"/>
      <w:divBdr>
        <w:top w:val="none" w:sz="0" w:space="0" w:color="auto"/>
        <w:left w:val="none" w:sz="0" w:space="0" w:color="auto"/>
        <w:bottom w:val="none" w:sz="0" w:space="0" w:color="auto"/>
        <w:right w:val="none" w:sz="0" w:space="0" w:color="auto"/>
      </w:divBdr>
    </w:div>
    <w:div w:id="660890494">
      <w:bodyDiv w:val="1"/>
      <w:marLeft w:val="0"/>
      <w:marRight w:val="0"/>
      <w:marTop w:val="0"/>
      <w:marBottom w:val="0"/>
      <w:divBdr>
        <w:top w:val="none" w:sz="0" w:space="0" w:color="auto"/>
        <w:left w:val="none" w:sz="0" w:space="0" w:color="auto"/>
        <w:bottom w:val="none" w:sz="0" w:space="0" w:color="auto"/>
        <w:right w:val="none" w:sz="0" w:space="0" w:color="auto"/>
      </w:divBdr>
    </w:div>
    <w:div w:id="666444994">
      <w:bodyDiv w:val="1"/>
      <w:marLeft w:val="0"/>
      <w:marRight w:val="0"/>
      <w:marTop w:val="0"/>
      <w:marBottom w:val="0"/>
      <w:divBdr>
        <w:top w:val="none" w:sz="0" w:space="0" w:color="auto"/>
        <w:left w:val="none" w:sz="0" w:space="0" w:color="auto"/>
        <w:bottom w:val="none" w:sz="0" w:space="0" w:color="auto"/>
        <w:right w:val="none" w:sz="0" w:space="0" w:color="auto"/>
      </w:divBdr>
    </w:div>
    <w:div w:id="668673822">
      <w:bodyDiv w:val="1"/>
      <w:marLeft w:val="0"/>
      <w:marRight w:val="0"/>
      <w:marTop w:val="0"/>
      <w:marBottom w:val="0"/>
      <w:divBdr>
        <w:top w:val="none" w:sz="0" w:space="0" w:color="auto"/>
        <w:left w:val="none" w:sz="0" w:space="0" w:color="auto"/>
        <w:bottom w:val="none" w:sz="0" w:space="0" w:color="auto"/>
        <w:right w:val="none" w:sz="0" w:space="0" w:color="auto"/>
      </w:divBdr>
    </w:div>
    <w:div w:id="684794003">
      <w:bodyDiv w:val="1"/>
      <w:marLeft w:val="0"/>
      <w:marRight w:val="0"/>
      <w:marTop w:val="0"/>
      <w:marBottom w:val="0"/>
      <w:divBdr>
        <w:top w:val="none" w:sz="0" w:space="0" w:color="auto"/>
        <w:left w:val="none" w:sz="0" w:space="0" w:color="auto"/>
        <w:bottom w:val="none" w:sz="0" w:space="0" w:color="auto"/>
        <w:right w:val="none" w:sz="0" w:space="0" w:color="auto"/>
      </w:divBdr>
    </w:div>
    <w:div w:id="697203049">
      <w:bodyDiv w:val="1"/>
      <w:marLeft w:val="0"/>
      <w:marRight w:val="0"/>
      <w:marTop w:val="0"/>
      <w:marBottom w:val="0"/>
      <w:divBdr>
        <w:top w:val="none" w:sz="0" w:space="0" w:color="auto"/>
        <w:left w:val="none" w:sz="0" w:space="0" w:color="auto"/>
        <w:bottom w:val="none" w:sz="0" w:space="0" w:color="auto"/>
        <w:right w:val="none" w:sz="0" w:space="0" w:color="auto"/>
      </w:divBdr>
    </w:div>
    <w:div w:id="700713730">
      <w:bodyDiv w:val="1"/>
      <w:marLeft w:val="0"/>
      <w:marRight w:val="0"/>
      <w:marTop w:val="0"/>
      <w:marBottom w:val="0"/>
      <w:divBdr>
        <w:top w:val="none" w:sz="0" w:space="0" w:color="auto"/>
        <w:left w:val="none" w:sz="0" w:space="0" w:color="auto"/>
        <w:bottom w:val="none" w:sz="0" w:space="0" w:color="auto"/>
        <w:right w:val="none" w:sz="0" w:space="0" w:color="auto"/>
      </w:divBdr>
    </w:div>
    <w:div w:id="706177027">
      <w:bodyDiv w:val="1"/>
      <w:marLeft w:val="0"/>
      <w:marRight w:val="0"/>
      <w:marTop w:val="0"/>
      <w:marBottom w:val="0"/>
      <w:divBdr>
        <w:top w:val="none" w:sz="0" w:space="0" w:color="auto"/>
        <w:left w:val="none" w:sz="0" w:space="0" w:color="auto"/>
        <w:bottom w:val="none" w:sz="0" w:space="0" w:color="auto"/>
        <w:right w:val="none" w:sz="0" w:space="0" w:color="auto"/>
      </w:divBdr>
    </w:div>
    <w:div w:id="710572213">
      <w:bodyDiv w:val="1"/>
      <w:marLeft w:val="0"/>
      <w:marRight w:val="0"/>
      <w:marTop w:val="0"/>
      <w:marBottom w:val="0"/>
      <w:divBdr>
        <w:top w:val="none" w:sz="0" w:space="0" w:color="auto"/>
        <w:left w:val="none" w:sz="0" w:space="0" w:color="auto"/>
        <w:bottom w:val="none" w:sz="0" w:space="0" w:color="auto"/>
        <w:right w:val="none" w:sz="0" w:space="0" w:color="auto"/>
      </w:divBdr>
    </w:div>
    <w:div w:id="776216884">
      <w:bodyDiv w:val="1"/>
      <w:marLeft w:val="0"/>
      <w:marRight w:val="0"/>
      <w:marTop w:val="0"/>
      <w:marBottom w:val="0"/>
      <w:divBdr>
        <w:top w:val="none" w:sz="0" w:space="0" w:color="auto"/>
        <w:left w:val="none" w:sz="0" w:space="0" w:color="auto"/>
        <w:bottom w:val="none" w:sz="0" w:space="0" w:color="auto"/>
        <w:right w:val="none" w:sz="0" w:space="0" w:color="auto"/>
      </w:divBdr>
      <w:divsChild>
        <w:div w:id="1207597990">
          <w:marLeft w:val="0"/>
          <w:marRight w:val="0"/>
          <w:marTop w:val="0"/>
          <w:marBottom w:val="240"/>
          <w:divBdr>
            <w:top w:val="none" w:sz="0" w:space="0" w:color="auto"/>
            <w:left w:val="none" w:sz="0" w:space="0" w:color="auto"/>
            <w:bottom w:val="none" w:sz="0" w:space="0" w:color="auto"/>
            <w:right w:val="none" w:sz="0" w:space="0" w:color="auto"/>
          </w:divBdr>
        </w:div>
      </w:divsChild>
    </w:div>
    <w:div w:id="817191273">
      <w:bodyDiv w:val="1"/>
      <w:marLeft w:val="0"/>
      <w:marRight w:val="0"/>
      <w:marTop w:val="0"/>
      <w:marBottom w:val="0"/>
      <w:divBdr>
        <w:top w:val="none" w:sz="0" w:space="0" w:color="auto"/>
        <w:left w:val="none" w:sz="0" w:space="0" w:color="auto"/>
        <w:bottom w:val="none" w:sz="0" w:space="0" w:color="auto"/>
        <w:right w:val="none" w:sz="0" w:space="0" w:color="auto"/>
      </w:divBdr>
    </w:div>
    <w:div w:id="819081954">
      <w:bodyDiv w:val="1"/>
      <w:marLeft w:val="0"/>
      <w:marRight w:val="0"/>
      <w:marTop w:val="0"/>
      <w:marBottom w:val="0"/>
      <w:divBdr>
        <w:top w:val="none" w:sz="0" w:space="0" w:color="auto"/>
        <w:left w:val="none" w:sz="0" w:space="0" w:color="auto"/>
        <w:bottom w:val="none" w:sz="0" w:space="0" w:color="auto"/>
        <w:right w:val="none" w:sz="0" w:space="0" w:color="auto"/>
      </w:divBdr>
    </w:div>
    <w:div w:id="819150325">
      <w:bodyDiv w:val="1"/>
      <w:marLeft w:val="0"/>
      <w:marRight w:val="0"/>
      <w:marTop w:val="0"/>
      <w:marBottom w:val="0"/>
      <w:divBdr>
        <w:top w:val="none" w:sz="0" w:space="0" w:color="auto"/>
        <w:left w:val="none" w:sz="0" w:space="0" w:color="auto"/>
        <w:bottom w:val="none" w:sz="0" w:space="0" w:color="auto"/>
        <w:right w:val="none" w:sz="0" w:space="0" w:color="auto"/>
      </w:divBdr>
    </w:div>
    <w:div w:id="837892157">
      <w:bodyDiv w:val="1"/>
      <w:marLeft w:val="0"/>
      <w:marRight w:val="0"/>
      <w:marTop w:val="0"/>
      <w:marBottom w:val="0"/>
      <w:divBdr>
        <w:top w:val="none" w:sz="0" w:space="0" w:color="auto"/>
        <w:left w:val="none" w:sz="0" w:space="0" w:color="auto"/>
        <w:bottom w:val="none" w:sz="0" w:space="0" w:color="auto"/>
        <w:right w:val="none" w:sz="0" w:space="0" w:color="auto"/>
      </w:divBdr>
    </w:div>
    <w:div w:id="844903736">
      <w:bodyDiv w:val="1"/>
      <w:marLeft w:val="0"/>
      <w:marRight w:val="0"/>
      <w:marTop w:val="0"/>
      <w:marBottom w:val="0"/>
      <w:divBdr>
        <w:top w:val="none" w:sz="0" w:space="0" w:color="auto"/>
        <w:left w:val="none" w:sz="0" w:space="0" w:color="auto"/>
        <w:bottom w:val="none" w:sz="0" w:space="0" w:color="auto"/>
        <w:right w:val="none" w:sz="0" w:space="0" w:color="auto"/>
      </w:divBdr>
    </w:div>
    <w:div w:id="871919799">
      <w:bodyDiv w:val="1"/>
      <w:marLeft w:val="0"/>
      <w:marRight w:val="0"/>
      <w:marTop w:val="0"/>
      <w:marBottom w:val="0"/>
      <w:divBdr>
        <w:top w:val="none" w:sz="0" w:space="0" w:color="auto"/>
        <w:left w:val="none" w:sz="0" w:space="0" w:color="auto"/>
        <w:bottom w:val="none" w:sz="0" w:space="0" w:color="auto"/>
        <w:right w:val="none" w:sz="0" w:space="0" w:color="auto"/>
      </w:divBdr>
    </w:div>
    <w:div w:id="947661295">
      <w:bodyDiv w:val="1"/>
      <w:marLeft w:val="0"/>
      <w:marRight w:val="0"/>
      <w:marTop w:val="0"/>
      <w:marBottom w:val="0"/>
      <w:divBdr>
        <w:top w:val="none" w:sz="0" w:space="0" w:color="auto"/>
        <w:left w:val="none" w:sz="0" w:space="0" w:color="auto"/>
        <w:bottom w:val="none" w:sz="0" w:space="0" w:color="auto"/>
        <w:right w:val="none" w:sz="0" w:space="0" w:color="auto"/>
      </w:divBdr>
    </w:div>
    <w:div w:id="951012247">
      <w:bodyDiv w:val="1"/>
      <w:marLeft w:val="0"/>
      <w:marRight w:val="0"/>
      <w:marTop w:val="0"/>
      <w:marBottom w:val="0"/>
      <w:divBdr>
        <w:top w:val="none" w:sz="0" w:space="0" w:color="auto"/>
        <w:left w:val="none" w:sz="0" w:space="0" w:color="auto"/>
        <w:bottom w:val="none" w:sz="0" w:space="0" w:color="auto"/>
        <w:right w:val="none" w:sz="0" w:space="0" w:color="auto"/>
      </w:divBdr>
    </w:div>
    <w:div w:id="957027786">
      <w:bodyDiv w:val="1"/>
      <w:marLeft w:val="0"/>
      <w:marRight w:val="0"/>
      <w:marTop w:val="0"/>
      <w:marBottom w:val="0"/>
      <w:divBdr>
        <w:top w:val="none" w:sz="0" w:space="0" w:color="auto"/>
        <w:left w:val="none" w:sz="0" w:space="0" w:color="auto"/>
        <w:bottom w:val="none" w:sz="0" w:space="0" w:color="auto"/>
        <w:right w:val="none" w:sz="0" w:space="0" w:color="auto"/>
      </w:divBdr>
    </w:div>
    <w:div w:id="957679790">
      <w:bodyDiv w:val="1"/>
      <w:marLeft w:val="0"/>
      <w:marRight w:val="0"/>
      <w:marTop w:val="0"/>
      <w:marBottom w:val="0"/>
      <w:divBdr>
        <w:top w:val="none" w:sz="0" w:space="0" w:color="auto"/>
        <w:left w:val="none" w:sz="0" w:space="0" w:color="auto"/>
        <w:bottom w:val="none" w:sz="0" w:space="0" w:color="auto"/>
        <w:right w:val="none" w:sz="0" w:space="0" w:color="auto"/>
      </w:divBdr>
    </w:div>
    <w:div w:id="977412879">
      <w:bodyDiv w:val="1"/>
      <w:marLeft w:val="0"/>
      <w:marRight w:val="0"/>
      <w:marTop w:val="0"/>
      <w:marBottom w:val="0"/>
      <w:divBdr>
        <w:top w:val="none" w:sz="0" w:space="0" w:color="auto"/>
        <w:left w:val="none" w:sz="0" w:space="0" w:color="auto"/>
        <w:bottom w:val="none" w:sz="0" w:space="0" w:color="auto"/>
        <w:right w:val="none" w:sz="0" w:space="0" w:color="auto"/>
      </w:divBdr>
    </w:div>
    <w:div w:id="999386987">
      <w:bodyDiv w:val="1"/>
      <w:marLeft w:val="0"/>
      <w:marRight w:val="0"/>
      <w:marTop w:val="0"/>
      <w:marBottom w:val="0"/>
      <w:divBdr>
        <w:top w:val="none" w:sz="0" w:space="0" w:color="auto"/>
        <w:left w:val="none" w:sz="0" w:space="0" w:color="auto"/>
        <w:bottom w:val="none" w:sz="0" w:space="0" w:color="auto"/>
        <w:right w:val="none" w:sz="0" w:space="0" w:color="auto"/>
      </w:divBdr>
    </w:div>
    <w:div w:id="1002581968">
      <w:bodyDiv w:val="1"/>
      <w:marLeft w:val="0"/>
      <w:marRight w:val="0"/>
      <w:marTop w:val="0"/>
      <w:marBottom w:val="0"/>
      <w:divBdr>
        <w:top w:val="none" w:sz="0" w:space="0" w:color="auto"/>
        <w:left w:val="none" w:sz="0" w:space="0" w:color="auto"/>
        <w:bottom w:val="none" w:sz="0" w:space="0" w:color="auto"/>
        <w:right w:val="none" w:sz="0" w:space="0" w:color="auto"/>
      </w:divBdr>
    </w:div>
    <w:div w:id="1018585876">
      <w:bodyDiv w:val="1"/>
      <w:marLeft w:val="0"/>
      <w:marRight w:val="0"/>
      <w:marTop w:val="0"/>
      <w:marBottom w:val="0"/>
      <w:divBdr>
        <w:top w:val="none" w:sz="0" w:space="0" w:color="auto"/>
        <w:left w:val="none" w:sz="0" w:space="0" w:color="auto"/>
        <w:bottom w:val="none" w:sz="0" w:space="0" w:color="auto"/>
        <w:right w:val="none" w:sz="0" w:space="0" w:color="auto"/>
      </w:divBdr>
    </w:div>
    <w:div w:id="1038240594">
      <w:bodyDiv w:val="1"/>
      <w:marLeft w:val="0"/>
      <w:marRight w:val="0"/>
      <w:marTop w:val="0"/>
      <w:marBottom w:val="0"/>
      <w:divBdr>
        <w:top w:val="none" w:sz="0" w:space="0" w:color="auto"/>
        <w:left w:val="none" w:sz="0" w:space="0" w:color="auto"/>
        <w:bottom w:val="none" w:sz="0" w:space="0" w:color="auto"/>
        <w:right w:val="none" w:sz="0" w:space="0" w:color="auto"/>
      </w:divBdr>
    </w:div>
    <w:div w:id="1068305425">
      <w:bodyDiv w:val="1"/>
      <w:marLeft w:val="0"/>
      <w:marRight w:val="0"/>
      <w:marTop w:val="0"/>
      <w:marBottom w:val="0"/>
      <w:divBdr>
        <w:top w:val="none" w:sz="0" w:space="0" w:color="auto"/>
        <w:left w:val="none" w:sz="0" w:space="0" w:color="auto"/>
        <w:bottom w:val="none" w:sz="0" w:space="0" w:color="auto"/>
        <w:right w:val="none" w:sz="0" w:space="0" w:color="auto"/>
      </w:divBdr>
    </w:div>
    <w:div w:id="1069503099">
      <w:bodyDiv w:val="1"/>
      <w:marLeft w:val="0"/>
      <w:marRight w:val="0"/>
      <w:marTop w:val="0"/>
      <w:marBottom w:val="0"/>
      <w:divBdr>
        <w:top w:val="none" w:sz="0" w:space="0" w:color="auto"/>
        <w:left w:val="none" w:sz="0" w:space="0" w:color="auto"/>
        <w:bottom w:val="none" w:sz="0" w:space="0" w:color="auto"/>
        <w:right w:val="none" w:sz="0" w:space="0" w:color="auto"/>
      </w:divBdr>
    </w:div>
    <w:div w:id="1098409011">
      <w:bodyDiv w:val="1"/>
      <w:marLeft w:val="0"/>
      <w:marRight w:val="0"/>
      <w:marTop w:val="0"/>
      <w:marBottom w:val="0"/>
      <w:divBdr>
        <w:top w:val="none" w:sz="0" w:space="0" w:color="auto"/>
        <w:left w:val="none" w:sz="0" w:space="0" w:color="auto"/>
        <w:bottom w:val="none" w:sz="0" w:space="0" w:color="auto"/>
        <w:right w:val="none" w:sz="0" w:space="0" w:color="auto"/>
      </w:divBdr>
    </w:div>
    <w:div w:id="1108544657">
      <w:bodyDiv w:val="1"/>
      <w:marLeft w:val="0"/>
      <w:marRight w:val="0"/>
      <w:marTop w:val="0"/>
      <w:marBottom w:val="0"/>
      <w:divBdr>
        <w:top w:val="none" w:sz="0" w:space="0" w:color="auto"/>
        <w:left w:val="none" w:sz="0" w:space="0" w:color="auto"/>
        <w:bottom w:val="none" w:sz="0" w:space="0" w:color="auto"/>
        <w:right w:val="none" w:sz="0" w:space="0" w:color="auto"/>
      </w:divBdr>
    </w:div>
    <w:div w:id="1115171817">
      <w:bodyDiv w:val="1"/>
      <w:marLeft w:val="0"/>
      <w:marRight w:val="0"/>
      <w:marTop w:val="0"/>
      <w:marBottom w:val="0"/>
      <w:divBdr>
        <w:top w:val="none" w:sz="0" w:space="0" w:color="auto"/>
        <w:left w:val="none" w:sz="0" w:space="0" w:color="auto"/>
        <w:bottom w:val="none" w:sz="0" w:space="0" w:color="auto"/>
        <w:right w:val="none" w:sz="0" w:space="0" w:color="auto"/>
      </w:divBdr>
    </w:div>
    <w:div w:id="1139108057">
      <w:bodyDiv w:val="1"/>
      <w:marLeft w:val="0"/>
      <w:marRight w:val="0"/>
      <w:marTop w:val="0"/>
      <w:marBottom w:val="0"/>
      <w:divBdr>
        <w:top w:val="none" w:sz="0" w:space="0" w:color="auto"/>
        <w:left w:val="none" w:sz="0" w:space="0" w:color="auto"/>
        <w:bottom w:val="none" w:sz="0" w:space="0" w:color="auto"/>
        <w:right w:val="none" w:sz="0" w:space="0" w:color="auto"/>
      </w:divBdr>
    </w:div>
    <w:div w:id="1141995950">
      <w:bodyDiv w:val="1"/>
      <w:marLeft w:val="0"/>
      <w:marRight w:val="0"/>
      <w:marTop w:val="0"/>
      <w:marBottom w:val="0"/>
      <w:divBdr>
        <w:top w:val="none" w:sz="0" w:space="0" w:color="auto"/>
        <w:left w:val="none" w:sz="0" w:space="0" w:color="auto"/>
        <w:bottom w:val="none" w:sz="0" w:space="0" w:color="auto"/>
        <w:right w:val="none" w:sz="0" w:space="0" w:color="auto"/>
      </w:divBdr>
    </w:div>
    <w:div w:id="1146623496">
      <w:bodyDiv w:val="1"/>
      <w:marLeft w:val="0"/>
      <w:marRight w:val="0"/>
      <w:marTop w:val="0"/>
      <w:marBottom w:val="0"/>
      <w:divBdr>
        <w:top w:val="none" w:sz="0" w:space="0" w:color="auto"/>
        <w:left w:val="none" w:sz="0" w:space="0" w:color="auto"/>
        <w:bottom w:val="none" w:sz="0" w:space="0" w:color="auto"/>
        <w:right w:val="none" w:sz="0" w:space="0" w:color="auto"/>
      </w:divBdr>
    </w:div>
    <w:div w:id="1159425400">
      <w:bodyDiv w:val="1"/>
      <w:marLeft w:val="0"/>
      <w:marRight w:val="0"/>
      <w:marTop w:val="0"/>
      <w:marBottom w:val="0"/>
      <w:divBdr>
        <w:top w:val="none" w:sz="0" w:space="0" w:color="auto"/>
        <w:left w:val="none" w:sz="0" w:space="0" w:color="auto"/>
        <w:bottom w:val="none" w:sz="0" w:space="0" w:color="auto"/>
        <w:right w:val="none" w:sz="0" w:space="0" w:color="auto"/>
      </w:divBdr>
    </w:div>
    <w:div w:id="1192645707">
      <w:bodyDiv w:val="1"/>
      <w:marLeft w:val="0"/>
      <w:marRight w:val="0"/>
      <w:marTop w:val="0"/>
      <w:marBottom w:val="0"/>
      <w:divBdr>
        <w:top w:val="none" w:sz="0" w:space="0" w:color="auto"/>
        <w:left w:val="none" w:sz="0" w:space="0" w:color="auto"/>
        <w:bottom w:val="none" w:sz="0" w:space="0" w:color="auto"/>
        <w:right w:val="none" w:sz="0" w:space="0" w:color="auto"/>
      </w:divBdr>
    </w:div>
    <w:div w:id="1208176149">
      <w:bodyDiv w:val="1"/>
      <w:marLeft w:val="0"/>
      <w:marRight w:val="0"/>
      <w:marTop w:val="0"/>
      <w:marBottom w:val="0"/>
      <w:divBdr>
        <w:top w:val="none" w:sz="0" w:space="0" w:color="auto"/>
        <w:left w:val="none" w:sz="0" w:space="0" w:color="auto"/>
        <w:bottom w:val="none" w:sz="0" w:space="0" w:color="auto"/>
        <w:right w:val="none" w:sz="0" w:space="0" w:color="auto"/>
      </w:divBdr>
    </w:div>
    <w:div w:id="1226376476">
      <w:bodyDiv w:val="1"/>
      <w:marLeft w:val="0"/>
      <w:marRight w:val="0"/>
      <w:marTop w:val="0"/>
      <w:marBottom w:val="0"/>
      <w:divBdr>
        <w:top w:val="none" w:sz="0" w:space="0" w:color="auto"/>
        <w:left w:val="none" w:sz="0" w:space="0" w:color="auto"/>
        <w:bottom w:val="none" w:sz="0" w:space="0" w:color="auto"/>
        <w:right w:val="none" w:sz="0" w:space="0" w:color="auto"/>
      </w:divBdr>
    </w:div>
    <w:div w:id="1242252347">
      <w:bodyDiv w:val="1"/>
      <w:marLeft w:val="0"/>
      <w:marRight w:val="0"/>
      <w:marTop w:val="0"/>
      <w:marBottom w:val="0"/>
      <w:divBdr>
        <w:top w:val="none" w:sz="0" w:space="0" w:color="auto"/>
        <w:left w:val="none" w:sz="0" w:space="0" w:color="auto"/>
        <w:bottom w:val="none" w:sz="0" w:space="0" w:color="auto"/>
        <w:right w:val="none" w:sz="0" w:space="0" w:color="auto"/>
      </w:divBdr>
    </w:div>
    <w:div w:id="1250701853">
      <w:bodyDiv w:val="1"/>
      <w:marLeft w:val="0"/>
      <w:marRight w:val="0"/>
      <w:marTop w:val="0"/>
      <w:marBottom w:val="0"/>
      <w:divBdr>
        <w:top w:val="none" w:sz="0" w:space="0" w:color="auto"/>
        <w:left w:val="none" w:sz="0" w:space="0" w:color="auto"/>
        <w:bottom w:val="none" w:sz="0" w:space="0" w:color="auto"/>
        <w:right w:val="none" w:sz="0" w:space="0" w:color="auto"/>
      </w:divBdr>
    </w:div>
    <w:div w:id="1253246332">
      <w:bodyDiv w:val="1"/>
      <w:marLeft w:val="0"/>
      <w:marRight w:val="0"/>
      <w:marTop w:val="0"/>
      <w:marBottom w:val="0"/>
      <w:divBdr>
        <w:top w:val="none" w:sz="0" w:space="0" w:color="auto"/>
        <w:left w:val="none" w:sz="0" w:space="0" w:color="auto"/>
        <w:bottom w:val="none" w:sz="0" w:space="0" w:color="auto"/>
        <w:right w:val="none" w:sz="0" w:space="0" w:color="auto"/>
      </w:divBdr>
    </w:div>
    <w:div w:id="1260531115">
      <w:bodyDiv w:val="1"/>
      <w:marLeft w:val="0"/>
      <w:marRight w:val="0"/>
      <w:marTop w:val="0"/>
      <w:marBottom w:val="0"/>
      <w:divBdr>
        <w:top w:val="none" w:sz="0" w:space="0" w:color="auto"/>
        <w:left w:val="none" w:sz="0" w:space="0" w:color="auto"/>
        <w:bottom w:val="none" w:sz="0" w:space="0" w:color="auto"/>
        <w:right w:val="none" w:sz="0" w:space="0" w:color="auto"/>
      </w:divBdr>
    </w:div>
    <w:div w:id="1296137893">
      <w:bodyDiv w:val="1"/>
      <w:marLeft w:val="0"/>
      <w:marRight w:val="0"/>
      <w:marTop w:val="0"/>
      <w:marBottom w:val="0"/>
      <w:divBdr>
        <w:top w:val="none" w:sz="0" w:space="0" w:color="auto"/>
        <w:left w:val="none" w:sz="0" w:space="0" w:color="auto"/>
        <w:bottom w:val="none" w:sz="0" w:space="0" w:color="auto"/>
        <w:right w:val="none" w:sz="0" w:space="0" w:color="auto"/>
      </w:divBdr>
      <w:divsChild>
        <w:div w:id="1835074392">
          <w:marLeft w:val="0"/>
          <w:marRight w:val="0"/>
          <w:marTop w:val="0"/>
          <w:marBottom w:val="0"/>
          <w:divBdr>
            <w:top w:val="none" w:sz="0" w:space="0" w:color="auto"/>
            <w:left w:val="none" w:sz="0" w:space="0" w:color="auto"/>
            <w:bottom w:val="none" w:sz="0" w:space="0" w:color="auto"/>
            <w:right w:val="none" w:sz="0" w:space="0" w:color="auto"/>
          </w:divBdr>
          <w:divsChild>
            <w:div w:id="115298536">
              <w:marLeft w:val="0"/>
              <w:marRight w:val="0"/>
              <w:marTop w:val="0"/>
              <w:marBottom w:val="0"/>
              <w:divBdr>
                <w:top w:val="none" w:sz="0" w:space="0" w:color="auto"/>
                <w:left w:val="none" w:sz="0" w:space="0" w:color="auto"/>
                <w:bottom w:val="none" w:sz="0" w:space="0" w:color="auto"/>
                <w:right w:val="none" w:sz="0" w:space="0" w:color="auto"/>
              </w:divBdr>
              <w:divsChild>
                <w:div w:id="69253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43957">
      <w:bodyDiv w:val="1"/>
      <w:marLeft w:val="0"/>
      <w:marRight w:val="0"/>
      <w:marTop w:val="0"/>
      <w:marBottom w:val="0"/>
      <w:divBdr>
        <w:top w:val="none" w:sz="0" w:space="0" w:color="auto"/>
        <w:left w:val="none" w:sz="0" w:space="0" w:color="auto"/>
        <w:bottom w:val="none" w:sz="0" w:space="0" w:color="auto"/>
        <w:right w:val="none" w:sz="0" w:space="0" w:color="auto"/>
      </w:divBdr>
    </w:div>
    <w:div w:id="1354113534">
      <w:bodyDiv w:val="1"/>
      <w:marLeft w:val="0"/>
      <w:marRight w:val="0"/>
      <w:marTop w:val="0"/>
      <w:marBottom w:val="0"/>
      <w:divBdr>
        <w:top w:val="none" w:sz="0" w:space="0" w:color="auto"/>
        <w:left w:val="none" w:sz="0" w:space="0" w:color="auto"/>
        <w:bottom w:val="none" w:sz="0" w:space="0" w:color="auto"/>
        <w:right w:val="none" w:sz="0" w:space="0" w:color="auto"/>
      </w:divBdr>
    </w:div>
    <w:div w:id="1361129855">
      <w:bodyDiv w:val="1"/>
      <w:marLeft w:val="0"/>
      <w:marRight w:val="0"/>
      <w:marTop w:val="0"/>
      <w:marBottom w:val="0"/>
      <w:divBdr>
        <w:top w:val="none" w:sz="0" w:space="0" w:color="auto"/>
        <w:left w:val="none" w:sz="0" w:space="0" w:color="auto"/>
        <w:bottom w:val="none" w:sz="0" w:space="0" w:color="auto"/>
        <w:right w:val="none" w:sz="0" w:space="0" w:color="auto"/>
      </w:divBdr>
    </w:div>
    <w:div w:id="1401709780">
      <w:bodyDiv w:val="1"/>
      <w:marLeft w:val="0"/>
      <w:marRight w:val="0"/>
      <w:marTop w:val="0"/>
      <w:marBottom w:val="0"/>
      <w:divBdr>
        <w:top w:val="none" w:sz="0" w:space="0" w:color="auto"/>
        <w:left w:val="none" w:sz="0" w:space="0" w:color="auto"/>
        <w:bottom w:val="none" w:sz="0" w:space="0" w:color="auto"/>
        <w:right w:val="none" w:sz="0" w:space="0" w:color="auto"/>
      </w:divBdr>
    </w:div>
    <w:div w:id="1408069465">
      <w:bodyDiv w:val="1"/>
      <w:marLeft w:val="0"/>
      <w:marRight w:val="0"/>
      <w:marTop w:val="0"/>
      <w:marBottom w:val="0"/>
      <w:divBdr>
        <w:top w:val="none" w:sz="0" w:space="0" w:color="auto"/>
        <w:left w:val="none" w:sz="0" w:space="0" w:color="auto"/>
        <w:bottom w:val="none" w:sz="0" w:space="0" w:color="auto"/>
        <w:right w:val="none" w:sz="0" w:space="0" w:color="auto"/>
      </w:divBdr>
    </w:div>
    <w:div w:id="1418362525">
      <w:bodyDiv w:val="1"/>
      <w:marLeft w:val="0"/>
      <w:marRight w:val="0"/>
      <w:marTop w:val="0"/>
      <w:marBottom w:val="0"/>
      <w:divBdr>
        <w:top w:val="none" w:sz="0" w:space="0" w:color="auto"/>
        <w:left w:val="none" w:sz="0" w:space="0" w:color="auto"/>
        <w:bottom w:val="none" w:sz="0" w:space="0" w:color="auto"/>
        <w:right w:val="none" w:sz="0" w:space="0" w:color="auto"/>
      </w:divBdr>
    </w:div>
    <w:div w:id="1432120312">
      <w:bodyDiv w:val="1"/>
      <w:marLeft w:val="0"/>
      <w:marRight w:val="0"/>
      <w:marTop w:val="0"/>
      <w:marBottom w:val="0"/>
      <w:divBdr>
        <w:top w:val="none" w:sz="0" w:space="0" w:color="auto"/>
        <w:left w:val="none" w:sz="0" w:space="0" w:color="auto"/>
        <w:bottom w:val="none" w:sz="0" w:space="0" w:color="auto"/>
        <w:right w:val="none" w:sz="0" w:space="0" w:color="auto"/>
      </w:divBdr>
    </w:div>
    <w:div w:id="1453013121">
      <w:bodyDiv w:val="1"/>
      <w:marLeft w:val="0"/>
      <w:marRight w:val="0"/>
      <w:marTop w:val="0"/>
      <w:marBottom w:val="0"/>
      <w:divBdr>
        <w:top w:val="none" w:sz="0" w:space="0" w:color="auto"/>
        <w:left w:val="none" w:sz="0" w:space="0" w:color="auto"/>
        <w:bottom w:val="none" w:sz="0" w:space="0" w:color="auto"/>
        <w:right w:val="none" w:sz="0" w:space="0" w:color="auto"/>
      </w:divBdr>
    </w:div>
    <w:div w:id="1513062054">
      <w:bodyDiv w:val="1"/>
      <w:marLeft w:val="0"/>
      <w:marRight w:val="0"/>
      <w:marTop w:val="0"/>
      <w:marBottom w:val="0"/>
      <w:divBdr>
        <w:top w:val="none" w:sz="0" w:space="0" w:color="auto"/>
        <w:left w:val="none" w:sz="0" w:space="0" w:color="auto"/>
        <w:bottom w:val="none" w:sz="0" w:space="0" w:color="auto"/>
        <w:right w:val="none" w:sz="0" w:space="0" w:color="auto"/>
      </w:divBdr>
    </w:div>
    <w:div w:id="1530803697">
      <w:bodyDiv w:val="1"/>
      <w:marLeft w:val="0"/>
      <w:marRight w:val="0"/>
      <w:marTop w:val="0"/>
      <w:marBottom w:val="0"/>
      <w:divBdr>
        <w:top w:val="none" w:sz="0" w:space="0" w:color="auto"/>
        <w:left w:val="none" w:sz="0" w:space="0" w:color="auto"/>
        <w:bottom w:val="none" w:sz="0" w:space="0" w:color="auto"/>
        <w:right w:val="none" w:sz="0" w:space="0" w:color="auto"/>
      </w:divBdr>
    </w:div>
    <w:div w:id="1559246521">
      <w:bodyDiv w:val="1"/>
      <w:marLeft w:val="0"/>
      <w:marRight w:val="0"/>
      <w:marTop w:val="0"/>
      <w:marBottom w:val="0"/>
      <w:divBdr>
        <w:top w:val="none" w:sz="0" w:space="0" w:color="auto"/>
        <w:left w:val="none" w:sz="0" w:space="0" w:color="auto"/>
        <w:bottom w:val="none" w:sz="0" w:space="0" w:color="auto"/>
        <w:right w:val="none" w:sz="0" w:space="0" w:color="auto"/>
      </w:divBdr>
    </w:div>
    <w:div w:id="1572083994">
      <w:bodyDiv w:val="1"/>
      <w:marLeft w:val="0"/>
      <w:marRight w:val="0"/>
      <w:marTop w:val="0"/>
      <w:marBottom w:val="0"/>
      <w:divBdr>
        <w:top w:val="none" w:sz="0" w:space="0" w:color="auto"/>
        <w:left w:val="none" w:sz="0" w:space="0" w:color="auto"/>
        <w:bottom w:val="none" w:sz="0" w:space="0" w:color="auto"/>
        <w:right w:val="none" w:sz="0" w:space="0" w:color="auto"/>
      </w:divBdr>
    </w:div>
    <w:div w:id="1586648644">
      <w:bodyDiv w:val="1"/>
      <w:marLeft w:val="0"/>
      <w:marRight w:val="0"/>
      <w:marTop w:val="0"/>
      <w:marBottom w:val="0"/>
      <w:divBdr>
        <w:top w:val="none" w:sz="0" w:space="0" w:color="auto"/>
        <w:left w:val="none" w:sz="0" w:space="0" w:color="auto"/>
        <w:bottom w:val="none" w:sz="0" w:space="0" w:color="auto"/>
        <w:right w:val="none" w:sz="0" w:space="0" w:color="auto"/>
      </w:divBdr>
    </w:div>
    <w:div w:id="1593734736">
      <w:bodyDiv w:val="1"/>
      <w:marLeft w:val="0"/>
      <w:marRight w:val="0"/>
      <w:marTop w:val="0"/>
      <w:marBottom w:val="0"/>
      <w:divBdr>
        <w:top w:val="none" w:sz="0" w:space="0" w:color="auto"/>
        <w:left w:val="none" w:sz="0" w:space="0" w:color="auto"/>
        <w:bottom w:val="none" w:sz="0" w:space="0" w:color="auto"/>
        <w:right w:val="none" w:sz="0" w:space="0" w:color="auto"/>
      </w:divBdr>
    </w:div>
    <w:div w:id="1599829032">
      <w:bodyDiv w:val="1"/>
      <w:marLeft w:val="0"/>
      <w:marRight w:val="0"/>
      <w:marTop w:val="0"/>
      <w:marBottom w:val="0"/>
      <w:divBdr>
        <w:top w:val="none" w:sz="0" w:space="0" w:color="auto"/>
        <w:left w:val="none" w:sz="0" w:space="0" w:color="auto"/>
        <w:bottom w:val="none" w:sz="0" w:space="0" w:color="auto"/>
        <w:right w:val="none" w:sz="0" w:space="0" w:color="auto"/>
      </w:divBdr>
    </w:div>
    <w:div w:id="1610549022">
      <w:bodyDiv w:val="1"/>
      <w:marLeft w:val="0"/>
      <w:marRight w:val="0"/>
      <w:marTop w:val="0"/>
      <w:marBottom w:val="0"/>
      <w:divBdr>
        <w:top w:val="none" w:sz="0" w:space="0" w:color="auto"/>
        <w:left w:val="none" w:sz="0" w:space="0" w:color="auto"/>
        <w:bottom w:val="none" w:sz="0" w:space="0" w:color="auto"/>
        <w:right w:val="none" w:sz="0" w:space="0" w:color="auto"/>
      </w:divBdr>
    </w:div>
    <w:div w:id="1611663652">
      <w:bodyDiv w:val="1"/>
      <w:marLeft w:val="0"/>
      <w:marRight w:val="0"/>
      <w:marTop w:val="0"/>
      <w:marBottom w:val="0"/>
      <w:divBdr>
        <w:top w:val="none" w:sz="0" w:space="0" w:color="auto"/>
        <w:left w:val="none" w:sz="0" w:space="0" w:color="auto"/>
        <w:bottom w:val="none" w:sz="0" w:space="0" w:color="auto"/>
        <w:right w:val="none" w:sz="0" w:space="0" w:color="auto"/>
      </w:divBdr>
    </w:div>
    <w:div w:id="1637292376">
      <w:bodyDiv w:val="1"/>
      <w:marLeft w:val="0"/>
      <w:marRight w:val="0"/>
      <w:marTop w:val="0"/>
      <w:marBottom w:val="0"/>
      <w:divBdr>
        <w:top w:val="none" w:sz="0" w:space="0" w:color="auto"/>
        <w:left w:val="none" w:sz="0" w:space="0" w:color="auto"/>
        <w:bottom w:val="none" w:sz="0" w:space="0" w:color="auto"/>
        <w:right w:val="none" w:sz="0" w:space="0" w:color="auto"/>
      </w:divBdr>
    </w:div>
    <w:div w:id="1656910041">
      <w:bodyDiv w:val="1"/>
      <w:marLeft w:val="0"/>
      <w:marRight w:val="0"/>
      <w:marTop w:val="0"/>
      <w:marBottom w:val="0"/>
      <w:divBdr>
        <w:top w:val="none" w:sz="0" w:space="0" w:color="auto"/>
        <w:left w:val="none" w:sz="0" w:space="0" w:color="auto"/>
        <w:bottom w:val="none" w:sz="0" w:space="0" w:color="auto"/>
        <w:right w:val="none" w:sz="0" w:space="0" w:color="auto"/>
      </w:divBdr>
    </w:div>
    <w:div w:id="1657300635">
      <w:bodyDiv w:val="1"/>
      <w:marLeft w:val="0"/>
      <w:marRight w:val="0"/>
      <w:marTop w:val="0"/>
      <w:marBottom w:val="0"/>
      <w:divBdr>
        <w:top w:val="none" w:sz="0" w:space="0" w:color="auto"/>
        <w:left w:val="none" w:sz="0" w:space="0" w:color="auto"/>
        <w:bottom w:val="none" w:sz="0" w:space="0" w:color="auto"/>
        <w:right w:val="none" w:sz="0" w:space="0" w:color="auto"/>
      </w:divBdr>
    </w:div>
    <w:div w:id="1688290117">
      <w:bodyDiv w:val="1"/>
      <w:marLeft w:val="0"/>
      <w:marRight w:val="0"/>
      <w:marTop w:val="0"/>
      <w:marBottom w:val="0"/>
      <w:divBdr>
        <w:top w:val="none" w:sz="0" w:space="0" w:color="auto"/>
        <w:left w:val="none" w:sz="0" w:space="0" w:color="auto"/>
        <w:bottom w:val="none" w:sz="0" w:space="0" w:color="auto"/>
        <w:right w:val="none" w:sz="0" w:space="0" w:color="auto"/>
      </w:divBdr>
    </w:div>
    <w:div w:id="1695809592">
      <w:bodyDiv w:val="1"/>
      <w:marLeft w:val="0"/>
      <w:marRight w:val="0"/>
      <w:marTop w:val="0"/>
      <w:marBottom w:val="0"/>
      <w:divBdr>
        <w:top w:val="none" w:sz="0" w:space="0" w:color="auto"/>
        <w:left w:val="none" w:sz="0" w:space="0" w:color="auto"/>
        <w:bottom w:val="none" w:sz="0" w:space="0" w:color="auto"/>
        <w:right w:val="none" w:sz="0" w:space="0" w:color="auto"/>
      </w:divBdr>
    </w:div>
    <w:div w:id="1699429644">
      <w:bodyDiv w:val="1"/>
      <w:marLeft w:val="0"/>
      <w:marRight w:val="0"/>
      <w:marTop w:val="0"/>
      <w:marBottom w:val="0"/>
      <w:divBdr>
        <w:top w:val="none" w:sz="0" w:space="0" w:color="auto"/>
        <w:left w:val="none" w:sz="0" w:space="0" w:color="auto"/>
        <w:bottom w:val="none" w:sz="0" w:space="0" w:color="auto"/>
        <w:right w:val="none" w:sz="0" w:space="0" w:color="auto"/>
      </w:divBdr>
    </w:div>
    <w:div w:id="1707173959">
      <w:bodyDiv w:val="1"/>
      <w:marLeft w:val="0"/>
      <w:marRight w:val="0"/>
      <w:marTop w:val="0"/>
      <w:marBottom w:val="0"/>
      <w:divBdr>
        <w:top w:val="none" w:sz="0" w:space="0" w:color="auto"/>
        <w:left w:val="none" w:sz="0" w:space="0" w:color="auto"/>
        <w:bottom w:val="none" w:sz="0" w:space="0" w:color="auto"/>
        <w:right w:val="none" w:sz="0" w:space="0" w:color="auto"/>
      </w:divBdr>
    </w:div>
    <w:div w:id="1737320880">
      <w:bodyDiv w:val="1"/>
      <w:marLeft w:val="0"/>
      <w:marRight w:val="0"/>
      <w:marTop w:val="0"/>
      <w:marBottom w:val="0"/>
      <w:divBdr>
        <w:top w:val="none" w:sz="0" w:space="0" w:color="auto"/>
        <w:left w:val="none" w:sz="0" w:space="0" w:color="auto"/>
        <w:bottom w:val="none" w:sz="0" w:space="0" w:color="auto"/>
        <w:right w:val="none" w:sz="0" w:space="0" w:color="auto"/>
      </w:divBdr>
    </w:div>
    <w:div w:id="1769428602">
      <w:bodyDiv w:val="1"/>
      <w:marLeft w:val="0"/>
      <w:marRight w:val="0"/>
      <w:marTop w:val="0"/>
      <w:marBottom w:val="0"/>
      <w:divBdr>
        <w:top w:val="none" w:sz="0" w:space="0" w:color="auto"/>
        <w:left w:val="none" w:sz="0" w:space="0" w:color="auto"/>
        <w:bottom w:val="none" w:sz="0" w:space="0" w:color="auto"/>
        <w:right w:val="none" w:sz="0" w:space="0" w:color="auto"/>
      </w:divBdr>
    </w:div>
    <w:div w:id="1769886999">
      <w:bodyDiv w:val="1"/>
      <w:marLeft w:val="0"/>
      <w:marRight w:val="0"/>
      <w:marTop w:val="0"/>
      <w:marBottom w:val="0"/>
      <w:divBdr>
        <w:top w:val="none" w:sz="0" w:space="0" w:color="auto"/>
        <w:left w:val="none" w:sz="0" w:space="0" w:color="auto"/>
        <w:bottom w:val="none" w:sz="0" w:space="0" w:color="auto"/>
        <w:right w:val="none" w:sz="0" w:space="0" w:color="auto"/>
      </w:divBdr>
    </w:div>
    <w:div w:id="1821923186">
      <w:bodyDiv w:val="1"/>
      <w:marLeft w:val="0"/>
      <w:marRight w:val="0"/>
      <w:marTop w:val="0"/>
      <w:marBottom w:val="0"/>
      <w:divBdr>
        <w:top w:val="none" w:sz="0" w:space="0" w:color="auto"/>
        <w:left w:val="none" w:sz="0" w:space="0" w:color="auto"/>
        <w:bottom w:val="none" w:sz="0" w:space="0" w:color="auto"/>
        <w:right w:val="none" w:sz="0" w:space="0" w:color="auto"/>
      </w:divBdr>
    </w:div>
    <w:div w:id="1829246563">
      <w:bodyDiv w:val="1"/>
      <w:marLeft w:val="0"/>
      <w:marRight w:val="0"/>
      <w:marTop w:val="0"/>
      <w:marBottom w:val="0"/>
      <w:divBdr>
        <w:top w:val="none" w:sz="0" w:space="0" w:color="auto"/>
        <w:left w:val="none" w:sz="0" w:space="0" w:color="auto"/>
        <w:bottom w:val="none" w:sz="0" w:space="0" w:color="auto"/>
        <w:right w:val="none" w:sz="0" w:space="0" w:color="auto"/>
      </w:divBdr>
    </w:div>
    <w:div w:id="1835299295">
      <w:bodyDiv w:val="1"/>
      <w:marLeft w:val="0"/>
      <w:marRight w:val="0"/>
      <w:marTop w:val="0"/>
      <w:marBottom w:val="0"/>
      <w:divBdr>
        <w:top w:val="none" w:sz="0" w:space="0" w:color="auto"/>
        <w:left w:val="none" w:sz="0" w:space="0" w:color="auto"/>
        <w:bottom w:val="none" w:sz="0" w:space="0" w:color="auto"/>
        <w:right w:val="none" w:sz="0" w:space="0" w:color="auto"/>
      </w:divBdr>
    </w:div>
    <w:div w:id="1867282249">
      <w:bodyDiv w:val="1"/>
      <w:marLeft w:val="0"/>
      <w:marRight w:val="0"/>
      <w:marTop w:val="0"/>
      <w:marBottom w:val="0"/>
      <w:divBdr>
        <w:top w:val="none" w:sz="0" w:space="0" w:color="auto"/>
        <w:left w:val="none" w:sz="0" w:space="0" w:color="auto"/>
        <w:bottom w:val="none" w:sz="0" w:space="0" w:color="auto"/>
        <w:right w:val="none" w:sz="0" w:space="0" w:color="auto"/>
      </w:divBdr>
    </w:div>
    <w:div w:id="1902136069">
      <w:bodyDiv w:val="1"/>
      <w:marLeft w:val="0"/>
      <w:marRight w:val="0"/>
      <w:marTop w:val="0"/>
      <w:marBottom w:val="0"/>
      <w:divBdr>
        <w:top w:val="none" w:sz="0" w:space="0" w:color="auto"/>
        <w:left w:val="none" w:sz="0" w:space="0" w:color="auto"/>
        <w:bottom w:val="none" w:sz="0" w:space="0" w:color="auto"/>
        <w:right w:val="none" w:sz="0" w:space="0" w:color="auto"/>
      </w:divBdr>
    </w:div>
    <w:div w:id="1906143006">
      <w:bodyDiv w:val="1"/>
      <w:marLeft w:val="0"/>
      <w:marRight w:val="0"/>
      <w:marTop w:val="0"/>
      <w:marBottom w:val="0"/>
      <w:divBdr>
        <w:top w:val="none" w:sz="0" w:space="0" w:color="auto"/>
        <w:left w:val="none" w:sz="0" w:space="0" w:color="auto"/>
        <w:bottom w:val="none" w:sz="0" w:space="0" w:color="auto"/>
        <w:right w:val="none" w:sz="0" w:space="0" w:color="auto"/>
      </w:divBdr>
    </w:div>
    <w:div w:id="1921527296">
      <w:bodyDiv w:val="1"/>
      <w:marLeft w:val="0"/>
      <w:marRight w:val="0"/>
      <w:marTop w:val="0"/>
      <w:marBottom w:val="0"/>
      <w:divBdr>
        <w:top w:val="none" w:sz="0" w:space="0" w:color="auto"/>
        <w:left w:val="none" w:sz="0" w:space="0" w:color="auto"/>
        <w:bottom w:val="none" w:sz="0" w:space="0" w:color="auto"/>
        <w:right w:val="none" w:sz="0" w:space="0" w:color="auto"/>
      </w:divBdr>
    </w:div>
    <w:div w:id="1933389742">
      <w:bodyDiv w:val="1"/>
      <w:marLeft w:val="0"/>
      <w:marRight w:val="0"/>
      <w:marTop w:val="0"/>
      <w:marBottom w:val="0"/>
      <w:divBdr>
        <w:top w:val="none" w:sz="0" w:space="0" w:color="auto"/>
        <w:left w:val="none" w:sz="0" w:space="0" w:color="auto"/>
        <w:bottom w:val="none" w:sz="0" w:space="0" w:color="auto"/>
        <w:right w:val="none" w:sz="0" w:space="0" w:color="auto"/>
      </w:divBdr>
    </w:div>
    <w:div w:id="1945646653">
      <w:bodyDiv w:val="1"/>
      <w:marLeft w:val="0"/>
      <w:marRight w:val="0"/>
      <w:marTop w:val="0"/>
      <w:marBottom w:val="0"/>
      <w:divBdr>
        <w:top w:val="none" w:sz="0" w:space="0" w:color="auto"/>
        <w:left w:val="none" w:sz="0" w:space="0" w:color="auto"/>
        <w:bottom w:val="none" w:sz="0" w:space="0" w:color="auto"/>
        <w:right w:val="none" w:sz="0" w:space="0" w:color="auto"/>
      </w:divBdr>
    </w:div>
    <w:div w:id="1949002225">
      <w:bodyDiv w:val="1"/>
      <w:marLeft w:val="0"/>
      <w:marRight w:val="0"/>
      <w:marTop w:val="0"/>
      <w:marBottom w:val="0"/>
      <w:divBdr>
        <w:top w:val="none" w:sz="0" w:space="0" w:color="auto"/>
        <w:left w:val="none" w:sz="0" w:space="0" w:color="auto"/>
        <w:bottom w:val="none" w:sz="0" w:space="0" w:color="auto"/>
        <w:right w:val="none" w:sz="0" w:space="0" w:color="auto"/>
      </w:divBdr>
    </w:div>
    <w:div w:id="2030792319">
      <w:bodyDiv w:val="1"/>
      <w:marLeft w:val="0"/>
      <w:marRight w:val="0"/>
      <w:marTop w:val="0"/>
      <w:marBottom w:val="0"/>
      <w:divBdr>
        <w:top w:val="none" w:sz="0" w:space="0" w:color="auto"/>
        <w:left w:val="none" w:sz="0" w:space="0" w:color="auto"/>
        <w:bottom w:val="none" w:sz="0" w:space="0" w:color="auto"/>
        <w:right w:val="none" w:sz="0" w:space="0" w:color="auto"/>
      </w:divBdr>
    </w:div>
    <w:div w:id="2032367995">
      <w:bodyDiv w:val="1"/>
      <w:marLeft w:val="0"/>
      <w:marRight w:val="0"/>
      <w:marTop w:val="0"/>
      <w:marBottom w:val="0"/>
      <w:divBdr>
        <w:top w:val="none" w:sz="0" w:space="0" w:color="auto"/>
        <w:left w:val="none" w:sz="0" w:space="0" w:color="auto"/>
        <w:bottom w:val="none" w:sz="0" w:space="0" w:color="auto"/>
        <w:right w:val="none" w:sz="0" w:space="0" w:color="auto"/>
      </w:divBdr>
    </w:div>
    <w:div w:id="2038849671">
      <w:bodyDiv w:val="1"/>
      <w:marLeft w:val="0"/>
      <w:marRight w:val="0"/>
      <w:marTop w:val="0"/>
      <w:marBottom w:val="0"/>
      <w:divBdr>
        <w:top w:val="none" w:sz="0" w:space="0" w:color="auto"/>
        <w:left w:val="none" w:sz="0" w:space="0" w:color="auto"/>
        <w:bottom w:val="none" w:sz="0" w:space="0" w:color="auto"/>
        <w:right w:val="none" w:sz="0" w:space="0" w:color="auto"/>
      </w:divBdr>
    </w:div>
    <w:div w:id="2045059869">
      <w:bodyDiv w:val="1"/>
      <w:marLeft w:val="0"/>
      <w:marRight w:val="0"/>
      <w:marTop w:val="0"/>
      <w:marBottom w:val="0"/>
      <w:divBdr>
        <w:top w:val="none" w:sz="0" w:space="0" w:color="auto"/>
        <w:left w:val="none" w:sz="0" w:space="0" w:color="auto"/>
        <w:bottom w:val="none" w:sz="0" w:space="0" w:color="auto"/>
        <w:right w:val="none" w:sz="0" w:space="0" w:color="auto"/>
      </w:divBdr>
    </w:div>
    <w:div w:id="2067102070">
      <w:bodyDiv w:val="1"/>
      <w:marLeft w:val="0"/>
      <w:marRight w:val="0"/>
      <w:marTop w:val="0"/>
      <w:marBottom w:val="0"/>
      <w:divBdr>
        <w:top w:val="none" w:sz="0" w:space="0" w:color="auto"/>
        <w:left w:val="none" w:sz="0" w:space="0" w:color="auto"/>
        <w:bottom w:val="none" w:sz="0" w:space="0" w:color="auto"/>
        <w:right w:val="none" w:sz="0" w:space="0" w:color="auto"/>
      </w:divBdr>
    </w:div>
    <w:div w:id="2071802069">
      <w:bodyDiv w:val="1"/>
      <w:marLeft w:val="0"/>
      <w:marRight w:val="0"/>
      <w:marTop w:val="0"/>
      <w:marBottom w:val="0"/>
      <w:divBdr>
        <w:top w:val="none" w:sz="0" w:space="0" w:color="auto"/>
        <w:left w:val="none" w:sz="0" w:space="0" w:color="auto"/>
        <w:bottom w:val="none" w:sz="0" w:space="0" w:color="auto"/>
        <w:right w:val="none" w:sz="0" w:space="0" w:color="auto"/>
      </w:divBdr>
    </w:div>
    <w:div w:id="2092852875">
      <w:bodyDiv w:val="1"/>
      <w:marLeft w:val="0"/>
      <w:marRight w:val="0"/>
      <w:marTop w:val="0"/>
      <w:marBottom w:val="0"/>
      <w:divBdr>
        <w:top w:val="none" w:sz="0" w:space="0" w:color="auto"/>
        <w:left w:val="none" w:sz="0" w:space="0" w:color="auto"/>
        <w:bottom w:val="none" w:sz="0" w:space="0" w:color="auto"/>
        <w:right w:val="none" w:sz="0" w:space="0" w:color="auto"/>
      </w:divBdr>
    </w:div>
    <w:div w:id="2094475282">
      <w:bodyDiv w:val="1"/>
      <w:marLeft w:val="0"/>
      <w:marRight w:val="0"/>
      <w:marTop w:val="0"/>
      <w:marBottom w:val="0"/>
      <w:divBdr>
        <w:top w:val="none" w:sz="0" w:space="0" w:color="auto"/>
        <w:left w:val="none" w:sz="0" w:space="0" w:color="auto"/>
        <w:bottom w:val="none" w:sz="0" w:space="0" w:color="auto"/>
        <w:right w:val="none" w:sz="0" w:space="0" w:color="auto"/>
      </w:divBdr>
      <w:divsChild>
        <w:div w:id="166678597">
          <w:marLeft w:val="0"/>
          <w:marRight w:val="0"/>
          <w:marTop w:val="0"/>
          <w:marBottom w:val="240"/>
          <w:divBdr>
            <w:top w:val="none" w:sz="0" w:space="0" w:color="auto"/>
            <w:left w:val="none" w:sz="0" w:space="0" w:color="auto"/>
            <w:bottom w:val="none" w:sz="0" w:space="0" w:color="auto"/>
            <w:right w:val="none" w:sz="0" w:space="0" w:color="auto"/>
          </w:divBdr>
          <w:divsChild>
            <w:div w:id="964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chart" Target="charts/chart6.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Nacho%202105\OSASUNA\Copia%20de%20Copia%20Magnitudes%20CAO%202004-1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acho%202105\OSASUNA\Copia%20de%20Copia%20Magnitudes%20CAO%202004-1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acho%202105\OSASUNA\Copia%20de%20Copia%20Magnitudes%20CAO%202004-1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acho%202105\OSASUNA\Copia%20de%20Copia%20Magnitudes%20CAO%202004-1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acho%202105\OSASUNA\Copia%20de%20Copia%20Magnitudes%20CAO%202004-1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acho%202105\OSASUNA\Copia%20de%20Copia%20Magnitudes%20CAO%202004-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pPr>
            <a:r>
              <a:rPr lang="en-US" sz="1400" b="1"/>
              <a:t>Patrimonio Neto </a:t>
            </a:r>
            <a:r>
              <a:rPr lang="en-US" sz="1200" b="0"/>
              <a:t>(miles de euros)</a:t>
            </a:r>
          </a:p>
        </c:rich>
      </c:tx>
      <c:overlay val="0"/>
    </c:title>
    <c:autoTitleDeleted val="0"/>
    <c:plotArea>
      <c:layout/>
      <c:lineChart>
        <c:grouping val="standard"/>
        <c:varyColors val="0"/>
        <c:ser>
          <c:idx val="0"/>
          <c:order val="0"/>
          <c:tx>
            <c:strRef>
              <c:f>Teresa!$A$5</c:f>
              <c:strCache>
                <c:ptCount val="1"/>
                <c:pt idx="0">
                  <c:v>Patrimonio Neto</c:v>
                </c:pt>
              </c:strCache>
            </c:strRef>
          </c:tx>
          <c:spPr>
            <a:ln>
              <a:solidFill>
                <a:srgbClr val="C00000"/>
              </a:solidFill>
            </a:ln>
          </c:spPr>
          <c:marker>
            <c:symbol val="none"/>
          </c:marker>
          <c:cat>
            <c:strRef>
              <c:f>Teresa!$B$3:$L$4</c:f>
              <c:strCache>
                <c:ptCount val="11"/>
                <c:pt idx="0">
                  <c:v>2004</c:v>
                </c:pt>
                <c:pt idx="1">
                  <c:v>2005</c:v>
                </c:pt>
                <c:pt idx="2">
                  <c:v>2006</c:v>
                </c:pt>
                <c:pt idx="3">
                  <c:v>2007</c:v>
                </c:pt>
                <c:pt idx="4">
                  <c:v>2008</c:v>
                </c:pt>
                <c:pt idx="5">
                  <c:v>2009</c:v>
                </c:pt>
                <c:pt idx="6">
                  <c:v>2010</c:v>
                </c:pt>
                <c:pt idx="7">
                  <c:v>2011</c:v>
                </c:pt>
                <c:pt idx="8">
                  <c:v>2012</c:v>
                </c:pt>
                <c:pt idx="9">
                  <c:v>2013</c:v>
                </c:pt>
                <c:pt idx="10">
                  <c:v>2014</c:v>
                </c:pt>
              </c:strCache>
            </c:strRef>
          </c:cat>
          <c:val>
            <c:numRef>
              <c:f>Teresa!$B$5:$L$5</c:f>
              <c:numCache>
                <c:formatCode>#,##0</c:formatCode>
                <c:ptCount val="11"/>
                <c:pt idx="0">
                  <c:v>3675</c:v>
                </c:pt>
                <c:pt idx="1">
                  <c:v>5573</c:v>
                </c:pt>
                <c:pt idx="2">
                  <c:v>7441</c:v>
                </c:pt>
                <c:pt idx="3">
                  <c:v>16768</c:v>
                </c:pt>
                <c:pt idx="4">
                  <c:v>15810</c:v>
                </c:pt>
                <c:pt idx="5">
                  <c:v>15485</c:v>
                </c:pt>
                <c:pt idx="6">
                  <c:v>15311</c:v>
                </c:pt>
                <c:pt idx="7">
                  <c:v>16358</c:v>
                </c:pt>
                <c:pt idx="8">
                  <c:v>14566</c:v>
                </c:pt>
                <c:pt idx="9">
                  <c:v>7954</c:v>
                </c:pt>
                <c:pt idx="10">
                  <c:v>3466</c:v>
                </c:pt>
              </c:numCache>
            </c:numRef>
          </c:val>
          <c:smooth val="0"/>
        </c:ser>
        <c:dLbls>
          <c:showLegendKey val="0"/>
          <c:showVal val="0"/>
          <c:showCatName val="0"/>
          <c:showSerName val="0"/>
          <c:showPercent val="0"/>
          <c:showBubbleSize val="0"/>
        </c:dLbls>
        <c:marker val="1"/>
        <c:smooth val="0"/>
        <c:axId val="46516736"/>
        <c:axId val="130206528"/>
      </c:lineChart>
      <c:catAx>
        <c:axId val="46516736"/>
        <c:scaling>
          <c:orientation val="minMax"/>
        </c:scaling>
        <c:delete val="0"/>
        <c:axPos val="b"/>
        <c:majorTickMark val="out"/>
        <c:minorTickMark val="none"/>
        <c:tickLblPos val="nextTo"/>
        <c:txPr>
          <a:bodyPr/>
          <a:lstStyle/>
          <a:p>
            <a:pPr>
              <a:defRPr sz="800">
                <a:latin typeface="Arial" pitchFamily="34" charset="0"/>
                <a:cs typeface="Arial" pitchFamily="34" charset="0"/>
              </a:defRPr>
            </a:pPr>
            <a:endParaRPr lang="es-ES"/>
          </a:p>
        </c:txPr>
        <c:crossAx val="130206528"/>
        <c:crosses val="autoZero"/>
        <c:auto val="1"/>
        <c:lblAlgn val="ctr"/>
        <c:lblOffset val="100"/>
        <c:noMultiLvlLbl val="0"/>
      </c:catAx>
      <c:valAx>
        <c:axId val="130206528"/>
        <c:scaling>
          <c:orientation val="minMax"/>
        </c:scaling>
        <c:delete val="0"/>
        <c:axPos val="l"/>
        <c:majorGridlines/>
        <c:numFmt formatCode="#,##0" sourceLinked="1"/>
        <c:majorTickMark val="out"/>
        <c:minorTickMark val="none"/>
        <c:tickLblPos val="nextTo"/>
        <c:txPr>
          <a:bodyPr/>
          <a:lstStyle/>
          <a:p>
            <a:pPr>
              <a:defRPr sz="800">
                <a:latin typeface="Arial" pitchFamily="34" charset="0"/>
                <a:cs typeface="Arial" pitchFamily="34" charset="0"/>
              </a:defRPr>
            </a:pPr>
            <a:endParaRPr lang="es-ES"/>
          </a:p>
        </c:txPr>
        <c:crossAx val="46516736"/>
        <c:crosses val="autoZero"/>
        <c:crossBetween val="between"/>
      </c:valAx>
      <c:spPr>
        <a:noFill/>
        <a:ln>
          <a:noFill/>
        </a:ln>
      </c:spPr>
    </c:plotArea>
    <c:plotVisOnly val="1"/>
    <c:dispBlanksAs val="gap"/>
    <c:showDLblsOverMax val="0"/>
  </c:chart>
  <c:spPr>
    <a:no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200"/>
            </a:pPr>
            <a:r>
              <a:rPr lang="en-US" sz="1200"/>
              <a:t>Deuda con entidades financieras </a:t>
            </a:r>
            <a:r>
              <a:rPr lang="en-US" sz="1200" b="0"/>
              <a:t>(miles de euros)</a:t>
            </a:r>
          </a:p>
        </c:rich>
      </c:tx>
      <c:layout>
        <c:manualLayout>
          <c:xMode val="edge"/>
          <c:yMode val="edge"/>
          <c:x val="0.23239872394765734"/>
          <c:y val="2.3148148148148147E-2"/>
        </c:manualLayout>
      </c:layout>
      <c:overlay val="0"/>
    </c:title>
    <c:autoTitleDeleted val="0"/>
    <c:plotArea>
      <c:layout/>
      <c:lineChart>
        <c:grouping val="standard"/>
        <c:varyColors val="0"/>
        <c:ser>
          <c:idx val="1"/>
          <c:order val="0"/>
          <c:tx>
            <c:strRef>
              <c:f>Teresa!$A$31:$B$31</c:f>
              <c:strCache>
                <c:ptCount val="1"/>
                <c:pt idx="0">
                  <c:v>Deuda con entidades financieras</c:v>
                </c:pt>
              </c:strCache>
            </c:strRef>
          </c:tx>
          <c:spPr>
            <a:ln>
              <a:solidFill>
                <a:srgbClr val="C00000"/>
              </a:solidFill>
            </a:ln>
          </c:spPr>
          <c:marker>
            <c:symbol val="none"/>
          </c:marker>
          <c:cat>
            <c:strRef>
              <c:f>Teresa!$C$29:$M$29</c:f>
              <c:strCache>
                <c:ptCount val="11"/>
                <c:pt idx="0">
                  <c:v>2004</c:v>
                </c:pt>
                <c:pt idx="1">
                  <c:v>2005</c:v>
                </c:pt>
                <c:pt idx="2">
                  <c:v>2006</c:v>
                </c:pt>
                <c:pt idx="3">
                  <c:v>2007</c:v>
                </c:pt>
                <c:pt idx="4">
                  <c:v>2008</c:v>
                </c:pt>
                <c:pt idx="5">
                  <c:v>2009</c:v>
                </c:pt>
                <c:pt idx="6">
                  <c:v>2010</c:v>
                </c:pt>
                <c:pt idx="7">
                  <c:v>2011</c:v>
                </c:pt>
                <c:pt idx="8">
                  <c:v>2012</c:v>
                </c:pt>
                <c:pt idx="9">
                  <c:v>2013</c:v>
                </c:pt>
                <c:pt idx="10">
                  <c:v>2014</c:v>
                </c:pt>
              </c:strCache>
            </c:strRef>
          </c:cat>
          <c:val>
            <c:numRef>
              <c:f>Teresa!$C$31:$M$31</c:f>
              <c:numCache>
                <c:formatCode>#,##0</c:formatCode>
                <c:ptCount val="11"/>
                <c:pt idx="0">
                  <c:v>23410</c:v>
                </c:pt>
                <c:pt idx="1">
                  <c:v>26277</c:v>
                </c:pt>
                <c:pt idx="2">
                  <c:v>28175</c:v>
                </c:pt>
                <c:pt idx="3">
                  <c:v>28464</c:v>
                </c:pt>
                <c:pt idx="4">
                  <c:v>36285</c:v>
                </c:pt>
                <c:pt idx="5">
                  <c:v>30536</c:v>
                </c:pt>
                <c:pt idx="6">
                  <c:v>27455</c:v>
                </c:pt>
                <c:pt idx="7">
                  <c:v>31344</c:v>
                </c:pt>
                <c:pt idx="8">
                  <c:v>26592</c:v>
                </c:pt>
                <c:pt idx="9">
                  <c:v>18814</c:v>
                </c:pt>
                <c:pt idx="10">
                  <c:v>12811</c:v>
                </c:pt>
              </c:numCache>
            </c:numRef>
          </c:val>
          <c:smooth val="0"/>
        </c:ser>
        <c:dLbls>
          <c:showLegendKey val="0"/>
          <c:showVal val="0"/>
          <c:showCatName val="0"/>
          <c:showSerName val="0"/>
          <c:showPercent val="0"/>
          <c:showBubbleSize val="0"/>
        </c:dLbls>
        <c:marker val="1"/>
        <c:smooth val="0"/>
        <c:axId val="130254336"/>
        <c:axId val="125595584"/>
      </c:lineChart>
      <c:catAx>
        <c:axId val="130254336"/>
        <c:scaling>
          <c:orientation val="minMax"/>
          <c:min val="1"/>
        </c:scaling>
        <c:delete val="0"/>
        <c:axPos val="b"/>
        <c:numFmt formatCode="d\-mmm\-yy" sourceLinked="1"/>
        <c:majorTickMark val="out"/>
        <c:minorTickMark val="none"/>
        <c:tickLblPos val="nextTo"/>
        <c:txPr>
          <a:bodyPr/>
          <a:lstStyle/>
          <a:p>
            <a:pPr>
              <a:defRPr sz="800">
                <a:latin typeface="Arial" pitchFamily="34" charset="0"/>
                <a:cs typeface="Arial" pitchFamily="34" charset="0"/>
              </a:defRPr>
            </a:pPr>
            <a:endParaRPr lang="es-ES"/>
          </a:p>
        </c:txPr>
        <c:crossAx val="125595584"/>
        <c:crosses val="autoZero"/>
        <c:auto val="1"/>
        <c:lblAlgn val="ctr"/>
        <c:lblOffset val="100"/>
        <c:noMultiLvlLbl val="0"/>
      </c:catAx>
      <c:valAx>
        <c:axId val="125595584"/>
        <c:scaling>
          <c:orientation val="minMax"/>
        </c:scaling>
        <c:delete val="0"/>
        <c:axPos val="l"/>
        <c:majorGridlines/>
        <c:numFmt formatCode="#,##0" sourceLinked="1"/>
        <c:majorTickMark val="out"/>
        <c:minorTickMark val="none"/>
        <c:tickLblPos val="nextTo"/>
        <c:txPr>
          <a:bodyPr/>
          <a:lstStyle/>
          <a:p>
            <a:pPr>
              <a:defRPr sz="800">
                <a:latin typeface="Arial" pitchFamily="34" charset="0"/>
                <a:cs typeface="Arial" pitchFamily="34" charset="0"/>
              </a:defRPr>
            </a:pPr>
            <a:endParaRPr lang="es-ES"/>
          </a:p>
        </c:txPr>
        <c:crossAx val="13025433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200"/>
              <a:t>Deuda con la  Hacienda Pública </a:t>
            </a:r>
            <a:r>
              <a:rPr lang="es-ES" sz="1200" b="0"/>
              <a:t>(miles de euros)</a:t>
            </a:r>
          </a:p>
        </c:rich>
      </c:tx>
      <c:overlay val="0"/>
    </c:title>
    <c:autoTitleDeleted val="0"/>
    <c:plotArea>
      <c:layout/>
      <c:lineChart>
        <c:grouping val="standard"/>
        <c:varyColors val="0"/>
        <c:ser>
          <c:idx val="1"/>
          <c:order val="0"/>
          <c:tx>
            <c:strRef>
              <c:f>Teresa!$A$53:$B$53</c:f>
              <c:strCache>
                <c:ptCount val="1"/>
                <c:pt idx="0">
                  <c:v>Deuda con la  Hacienda Pública</c:v>
                </c:pt>
              </c:strCache>
            </c:strRef>
          </c:tx>
          <c:spPr>
            <a:ln>
              <a:solidFill>
                <a:srgbClr val="C00000"/>
              </a:solidFill>
            </a:ln>
          </c:spPr>
          <c:marker>
            <c:symbol val="none"/>
          </c:marker>
          <c:cat>
            <c:strRef>
              <c:f>Teresa!$C$51:$M$51</c:f>
              <c:strCache>
                <c:ptCount val="11"/>
                <c:pt idx="0">
                  <c:v>2004</c:v>
                </c:pt>
                <c:pt idx="1">
                  <c:v>2005</c:v>
                </c:pt>
                <c:pt idx="2">
                  <c:v>2006</c:v>
                </c:pt>
                <c:pt idx="3">
                  <c:v>2007</c:v>
                </c:pt>
                <c:pt idx="4">
                  <c:v>2008</c:v>
                </c:pt>
                <c:pt idx="5">
                  <c:v>2009</c:v>
                </c:pt>
                <c:pt idx="6">
                  <c:v>2010</c:v>
                </c:pt>
                <c:pt idx="7">
                  <c:v>2011</c:v>
                </c:pt>
                <c:pt idx="8">
                  <c:v>2012</c:v>
                </c:pt>
                <c:pt idx="9">
                  <c:v>2013</c:v>
                </c:pt>
                <c:pt idx="10">
                  <c:v>2014</c:v>
                </c:pt>
              </c:strCache>
            </c:strRef>
          </c:cat>
          <c:val>
            <c:numRef>
              <c:f>Teresa!$C$53:$M$53</c:f>
              <c:numCache>
                <c:formatCode>#,##0</c:formatCode>
                <c:ptCount val="11"/>
                <c:pt idx="0">
                  <c:v>2754</c:v>
                </c:pt>
                <c:pt idx="1">
                  <c:v>4889</c:v>
                </c:pt>
                <c:pt idx="2">
                  <c:v>3196</c:v>
                </c:pt>
                <c:pt idx="3">
                  <c:v>5969</c:v>
                </c:pt>
                <c:pt idx="4">
                  <c:v>11131</c:v>
                </c:pt>
                <c:pt idx="5">
                  <c:v>17856</c:v>
                </c:pt>
                <c:pt idx="6">
                  <c:v>21631</c:v>
                </c:pt>
                <c:pt idx="7">
                  <c:v>15769</c:v>
                </c:pt>
                <c:pt idx="8">
                  <c:v>32210</c:v>
                </c:pt>
                <c:pt idx="9">
                  <c:v>48150</c:v>
                </c:pt>
                <c:pt idx="10">
                  <c:v>46341</c:v>
                </c:pt>
              </c:numCache>
            </c:numRef>
          </c:val>
          <c:smooth val="0"/>
        </c:ser>
        <c:dLbls>
          <c:showLegendKey val="0"/>
          <c:showVal val="0"/>
          <c:showCatName val="0"/>
          <c:showSerName val="0"/>
          <c:showPercent val="0"/>
          <c:showBubbleSize val="0"/>
        </c:dLbls>
        <c:marker val="1"/>
        <c:smooth val="0"/>
        <c:axId val="130256384"/>
        <c:axId val="125597312"/>
      </c:lineChart>
      <c:catAx>
        <c:axId val="130256384"/>
        <c:scaling>
          <c:orientation val="minMax"/>
        </c:scaling>
        <c:delete val="0"/>
        <c:axPos val="b"/>
        <c:majorTickMark val="out"/>
        <c:minorTickMark val="none"/>
        <c:tickLblPos val="nextTo"/>
        <c:txPr>
          <a:bodyPr/>
          <a:lstStyle/>
          <a:p>
            <a:pPr>
              <a:defRPr sz="800">
                <a:latin typeface="Arial" pitchFamily="34" charset="0"/>
                <a:cs typeface="Arial" pitchFamily="34" charset="0"/>
              </a:defRPr>
            </a:pPr>
            <a:endParaRPr lang="es-ES"/>
          </a:p>
        </c:txPr>
        <c:crossAx val="125597312"/>
        <c:crosses val="autoZero"/>
        <c:auto val="1"/>
        <c:lblAlgn val="ctr"/>
        <c:lblOffset val="100"/>
        <c:noMultiLvlLbl val="0"/>
      </c:catAx>
      <c:valAx>
        <c:axId val="125597312"/>
        <c:scaling>
          <c:orientation val="minMax"/>
        </c:scaling>
        <c:delete val="0"/>
        <c:axPos val="l"/>
        <c:majorGridlines/>
        <c:numFmt formatCode="#,##0" sourceLinked="1"/>
        <c:majorTickMark val="out"/>
        <c:minorTickMark val="none"/>
        <c:tickLblPos val="nextTo"/>
        <c:txPr>
          <a:bodyPr/>
          <a:lstStyle/>
          <a:p>
            <a:pPr>
              <a:defRPr sz="800">
                <a:latin typeface="Arial" pitchFamily="34" charset="0"/>
                <a:cs typeface="Arial" pitchFamily="34" charset="0"/>
              </a:defRPr>
            </a:pPr>
            <a:endParaRPr lang="es-ES"/>
          </a:p>
        </c:txPr>
        <c:crossAx val="130256384"/>
        <c:crosses val="autoZero"/>
        <c:crossBetween val="between"/>
      </c:valAx>
    </c:plotArea>
    <c:plotVisOnly val="1"/>
    <c:dispBlanksAs val="gap"/>
    <c:showDLblsOverMax val="0"/>
  </c:chart>
  <c:spPr>
    <a:no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s-ES" sz="1200"/>
              <a:t>Deuda de la Fundación Osasuna </a:t>
            </a:r>
            <a:r>
              <a:rPr lang="es-ES" sz="1200" b="0"/>
              <a:t>(miles de euros)</a:t>
            </a:r>
          </a:p>
        </c:rich>
      </c:tx>
      <c:overlay val="0"/>
    </c:title>
    <c:autoTitleDeleted val="0"/>
    <c:plotArea>
      <c:layout/>
      <c:lineChart>
        <c:grouping val="standard"/>
        <c:varyColors val="0"/>
        <c:ser>
          <c:idx val="1"/>
          <c:order val="0"/>
          <c:tx>
            <c:strRef>
              <c:f>Teresa!$A$75:$B$75</c:f>
              <c:strCache>
                <c:ptCount val="1"/>
                <c:pt idx="0">
                  <c:v>Deuda de la Fundación Osasuna</c:v>
                </c:pt>
              </c:strCache>
            </c:strRef>
          </c:tx>
          <c:spPr>
            <a:ln>
              <a:solidFill>
                <a:srgbClr val="C00000"/>
              </a:solidFill>
            </a:ln>
          </c:spPr>
          <c:marker>
            <c:symbol val="none"/>
          </c:marker>
          <c:cat>
            <c:strRef>
              <c:f>Teresa!$C$73:$L$73</c:f>
              <c:strCache>
                <c:ptCount val="10"/>
                <c:pt idx="0">
                  <c:v>2005</c:v>
                </c:pt>
                <c:pt idx="1">
                  <c:v>2006</c:v>
                </c:pt>
                <c:pt idx="2">
                  <c:v>2007</c:v>
                </c:pt>
                <c:pt idx="3">
                  <c:v>2008</c:v>
                </c:pt>
                <c:pt idx="4">
                  <c:v>2009</c:v>
                </c:pt>
                <c:pt idx="5">
                  <c:v>2010</c:v>
                </c:pt>
                <c:pt idx="6">
                  <c:v>2011</c:v>
                </c:pt>
                <c:pt idx="7">
                  <c:v>2012</c:v>
                </c:pt>
                <c:pt idx="8">
                  <c:v>2013</c:v>
                </c:pt>
                <c:pt idx="9">
                  <c:v>2014</c:v>
                </c:pt>
              </c:strCache>
            </c:strRef>
          </c:cat>
          <c:val>
            <c:numRef>
              <c:f>Teresa!$C$75:$L$75</c:f>
              <c:numCache>
                <c:formatCode>#,##0</c:formatCode>
                <c:ptCount val="10"/>
                <c:pt idx="0">
                  <c:v>2162</c:v>
                </c:pt>
                <c:pt idx="1">
                  <c:v>1431</c:v>
                </c:pt>
                <c:pt idx="2">
                  <c:v>937</c:v>
                </c:pt>
                <c:pt idx="3">
                  <c:v>3377</c:v>
                </c:pt>
                <c:pt idx="4">
                  <c:v>6205</c:v>
                </c:pt>
                <c:pt idx="5">
                  <c:v>7138</c:v>
                </c:pt>
                <c:pt idx="6">
                  <c:v>9687</c:v>
                </c:pt>
                <c:pt idx="7">
                  <c:v>8720</c:v>
                </c:pt>
                <c:pt idx="8">
                  <c:v>12370</c:v>
                </c:pt>
                <c:pt idx="9">
                  <c:v>12595</c:v>
                </c:pt>
              </c:numCache>
            </c:numRef>
          </c:val>
          <c:smooth val="0"/>
        </c:ser>
        <c:dLbls>
          <c:showLegendKey val="0"/>
          <c:showVal val="0"/>
          <c:showCatName val="0"/>
          <c:showSerName val="0"/>
          <c:showPercent val="0"/>
          <c:showBubbleSize val="0"/>
        </c:dLbls>
        <c:marker val="1"/>
        <c:smooth val="0"/>
        <c:axId val="135692288"/>
        <c:axId val="125599040"/>
      </c:lineChart>
      <c:catAx>
        <c:axId val="135692288"/>
        <c:scaling>
          <c:orientation val="minMax"/>
        </c:scaling>
        <c:delete val="0"/>
        <c:axPos val="b"/>
        <c:majorTickMark val="out"/>
        <c:minorTickMark val="none"/>
        <c:tickLblPos val="nextTo"/>
        <c:txPr>
          <a:bodyPr/>
          <a:lstStyle/>
          <a:p>
            <a:pPr>
              <a:defRPr sz="800">
                <a:latin typeface="Arial" pitchFamily="34" charset="0"/>
                <a:cs typeface="Arial" pitchFamily="34" charset="0"/>
              </a:defRPr>
            </a:pPr>
            <a:endParaRPr lang="es-ES"/>
          </a:p>
        </c:txPr>
        <c:crossAx val="125599040"/>
        <c:crosses val="autoZero"/>
        <c:auto val="1"/>
        <c:lblAlgn val="ctr"/>
        <c:lblOffset val="100"/>
        <c:noMultiLvlLbl val="0"/>
      </c:catAx>
      <c:valAx>
        <c:axId val="125599040"/>
        <c:scaling>
          <c:orientation val="minMax"/>
        </c:scaling>
        <c:delete val="0"/>
        <c:axPos val="l"/>
        <c:majorGridlines/>
        <c:numFmt formatCode="#,##0" sourceLinked="1"/>
        <c:majorTickMark val="out"/>
        <c:minorTickMark val="none"/>
        <c:tickLblPos val="nextTo"/>
        <c:txPr>
          <a:bodyPr/>
          <a:lstStyle/>
          <a:p>
            <a:pPr>
              <a:defRPr sz="800">
                <a:latin typeface="Arial" pitchFamily="34" charset="0"/>
                <a:cs typeface="Arial" pitchFamily="34" charset="0"/>
              </a:defRPr>
            </a:pPr>
            <a:endParaRPr lang="es-ES"/>
          </a:p>
        </c:txPr>
        <c:crossAx val="13569228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s-ES" sz="1200"/>
              <a:t>Fondo de Maniobra </a:t>
            </a:r>
            <a:r>
              <a:rPr lang="es-ES" sz="1200" b="0"/>
              <a:t>(miles de euros)</a:t>
            </a:r>
          </a:p>
        </c:rich>
      </c:tx>
      <c:overlay val="0"/>
    </c:title>
    <c:autoTitleDeleted val="0"/>
    <c:plotArea>
      <c:layout/>
      <c:lineChart>
        <c:grouping val="standard"/>
        <c:varyColors val="0"/>
        <c:ser>
          <c:idx val="1"/>
          <c:order val="0"/>
          <c:tx>
            <c:strRef>
              <c:f>Teresa!$A$98:$B$98</c:f>
              <c:strCache>
                <c:ptCount val="1"/>
                <c:pt idx="0">
                  <c:v>Fondo de Maniobra</c:v>
                </c:pt>
              </c:strCache>
            </c:strRef>
          </c:tx>
          <c:spPr>
            <a:ln>
              <a:solidFill>
                <a:srgbClr val="C00000"/>
              </a:solidFill>
            </a:ln>
          </c:spPr>
          <c:marker>
            <c:symbol val="none"/>
          </c:marker>
          <c:cat>
            <c:strRef>
              <c:f>Teresa!$C$96:$M$96</c:f>
              <c:strCache>
                <c:ptCount val="11"/>
                <c:pt idx="0">
                  <c:v>2004</c:v>
                </c:pt>
                <c:pt idx="1">
                  <c:v>2005</c:v>
                </c:pt>
                <c:pt idx="2">
                  <c:v>2006</c:v>
                </c:pt>
                <c:pt idx="3">
                  <c:v>2007</c:v>
                </c:pt>
                <c:pt idx="4">
                  <c:v>2008</c:v>
                </c:pt>
                <c:pt idx="5">
                  <c:v>2009</c:v>
                </c:pt>
                <c:pt idx="6">
                  <c:v>2010</c:v>
                </c:pt>
                <c:pt idx="7">
                  <c:v>2011</c:v>
                </c:pt>
                <c:pt idx="8">
                  <c:v>2012</c:v>
                </c:pt>
                <c:pt idx="9">
                  <c:v>2013</c:v>
                </c:pt>
                <c:pt idx="10">
                  <c:v>2014</c:v>
                </c:pt>
              </c:strCache>
            </c:strRef>
          </c:cat>
          <c:val>
            <c:numRef>
              <c:f>Teresa!$C$98:$M$98</c:f>
              <c:numCache>
                <c:formatCode>#,##0</c:formatCode>
                <c:ptCount val="11"/>
                <c:pt idx="0">
                  <c:v>-10492</c:v>
                </c:pt>
                <c:pt idx="1">
                  <c:v>-9843</c:v>
                </c:pt>
                <c:pt idx="2">
                  <c:v>-7797</c:v>
                </c:pt>
                <c:pt idx="3">
                  <c:v>-401</c:v>
                </c:pt>
                <c:pt idx="4">
                  <c:v>-15066</c:v>
                </c:pt>
                <c:pt idx="5">
                  <c:v>5680</c:v>
                </c:pt>
                <c:pt idx="6">
                  <c:v>-5558</c:v>
                </c:pt>
                <c:pt idx="7">
                  <c:v>6418</c:v>
                </c:pt>
                <c:pt idx="8">
                  <c:v>2997</c:v>
                </c:pt>
                <c:pt idx="9">
                  <c:v>-361</c:v>
                </c:pt>
                <c:pt idx="10">
                  <c:v>-12204</c:v>
                </c:pt>
              </c:numCache>
            </c:numRef>
          </c:val>
          <c:smooth val="0"/>
        </c:ser>
        <c:dLbls>
          <c:showLegendKey val="0"/>
          <c:showVal val="0"/>
          <c:showCatName val="0"/>
          <c:showSerName val="0"/>
          <c:showPercent val="0"/>
          <c:showBubbleSize val="0"/>
        </c:dLbls>
        <c:marker val="1"/>
        <c:smooth val="0"/>
        <c:axId val="130255360"/>
        <c:axId val="130205376"/>
      </c:lineChart>
      <c:catAx>
        <c:axId val="130255360"/>
        <c:scaling>
          <c:orientation val="minMax"/>
        </c:scaling>
        <c:delete val="0"/>
        <c:axPos val="b"/>
        <c:majorTickMark val="cross"/>
        <c:minorTickMark val="none"/>
        <c:tickLblPos val="low"/>
        <c:txPr>
          <a:bodyPr/>
          <a:lstStyle/>
          <a:p>
            <a:pPr>
              <a:defRPr sz="800">
                <a:latin typeface="Arial" pitchFamily="34" charset="0"/>
                <a:cs typeface="Arial" pitchFamily="34" charset="0"/>
              </a:defRPr>
            </a:pPr>
            <a:endParaRPr lang="es-ES"/>
          </a:p>
        </c:txPr>
        <c:crossAx val="130205376"/>
        <c:crosses val="autoZero"/>
        <c:auto val="1"/>
        <c:lblAlgn val="ctr"/>
        <c:lblOffset val="100"/>
        <c:noMultiLvlLbl val="0"/>
      </c:catAx>
      <c:valAx>
        <c:axId val="130205376"/>
        <c:scaling>
          <c:orientation val="minMax"/>
        </c:scaling>
        <c:delete val="0"/>
        <c:axPos val="l"/>
        <c:majorGridlines/>
        <c:numFmt formatCode="#,##0" sourceLinked="1"/>
        <c:majorTickMark val="out"/>
        <c:minorTickMark val="none"/>
        <c:tickLblPos val="nextTo"/>
        <c:txPr>
          <a:bodyPr/>
          <a:lstStyle/>
          <a:p>
            <a:pPr>
              <a:defRPr sz="800">
                <a:latin typeface="Arial" pitchFamily="34" charset="0"/>
                <a:cs typeface="Arial" pitchFamily="34" charset="0"/>
              </a:defRPr>
            </a:pPr>
            <a:endParaRPr lang="es-ES"/>
          </a:p>
        </c:txPr>
        <c:crossAx val="130255360"/>
        <c:crossesAt val="1"/>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Resultado del ejercicio</a:t>
            </a:r>
            <a:r>
              <a:rPr lang="en-US" sz="1200" b="0"/>
              <a:t> (miles</a:t>
            </a:r>
            <a:r>
              <a:rPr lang="en-US" sz="1200" b="0" baseline="0"/>
              <a:t> de euros)</a:t>
            </a:r>
            <a:endParaRPr lang="en-US" sz="1200" b="0"/>
          </a:p>
        </c:rich>
      </c:tx>
      <c:overlay val="0"/>
    </c:title>
    <c:autoTitleDeleted val="0"/>
    <c:plotArea>
      <c:layout/>
      <c:lineChart>
        <c:grouping val="standard"/>
        <c:varyColors val="0"/>
        <c:ser>
          <c:idx val="1"/>
          <c:order val="0"/>
          <c:tx>
            <c:strRef>
              <c:f>Teresa!$A$120:$B$120</c:f>
              <c:strCache>
                <c:ptCount val="1"/>
                <c:pt idx="0">
                  <c:v>Resultado del ejercicio</c:v>
                </c:pt>
              </c:strCache>
            </c:strRef>
          </c:tx>
          <c:spPr>
            <a:ln>
              <a:solidFill>
                <a:srgbClr val="C00000"/>
              </a:solidFill>
            </a:ln>
          </c:spPr>
          <c:marker>
            <c:symbol val="none"/>
          </c:marker>
          <c:cat>
            <c:strRef>
              <c:f>Teresa!$C$118:$M$118</c:f>
              <c:strCache>
                <c:ptCount val="11"/>
                <c:pt idx="0">
                  <c:v>2004</c:v>
                </c:pt>
                <c:pt idx="1">
                  <c:v>2005</c:v>
                </c:pt>
                <c:pt idx="2">
                  <c:v>2006</c:v>
                </c:pt>
                <c:pt idx="3">
                  <c:v>2007</c:v>
                </c:pt>
                <c:pt idx="4">
                  <c:v>2008</c:v>
                </c:pt>
                <c:pt idx="5">
                  <c:v>2009</c:v>
                </c:pt>
                <c:pt idx="6">
                  <c:v>2010</c:v>
                </c:pt>
                <c:pt idx="7">
                  <c:v>2011</c:v>
                </c:pt>
                <c:pt idx="8">
                  <c:v>2012</c:v>
                </c:pt>
                <c:pt idx="9">
                  <c:v>2013</c:v>
                </c:pt>
                <c:pt idx="10">
                  <c:v>2014</c:v>
                </c:pt>
              </c:strCache>
            </c:strRef>
          </c:cat>
          <c:val>
            <c:numRef>
              <c:f>Teresa!$C$120:$M$120</c:f>
              <c:numCache>
                <c:formatCode>#,##0</c:formatCode>
                <c:ptCount val="11"/>
                <c:pt idx="0">
                  <c:v>1827</c:v>
                </c:pt>
                <c:pt idx="1">
                  <c:v>1769</c:v>
                </c:pt>
                <c:pt idx="2">
                  <c:v>2950</c:v>
                </c:pt>
                <c:pt idx="3">
                  <c:v>9458</c:v>
                </c:pt>
                <c:pt idx="4">
                  <c:v>-826</c:v>
                </c:pt>
                <c:pt idx="5">
                  <c:v>-193</c:v>
                </c:pt>
                <c:pt idx="6">
                  <c:v>-42</c:v>
                </c:pt>
                <c:pt idx="7">
                  <c:v>1498</c:v>
                </c:pt>
                <c:pt idx="8">
                  <c:v>-1712</c:v>
                </c:pt>
                <c:pt idx="9">
                  <c:v>3107</c:v>
                </c:pt>
                <c:pt idx="10">
                  <c:v>-2258</c:v>
                </c:pt>
              </c:numCache>
            </c:numRef>
          </c:val>
          <c:smooth val="0"/>
        </c:ser>
        <c:dLbls>
          <c:showLegendKey val="0"/>
          <c:showVal val="0"/>
          <c:showCatName val="0"/>
          <c:showSerName val="0"/>
          <c:showPercent val="0"/>
          <c:showBubbleSize val="0"/>
        </c:dLbls>
        <c:marker val="1"/>
        <c:smooth val="0"/>
        <c:axId val="135692800"/>
        <c:axId val="130208256"/>
      </c:lineChart>
      <c:catAx>
        <c:axId val="135692800"/>
        <c:scaling>
          <c:orientation val="minMax"/>
        </c:scaling>
        <c:delete val="0"/>
        <c:axPos val="b"/>
        <c:majorTickMark val="out"/>
        <c:minorTickMark val="none"/>
        <c:tickLblPos val="low"/>
        <c:txPr>
          <a:bodyPr/>
          <a:lstStyle/>
          <a:p>
            <a:pPr>
              <a:defRPr sz="800">
                <a:latin typeface="Arial" pitchFamily="34" charset="0"/>
                <a:cs typeface="Arial" pitchFamily="34" charset="0"/>
              </a:defRPr>
            </a:pPr>
            <a:endParaRPr lang="es-ES"/>
          </a:p>
        </c:txPr>
        <c:crossAx val="130208256"/>
        <c:crosses val="autoZero"/>
        <c:auto val="1"/>
        <c:lblAlgn val="ctr"/>
        <c:lblOffset val="100"/>
        <c:noMultiLvlLbl val="0"/>
      </c:catAx>
      <c:valAx>
        <c:axId val="130208256"/>
        <c:scaling>
          <c:orientation val="minMax"/>
        </c:scaling>
        <c:delete val="0"/>
        <c:axPos val="l"/>
        <c:majorGridlines/>
        <c:numFmt formatCode="#,##0" sourceLinked="1"/>
        <c:majorTickMark val="out"/>
        <c:minorTickMark val="none"/>
        <c:tickLblPos val="nextTo"/>
        <c:txPr>
          <a:bodyPr/>
          <a:lstStyle/>
          <a:p>
            <a:pPr>
              <a:defRPr sz="800">
                <a:latin typeface="Arial" pitchFamily="34" charset="0"/>
                <a:cs typeface="Arial" pitchFamily="34" charset="0"/>
              </a:defRPr>
            </a:pPr>
            <a:endParaRPr lang="es-ES"/>
          </a:p>
        </c:txPr>
        <c:crossAx val="13569280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0B2FC-97A9-403D-AAC7-35C3907F4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21528</Words>
  <Characters>118408</Characters>
  <Application>Microsoft Office Word</Application>
  <DocSecurity>0</DocSecurity>
  <Lines>986</Lines>
  <Paragraphs>279</Paragraphs>
  <ScaleCrop>false</ScaleCrop>
  <HeadingPairs>
    <vt:vector size="2" baseType="variant">
      <vt:variant>
        <vt:lpstr>Título</vt:lpstr>
      </vt:variant>
      <vt:variant>
        <vt:i4>1</vt:i4>
      </vt:variant>
    </vt:vector>
  </HeadingPairs>
  <TitlesOfParts>
    <vt:vector size="1" baseType="lpstr">
      <vt:lpstr>Borrador final</vt:lpstr>
    </vt:vector>
  </TitlesOfParts>
  <Company>Cámara de Comptos</Company>
  <LinksUpToDate>false</LinksUpToDate>
  <CharactersWithSpaces>139657</CharactersWithSpaces>
  <SharedDoc>false</SharedDoc>
  <HLinks>
    <vt:vector size="132" baseType="variant">
      <vt:variant>
        <vt:i4>1769526</vt:i4>
      </vt:variant>
      <vt:variant>
        <vt:i4>128</vt:i4>
      </vt:variant>
      <vt:variant>
        <vt:i4>0</vt:i4>
      </vt:variant>
      <vt:variant>
        <vt:i4>5</vt:i4>
      </vt:variant>
      <vt:variant>
        <vt:lpwstr/>
      </vt:variant>
      <vt:variant>
        <vt:lpwstr>_Toc395686859</vt:lpwstr>
      </vt:variant>
      <vt:variant>
        <vt:i4>1769526</vt:i4>
      </vt:variant>
      <vt:variant>
        <vt:i4>122</vt:i4>
      </vt:variant>
      <vt:variant>
        <vt:i4>0</vt:i4>
      </vt:variant>
      <vt:variant>
        <vt:i4>5</vt:i4>
      </vt:variant>
      <vt:variant>
        <vt:lpwstr/>
      </vt:variant>
      <vt:variant>
        <vt:lpwstr>_Toc395686858</vt:lpwstr>
      </vt:variant>
      <vt:variant>
        <vt:i4>1769526</vt:i4>
      </vt:variant>
      <vt:variant>
        <vt:i4>116</vt:i4>
      </vt:variant>
      <vt:variant>
        <vt:i4>0</vt:i4>
      </vt:variant>
      <vt:variant>
        <vt:i4>5</vt:i4>
      </vt:variant>
      <vt:variant>
        <vt:lpwstr/>
      </vt:variant>
      <vt:variant>
        <vt:lpwstr>_Toc395686857</vt:lpwstr>
      </vt:variant>
      <vt:variant>
        <vt:i4>1769526</vt:i4>
      </vt:variant>
      <vt:variant>
        <vt:i4>110</vt:i4>
      </vt:variant>
      <vt:variant>
        <vt:i4>0</vt:i4>
      </vt:variant>
      <vt:variant>
        <vt:i4>5</vt:i4>
      </vt:variant>
      <vt:variant>
        <vt:lpwstr/>
      </vt:variant>
      <vt:variant>
        <vt:lpwstr>_Toc395686856</vt:lpwstr>
      </vt:variant>
      <vt:variant>
        <vt:i4>1769526</vt:i4>
      </vt:variant>
      <vt:variant>
        <vt:i4>104</vt:i4>
      </vt:variant>
      <vt:variant>
        <vt:i4>0</vt:i4>
      </vt:variant>
      <vt:variant>
        <vt:i4>5</vt:i4>
      </vt:variant>
      <vt:variant>
        <vt:lpwstr/>
      </vt:variant>
      <vt:variant>
        <vt:lpwstr>_Toc395686855</vt:lpwstr>
      </vt:variant>
      <vt:variant>
        <vt:i4>1769526</vt:i4>
      </vt:variant>
      <vt:variant>
        <vt:i4>98</vt:i4>
      </vt:variant>
      <vt:variant>
        <vt:i4>0</vt:i4>
      </vt:variant>
      <vt:variant>
        <vt:i4>5</vt:i4>
      </vt:variant>
      <vt:variant>
        <vt:lpwstr/>
      </vt:variant>
      <vt:variant>
        <vt:lpwstr>_Toc395686854</vt:lpwstr>
      </vt:variant>
      <vt:variant>
        <vt:i4>1769526</vt:i4>
      </vt:variant>
      <vt:variant>
        <vt:i4>92</vt:i4>
      </vt:variant>
      <vt:variant>
        <vt:i4>0</vt:i4>
      </vt:variant>
      <vt:variant>
        <vt:i4>5</vt:i4>
      </vt:variant>
      <vt:variant>
        <vt:lpwstr/>
      </vt:variant>
      <vt:variant>
        <vt:lpwstr>_Toc395686853</vt:lpwstr>
      </vt:variant>
      <vt:variant>
        <vt:i4>1769526</vt:i4>
      </vt:variant>
      <vt:variant>
        <vt:i4>86</vt:i4>
      </vt:variant>
      <vt:variant>
        <vt:i4>0</vt:i4>
      </vt:variant>
      <vt:variant>
        <vt:i4>5</vt:i4>
      </vt:variant>
      <vt:variant>
        <vt:lpwstr/>
      </vt:variant>
      <vt:variant>
        <vt:lpwstr>_Toc395686852</vt:lpwstr>
      </vt:variant>
      <vt:variant>
        <vt:i4>1769526</vt:i4>
      </vt:variant>
      <vt:variant>
        <vt:i4>80</vt:i4>
      </vt:variant>
      <vt:variant>
        <vt:i4>0</vt:i4>
      </vt:variant>
      <vt:variant>
        <vt:i4>5</vt:i4>
      </vt:variant>
      <vt:variant>
        <vt:lpwstr/>
      </vt:variant>
      <vt:variant>
        <vt:lpwstr>_Toc395686851</vt:lpwstr>
      </vt:variant>
      <vt:variant>
        <vt:i4>1769526</vt:i4>
      </vt:variant>
      <vt:variant>
        <vt:i4>74</vt:i4>
      </vt:variant>
      <vt:variant>
        <vt:i4>0</vt:i4>
      </vt:variant>
      <vt:variant>
        <vt:i4>5</vt:i4>
      </vt:variant>
      <vt:variant>
        <vt:lpwstr/>
      </vt:variant>
      <vt:variant>
        <vt:lpwstr>_Toc395686850</vt:lpwstr>
      </vt:variant>
      <vt:variant>
        <vt:i4>1703990</vt:i4>
      </vt:variant>
      <vt:variant>
        <vt:i4>68</vt:i4>
      </vt:variant>
      <vt:variant>
        <vt:i4>0</vt:i4>
      </vt:variant>
      <vt:variant>
        <vt:i4>5</vt:i4>
      </vt:variant>
      <vt:variant>
        <vt:lpwstr/>
      </vt:variant>
      <vt:variant>
        <vt:lpwstr>_Toc395686849</vt:lpwstr>
      </vt:variant>
      <vt:variant>
        <vt:i4>1703990</vt:i4>
      </vt:variant>
      <vt:variant>
        <vt:i4>62</vt:i4>
      </vt:variant>
      <vt:variant>
        <vt:i4>0</vt:i4>
      </vt:variant>
      <vt:variant>
        <vt:i4>5</vt:i4>
      </vt:variant>
      <vt:variant>
        <vt:lpwstr/>
      </vt:variant>
      <vt:variant>
        <vt:lpwstr>_Toc395686848</vt:lpwstr>
      </vt:variant>
      <vt:variant>
        <vt:i4>1703990</vt:i4>
      </vt:variant>
      <vt:variant>
        <vt:i4>56</vt:i4>
      </vt:variant>
      <vt:variant>
        <vt:i4>0</vt:i4>
      </vt:variant>
      <vt:variant>
        <vt:i4>5</vt:i4>
      </vt:variant>
      <vt:variant>
        <vt:lpwstr/>
      </vt:variant>
      <vt:variant>
        <vt:lpwstr>_Toc395686847</vt:lpwstr>
      </vt:variant>
      <vt:variant>
        <vt:i4>1703990</vt:i4>
      </vt:variant>
      <vt:variant>
        <vt:i4>50</vt:i4>
      </vt:variant>
      <vt:variant>
        <vt:i4>0</vt:i4>
      </vt:variant>
      <vt:variant>
        <vt:i4>5</vt:i4>
      </vt:variant>
      <vt:variant>
        <vt:lpwstr/>
      </vt:variant>
      <vt:variant>
        <vt:lpwstr>_Toc395686846</vt:lpwstr>
      </vt:variant>
      <vt:variant>
        <vt:i4>1703990</vt:i4>
      </vt:variant>
      <vt:variant>
        <vt:i4>44</vt:i4>
      </vt:variant>
      <vt:variant>
        <vt:i4>0</vt:i4>
      </vt:variant>
      <vt:variant>
        <vt:i4>5</vt:i4>
      </vt:variant>
      <vt:variant>
        <vt:lpwstr/>
      </vt:variant>
      <vt:variant>
        <vt:lpwstr>_Toc395686845</vt:lpwstr>
      </vt:variant>
      <vt:variant>
        <vt:i4>1703990</vt:i4>
      </vt:variant>
      <vt:variant>
        <vt:i4>38</vt:i4>
      </vt:variant>
      <vt:variant>
        <vt:i4>0</vt:i4>
      </vt:variant>
      <vt:variant>
        <vt:i4>5</vt:i4>
      </vt:variant>
      <vt:variant>
        <vt:lpwstr/>
      </vt:variant>
      <vt:variant>
        <vt:lpwstr>_Toc395686844</vt:lpwstr>
      </vt:variant>
      <vt:variant>
        <vt:i4>1703990</vt:i4>
      </vt:variant>
      <vt:variant>
        <vt:i4>32</vt:i4>
      </vt:variant>
      <vt:variant>
        <vt:i4>0</vt:i4>
      </vt:variant>
      <vt:variant>
        <vt:i4>5</vt:i4>
      </vt:variant>
      <vt:variant>
        <vt:lpwstr/>
      </vt:variant>
      <vt:variant>
        <vt:lpwstr>_Toc395686843</vt:lpwstr>
      </vt:variant>
      <vt:variant>
        <vt:i4>1703990</vt:i4>
      </vt:variant>
      <vt:variant>
        <vt:i4>26</vt:i4>
      </vt:variant>
      <vt:variant>
        <vt:i4>0</vt:i4>
      </vt:variant>
      <vt:variant>
        <vt:i4>5</vt:i4>
      </vt:variant>
      <vt:variant>
        <vt:lpwstr/>
      </vt:variant>
      <vt:variant>
        <vt:lpwstr>_Toc395686842</vt:lpwstr>
      </vt:variant>
      <vt:variant>
        <vt:i4>1703990</vt:i4>
      </vt:variant>
      <vt:variant>
        <vt:i4>20</vt:i4>
      </vt:variant>
      <vt:variant>
        <vt:i4>0</vt:i4>
      </vt:variant>
      <vt:variant>
        <vt:i4>5</vt:i4>
      </vt:variant>
      <vt:variant>
        <vt:lpwstr/>
      </vt:variant>
      <vt:variant>
        <vt:lpwstr>_Toc395686841</vt:lpwstr>
      </vt:variant>
      <vt:variant>
        <vt:i4>1703990</vt:i4>
      </vt:variant>
      <vt:variant>
        <vt:i4>14</vt:i4>
      </vt:variant>
      <vt:variant>
        <vt:i4>0</vt:i4>
      </vt:variant>
      <vt:variant>
        <vt:i4>5</vt:i4>
      </vt:variant>
      <vt:variant>
        <vt:lpwstr/>
      </vt:variant>
      <vt:variant>
        <vt:lpwstr>_Toc395686840</vt:lpwstr>
      </vt:variant>
      <vt:variant>
        <vt:i4>1900598</vt:i4>
      </vt:variant>
      <vt:variant>
        <vt:i4>8</vt:i4>
      </vt:variant>
      <vt:variant>
        <vt:i4>0</vt:i4>
      </vt:variant>
      <vt:variant>
        <vt:i4>5</vt:i4>
      </vt:variant>
      <vt:variant>
        <vt:lpwstr/>
      </vt:variant>
      <vt:variant>
        <vt:lpwstr>_Toc395686839</vt:lpwstr>
      </vt:variant>
      <vt:variant>
        <vt:i4>1900598</vt:i4>
      </vt:variant>
      <vt:variant>
        <vt:i4>2</vt:i4>
      </vt:variant>
      <vt:variant>
        <vt:i4>0</vt:i4>
      </vt:variant>
      <vt:variant>
        <vt:i4>5</vt:i4>
      </vt:variant>
      <vt:variant>
        <vt:lpwstr/>
      </vt:variant>
      <vt:variant>
        <vt:lpwstr>_Toc395686838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final</dc:title>
  <dc:creator>D801319</dc:creator>
  <cp:lastModifiedBy>Aranaz, Carlota</cp:lastModifiedBy>
  <cp:revision>2</cp:revision>
  <cp:lastPrinted>2015-07-29T05:58:00Z</cp:lastPrinted>
  <dcterms:created xsi:type="dcterms:W3CDTF">2015-07-30T09:00:00Z</dcterms:created>
  <dcterms:modified xsi:type="dcterms:W3CDTF">2015-07-30T09:00:00Z</dcterms:modified>
</cp:coreProperties>
</file>