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73B7F" w:rsidRDefault="00CB70CD" w:rsidP="00207D58">
      <w:pPr>
        <w:pStyle w:val="EstiloPortada"/>
        <w:ind w:left="3840" w:right="-58"/>
        <w:rPr>
          <w:b w:val="0"/>
          <w:color w:val="BFBFBF" w:themeColor="background1" w:themeShade="BF"/>
        </w:rPr>
      </w:pPr>
      <w:r>
        <w:rPr>
          <w:b w:val="0"/>
          <w:noProof/>
          <w:color w:val="A6A6A6" w:themeColor="background1" w:themeShade="A6"/>
          <w:lang w:val="es-ES" w:eastAsia="es-ES" w:bidi="ar-SA"/>
        </w:rPr>
        <mc:AlternateContent>
          <mc:Choice Requires="wps">
            <w:drawing>
              <wp:anchor distT="0" distB="0" distL="114300" distR="114300" simplePos="0" relativeHeight="251657728" behindDoc="0" locked="0" layoutInCell="1" allowOverlap="1" wp14:anchorId="2D9148CD" wp14:editId="39A2A3E9">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F0092" w:rsidRPr="002C7026" w:rsidRDefault="001F0092" w:rsidP="002C7026">
                            <w:pPr>
                              <w:spacing w:after="0"/>
                              <w:ind w:firstLine="0"/>
                              <w:jc w:val="center"/>
                              <w:rPr>
                                <w:rFonts w:ascii="Trajan" w:hAnsi="Trajan"/>
                                <w:sz w:val="18"/>
                                <w:szCs w:val="18"/>
                              </w:rPr>
                            </w:pPr>
                            <w:r>
                              <w:rPr>
                                <w:rFonts w:ascii="Trajan" w:hAnsi="Trajan"/>
                                <w:sz w:val="18"/>
                              </w:rPr>
                              <w:t>Cámara de</w:t>
                            </w:r>
                          </w:p>
                          <w:p w:rsidR="001F0092" w:rsidRPr="002C7026" w:rsidRDefault="001F0092" w:rsidP="002C7026">
                            <w:pPr>
                              <w:spacing w:after="0"/>
                              <w:ind w:firstLine="0"/>
                              <w:jc w:val="center"/>
                              <w:rPr>
                                <w:rFonts w:ascii="Trajan" w:hAnsi="Trajan"/>
                                <w:sz w:val="18"/>
                                <w:szCs w:val="18"/>
                              </w:rPr>
                            </w:pPr>
                            <w:r>
                              <w:rPr>
                                <w:rFonts w:ascii="Trajan" w:hAnsi="Trajan"/>
                                <w:sz w:val="18"/>
                              </w:rPr>
                              <w:t>Comptos</w:t>
                            </w:r>
                          </w:p>
                          <w:p w:rsidR="001F0092" w:rsidRPr="002C7026" w:rsidRDefault="001F0092" w:rsidP="002C7026">
                            <w:pPr>
                              <w:spacing w:after="0"/>
                              <w:ind w:firstLine="0"/>
                              <w:jc w:val="center"/>
                              <w:rPr>
                                <w:rFonts w:ascii="Trajan" w:hAnsi="Trajan"/>
                                <w:sz w:val="18"/>
                                <w:szCs w:val="18"/>
                              </w:rPr>
                            </w:pPr>
                            <w:r>
                              <w:rPr>
                                <w:rFonts w:ascii="Trajan" w:hAnsi="Trajan"/>
                                <w:sz w:val="18"/>
                              </w:rPr>
                              <w:t>De Navarra</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Nafarroako</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Kontuen</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1F0092" w:rsidRPr="002C7026" w:rsidRDefault="001F0092" w:rsidP="002C7026">
                      <w:pPr>
                        <w:spacing w:after="0"/>
                        <w:ind w:firstLine="0"/>
                        <w:jc w:val="center"/>
                        <w:rPr>
                          <w:rFonts w:ascii="Trajan" w:hAnsi="Trajan"/>
                          <w:sz w:val="18"/>
                          <w:szCs w:val="18"/>
                        </w:rPr>
                      </w:pPr>
                      <w:r>
                        <w:rPr>
                          <w:rFonts w:ascii="Trajan" w:hAnsi="Trajan"/>
                          <w:sz w:val="18"/>
                        </w:rPr>
                        <w:t>Cámara de</w:t>
                      </w:r>
                    </w:p>
                    <w:p w:rsidR="001F0092" w:rsidRPr="002C7026" w:rsidRDefault="001F0092" w:rsidP="002C7026">
                      <w:pPr>
                        <w:spacing w:after="0"/>
                        <w:ind w:firstLine="0"/>
                        <w:jc w:val="center"/>
                        <w:rPr>
                          <w:rFonts w:ascii="Trajan" w:hAnsi="Trajan"/>
                          <w:sz w:val="18"/>
                          <w:szCs w:val="18"/>
                        </w:rPr>
                      </w:pPr>
                      <w:r>
                        <w:rPr>
                          <w:rFonts w:ascii="Trajan" w:hAnsi="Trajan"/>
                          <w:sz w:val="18"/>
                        </w:rPr>
                        <w:t>Comptos</w:t>
                      </w:r>
                    </w:p>
                    <w:p w:rsidR="001F0092" w:rsidRPr="002C7026" w:rsidRDefault="001F0092" w:rsidP="002C7026">
                      <w:pPr>
                        <w:spacing w:after="0"/>
                        <w:ind w:firstLine="0"/>
                        <w:jc w:val="center"/>
                        <w:rPr>
                          <w:rFonts w:ascii="Trajan" w:hAnsi="Trajan"/>
                          <w:sz w:val="18"/>
                          <w:szCs w:val="18"/>
                        </w:rPr>
                      </w:pPr>
                      <w:r>
                        <w:rPr>
                          <w:rFonts w:ascii="Trajan" w:hAnsi="Trajan"/>
                          <w:sz w:val="18"/>
                        </w:rPr>
                        <w:t>De Navarra</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Nafarroako</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Kontuen</w:t>
                      </w:r>
                    </w:p>
                    <w:p w:rsidR="001F0092" w:rsidRPr="002C7026" w:rsidRDefault="001F0092"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Pr="003C4D81" w:rsidRDefault="001C3A32" w:rsidP="00891D73">
      <w:pPr>
        <w:pStyle w:val="texto"/>
        <w:rPr>
          <w:rFonts w:ascii="Arial" w:hAnsi="Arial" w:cs="Arial"/>
          <w:b/>
          <w:sz w:val="36"/>
          <w:szCs w:val="36"/>
        </w:rPr>
      </w:pPr>
    </w:p>
    <w:p w:rsidR="00D7670F" w:rsidRPr="00BB29A4" w:rsidRDefault="003422E5" w:rsidP="00762200">
      <w:pPr>
        <w:pStyle w:val="EstiloPortada"/>
        <w:spacing w:before="0"/>
        <w:ind w:left="3544" w:right="-425"/>
        <w:rPr>
          <w:sz w:val="48"/>
          <w:szCs w:val="48"/>
        </w:rPr>
      </w:pPr>
      <w:r>
        <w:rPr>
          <w:sz w:val="48"/>
        </w:rPr>
        <w:t>Nafarroako Gobernuak e</w:t>
      </w:r>
      <w:r>
        <w:rPr>
          <w:sz w:val="48"/>
        </w:rPr>
        <w:t>n</w:t>
      </w:r>
      <w:r>
        <w:rPr>
          <w:sz w:val="48"/>
        </w:rPr>
        <w:t>titate eta elkarte batzuei emandako diru-laguntzei buruzko txostena, 2014</w:t>
      </w:r>
    </w:p>
    <w:p w:rsidR="001C3A32" w:rsidRDefault="001C3A32" w:rsidP="00BB29A4">
      <w:pPr>
        <w:pStyle w:val="texto"/>
        <w:ind w:left="1843" w:right="-142"/>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Pr="00204979" w:rsidRDefault="00BB29A4"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B52998" w:rsidRDefault="008411D3" w:rsidP="009936FC">
      <w:pPr>
        <w:pStyle w:val="Fechaportada"/>
      </w:pPr>
      <w:r>
        <w:t>2015eko iraila</w:t>
      </w:r>
    </w:p>
    <w:p w:rsidR="008E3FFE" w:rsidRPr="00B52998" w:rsidRDefault="008E3FFE" w:rsidP="00891D73">
      <w:pPr>
        <w:pStyle w:val="ndice"/>
        <w:rPr>
          <w:rFonts w:ascii="Times New Roman" w:hAnsi="Times New Roman"/>
          <w:color w:val="auto"/>
        </w:rPr>
        <w:sectPr w:rsidR="008E3FFE" w:rsidRPr="00B52998" w:rsidSect="00C13CBB">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4950CC" w:rsidRDefault="004950CC" w:rsidP="001841D5">
      <w:pPr>
        <w:pStyle w:val="texto"/>
        <w:ind w:right="-211"/>
        <w:jc w:val="right"/>
        <w:rPr>
          <w:smallCaps/>
          <w:sz w:val="20"/>
          <w:szCs w:val="20"/>
        </w:rPr>
      </w:pPr>
      <w:r>
        <w:tab/>
      </w:r>
      <w:r>
        <w:tab/>
      </w:r>
      <w:r>
        <w:tab/>
      </w:r>
      <w:r>
        <w:tab/>
      </w:r>
      <w:r>
        <w:tab/>
      </w:r>
      <w:r>
        <w:rPr>
          <w:smallCaps/>
          <w:sz w:val="20"/>
        </w:rPr>
        <w:t>orrialdea</w:t>
      </w:r>
    </w:p>
    <w:p w:rsidR="00931681" w:rsidRDefault="00882BEB">
      <w:pPr>
        <w:pStyle w:val="TDC1"/>
        <w:rPr>
          <w:rFonts w:asciiTheme="minorHAnsi" w:eastAsiaTheme="minorEastAsia" w:hAnsiTheme="minorHAnsi" w:cstheme="minorBidi"/>
          <w:smallCaps w:val="0"/>
          <w:noProof/>
          <w:szCs w:val="22"/>
          <w:lang w:val="es-ES" w:eastAsia="es-ES" w:bidi="ar-SA"/>
        </w:rPr>
      </w:pPr>
      <w:r>
        <w:fldChar w:fldCharType="begin"/>
      </w:r>
      <w:r>
        <w:instrText xml:space="preserve"> TOC \o "1-3" \h \z \t "atitulo1;1;atitulo2;2" </w:instrText>
      </w:r>
      <w:r>
        <w:fldChar w:fldCharType="separate"/>
      </w:r>
      <w:hyperlink w:anchor="_Toc442683853" w:history="1">
        <w:r w:rsidR="00931681" w:rsidRPr="000E69F0">
          <w:rPr>
            <w:rStyle w:val="Hipervnculo"/>
            <w:noProof/>
          </w:rPr>
          <w:t>I. Sarrera</w:t>
        </w:r>
        <w:r w:rsidR="00931681">
          <w:rPr>
            <w:noProof/>
            <w:webHidden/>
          </w:rPr>
          <w:tab/>
        </w:r>
        <w:r w:rsidR="00931681">
          <w:rPr>
            <w:noProof/>
            <w:webHidden/>
          </w:rPr>
          <w:fldChar w:fldCharType="begin"/>
        </w:r>
        <w:r w:rsidR="00931681">
          <w:rPr>
            <w:noProof/>
            <w:webHidden/>
          </w:rPr>
          <w:instrText xml:space="preserve"> PAGEREF _Toc442683853 \h </w:instrText>
        </w:r>
        <w:r w:rsidR="00931681">
          <w:rPr>
            <w:noProof/>
            <w:webHidden/>
          </w:rPr>
        </w:r>
        <w:r w:rsidR="00931681">
          <w:rPr>
            <w:noProof/>
            <w:webHidden/>
          </w:rPr>
          <w:fldChar w:fldCharType="separate"/>
        </w:r>
        <w:r w:rsidR="00931681">
          <w:rPr>
            <w:noProof/>
            <w:webHidden/>
          </w:rPr>
          <w:t>3</w:t>
        </w:r>
        <w:r w:rsidR="00931681">
          <w:rPr>
            <w:noProof/>
            <w:webHidden/>
          </w:rPr>
          <w:fldChar w:fldCharType="end"/>
        </w:r>
      </w:hyperlink>
    </w:p>
    <w:p w:rsidR="00931681" w:rsidRDefault="00931681">
      <w:pPr>
        <w:pStyle w:val="TDC1"/>
        <w:rPr>
          <w:rFonts w:asciiTheme="minorHAnsi" w:eastAsiaTheme="minorEastAsia" w:hAnsiTheme="minorHAnsi" w:cstheme="minorBidi"/>
          <w:smallCaps w:val="0"/>
          <w:noProof/>
          <w:szCs w:val="22"/>
          <w:lang w:val="es-ES" w:eastAsia="es-ES" w:bidi="ar-SA"/>
        </w:rPr>
      </w:pPr>
      <w:hyperlink w:anchor="_Toc442683854" w:history="1">
        <w:r w:rsidRPr="000E69F0">
          <w:rPr>
            <w:rStyle w:val="Hipervnculo"/>
            <w:noProof/>
          </w:rPr>
          <w:t>II. Helburua eta norainokoa</w:t>
        </w:r>
        <w:r>
          <w:rPr>
            <w:noProof/>
            <w:webHidden/>
          </w:rPr>
          <w:tab/>
        </w:r>
        <w:r>
          <w:rPr>
            <w:noProof/>
            <w:webHidden/>
          </w:rPr>
          <w:fldChar w:fldCharType="begin"/>
        </w:r>
        <w:r>
          <w:rPr>
            <w:noProof/>
            <w:webHidden/>
          </w:rPr>
          <w:instrText xml:space="preserve"> PAGEREF _Toc442683854 \h </w:instrText>
        </w:r>
        <w:r>
          <w:rPr>
            <w:noProof/>
            <w:webHidden/>
          </w:rPr>
        </w:r>
        <w:r>
          <w:rPr>
            <w:noProof/>
            <w:webHidden/>
          </w:rPr>
          <w:fldChar w:fldCharType="separate"/>
        </w:r>
        <w:r>
          <w:rPr>
            <w:noProof/>
            <w:webHidden/>
          </w:rPr>
          <w:t>4</w:t>
        </w:r>
        <w:r>
          <w:rPr>
            <w:noProof/>
            <w:webHidden/>
          </w:rPr>
          <w:fldChar w:fldCharType="end"/>
        </w:r>
      </w:hyperlink>
    </w:p>
    <w:p w:rsidR="00931681" w:rsidRDefault="00931681">
      <w:pPr>
        <w:pStyle w:val="TDC2"/>
        <w:rPr>
          <w:rFonts w:asciiTheme="minorHAnsi" w:eastAsiaTheme="minorEastAsia" w:hAnsiTheme="minorHAnsi" w:cstheme="minorBidi"/>
          <w:noProof/>
          <w:szCs w:val="22"/>
          <w:lang w:val="es-ES" w:eastAsia="es-ES" w:bidi="ar-SA"/>
        </w:rPr>
      </w:pPr>
      <w:hyperlink w:anchor="_Toc442683855" w:history="1">
        <w:r w:rsidRPr="000E69F0">
          <w:rPr>
            <w:rStyle w:val="Hipervnculo"/>
            <w:noProof/>
          </w:rPr>
          <w:t>II.1. Helburua</w:t>
        </w:r>
        <w:r>
          <w:rPr>
            <w:noProof/>
            <w:webHidden/>
          </w:rPr>
          <w:tab/>
        </w:r>
        <w:r>
          <w:rPr>
            <w:noProof/>
            <w:webHidden/>
          </w:rPr>
          <w:fldChar w:fldCharType="begin"/>
        </w:r>
        <w:r>
          <w:rPr>
            <w:noProof/>
            <w:webHidden/>
          </w:rPr>
          <w:instrText xml:space="preserve"> PAGEREF _Toc442683855 \h </w:instrText>
        </w:r>
        <w:r>
          <w:rPr>
            <w:noProof/>
            <w:webHidden/>
          </w:rPr>
        </w:r>
        <w:r>
          <w:rPr>
            <w:noProof/>
            <w:webHidden/>
          </w:rPr>
          <w:fldChar w:fldCharType="separate"/>
        </w:r>
        <w:r>
          <w:rPr>
            <w:noProof/>
            <w:webHidden/>
          </w:rPr>
          <w:t>4</w:t>
        </w:r>
        <w:r>
          <w:rPr>
            <w:noProof/>
            <w:webHidden/>
          </w:rPr>
          <w:fldChar w:fldCharType="end"/>
        </w:r>
      </w:hyperlink>
    </w:p>
    <w:p w:rsidR="00931681" w:rsidRDefault="00931681">
      <w:pPr>
        <w:pStyle w:val="TDC2"/>
        <w:rPr>
          <w:rFonts w:asciiTheme="minorHAnsi" w:eastAsiaTheme="minorEastAsia" w:hAnsiTheme="minorHAnsi" w:cstheme="minorBidi"/>
          <w:noProof/>
          <w:szCs w:val="22"/>
          <w:lang w:val="es-ES" w:eastAsia="es-ES" w:bidi="ar-SA"/>
        </w:rPr>
      </w:pPr>
      <w:hyperlink w:anchor="_Toc442683856" w:history="1">
        <w:r w:rsidRPr="000E69F0">
          <w:rPr>
            <w:rStyle w:val="Hipervnculo"/>
            <w:noProof/>
          </w:rPr>
          <w:t>II.2. Norainokoa</w:t>
        </w:r>
        <w:r>
          <w:rPr>
            <w:noProof/>
            <w:webHidden/>
          </w:rPr>
          <w:tab/>
        </w:r>
        <w:r>
          <w:rPr>
            <w:noProof/>
            <w:webHidden/>
          </w:rPr>
          <w:fldChar w:fldCharType="begin"/>
        </w:r>
        <w:r>
          <w:rPr>
            <w:noProof/>
            <w:webHidden/>
          </w:rPr>
          <w:instrText xml:space="preserve"> PAGEREF _Toc442683856 \h </w:instrText>
        </w:r>
        <w:r>
          <w:rPr>
            <w:noProof/>
            <w:webHidden/>
          </w:rPr>
        </w:r>
        <w:r>
          <w:rPr>
            <w:noProof/>
            <w:webHidden/>
          </w:rPr>
          <w:fldChar w:fldCharType="separate"/>
        </w:r>
        <w:r>
          <w:rPr>
            <w:noProof/>
            <w:webHidden/>
          </w:rPr>
          <w:t>4</w:t>
        </w:r>
        <w:r>
          <w:rPr>
            <w:noProof/>
            <w:webHidden/>
          </w:rPr>
          <w:fldChar w:fldCharType="end"/>
        </w:r>
      </w:hyperlink>
    </w:p>
    <w:p w:rsidR="00931681" w:rsidRDefault="00931681">
      <w:pPr>
        <w:pStyle w:val="TDC1"/>
        <w:rPr>
          <w:rFonts w:asciiTheme="minorHAnsi" w:eastAsiaTheme="minorEastAsia" w:hAnsiTheme="minorHAnsi" w:cstheme="minorBidi"/>
          <w:smallCaps w:val="0"/>
          <w:noProof/>
          <w:szCs w:val="22"/>
          <w:lang w:val="es-ES" w:eastAsia="es-ES" w:bidi="ar-SA"/>
        </w:rPr>
      </w:pPr>
      <w:hyperlink w:anchor="_Toc442683857" w:history="1">
        <w:r w:rsidRPr="000E69F0">
          <w:rPr>
            <w:rStyle w:val="Hipervnculo"/>
            <w:noProof/>
          </w:rPr>
          <w:t>III. Legezkotasunaren betetzeari buruzko iritzia</w:t>
        </w:r>
        <w:r>
          <w:rPr>
            <w:noProof/>
            <w:webHidden/>
          </w:rPr>
          <w:tab/>
        </w:r>
        <w:r>
          <w:rPr>
            <w:noProof/>
            <w:webHidden/>
          </w:rPr>
          <w:fldChar w:fldCharType="begin"/>
        </w:r>
        <w:r>
          <w:rPr>
            <w:noProof/>
            <w:webHidden/>
          </w:rPr>
          <w:instrText xml:space="preserve"> PAGEREF _Toc442683857 \h </w:instrText>
        </w:r>
        <w:r>
          <w:rPr>
            <w:noProof/>
            <w:webHidden/>
          </w:rPr>
        </w:r>
        <w:r>
          <w:rPr>
            <w:noProof/>
            <w:webHidden/>
          </w:rPr>
          <w:fldChar w:fldCharType="separate"/>
        </w:r>
        <w:r>
          <w:rPr>
            <w:noProof/>
            <w:webHidden/>
          </w:rPr>
          <w:t>6</w:t>
        </w:r>
        <w:r>
          <w:rPr>
            <w:noProof/>
            <w:webHidden/>
          </w:rPr>
          <w:fldChar w:fldCharType="end"/>
        </w:r>
      </w:hyperlink>
    </w:p>
    <w:p w:rsidR="00931681" w:rsidRDefault="00931681">
      <w:pPr>
        <w:pStyle w:val="TDC1"/>
        <w:rPr>
          <w:rFonts w:asciiTheme="minorHAnsi" w:eastAsiaTheme="minorEastAsia" w:hAnsiTheme="minorHAnsi" w:cstheme="minorBidi"/>
          <w:smallCaps w:val="0"/>
          <w:noProof/>
          <w:szCs w:val="22"/>
          <w:lang w:val="es-ES" w:eastAsia="es-ES" w:bidi="ar-SA"/>
        </w:rPr>
      </w:pPr>
      <w:hyperlink w:anchor="_Toc442683858" w:history="1">
        <w:r w:rsidRPr="000E69F0">
          <w:rPr>
            <w:rStyle w:val="Hipervnculo"/>
            <w:rFonts w:ascii="Arial (W1)" w:hAnsi="Arial (W1)"/>
            <w:noProof/>
            <w:spacing w:val="-4"/>
          </w:rPr>
          <w:t>IV. Oharpenak, emandako iritzian eraginik ez dutenak, eta gomendioak</w:t>
        </w:r>
        <w:r>
          <w:rPr>
            <w:noProof/>
            <w:webHidden/>
          </w:rPr>
          <w:tab/>
        </w:r>
        <w:r>
          <w:rPr>
            <w:noProof/>
            <w:webHidden/>
          </w:rPr>
          <w:fldChar w:fldCharType="begin"/>
        </w:r>
        <w:r>
          <w:rPr>
            <w:noProof/>
            <w:webHidden/>
          </w:rPr>
          <w:instrText xml:space="preserve"> PAGEREF _Toc442683858 \h </w:instrText>
        </w:r>
        <w:r>
          <w:rPr>
            <w:noProof/>
            <w:webHidden/>
          </w:rPr>
        </w:r>
        <w:r>
          <w:rPr>
            <w:noProof/>
            <w:webHidden/>
          </w:rPr>
          <w:fldChar w:fldCharType="separate"/>
        </w:r>
        <w:r>
          <w:rPr>
            <w:noProof/>
            <w:webHidden/>
          </w:rPr>
          <w:t>7</w:t>
        </w:r>
        <w:r>
          <w:rPr>
            <w:noProof/>
            <w:webHidden/>
          </w:rPr>
          <w:fldChar w:fldCharType="end"/>
        </w:r>
      </w:hyperlink>
    </w:p>
    <w:p w:rsidR="00931681" w:rsidRDefault="00931681">
      <w:pPr>
        <w:pStyle w:val="TDC2"/>
        <w:rPr>
          <w:rFonts w:asciiTheme="minorHAnsi" w:eastAsiaTheme="minorEastAsia" w:hAnsiTheme="minorHAnsi" w:cstheme="minorBidi"/>
          <w:noProof/>
          <w:szCs w:val="22"/>
          <w:lang w:val="es-ES" w:eastAsia="es-ES" w:bidi="ar-SA"/>
        </w:rPr>
      </w:pPr>
      <w:hyperlink w:anchor="_Toc442683859" w:history="1">
        <w:r w:rsidRPr="000E69F0">
          <w:rPr>
            <w:rStyle w:val="Hipervnculo"/>
            <w:noProof/>
          </w:rPr>
          <w:t>IV.1. Oharrak</w:t>
        </w:r>
        <w:r>
          <w:rPr>
            <w:noProof/>
            <w:webHidden/>
          </w:rPr>
          <w:tab/>
        </w:r>
        <w:r>
          <w:rPr>
            <w:noProof/>
            <w:webHidden/>
          </w:rPr>
          <w:fldChar w:fldCharType="begin"/>
        </w:r>
        <w:r>
          <w:rPr>
            <w:noProof/>
            <w:webHidden/>
          </w:rPr>
          <w:instrText xml:space="preserve"> PAGEREF _Toc442683859 \h </w:instrText>
        </w:r>
        <w:r>
          <w:rPr>
            <w:noProof/>
            <w:webHidden/>
          </w:rPr>
        </w:r>
        <w:r>
          <w:rPr>
            <w:noProof/>
            <w:webHidden/>
          </w:rPr>
          <w:fldChar w:fldCharType="separate"/>
        </w:r>
        <w:r>
          <w:rPr>
            <w:noProof/>
            <w:webHidden/>
          </w:rPr>
          <w:t>7</w:t>
        </w:r>
        <w:r>
          <w:rPr>
            <w:noProof/>
            <w:webHidden/>
          </w:rPr>
          <w:fldChar w:fldCharType="end"/>
        </w:r>
      </w:hyperlink>
    </w:p>
    <w:p w:rsidR="00931681" w:rsidRDefault="00931681">
      <w:pPr>
        <w:pStyle w:val="TDC2"/>
        <w:rPr>
          <w:rFonts w:asciiTheme="minorHAnsi" w:eastAsiaTheme="minorEastAsia" w:hAnsiTheme="minorHAnsi" w:cstheme="minorBidi"/>
          <w:noProof/>
          <w:szCs w:val="22"/>
          <w:lang w:val="es-ES" w:eastAsia="es-ES" w:bidi="ar-SA"/>
        </w:rPr>
      </w:pPr>
      <w:hyperlink w:anchor="_Toc442683860" w:history="1">
        <w:r w:rsidRPr="000E69F0">
          <w:rPr>
            <w:rStyle w:val="Hipervnculo"/>
            <w:noProof/>
          </w:rPr>
          <w:t>IV.2. Gomendioak</w:t>
        </w:r>
        <w:r>
          <w:rPr>
            <w:noProof/>
            <w:webHidden/>
          </w:rPr>
          <w:tab/>
        </w:r>
        <w:r>
          <w:rPr>
            <w:noProof/>
            <w:webHidden/>
          </w:rPr>
          <w:fldChar w:fldCharType="begin"/>
        </w:r>
        <w:r>
          <w:rPr>
            <w:noProof/>
            <w:webHidden/>
          </w:rPr>
          <w:instrText xml:space="preserve"> PAGEREF _Toc442683860 \h </w:instrText>
        </w:r>
        <w:r>
          <w:rPr>
            <w:noProof/>
            <w:webHidden/>
          </w:rPr>
        </w:r>
        <w:r>
          <w:rPr>
            <w:noProof/>
            <w:webHidden/>
          </w:rPr>
          <w:fldChar w:fldCharType="separate"/>
        </w:r>
        <w:r>
          <w:rPr>
            <w:noProof/>
            <w:webHidden/>
          </w:rPr>
          <w:t>9</w:t>
        </w:r>
        <w:r>
          <w:rPr>
            <w:noProof/>
            <w:webHidden/>
          </w:rPr>
          <w:fldChar w:fldCharType="end"/>
        </w:r>
      </w:hyperlink>
    </w:p>
    <w:p w:rsidR="00931681" w:rsidRDefault="00931681">
      <w:pPr>
        <w:pStyle w:val="TDC1"/>
        <w:rPr>
          <w:rFonts w:asciiTheme="minorHAnsi" w:eastAsiaTheme="minorEastAsia" w:hAnsiTheme="minorHAnsi" w:cstheme="minorBidi"/>
          <w:smallCaps w:val="0"/>
          <w:noProof/>
          <w:szCs w:val="22"/>
          <w:lang w:val="es-ES" w:eastAsia="es-ES" w:bidi="ar-SA"/>
        </w:rPr>
      </w:pPr>
      <w:hyperlink w:anchor="_Toc442683861" w:history="1">
        <w:r w:rsidRPr="000E69F0">
          <w:rPr>
            <w:rStyle w:val="Hipervnculo"/>
            <w:noProof/>
          </w:rPr>
          <w:t>Eranskina. Aztertutako diru-laguntzak eta laguntzak</w:t>
        </w:r>
        <w:r>
          <w:rPr>
            <w:noProof/>
            <w:webHidden/>
          </w:rPr>
          <w:tab/>
        </w:r>
        <w:r>
          <w:rPr>
            <w:noProof/>
            <w:webHidden/>
          </w:rPr>
          <w:fldChar w:fldCharType="begin"/>
        </w:r>
        <w:r>
          <w:rPr>
            <w:noProof/>
            <w:webHidden/>
          </w:rPr>
          <w:instrText xml:space="preserve"> PAGEREF _Toc442683861 \h </w:instrText>
        </w:r>
        <w:r>
          <w:rPr>
            <w:noProof/>
            <w:webHidden/>
          </w:rPr>
        </w:r>
        <w:r>
          <w:rPr>
            <w:noProof/>
            <w:webHidden/>
          </w:rPr>
          <w:fldChar w:fldCharType="separate"/>
        </w:r>
        <w:r>
          <w:rPr>
            <w:noProof/>
            <w:webHidden/>
          </w:rPr>
          <w:t>11</w:t>
        </w:r>
        <w:r>
          <w:rPr>
            <w:noProof/>
            <w:webHidden/>
          </w:rPr>
          <w:fldChar w:fldCharType="end"/>
        </w:r>
      </w:hyperlink>
    </w:p>
    <w:p w:rsidR="00192BFC" w:rsidRDefault="00882BEB">
      <w:pPr>
        <w:pStyle w:val="TDC1"/>
        <w:rPr>
          <w:rFonts w:asciiTheme="minorHAnsi" w:eastAsiaTheme="minorEastAsia" w:hAnsiTheme="minorHAnsi" w:cstheme="minorBidi"/>
          <w:smallCaps w:val="0"/>
          <w:noProof/>
          <w:szCs w:val="22"/>
        </w:rPr>
      </w:pPr>
      <w:r>
        <w:rPr>
          <w:rFonts w:ascii="Times New Roman" w:hAnsi="Times New Roman"/>
          <w:smallCaps w:val="0"/>
          <w:spacing w:val="6"/>
          <w:sz w:val="26"/>
          <w:szCs w:val="24"/>
        </w:rPr>
        <w:fldChar w:fldCharType="end"/>
      </w:r>
    </w:p>
    <w:p w:rsidR="00891D73" w:rsidRDefault="00891D73" w:rsidP="00146342">
      <w:pPr>
        <w:pStyle w:val="texto"/>
      </w:pPr>
    </w:p>
    <w:p w:rsidR="008E3FFE" w:rsidRDefault="008E3FFE" w:rsidP="00587AC6">
      <w:pPr>
        <w:pStyle w:val="texto"/>
        <w:ind w:firstLine="0"/>
        <w:sectPr w:rsidR="008E3FFE" w:rsidSect="00C13CBB">
          <w:type w:val="oddPage"/>
          <w:pgSz w:w="11907" w:h="16840" w:code="9"/>
          <w:pgMar w:top="2109" w:right="1559" w:bottom="1644" w:left="1559" w:header="369" w:footer="402" w:gutter="0"/>
          <w:pgNumType w:start="3"/>
          <w:cols w:space="720"/>
          <w:docGrid w:linePitch="360"/>
        </w:sectPr>
      </w:pPr>
      <w:bookmarkStart w:id="0" w:name="_GoBack"/>
      <w:bookmarkEnd w:id="0"/>
    </w:p>
    <w:p w:rsidR="00432E52" w:rsidRDefault="00882BEB" w:rsidP="008900BC">
      <w:pPr>
        <w:pStyle w:val="atitulo1"/>
      </w:pPr>
      <w:bookmarkStart w:id="1" w:name="_Toc303592528"/>
      <w:bookmarkStart w:id="2" w:name="_Toc309383711"/>
      <w:bookmarkStart w:id="3" w:name="_Toc339016600"/>
      <w:bookmarkStart w:id="4" w:name="_Toc428861099"/>
      <w:bookmarkStart w:id="5" w:name="_Toc442683853"/>
      <w:r>
        <w:lastRenderedPageBreak/>
        <w:t>I. Sarrera</w:t>
      </w:r>
      <w:bookmarkEnd w:id="1"/>
      <w:bookmarkEnd w:id="2"/>
      <w:bookmarkEnd w:id="3"/>
      <w:bookmarkEnd w:id="4"/>
      <w:bookmarkEnd w:id="5"/>
      <w:r>
        <w:t xml:space="preserve"> </w:t>
      </w:r>
    </w:p>
    <w:p w:rsidR="00432E52" w:rsidRDefault="00432E52" w:rsidP="008900BC">
      <w:pPr>
        <w:pStyle w:val="texto"/>
        <w:rPr>
          <w:szCs w:val="26"/>
        </w:rPr>
      </w:pPr>
      <w:r>
        <w:t>Kontuen Ganberak 2015eko ekitaldi-programan sartu du fiskalizazio-lan bat egitea, "Nafarroako Gobernuak eta haren erakunde autonomoek entitate eta e</w:t>
      </w:r>
      <w:r>
        <w:t>l</w:t>
      </w:r>
      <w:r>
        <w:t>karte batzuei 2014ko ekitaldian emandako diru-laguntzetan" legezkotasuna b</w:t>
      </w:r>
      <w:r>
        <w:t>e</w:t>
      </w:r>
      <w:r>
        <w:t>tetzeari buruzkoa.</w:t>
      </w:r>
    </w:p>
    <w:p w:rsidR="00026242" w:rsidRPr="008D1EB9" w:rsidRDefault="007B0ACE" w:rsidP="00B51AF0">
      <w:pPr>
        <w:pStyle w:val="texto"/>
        <w:tabs>
          <w:tab w:val="clear" w:pos="2835"/>
          <w:tab w:val="clear" w:pos="3969"/>
          <w:tab w:val="clear" w:pos="5103"/>
          <w:tab w:val="clear" w:pos="6237"/>
          <w:tab w:val="clear" w:pos="7371"/>
        </w:tabs>
        <w:rPr>
          <w:szCs w:val="26"/>
        </w:rPr>
      </w:pPr>
      <w:r>
        <w:t>Txostenak lau atal dauzka, sarrera hau barne; bigarrenean, egindako lanaren helburuak erakusten ditugu. Hirugarrenean, gure iritzia ematen dugu aztert</w:t>
      </w:r>
      <w:r>
        <w:t>u</w:t>
      </w:r>
      <w:r>
        <w:t>tako diru-laguntzetan legezkotasuna betetzeari buruz. Azkenean, laugarrenean, lortutako ondorio edo oharpenak jasotzen ditugu, bai eta laguntza horien k</w:t>
      </w:r>
      <w:r>
        <w:t>u</w:t>
      </w:r>
      <w:r>
        <w:t xml:space="preserve">deaketa hobetze aldera ematen ditugun gomendioak ere. </w:t>
      </w:r>
    </w:p>
    <w:p w:rsidR="00970543" w:rsidRPr="008D1EB9" w:rsidRDefault="00756C17" w:rsidP="00B51AF0">
      <w:pPr>
        <w:pStyle w:val="texto"/>
        <w:tabs>
          <w:tab w:val="clear" w:pos="2835"/>
          <w:tab w:val="clear" w:pos="3969"/>
          <w:tab w:val="clear" w:pos="5103"/>
          <w:tab w:val="clear" w:pos="6237"/>
          <w:tab w:val="clear" w:pos="7371"/>
        </w:tabs>
        <w:rPr>
          <w:szCs w:val="26"/>
        </w:rPr>
      </w:pPr>
      <w:r>
        <w:t>Txostenak eranskin bat badauka, non aztertutako laguntzak jasotzen baitira.</w:t>
      </w:r>
    </w:p>
    <w:p w:rsidR="006F1331" w:rsidRPr="008D1EB9" w:rsidRDefault="006F1331" w:rsidP="00806DAC">
      <w:pPr>
        <w:pStyle w:val="texto"/>
        <w:tabs>
          <w:tab w:val="clear" w:pos="2835"/>
          <w:tab w:val="clear" w:pos="3969"/>
          <w:tab w:val="clear" w:pos="5103"/>
          <w:tab w:val="clear" w:pos="6237"/>
          <w:tab w:val="clear" w:pos="7371"/>
        </w:tabs>
        <w:rPr>
          <w:szCs w:val="26"/>
        </w:rPr>
      </w:pPr>
      <w:r>
        <w:t>Azterketa lana 2015eko apiriletik ekainera bitartean egin dute auditoriako teknikari batek eta auditore batek osatutako lantalde batek, eta Kontuen Ganb</w:t>
      </w:r>
      <w:r>
        <w:t>e</w:t>
      </w:r>
      <w:r>
        <w:t xml:space="preserve">rako zerbitzu juridiko, informatiko eta administratiboen lankidetza ere izan dute. </w:t>
      </w:r>
    </w:p>
    <w:p w:rsidR="006F1331" w:rsidRDefault="006F1331" w:rsidP="006F1331">
      <w:pPr>
        <w:pStyle w:val="texto"/>
        <w:tabs>
          <w:tab w:val="clear" w:pos="2835"/>
          <w:tab w:val="clear" w:pos="3969"/>
          <w:tab w:val="clear" w:pos="5103"/>
          <w:tab w:val="clear" w:pos="6237"/>
          <w:tab w:val="clear" w:pos="7371"/>
        </w:tabs>
        <w:rPr>
          <w:szCs w:val="26"/>
        </w:rPr>
      </w:pPr>
      <w:r>
        <w:t>Eskerrak eman nahi dizkiegu Nafarroako Gobernuko departamentu eta er</w:t>
      </w:r>
      <w:r>
        <w:t>a</w:t>
      </w:r>
      <w:r>
        <w:t>kunde autonomoetako langileei lan hau egiterako eman diguten laguntzagatik.</w:t>
      </w:r>
    </w:p>
    <w:p w:rsidR="007D68BD" w:rsidRDefault="00882BEB" w:rsidP="00633D2F">
      <w:pPr>
        <w:pStyle w:val="atitulo1"/>
        <w:rPr>
          <w:b w:val="0"/>
        </w:rPr>
      </w:pPr>
      <w:r>
        <w:br w:type="page"/>
      </w:r>
      <w:bookmarkStart w:id="6" w:name="_Toc188167194"/>
      <w:bookmarkStart w:id="7" w:name="_Toc303592531"/>
      <w:bookmarkStart w:id="8" w:name="_Toc309383714"/>
      <w:bookmarkStart w:id="9" w:name="_Toc339016603"/>
    </w:p>
    <w:p w:rsidR="00600704" w:rsidRPr="00866924" w:rsidRDefault="00600704" w:rsidP="00600704">
      <w:pPr>
        <w:pStyle w:val="atitulo1"/>
      </w:pPr>
      <w:bookmarkStart w:id="10" w:name="_Toc428861100"/>
      <w:bookmarkStart w:id="11" w:name="_Toc442683854"/>
      <w:r>
        <w:lastRenderedPageBreak/>
        <w:t>II. Helburua eta norainokoa</w:t>
      </w:r>
      <w:bookmarkEnd w:id="10"/>
      <w:bookmarkEnd w:id="11"/>
      <w:r>
        <w:t xml:space="preserve"> </w:t>
      </w:r>
    </w:p>
    <w:p w:rsidR="006B6EF9" w:rsidRDefault="00633D2F" w:rsidP="006B6EF9">
      <w:pPr>
        <w:pStyle w:val="atitulo2"/>
        <w:spacing w:before="240"/>
      </w:pPr>
      <w:bookmarkStart w:id="12" w:name="_Toc428861101"/>
      <w:bookmarkStart w:id="13" w:name="_Toc442683855"/>
      <w:r>
        <w:t>II.1. Helburua</w:t>
      </w:r>
      <w:bookmarkEnd w:id="12"/>
      <w:bookmarkEnd w:id="13"/>
      <w:r>
        <w:t xml:space="preserve"> </w:t>
      </w:r>
    </w:p>
    <w:p w:rsidR="00633D2F" w:rsidRDefault="00633D2F" w:rsidP="00600704">
      <w:pPr>
        <w:pStyle w:val="texto"/>
        <w:rPr>
          <w:szCs w:val="26"/>
        </w:rPr>
      </w:pPr>
      <w:r>
        <w:t>Nafarroako Kontuen Ganberari buruzko abenduaren 20ko 19/1984 Foru L</w:t>
      </w:r>
      <w:r>
        <w:t>e</w:t>
      </w:r>
      <w:r>
        <w:t>geari jarraituz, Nafarroako Gobernuak eta haren erakunde autonomoek entitate eta elkarte batzuei 2014ko ekitaldian emandako diru-laguntzetan legezkotasuna betetzeari buruzko fiskalizazioa egin dugu.</w:t>
      </w:r>
    </w:p>
    <w:p w:rsidR="00BA6968" w:rsidRDefault="00600704" w:rsidP="00600704">
      <w:pPr>
        <w:pStyle w:val="texto"/>
        <w:rPr>
          <w:rFonts w:ascii="Times New (W1)" w:hAnsi="Times New (W1)"/>
          <w:spacing w:val="0"/>
          <w:szCs w:val="26"/>
        </w:rPr>
      </w:pPr>
      <w:r>
        <w:rPr>
          <w:rFonts w:ascii="Times New (W1)" w:hAnsi="Times New (W1)"/>
          <w:spacing w:val="0"/>
        </w:rPr>
        <w:t>Honako hau izan da gure txostenaren helburua:</w:t>
      </w:r>
    </w:p>
    <w:p w:rsidR="00633D2F" w:rsidRPr="00633D2F" w:rsidRDefault="00633D2F" w:rsidP="008411D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 Aztertzea ea aplikatzekoa den araudia bete den laguntza horiek eman, ju</w:t>
      </w:r>
      <w:r>
        <w:t>s</w:t>
      </w:r>
      <w:r>
        <w:t>tifikatu, ordaindu eta kontabilizatzeko faseetan.</w:t>
      </w:r>
    </w:p>
    <w:p w:rsidR="00633D2F" w:rsidRPr="00633D2F" w:rsidRDefault="00633D2F" w:rsidP="008411D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 Egiaztatzea onuradunek aurkeztutako justifikazioa egokia den.</w:t>
      </w:r>
    </w:p>
    <w:p w:rsidR="00633D2F" w:rsidRPr="00633D2F" w:rsidRDefault="00633D2F" w:rsidP="008411D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 Kudeatzaileek justifikazio hori dela-eta egin duten berrikuspen-prozesua aztertzea, diru-laguntzak eman zireneko helbururako erabili direla bermatze a</w:t>
      </w:r>
      <w:r>
        <w:t>l</w:t>
      </w:r>
      <w:r>
        <w:t>dera.</w:t>
      </w:r>
    </w:p>
    <w:p w:rsidR="00633D2F" w:rsidRDefault="00633D2F" w:rsidP="00633D2F">
      <w:pPr>
        <w:pStyle w:val="texto"/>
        <w:rPr>
          <w:szCs w:val="26"/>
        </w:rPr>
      </w:pPr>
      <w:r>
        <w:t>Metodologia gisa, lana Espainiako Kanpo Kontroleko Organo Publikoak Koordinatzeko Batzordeak onetsitako eta Kontuen Ganberaren fiskalizazio-eskuliburuan jasotako sektore publikoaren auditoriari buruzko printzipioei eta arauei jarraituz gauzatu da, eta azterlanaren helburuen eta inguruabarren ar</w:t>
      </w:r>
      <w:r>
        <w:t>a</w:t>
      </w:r>
      <w:r>
        <w:t>bera beharrezkotzat jo ditugun prozedura tekniko guztiak bildu dira; arau h</w:t>
      </w:r>
      <w:r>
        <w:t>o</w:t>
      </w:r>
      <w:r>
        <w:t xml:space="preserve">rien barruan, "Betetzeari buruzko fiskalizazio arauak" izeneko ISSAI-ES 400 araua aplikatu da. </w:t>
      </w:r>
    </w:p>
    <w:p w:rsidR="006B6EF9" w:rsidRDefault="006B6EF9" w:rsidP="006B6EF9">
      <w:pPr>
        <w:pStyle w:val="atitulo2"/>
        <w:spacing w:before="240"/>
      </w:pPr>
      <w:bookmarkStart w:id="14" w:name="_Toc428861102"/>
      <w:bookmarkStart w:id="15" w:name="_Toc442683856"/>
      <w:r>
        <w:t>II.2. Norainokoa</w:t>
      </w:r>
      <w:bookmarkEnd w:id="14"/>
      <w:bookmarkEnd w:id="15"/>
    </w:p>
    <w:p w:rsidR="004400D7" w:rsidRPr="004400D7" w:rsidRDefault="00A376A3" w:rsidP="004400D7">
      <w:pPr>
        <w:pStyle w:val="texto"/>
        <w:rPr>
          <w:szCs w:val="26"/>
        </w:rPr>
      </w:pPr>
      <w:r>
        <w:t>Gure lana zentratu da Nafarroako Gobernuaren aurrekontu orokorretako 48. eta 78. aurrekontu-artikuluetan jasotako diru-laguntzetan: "familiei eta irabazi asmorik gabeko erakundeetara egindako transferentzia arruntak/kapital-transferentziak.</w:t>
      </w:r>
    </w:p>
    <w:p w:rsidR="004400D7" w:rsidRPr="004400D7" w:rsidRDefault="004400D7" w:rsidP="004400D7">
      <w:pPr>
        <w:pStyle w:val="texto"/>
        <w:rPr>
          <w:szCs w:val="26"/>
        </w:rPr>
      </w:pPr>
      <w:r>
        <w:t>Artikulu horietatik, txosten honen eraginetarako, honako diru-laguntzen ko</w:t>
      </w:r>
      <w:r>
        <w:t>n</w:t>
      </w:r>
      <w:r>
        <w:t>tzeptuak ez dira kontuan hartu:</w:t>
      </w:r>
    </w:p>
    <w:p w:rsidR="004400D7" w:rsidRPr="004400D7" w:rsidRDefault="004400D7" w:rsidP="00A376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Arruntak. Pentsio asistentzialak, mendekotasuna, bekak, lanbide-elkargoak eta ikastetxeak.</w:t>
      </w:r>
    </w:p>
    <w:p w:rsidR="00EB2591" w:rsidRDefault="004400D7" w:rsidP="00EB259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Kapitalekoak. Ikastetxeak eta etxebizitzetarako laguntzak.</w:t>
      </w:r>
    </w:p>
    <w:p w:rsidR="00B50A30" w:rsidRDefault="002561A0" w:rsidP="004400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Aurreko fiskalizaziotik salbuetsita dauden diru-laguntza eta laguntza tx</w:t>
      </w:r>
      <w:r>
        <w:t>i</w:t>
      </w:r>
      <w:r>
        <w:t>kiak</w:t>
      </w:r>
      <w:r>
        <w:rPr>
          <w:rStyle w:val="Refdenotaalpie"/>
        </w:rPr>
        <w:footnoteReference w:id="1"/>
      </w:r>
      <w:r>
        <w:t>, zeren eta Nafarroako Gobernuaren Kontu-hartzailetza Nagusiaren fina</w:t>
      </w:r>
      <w:r>
        <w:t>n</w:t>
      </w:r>
      <w:r>
        <w:t xml:space="preserve">tza-kontrol iraunkorreko jarduketetan sartzen baitira. </w:t>
      </w:r>
    </w:p>
    <w:p w:rsidR="00A70767" w:rsidRDefault="00A70767" w:rsidP="00972A8B">
      <w:pPr>
        <w:pStyle w:val="texto"/>
        <w:rPr>
          <w:szCs w:val="26"/>
        </w:rPr>
      </w:pPr>
    </w:p>
    <w:p w:rsidR="001C3129" w:rsidRDefault="004400D7" w:rsidP="00266EA5">
      <w:pPr>
        <w:pStyle w:val="texto"/>
        <w:rPr>
          <w:szCs w:val="26"/>
        </w:rPr>
      </w:pPr>
      <w:r>
        <w:t>Azken batez, lana zentratu da, txosten honen eranskinean ikus daitekeen b</w:t>
      </w:r>
      <w:r>
        <w:t>e</w:t>
      </w:r>
      <w:r>
        <w:t>zala, honako arlo hauetako irabazi asmorik gabeko erakundeei emandako diru-laguntzetan: kirola, kultura, nekazaritza eta basogintza, kontsumoa eta aisia</w:t>
      </w:r>
      <w:r>
        <w:t>l</w:t>
      </w:r>
      <w:r>
        <w:t>dia. Aztertutako diru-laguntzen guztizko zenbatekoak 3,38 milioi egiten du.</w:t>
      </w:r>
    </w:p>
    <w:p w:rsidR="001C3129" w:rsidRPr="00633D2F" w:rsidRDefault="001C3129" w:rsidP="001C3129">
      <w:pPr>
        <w:pStyle w:val="texto"/>
        <w:rPr>
          <w:szCs w:val="26"/>
        </w:rPr>
      </w:pPr>
      <w:r>
        <w:t>Gure lanaren denbora-esparrua funtsean Nafarroako 2014ko ekitaldiko a</w:t>
      </w:r>
      <w:r>
        <w:t>u</w:t>
      </w:r>
      <w:r>
        <w:t>rrekontu orokorren exekuzioan zentratuta dago.</w:t>
      </w:r>
    </w:p>
    <w:p w:rsidR="004400D7" w:rsidRPr="00633D2F" w:rsidRDefault="004400D7" w:rsidP="00B87198">
      <w:pPr>
        <w:pStyle w:val="texto"/>
        <w:rPr>
          <w:szCs w:val="26"/>
        </w:rPr>
      </w:pPr>
      <w:r>
        <w:t>Berrikusten ari garen jarduera honako hauetan dago araututa oinarrizko</w:t>
      </w:r>
      <w:r>
        <w:t>e</w:t>
      </w:r>
      <w:r>
        <w:t xml:space="preserve">nean: Diru-laguntzei buruzko 11/2005 Foru Legea eta haren geroko aldaketak; 59/2013 Foru Dekretua, Nafarroako Aurrekontu Orokorren kargurako diru-laguntzen onuradunen gardentasunerako betebeharrak arautzen dituena; eta deialdietako kasuko oinarri erregulatzaileak eta kasuan kasuko hitzarmenak. </w:t>
      </w:r>
    </w:p>
    <w:p w:rsidR="003010A5" w:rsidRPr="003940F4" w:rsidRDefault="003010A5" w:rsidP="003940F4">
      <w:pPr>
        <w:pStyle w:val="texto"/>
        <w:rPr>
          <w:szCs w:val="26"/>
        </w:rPr>
      </w:pPr>
    </w:p>
    <w:p w:rsidR="003010A5" w:rsidRPr="003940F4" w:rsidRDefault="003010A5" w:rsidP="003940F4">
      <w:pPr>
        <w:pStyle w:val="texto"/>
        <w:rPr>
          <w:szCs w:val="26"/>
        </w:rPr>
      </w:pPr>
    </w:p>
    <w:p w:rsidR="003010A5" w:rsidRPr="003940F4" w:rsidRDefault="003010A5" w:rsidP="003940F4">
      <w:pPr>
        <w:pStyle w:val="texto"/>
        <w:rPr>
          <w:szCs w:val="26"/>
        </w:rPr>
      </w:pPr>
      <w:r>
        <w:br w:type="page"/>
      </w:r>
    </w:p>
    <w:p w:rsidR="0038122A" w:rsidRPr="00DF51AE" w:rsidRDefault="0038122A" w:rsidP="0038122A">
      <w:pPr>
        <w:pStyle w:val="atitulo1"/>
      </w:pPr>
      <w:bookmarkStart w:id="16" w:name="_Toc423419507"/>
      <w:bookmarkStart w:id="17" w:name="_Toc428861103"/>
      <w:bookmarkStart w:id="18" w:name="_Toc442683857"/>
      <w:r>
        <w:lastRenderedPageBreak/>
        <w:t>III. Legezkotasunaren betetzeari buruzko iritzia</w:t>
      </w:r>
      <w:bookmarkEnd w:id="16"/>
      <w:bookmarkEnd w:id="17"/>
      <w:bookmarkEnd w:id="18"/>
    </w:p>
    <w:p w:rsidR="0038122A" w:rsidRPr="004F32B1" w:rsidRDefault="0038122A" w:rsidP="0038122A">
      <w:pPr>
        <w:pStyle w:val="atitulo3"/>
      </w:pPr>
      <w:r>
        <w:t xml:space="preserve">Nafarroako Gobernuaren erantzukizuna </w:t>
      </w:r>
    </w:p>
    <w:p w:rsidR="008C434D" w:rsidRDefault="0038122A" w:rsidP="00074ECC">
      <w:pPr>
        <w:pStyle w:val="texto"/>
      </w:pPr>
      <w:r>
        <w:t>Nafarroako Gobernua, diru-laguntza publikoen kudeaketaren arloko organo eskudunen bitartez, bermatu beharko du emandako diru-laguntzak eta haiei b</w:t>
      </w:r>
      <w:r>
        <w:t>u</w:t>
      </w:r>
      <w:r>
        <w:t>ruz egoera-orri finantzarioetan islatutako informazioa bat datozela araudi i</w:t>
      </w:r>
      <w:r>
        <w:t>n</w:t>
      </w:r>
      <w:r>
        <w:t xml:space="preserve">dardunarekin. </w:t>
      </w:r>
    </w:p>
    <w:p w:rsidR="0038122A" w:rsidRDefault="001C16A2" w:rsidP="00074ECC">
      <w:pPr>
        <w:pStyle w:val="texto"/>
      </w:pPr>
      <w:r>
        <w:t xml:space="preserve">Halaber, Gobernua da diru-laguntza horien kudeaketa eta erregistroan legeen ez-betetzerik eta iruzurraren edo akatsen ondoriozko oker materialik ez dagoela bermatzeko beharrezkoa den barne-kontrolaren erantzulea. </w:t>
      </w:r>
    </w:p>
    <w:p w:rsidR="0038122A" w:rsidRPr="00F71FD2" w:rsidRDefault="0038122A" w:rsidP="0038122A">
      <w:pPr>
        <w:pStyle w:val="atitulo3"/>
      </w:pPr>
      <w:r>
        <w:t>Nafarroako Kontuen Ganberaren erantzukizuna</w:t>
      </w:r>
    </w:p>
    <w:p w:rsidR="000B2764" w:rsidRDefault="0038122A" w:rsidP="000B2764">
      <w:pPr>
        <w:pStyle w:val="texto"/>
      </w:pPr>
      <w:r>
        <w:t>Gure erantzukizuna da iritzi bat ematea aztertutako diru-laguntzak eman, ju</w:t>
      </w:r>
      <w:r>
        <w:t>s</w:t>
      </w:r>
      <w:r>
        <w:t>tifikatu, ordaindu eta erregistratzerakoan legezkotasuna betetzeari buruz. H</w:t>
      </w:r>
      <w:r>
        <w:t>o</w:t>
      </w:r>
      <w:r>
        <w:t>rretarako, hura egin dugu Kanpo Kontroleko Erakunde publikoen fiskalizazi</w:t>
      </w:r>
      <w:r>
        <w:t>o</w:t>
      </w:r>
      <w:r>
        <w:t xml:space="preserve">rako oinarrizko printzipioei jarraituz. </w:t>
      </w:r>
    </w:p>
    <w:p w:rsidR="008C434D" w:rsidRDefault="008C434D" w:rsidP="000B2764">
      <w:pPr>
        <w:pStyle w:val="texto"/>
      </w:pPr>
      <w:r>
        <w:t>Printzipio horiek exijitzen dute fiskalizazioaren plangintza eta exekuzioa egin dezagun halako moduz non arrazoizko segurtasun bat lortuko dugun diru-laguntzak direla-eta aztertu dugun jarduera Nafarroako Gobernuak 2014ko ek</w:t>
      </w:r>
      <w:r>
        <w:t>i</w:t>
      </w:r>
      <w:r>
        <w:t>taldian aurrera eramandakoa– aplikatzekoa den araudiaren araberakoa izateari buruz alderdi esanguratsu guztietan.</w:t>
      </w:r>
    </w:p>
    <w:p w:rsidR="008C434D" w:rsidRDefault="008C434D" w:rsidP="00074ECC">
      <w:pPr>
        <w:pStyle w:val="texto"/>
      </w:pPr>
      <w:r>
        <w:t>Gure azterketaren honako honetan etzan da: egiaztatzea, hautaproba eginez eta beharrezkotzat jo diren prozedura teknikoak aplikatuz, diru-laguntza publ</w:t>
      </w:r>
      <w:r>
        <w:t>i</w:t>
      </w:r>
      <w:r>
        <w:t>koak emateari buruzko araudian ezarritako alderdi muntadunak bete direla. Hautatutako prozedurak auditorearen irizpidearen araberakoak dira, horren barne direla kontabilitate-erregistroaren akats materialei buruzko arriskuen b</w:t>
      </w:r>
      <w:r>
        <w:t>a</w:t>
      </w:r>
      <w:r>
        <w:t>lorazioa eta aipatutako araudiaren ez-betetze aipagarriak.</w:t>
      </w:r>
    </w:p>
    <w:p w:rsidR="0038122A" w:rsidRDefault="0038122A" w:rsidP="0038122A">
      <w:pPr>
        <w:pStyle w:val="texto"/>
      </w:pPr>
      <w:r>
        <w:t>Gure ustez lortu dugun auditoria-ebidentziak behar adinako oinarria eta oin</w:t>
      </w:r>
      <w:r>
        <w:t>a</w:t>
      </w:r>
      <w:r>
        <w:t>rri egokia jasotzen du gure fiskalizazio-iritzia emateko.</w:t>
      </w:r>
    </w:p>
    <w:p w:rsidR="0038122A" w:rsidRDefault="0038122A" w:rsidP="0038122A">
      <w:pPr>
        <w:pStyle w:val="texto"/>
        <w:spacing w:after="240"/>
      </w:pPr>
      <w:r>
        <w:t>Legezkotasunaren betetzeari buruzko fiskalizazioaren emaitzatik honako ir</w:t>
      </w:r>
      <w:r>
        <w:t>i</w:t>
      </w:r>
      <w:r>
        <w:t>tzia eratortzen da.</w:t>
      </w:r>
    </w:p>
    <w:p w:rsidR="0038122A" w:rsidRPr="009D36F1" w:rsidRDefault="0038122A" w:rsidP="0038122A">
      <w:pPr>
        <w:pStyle w:val="atitulo3"/>
        <w:spacing w:after="120"/>
      </w:pPr>
      <w:bookmarkStart w:id="19" w:name="_Toc305415950"/>
      <w:bookmarkStart w:id="20" w:name="_Toc305480468"/>
      <w:bookmarkStart w:id="21" w:name="_Toc402180175"/>
      <w:bookmarkStart w:id="22" w:name="_Toc188167196"/>
      <w:bookmarkStart w:id="23" w:name="_Toc303592533"/>
      <w:bookmarkStart w:id="24" w:name="_Toc309383716"/>
      <w:bookmarkStart w:id="25" w:name="_Toc339016605"/>
      <w:r>
        <w:t>Legezkotasunaren betetzeari buruzko</w:t>
      </w:r>
      <w:bookmarkEnd w:id="19"/>
      <w:bookmarkEnd w:id="20"/>
      <w:r>
        <w:t xml:space="preserve"> iritzia</w:t>
      </w:r>
      <w:bookmarkEnd w:id="21"/>
    </w:p>
    <w:p w:rsidR="0038122A" w:rsidRPr="00AE23C9" w:rsidRDefault="0038122A" w:rsidP="0038122A">
      <w:pPr>
        <w:pStyle w:val="texto"/>
        <w:spacing w:after="180"/>
        <w:rPr>
          <w:szCs w:val="26"/>
        </w:rPr>
      </w:pPr>
      <w:r>
        <w:t>Gure iritziz, aztertutako diru-laguntzen eragiketak, Nafarroako Gobernuak 2014 ekitaldian emandakoei dagozkienak, bat datoz, alderdi esanguratsu guzti</w:t>
      </w:r>
      <w:r>
        <w:t>e</w:t>
      </w:r>
      <w:r>
        <w:t>tan, diru-laguntza publikoei buruzko araudiarekin.</w:t>
      </w:r>
      <w:bookmarkEnd w:id="22"/>
      <w:bookmarkEnd w:id="23"/>
      <w:bookmarkEnd w:id="24"/>
      <w:bookmarkEnd w:id="25"/>
    </w:p>
    <w:p w:rsidR="0038122A" w:rsidRDefault="0038122A">
      <w:pPr>
        <w:spacing w:after="0"/>
        <w:ind w:firstLine="0"/>
        <w:jc w:val="left"/>
        <w:rPr>
          <w:rFonts w:ascii="Arial" w:hAnsi="Arial"/>
          <w:b/>
          <w:color w:val="000000"/>
          <w:kern w:val="28"/>
          <w:sz w:val="25"/>
          <w:szCs w:val="26"/>
        </w:rPr>
      </w:pPr>
      <w:r>
        <w:br w:type="page"/>
      </w:r>
    </w:p>
    <w:p w:rsidR="00882BEB" w:rsidRPr="00762200" w:rsidRDefault="00107CC7" w:rsidP="00600704">
      <w:pPr>
        <w:pStyle w:val="atitulo1"/>
        <w:rPr>
          <w:rFonts w:ascii="Arial (W1)" w:hAnsi="Arial (W1)"/>
          <w:spacing w:val="-4"/>
        </w:rPr>
      </w:pPr>
      <w:bookmarkStart w:id="26" w:name="_Toc428861104"/>
      <w:bookmarkStart w:id="27" w:name="_Toc442683858"/>
      <w:r>
        <w:rPr>
          <w:rFonts w:ascii="Arial (W1)" w:hAnsi="Arial (W1)"/>
          <w:spacing w:val="-4"/>
        </w:rPr>
        <w:lastRenderedPageBreak/>
        <w:t>IV. Oharpenak, emandako iritzian eraginik ez dutenak, eta gomendioak</w:t>
      </w:r>
      <w:bookmarkEnd w:id="6"/>
      <w:bookmarkEnd w:id="7"/>
      <w:bookmarkEnd w:id="8"/>
      <w:bookmarkEnd w:id="26"/>
      <w:bookmarkEnd w:id="27"/>
      <w:r>
        <w:rPr>
          <w:rFonts w:ascii="Arial (W1)" w:hAnsi="Arial (W1)"/>
          <w:spacing w:val="-4"/>
        </w:rPr>
        <w:t xml:space="preserve"> </w:t>
      </w:r>
      <w:bookmarkEnd w:id="9"/>
    </w:p>
    <w:p w:rsidR="00C43DB0" w:rsidRDefault="003E4C43" w:rsidP="00E55C5B">
      <w:pPr>
        <w:pStyle w:val="texto"/>
        <w:tabs>
          <w:tab w:val="clear" w:pos="2835"/>
          <w:tab w:val="clear" w:pos="3969"/>
          <w:tab w:val="clear" w:pos="5103"/>
          <w:tab w:val="clear" w:pos="6237"/>
          <w:tab w:val="clear" w:pos="7371"/>
        </w:tabs>
        <w:rPr>
          <w:szCs w:val="26"/>
        </w:rPr>
      </w:pPr>
      <w:r>
        <w:t>Ondoren, egindako lanaren ondorioz lortutako ondorio edo oharpenak aza</w:t>
      </w:r>
      <w:r>
        <w:t>l</w:t>
      </w:r>
      <w:r>
        <w:t>tzen ditugu, bai eta laguntza horien kudeaketa hobetze aldera emandako g</w:t>
      </w:r>
      <w:r>
        <w:t>o</w:t>
      </w:r>
      <w:r>
        <w:t>mendioak ere. Oharpen horiek ez dute eraginik emandako iritzian.</w:t>
      </w:r>
    </w:p>
    <w:p w:rsidR="00E55C5B" w:rsidRDefault="0009411D" w:rsidP="0009411D">
      <w:pPr>
        <w:pStyle w:val="atitulo2"/>
        <w:spacing w:before="240"/>
      </w:pPr>
      <w:bookmarkStart w:id="28" w:name="_Toc428861105"/>
      <w:bookmarkStart w:id="29" w:name="_Toc442683859"/>
      <w:r>
        <w:t>IV.1. Oharrak</w:t>
      </w:r>
      <w:bookmarkEnd w:id="28"/>
      <w:bookmarkEnd w:id="29"/>
    </w:p>
    <w:p w:rsidR="000F73EA" w:rsidRDefault="001F0092" w:rsidP="000F73EA">
      <w:pPr>
        <w:pStyle w:val="texto"/>
        <w:tabs>
          <w:tab w:val="clear" w:pos="2835"/>
          <w:tab w:val="clear" w:pos="3969"/>
          <w:tab w:val="clear" w:pos="5103"/>
          <w:tab w:val="clear" w:pos="6237"/>
          <w:tab w:val="clear" w:pos="7371"/>
        </w:tabs>
      </w:pPr>
      <w:r>
        <w:t>1. Nafarroako Gobernuak ez du diru-laguntzei buruzko plan estrategikorik onetsi, departamentuen eta jarduketa-ildoen arabera xehakatua eta hiru urterako indarrarekin, 11/2005 Foru Legeko 5. bis artikuluak xedatzen duen bezala. A</w:t>
      </w:r>
      <w:r>
        <w:t>r</w:t>
      </w:r>
      <w:r>
        <w:t>tikulu hori 2014ko apirilean</w:t>
      </w:r>
      <w:r>
        <w:rPr>
          <w:rStyle w:val="Refdenotaalpie"/>
        </w:rPr>
        <w:footnoteReference w:id="2"/>
      </w:r>
      <w:r>
        <w:t xml:space="preserve"> sartu zen, lege horri egindako aldaketa batean.</w:t>
      </w:r>
    </w:p>
    <w:p w:rsidR="00C23A05" w:rsidRDefault="00C23A05" w:rsidP="00C23A05">
      <w:pPr>
        <w:pStyle w:val="texto"/>
        <w:tabs>
          <w:tab w:val="clear" w:pos="2835"/>
          <w:tab w:val="clear" w:pos="3969"/>
          <w:tab w:val="clear" w:pos="5103"/>
          <w:tab w:val="clear" w:pos="6237"/>
          <w:tab w:val="clear" w:pos="7371"/>
        </w:tabs>
      </w:pPr>
      <w:r>
        <w:t>2. Nafarroako Gobernuak 2011n aplikatutako aurrekontu-doikuntzen ond</w:t>
      </w:r>
      <w:r>
        <w:t>o</w:t>
      </w:r>
      <w:r>
        <w:t>rioz, ikusi da data horretatik aurrera eta aztertutako ohiko laguntzei dagoki</w:t>
      </w:r>
      <w:r>
        <w:t>e</w:t>
      </w:r>
      <w:r>
        <w:t>nez, emandako kopuruek nabarmen egin dutela behera.</w:t>
      </w:r>
    </w:p>
    <w:p w:rsidR="00C23A05" w:rsidRDefault="008411D3" w:rsidP="00461A5F">
      <w:pPr>
        <w:pStyle w:val="texto"/>
        <w:tabs>
          <w:tab w:val="clear" w:pos="2835"/>
          <w:tab w:val="clear" w:pos="3969"/>
          <w:tab w:val="clear" w:pos="5103"/>
          <w:tab w:val="clear" w:pos="6237"/>
          <w:tab w:val="clear" w:pos="7371"/>
        </w:tabs>
      </w:pPr>
      <w:r>
        <w:t>3. Oro har, 59/2013 Foru Dekretuko 3. artikuluan aipatzen diren baldintzak –hau da, jasotako diru-laguntzaren kopurua 20.000 eurotik gorakoa izatea edo negozio-zifraren nahiz urteko aurrekontuaren ehuneko 20koa izatea– betetzen dituzten entitate onuradunek aipatutako foru dekretuak 4. artikuluan ezartzen dituen gardentasuneko betebeharrak bete dituzte. Betebehar horiek errefere</w:t>
      </w:r>
      <w:r>
        <w:t>n</w:t>
      </w:r>
      <w:r>
        <w:t>tzia egiten diote, funtsean, diru-laguntza ematen duen organoarekin ondokoak komunikatzeari: gobernu organoen osaera, kargudunak eta haien ordainsariak eta azkeneko urteko kontuak. Informazio hori Nafarroako Gobernuaren web-orrian argitaratzen da.</w:t>
      </w:r>
    </w:p>
    <w:p w:rsidR="00C23A05" w:rsidRPr="00F23A49" w:rsidRDefault="005F4340" w:rsidP="0080604B">
      <w:pPr>
        <w:pStyle w:val="texto"/>
        <w:tabs>
          <w:tab w:val="clear" w:pos="2835"/>
          <w:tab w:val="clear" w:pos="3969"/>
          <w:tab w:val="clear" w:pos="5103"/>
          <w:tab w:val="clear" w:pos="6237"/>
          <w:tab w:val="clear" w:pos="7371"/>
        </w:tabs>
      </w:pPr>
      <w:r>
        <w:t>4. Laguntza horiek emateko araubidea, oro har, norgehiagoka eta banakako ebaluazioa izan dira. Hala eta guztiz ere, ikusi da, halaber, diru-laguntza ize</w:t>
      </w:r>
      <w:r>
        <w:t>n</w:t>
      </w:r>
      <w:r>
        <w:t>dun batzuk ere izan direla, zeinak, orokorrean, kasuko hitzarmena sinatuz bid</w:t>
      </w:r>
      <w:r>
        <w:t>e</w:t>
      </w:r>
      <w:r>
        <w:t>ratzen baitira.</w:t>
      </w:r>
    </w:p>
    <w:p w:rsidR="001838DC" w:rsidRDefault="001838DC" w:rsidP="001838DC">
      <w:pPr>
        <w:pStyle w:val="texto"/>
        <w:tabs>
          <w:tab w:val="clear" w:pos="2835"/>
          <w:tab w:val="clear" w:pos="3969"/>
          <w:tab w:val="clear" w:pos="5103"/>
          <w:tab w:val="clear" w:pos="6237"/>
          <w:tab w:val="clear" w:pos="7371"/>
        </w:tabs>
      </w:pPr>
      <w:r>
        <w:t>5. Kasuko oinarri arautzaileak onesten dira, araudian ezarritako prozeduraren bitartez, organo emailearen, zerbitzu juridikoen eta kontu-hartzailetza deleg</w:t>
      </w:r>
      <w:r>
        <w:t>a</w:t>
      </w:r>
      <w:r>
        <w:t>tuaren behar diren txostenekin. Azken horri dagokionez, ikusi dugu eragozpen-oharrei buruzko txosten batzuk egin direla, bai oinarriak onesteko fasean eta haien deialdian, bai justifikazioaren eta ordainketaren fasean ere.</w:t>
      </w:r>
    </w:p>
    <w:p w:rsidR="001838DC" w:rsidRPr="001F1E22" w:rsidRDefault="009E6FD1" w:rsidP="001838DC">
      <w:pPr>
        <w:pStyle w:val="texto"/>
        <w:tabs>
          <w:tab w:val="clear" w:pos="2835"/>
          <w:tab w:val="clear" w:pos="3969"/>
          <w:tab w:val="clear" w:pos="5103"/>
          <w:tab w:val="clear" w:pos="6237"/>
          <w:tab w:val="clear" w:pos="7371"/>
        </w:tabs>
      </w:pPr>
      <w:r>
        <w:t>6. Ikusi da oinarri arautzaileak oso exhaustiboak direla betekizunei dagoki</w:t>
      </w:r>
      <w:r>
        <w:t>e</w:t>
      </w:r>
      <w:r>
        <w:t>nez, eta izapide administratibo ugari eskatzen dituztela, arduraldi eta zeregin bereziak eragiten dizkietenak bai organo emaileari, bai onuradunari ere; hal</w:t>
      </w:r>
      <w:r>
        <w:t>a</w:t>
      </w:r>
      <w:r>
        <w:t>ber, ikusi dugu nolabaiteko exijentzia badagoela, murriztapen eta muga batzuk ezarri baitira diru-laguntza diruz laguntzekoa den gastuaren bloke desberdinei aplikatzeari begira. Horren guztiaren testuinguruan nabarmen ageri dira aztert</w:t>
      </w:r>
      <w:r>
        <w:t>u</w:t>
      </w:r>
      <w:r>
        <w:lastRenderedPageBreak/>
        <w:t>tako entitate onuradun gehienen ezaugarri diren baliabide administratiboen g</w:t>
      </w:r>
      <w:r>
        <w:t>a</w:t>
      </w:r>
      <w:r>
        <w:t xml:space="preserve">beziak, eta, kasu batzuetan, diru-laguntza gisa jasotako kopurua bera txikia dela. </w:t>
      </w:r>
    </w:p>
    <w:p w:rsidR="001838DC" w:rsidRDefault="009E6FD1" w:rsidP="00461A5F">
      <w:pPr>
        <w:pStyle w:val="texto"/>
        <w:tabs>
          <w:tab w:val="clear" w:pos="2835"/>
          <w:tab w:val="clear" w:pos="3969"/>
          <w:tab w:val="clear" w:pos="5103"/>
          <w:tab w:val="clear" w:pos="6237"/>
          <w:tab w:val="clear" w:pos="7371"/>
        </w:tabs>
      </w:pPr>
      <w:r>
        <w:t>7. Aztertutako deialdi guztiek badaukate, eta baldintza gisa exijitzen da, l</w:t>
      </w:r>
      <w:r>
        <w:t>a</w:t>
      </w:r>
      <w:r>
        <w:t>guntzen onuraduna egunean egotea Foru Ogasunarekiko zerga-betebeharretan; halere, ikusi dugu ezen, zenbait kudeaketa-zentrotan, laguntza eskatzeko fasean ere eskatu egiten zaiola. Gure ustez informazio hori aipatutako zentroen esku dago, haien barnean eta modu automatikoan; horrenbestez, ez litzateke eskatu beharko, gutxienez ere bigarren eskaera horretan, eta horrekin izapide admini</w:t>
      </w:r>
      <w:r>
        <w:t>s</w:t>
      </w:r>
      <w:r>
        <w:t xml:space="preserve">tratiboak arindu eginen lirateke. </w:t>
      </w:r>
    </w:p>
    <w:p w:rsidR="005C5534" w:rsidRPr="001F1E22" w:rsidRDefault="005C5534" w:rsidP="00C23A05">
      <w:pPr>
        <w:pStyle w:val="texto"/>
        <w:tabs>
          <w:tab w:val="clear" w:pos="2835"/>
          <w:tab w:val="clear" w:pos="3969"/>
          <w:tab w:val="clear" w:pos="5103"/>
          <w:tab w:val="clear" w:pos="6237"/>
          <w:tab w:val="clear" w:pos="7371"/>
        </w:tabs>
      </w:pPr>
      <w:r>
        <w:t>8. Deialdi guztietako abiapuntua da emandako laguntzek ez gainditzea diruz lagundutako jarduera, eta tresna batzuk eta dokumentazio jakin bat jasotzen da egiaztatzeko ez dagoela onuradunaren gehiegizko finantzaketarik, beste lagu</w:t>
      </w:r>
      <w:r>
        <w:t>n</w:t>
      </w:r>
      <w:r>
        <w:t>tza publiko batzuekiko bateragarriak diren ala ez adierazita. Hala eta guztiz ere, zenbat kasutan, ez dira zorrotz kontrolatzen onuradunak beste administrazio publiko batzuetatik jaso dituen ekarpenak, ez eta haren bestelako finantzab</w:t>
      </w:r>
      <w:r>
        <w:t>i</w:t>
      </w:r>
      <w:r>
        <w:t>deak ere.</w:t>
      </w:r>
    </w:p>
    <w:p w:rsidR="009E6FD1" w:rsidRDefault="00EC575F" w:rsidP="00C23A05">
      <w:pPr>
        <w:pStyle w:val="texto"/>
        <w:tabs>
          <w:tab w:val="clear" w:pos="2835"/>
          <w:tab w:val="clear" w:pos="3969"/>
          <w:tab w:val="clear" w:pos="5103"/>
          <w:tab w:val="clear" w:pos="6237"/>
          <w:tab w:val="clear" w:pos="7371"/>
        </w:tabs>
      </w:pPr>
      <w:r>
        <w:t>9. 2014ko abenduko Diru-laguntzei buruzko Foru Legearen aldaketak proz</w:t>
      </w:r>
      <w:r>
        <w:t>e</w:t>
      </w:r>
      <w:r>
        <w:t>durako bi nahasteren konponbidea ekarri du; hain zuzen ere, gure lanean jaso ditugu horiek. Zehazki:</w:t>
      </w:r>
    </w:p>
    <w:p w:rsidR="009E6FD1" w:rsidRDefault="009E6FD1" w:rsidP="009E6FD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t>Onuradunari eskaintzen zaion aukera, aurkeztutako eskaerak birformul</w:t>
      </w:r>
      <w:r>
        <w:t>a</w:t>
      </w:r>
      <w:r>
        <w:t>tzekoa, baldin eta azkenean emandako diru-laguntza txikiagoa bada hasierako eskaeran ageri dena baino, zertarako eta konpromisoak eta jarduerak egiazki emandako kopuruari egokitzeko.</w:t>
      </w:r>
    </w:p>
    <w:p w:rsidR="009E6FD1" w:rsidRDefault="008E4D40" w:rsidP="009E6FD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t>Behin diru-laguntzaren xedeak beteta, eta aplikatu gabeko gerakinak lortu direnean, diru-laguntza eman duen organoari eskatu ahalko zaio gerakinaren zati hori erabiltzeko diruz laguntzekoak diren izaera bera edo antzekoa duten bestelako jardueretan. Neurri horrekin onura bat egin nahi zaie beren kudeak</w:t>
      </w:r>
      <w:r>
        <w:t>e</w:t>
      </w:r>
      <w:r>
        <w:t xml:space="preserve">tan efizienteak izan diren entitateei, eta horren bidez konponbidea eman nahi zaio gerakin hori automatikoki itzultzeko betebeharrari. </w:t>
      </w:r>
    </w:p>
    <w:p w:rsidR="00BE7574" w:rsidRPr="00BE7574" w:rsidRDefault="00BE7574" w:rsidP="00596ABB">
      <w:pPr>
        <w:pStyle w:val="texto"/>
        <w:tabs>
          <w:tab w:val="clear" w:pos="2835"/>
          <w:tab w:val="clear" w:pos="3969"/>
          <w:tab w:val="clear" w:pos="5103"/>
          <w:tab w:val="clear" w:pos="6237"/>
          <w:tab w:val="clear" w:pos="7371"/>
        </w:tabs>
      </w:pPr>
      <w:r>
        <w:t xml:space="preserve">Horren aplikazio eraginkorra egiteko, exijitzen da aukera hori diru-laguntzaren oinarri arautzaileetan berariaz jasota egotea. </w:t>
      </w:r>
    </w:p>
    <w:p w:rsidR="00596ABB" w:rsidRPr="001F1E22" w:rsidRDefault="00EC575F" w:rsidP="00596ABB">
      <w:pPr>
        <w:pStyle w:val="texto"/>
        <w:tabs>
          <w:tab w:val="clear" w:pos="2835"/>
          <w:tab w:val="clear" w:pos="3969"/>
          <w:tab w:val="clear" w:pos="5103"/>
          <w:tab w:val="clear" w:pos="6237"/>
          <w:tab w:val="clear" w:pos="7371"/>
        </w:tabs>
      </w:pPr>
      <w:r>
        <w:t xml:space="preserve">10. Aztertutako diru-laguntzetatik batzuek beren ordainketa arautzen dute konturako ordainketen eta amaierako likidazio baten bitartez; likidazio hori amaieran egiten da eta, batzuetan, atzerapen handi samarrarekin. Jarduteko modu horrek berarekin ekartzen du, zenbait kasutan, aurkeztutako amaierako justifikazioan aurreratutakoa baino kopuru txikiagoko diru-laguntza ematea. Hori dela eta, itzulketa egiteko prozedura administratiboa hasi beharra dago, horrek dakarren zama burokratikoarekin, eta bai kasuko berandutza-interesak, </w:t>
      </w:r>
      <w:r>
        <w:lastRenderedPageBreak/>
        <w:t xml:space="preserve">bai, zenbaitetan, onuradunarentzako kudeaketa- eta finantza-zailtasunak sortzen dira. </w:t>
      </w:r>
    </w:p>
    <w:p w:rsidR="00596ABB" w:rsidRDefault="00596ABB" w:rsidP="00C23A05">
      <w:pPr>
        <w:pStyle w:val="texto"/>
        <w:tabs>
          <w:tab w:val="clear" w:pos="2835"/>
          <w:tab w:val="clear" w:pos="3969"/>
          <w:tab w:val="clear" w:pos="5103"/>
          <w:tab w:val="clear" w:pos="6237"/>
          <w:tab w:val="clear" w:pos="7371"/>
        </w:tabs>
      </w:pPr>
      <w:r>
        <w:t>11. 30.000 eurotik gorako –obren kasuan– eta 12.000 eurotik gorako –hornikuntzen eta laguntzaren kasuan– diru-laguntzen onuradunek justifikatu izan dute hirugarren hornitzaileak efizientzia- eta ekonomia-irizpideekin ha</w:t>
      </w:r>
      <w:r>
        <w:t>u</w:t>
      </w:r>
      <w:r>
        <w:t>tatu izana.</w:t>
      </w:r>
    </w:p>
    <w:p w:rsidR="009E6FD1" w:rsidRDefault="00596ABB" w:rsidP="00C23A05">
      <w:pPr>
        <w:pStyle w:val="texto"/>
        <w:tabs>
          <w:tab w:val="clear" w:pos="2835"/>
          <w:tab w:val="clear" w:pos="3969"/>
          <w:tab w:val="clear" w:pos="5103"/>
          <w:tab w:val="clear" w:pos="6237"/>
          <w:tab w:val="clear" w:pos="7371"/>
        </w:tabs>
      </w:pPr>
      <w:r>
        <w:t>12. Ikusten dugu diru-laguntzen lineetako kreditu-gaindikinak deuseztatu egiten direla, behin haiek eman eta justifikatu ondoren. Mekanismo horren b</w:t>
      </w:r>
      <w:r>
        <w:t>i</w:t>
      </w:r>
      <w:r>
        <w:t>dez, gerta daiteke interes orokorreko jarduera batzuk finantzatu gabe uztea eta, gainera, gorabehera batzuk sortzea –esate baterako, onuradunaren geroko err</w:t>
      </w:r>
      <w:r>
        <w:t>e</w:t>
      </w:r>
      <w:r>
        <w:t>klamazioak, ezin arta daitezkeenak, organo emaileak behar duen kreditua ez edukitzeagatik.</w:t>
      </w:r>
    </w:p>
    <w:p w:rsidR="00C23A05" w:rsidRDefault="00AE2A21" w:rsidP="00C23A05">
      <w:pPr>
        <w:pStyle w:val="texto"/>
        <w:tabs>
          <w:tab w:val="clear" w:pos="2835"/>
          <w:tab w:val="clear" w:pos="3969"/>
          <w:tab w:val="clear" w:pos="5103"/>
          <w:tab w:val="clear" w:pos="6237"/>
          <w:tab w:val="clear" w:pos="7371"/>
        </w:tabs>
      </w:pPr>
      <w:r>
        <w:t>13. Ezarritako prozedurek bermatzen dute diru-laguntzaren edo laguntzaren kopurua ezin ordaintzea Foru Komunitateko Administrazioarekin zorrak dau</w:t>
      </w:r>
      <w:r>
        <w:t>z</w:t>
      </w:r>
      <w:r>
        <w:t>katen onuradunei.</w:t>
      </w:r>
    </w:p>
    <w:p w:rsidR="00596ABB" w:rsidRDefault="00AE2A21" w:rsidP="00E55C5B">
      <w:pPr>
        <w:pStyle w:val="texto"/>
        <w:tabs>
          <w:tab w:val="clear" w:pos="2835"/>
          <w:tab w:val="clear" w:pos="3969"/>
          <w:tab w:val="clear" w:pos="5103"/>
          <w:tab w:val="clear" w:pos="6237"/>
          <w:tab w:val="clear" w:pos="7371"/>
        </w:tabs>
      </w:pPr>
      <w:r>
        <w:t>14. Ikusten dugu diru-laguntzak itzultzeko legezko mekanismoak aplikatu d</w:t>
      </w:r>
      <w:r>
        <w:t>i</w:t>
      </w:r>
      <w:r>
        <w:t>rela, bai diruz laguntzekoak ez diren gastuak justifikatzeagatik, bai adostutako jardueren guztizkoa ez gauzatzeagatik ere.</w:t>
      </w:r>
    </w:p>
    <w:p w:rsidR="001E7AE7" w:rsidRDefault="00596ABB" w:rsidP="005C5534">
      <w:pPr>
        <w:pStyle w:val="texto"/>
        <w:tabs>
          <w:tab w:val="clear" w:pos="2835"/>
          <w:tab w:val="clear" w:pos="3969"/>
          <w:tab w:val="clear" w:pos="5103"/>
          <w:tab w:val="clear" w:pos="6237"/>
          <w:tab w:val="clear" w:pos="7371"/>
        </w:tabs>
      </w:pPr>
      <w:r>
        <w:t>15. Diru-laguntzak arautzen dituzten hitzarmenetan, ez dira beti betetzen haietan jasotako aurreikuspenak, hitzarmen horren aplikazioaren jarraipena eg</w:t>
      </w:r>
      <w:r>
        <w:t>i</w:t>
      </w:r>
      <w:r>
        <w:t>teko batzorde bat eratzeari buruzkoak; hain zuzen ere, Administrazioaren eta ente onuradunaren ordezkariek osatutako batzordea.</w:t>
      </w:r>
    </w:p>
    <w:p w:rsidR="006B019B" w:rsidRDefault="006B019B" w:rsidP="00CB08B2">
      <w:pPr>
        <w:pStyle w:val="texto"/>
        <w:tabs>
          <w:tab w:val="clear" w:pos="2835"/>
          <w:tab w:val="clear" w:pos="3969"/>
          <w:tab w:val="clear" w:pos="5103"/>
          <w:tab w:val="clear" w:pos="6237"/>
          <w:tab w:val="clear" w:pos="7371"/>
        </w:tabs>
      </w:pPr>
      <w:r>
        <w:t>16. Azkenik, aztertutako entitate onuradunen bideragarritasun finantzarioari dagokionez, Ganbera honek nabarmentzen du bideragarritasun hori, gehienetan, Nafarroako Gobernuak emandako diru-laguntzen menpe dagoela. Halaber, ez dugu ahaztu behar diruz lagundutako jarduerak interes orokorreko xedeen b</w:t>
      </w:r>
      <w:r>
        <w:t>a</w:t>
      </w:r>
      <w:r>
        <w:t>rruan sartzen direla, eta entitate horiek botere publikoekin batera lan egiten d</w:t>
      </w:r>
      <w:r>
        <w:t>u</w:t>
      </w:r>
      <w:r>
        <w:t>tela xede horiek lortzeko.</w:t>
      </w:r>
    </w:p>
    <w:p w:rsidR="00212B59" w:rsidRDefault="00212B59" w:rsidP="00212B59">
      <w:pPr>
        <w:pStyle w:val="atitulo2"/>
        <w:spacing w:before="240"/>
      </w:pPr>
      <w:bookmarkStart w:id="30" w:name="_Toc428861106"/>
      <w:bookmarkStart w:id="31" w:name="_Toc442683860"/>
      <w:r>
        <w:t>IV.2. Gomendioak</w:t>
      </w:r>
      <w:bookmarkEnd w:id="30"/>
      <w:bookmarkEnd w:id="31"/>
    </w:p>
    <w:p w:rsidR="000F73EA" w:rsidRDefault="00212B59" w:rsidP="000F73EA">
      <w:pPr>
        <w:pStyle w:val="texto"/>
        <w:tabs>
          <w:tab w:val="clear" w:pos="2835"/>
          <w:tab w:val="clear" w:pos="3969"/>
          <w:tab w:val="clear" w:pos="5103"/>
          <w:tab w:val="clear" w:pos="6237"/>
          <w:tab w:val="clear" w:pos="7371"/>
        </w:tabs>
      </w:pPr>
      <w:r>
        <w:t>Aurreko ohar horiek aintzat hartuta, hona Kontuen Ganbera honek aholk</w:t>
      </w:r>
      <w:r>
        <w:t>a</w:t>
      </w:r>
      <w:r>
        <w:t>tzen duena:</w:t>
      </w:r>
    </w:p>
    <w:p w:rsidR="00212B59" w:rsidRPr="00212B59" w:rsidRDefault="000F73EA" w:rsidP="00212B59">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rPr>
        <w:t>Nafarroako Gobernuaren diru-laguntzei buruzko plan estrategikoa one</w:t>
      </w:r>
      <w:r>
        <w:rPr>
          <w:i/>
        </w:rPr>
        <w:t>s</w:t>
      </w:r>
      <w:r>
        <w:rPr>
          <w:i/>
        </w:rPr>
        <w:t>tea, Gobernuak diru-laguntzetarako duen politika modu orokorrean egitur</w:t>
      </w:r>
      <w:r>
        <w:rPr>
          <w:i/>
        </w:rPr>
        <w:t>a</w:t>
      </w:r>
      <w:r>
        <w:rPr>
          <w:i/>
        </w:rPr>
        <w:t>tzeko garrantzizko tresna moduan, argi definituz zein diren departamentu b</w:t>
      </w:r>
      <w:r>
        <w:rPr>
          <w:i/>
        </w:rPr>
        <w:t>a</w:t>
      </w:r>
      <w:r>
        <w:rPr>
          <w:i/>
        </w:rPr>
        <w:t>koitzak bilatzen dituen helburuak eta jarduketa-ildoa, eta berraztertuz ema</w:t>
      </w:r>
      <w:r>
        <w:rPr>
          <w:i/>
        </w:rPr>
        <w:t>n</w:t>
      </w:r>
      <w:r>
        <w:rPr>
          <w:i/>
        </w:rPr>
        <w:t>dako diru-laguntza askoren egokitasuna eta arrazoizkotasuna, bai eta depa</w:t>
      </w:r>
      <w:r>
        <w:rPr>
          <w:i/>
        </w:rPr>
        <w:t>r</w:t>
      </w:r>
      <w:r>
        <w:rPr>
          <w:i/>
        </w:rPr>
        <w:t xml:space="preserve">tamentuen arteko koherentzia ere. Hori guztia epe luzeko perspektiba batetik, eta urteko ebaluazio-tresnak sartuz. </w:t>
      </w:r>
    </w:p>
    <w:p w:rsidR="00020CD1" w:rsidRPr="00020CD1" w:rsidRDefault="004017F3" w:rsidP="00212B59">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rPr>
          <w:i/>
        </w:rPr>
        <w:lastRenderedPageBreak/>
        <w:t>Oro har, diru-laguntzei buruzko deialdien sinplifikazio bat aztertzea, er</w:t>
      </w:r>
      <w:r>
        <w:rPr>
          <w:i/>
        </w:rPr>
        <w:t>a</w:t>
      </w:r>
      <w:r>
        <w:rPr>
          <w:i/>
        </w:rPr>
        <w:t>ginkortasun eta arrazoizkotasun printzipioei begiratuta, bai organo kudeatza</w:t>
      </w:r>
      <w:r>
        <w:rPr>
          <w:i/>
        </w:rPr>
        <w:t>i</w:t>
      </w:r>
      <w:r>
        <w:rPr>
          <w:i/>
        </w:rPr>
        <w:t>learentzat, bai onuradunarentzat ere, eta oreka bat bilatuz jarraipen zein ko</w:t>
      </w:r>
      <w:r>
        <w:rPr>
          <w:i/>
        </w:rPr>
        <w:t>n</w:t>
      </w:r>
      <w:r>
        <w:rPr>
          <w:i/>
        </w:rPr>
        <w:t>trolaren eta baldintza zein betekizun dokumentalen artean. Azterlan hori egin beharko litzateke kontuan hartuz aztertutako laguntzen hartzaile nagusiak b</w:t>
      </w:r>
      <w:r>
        <w:rPr>
          <w:i/>
        </w:rPr>
        <w:t>a</w:t>
      </w:r>
      <w:r>
        <w:rPr>
          <w:i/>
        </w:rPr>
        <w:t>liabide administratibo eskasak dituzten entitateak direla, eta, gehienetan, emandako zenbatekoak ez direla munta handikoak.</w:t>
      </w:r>
    </w:p>
    <w:p w:rsidR="003C52B8" w:rsidRPr="003C52B8" w:rsidRDefault="003C52B8" w:rsidP="00D310EC">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rPr>
      </w:pPr>
      <w:r>
        <w:rPr>
          <w:i/>
        </w:rPr>
        <w:t>Mekanismo batzuk aztertzea ahalbidetze aldera, behinik behin interes or</w:t>
      </w:r>
      <w:r>
        <w:rPr>
          <w:i/>
        </w:rPr>
        <w:t>o</w:t>
      </w:r>
      <w:r>
        <w:rPr>
          <w:i/>
        </w:rPr>
        <w:t>korrekotzat jotzen diren kasu batzuetan, diru-laguntzetarako aurrekontu-lineei dagokien kreditu-gaindikina erabil ahal dadila entitate onuradunek jarduketa gehiago finantzatzeko, eman beharreko kopuruak birkalkulatuz, edo urge</w:t>
      </w:r>
      <w:r>
        <w:rPr>
          <w:i/>
        </w:rPr>
        <w:t>n</w:t>
      </w:r>
      <w:r>
        <w:rPr>
          <w:i/>
        </w:rPr>
        <w:t>tziazko beste deialdi batzuk onestea</w:t>
      </w:r>
      <w:r>
        <w:rPr>
          <w:rStyle w:val="Refdenotaalpie"/>
          <w:i/>
        </w:rPr>
        <w:footnoteReference w:id="3"/>
      </w:r>
      <w:r>
        <w:rPr>
          <w:i/>
        </w:rPr>
        <w:t>.</w:t>
      </w:r>
    </w:p>
    <w:p w:rsidR="00AE2A21" w:rsidRPr="00AE2A21" w:rsidRDefault="00D310EC" w:rsidP="00D310EC">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rPr>
          <w:i/>
        </w:rPr>
        <w:t>Organo emaileak bermatu beharko du lagundu beharreko jarduera ez dela gainfinantzatzen, kontuan hartuz bai emandako diru-laguntza bera, bai gain</w:t>
      </w:r>
      <w:r>
        <w:rPr>
          <w:i/>
        </w:rPr>
        <w:t>e</w:t>
      </w:r>
      <w:r>
        <w:rPr>
          <w:i/>
        </w:rPr>
        <w:t>rako administrazio publikoen ekarpenak eta onuradunaren beraren baliabideak ere.</w:t>
      </w:r>
    </w:p>
    <w:p w:rsidR="009E6ECF" w:rsidRPr="00C00113" w:rsidRDefault="009E6ECF" w:rsidP="003C52B8">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rPr>
          <w:i/>
        </w:rPr>
        <w:t>Aurreko gomendioarekin lotuta, azter liteke, halaber, Diru-laguntza publ</w:t>
      </w:r>
      <w:r>
        <w:rPr>
          <w:i/>
        </w:rPr>
        <w:t>i</w:t>
      </w:r>
      <w:r>
        <w:rPr>
          <w:i/>
        </w:rPr>
        <w:t>koen Atari bat sortzea, non Foru Komunitateko administrazioek emandako diru-laguntza guztiak jasoko diren, eta ez soilik Nafarroako Gobernuarenak</w:t>
      </w:r>
      <w:r>
        <w:rPr>
          <w:rStyle w:val="Refdenotaalpie"/>
          <w:i/>
        </w:rPr>
        <w:footnoteReference w:id="4"/>
      </w:r>
      <w:r>
        <w:rPr>
          <w:i/>
        </w:rPr>
        <w:t>. Atari horrek, gardentasuna sustatzeaz gainera, erraztu eginen lituzke onurad</w:t>
      </w:r>
      <w:r>
        <w:rPr>
          <w:i/>
        </w:rPr>
        <w:t>u</w:t>
      </w:r>
      <w:r>
        <w:rPr>
          <w:i/>
        </w:rPr>
        <w:t>nek jasotako finantzaketa publikoari buruzko kontrol publikoko lanak.</w:t>
      </w:r>
    </w:p>
    <w:p w:rsidR="00C00113" w:rsidRPr="00A5010D" w:rsidRDefault="00C00113" w:rsidP="003C52B8">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rPr>
          <w:i/>
        </w:rPr>
        <w:t>Gogoeta egitea hitzarmenetan biltzen diren jarraipen-batzordeen egiazko baliagarritasunari buruz.</w:t>
      </w:r>
    </w:p>
    <w:p w:rsidR="00C9287B" w:rsidRPr="00C9287B" w:rsidRDefault="00C9287B" w:rsidP="00C9287B">
      <w:pPr>
        <w:pStyle w:val="texto"/>
        <w:tabs>
          <w:tab w:val="clear" w:pos="2835"/>
          <w:tab w:val="clear" w:pos="3969"/>
          <w:tab w:val="clear" w:pos="5103"/>
          <w:tab w:val="clear" w:pos="6237"/>
          <w:tab w:val="clear" w:pos="7371"/>
        </w:tabs>
      </w:pPr>
      <w:r>
        <w:t>Ignacio Cabeza del Salvador kontu-ikuskatzailea arduratu da lan honetaz, eta hark proposatuta eman da txosten hau, indarrean dagoen araudiak aurreikus</w:t>
      </w:r>
      <w:r>
        <w:t>i</w:t>
      </w:r>
      <w:r>
        <w:t>tako izapideak bete ondoren.</w:t>
      </w:r>
    </w:p>
    <w:p w:rsidR="00C9287B" w:rsidRPr="00C9287B" w:rsidRDefault="00C9287B" w:rsidP="00C9287B">
      <w:pPr>
        <w:pStyle w:val="texto"/>
        <w:tabs>
          <w:tab w:val="clear" w:pos="2835"/>
          <w:tab w:val="clear" w:pos="3969"/>
          <w:tab w:val="clear" w:pos="5103"/>
          <w:tab w:val="clear" w:pos="6237"/>
          <w:tab w:val="clear" w:pos="7371"/>
        </w:tabs>
        <w:jc w:val="center"/>
      </w:pPr>
      <w:r>
        <w:t>Iruñean 2015eko irailaren 25ean</w:t>
      </w:r>
    </w:p>
    <w:p w:rsidR="00723776" w:rsidRPr="00C9287B" w:rsidRDefault="00C9287B" w:rsidP="00C9287B">
      <w:pPr>
        <w:pStyle w:val="texto"/>
        <w:tabs>
          <w:tab w:val="clear" w:pos="2835"/>
          <w:tab w:val="clear" w:pos="3969"/>
          <w:tab w:val="clear" w:pos="5103"/>
          <w:tab w:val="clear" w:pos="6237"/>
          <w:tab w:val="clear" w:pos="7371"/>
        </w:tabs>
        <w:jc w:val="center"/>
      </w:pPr>
      <w:r>
        <w:t>Lehendakaria, Helio Robleda Cabezas</w:t>
      </w:r>
      <w:r>
        <w:br w:type="page"/>
      </w:r>
    </w:p>
    <w:p w:rsidR="008E24D2" w:rsidRPr="00DE433C" w:rsidRDefault="00756C17" w:rsidP="00CB4D02">
      <w:pPr>
        <w:pStyle w:val="atitulo1"/>
      </w:pPr>
      <w:bookmarkStart w:id="32" w:name="_Toc428861107"/>
      <w:bookmarkStart w:id="33" w:name="_Toc442683861"/>
      <w:r>
        <w:lastRenderedPageBreak/>
        <w:t>Eranskina. Aztertutako diru-laguntzak eta laguntzak</w:t>
      </w:r>
      <w:bookmarkEnd w:id="32"/>
      <w:bookmarkEnd w:id="33"/>
    </w:p>
    <w:p w:rsidR="00967CD7" w:rsidRDefault="00967CD7" w:rsidP="00967CD7">
      <w:pPr>
        <w:pStyle w:val="texto"/>
        <w:tabs>
          <w:tab w:val="num" w:pos="4920"/>
        </w:tabs>
        <w:rPr>
          <w:szCs w:val="26"/>
        </w:rPr>
      </w:pPr>
      <w:r>
        <w:t>Ondoren, aztertutako diru-laguntzak eta laguntzak zerrendatuko ditugu, haien organo kudeatzaileen arabera sailkatuak</w:t>
      </w:r>
      <w:r>
        <w:rPr>
          <w:rStyle w:val="Refdenotaalpie"/>
        </w:rPr>
        <w:footnoteReference w:id="5"/>
      </w:r>
      <w:r>
        <w:t>, eta adierazita zein den 2014ko aurrekontuan aitortutako betebeharren zenbatekoa.</w:t>
      </w:r>
    </w:p>
    <w:p w:rsidR="00967CD7" w:rsidRPr="003B312F" w:rsidRDefault="00967CD7" w:rsidP="00967CD7">
      <w:pPr>
        <w:pStyle w:val="texto"/>
        <w:ind w:left="284" w:firstLine="0"/>
        <w:rPr>
          <w:b/>
          <w:szCs w:val="26"/>
        </w:rPr>
      </w:pPr>
      <w:r>
        <w:rPr>
          <w:b/>
        </w:rPr>
        <w:t>A) Gizarte Gaietako Departamentua</w:t>
      </w: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after="240"/>
        <w:ind w:left="0" w:firstLine="289"/>
        <w:rPr>
          <w:szCs w:val="26"/>
        </w:rPr>
      </w:pPr>
      <w:r>
        <w:t>Kontsumitzaileen elkarteak.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Kontsumitzaileen elkarteak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Irache kontsumitzaileen elkartea.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13.054</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Socofideco kontsumitzaileen 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15.399</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Santa Mª La Real kontsumitzaileen 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11.547</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40.000</w:t>
            </w:r>
          </w:p>
        </w:tc>
      </w:tr>
    </w:tbl>
    <w:p w:rsidR="00967CD7" w:rsidRDefault="00967CD7" w:rsidP="00967CD7">
      <w:pPr>
        <w:pStyle w:val="texto"/>
        <w:tabs>
          <w:tab w:val="clear" w:pos="2835"/>
          <w:tab w:val="clear" w:pos="3969"/>
          <w:tab w:val="clear" w:pos="5103"/>
          <w:tab w:val="clear" w:pos="6237"/>
          <w:tab w:val="clear" w:pos="7371"/>
          <w:tab w:val="left" w:pos="480"/>
          <w:tab w:val="num" w:pos="1948"/>
          <w:tab w:val="num" w:pos="6597"/>
        </w:tabs>
        <w:spacing w:after="0"/>
        <w:ind w:left="289" w:firstLine="0"/>
      </w:pPr>
    </w:p>
    <w:p w:rsidR="00967CD7" w:rsidRPr="003B312F" w:rsidRDefault="00967CD7" w:rsidP="00967CD7">
      <w:pPr>
        <w:pStyle w:val="texto"/>
        <w:tabs>
          <w:tab w:val="clear" w:pos="2835"/>
          <w:tab w:val="clear" w:pos="3969"/>
          <w:tab w:val="clear" w:pos="5103"/>
          <w:tab w:val="clear" w:pos="6237"/>
          <w:tab w:val="clear" w:pos="7371"/>
          <w:tab w:val="left" w:pos="480"/>
          <w:tab w:val="num" w:pos="1948"/>
          <w:tab w:val="num" w:pos="6597"/>
        </w:tabs>
        <w:spacing w:after="0"/>
        <w:ind w:left="289" w:firstLine="0"/>
        <w:rPr>
          <w:b/>
        </w:rPr>
      </w:pPr>
      <w:r>
        <w:rPr>
          <w:b/>
        </w:rPr>
        <w:t>B) Nafarroako Kirol eta Gazteriaren Institutua.</w:t>
      </w:r>
    </w:p>
    <w:p w:rsidR="00967CD7" w:rsidRPr="008A08CB"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120" w:after="0"/>
        <w:ind w:left="0" w:firstLine="289"/>
        <w:rPr>
          <w:szCs w:val="26"/>
        </w:rPr>
      </w:pPr>
      <w:r>
        <w:t>Nafarroako Gazteriaren Kontseilua: 59.791 euro.</w:t>
      </w: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after="240"/>
        <w:ind w:left="0" w:firstLine="289"/>
      </w:pPr>
      <w:r>
        <w:t>Kirol federazioak.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Kirol-federazioak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3B312F" w:rsidP="00C23A05">
            <w:pPr>
              <w:pStyle w:val="cuatexto"/>
            </w:pPr>
            <w:r>
              <w:t>Nafarroako Pilota Federazioa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206.240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3B312F" w:rsidP="003B312F">
            <w:pPr>
              <w:pStyle w:val="cuatexto"/>
            </w:pPr>
            <w:r>
              <w:t>Nafarroako Saskibaloi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162.139</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Futbol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149.385</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Golf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71.863</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Karate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62.777</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Atletismo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59.951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Bela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22.291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Nafarroako Piraguismo Federazioa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17.113</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751.759</w:t>
            </w:r>
          </w:p>
        </w:tc>
      </w:tr>
    </w:tbl>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120" w:after="120"/>
        <w:ind w:left="0" w:firstLine="289"/>
      </w:pPr>
      <w:r>
        <w:t>Kirol klubak.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Kirol klubak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D31E91">
            <w:pPr>
              <w:pStyle w:val="cuatexto"/>
            </w:pPr>
            <w:r>
              <w:t>Sociedad cultural deportivo recreativa Anaitasuna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222.142</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Default="00967CD7" w:rsidP="00C23A05">
            <w:pPr>
              <w:pStyle w:val="cuatexto"/>
            </w:pPr>
            <w:r>
              <w:t>Iruñeko Basket Navarra club</w:t>
            </w:r>
          </w:p>
        </w:tc>
        <w:tc>
          <w:tcPr>
            <w:tcW w:w="1418" w:type="dxa"/>
            <w:tcBorders>
              <w:top w:val="single" w:sz="2" w:space="0" w:color="auto"/>
              <w:bottom w:val="single" w:sz="2" w:space="0" w:color="auto"/>
            </w:tcBorders>
            <w:vAlign w:val="center"/>
          </w:tcPr>
          <w:p w:rsidR="00967CD7" w:rsidRDefault="00967CD7" w:rsidP="00C23A05">
            <w:pPr>
              <w:pStyle w:val="cuatexto"/>
              <w:jc w:val="right"/>
            </w:pPr>
            <w:r>
              <w:t>172.791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Default="00967CD7" w:rsidP="003B312F">
            <w:pPr>
              <w:pStyle w:val="cuatexto"/>
            </w:pPr>
            <w:r>
              <w:t>Club deportivo Xota (aretoko futbola)</w:t>
            </w:r>
          </w:p>
        </w:tc>
        <w:tc>
          <w:tcPr>
            <w:tcW w:w="1418" w:type="dxa"/>
            <w:tcBorders>
              <w:top w:val="single" w:sz="2" w:space="0" w:color="auto"/>
              <w:bottom w:val="single" w:sz="2" w:space="0" w:color="auto"/>
            </w:tcBorders>
            <w:vAlign w:val="center"/>
          </w:tcPr>
          <w:p w:rsidR="00967CD7" w:rsidRDefault="00967CD7" w:rsidP="00C23A05">
            <w:pPr>
              <w:pStyle w:val="cuatexto"/>
              <w:jc w:val="right"/>
            </w:pPr>
            <w:r>
              <w:t>170.023</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Default="00967CD7" w:rsidP="00C23A05">
            <w:pPr>
              <w:pStyle w:val="cuatexto"/>
            </w:pPr>
            <w:r>
              <w:t>Club Ribera Navarra (aretoko futbola)</w:t>
            </w:r>
          </w:p>
        </w:tc>
        <w:tc>
          <w:tcPr>
            <w:tcW w:w="1418" w:type="dxa"/>
            <w:tcBorders>
              <w:top w:val="single" w:sz="2" w:space="0" w:color="auto"/>
              <w:bottom w:val="single" w:sz="2" w:space="0" w:color="auto"/>
            </w:tcBorders>
            <w:vAlign w:val="center"/>
          </w:tcPr>
          <w:p w:rsidR="00967CD7" w:rsidRDefault="00141689" w:rsidP="00141689">
            <w:pPr>
              <w:pStyle w:val="cuatexto"/>
              <w:jc w:val="right"/>
            </w:pPr>
            <w:r>
              <w:t>142.830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Default="00967CD7" w:rsidP="00C23A05">
            <w:pPr>
              <w:pStyle w:val="cuatexto"/>
            </w:pPr>
            <w:r>
              <w:t>Club deportivo Waterpolo Navarra</w:t>
            </w:r>
          </w:p>
        </w:tc>
        <w:tc>
          <w:tcPr>
            <w:tcW w:w="1418" w:type="dxa"/>
            <w:tcBorders>
              <w:top w:val="single" w:sz="2" w:space="0" w:color="auto"/>
              <w:bottom w:val="single" w:sz="2" w:space="0" w:color="auto"/>
            </w:tcBorders>
            <w:vAlign w:val="center"/>
          </w:tcPr>
          <w:p w:rsidR="00967CD7" w:rsidRDefault="00967CD7" w:rsidP="00C23A05">
            <w:pPr>
              <w:pStyle w:val="cuatexto"/>
              <w:jc w:val="right"/>
            </w:pPr>
            <w:r>
              <w:t>140.666</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Club Pamplona Atlético</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112.761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Club Deportivo Waterpolo 98 02</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100.894</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Club ciclista Urbasa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18.000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Club ciclista ADI</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18.000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3B312F">
            <w:pPr>
              <w:pStyle w:val="cuatexto"/>
            </w:pPr>
            <w:r>
              <w:t>Club deportivo ciclista Erakurri</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18.000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Club ciclista Joselín de Barañáin</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17.960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Fundación Navarra de baloncesto Ardoi</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15.545</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1.149.612</w:t>
            </w:r>
          </w:p>
        </w:tc>
      </w:tr>
    </w:tbl>
    <w:p w:rsidR="00967CD7" w:rsidRPr="003B312F" w:rsidRDefault="00967CD7" w:rsidP="00967CD7">
      <w:pPr>
        <w:pStyle w:val="texto"/>
        <w:tabs>
          <w:tab w:val="clear" w:pos="2835"/>
          <w:tab w:val="clear" w:pos="3969"/>
          <w:tab w:val="clear" w:pos="5103"/>
          <w:tab w:val="clear" w:pos="6237"/>
          <w:tab w:val="clear" w:pos="7371"/>
          <w:tab w:val="left" w:pos="480"/>
          <w:tab w:val="num" w:pos="1948"/>
          <w:tab w:val="num" w:pos="6597"/>
        </w:tabs>
        <w:spacing w:after="0"/>
        <w:ind w:left="289" w:firstLine="0"/>
        <w:rPr>
          <w:b/>
        </w:rPr>
      </w:pPr>
      <w:r>
        <w:rPr>
          <w:b/>
        </w:rPr>
        <w:lastRenderedPageBreak/>
        <w:t>C) Nafarroako Familiarako eta Berdintasunerako Institutua</w:t>
      </w:r>
    </w:p>
    <w:p w:rsidR="00967CD7" w:rsidRPr="00967CD7" w:rsidRDefault="00967CD7" w:rsidP="00967CD7">
      <w:pPr>
        <w:pStyle w:val="texto"/>
        <w:tabs>
          <w:tab w:val="clear" w:pos="2835"/>
          <w:tab w:val="clear" w:pos="3969"/>
          <w:tab w:val="clear" w:pos="5103"/>
          <w:tab w:val="clear" w:pos="6237"/>
          <w:tab w:val="clear" w:pos="7371"/>
          <w:tab w:val="left" w:pos="480"/>
          <w:tab w:val="num" w:pos="1948"/>
          <w:tab w:val="num" w:pos="6597"/>
        </w:tabs>
        <w:spacing w:after="0"/>
        <w:ind w:left="289" w:firstLine="0"/>
      </w:pP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after="240"/>
        <w:ind w:left="0" w:firstLine="289"/>
        <w:rPr>
          <w:szCs w:val="26"/>
        </w:rPr>
      </w:pPr>
      <w:r>
        <w:t>Tratu txarrak pairatutako emakumeen elkarteak: 6.000 euro (2013ko ek</w:t>
      </w:r>
      <w:r>
        <w:t>i</w:t>
      </w:r>
      <w:r>
        <w:t>taldian; 2014koan ez zitzaien ezer eman).</w:t>
      </w:r>
    </w:p>
    <w:p w:rsidR="00967CD7" w:rsidRPr="003B312F" w:rsidRDefault="003B312F" w:rsidP="00967CD7">
      <w:pPr>
        <w:pStyle w:val="texto"/>
        <w:tabs>
          <w:tab w:val="clear" w:pos="2835"/>
          <w:tab w:val="clear" w:pos="3969"/>
          <w:tab w:val="clear" w:pos="5103"/>
          <w:tab w:val="clear" w:pos="6237"/>
          <w:tab w:val="clear" w:pos="7371"/>
          <w:tab w:val="left" w:pos="480"/>
          <w:tab w:val="num" w:pos="720"/>
          <w:tab w:val="num" w:pos="6597"/>
        </w:tabs>
        <w:spacing w:after="240"/>
        <w:rPr>
          <w:b/>
          <w:szCs w:val="26"/>
        </w:rPr>
      </w:pPr>
      <w:r>
        <w:rPr>
          <w:b/>
        </w:rPr>
        <w:t>D) Kulturako, Turismoko eta Erakunde Harremanetako Departamentua</w:t>
      </w: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after="240"/>
        <w:ind w:left="0" w:firstLine="289"/>
        <w:rPr>
          <w:szCs w:val="26"/>
        </w:rPr>
      </w:pPr>
      <w:r>
        <w:t>Kultur elkarteak eta arte-ikasketetarako bekak.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Kultur elkarteak eta arte-ikasketetarako bekak.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Ateneo Navarro/Nafar Ateneoa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27.000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Asociación Tiza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25.000</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Fundación Instituto Promoción Estudios Sociales IPES Elkartea</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12.459</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Villanueva Sáenz de Pipaon, Fermín</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16.523</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Villanueva Sáenz de Piapon, Isabel</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14.669</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Lameiro Garayoa, Carmen</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14.252</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Asociación Euskal Dantzarien Biltzarra</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14.053</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Manero Muro, María</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13.204</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Recalde Iglesias, María José</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12.000</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23A05">
            <w:pPr>
              <w:pStyle w:val="cuatexto"/>
            </w:pPr>
            <w:r>
              <w:t>Bernad Asiáin, Clemente</w:t>
            </w:r>
          </w:p>
        </w:tc>
        <w:tc>
          <w:tcPr>
            <w:tcW w:w="1418" w:type="dxa"/>
            <w:tcBorders>
              <w:top w:val="single" w:sz="2" w:space="0" w:color="auto"/>
              <w:bottom w:val="single" w:sz="2" w:space="0" w:color="auto"/>
            </w:tcBorders>
            <w:vAlign w:val="center"/>
          </w:tcPr>
          <w:p w:rsidR="0090420A" w:rsidRPr="009100B5" w:rsidRDefault="0090420A" w:rsidP="00C23A05">
            <w:pPr>
              <w:pStyle w:val="cuatexto"/>
              <w:jc w:val="right"/>
            </w:pPr>
            <w:r>
              <w:t>10.750</w:t>
            </w:r>
          </w:p>
        </w:tc>
      </w:tr>
      <w:tr w:rsidR="0090420A" w:rsidRPr="00C12E70" w:rsidTr="00C23A05">
        <w:trPr>
          <w:trHeight w:val="255"/>
          <w:jc w:val="center"/>
        </w:trPr>
        <w:tc>
          <w:tcPr>
            <w:tcW w:w="7258" w:type="dxa"/>
            <w:tcBorders>
              <w:top w:val="single" w:sz="2" w:space="0" w:color="auto"/>
              <w:bottom w:val="single" w:sz="2" w:space="0" w:color="auto"/>
            </w:tcBorders>
            <w:vAlign w:val="center"/>
          </w:tcPr>
          <w:p w:rsidR="0090420A" w:rsidRPr="00E32A4F" w:rsidRDefault="0090420A" w:rsidP="00C9287B">
            <w:pPr>
              <w:pStyle w:val="cuatexto"/>
            </w:pPr>
            <w:r>
              <w:t>Nieto Vera, Lucía</w:t>
            </w:r>
          </w:p>
        </w:tc>
        <w:tc>
          <w:tcPr>
            <w:tcW w:w="1418" w:type="dxa"/>
            <w:tcBorders>
              <w:top w:val="single" w:sz="2" w:space="0" w:color="auto"/>
              <w:bottom w:val="single" w:sz="2" w:space="0" w:color="auto"/>
            </w:tcBorders>
            <w:vAlign w:val="center"/>
          </w:tcPr>
          <w:p w:rsidR="0090420A" w:rsidRPr="009100B5" w:rsidRDefault="0090420A" w:rsidP="00C9287B">
            <w:pPr>
              <w:pStyle w:val="cuatexto"/>
              <w:jc w:val="right"/>
            </w:pPr>
            <w:r>
              <w:t>10.016</w:t>
            </w:r>
          </w:p>
        </w:tc>
      </w:tr>
      <w:tr w:rsidR="0090420A"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0420A" w:rsidRPr="003875B4" w:rsidRDefault="0090420A"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0420A" w:rsidRPr="003875B4" w:rsidRDefault="0090420A" w:rsidP="00C23A05">
            <w:pPr>
              <w:pStyle w:val="cuatexto"/>
              <w:jc w:val="right"/>
              <w:rPr>
                <w:rFonts w:ascii="Arial" w:hAnsi="Arial" w:cs="Arial"/>
                <w:sz w:val="18"/>
                <w:szCs w:val="18"/>
              </w:rPr>
            </w:pPr>
            <w:r>
              <w:rPr>
                <w:rFonts w:ascii="Arial" w:hAnsi="Arial"/>
                <w:sz w:val="18"/>
              </w:rPr>
              <w:t>169.925</w:t>
            </w:r>
          </w:p>
        </w:tc>
      </w:tr>
    </w:tbl>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240" w:after="240"/>
        <w:ind w:left="0" w:firstLine="289"/>
      </w:pPr>
      <w:r>
        <w:t>Nafarren etxeak eta Nafarroan egoitza duten erregio-etxeak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Nafarren etxeak eta Nafarroan egoitza duten erregio-etxeak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Federación Nacional Hogares Navarros ("Día del Navarro Ausente")</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20.000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Nafarroatik kanpoko nafarren etxeak (15 entitate)</w:t>
            </w:r>
          </w:p>
        </w:tc>
        <w:tc>
          <w:tcPr>
            <w:tcW w:w="1418" w:type="dxa"/>
            <w:tcBorders>
              <w:top w:val="single" w:sz="2" w:space="0" w:color="auto"/>
              <w:bottom w:val="single" w:sz="2" w:space="0" w:color="auto"/>
            </w:tcBorders>
            <w:vAlign w:val="center"/>
          </w:tcPr>
          <w:p w:rsidR="00967CD7" w:rsidRPr="00CC726E" w:rsidRDefault="00CC726E" w:rsidP="00CC726E">
            <w:pPr>
              <w:pStyle w:val="cuatexto"/>
              <w:jc w:val="right"/>
            </w:pPr>
            <w:r>
              <w:t>40.000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Nafarroan egoitza duten erregio-etxeak</w:t>
            </w:r>
          </w:p>
        </w:tc>
        <w:tc>
          <w:tcPr>
            <w:tcW w:w="1418" w:type="dxa"/>
            <w:tcBorders>
              <w:top w:val="single" w:sz="2" w:space="0" w:color="auto"/>
              <w:bottom w:val="single" w:sz="2" w:space="0" w:color="auto"/>
            </w:tcBorders>
            <w:vAlign w:val="center"/>
          </w:tcPr>
          <w:p w:rsidR="00967CD7" w:rsidRPr="00CC726E" w:rsidRDefault="00CC726E" w:rsidP="00CC726E">
            <w:pPr>
              <w:pStyle w:val="cuatexto"/>
              <w:jc w:val="right"/>
            </w:pPr>
            <w:r>
              <w:t>24.000</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CC726E" w:rsidP="00AE1F75">
            <w:pPr>
              <w:pStyle w:val="cuatexto"/>
              <w:jc w:val="right"/>
              <w:rPr>
                <w:rFonts w:ascii="Arial" w:hAnsi="Arial" w:cs="Arial"/>
                <w:sz w:val="18"/>
                <w:szCs w:val="18"/>
              </w:rPr>
            </w:pPr>
            <w:r>
              <w:rPr>
                <w:rFonts w:ascii="Arial" w:hAnsi="Arial"/>
                <w:sz w:val="18"/>
              </w:rPr>
              <w:t>84.000</w:t>
            </w:r>
          </w:p>
        </w:tc>
      </w:tr>
    </w:tbl>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240" w:after="240"/>
        <w:ind w:left="0" w:firstLine="289"/>
      </w:pPr>
      <w:r>
        <w:t>Turismo elkarteak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Turismo elkarteak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Lizarrako Ostalaritza Elkartea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30.000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Aralar Mendi, kultura- eta kirol-elkartea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27.112</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Cederna Garalur 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26.271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Irantzuko Turismo 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21.514</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Default="009836F9" w:rsidP="009836F9">
            <w:pPr>
              <w:pStyle w:val="cuatexto"/>
            </w:pPr>
            <w:r>
              <w:t>Nafarroako Elikagai Artisauen Elkartea</w:t>
            </w:r>
          </w:p>
        </w:tc>
        <w:tc>
          <w:tcPr>
            <w:tcW w:w="1418" w:type="dxa"/>
            <w:tcBorders>
              <w:top w:val="single" w:sz="2" w:space="0" w:color="auto"/>
              <w:bottom w:val="single" w:sz="2" w:space="0" w:color="auto"/>
            </w:tcBorders>
            <w:vAlign w:val="center"/>
          </w:tcPr>
          <w:p w:rsidR="00967CD7" w:rsidRDefault="00967CD7" w:rsidP="00C23A05">
            <w:pPr>
              <w:pStyle w:val="cuatexto"/>
              <w:jc w:val="right"/>
            </w:pPr>
            <w:r>
              <w:t>21.501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Nafarroako Almadiazainen Kultur Elkartea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16.974</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143.371</w:t>
            </w:r>
          </w:p>
        </w:tc>
      </w:tr>
    </w:tbl>
    <w:p w:rsidR="00967CD7" w:rsidRDefault="00967CD7" w:rsidP="00967CD7">
      <w:pPr>
        <w:pStyle w:val="texto"/>
        <w:tabs>
          <w:tab w:val="clear" w:pos="2835"/>
          <w:tab w:val="clear" w:pos="3969"/>
          <w:tab w:val="clear" w:pos="5103"/>
          <w:tab w:val="clear" w:pos="6237"/>
          <w:tab w:val="clear" w:pos="7371"/>
          <w:tab w:val="left" w:pos="480"/>
          <w:tab w:val="num" w:pos="720"/>
          <w:tab w:val="num" w:pos="6597"/>
        </w:tabs>
        <w:spacing w:before="120" w:after="120"/>
      </w:pPr>
    </w:p>
    <w:p w:rsidR="00967CD7" w:rsidRDefault="00967CD7" w:rsidP="00BD3D93">
      <w:pPr>
        <w:pStyle w:val="texto"/>
        <w:tabs>
          <w:tab w:val="clear" w:pos="2835"/>
          <w:tab w:val="clear" w:pos="3969"/>
          <w:tab w:val="clear" w:pos="5103"/>
          <w:tab w:val="clear" w:pos="6237"/>
          <w:tab w:val="clear" w:pos="7371"/>
          <w:tab w:val="left" w:pos="480"/>
          <w:tab w:val="num" w:pos="720"/>
          <w:tab w:val="num" w:pos="6597"/>
        </w:tabs>
        <w:spacing w:before="120" w:after="120"/>
        <w:ind w:firstLine="0"/>
      </w:pPr>
    </w:p>
    <w:p w:rsidR="00F25868" w:rsidRDefault="00F25868" w:rsidP="00BD3D93">
      <w:pPr>
        <w:pStyle w:val="texto"/>
        <w:tabs>
          <w:tab w:val="clear" w:pos="2835"/>
          <w:tab w:val="clear" w:pos="3969"/>
          <w:tab w:val="clear" w:pos="5103"/>
          <w:tab w:val="clear" w:pos="6237"/>
          <w:tab w:val="clear" w:pos="7371"/>
          <w:tab w:val="left" w:pos="480"/>
          <w:tab w:val="num" w:pos="720"/>
          <w:tab w:val="num" w:pos="6597"/>
        </w:tabs>
        <w:spacing w:before="120" w:after="120"/>
        <w:ind w:firstLine="0"/>
      </w:pPr>
    </w:p>
    <w:p w:rsidR="00A70767" w:rsidRDefault="00A70767" w:rsidP="00BD3D93">
      <w:pPr>
        <w:pStyle w:val="texto"/>
        <w:tabs>
          <w:tab w:val="clear" w:pos="2835"/>
          <w:tab w:val="clear" w:pos="3969"/>
          <w:tab w:val="clear" w:pos="5103"/>
          <w:tab w:val="clear" w:pos="6237"/>
          <w:tab w:val="clear" w:pos="7371"/>
          <w:tab w:val="left" w:pos="480"/>
          <w:tab w:val="num" w:pos="720"/>
          <w:tab w:val="num" w:pos="6597"/>
        </w:tabs>
        <w:spacing w:before="120" w:after="120"/>
        <w:ind w:firstLine="0"/>
      </w:pPr>
    </w:p>
    <w:p w:rsidR="00967CD7" w:rsidRPr="003B312F" w:rsidRDefault="00967CD7" w:rsidP="00967CD7">
      <w:pPr>
        <w:pStyle w:val="texto"/>
        <w:tabs>
          <w:tab w:val="clear" w:pos="2835"/>
          <w:tab w:val="clear" w:pos="3969"/>
          <w:tab w:val="clear" w:pos="5103"/>
          <w:tab w:val="clear" w:pos="6237"/>
          <w:tab w:val="clear" w:pos="7371"/>
          <w:tab w:val="left" w:pos="480"/>
          <w:tab w:val="num" w:pos="720"/>
          <w:tab w:val="num" w:pos="6597"/>
        </w:tabs>
        <w:spacing w:after="240"/>
        <w:rPr>
          <w:b/>
          <w:szCs w:val="26"/>
        </w:rPr>
      </w:pPr>
      <w:r>
        <w:rPr>
          <w:b/>
        </w:rPr>
        <w:lastRenderedPageBreak/>
        <w:t>E) Landa Garapeneko, Ingurumeneko eta Toki Administrazioko Depa</w:t>
      </w:r>
      <w:r>
        <w:rPr>
          <w:b/>
        </w:rPr>
        <w:t>r</w:t>
      </w:r>
      <w:r>
        <w:rPr>
          <w:b/>
        </w:rPr>
        <w:t>tamentua:</w:t>
      </w: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after="240"/>
        <w:ind w:left="0" w:firstLine="289"/>
        <w:rPr>
          <w:szCs w:val="26"/>
        </w:rPr>
      </w:pPr>
      <w:r>
        <w:t>Kontseilu arau-emaileak eta beste.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Kontseilu arauemaileak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Nafarroako Ardoa Jatorrizko Deituraren Kontseilu Arauemailea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265.000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NNEK (Kontseilu Ekologikoa)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105.600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Nafarroako Aratxea Jatorrizko Deituraren Kontseilu Arauemailea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81.328</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Nafarroako Arkumea Jatorrizko Deituraren Kontseilu Arauemailea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39.051</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Nafarroako Zainzuria Jatorrizko Deituraren Kontseilu Arauemailea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37.784</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Erronkariko Gazta Jatorrizko Deituraren Kontseilu Arauemailea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30.348</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Errioxa Jatorrizko Deituraren Kontseilu Arauemailea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28.000</w:t>
            </w:r>
          </w:p>
        </w:tc>
      </w:tr>
      <w:tr w:rsidR="00141689" w:rsidRPr="00C12E70" w:rsidTr="00C23A05">
        <w:trPr>
          <w:trHeight w:val="255"/>
          <w:jc w:val="center"/>
        </w:trPr>
        <w:tc>
          <w:tcPr>
            <w:tcW w:w="7258" w:type="dxa"/>
            <w:tcBorders>
              <w:top w:val="single" w:sz="2" w:space="0" w:color="auto"/>
              <w:bottom w:val="single" w:sz="2" w:space="0" w:color="auto"/>
            </w:tcBorders>
            <w:vAlign w:val="center"/>
          </w:tcPr>
          <w:p w:rsidR="00141689" w:rsidRPr="00E32A4F" w:rsidRDefault="00141689" w:rsidP="00141689">
            <w:pPr>
              <w:pStyle w:val="cuatexto"/>
            </w:pPr>
            <w:r>
              <w:t>Nafarroako Elikagai Artisauen Elkartea</w:t>
            </w:r>
          </w:p>
        </w:tc>
        <w:tc>
          <w:tcPr>
            <w:tcW w:w="1418" w:type="dxa"/>
            <w:tcBorders>
              <w:top w:val="single" w:sz="2" w:space="0" w:color="auto"/>
              <w:bottom w:val="single" w:sz="2" w:space="0" w:color="auto"/>
            </w:tcBorders>
            <w:vAlign w:val="center"/>
          </w:tcPr>
          <w:p w:rsidR="00141689" w:rsidRPr="009100B5" w:rsidRDefault="00141689" w:rsidP="00141689">
            <w:pPr>
              <w:pStyle w:val="cuatexto"/>
              <w:jc w:val="right"/>
            </w:pPr>
            <w:r>
              <w:t>10.000</w:t>
            </w:r>
          </w:p>
        </w:tc>
      </w:tr>
      <w:tr w:rsidR="00141689"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141689" w:rsidRPr="003875B4" w:rsidRDefault="00141689"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141689" w:rsidRPr="003875B4" w:rsidRDefault="00141689" w:rsidP="00C23A05">
            <w:pPr>
              <w:pStyle w:val="cuatexto"/>
              <w:jc w:val="right"/>
              <w:rPr>
                <w:rFonts w:ascii="Arial" w:hAnsi="Arial" w:cs="Arial"/>
                <w:sz w:val="18"/>
                <w:szCs w:val="18"/>
              </w:rPr>
            </w:pPr>
            <w:r>
              <w:rPr>
                <w:rFonts w:ascii="Arial" w:hAnsi="Arial"/>
                <w:sz w:val="18"/>
              </w:rPr>
              <w:t>597.111</w:t>
            </w:r>
          </w:p>
        </w:tc>
      </w:tr>
    </w:tbl>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240" w:after="240"/>
        <w:ind w:left="0" w:firstLine="289"/>
      </w:pPr>
      <w:r>
        <w:t>Oihangintza eta zurgintza elkarteak</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1418"/>
      </w:tblGrid>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Entitateak</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Zenbatekoa</w:t>
            </w:r>
          </w:p>
        </w:tc>
      </w:tr>
      <w:tr w:rsidR="00967CD7" w:rsidRPr="00C12E70" w:rsidTr="00C23A05">
        <w:trPr>
          <w:trHeight w:val="255"/>
          <w:jc w:val="center"/>
        </w:trPr>
        <w:tc>
          <w:tcPr>
            <w:tcW w:w="7258" w:type="dxa"/>
            <w:tcBorders>
              <w:top w:val="single" w:sz="4" w:space="0" w:color="auto"/>
              <w:bottom w:val="single" w:sz="2" w:space="0" w:color="auto"/>
            </w:tcBorders>
            <w:vAlign w:val="center"/>
          </w:tcPr>
          <w:p w:rsidR="00967CD7" w:rsidRPr="00E32A4F" w:rsidRDefault="00967CD7" w:rsidP="00C23A05">
            <w:pPr>
              <w:pStyle w:val="cuatexto"/>
            </w:pPr>
            <w:r>
              <w:t>Foresna-Zurgaia. Nafarroako Oihan Elkartea</w:t>
            </w:r>
          </w:p>
        </w:tc>
        <w:tc>
          <w:tcPr>
            <w:tcW w:w="1418" w:type="dxa"/>
            <w:tcBorders>
              <w:top w:val="single" w:sz="4" w:space="0" w:color="auto"/>
              <w:bottom w:val="single" w:sz="2" w:space="0" w:color="auto"/>
            </w:tcBorders>
            <w:vAlign w:val="center"/>
          </w:tcPr>
          <w:p w:rsidR="00967CD7" w:rsidRPr="009100B5" w:rsidRDefault="00967CD7" w:rsidP="00C23A05">
            <w:pPr>
              <w:pStyle w:val="cuatexto"/>
              <w:jc w:val="right"/>
            </w:pPr>
            <w:r>
              <w:t>90.000</w:t>
            </w:r>
          </w:p>
        </w:tc>
      </w:tr>
      <w:tr w:rsidR="00967CD7" w:rsidRPr="00C12E70" w:rsidTr="00C23A05">
        <w:trPr>
          <w:trHeight w:val="255"/>
          <w:jc w:val="center"/>
        </w:trPr>
        <w:tc>
          <w:tcPr>
            <w:tcW w:w="7258" w:type="dxa"/>
            <w:tcBorders>
              <w:top w:val="single" w:sz="2" w:space="0" w:color="auto"/>
              <w:bottom w:val="single" w:sz="2" w:space="0" w:color="auto"/>
            </w:tcBorders>
            <w:vAlign w:val="center"/>
          </w:tcPr>
          <w:p w:rsidR="00967CD7" w:rsidRPr="00E32A4F" w:rsidRDefault="00967CD7" w:rsidP="00C23A05">
            <w:pPr>
              <w:pStyle w:val="cuatexto"/>
            </w:pPr>
            <w:r>
              <w:t>Ademán-Asociación empresarial Madera Navarra</w:t>
            </w:r>
          </w:p>
        </w:tc>
        <w:tc>
          <w:tcPr>
            <w:tcW w:w="1418" w:type="dxa"/>
            <w:tcBorders>
              <w:top w:val="single" w:sz="2" w:space="0" w:color="auto"/>
              <w:bottom w:val="single" w:sz="2" w:space="0" w:color="auto"/>
            </w:tcBorders>
            <w:vAlign w:val="center"/>
          </w:tcPr>
          <w:p w:rsidR="00967CD7" w:rsidRPr="009100B5" w:rsidRDefault="00967CD7" w:rsidP="00C23A05">
            <w:pPr>
              <w:pStyle w:val="cuatexto"/>
              <w:jc w:val="right"/>
            </w:pPr>
            <w:r>
              <w:t>27.000</w:t>
            </w:r>
          </w:p>
        </w:tc>
      </w:tr>
      <w:tr w:rsidR="00967CD7" w:rsidRPr="003875B4" w:rsidTr="00A70767">
        <w:trPr>
          <w:trHeight w:val="255"/>
          <w:jc w:val="center"/>
        </w:trPr>
        <w:tc>
          <w:tcPr>
            <w:tcW w:w="725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rPr>
                <w:rFonts w:ascii="Arial" w:hAnsi="Arial" w:cs="Arial"/>
                <w:sz w:val="18"/>
                <w:szCs w:val="18"/>
              </w:rPr>
            </w:pPr>
            <w:r>
              <w:rPr>
                <w:rFonts w:ascii="Arial" w:hAnsi="Arial"/>
                <w:sz w:val="18"/>
              </w:rPr>
              <w:t>Guztira</w:t>
            </w:r>
          </w:p>
        </w:tc>
        <w:tc>
          <w:tcPr>
            <w:tcW w:w="1418" w:type="dxa"/>
            <w:tcBorders>
              <w:top w:val="single" w:sz="4" w:space="0" w:color="auto"/>
              <w:bottom w:val="single" w:sz="4" w:space="0" w:color="auto"/>
            </w:tcBorders>
            <w:shd w:val="clear" w:color="auto" w:fill="A8CBEE" w:themeFill="accent2" w:themeFillTint="66"/>
            <w:vAlign w:val="center"/>
          </w:tcPr>
          <w:p w:rsidR="00967CD7" w:rsidRPr="003875B4" w:rsidRDefault="00967CD7" w:rsidP="00C23A05">
            <w:pPr>
              <w:pStyle w:val="cuatexto"/>
              <w:jc w:val="right"/>
              <w:rPr>
                <w:rFonts w:ascii="Arial" w:hAnsi="Arial" w:cs="Arial"/>
                <w:sz w:val="18"/>
                <w:szCs w:val="18"/>
              </w:rPr>
            </w:pPr>
            <w:r>
              <w:rPr>
                <w:rFonts w:ascii="Arial" w:hAnsi="Arial"/>
                <w:sz w:val="18"/>
              </w:rPr>
              <w:t>117.000</w:t>
            </w:r>
          </w:p>
        </w:tc>
      </w:tr>
    </w:tbl>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240" w:after="240"/>
        <w:ind w:left="0" w:firstLine="289"/>
      </w:pPr>
      <w:r>
        <w:t>UCAN-Nafarroako Nekazaritzako Kooperatiben Batasuna: 150.200 euro</w:t>
      </w:r>
    </w:p>
    <w:p w:rsidR="00967CD7" w:rsidRPr="003B312F" w:rsidRDefault="00967CD7" w:rsidP="00967CD7">
      <w:pPr>
        <w:pStyle w:val="texto"/>
        <w:tabs>
          <w:tab w:val="clear" w:pos="2835"/>
          <w:tab w:val="clear" w:pos="3969"/>
          <w:tab w:val="clear" w:pos="5103"/>
          <w:tab w:val="clear" w:pos="6237"/>
          <w:tab w:val="clear" w:pos="7371"/>
          <w:tab w:val="left" w:pos="480"/>
          <w:tab w:val="num" w:pos="1948"/>
          <w:tab w:val="num" w:pos="6597"/>
        </w:tabs>
        <w:spacing w:before="120" w:after="0"/>
        <w:ind w:left="289" w:firstLine="0"/>
        <w:rPr>
          <w:b/>
        </w:rPr>
      </w:pPr>
      <w:r>
        <w:rPr>
          <w:b/>
        </w:rPr>
        <w:t>F) Lehendakaritza, Justizia eta Barne Departamentua</w:t>
      </w:r>
    </w:p>
    <w:p w:rsidR="00967CD7" w:rsidRDefault="00967CD7" w:rsidP="00967CD7">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1948"/>
          <w:tab w:val="num" w:pos="6597"/>
        </w:tabs>
        <w:spacing w:before="240" w:after="240"/>
        <w:ind w:left="0" w:firstLine="289"/>
      </w:pPr>
      <w:r>
        <w:t>Polo Parkea Fundazioa: 105.000 euro.</w:t>
      </w:r>
    </w:p>
    <w:p w:rsidR="00D732AA" w:rsidRDefault="00D732AA" w:rsidP="00FC2CA4">
      <w:pPr>
        <w:pStyle w:val="texto"/>
        <w:tabs>
          <w:tab w:val="clear" w:pos="2835"/>
          <w:tab w:val="clear" w:pos="3969"/>
          <w:tab w:val="clear" w:pos="5103"/>
          <w:tab w:val="clear" w:pos="6237"/>
          <w:tab w:val="clear" w:pos="7371"/>
        </w:tabs>
        <w:rPr>
          <w:szCs w:val="26"/>
        </w:rPr>
      </w:pPr>
    </w:p>
    <w:p w:rsidR="00D732AA" w:rsidRDefault="00D732AA" w:rsidP="00FC2CA4">
      <w:pPr>
        <w:pStyle w:val="texto"/>
        <w:tabs>
          <w:tab w:val="clear" w:pos="2835"/>
          <w:tab w:val="clear" w:pos="3969"/>
          <w:tab w:val="clear" w:pos="5103"/>
          <w:tab w:val="clear" w:pos="6237"/>
          <w:tab w:val="clear" w:pos="7371"/>
        </w:tabs>
        <w:rPr>
          <w:szCs w:val="26"/>
        </w:rPr>
      </w:pPr>
    </w:p>
    <w:sectPr w:rsidR="00D732AA" w:rsidSect="00FC46CF">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64" w:rsidRDefault="00374264">
      <w:r>
        <w:separator/>
      </w:r>
    </w:p>
    <w:p w:rsidR="00374264" w:rsidRDefault="00374264"/>
    <w:p w:rsidR="00374264" w:rsidRDefault="00374264"/>
    <w:p w:rsidR="00374264" w:rsidRDefault="00374264"/>
  </w:endnote>
  <w:endnote w:type="continuationSeparator" w:id="0">
    <w:p w:rsidR="00374264" w:rsidRDefault="00374264">
      <w:r>
        <w:continuationSeparator/>
      </w:r>
    </w:p>
    <w:p w:rsidR="00374264" w:rsidRDefault="00374264"/>
    <w:p w:rsidR="00374264" w:rsidRDefault="00374264"/>
    <w:p w:rsidR="00374264" w:rsidRDefault="00374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Default="0037426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4264" w:rsidRDefault="0037426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Pr="00F03814" w:rsidRDefault="00374264"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5C747C3C" wp14:editId="7BCEFEAF">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374264" w:rsidRPr="00F74E38" w:rsidRDefault="00374264"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Default="00374264"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Default="00374264"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bidi="ar-SA"/>
      </w:rPr>
      <w:drawing>
        <wp:anchor distT="0" distB="0" distL="114300" distR="114300" simplePos="0" relativeHeight="251659264" behindDoc="0" locked="0" layoutInCell="1" allowOverlap="1" wp14:anchorId="33116C72" wp14:editId="3E7A24A9">
          <wp:simplePos x="0" y="0"/>
          <wp:positionH relativeFrom="column">
            <wp:posOffset>1905</wp:posOffset>
          </wp:positionH>
          <wp:positionV relativeFrom="paragraph">
            <wp:posOffset>-236220</wp:posOffset>
          </wp:positionV>
          <wp:extent cx="219075" cy="371475"/>
          <wp:effectExtent l="0" t="0" r="9525" b="9525"/>
          <wp:wrapSquare wrapText="bothSides"/>
          <wp:docPr id="40" name="Imagen 4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07196">
      <w:rPr>
        <w:rStyle w:val="Nmerodepgina"/>
        <w:noProof/>
        <w:szCs w:val="24"/>
      </w:rPr>
      <w:t>13</w:t>
    </w:r>
    <w:r w:rsidRPr="001D4F09">
      <w:rPr>
        <w:rStyle w:val="Nmerodepgina"/>
        <w:szCs w:val="24"/>
      </w:rPr>
      <w:fldChar w:fldCharType="end"/>
    </w:r>
    <w:r>
      <w:rPr>
        <w:rStyle w:val="Nmerodepgina"/>
      </w:rPr>
      <w:t xml:space="preserve"> -</w:t>
    </w:r>
  </w:p>
  <w:p w:rsidR="00374264" w:rsidRPr="00584A8A" w:rsidRDefault="00374264"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1)" w:hAnsi="Arial (W1)"/>
        <w:b/>
        <w:color w:val="A6A6A6" w:themeColor="background1" w:themeShade="A6"/>
        <w:sz w:val="36"/>
        <w:szCs w:val="24"/>
      </w:rPr>
    </w:pPr>
  </w:p>
  <w:p w:rsidR="00374264" w:rsidRDefault="003742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64" w:rsidRDefault="00374264" w:rsidP="001F2A05">
      <w:pPr>
        <w:ind w:firstLine="0"/>
      </w:pPr>
      <w:r>
        <w:separator/>
      </w:r>
    </w:p>
  </w:footnote>
  <w:footnote w:type="continuationSeparator" w:id="0">
    <w:p w:rsidR="00374264" w:rsidRDefault="00374264" w:rsidP="00A5319B">
      <w:pPr>
        <w:ind w:firstLine="0"/>
      </w:pPr>
      <w:r>
        <w:continuationSeparator/>
      </w:r>
    </w:p>
  </w:footnote>
  <w:footnote w:id="1">
    <w:p w:rsidR="00374264" w:rsidRDefault="00374264" w:rsidP="00A70767">
      <w:pPr>
        <w:pStyle w:val="Textonotapie"/>
        <w:spacing w:after="0"/>
        <w:ind w:firstLine="0"/>
      </w:pPr>
      <w:r>
        <w:rPr>
          <w:rStyle w:val="Refdenotaalpie"/>
        </w:rPr>
        <w:footnoteRef/>
      </w:r>
      <w:r>
        <w:t xml:space="preserve"> Oro har, 3.000 eurotik beherako zenbatekoa duten laguntzei dagozkie.</w:t>
      </w:r>
    </w:p>
  </w:footnote>
  <w:footnote w:id="2">
    <w:p w:rsidR="00374264" w:rsidRDefault="00374264" w:rsidP="001F0092">
      <w:pPr>
        <w:pStyle w:val="Textonotapie"/>
        <w:spacing w:after="0"/>
        <w:ind w:firstLine="0"/>
      </w:pPr>
      <w:r>
        <w:rPr>
          <w:rStyle w:val="Refdenotaalpie"/>
        </w:rPr>
        <w:footnoteRef/>
      </w:r>
      <w:r>
        <w:t xml:space="preserve"> Aldaketa, zehazki, Diru-laguntzei buruzko Foru Legea aldatzen duen apirilaren 5/2014 Foru Legearen bidez egin zen.</w:t>
      </w:r>
    </w:p>
  </w:footnote>
  <w:footnote w:id="3">
    <w:p w:rsidR="00374264" w:rsidRDefault="00374264" w:rsidP="00A70767">
      <w:pPr>
        <w:pStyle w:val="Textonotapie"/>
        <w:spacing w:after="60"/>
        <w:ind w:firstLine="0"/>
      </w:pPr>
      <w:r>
        <w:rPr>
          <w:rStyle w:val="Refdenotaalpie"/>
        </w:rPr>
        <w:footnoteRef/>
      </w:r>
      <w:r>
        <w:t xml:space="preserve"> Horixe ezartzen du Diru-laguntzei buruzko Foru Legeko 2. xedapen gehigarriak gizarte entitateentzako diru-laguntzen kasuan.</w:t>
      </w:r>
    </w:p>
  </w:footnote>
  <w:footnote w:id="4">
    <w:p w:rsidR="00374264" w:rsidRDefault="00374264" w:rsidP="00A70767">
      <w:pPr>
        <w:pStyle w:val="Textonotapie"/>
        <w:spacing w:after="0"/>
        <w:ind w:firstLine="0"/>
      </w:pPr>
      <w:r>
        <w:rPr>
          <w:rStyle w:val="Refdenotaalpie"/>
        </w:rPr>
        <w:footnoteRef/>
      </w:r>
      <w:r>
        <w:t xml:space="preserve"> Web-gunean jasotzen dira, "Gobernu Irekiaren" barruan.</w:t>
      </w:r>
    </w:p>
  </w:footnote>
  <w:footnote w:id="5">
    <w:p w:rsidR="00374264" w:rsidRDefault="00374264" w:rsidP="00A70767">
      <w:pPr>
        <w:pStyle w:val="Textonotapie"/>
        <w:spacing w:after="0"/>
        <w:ind w:firstLine="0"/>
      </w:pPr>
      <w:r>
        <w:rPr>
          <w:rStyle w:val="Refdenotaalpie"/>
        </w:rPr>
        <w:footnoteRef/>
      </w:r>
      <w:r>
        <w:t xml:space="preserve"> Organo kudeatzaileen izena 2014ko ekitaldian indarrean zegoena 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Pr="0059650E" w:rsidRDefault="00374264" w:rsidP="00422598">
    <w:pPr>
      <w:pStyle w:val="Encabezado"/>
      <w:pBdr>
        <w:bottom w:val="single" w:sz="4" w:space="1" w:color="auto"/>
      </w:pBdr>
      <w:spacing w:after="40"/>
      <w:ind w:firstLine="0"/>
      <w:jc w:val="left"/>
    </w:pPr>
    <w:r>
      <w:rPr>
        <w:b/>
        <w:noProof/>
        <w:lang w:val="es-ES" w:eastAsia="es-ES" w:bidi="ar-SA"/>
      </w:rPr>
      <w:drawing>
        <wp:inline distT="0" distB="0" distL="0" distR="0" wp14:anchorId="4D3D9A4D" wp14:editId="4F554CAB">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t>Nafarroako Gobernuak entitate eta elkarte batzuei emandako diru-laguntzei buruzko txo</w:t>
    </w:r>
    <w:r>
      <w:t>s</w:t>
    </w:r>
    <w:r>
      <w:t>tena,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64" w:rsidRDefault="00374264" w:rsidP="006A2D41">
    <w:pPr>
      <w:pStyle w:val="Encabezado"/>
      <w:ind w:firstLine="0"/>
      <w:jc w:val="left"/>
    </w:pPr>
    <w:r>
      <w:rPr>
        <w:noProof/>
        <w:lang w:val="es-ES" w:eastAsia="es-ES" w:bidi="ar-SA"/>
      </w:rPr>
      <w:drawing>
        <wp:inline distT="0" distB="0" distL="0" distR="0" wp14:anchorId="4F0D6733" wp14:editId="503CF175">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781"/>
    <w:rsid w:val="000019D8"/>
    <w:rsid w:val="00002640"/>
    <w:rsid w:val="00004162"/>
    <w:rsid w:val="00004531"/>
    <w:rsid w:val="00004E87"/>
    <w:rsid w:val="00005604"/>
    <w:rsid w:val="00005A48"/>
    <w:rsid w:val="00005E98"/>
    <w:rsid w:val="00006736"/>
    <w:rsid w:val="00006A97"/>
    <w:rsid w:val="00006F99"/>
    <w:rsid w:val="00011172"/>
    <w:rsid w:val="0001123B"/>
    <w:rsid w:val="00011662"/>
    <w:rsid w:val="0001223E"/>
    <w:rsid w:val="00012A7F"/>
    <w:rsid w:val="00012EC4"/>
    <w:rsid w:val="000132E9"/>
    <w:rsid w:val="00013553"/>
    <w:rsid w:val="00014941"/>
    <w:rsid w:val="00015835"/>
    <w:rsid w:val="00016A0F"/>
    <w:rsid w:val="0001781F"/>
    <w:rsid w:val="00017A3A"/>
    <w:rsid w:val="00017A48"/>
    <w:rsid w:val="00020941"/>
    <w:rsid w:val="00020CD1"/>
    <w:rsid w:val="000212A5"/>
    <w:rsid w:val="00023062"/>
    <w:rsid w:val="00024922"/>
    <w:rsid w:val="00025E9B"/>
    <w:rsid w:val="00026242"/>
    <w:rsid w:val="00026720"/>
    <w:rsid w:val="00027034"/>
    <w:rsid w:val="000301DB"/>
    <w:rsid w:val="00030EB6"/>
    <w:rsid w:val="00031839"/>
    <w:rsid w:val="00032B64"/>
    <w:rsid w:val="00032D0F"/>
    <w:rsid w:val="0003340A"/>
    <w:rsid w:val="00033A91"/>
    <w:rsid w:val="00033BB1"/>
    <w:rsid w:val="00034301"/>
    <w:rsid w:val="000349F5"/>
    <w:rsid w:val="00036C0F"/>
    <w:rsid w:val="00036E42"/>
    <w:rsid w:val="00036F10"/>
    <w:rsid w:val="00037F6A"/>
    <w:rsid w:val="000401DA"/>
    <w:rsid w:val="00040911"/>
    <w:rsid w:val="00041F12"/>
    <w:rsid w:val="0004256B"/>
    <w:rsid w:val="00042714"/>
    <w:rsid w:val="0004305C"/>
    <w:rsid w:val="0004373B"/>
    <w:rsid w:val="00043A0C"/>
    <w:rsid w:val="000448FA"/>
    <w:rsid w:val="00044F0F"/>
    <w:rsid w:val="00044F35"/>
    <w:rsid w:val="000464A4"/>
    <w:rsid w:val="000468C3"/>
    <w:rsid w:val="00047167"/>
    <w:rsid w:val="00047297"/>
    <w:rsid w:val="000478F4"/>
    <w:rsid w:val="000504A6"/>
    <w:rsid w:val="00050D8C"/>
    <w:rsid w:val="000528F8"/>
    <w:rsid w:val="000531FF"/>
    <w:rsid w:val="00053575"/>
    <w:rsid w:val="00053783"/>
    <w:rsid w:val="00053A42"/>
    <w:rsid w:val="00053AA1"/>
    <w:rsid w:val="00054E9A"/>
    <w:rsid w:val="0005517D"/>
    <w:rsid w:val="00055968"/>
    <w:rsid w:val="0005601A"/>
    <w:rsid w:val="000561FF"/>
    <w:rsid w:val="00056408"/>
    <w:rsid w:val="00057461"/>
    <w:rsid w:val="00057914"/>
    <w:rsid w:val="0006133D"/>
    <w:rsid w:val="00061AA9"/>
    <w:rsid w:val="00062575"/>
    <w:rsid w:val="00063585"/>
    <w:rsid w:val="00064240"/>
    <w:rsid w:val="00064667"/>
    <w:rsid w:val="000649A0"/>
    <w:rsid w:val="00066838"/>
    <w:rsid w:val="000676C4"/>
    <w:rsid w:val="00067C61"/>
    <w:rsid w:val="000702E1"/>
    <w:rsid w:val="00071558"/>
    <w:rsid w:val="0007168C"/>
    <w:rsid w:val="00071CD0"/>
    <w:rsid w:val="00071F6B"/>
    <w:rsid w:val="000728EB"/>
    <w:rsid w:val="0007293A"/>
    <w:rsid w:val="00072B53"/>
    <w:rsid w:val="00074C75"/>
    <w:rsid w:val="00074ECC"/>
    <w:rsid w:val="00075692"/>
    <w:rsid w:val="0007622A"/>
    <w:rsid w:val="00076450"/>
    <w:rsid w:val="00076947"/>
    <w:rsid w:val="00077848"/>
    <w:rsid w:val="00080403"/>
    <w:rsid w:val="000811B8"/>
    <w:rsid w:val="0008248E"/>
    <w:rsid w:val="000828E5"/>
    <w:rsid w:val="00082A28"/>
    <w:rsid w:val="000831B6"/>
    <w:rsid w:val="00083928"/>
    <w:rsid w:val="00083ADC"/>
    <w:rsid w:val="00084177"/>
    <w:rsid w:val="0008442F"/>
    <w:rsid w:val="000862A3"/>
    <w:rsid w:val="00087B8D"/>
    <w:rsid w:val="0009040B"/>
    <w:rsid w:val="00090E15"/>
    <w:rsid w:val="00092434"/>
    <w:rsid w:val="00092DF2"/>
    <w:rsid w:val="00093D67"/>
    <w:rsid w:val="00093E60"/>
    <w:rsid w:val="000940D7"/>
    <w:rsid w:val="0009411D"/>
    <w:rsid w:val="00094A47"/>
    <w:rsid w:val="00095932"/>
    <w:rsid w:val="00095941"/>
    <w:rsid w:val="00095BE9"/>
    <w:rsid w:val="000A01FA"/>
    <w:rsid w:val="000A08FC"/>
    <w:rsid w:val="000A09EF"/>
    <w:rsid w:val="000A0AC8"/>
    <w:rsid w:val="000A0FCD"/>
    <w:rsid w:val="000A12A7"/>
    <w:rsid w:val="000A1792"/>
    <w:rsid w:val="000A18B7"/>
    <w:rsid w:val="000A2061"/>
    <w:rsid w:val="000A225D"/>
    <w:rsid w:val="000A27A2"/>
    <w:rsid w:val="000A2C1E"/>
    <w:rsid w:val="000A34D8"/>
    <w:rsid w:val="000A35C1"/>
    <w:rsid w:val="000A4219"/>
    <w:rsid w:val="000A42F6"/>
    <w:rsid w:val="000A4697"/>
    <w:rsid w:val="000A46F3"/>
    <w:rsid w:val="000A4A9C"/>
    <w:rsid w:val="000A4FCC"/>
    <w:rsid w:val="000A5222"/>
    <w:rsid w:val="000A525A"/>
    <w:rsid w:val="000A5AD2"/>
    <w:rsid w:val="000A5B88"/>
    <w:rsid w:val="000A6C4D"/>
    <w:rsid w:val="000B0434"/>
    <w:rsid w:val="000B0B1E"/>
    <w:rsid w:val="000B0D4C"/>
    <w:rsid w:val="000B1558"/>
    <w:rsid w:val="000B1576"/>
    <w:rsid w:val="000B18ED"/>
    <w:rsid w:val="000B23DF"/>
    <w:rsid w:val="000B2728"/>
    <w:rsid w:val="000B2764"/>
    <w:rsid w:val="000B3943"/>
    <w:rsid w:val="000B4477"/>
    <w:rsid w:val="000B4CF6"/>
    <w:rsid w:val="000B5023"/>
    <w:rsid w:val="000B5065"/>
    <w:rsid w:val="000B59B9"/>
    <w:rsid w:val="000B6896"/>
    <w:rsid w:val="000B6F64"/>
    <w:rsid w:val="000B7D3A"/>
    <w:rsid w:val="000C0704"/>
    <w:rsid w:val="000C17DD"/>
    <w:rsid w:val="000C19FC"/>
    <w:rsid w:val="000C2411"/>
    <w:rsid w:val="000C2B07"/>
    <w:rsid w:val="000C30E9"/>
    <w:rsid w:val="000C3451"/>
    <w:rsid w:val="000C3495"/>
    <w:rsid w:val="000C398A"/>
    <w:rsid w:val="000C39CC"/>
    <w:rsid w:val="000C429F"/>
    <w:rsid w:val="000C4AB2"/>
    <w:rsid w:val="000C55C3"/>
    <w:rsid w:val="000C6073"/>
    <w:rsid w:val="000C6499"/>
    <w:rsid w:val="000C64D6"/>
    <w:rsid w:val="000C7225"/>
    <w:rsid w:val="000C7566"/>
    <w:rsid w:val="000C7C8D"/>
    <w:rsid w:val="000D07B1"/>
    <w:rsid w:val="000D0A95"/>
    <w:rsid w:val="000D0D34"/>
    <w:rsid w:val="000D0E71"/>
    <w:rsid w:val="000D188E"/>
    <w:rsid w:val="000D1F16"/>
    <w:rsid w:val="000D2601"/>
    <w:rsid w:val="000D29E9"/>
    <w:rsid w:val="000D2A9F"/>
    <w:rsid w:val="000D3BAB"/>
    <w:rsid w:val="000D48B4"/>
    <w:rsid w:val="000D4D73"/>
    <w:rsid w:val="000D5178"/>
    <w:rsid w:val="000D5335"/>
    <w:rsid w:val="000D67E8"/>
    <w:rsid w:val="000D70E5"/>
    <w:rsid w:val="000E0F69"/>
    <w:rsid w:val="000E2297"/>
    <w:rsid w:val="000E283B"/>
    <w:rsid w:val="000E287F"/>
    <w:rsid w:val="000E2E81"/>
    <w:rsid w:val="000E472F"/>
    <w:rsid w:val="000E4927"/>
    <w:rsid w:val="000E495B"/>
    <w:rsid w:val="000E4E1D"/>
    <w:rsid w:val="000E4F75"/>
    <w:rsid w:val="000E5894"/>
    <w:rsid w:val="000E600D"/>
    <w:rsid w:val="000E6102"/>
    <w:rsid w:val="000E64FF"/>
    <w:rsid w:val="000E7B86"/>
    <w:rsid w:val="000E7EE8"/>
    <w:rsid w:val="000F000D"/>
    <w:rsid w:val="000F0DD0"/>
    <w:rsid w:val="000F0E7E"/>
    <w:rsid w:val="000F1931"/>
    <w:rsid w:val="000F2B66"/>
    <w:rsid w:val="000F3371"/>
    <w:rsid w:val="000F3452"/>
    <w:rsid w:val="000F3478"/>
    <w:rsid w:val="000F3D83"/>
    <w:rsid w:val="000F465E"/>
    <w:rsid w:val="000F5424"/>
    <w:rsid w:val="000F5C5C"/>
    <w:rsid w:val="000F5EFF"/>
    <w:rsid w:val="000F6BF1"/>
    <w:rsid w:val="000F73EA"/>
    <w:rsid w:val="0010013F"/>
    <w:rsid w:val="00100A4A"/>
    <w:rsid w:val="00100E07"/>
    <w:rsid w:val="00100F12"/>
    <w:rsid w:val="00101E1C"/>
    <w:rsid w:val="00102392"/>
    <w:rsid w:val="00103489"/>
    <w:rsid w:val="00103589"/>
    <w:rsid w:val="0010370B"/>
    <w:rsid w:val="001045C9"/>
    <w:rsid w:val="001058CE"/>
    <w:rsid w:val="00105D2E"/>
    <w:rsid w:val="00105DA1"/>
    <w:rsid w:val="00106B98"/>
    <w:rsid w:val="00107585"/>
    <w:rsid w:val="001075C1"/>
    <w:rsid w:val="00107863"/>
    <w:rsid w:val="00107B90"/>
    <w:rsid w:val="00107CC1"/>
    <w:rsid w:val="00107CC7"/>
    <w:rsid w:val="00110483"/>
    <w:rsid w:val="00110545"/>
    <w:rsid w:val="001111E9"/>
    <w:rsid w:val="00111A92"/>
    <w:rsid w:val="00112AAA"/>
    <w:rsid w:val="001131A9"/>
    <w:rsid w:val="00113466"/>
    <w:rsid w:val="001145C3"/>
    <w:rsid w:val="00114978"/>
    <w:rsid w:val="001158AB"/>
    <w:rsid w:val="00116150"/>
    <w:rsid w:val="001161D2"/>
    <w:rsid w:val="00117573"/>
    <w:rsid w:val="001176AA"/>
    <w:rsid w:val="00117E2F"/>
    <w:rsid w:val="00120A8B"/>
    <w:rsid w:val="00120C91"/>
    <w:rsid w:val="00120CBD"/>
    <w:rsid w:val="00120D31"/>
    <w:rsid w:val="001212CD"/>
    <w:rsid w:val="00121E13"/>
    <w:rsid w:val="00123574"/>
    <w:rsid w:val="00124B38"/>
    <w:rsid w:val="00124E7F"/>
    <w:rsid w:val="00125013"/>
    <w:rsid w:val="00125497"/>
    <w:rsid w:val="00126284"/>
    <w:rsid w:val="001267D2"/>
    <w:rsid w:val="00126818"/>
    <w:rsid w:val="00126E34"/>
    <w:rsid w:val="0013026C"/>
    <w:rsid w:val="001304F7"/>
    <w:rsid w:val="001310C0"/>
    <w:rsid w:val="00131899"/>
    <w:rsid w:val="00131DF1"/>
    <w:rsid w:val="00132C38"/>
    <w:rsid w:val="00132DC3"/>
    <w:rsid w:val="00133984"/>
    <w:rsid w:val="00133A1E"/>
    <w:rsid w:val="001365C4"/>
    <w:rsid w:val="00136C3B"/>
    <w:rsid w:val="001370C3"/>
    <w:rsid w:val="0013728E"/>
    <w:rsid w:val="00137870"/>
    <w:rsid w:val="00140739"/>
    <w:rsid w:val="00141052"/>
    <w:rsid w:val="0014147D"/>
    <w:rsid w:val="00141689"/>
    <w:rsid w:val="00141A82"/>
    <w:rsid w:val="00141C69"/>
    <w:rsid w:val="00141D29"/>
    <w:rsid w:val="001428A3"/>
    <w:rsid w:val="0014471F"/>
    <w:rsid w:val="0014506A"/>
    <w:rsid w:val="00145A9D"/>
    <w:rsid w:val="00146151"/>
    <w:rsid w:val="00146342"/>
    <w:rsid w:val="00146343"/>
    <w:rsid w:val="00146881"/>
    <w:rsid w:val="0014728F"/>
    <w:rsid w:val="00150B10"/>
    <w:rsid w:val="00151243"/>
    <w:rsid w:val="001521A2"/>
    <w:rsid w:val="00152358"/>
    <w:rsid w:val="00153382"/>
    <w:rsid w:val="00153678"/>
    <w:rsid w:val="00153708"/>
    <w:rsid w:val="0015461F"/>
    <w:rsid w:val="00154A81"/>
    <w:rsid w:val="0015558D"/>
    <w:rsid w:val="001556A3"/>
    <w:rsid w:val="00155BFF"/>
    <w:rsid w:val="00157A5B"/>
    <w:rsid w:val="001600BF"/>
    <w:rsid w:val="00160AEA"/>
    <w:rsid w:val="00160F66"/>
    <w:rsid w:val="00161B4F"/>
    <w:rsid w:val="001622C0"/>
    <w:rsid w:val="001633AF"/>
    <w:rsid w:val="001648C8"/>
    <w:rsid w:val="00164B0F"/>
    <w:rsid w:val="00165FD7"/>
    <w:rsid w:val="001668AB"/>
    <w:rsid w:val="00166A6C"/>
    <w:rsid w:val="00167A64"/>
    <w:rsid w:val="001708D2"/>
    <w:rsid w:val="00171448"/>
    <w:rsid w:val="00171A4E"/>
    <w:rsid w:val="001729F2"/>
    <w:rsid w:val="00173EDD"/>
    <w:rsid w:val="0017402B"/>
    <w:rsid w:val="0017459B"/>
    <w:rsid w:val="00174606"/>
    <w:rsid w:val="00174933"/>
    <w:rsid w:val="00175E9A"/>
    <w:rsid w:val="0017645F"/>
    <w:rsid w:val="00177EC9"/>
    <w:rsid w:val="0018077E"/>
    <w:rsid w:val="00180D21"/>
    <w:rsid w:val="00180E6F"/>
    <w:rsid w:val="00181AB5"/>
    <w:rsid w:val="00181D37"/>
    <w:rsid w:val="00181DA3"/>
    <w:rsid w:val="00182DB2"/>
    <w:rsid w:val="00183412"/>
    <w:rsid w:val="001835B7"/>
    <w:rsid w:val="001838DC"/>
    <w:rsid w:val="001841D5"/>
    <w:rsid w:val="0018426B"/>
    <w:rsid w:val="0018440D"/>
    <w:rsid w:val="00184F43"/>
    <w:rsid w:val="00185192"/>
    <w:rsid w:val="00185A37"/>
    <w:rsid w:val="00186777"/>
    <w:rsid w:val="001868A4"/>
    <w:rsid w:val="00187E05"/>
    <w:rsid w:val="00190007"/>
    <w:rsid w:val="00191B74"/>
    <w:rsid w:val="001923A8"/>
    <w:rsid w:val="00192BFC"/>
    <w:rsid w:val="0019331F"/>
    <w:rsid w:val="001933A0"/>
    <w:rsid w:val="00193748"/>
    <w:rsid w:val="001937E5"/>
    <w:rsid w:val="00194309"/>
    <w:rsid w:val="00195084"/>
    <w:rsid w:val="001952B5"/>
    <w:rsid w:val="001964B5"/>
    <w:rsid w:val="0019660E"/>
    <w:rsid w:val="00196F5E"/>
    <w:rsid w:val="00197172"/>
    <w:rsid w:val="00197CF6"/>
    <w:rsid w:val="001A0E67"/>
    <w:rsid w:val="001A197F"/>
    <w:rsid w:val="001A37B3"/>
    <w:rsid w:val="001A426D"/>
    <w:rsid w:val="001A428F"/>
    <w:rsid w:val="001A45C2"/>
    <w:rsid w:val="001A4B1E"/>
    <w:rsid w:val="001A517A"/>
    <w:rsid w:val="001A52F1"/>
    <w:rsid w:val="001A5FF0"/>
    <w:rsid w:val="001A6D61"/>
    <w:rsid w:val="001A756A"/>
    <w:rsid w:val="001B0451"/>
    <w:rsid w:val="001B0597"/>
    <w:rsid w:val="001B06A2"/>
    <w:rsid w:val="001B0A10"/>
    <w:rsid w:val="001B0DFE"/>
    <w:rsid w:val="001B13ED"/>
    <w:rsid w:val="001B2055"/>
    <w:rsid w:val="001B3685"/>
    <w:rsid w:val="001B39E2"/>
    <w:rsid w:val="001B39F8"/>
    <w:rsid w:val="001B4C48"/>
    <w:rsid w:val="001B5078"/>
    <w:rsid w:val="001B5B58"/>
    <w:rsid w:val="001C16A2"/>
    <w:rsid w:val="001C1B78"/>
    <w:rsid w:val="001C2B26"/>
    <w:rsid w:val="001C2C55"/>
    <w:rsid w:val="001C2DF7"/>
    <w:rsid w:val="001C3129"/>
    <w:rsid w:val="001C3A32"/>
    <w:rsid w:val="001C3C5A"/>
    <w:rsid w:val="001C628B"/>
    <w:rsid w:val="001C6484"/>
    <w:rsid w:val="001C79DC"/>
    <w:rsid w:val="001D02F9"/>
    <w:rsid w:val="001D068E"/>
    <w:rsid w:val="001D0B9B"/>
    <w:rsid w:val="001D11FE"/>
    <w:rsid w:val="001D3D28"/>
    <w:rsid w:val="001D4BF2"/>
    <w:rsid w:val="001D4F09"/>
    <w:rsid w:val="001D5C1B"/>
    <w:rsid w:val="001D6968"/>
    <w:rsid w:val="001E06D8"/>
    <w:rsid w:val="001E0E24"/>
    <w:rsid w:val="001E0F99"/>
    <w:rsid w:val="001E108E"/>
    <w:rsid w:val="001E115A"/>
    <w:rsid w:val="001E1411"/>
    <w:rsid w:val="001E17CB"/>
    <w:rsid w:val="001E18FB"/>
    <w:rsid w:val="001E1D08"/>
    <w:rsid w:val="001E2A02"/>
    <w:rsid w:val="001E3D82"/>
    <w:rsid w:val="001E4B93"/>
    <w:rsid w:val="001E5D69"/>
    <w:rsid w:val="001E6108"/>
    <w:rsid w:val="001E6F0C"/>
    <w:rsid w:val="001E7189"/>
    <w:rsid w:val="001E77FC"/>
    <w:rsid w:val="001E7AE7"/>
    <w:rsid w:val="001F0092"/>
    <w:rsid w:val="001F022D"/>
    <w:rsid w:val="001F02EF"/>
    <w:rsid w:val="001F0C73"/>
    <w:rsid w:val="001F0D85"/>
    <w:rsid w:val="001F118D"/>
    <w:rsid w:val="001F1482"/>
    <w:rsid w:val="001F1B25"/>
    <w:rsid w:val="001F1E22"/>
    <w:rsid w:val="001F20D7"/>
    <w:rsid w:val="001F2418"/>
    <w:rsid w:val="001F2A05"/>
    <w:rsid w:val="001F3165"/>
    <w:rsid w:val="001F323F"/>
    <w:rsid w:val="001F3851"/>
    <w:rsid w:val="001F3B76"/>
    <w:rsid w:val="001F4548"/>
    <w:rsid w:val="001F4865"/>
    <w:rsid w:val="001F55DC"/>
    <w:rsid w:val="001F6503"/>
    <w:rsid w:val="001F6AA3"/>
    <w:rsid w:val="001F7056"/>
    <w:rsid w:val="001F709B"/>
    <w:rsid w:val="001F7744"/>
    <w:rsid w:val="001F7D17"/>
    <w:rsid w:val="002001CE"/>
    <w:rsid w:val="00201178"/>
    <w:rsid w:val="002014EB"/>
    <w:rsid w:val="00201729"/>
    <w:rsid w:val="0020222C"/>
    <w:rsid w:val="00202A0B"/>
    <w:rsid w:val="00202B1A"/>
    <w:rsid w:val="002030F4"/>
    <w:rsid w:val="0020383A"/>
    <w:rsid w:val="002041EE"/>
    <w:rsid w:val="00204979"/>
    <w:rsid w:val="0020716D"/>
    <w:rsid w:val="00207D58"/>
    <w:rsid w:val="00211452"/>
    <w:rsid w:val="002118CC"/>
    <w:rsid w:val="00211905"/>
    <w:rsid w:val="00211C61"/>
    <w:rsid w:val="00211D69"/>
    <w:rsid w:val="002129DF"/>
    <w:rsid w:val="00212B59"/>
    <w:rsid w:val="00212E0E"/>
    <w:rsid w:val="00213C27"/>
    <w:rsid w:val="00213FE7"/>
    <w:rsid w:val="00214F6C"/>
    <w:rsid w:val="002154BD"/>
    <w:rsid w:val="00215553"/>
    <w:rsid w:val="0021587E"/>
    <w:rsid w:val="00216C70"/>
    <w:rsid w:val="0021726F"/>
    <w:rsid w:val="002176E2"/>
    <w:rsid w:val="002179DB"/>
    <w:rsid w:val="00217C03"/>
    <w:rsid w:val="00220F9D"/>
    <w:rsid w:val="00221630"/>
    <w:rsid w:val="002217E1"/>
    <w:rsid w:val="00221CCA"/>
    <w:rsid w:val="00222AE6"/>
    <w:rsid w:val="00224A7E"/>
    <w:rsid w:val="00225058"/>
    <w:rsid w:val="00225B2C"/>
    <w:rsid w:val="002263B7"/>
    <w:rsid w:val="00226C3E"/>
    <w:rsid w:val="002270BD"/>
    <w:rsid w:val="002273FB"/>
    <w:rsid w:val="00227A1D"/>
    <w:rsid w:val="00227E48"/>
    <w:rsid w:val="00230577"/>
    <w:rsid w:val="002305E0"/>
    <w:rsid w:val="00230A7F"/>
    <w:rsid w:val="00231437"/>
    <w:rsid w:val="0023209D"/>
    <w:rsid w:val="002333F8"/>
    <w:rsid w:val="00233D79"/>
    <w:rsid w:val="0023439D"/>
    <w:rsid w:val="00234D86"/>
    <w:rsid w:val="00235152"/>
    <w:rsid w:val="002355BC"/>
    <w:rsid w:val="00236ADF"/>
    <w:rsid w:val="0023744B"/>
    <w:rsid w:val="0023751E"/>
    <w:rsid w:val="00237657"/>
    <w:rsid w:val="0024059F"/>
    <w:rsid w:val="0024068F"/>
    <w:rsid w:val="002406E1"/>
    <w:rsid w:val="00242177"/>
    <w:rsid w:val="00242257"/>
    <w:rsid w:val="00242981"/>
    <w:rsid w:val="00242985"/>
    <w:rsid w:val="00242BA7"/>
    <w:rsid w:val="002437B5"/>
    <w:rsid w:val="002437BD"/>
    <w:rsid w:val="002448C1"/>
    <w:rsid w:val="00244EF1"/>
    <w:rsid w:val="002453C8"/>
    <w:rsid w:val="00246173"/>
    <w:rsid w:val="002461EC"/>
    <w:rsid w:val="0024658E"/>
    <w:rsid w:val="00246F21"/>
    <w:rsid w:val="002473F8"/>
    <w:rsid w:val="002502E8"/>
    <w:rsid w:val="00250E5B"/>
    <w:rsid w:val="00251C95"/>
    <w:rsid w:val="00252B24"/>
    <w:rsid w:val="0025369E"/>
    <w:rsid w:val="0025381A"/>
    <w:rsid w:val="00253E78"/>
    <w:rsid w:val="00254123"/>
    <w:rsid w:val="00254522"/>
    <w:rsid w:val="00254ACE"/>
    <w:rsid w:val="00254E1C"/>
    <w:rsid w:val="00255305"/>
    <w:rsid w:val="002561A0"/>
    <w:rsid w:val="0025620F"/>
    <w:rsid w:val="002563C9"/>
    <w:rsid w:val="00256690"/>
    <w:rsid w:val="00257743"/>
    <w:rsid w:val="00260A5D"/>
    <w:rsid w:val="00260B2B"/>
    <w:rsid w:val="00260E80"/>
    <w:rsid w:val="002610BB"/>
    <w:rsid w:val="0026160E"/>
    <w:rsid w:val="00262C3C"/>
    <w:rsid w:val="00264C88"/>
    <w:rsid w:val="00264DF2"/>
    <w:rsid w:val="0026532C"/>
    <w:rsid w:val="0026539B"/>
    <w:rsid w:val="0026575D"/>
    <w:rsid w:val="00265E74"/>
    <w:rsid w:val="002667F5"/>
    <w:rsid w:val="0026682B"/>
    <w:rsid w:val="00266EA5"/>
    <w:rsid w:val="00267229"/>
    <w:rsid w:val="002705B0"/>
    <w:rsid w:val="002717A6"/>
    <w:rsid w:val="00271B05"/>
    <w:rsid w:val="00272015"/>
    <w:rsid w:val="00272540"/>
    <w:rsid w:val="00272DD8"/>
    <w:rsid w:val="00273B97"/>
    <w:rsid w:val="00273C10"/>
    <w:rsid w:val="002741D4"/>
    <w:rsid w:val="00274B4C"/>
    <w:rsid w:val="0027559A"/>
    <w:rsid w:val="00276264"/>
    <w:rsid w:val="00277A3C"/>
    <w:rsid w:val="00280EF7"/>
    <w:rsid w:val="00281ABD"/>
    <w:rsid w:val="00281DCA"/>
    <w:rsid w:val="00283B5C"/>
    <w:rsid w:val="0028444E"/>
    <w:rsid w:val="002846A5"/>
    <w:rsid w:val="00284993"/>
    <w:rsid w:val="00284A2C"/>
    <w:rsid w:val="00284C02"/>
    <w:rsid w:val="00284DA7"/>
    <w:rsid w:val="00284F9A"/>
    <w:rsid w:val="00285041"/>
    <w:rsid w:val="0028543E"/>
    <w:rsid w:val="00285678"/>
    <w:rsid w:val="002857BD"/>
    <w:rsid w:val="0028594B"/>
    <w:rsid w:val="002861F3"/>
    <w:rsid w:val="0028725F"/>
    <w:rsid w:val="00287D7E"/>
    <w:rsid w:val="00287EF9"/>
    <w:rsid w:val="0029006F"/>
    <w:rsid w:val="00290593"/>
    <w:rsid w:val="00290902"/>
    <w:rsid w:val="00290B83"/>
    <w:rsid w:val="002924F3"/>
    <w:rsid w:val="00292D96"/>
    <w:rsid w:val="0029475E"/>
    <w:rsid w:val="002960D0"/>
    <w:rsid w:val="0029660C"/>
    <w:rsid w:val="00296E2B"/>
    <w:rsid w:val="00297637"/>
    <w:rsid w:val="00297B04"/>
    <w:rsid w:val="002A002A"/>
    <w:rsid w:val="002A056C"/>
    <w:rsid w:val="002A1A5B"/>
    <w:rsid w:val="002A20CF"/>
    <w:rsid w:val="002A24A1"/>
    <w:rsid w:val="002A2EFA"/>
    <w:rsid w:val="002A3BB1"/>
    <w:rsid w:val="002A413B"/>
    <w:rsid w:val="002A462C"/>
    <w:rsid w:val="002A4676"/>
    <w:rsid w:val="002A537D"/>
    <w:rsid w:val="002A5A43"/>
    <w:rsid w:val="002A66A5"/>
    <w:rsid w:val="002A6EBB"/>
    <w:rsid w:val="002A7D99"/>
    <w:rsid w:val="002B12E4"/>
    <w:rsid w:val="002B13ED"/>
    <w:rsid w:val="002B1B8E"/>
    <w:rsid w:val="002B1F9B"/>
    <w:rsid w:val="002B21E9"/>
    <w:rsid w:val="002B254E"/>
    <w:rsid w:val="002B2891"/>
    <w:rsid w:val="002B2A49"/>
    <w:rsid w:val="002B2B87"/>
    <w:rsid w:val="002B34FC"/>
    <w:rsid w:val="002B3FEF"/>
    <w:rsid w:val="002B4E0F"/>
    <w:rsid w:val="002B501E"/>
    <w:rsid w:val="002B5190"/>
    <w:rsid w:val="002B5754"/>
    <w:rsid w:val="002B5840"/>
    <w:rsid w:val="002B5AF8"/>
    <w:rsid w:val="002B5F68"/>
    <w:rsid w:val="002B72D7"/>
    <w:rsid w:val="002B74A8"/>
    <w:rsid w:val="002C0414"/>
    <w:rsid w:val="002C0E9C"/>
    <w:rsid w:val="002C1485"/>
    <w:rsid w:val="002C1BE4"/>
    <w:rsid w:val="002C48AE"/>
    <w:rsid w:val="002C4A57"/>
    <w:rsid w:val="002C4ED9"/>
    <w:rsid w:val="002C581F"/>
    <w:rsid w:val="002C60B7"/>
    <w:rsid w:val="002C6370"/>
    <w:rsid w:val="002C69DD"/>
    <w:rsid w:val="002C6D2A"/>
    <w:rsid w:val="002C7026"/>
    <w:rsid w:val="002C71CD"/>
    <w:rsid w:val="002C7494"/>
    <w:rsid w:val="002C7E08"/>
    <w:rsid w:val="002D089F"/>
    <w:rsid w:val="002D1B2A"/>
    <w:rsid w:val="002D210E"/>
    <w:rsid w:val="002D387D"/>
    <w:rsid w:val="002D388B"/>
    <w:rsid w:val="002D3B2F"/>
    <w:rsid w:val="002D3E0C"/>
    <w:rsid w:val="002D4169"/>
    <w:rsid w:val="002D4269"/>
    <w:rsid w:val="002D443A"/>
    <w:rsid w:val="002D4BA7"/>
    <w:rsid w:val="002D5057"/>
    <w:rsid w:val="002D5635"/>
    <w:rsid w:val="002D65E8"/>
    <w:rsid w:val="002D6D12"/>
    <w:rsid w:val="002D7D32"/>
    <w:rsid w:val="002E02E5"/>
    <w:rsid w:val="002E0478"/>
    <w:rsid w:val="002E0791"/>
    <w:rsid w:val="002E0EA0"/>
    <w:rsid w:val="002E155D"/>
    <w:rsid w:val="002E1AF0"/>
    <w:rsid w:val="002E1B92"/>
    <w:rsid w:val="002E3038"/>
    <w:rsid w:val="002E399F"/>
    <w:rsid w:val="002E3FA8"/>
    <w:rsid w:val="002E4C02"/>
    <w:rsid w:val="002E5089"/>
    <w:rsid w:val="002E510A"/>
    <w:rsid w:val="002E5286"/>
    <w:rsid w:val="002E62E9"/>
    <w:rsid w:val="002E6E76"/>
    <w:rsid w:val="002E75BE"/>
    <w:rsid w:val="002E7B81"/>
    <w:rsid w:val="002F0875"/>
    <w:rsid w:val="002F08A5"/>
    <w:rsid w:val="002F09FB"/>
    <w:rsid w:val="002F0D85"/>
    <w:rsid w:val="002F0DD8"/>
    <w:rsid w:val="002F0FE3"/>
    <w:rsid w:val="002F122E"/>
    <w:rsid w:val="002F1240"/>
    <w:rsid w:val="002F1AF0"/>
    <w:rsid w:val="002F1E01"/>
    <w:rsid w:val="002F2530"/>
    <w:rsid w:val="002F272A"/>
    <w:rsid w:val="002F3225"/>
    <w:rsid w:val="002F5038"/>
    <w:rsid w:val="002F53B4"/>
    <w:rsid w:val="002F6F8D"/>
    <w:rsid w:val="002F74D8"/>
    <w:rsid w:val="002F76D6"/>
    <w:rsid w:val="002F7A38"/>
    <w:rsid w:val="00300A33"/>
    <w:rsid w:val="003010A2"/>
    <w:rsid w:val="003010A5"/>
    <w:rsid w:val="00301E9A"/>
    <w:rsid w:val="003026C5"/>
    <w:rsid w:val="00302CAA"/>
    <w:rsid w:val="00303506"/>
    <w:rsid w:val="00304017"/>
    <w:rsid w:val="00304861"/>
    <w:rsid w:val="00306EF0"/>
    <w:rsid w:val="00307057"/>
    <w:rsid w:val="0031045A"/>
    <w:rsid w:val="00312819"/>
    <w:rsid w:val="00312E9C"/>
    <w:rsid w:val="00313875"/>
    <w:rsid w:val="0031394C"/>
    <w:rsid w:val="00313F4D"/>
    <w:rsid w:val="00314378"/>
    <w:rsid w:val="0031486F"/>
    <w:rsid w:val="00314A0E"/>
    <w:rsid w:val="00314A3E"/>
    <w:rsid w:val="0031546E"/>
    <w:rsid w:val="003161F2"/>
    <w:rsid w:val="00316389"/>
    <w:rsid w:val="00316EA7"/>
    <w:rsid w:val="0031743A"/>
    <w:rsid w:val="003203BF"/>
    <w:rsid w:val="00321369"/>
    <w:rsid w:val="00321FBE"/>
    <w:rsid w:val="003222BE"/>
    <w:rsid w:val="00322E81"/>
    <w:rsid w:val="003235F5"/>
    <w:rsid w:val="003236D7"/>
    <w:rsid w:val="00323899"/>
    <w:rsid w:val="0032415E"/>
    <w:rsid w:val="00324C16"/>
    <w:rsid w:val="00326099"/>
    <w:rsid w:val="0032742E"/>
    <w:rsid w:val="00327C96"/>
    <w:rsid w:val="00330787"/>
    <w:rsid w:val="00330E56"/>
    <w:rsid w:val="00331819"/>
    <w:rsid w:val="00331E90"/>
    <w:rsid w:val="003324F4"/>
    <w:rsid w:val="00333046"/>
    <w:rsid w:val="0033419F"/>
    <w:rsid w:val="003341E2"/>
    <w:rsid w:val="003353C5"/>
    <w:rsid w:val="00335763"/>
    <w:rsid w:val="00335D3F"/>
    <w:rsid w:val="00336641"/>
    <w:rsid w:val="003370A3"/>
    <w:rsid w:val="00337493"/>
    <w:rsid w:val="003403B8"/>
    <w:rsid w:val="00340D11"/>
    <w:rsid w:val="00341F45"/>
    <w:rsid w:val="0034226A"/>
    <w:rsid w:val="003422E5"/>
    <w:rsid w:val="0034285F"/>
    <w:rsid w:val="00342B31"/>
    <w:rsid w:val="00344091"/>
    <w:rsid w:val="003441EF"/>
    <w:rsid w:val="00344444"/>
    <w:rsid w:val="003445A2"/>
    <w:rsid w:val="0034495F"/>
    <w:rsid w:val="00345219"/>
    <w:rsid w:val="00345A9E"/>
    <w:rsid w:val="00346135"/>
    <w:rsid w:val="003464A4"/>
    <w:rsid w:val="00346745"/>
    <w:rsid w:val="003478D0"/>
    <w:rsid w:val="0034795E"/>
    <w:rsid w:val="00347B38"/>
    <w:rsid w:val="0035007A"/>
    <w:rsid w:val="003503C0"/>
    <w:rsid w:val="00351684"/>
    <w:rsid w:val="003519C0"/>
    <w:rsid w:val="00351CB5"/>
    <w:rsid w:val="00351E8F"/>
    <w:rsid w:val="003526B2"/>
    <w:rsid w:val="00352EF4"/>
    <w:rsid w:val="00353655"/>
    <w:rsid w:val="00353C00"/>
    <w:rsid w:val="00353C01"/>
    <w:rsid w:val="00354458"/>
    <w:rsid w:val="00354B28"/>
    <w:rsid w:val="00355001"/>
    <w:rsid w:val="0035512A"/>
    <w:rsid w:val="00356D0D"/>
    <w:rsid w:val="00357326"/>
    <w:rsid w:val="00357735"/>
    <w:rsid w:val="00360750"/>
    <w:rsid w:val="00360CBA"/>
    <w:rsid w:val="00360F45"/>
    <w:rsid w:val="00361751"/>
    <w:rsid w:val="003618AF"/>
    <w:rsid w:val="00361937"/>
    <w:rsid w:val="00361B11"/>
    <w:rsid w:val="00361D0B"/>
    <w:rsid w:val="00361D89"/>
    <w:rsid w:val="00361F78"/>
    <w:rsid w:val="00361F9E"/>
    <w:rsid w:val="0036275A"/>
    <w:rsid w:val="003627C0"/>
    <w:rsid w:val="0036287C"/>
    <w:rsid w:val="00363653"/>
    <w:rsid w:val="00363874"/>
    <w:rsid w:val="00363ECA"/>
    <w:rsid w:val="003647B0"/>
    <w:rsid w:val="0036509D"/>
    <w:rsid w:val="00365C57"/>
    <w:rsid w:val="003665CC"/>
    <w:rsid w:val="003672FF"/>
    <w:rsid w:val="00371383"/>
    <w:rsid w:val="00372241"/>
    <w:rsid w:val="0037228C"/>
    <w:rsid w:val="003737A7"/>
    <w:rsid w:val="003738FD"/>
    <w:rsid w:val="00373BB0"/>
    <w:rsid w:val="00373CB5"/>
    <w:rsid w:val="00374264"/>
    <w:rsid w:val="00374287"/>
    <w:rsid w:val="00375153"/>
    <w:rsid w:val="00375BD4"/>
    <w:rsid w:val="00375DC0"/>
    <w:rsid w:val="00376451"/>
    <w:rsid w:val="00376CDC"/>
    <w:rsid w:val="00377128"/>
    <w:rsid w:val="003775E8"/>
    <w:rsid w:val="00377C66"/>
    <w:rsid w:val="00380F70"/>
    <w:rsid w:val="003810BE"/>
    <w:rsid w:val="0038122A"/>
    <w:rsid w:val="003812CC"/>
    <w:rsid w:val="003837C8"/>
    <w:rsid w:val="00384FC0"/>
    <w:rsid w:val="00386F6C"/>
    <w:rsid w:val="00387621"/>
    <w:rsid w:val="00387675"/>
    <w:rsid w:val="00387709"/>
    <w:rsid w:val="00387794"/>
    <w:rsid w:val="003878E7"/>
    <w:rsid w:val="00387904"/>
    <w:rsid w:val="00390147"/>
    <w:rsid w:val="003905B5"/>
    <w:rsid w:val="0039090A"/>
    <w:rsid w:val="00390B06"/>
    <w:rsid w:val="003912CC"/>
    <w:rsid w:val="00391DA7"/>
    <w:rsid w:val="003937DB"/>
    <w:rsid w:val="00393A2A"/>
    <w:rsid w:val="003940F4"/>
    <w:rsid w:val="003947DC"/>
    <w:rsid w:val="00394B06"/>
    <w:rsid w:val="0039610F"/>
    <w:rsid w:val="00396989"/>
    <w:rsid w:val="00396B9F"/>
    <w:rsid w:val="00397162"/>
    <w:rsid w:val="003A060B"/>
    <w:rsid w:val="003A1A84"/>
    <w:rsid w:val="003A2B8D"/>
    <w:rsid w:val="003A303A"/>
    <w:rsid w:val="003A335E"/>
    <w:rsid w:val="003A3DD2"/>
    <w:rsid w:val="003A44DE"/>
    <w:rsid w:val="003A4DD8"/>
    <w:rsid w:val="003A515E"/>
    <w:rsid w:val="003A5FFE"/>
    <w:rsid w:val="003A63F5"/>
    <w:rsid w:val="003A6B3C"/>
    <w:rsid w:val="003A761F"/>
    <w:rsid w:val="003B0779"/>
    <w:rsid w:val="003B0791"/>
    <w:rsid w:val="003B10E2"/>
    <w:rsid w:val="003B1120"/>
    <w:rsid w:val="003B1514"/>
    <w:rsid w:val="003B1A82"/>
    <w:rsid w:val="003B253D"/>
    <w:rsid w:val="003B2BC6"/>
    <w:rsid w:val="003B312F"/>
    <w:rsid w:val="003B3573"/>
    <w:rsid w:val="003B3699"/>
    <w:rsid w:val="003B3E45"/>
    <w:rsid w:val="003B40C4"/>
    <w:rsid w:val="003B4183"/>
    <w:rsid w:val="003B4C93"/>
    <w:rsid w:val="003B57BB"/>
    <w:rsid w:val="003B5813"/>
    <w:rsid w:val="003B6564"/>
    <w:rsid w:val="003B7B30"/>
    <w:rsid w:val="003B7B65"/>
    <w:rsid w:val="003B7CE7"/>
    <w:rsid w:val="003C03EA"/>
    <w:rsid w:val="003C196B"/>
    <w:rsid w:val="003C1986"/>
    <w:rsid w:val="003C2B44"/>
    <w:rsid w:val="003C3B73"/>
    <w:rsid w:val="003C3FAC"/>
    <w:rsid w:val="003C42AA"/>
    <w:rsid w:val="003C4D81"/>
    <w:rsid w:val="003C4E9C"/>
    <w:rsid w:val="003C52B8"/>
    <w:rsid w:val="003C55B2"/>
    <w:rsid w:val="003C58A4"/>
    <w:rsid w:val="003C5E11"/>
    <w:rsid w:val="003C5F92"/>
    <w:rsid w:val="003C614A"/>
    <w:rsid w:val="003C6E1D"/>
    <w:rsid w:val="003C7784"/>
    <w:rsid w:val="003C7B82"/>
    <w:rsid w:val="003C7D5C"/>
    <w:rsid w:val="003D058C"/>
    <w:rsid w:val="003D1771"/>
    <w:rsid w:val="003D1F78"/>
    <w:rsid w:val="003D2A3C"/>
    <w:rsid w:val="003D343A"/>
    <w:rsid w:val="003D439D"/>
    <w:rsid w:val="003D45B2"/>
    <w:rsid w:val="003D4A18"/>
    <w:rsid w:val="003D5DBD"/>
    <w:rsid w:val="003D6C1C"/>
    <w:rsid w:val="003D6E22"/>
    <w:rsid w:val="003D76B1"/>
    <w:rsid w:val="003D7ECD"/>
    <w:rsid w:val="003E0672"/>
    <w:rsid w:val="003E08C6"/>
    <w:rsid w:val="003E0D8C"/>
    <w:rsid w:val="003E1212"/>
    <w:rsid w:val="003E1594"/>
    <w:rsid w:val="003E17A6"/>
    <w:rsid w:val="003E1DDA"/>
    <w:rsid w:val="003E1ECB"/>
    <w:rsid w:val="003E2164"/>
    <w:rsid w:val="003E2A35"/>
    <w:rsid w:val="003E2C45"/>
    <w:rsid w:val="003E417E"/>
    <w:rsid w:val="003E4639"/>
    <w:rsid w:val="003E4AA5"/>
    <w:rsid w:val="003E4C43"/>
    <w:rsid w:val="003E4F46"/>
    <w:rsid w:val="003E53DC"/>
    <w:rsid w:val="003E54C5"/>
    <w:rsid w:val="003E5562"/>
    <w:rsid w:val="003E624D"/>
    <w:rsid w:val="003E6566"/>
    <w:rsid w:val="003E7748"/>
    <w:rsid w:val="003E7B6F"/>
    <w:rsid w:val="003E7E48"/>
    <w:rsid w:val="003F07AC"/>
    <w:rsid w:val="003F172F"/>
    <w:rsid w:val="003F1CCD"/>
    <w:rsid w:val="003F1CEC"/>
    <w:rsid w:val="003F2C11"/>
    <w:rsid w:val="003F3963"/>
    <w:rsid w:val="003F4080"/>
    <w:rsid w:val="003F43BF"/>
    <w:rsid w:val="003F4EC2"/>
    <w:rsid w:val="003F6B64"/>
    <w:rsid w:val="003F6BE4"/>
    <w:rsid w:val="003F6BF5"/>
    <w:rsid w:val="003F765F"/>
    <w:rsid w:val="00400030"/>
    <w:rsid w:val="00400738"/>
    <w:rsid w:val="00400773"/>
    <w:rsid w:val="00400C4F"/>
    <w:rsid w:val="00400E0B"/>
    <w:rsid w:val="004016D5"/>
    <w:rsid w:val="004017F3"/>
    <w:rsid w:val="00401DAF"/>
    <w:rsid w:val="00403365"/>
    <w:rsid w:val="00403CF8"/>
    <w:rsid w:val="00403E3F"/>
    <w:rsid w:val="004040E3"/>
    <w:rsid w:val="00406777"/>
    <w:rsid w:val="00407459"/>
    <w:rsid w:val="00407746"/>
    <w:rsid w:val="00410523"/>
    <w:rsid w:val="004109E2"/>
    <w:rsid w:val="004120D4"/>
    <w:rsid w:val="004123EA"/>
    <w:rsid w:val="004124E1"/>
    <w:rsid w:val="00412720"/>
    <w:rsid w:val="004133E4"/>
    <w:rsid w:val="00414782"/>
    <w:rsid w:val="00414907"/>
    <w:rsid w:val="00414D01"/>
    <w:rsid w:val="00414E8C"/>
    <w:rsid w:val="00416D98"/>
    <w:rsid w:val="00416D9B"/>
    <w:rsid w:val="00416FC7"/>
    <w:rsid w:val="004170FE"/>
    <w:rsid w:val="00420576"/>
    <w:rsid w:val="0042072F"/>
    <w:rsid w:val="004209E6"/>
    <w:rsid w:val="00420A0A"/>
    <w:rsid w:val="00420E41"/>
    <w:rsid w:val="00420FC5"/>
    <w:rsid w:val="004212B3"/>
    <w:rsid w:val="004214D6"/>
    <w:rsid w:val="00422598"/>
    <w:rsid w:val="004225FA"/>
    <w:rsid w:val="0042324B"/>
    <w:rsid w:val="004234E8"/>
    <w:rsid w:val="0042359C"/>
    <w:rsid w:val="00423D92"/>
    <w:rsid w:val="00425025"/>
    <w:rsid w:val="00425100"/>
    <w:rsid w:val="004251AD"/>
    <w:rsid w:val="00425A1F"/>
    <w:rsid w:val="00426805"/>
    <w:rsid w:val="00426A5C"/>
    <w:rsid w:val="0042739B"/>
    <w:rsid w:val="004275DE"/>
    <w:rsid w:val="00427FED"/>
    <w:rsid w:val="00430150"/>
    <w:rsid w:val="004302F9"/>
    <w:rsid w:val="00430669"/>
    <w:rsid w:val="00430E84"/>
    <w:rsid w:val="00431190"/>
    <w:rsid w:val="004315AD"/>
    <w:rsid w:val="0043229B"/>
    <w:rsid w:val="00432531"/>
    <w:rsid w:val="004325F2"/>
    <w:rsid w:val="00432E52"/>
    <w:rsid w:val="00432EAF"/>
    <w:rsid w:val="00432F23"/>
    <w:rsid w:val="004342B2"/>
    <w:rsid w:val="004348E3"/>
    <w:rsid w:val="0043523B"/>
    <w:rsid w:val="00435287"/>
    <w:rsid w:val="00436EDB"/>
    <w:rsid w:val="00436F5D"/>
    <w:rsid w:val="00437777"/>
    <w:rsid w:val="00437A81"/>
    <w:rsid w:val="004400D7"/>
    <w:rsid w:val="00440761"/>
    <w:rsid w:val="00440A22"/>
    <w:rsid w:val="00440B08"/>
    <w:rsid w:val="00441093"/>
    <w:rsid w:val="00441518"/>
    <w:rsid w:val="00443FC2"/>
    <w:rsid w:val="00444E1C"/>
    <w:rsid w:val="004455FA"/>
    <w:rsid w:val="004468AA"/>
    <w:rsid w:val="00447AA4"/>
    <w:rsid w:val="00447EA0"/>
    <w:rsid w:val="0045114E"/>
    <w:rsid w:val="0045212B"/>
    <w:rsid w:val="004523DA"/>
    <w:rsid w:val="00452B44"/>
    <w:rsid w:val="00452BA8"/>
    <w:rsid w:val="004530DA"/>
    <w:rsid w:val="0045406E"/>
    <w:rsid w:val="004546EB"/>
    <w:rsid w:val="00454874"/>
    <w:rsid w:val="0045550E"/>
    <w:rsid w:val="00455B1C"/>
    <w:rsid w:val="00455C56"/>
    <w:rsid w:val="00456456"/>
    <w:rsid w:val="00456D57"/>
    <w:rsid w:val="00457A55"/>
    <w:rsid w:val="00457B86"/>
    <w:rsid w:val="00460DCA"/>
    <w:rsid w:val="0046190B"/>
    <w:rsid w:val="00461A5F"/>
    <w:rsid w:val="00461E28"/>
    <w:rsid w:val="00462367"/>
    <w:rsid w:val="0046490C"/>
    <w:rsid w:val="0046566E"/>
    <w:rsid w:val="00466E5A"/>
    <w:rsid w:val="00470287"/>
    <w:rsid w:val="00470288"/>
    <w:rsid w:val="004704BF"/>
    <w:rsid w:val="00470733"/>
    <w:rsid w:val="0047193C"/>
    <w:rsid w:val="00471EB5"/>
    <w:rsid w:val="00473880"/>
    <w:rsid w:val="00473AF9"/>
    <w:rsid w:val="0047420E"/>
    <w:rsid w:val="004744DF"/>
    <w:rsid w:val="0047493B"/>
    <w:rsid w:val="00474F71"/>
    <w:rsid w:val="004757B4"/>
    <w:rsid w:val="004772AA"/>
    <w:rsid w:val="00477C53"/>
    <w:rsid w:val="00480EC4"/>
    <w:rsid w:val="0048127A"/>
    <w:rsid w:val="004818E3"/>
    <w:rsid w:val="00481E0C"/>
    <w:rsid w:val="00482CFA"/>
    <w:rsid w:val="00483575"/>
    <w:rsid w:val="00485380"/>
    <w:rsid w:val="0048595A"/>
    <w:rsid w:val="00485FD9"/>
    <w:rsid w:val="004878EA"/>
    <w:rsid w:val="00490322"/>
    <w:rsid w:val="0049033C"/>
    <w:rsid w:val="004907BE"/>
    <w:rsid w:val="00492461"/>
    <w:rsid w:val="004928C1"/>
    <w:rsid w:val="00493762"/>
    <w:rsid w:val="00493D87"/>
    <w:rsid w:val="00493E6A"/>
    <w:rsid w:val="0049418F"/>
    <w:rsid w:val="004950CC"/>
    <w:rsid w:val="004950D4"/>
    <w:rsid w:val="004962C4"/>
    <w:rsid w:val="00496F1B"/>
    <w:rsid w:val="004971A9"/>
    <w:rsid w:val="0049799C"/>
    <w:rsid w:val="004A0506"/>
    <w:rsid w:val="004A13EB"/>
    <w:rsid w:val="004A14F0"/>
    <w:rsid w:val="004A22BB"/>
    <w:rsid w:val="004A2342"/>
    <w:rsid w:val="004A251B"/>
    <w:rsid w:val="004A2F62"/>
    <w:rsid w:val="004A39B8"/>
    <w:rsid w:val="004A3B4E"/>
    <w:rsid w:val="004A3FC6"/>
    <w:rsid w:val="004A4AE5"/>
    <w:rsid w:val="004A549E"/>
    <w:rsid w:val="004A5D7F"/>
    <w:rsid w:val="004A694F"/>
    <w:rsid w:val="004A69DD"/>
    <w:rsid w:val="004A6FE5"/>
    <w:rsid w:val="004A7647"/>
    <w:rsid w:val="004B05AD"/>
    <w:rsid w:val="004B0900"/>
    <w:rsid w:val="004B1BD3"/>
    <w:rsid w:val="004B1DB8"/>
    <w:rsid w:val="004B24B7"/>
    <w:rsid w:val="004B2EB6"/>
    <w:rsid w:val="004B2F01"/>
    <w:rsid w:val="004B3039"/>
    <w:rsid w:val="004B316D"/>
    <w:rsid w:val="004B33C3"/>
    <w:rsid w:val="004B33E1"/>
    <w:rsid w:val="004B355C"/>
    <w:rsid w:val="004B37CB"/>
    <w:rsid w:val="004B4182"/>
    <w:rsid w:val="004B4538"/>
    <w:rsid w:val="004B482C"/>
    <w:rsid w:val="004B48F0"/>
    <w:rsid w:val="004B5E75"/>
    <w:rsid w:val="004B6670"/>
    <w:rsid w:val="004B6FB6"/>
    <w:rsid w:val="004C012F"/>
    <w:rsid w:val="004C0AC9"/>
    <w:rsid w:val="004C0BF7"/>
    <w:rsid w:val="004C11CA"/>
    <w:rsid w:val="004C17F0"/>
    <w:rsid w:val="004C1FE2"/>
    <w:rsid w:val="004C3851"/>
    <w:rsid w:val="004C3AFF"/>
    <w:rsid w:val="004C4182"/>
    <w:rsid w:val="004C54B2"/>
    <w:rsid w:val="004C571D"/>
    <w:rsid w:val="004C72A5"/>
    <w:rsid w:val="004C7675"/>
    <w:rsid w:val="004D004E"/>
    <w:rsid w:val="004D12B6"/>
    <w:rsid w:val="004D1831"/>
    <w:rsid w:val="004D1A7F"/>
    <w:rsid w:val="004D2C51"/>
    <w:rsid w:val="004D34FC"/>
    <w:rsid w:val="004D35A2"/>
    <w:rsid w:val="004D39C3"/>
    <w:rsid w:val="004D473F"/>
    <w:rsid w:val="004D4921"/>
    <w:rsid w:val="004D4A02"/>
    <w:rsid w:val="004D5E20"/>
    <w:rsid w:val="004D5FD1"/>
    <w:rsid w:val="004D6035"/>
    <w:rsid w:val="004D6689"/>
    <w:rsid w:val="004D674C"/>
    <w:rsid w:val="004D6933"/>
    <w:rsid w:val="004D6972"/>
    <w:rsid w:val="004D6BA0"/>
    <w:rsid w:val="004E04E7"/>
    <w:rsid w:val="004E25D3"/>
    <w:rsid w:val="004E3B0B"/>
    <w:rsid w:val="004E52C3"/>
    <w:rsid w:val="004E5565"/>
    <w:rsid w:val="004E75F6"/>
    <w:rsid w:val="004F0008"/>
    <w:rsid w:val="004F0032"/>
    <w:rsid w:val="004F0B9A"/>
    <w:rsid w:val="004F26FB"/>
    <w:rsid w:val="004F29BF"/>
    <w:rsid w:val="004F2E22"/>
    <w:rsid w:val="004F5247"/>
    <w:rsid w:val="004F5B85"/>
    <w:rsid w:val="004F665B"/>
    <w:rsid w:val="004F75EF"/>
    <w:rsid w:val="004F7C93"/>
    <w:rsid w:val="00500C25"/>
    <w:rsid w:val="00500D3E"/>
    <w:rsid w:val="00501F38"/>
    <w:rsid w:val="00502091"/>
    <w:rsid w:val="00503934"/>
    <w:rsid w:val="00503D82"/>
    <w:rsid w:val="00503F5E"/>
    <w:rsid w:val="005040C2"/>
    <w:rsid w:val="0050462F"/>
    <w:rsid w:val="00504987"/>
    <w:rsid w:val="00505415"/>
    <w:rsid w:val="00505460"/>
    <w:rsid w:val="00506105"/>
    <w:rsid w:val="005064DB"/>
    <w:rsid w:val="00506931"/>
    <w:rsid w:val="00506CFF"/>
    <w:rsid w:val="00507232"/>
    <w:rsid w:val="00507563"/>
    <w:rsid w:val="005104A6"/>
    <w:rsid w:val="00510DCC"/>
    <w:rsid w:val="0051114F"/>
    <w:rsid w:val="00511D5B"/>
    <w:rsid w:val="00511D94"/>
    <w:rsid w:val="00512856"/>
    <w:rsid w:val="00513162"/>
    <w:rsid w:val="005147A2"/>
    <w:rsid w:val="00515A06"/>
    <w:rsid w:val="005171A1"/>
    <w:rsid w:val="0051736D"/>
    <w:rsid w:val="00520B3D"/>
    <w:rsid w:val="00520D4E"/>
    <w:rsid w:val="005212FE"/>
    <w:rsid w:val="00521555"/>
    <w:rsid w:val="00521853"/>
    <w:rsid w:val="00521960"/>
    <w:rsid w:val="00522C4A"/>
    <w:rsid w:val="00523691"/>
    <w:rsid w:val="00523F1D"/>
    <w:rsid w:val="00524C82"/>
    <w:rsid w:val="00525809"/>
    <w:rsid w:val="00526B08"/>
    <w:rsid w:val="00526DF3"/>
    <w:rsid w:val="00526E8A"/>
    <w:rsid w:val="0052716B"/>
    <w:rsid w:val="00527BDA"/>
    <w:rsid w:val="00531715"/>
    <w:rsid w:val="00532C9E"/>
    <w:rsid w:val="00534072"/>
    <w:rsid w:val="005343CA"/>
    <w:rsid w:val="0053502C"/>
    <w:rsid w:val="00535130"/>
    <w:rsid w:val="005354A6"/>
    <w:rsid w:val="00536006"/>
    <w:rsid w:val="0053606A"/>
    <w:rsid w:val="00536094"/>
    <w:rsid w:val="00537302"/>
    <w:rsid w:val="0053738C"/>
    <w:rsid w:val="00541928"/>
    <w:rsid w:val="00542B93"/>
    <w:rsid w:val="00542D3C"/>
    <w:rsid w:val="00543952"/>
    <w:rsid w:val="005441BD"/>
    <w:rsid w:val="005445A7"/>
    <w:rsid w:val="00545D3E"/>
    <w:rsid w:val="005466D8"/>
    <w:rsid w:val="0054780C"/>
    <w:rsid w:val="00547848"/>
    <w:rsid w:val="00550386"/>
    <w:rsid w:val="005505A6"/>
    <w:rsid w:val="005508CB"/>
    <w:rsid w:val="00550BC7"/>
    <w:rsid w:val="00551473"/>
    <w:rsid w:val="00551F13"/>
    <w:rsid w:val="00551FFD"/>
    <w:rsid w:val="0055261D"/>
    <w:rsid w:val="00552C42"/>
    <w:rsid w:val="00553F16"/>
    <w:rsid w:val="0055473D"/>
    <w:rsid w:val="005549A3"/>
    <w:rsid w:val="00554DB2"/>
    <w:rsid w:val="00554DEF"/>
    <w:rsid w:val="00555509"/>
    <w:rsid w:val="00555940"/>
    <w:rsid w:val="00557083"/>
    <w:rsid w:val="00557A74"/>
    <w:rsid w:val="00560605"/>
    <w:rsid w:val="00560876"/>
    <w:rsid w:val="00560953"/>
    <w:rsid w:val="00560F74"/>
    <w:rsid w:val="00561066"/>
    <w:rsid w:val="00561476"/>
    <w:rsid w:val="00561C5B"/>
    <w:rsid w:val="005639E3"/>
    <w:rsid w:val="00563D61"/>
    <w:rsid w:val="00564F2D"/>
    <w:rsid w:val="005650B9"/>
    <w:rsid w:val="005653E1"/>
    <w:rsid w:val="0056594C"/>
    <w:rsid w:val="005661FF"/>
    <w:rsid w:val="005664A2"/>
    <w:rsid w:val="00566CDA"/>
    <w:rsid w:val="0056727E"/>
    <w:rsid w:val="00567468"/>
    <w:rsid w:val="00567BA6"/>
    <w:rsid w:val="00570033"/>
    <w:rsid w:val="00570147"/>
    <w:rsid w:val="00570247"/>
    <w:rsid w:val="00570477"/>
    <w:rsid w:val="005706FB"/>
    <w:rsid w:val="005709EF"/>
    <w:rsid w:val="005716D8"/>
    <w:rsid w:val="00571E23"/>
    <w:rsid w:val="00572942"/>
    <w:rsid w:val="00572BC0"/>
    <w:rsid w:val="0057307E"/>
    <w:rsid w:val="005737D4"/>
    <w:rsid w:val="005737FF"/>
    <w:rsid w:val="00573A4C"/>
    <w:rsid w:val="005749CE"/>
    <w:rsid w:val="00574A3D"/>
    <w:rsid w:val="00574A77"/>
    <w:rsid w:val="00574B79"/>
    <w:rsid w:val="00574D12"/>
    <w:rsid w:val="00576345"/>
    <w:rsid w:val="005763F6"/>
    <w:rsid w:val="00576545"/>
    <w:rsid w:val="005766B7"/>
    <w:rsid w:val="005768A2"/>
    <w:rsid w:val="005800B4"/>
    <w:rsid w:val="0058070B"/>
    <w:rsid w:val="00581068"/>
    <w:rsid w:val="005818D3"/>
    <w:rsid w:val="00581E91"/>
    <w:rsid w:val="00581F55"/>
    <w:rsid w:val="005820DA"/>
    <w:rsid w:val="0058296F"/>
    <w:rsid w:val="00582A73"/>
    <w:rsid w:val="00582B04"/>
    <w:rsid w:val="00583104"/>
    <w:rsid w:val="00583D35"/>
    <w:rsid w:val="00584013"/>
    <w:rsid w:val="005846EA"/>
    <w:rsid w:val="00584A8A"/>
    <w:rsid w:val="00584E9D"/>
    <w:rsid w:val="00584E9F"/>
    <w:rsid w:val="005860E6"/>
    <w:rsid w:val="00586197"/>
    <w:rsid w:val="00586A16"/>
    <w:rsid w:val="00586CD1"/>
    <w:rsid w:val="0058715A"/>
    <w:rsid w:val="00587AC6"/>
    <w:rsid w:val="005908A8"/>
    <w:rsid w:val="0059113E"/>
    <w:rsid w:val="00593ABE"/>
    <w:rsid w:val="005942EE"/>
    <w:rsid w:val="00594D2B"/>
    <w:rsid w:val="00595E80"/>
    <w:rsid w:val="0059650E"/>
    <w:rsid w:val="00596953"/>
    <w:rsid w:val="00596ABB"/>
    <w:rsid w:val="0059719E"/>
    <w:rsid w:val="005978EC"/>
    <w:rsid w:val="00597A0B"/>
    <w:rsid w:val="00597F7B"/>
    <w:rsid w:val="005A01ED"/>
    <w:rsid w:val="005A1D37"/>
    <w:rsid w:val="005A247A"/>
    <w:rsid w:val="005A4C85"/>
    <w:rsid w:val="005A581C"/>
    <w:rsid w:val="005A5D7D"/>
    <w:rsid w:val="005A5FBA"/>
    <w:rsid w:val="005A6030"/>
    <w:rsid w:val="005A66C3"/>
    <w:rsid w:val="005A6970"/>
    <w:rsid w:val="005B008A"/>
    <w:rsid w:val="005B04B8"/>
    <w:rsid w:val="005B1530"/>
    <w:rsid w:val="005B29CF"/>
    <w:rsid w:val="005B340D"/>
    <w:rsid w:val="005B4014"/>
    <w:rsid w:val="005B4182"/>
    <w:rsid w:val="005B4218"/>
    <w:rsid w:val="005B4F60"/>
    <w:rsid w:val="005B53B1"/>
    <w:rsid w:val="005B57AD"/>
    <w:rsid w:val="005B69EE"/>
    <w:rsid w:val="005B6D8A"/>
    <w:rsid w:val="005B7012"/>
    <w:rsid w:val="005B722E"/>
    <w:rsid w:val="005B7996"/>
    <w:rsid w:val="005C02FE"/>
    <w:rsid w:val="005C03BB"/>
    <w:rsid w:val="005C04D1"/>
    <w:rsid w:val="005C0D9E"/>
    <w:rsid w:val="005C1397"/>
    <w:rsid w:val="005C13DE"/>
    <w:rsid w:val="005C1A34"/>
    <w:rsid w:val="005C2285"/>
    <w:rsid w:val="005C2A20"/>
    <w:rsid w:val="005C3046"/>
    <w:rsid w:val="005C31ED"/>
    <w:rsid w:val="005C42E7"/>
    <w:rsid w:val="005C50AC"/>
    <w:rsid w:val="005C5279"/>
    <w:rsid w:val="005C540E"/>
    <w:rsid w:val="005C54EE"/>
    <w:rsid w:val="005C5534"/>
    <w:rsid w:val="005C5D66"/>
    <w:rsid w:val="005C6406"/>
    <w:rsid w:val="005D0E6A"/>
    <w:rsid w:val="005D2737"/>
    <w:rsid w:val="005D2DFA"/>
    <w:rsid w:val="005D3D24"/>
    <w:rsid w:val="005D42C4"/>
    <w:rsid w:val="005D4B8A"/>
    <w:rsid w:val="005D5893"/>
    <w:rsid w:val="005D5CA8"/>
    <w:rsid w:val="005D5F03"/>
    <w:rsid w:val="005D69D1"/>
    <w:rsid w:val="005D6CDF"/>
    <w:rsid w:val="005D75A2"/>
    <w:rsid w:val="005E1ECC"/>
    <w:rsid w:val="005E210D"/>
    <w:rsid w:val="005E268B"/>
    <w:rsid w:val="005E3415"/>
    <w:rsid w:val="005E359F"/>
    <w:rsid w:val="005E3B85"/>
    <w:rsid w:val="005E3F65"/>
    <w:rsid w:val="005E4833"/>
    <w:rsid w:val="005E4A46"/>
    <w:rsid w:val="005E50E5"/>
    <w:rsid w:val="005E5696"/>
    <w:rsid w:val="005E5FA1"/>
    <w:rsid w:val="005F0BEA"/>
    <w:rsid w:val="005F1029"/>
    <w:rsid w:val="005F2425"/>
    <w:rsid w:val="005F38E3"/>
    <w:rsid w:val="005F3AF4"/>
    <w:rsid w:val="005F4093"/>
    <w:rsid w:val="005F4340"/>
    <w:rsid w:val="005F588A"/>
    <w:rsid w:val="005F5EC7"/>
    <w:rsid w:val="005F689F"/>
    <w:rsid w:val="005F6F47"/>
    <w:rsid w:val="005F7207"/>
    <w:rsid w:val="005F77CD"/>
    <w:rsid w:val="005F7FCF"/>
    <w:rsid w:val="00600704"/>
    <w:rsid w:val="00601E67"/>
    <w:rsid w:val="006021E4"/>
    <w:rsid w:val="00603E7D"/>
    <w:rsid w:val="00604551"/>
    <w:rsid w:val="006048DA"/>
    <w:rsid w:val="00604AA1"/>
    <w:rsid w:val="00604BDA"/>
    <w:rsid w:val="00604E0E"/>
    <w:rsid w:val="006066DF"/>
    <w:rsid w:val="00607196"/>
    <w:rsid w:val="00607691"/>
    <w:rsid w:val="0060775E"/>
    <w:rsid w:val="00607A36"/>
    <w:rsid w:val="0061062C"/>
    <w:rsid w:val="00610FAB"/>
    <w:rsid w:val="00611120"/>
    <w:rsid w:val="006117ED"/>
    <w:rsid w:val="006119B4"/>
    <w:rsid w:val="00611F45"/>
    <w:rsid w:val="00612305"/>
    <w:rsid w:val="00612A48"/>
    <w:rsid w:val="00613183"/>
    <w:rsid w:val="006133F0"/>
    <w:rsid w:val="00613D2A"/>
    <w:rsid w:val="006145B6"/>
    <w:rsid w:val="00614808"/>
    <w:rsid w:val="00614847"/>
    <w:rsid w:val="00616107"/>
    <w:rsid w:val="00616543"/>
    <w:rsid w:val="00616888"/>
    <w:rsid w:val="006176BE"/>
    <w:rsid w:val="006212CB"/>
    <w:rsid w:val="00621AFC"/>
    <w:rsid w:val="00621F90"/>
    <w:rsid w:val="00622579"/>
    <w:rsid w:val="00622906"/>
    <w:rsid w:val="00622A58"/>
    <w:rsid w:val="006231B5"/>
    <w:rsid w:val="0062358E"/>
    <w:rsid w:val="00624EF3"/>
    <w:rsid w:val="00624FCE"/>
    <w:rsid w:val="00625C9E"/>
    <w:rsid w:val="00625FB8"/>
    <w:rsid w:val="00626387"/>
    <w:rsid w:val="00626A1C"/>
    <w:rsid w:val="00627202"/>
    <w:rsid w:val="006276DF"/>
    <w:rsid w:val="006279F9"/>
    <w:rsid w:val="006315FC"/>
    <w:rsid w:val="00631651"/>
    <w:rsid w:val="00631A7D"/>
    <w:rsid w:val="00631AD1"/>
    <w:rsid w:val="00631AFF"/>
    <w:rsid w:val="00631DEF"/>
    <w:rsid w:val="00632833"/>
    <w:rsid w:val="00632B3A"/>
    <w:rsid w:val="006330E5"/>
    <w:rsid w:val="0063336B"/>
    <w:rsid w:val="00633401"/>
    <w:rsid w:val="00633D2F"/>
    <w:rsid w:val="0063539D"/>
    <w:rsid w:val="00635E7C"/>
    <w:rsid w:val="00635ED5"/>
    <w:rsid w:val="00635F9D"/>
    <w:rsid w:val="00636734"/>
    <w:rsid w:val="006369EE"/>
    <w:rsid w:val="00636DAD"/>
    <w:rsid w:val="006376E1"/>
    <w:rsid w:val="00637EA9"/>
    <w:rsid w:val="00637ED1"/>
    <w:rsid w:val="00640D8F"/>
    <w:rsid w:val="006425A2"/>
    <w:rsid w:val="00642F84"/>
    <w:rsid w:val="00643411"/>
    <w:rsid w:val="00643E90"/>
    <w:rsid w:val="00644EC5"/>
    <w:rsid w:val="0064504E"/>
    <w:rsid w:val="006455AC"/>
    <w:rsid w:val="00645B37"/>
    <w:rsid w:val="0064700E"/>
    <w:rsid w:val="00647F59"/>
    <w:rsid w:val="00650677"/>
    <w:rsid w:val="00650F41"/>
    <w:rsid w:val="00651554"/>
    <w:rsid w:val="00651800"/>
    <w:rsid w:val="006535AB"/>
    <w:rsid w:val="006537D2"/>
    <w:rsid w:val="00653916"/>
    <w:rsid w:val="00653AB2"/>
    <w:rsid w:val="00654B00"/>
    <w:rsid w:val="00654B62"/>
    <w:rsid w:val="00655785"/>
    <w:rsid w:val="006560A7"/>
    <w:rsid w:val="006560B9"/>
    <w:rsid w:val="00656DA6"/>
    <w:rsid w:val="0065704C"/>
    <w:rsid w:val="006574D4"/>
    <w:rsid w:val="00657513"/>
    <w:rsid w:val="00657BDD"/>
    <w:rsid w:val="0066012B"/>
    <w:rsid w:val="0066038E"/>
    <w:rsid w:val="006609E6"/>
    <w:rsid w:val="00660E51"/>
    <w:rsid w:val="00660F67"/>
    <w:rsid w:val="00661001"/>
    <w:rsid w:val="00663B71"/>
    <w:rsid w:val="00663D56"/>
    <w:rsid w:val="00665244"/>
    <w:rsid w:val="00665449"/>
    <w:rsid w:val="00665B8E"/>
    <w:rsid w:val="00665D56"/>
    <w:rsid w:val="00666D69"/>
    <w:rsid w:val="00667D3D"/>
    <w:rsid w:val="0067223F"/>
    <w:rsid w:val="00672D15"/>
    <w:rsid w:val="00672DDC"/>
    <w:rsid w:val="00673600"/>
    <w:rsid w:val="006736A9"/>
    <w:rsid w:val="00673BC7"/>
    <w:rsid w:val="006743EE"/>
    <w:rsid w:val="00674975"/>
    <w:rsid w:val="00674E46"/>
    <w:rsid w:val="00675C7A"/>
    <w:rsid w:val="00675D39"/>
    <w:rsid w:val="006766C5"/>
    <w:rsid w:val="00676743"/>
    <w:rsid w:val="00677F3C"/>
    <w:rsid w:val="00680576"/>
    <w:rsid w:val="006813C0"/>
    <w:rsid w:val="00681727"/>
    <w:rsid w:val="00682C98"/>
    <w:rsid w:val="00683A12"/>
    <w:rsid w:val="0068560B"/>
    <w:rsid w:val="0068562B"/>
    <w:rsid w:val="006856C3"/>
    <w:rsid w:val="006856E7"/>
    <w:rsid w:val="00687236"/>
    <w:rsid w:val="0068740F"/>
    <w:rsid w:val="00691574"/>
    <w:rsid w:val="00691E12"/>
    <w:rsid w:val="00693129"/>
    <w:rsid w:val="00694003"/>
    <w:rsid w:val="0069464C"/>
    <w:rsid w:val="00694FCD"/>
    <w:rsid w:val="006968C0"/>
    <w:rsid w:val="006979F4"/>
    <w:rsid w:val="00697F96"/>
    <w:rsid w:val="006A0DA0"/>
    <w:rsid w:val="006A0DC5"/>
    <w:rsid w:val="006A0DED"/>
    <w:rsid w:val="006A1277"/>
    <w:rsid w:val="006A2227"/>
    <w:rsid w:val="006A230A"/>
    <w:rsid w:val="006A2602"/>
    <w:rsid w:val="006A2D41"/>
    <w:rsid w:val="006A2D52"/>
    <w:rsid w:val="006A314F"/>
    <w:rsid w:val="006A3D16"/>
    <w:rsid w:val="006A6424"/>
    <w:rsid w:val="006A67D3"/>
    <w:rsid w:val="006A67E1"/>
    <w:rsid w:val="006A6FB3"/>
    <w:rsid w:val="006A77A2"/>
    <w:rsid w:val="006B019B"/>
    <w:rsid w:val="006B0FDB"/>
    <w:rsid w:val="006B1754"/>
    <w:rsid w:val="006B2C09"/>
    <w:rsid w:val="006B394C"/>
    <w:rsid w:val="006B51AD"/>
    <w:rsid w:val="006B5211"/>
    <w:rsid w:val="006B5BE9"/>
    <w:rsid w:val="006B6685"/>
    <w:rsid w:val="006B69E5"/>
    <w:rsid w:val="006B6EF9"/>
    <w:rsid w:val="006B779A"/>
    <w:rsid w:val="006C09ED"/>
    <w:rsid w:val="006C0C65"/>
    <w:rsid w:val="006C1091"/>
    <w:rsid w:val="006C1403"/>
    <w:rsid w:val="006C155B"/>
    <w:rsid w:val="006C1AC7"/>
    <w:rsid w:val="006C1D2B"/>
    <w:rsid w:val="006C2700"/>
    <w:rsid w:val="006C2717"/>
    <w:rsid w:val="006C2DBB"/>
    <w:rsid w:val="006C36FB"/>
    <w:rsid w:val="006C42CB"/>
    <w:rsid w:val="006C4FBF"/>
    <w:rsid w:val="006C51EF"/>
    <w:rsid w:val="006C63E3"/>
    <w:rsid w:val="006C679F"/>
    <w:rsid w:val="006C67B0"/>
    <w:rsid w:val="006C6892"/>
    <w:rsid w:val="006C7D62"/>
    <w:rsid w:val="006D02DA"/>
    <w:rsid w:val="006D06C1"/>
    <w:rsid w:val="006D0A5D"/>
    <w:rsid w:val="006D0B23"/>
    <w:rsid w:val="006D2482"/>
    <w:rsid w:val="006D286D"/>
    <w:rsid w:val="006D289E"/>
    <w:rsid w:val="006D2D26"/>
    <w:rsid w:val="006D2ED6"/>
    <w:rsid w:val="006D3355"/>
    <w:rsid w:val="006D3EF4"/>
    <w:rsid w:val="006D4840"/>
    <w:rsid w:val="006D48F3"/>
    <w:rsid w:val="006D49AC"/>
    <w:rsid w:val="006D4BF2"/>
    <w:rsid w:val="006D4CA2"/>
    <w:rsid w:val="006D5685"/>
    <w:rsid w:val="006D63F8"/>
    <w:rsid w:val="006D698C"/>
    <w:rsid w:val="006E0D08"/>
    <w:rsid w:val="006E14A3"/>
    <w:rsid w:val="006E14C2"/>
    <w:rsid w:val="006E1987"/>
    <w:rsid w:val="006E1EB1"/>
    <w:rsid w:val="006E23B2"/>
    <w:rsid w:val="006E2D99"/>
    <w:rsid w:val="006E3BCF"/>
    <w:rsid w:val="006E41BF"/>
    <w:rsid w:val="006E5207"/>
    <w:rsid w:val="006E687D"/>
    <w:rsid w:val="006E6B72"/>
    <w:rsid w:val="006E736A"/>
    <w:rsid w:val="006F1331"/>
    <w:rsid w:val="006F19F3"/>
    <w:rsid w:val="006F19FB"/>
    <w:rsid w:val="006F2637"/>
    <w:rsid w:val="006F29E5"/>
    <w:rsid w:val="006F2B1B"/>
    <w:rsid w:val="006F54B2"/>
    <w:rsid w:val="006F5C70"/>
    <w:rsid w:val="006F5FB8"/>
    <w:rsid w:val="006F6378"/>
    <w:rsid w:val="006F6909"/>
    <w:rsid w:val="006F6A20"/>
    <w:rsid w:val="006F6AF1"/>
    <w:rsid w:val="006F727D"/>
    <w:rsid w:val="006F771C"/>
    <w:rsid w:val="00700875"/>
    <w:rsid w:val="00700908"/>
    <w:rsid w:val="00701AA3"/>
    <w:rsid w:val="00702A8B"/>
    <w:rsid w:val="007035D0"/>
    <w:rsid w:val="00703D5B"/>
    <w:rsid w:val="00703DB8"/>
    <w:rsid w:val="007042AC"/>
    <w:rsid w:val="007046E0"/>
    <w:rsid w:val="007047B2"/>
    <w:rsid w:val="00704DE7"/>
    <w:rsid w:val="0070564E"/>
    <w:rsid w:val="007057FE"/>
    <w:rsid w:val="00706394"/>
    <w:rsid w:val="00706868"/>
    <w:rsid w:val="00706E93"/>
    <w:rsid w:val="007072A6"/>
    <w:rsid w:val="00707319"/>
    <w:rsid w:val="00707418"/>
    <w:rsid w:val="007078B8"/>
    <w:rsid w:val="00711969"/>
    <w:rsid w:val="007122A4"/>
    <w:rsid w:val="00712B4B"/>
    <w:rsid w:val="00712C40"/>
    <w:rsid w:val="00713978"/>
    <w:rsid w:val="007146DF"/>
    <w:rsid w:val="0071501B"/>
    <w:rsid w:val="00715E32"/>
    <w:rsid w:val="007162D1"/>
    <w:rsid w:val="00716463"/>
    <w:rsid w:val="00716A3E"/>
    <w:rsid w:val="0071706E"/>
    <w:rsid w:val="00720326"/>
    <w:rsid w:val="00721203"/>
    <w:rsid w:val="00723618"/>
    <w:rsid w:val="00723776"/>
    <w:rsid w:val="0072408E"/>
    <w:rsid w:val="007243BB"/>
    <w:rsid w:val="00724DCF"/>
    <w:rsid w:val="00725502"/>
    <w:rsid w:val="00726E50"/>
    <w:rsid w:val="00727292"/>
    <w:rsid w:val="00727C25"/>
    <w:rsid w:val="007307D7"/>
    <w:rsid w:val="00731832"/>
    <w:rsid w:val="00731B55"/>
    <w:rsid w:val="00732302"/>
    <w:rsid w:val="00733566"/>
    <w:rsid w:val="0073407C"/>
    <w:rsid w:val="00734203"/>
    <w:rsid w:val="00735293"/>
    <w:rsid w:val="00735E1C"/>
    <w:rsid w:val="00736DBD"/>
    <w:rsid w:val="00740950"/>
    <w:rsid w:val="007409C2"/>
    <w:rsid w:val="00740C3D"/>
    <w:rsid w:val="00740CCF"/>
    <w:rsid w:val="00741378"/>
    <w:rsid w:val="00742F6A"/>
    <w:rsid w:val="007435A0"/>
    <w:rsid w:val="007446E8"/>
    <w:rsid w:val="007451AD"/>
    <w:rsid w:val="00746C83"/>
    <w:rsid w:val="00747271"/>
    <w:rsid w:val="00747CCD"/>
    <w:rsid w:val="00750514"/>
    <w:rsid w:val="00751553"/>
    <w:rsid w:val="0075165E"/>
    <w:rsid w:val="00751E22"/>
    <w:rsid w:val="007545A5"/>
    <w:rsid w:val="00754E10"/>
    <w:rsid w:val="00755FDC"/>
    <w:rsid w:val="00756092"/>
    <w:rsid w:val="00756C17"/>
    <w:rsid w:val="0075724A"/>
    <w:rsid w:val="00757A64"/>
    <w:rsid w:val="00760503"/>
    <w:rsid w:val="0076183C"/>
    <w:rsid w:val="00761AAC"/>
    <w:rsid w:val="00761C9B"/>
    <w:rsid w:val="00762030"/>
    <w:rsid w:val="00762200"/>
    <w:rsid w:val="007626A3"/>
    <w:rsid w:val="00762702"/>
    <w:rsid w:val="00762A29"/>
    <w:rsid w:val="00762D4C"/>
    <w:rsid w:val="00762FCD"/>
    <w:rsid w:val="0076327D"/>
    <w:rsid w:val="007636DE"/>
    <w:rsid w:val="00764122"/>
    <w:rsid w:val="007644B4"/>
    <w:rsid w:val="0076467F"/>
    <w:rsid w:val="00764B5C"/>
    <w:rsid w:val="00764C0B"/>
    <w:rsid w:val="00765214"/>
    <w:rsid w:val="00765586"/>
    <w:rsid w:val="007657D4"/>
    <w:rsid w:val="0076590F"/>
    <w:rsid w:val="007661FF"/>
    <w:rsid w:val="00766527"/>
    <w:rsid w:val="00766864"/>
    <w:rsid w:val="0076743C"/>
    <w:rsid w:val="00767745"/>
    <w:rsid w:val="007702F4"/>
    <w:rsid w:val="00770436"/>
    <w:rsid w:val="007707FC"/>
    <w:rsid w:val="00770BE3"/>
    <w:rsid w:val="00770E54"/>
    <w:rsid w:val="0077136F"/>
    <w:rsid w:val="0077176E"/>
    <w:rsid w:val="0077177A"/>
    <w:rsid w:val="00771C4E"/>
    <w:rsid w:val="00771C84"/>
    <w:rsid w:val="00771CCE"/>
    <w:rsid w:val="007728A8"/>
    <w:rsid w:val="00772923"/>
    <w:rsid w:val="00772957"/>
    <w:rsid w:val="00772F23"/>
    <w:rsid w:val="007733D2"/>
    <w:rsid w:val="00773A37"/>
    <w:rsid w:val="0077455C"/>
    <w:rsid w:val="007746DD"/>
    <w:rsid w:val="00775013"/>
    <w:rsid w:val="00775365"/>
    <w:rsid w:val="00776129"/>
    <w:rsid w:val="0077661F"/>
    <w:rsid w:val="00776AF5"/>
    <w:rsid w:val="00777CEB"/>
    <w:rsid w:val="0078206C"/>
    <w:rsid w:val="007837BD"/>
    <w:rsid w:val="0078441D"/>
    <w:rsid w:val="007845AA"/>
    <w:rsid w:val="007848DE"/>
    <w:rsid w:val="0078490C"/>
    <w:rsid w:val="0078497C"/>
    <w:rsid w:val="00784D21"/>
    <w:rsid w:val="00784ECF"/>
    <w:rsid w:val="00785A76"/>
    <w:rsid w:val="00786204"/>
    <w:rsid w:val="00786B4D"/>
    <w:rsid w:val="00786B5E"/>
    <w:rsid w:val="00786F05"/>
    <w:rsid w:val="00787334"/>
    <w:rsid w:val="007876E1"/>
    <w:rsid w:val="00787852"/>
    <w:rsid w:val="0079029F"/>
    <w:rsid w:val="007904D7"/>
    <w:rsid w:val="00790AA2"/>
    <w:rsid w:val="0079105B"/>
    <w:rsid w:val="007915BC"/>
    <w:rsid w:val="00793324"/>
    <w:rsid w:val="00793455"/>
    <w:rsid w:val="007940C9"/>
    <w:rsid w:val="0079475D"/>
    <w:rsid w:val="00794AA5"/>
    <w:rsid w:val="00794F43"/>
    <w:rsid w:val="00795E63"/>
    <w:rsid w:val="007967AF"/>
    <w:rsid w:val="007967FA"/>
    <w:rsid w:val="00797054"/>
    <w:rsid w:val="0079712F"/>
    <w:rsid w:val="00797E7A"/>
    <w:rsid w:val="007A0206"/>
    <w:rsid w:val="007A091A"/>
    <w:rsid w:val="007A0EA6"/>
    <w:rsid w:val="007A10AB"/>
    <w:rsid w:val="007A14BC"/>
    <w:rsid w:val="007A2D9E"/>
    <w:rsid w:val="007A3174"/>
    <w:rsid w:val="007A41AC"/>
    <w:rsid w:val="007A4B0D"/>
    <w:rsid w:val="007A4D76"/>
    <w:rsid w:val="007A4DF9"/>
    <w:rsid w:val="007A5B84"/>
    <w:rsid w:val="007A6594"/>
    <w:rsid w:val="007A6BFF"/>
    <w:rsid w:val="007A7095"/>
    <w:rsid w:val="007A738D"/>
    <w:rsid w:val="007B0381"/>
    <w:rsid w:val="007B0ACE"/>
    <w:rsid w:val="007B0F3D"/>
    <w:rsid w:val="007B148D"/>
    <w:rsid w:val="007B1751"/>
    <w:rsid w:val="007B18C8"/>
    <w:rsid w:val="007B1A33"/>
    <w:rsid w:val="007B1D4F"/>
    <w:rsid w:val="007B2552"/>
    <w:rsid w:val="007B28DE"/>
    <w:rsid w:val="007B3712"/>
    <w:rsid w:val="007B4231"/>
    <w:rsid w:val="007B43D6"/>
    <w:rsid w:val="007B58AF"/>
    <w:rsid w:val="007B6ADE"/>
    <w:rsid w:val="007B71C2"/>
    <w:rsid w:val="007B7A5F"/>
    <w:rsid w:val="007C007D"/>
    <w:rsid w:val="007C241C"/>
    <w:rsid w:val="007C273E"/>
    <w:rsid w:val="007C29C7"/>
    <w:rsid w:val="007C2BD2"/>
    <w:rsid w:val="007C2EEB"/>
    <w:rsid w:val="007C3016"/>
    <w:rsid w:val="007C35A3"/>
    <w:rsid w:val="007C36BE"/>
    <w:rsid w:val="007C373D"/>
    <w:rsid w:val="007C4E4F"/>
    <w:rsid w:val="007C5EFA"/>
    <w:rsid w:val="007C62E1"/>
    <w:rsid w:val="007D0145"/>
    <w:rsid w:val="007D03A2"/>
    <w:rsid w:val="007D242A"/>
    <w:rsid w:val="007D38C8"/>
    <w:rsid w:val="007D3BDB"/>
    <w:rsid w:val="007D4770"/>
    <w:rsid w:val="007D4B49"/>
    <w:rsid w:val="007D4B51"/>
    <w:rsid w:val="007D4B5F"/>
    <w:rsid w:val="007D4F4B"/>
    <w:rsid w:val="007D53ED"/>
    <w:rsid w:val="007D6001"/>
    <w:rsid w:val="007D6561"/>
    <w:rsid w:val="007D66D6"/>
    <w:rsid w:val="007D66DA"/>
    <w:rsid w:val="007D68BD"/>
    <w:rsid w:val="007D6E1B"/>
    <w:rsid w:val="007D7049"/>
    <w:rsid w:val="007D7ADA"/>
    <w:rsid w:val="007D7CE8"/>
    <w:rsid w:val="007D7F94"/>
    <w:rsid w:val="007E05CE"/>
    <w:rsid w:val="007E0D98"/>
    <w:rsid w:val="007E0E48"/>
    <w:rsid w:val="007E12CB"/>
    <w:rsid w:val="007E1476"/>
    <w:rsid w:val="007E1B76"/>
    <w:rsid w:val="007E219A"/>
    <w:rsid w:val="007E280D"/>
    <w:rsid w:val="007E2B4A"/>
    <w:rsid w:val="007E31B6"/>
    <w:rsid w:val="007E37BF"/>
    <w:rsid w:val="007E3941"/>
    <w:rsid w:val="007E3E8A"/>
    <w:rsid w:val="007E49FD"/>
    <w:rsid w:val="007E50FC"/>
    <w:rsid w:val="007E52B1"/>
    <w:rsid w:val="007E5437"/>
    <w:rsid w:val="007E551F"/>
    <w:rsid w:val="007E5897"/>
    <w:rsid w:val="007E6400"/>
    <w:rsid w:val="007E6593"/>
    <w:rsid w:val="007E6C89"/>
    <w:rsid w:val="007E753B"/>
    <w:rsid w:val="007F0A9A"/>
    <w:rsid w:val="007F0F43"/>
    <w:rsid w:val="007F1101"/>
    <w:rsid w:val="007F2555"/>
    <w:rsid w:val="007F2568"/>
    <w:rsid w:val="007F2CB1"/>
    <w:rsid w:val="007F2DB2"/>
    <w:rsid w:val="007F2F9B"/>
    <w:rsid w:val="007F3D67"/>
    <w:rsid w:val="007F4A8D"/>
    <w:rsid w:val="007F533D"/>
    <w:rsid w:val="007F559A"/>
    <w:rsid w:val="007F65F8"/>
    <w:rsid w:val="007F6EDB"/>
    <w:rsid w:val="007F70AC"/>
    <w:rsid w:val="007F78C7"/>
    <w:rsid w:val="007F7B3D"/>
    <w:rsid w:val="007F7B5E"/>
    <w:rsid w:val="007F7DBF"/>
    <w:rsid w:val="00800416"/>
    <w:rsid w:val="00800953"/>
    <w:rsid w:val="00801CE3"/>
    <w:rsid w:val="00802143"/>
    <w:rsid w:val="00802C20"/>
    <w:rsid w:val="00802DCC"/>
    <w:rsid w:val="008036EC"/>
    <w:rsid w:val="00803A23"/>
    <w:rsid w:val="00803D20"/>
    <w:rsid w:val="00804844"/>
    <w:rsid w:val="0080604B"/>
    <w:rsid w:val="00806AAC"/>
    <w:rsid w:val="00806DAC"/>
    <w:rsid w:val="00807C00"/>
    <w:rsid w:val="00807F96"/>
    <w:rsid w:val="00810032"/>
    <w:rsid w:val="00810C5E"/>
    <w:rsid w:val="00810C84"/>
    <w:rsid w:val="008112A0"/>
    <w:rsid w:val="008113C7"/>
    <w:rsid w:val="008129B0"/>
    <w:rsid w:val="00814563"/>
    <w:rsid w:val="00814977"/>
    <w:rsid w:val="00814E39"/>
    <w:rsid w:val="0081533C"/>
    <w:rsid w:val="0081696D"/>
    <w:rsid w:val="00816E01"/>
    <w:rsid w:val="008173D0"/>
    <w:rsid w:val="00817E6E"/>
    <w:rsid w:val="00820241"/>
    <w:rsid w:val="008204CD"/>
    <w:rsid w:val="008209F4"/>
    <w:rsid w:val="00820B26"/>
    <w:rsid w:val="00820E3F"/>
    <w:rsid w:val="0082100A"/>
    <w:rsid w:val="0082143B"/>
    <w:rsid w:val="0082159A"/>
    <w:rsid w:val="00821957"/>
    <w:rsid w:val="0082269E"/>
    <w:rsid w:val="00822F28"/>
    <w:rsid w:val="00823235"/>
    <w:rsid w:val="00823AD4"/>
    <w:rsid w:val="008249F1"/>
    <w:rsid w:val="00824AF2"/>
    <w:rsid w:val="00825902"/>
    <w:rsid w:val="00825B8D"/>
    <w:rsid w:val="00826158"/>
    <w:rsid w:val="00826686"/>
    <w:rsid w:val="00827C60"/>
    <w:rsid w:val="00827DB2"/>
    <w:rsid w:val="00827DED"/>
    <w:rsid w:val="00827F74"/>
    <w:rsid w:val="00830B6D"/>
    <w:rsid w:val="00832530"/>
    <w:rsid w:val="0083277B"/>
    <w:rsid w:val="0083369F"/>
    <w:rsid w:val="00834405"/>
    <w:rsid w:val="00834C3C"/>
    <w:rsid w:val="00835563"/>
    <w:rsid w:val="00835A9D"/>
    <w:rsid w:val="00835DA5"/>
    <w:rsid w:val="00836511"/>
    <w:rsid w:val="00836827"/>
    <w:rsid w:val="00836B02"/>
    <w:rsid w:val="00836B41"/>
    <w:rsid w:val="00836EC6"/>
    <w:rsid w:val="008372C9"/>
    <w:rsid w:val="0083741E"/>
    <w:rsid w:val="00837985"/>
    <w:rsid w:val="00837D3B"/>
    <w:rsid w:val="00840140"/>
    <w:rsid w:val="00840BAF"/>
    <w:rsid w:val="00840E3D"/>
    <w:rsid w:val="008411D3"/>
    <w:rsid w:val="0084142E"/>
    <w:rsid w:val="00841D8C"/>
    <w:rsid w:val="00841EB7"/>
    <w:rsid w:val="00842220"/>
    <w:rsid w:val="008422BB"/>
    <w:rsid w:val="00843E4C"/>
    <w:rsid w:val="00844111"/>
    <w:rsid w:val="008448DC"/>
    <w:rsid w:val="00844F74"/>
    <w:rsid w:val="00845725"/>
    <w:rsid w:val="00845E64"/>
    <w:rsid w:val="00846112"/>
    <w:rsid w:val="00846382"/>
    <w:rsid w:val="008463F0"/>
    <w:rsid w:val="008506EC"/>
    <w:rsid w:val="00850F57"/>
    <w:rsid w:val="00850FE8"/>
    <w:rsid w:val="0085190E"/>
    <w:rsid w:val="00852823"/>
    <w:rsid w:val="00853262"/>
    <w:rsid w:val="00853394"/>
    <w:rsid w:val="0085368E"/>
    <w:rsid w:val="008536C2"/>
    <w:rsid w:val="00853A6A"/>
    <w:rsid w:val="00854893"/>
    <w:rsid w:val="00854ACC"/>
    <w:rsid w:val="00854AFB"/>
    <w:rsid w:val="00854FBB"/>
    <w:rsid w:val="00855378"/>
    <w:rsid w:val="00855D3F"/>
    <w:rsid w:val="00856D98"/>
    <w:rsid w:val="00857358"/>
    <w:rsid w:val="008600C7"/>
    <w:rsid w:val="008611D8"/>
    <w:rsid w:val="008617D0"/>
    <w:rsid w:val="008619AD"/>
    <w:rsid w:val="00861A38"/>
    <w:rsid w:val="00861A60"/>
    <w:rsid w:val="00861F2A"/>
    <w:rsid w:val="00862357"/>
    <w:rsid w:val="008623CD"/>
    <w:rsid w:val="00862D02"/>
    <w:rsid w:val="008637B9"/>
    <w:rsid w:val="00864194"/>
    <w:rsid w:val="00864212"/>
    <w:rsid w:val="0086427B"/>
    <w:rsid w:val="00864802"/>
    <w:rsid w:val="00864B5D"/>
    <w:rsid w:val="00864B9C"/>
    <w:rsid w:val="0086592D"/>
    <w:rsid w:val="00866278"/>
    <w:rsid w:val="00866924"/>
    <w:rsid w:val="00866B39"/>
    <w:rsid w:val="00866BDB"/>
    <w:rsid w:val="00867368"/>
    <w:rsid w:val="0086762E"/>
    <w:rsid w:val="008700BE"/>
    <w:rsid w:val="008702A6"/>
    <w:rsid w:val="00870399"/>
    <w:rsid w:val="008705BD"/>
    <w:rsid w:val="00870FA1"/>
    <w:rsid w:val="008711EC"/>
    <w:rsid w:val="008718FE"/>
    <w:rsid w:val="00872946"/>
    <w:rsid w:val="00873B7F"/>
    <w:rsid w:val="00874349"/>
    <w:rsid w:val="00874601"/>
    <w:rsid w:val="00874A3E"/>
    <w:rsid w:val="00875108"/>
    <w:rsid w:val="00875333"/>
    <w:rsid w:val="00876421"/>
    <w:rsid w:val="00876DC6"/>
    <w:rsid w:val="008771CE"/>
    <w:rsid w:val="00877F3E"/>
    <w:rsid w:val="0088040D"/>
    <w:rsid w:val="00880904"/>
    <w:rsid w:val="00880FB6"/>
    <w:rsid w:val="008811F1"/>
    <w:rsid w:val="00881876"/>
    <w:rsid w:val="00881DA8"/>
    <w:rsid w:val="00881E01"/>
    <w:rsid w:val="008828F8"/>
    <w:rsid w:val="0088296F"/>
    <w:rsid w:val="00882BEB"/>
    <w:rsid w:val="008834B4"/>
    <w:rsid w:val="008835EE"/>
    <w:rsid w:val="008837C5"/>
    <w:rsid w:val="00883928"/>
    <w:rsid w:val="00883DDE"/>
    <w:rsid w:val="00883F46"/>
    <w:rsid w:val="00885890"/>
    <w:rsid w:val="00885D0A"/>
    <w:rsid w:val="00886CB6"/>
    <w:rsid w:val="008900BC"/>
    <w:rsid w:val="008903A0"/>
    <w:rsid w:val="00890C5D"/>
    <w:rsid w:val="00891470"/>
    <w:rsid w:val="008914B9"/>
    <w:rsid w:val="00891D73"/>
    <w:rsid w:val="00892054"/>
    <w:rsid w:val="0089211A"/>
    <w:rsid w:val="00892395"/>
    <w:rsid w:val="00892A44"/>
    <w:rsid w:val="008931DD"/>
    <w:rsid w:val="0089352B"/>
    <w:rsid w:val="0089372A"/>
    <w:rsid w:val="008944C4"/>
    <w:rsid w:val="00894DED"/>
    <w:rsid w:val="008955AC"/>
    <w:rsid w:val="00895BB3"/>
    <w:rsid w:val="00896FE4"/>
    <w:rsid w:val="00897AEC"/>
    <w:rsid w:val="00897F0A"/>
    <w:rsid w:val="00897FD0"/>
    <w:rsid w:val="008A1031"/>
    <w:rsid w:val="008A12E8"/>
    <w:rsid w:val="008A1396"/>
    <w:rsid w:val="008A13ED"/>
    <w:rsid w:val="008A1409"/>
    <w:rsid w:val="008A1B1A"/>
    <w:rsid w:val="008A1CBA"/>
    <w:rsid w:val="008A21F9"/>
    <w:rsid w:val="008A2535"/>
    <w:rsid w:val="008A2561"/>
    <w:rsid w:val="008A25A1"/>
    <w:rsid w:val="008A2DE8"/>
    <w:rsid w:val="008A312D"/>
    <w:rsid w:val="008A3E09"/>
    <w:rsid w:val="008A3E57"/>
    <w:rsid w:val="008A4647"/>
    <w:rsid w:val="008A61C1"/>
    <w:rsid w:val="008A6963"/>
    <w:rsid w:val="008A6AE7"/>
    <w:rsid w:val="008A734A"/>
    <w:rsid w:val="008A745C"/>
    <w:rsid w:val="008A77A7"/>
    <w:rsid w:val="008B1A4D"/>
    <w:rsid w:val="008B2B4F"/>
    <w:rsid w:val="008B344A"/>
    <w:rsid w:val="008B3EE8"/>
    <w:rsid w:val="008B3F34"/>
    <w:rsid w:val="008B4059"/>
    <w:rsid w:val="008B44B2"/>
    <w:rsid w:val="008B4CFD"/>
    <w:rsid w:val="008B6504"/>
    <w:rsid w:val="008B672C"/>
    <w:rsid w:val="008B6B9E"/>
    <w:rsid w:val="008B6D00"/>
    <w:rsid w:val="008C01E0"/>
    <w:rsid w:val="008C0794"/>
    <w:rsid w:val="008C10D0"/>
    <w:rsid w:val="008C1648"/>
    <w:rsid w:val="008C1925"/>
    <w:rsid w:val="008C1E80"/>
    <w:rsid w:val="008C1FC9"/>
    <w:rsid w:val="008C2704"/>
    <w:rsid w:val="008C2E26"/>
    <w:rsid w:val="008C2E8D"/>
    <w:rsid w:val="008C434D"/>
    <w:rsid w:val="008C52BE"/>
    <w:rsid w:val="008C56B9"/>
    <w:rsid w:val="008C5C35"/>
    <w:rsid w:val="008C5D16"/>
    <w:rsid w:val="008C65F4"/>
    <w:rsid w:val="008C68EA"/>
    <w:rsid w:val="008C789D"/>
    <w:rsid w:val="008D05E0"/>
    <w:rsid w:val="008D07DC"/>
    <w:rsid w:val="008D1662"/>
    <w:rsid w:val="008D1DB7"/>
    <w:rsid w:val="008D1EB9"/>
    <w:rsid w:val="008D2600"/>
    <w:rsid w:val="008D2764"/>
    <w:rsid w:val="008D3B9B"/>
    <w:rsid w:val="008D3CB7"/>
    <w:rsid w:val="008D514F"/>
    <w:rsid w:val="008D6209"/>
    <w:rsid w:val="008D624B"/>
    <w:rsid w:val="008D6BE2"/>
    <w:rsid w:val="008D70BC"/>
    <w:rsid w:val="008D721C"/>
    <w:rsid w:val="008D77F5"/>
    <w:rsid w:val="008D7E55"/>
    <w:rsid w:val="008E0394"/>
    <w:rsid w:val="008E061C"/>
    <w:rsid w:val="008E0AC0"/>
    <w:rsid w:val="008E0F71"/>
    <w:rsid w:val="008E18DF"/>
    <w:rsid w:val="008E2004"/>
    <w:rsid w:val="008E221A"/>
    <w:rsid w:val="008E24D2"/>
    <w:rsid w:val="008E2773"/>
    <w:rsid w:val="008E28D8"/>
    <w:rsid w:val="008E3634"/>
    <w:rsid w:val="008E36B7"/>
    <w:rsid w:val="008E3FFE"/>
    <w:rsid w:val="008E459E"/>
    <w:rsid w:val="008E4809"/>
    <w:rsid w:val="008E4D40"/>
    <w:rsid w:val="008E5218"/>
    <w:rsid w:val="008E5287"/>
    <w:rsid w:val="008E5817"/>
    <w:rsid w:val="008E5F8A"/>
    <w:rsid w:val="008E60BE"/>
    <w:rsid w:val="008E63C9"/>
    <w:rsid w:val="008E647E"/>
    <w:rsid w:val="008E667A"/>
    <w:rsid w:val="008E692A"/>
    <w:rsid w:val="008E6B74"/>
    <w:rsid w:val="008E6C3E"/>
    <w:rsid w:val="008E70F4"/>
    <w:rsid w:val="008F0FAF"/>
    <w:rsid w:val="008F147F"/>
    <w:rsid w:val="008F1E1A"/>
    <w:rsid w:val="008F23C8"/>
    <w:rsid w:val="008F365E"/>
    <w:rsid w:val="008F3B5E"/>
    <w:rsid w:val="008F46CD"/>
    <w:rsid w:val="008F6480"/>
    <w:rsid w:val="008F6B9D"/>
    <w:rsid w:val="008F7740"/>
    <w:rsid w:val="0090046D"/>
    <w:rsid w:val="00900BAC"/>
    <w:rsid w:val="00900CA2"/>
    <w:rsid w:val="0090143A"/>
    <w:rsid w:val="00901824"/>
    <w:rsid w:val="00901AB2"/>
    <w:rsid w:val="00903653"/>
    <w:rsid w:val="00903C87"/>
    <w:rsid w:val="00903CD7"/>
    <w:rsid w:val="0090420A"/>
    <w:rsid w:val="009047F5"/>
    <w:rsid w:val="00904CED"/>
    <w:rsid w:val="0090508C"/>
    <w:rsid w:val="00907217"/>
    <w:rsid w:val="0090776D"/>
    <w:rsid w:val="009100B5"/>
    <w:rsid w:val="00910A52"/>
    <w:rsid w:val="00911479"/>
    <w:rsid w:val="009117FB"/>
    <w:rsid w:val="0091217A"/>
    <w:rsid w:val="009129C6"/>
    <w:rsid w:val="00913B0B"/>
    <w:rsid w:val="0091484D"/>
    <w:rsid w:val="00914D67"/>
    <w:rsid w:val="00914D9E"/>
    <w:rsid w:val="00914F44"/>
    <w:rsid w:val="00915F9C"/>
    <w:rsid w:val="0091601D"/>
    <w:rsid w:val="009166EA"/>
    <w:rsid w:val="00917073"/>
    <w:rsid w:val="00917478"/>
    <w:rsid w:val="0092038D"/>
    <w:rsid w:val="009205C3"/>
    <w:rsid w:val="00921C41"/>
    <w:rsid w:val="00921E5F"/>
    <w:rsid w:val="00921E96"/>
    <w:rsid w:val="00923C81"/>
    <w:rsid w:val="00923E44"/>
    <w:rsid w:val="0092435C"/>
    <w:rsid w:val="00924412"/>
    <w:rsid w:val="009249C6"/>
    <w:rsid w:val="009251B5"/>
    <w:rsid w:val="0092575D"/>
    <w:rsid w:val="0092583A"/>
    <w:rsid w:val="00925E71"/>
    <w:rsid w:val="00925F9A"/>
    <w:rsid w:val="00927C70"/>
    <w:rsid w:val="00930745"/>
    <w:rsid w:val="0093100A"/>
    <w:rsid w:val="009310B9"/>
    <w:rsid w:val="009311DC"/>
    <w:rsid w:val="00931681"/>
    <w:rsid w:val="00931840"/>
    <w:rsid w:val="00931991"/>
    <w:rsid w:val="00932F9F"/>
    <w:rsid w:val="0093329F"/>
    <w:rsid w:val="009337C1"/>
    <w:rsid w:val="00934505"/>
    <w:rsid w:val="0093461F"/>
    <w:rsid w:val="0093482A"/>
    <w:rsid w:val="00936FEF"/>
    <w:rsid w:val="00937043"/>
    <w:rsid w:val="0093767A"/>
    <w:rsid w:val="00940C40"/>
    <w:rsid w:val="0094391C"/>
    <w:rsid w:val="00943B65"/>
    <w:rsid w:val="00943E42"/>
    <w:rsid w:val="009440D2"/>
    <w:rsid w:val="009445D3"/>
    <w:rsid w:val="00944E43"/>
    <w:rsid w:val="00945154"/>
    <w:rsid w:val="0094542A"/>
    <w:rsid w:val="00945729"/>
    <w:rsid w:val="00945A8F"/>
    <w:rsid w:val="00946083"/>
    <w:rsid w:val="00947C70"/>
    <w:rsid w:val="00947E9D"/>
    <w:rsid w:val="0095142E"/>
    <w:rsid w:val="00951926"/>
    <w:rsid w:val="00951CD7"/>
    <w:rsid w:val="00952206"/>
    <w:rsid w:val="00952550"/>
    <w:rsid w:val="009531D8"/>
    <w:rsid w:val="00953500"/>
    <w:rsid w:val="009535CC"/>
    <w:rsid w:val="00953C45"/>
    <w:rsid w:val="00954243"/>
    <w:rsid w:val="0095459A"/>
    <w:rsid w:val="00955166"/>
    <w:rsid w:val="0095599E"/>
    <w:rsid w:val="00955A8A"/>
    <w:rsid w:val="009568BA"/>
    <w:rsid w:val="00956F98"/>
    <w:rsid w:val="00956F9F"/>
    <w:rsid w:val="00957E24"/>
    <w:rsid w:val="00961E49"/>
    <w:rsid w:val="0096290F"/>
    <w:rsid w:val="00962B92"/>
    <w:rsid w:val="00963132"/>
    <w:rsid w:val="0096400D"/>
    <w:rsid w:val="00964021"/>
    <w:rsid w:val="00964078"/>
    <w:rsid w:val="00964487"/>
    <w:rsid w:val="009645BC"/>
    <w:rsid w:val="009653AC"/>
    <w:rsid w:val="00965F5F"/>
    <w:rsid w:val="009663C8"/>
    <w:rsid w:val="00966600"/>
    <w:rsid w:val="009671B2"/>
    <w:rsid w:val="009671D9"/>
    <w:rsid w:val="00967276"/>
    <w:rsid w:val="00967A5F"/>
    <w:rsid w:val="00967CD7"/>
    <w:rsid w:val="00967D1D"/>
    <w:rsid w:val="00970359"/>
    <w:rsid w:val="00970543"/>
    <w:rsid w:val="009706AA"/>
    <w:rsid w:val="009707CE"/>
    <w:rsid w:val="009710BE"/>
    <w:rsid w:val="00971352"/>
    <w:rsid w:val="0097148C"/>
    <w:rsid w:val="00971831"/>
    <w:rsid w:val="00971EBB"/>
    <w:rsid w:val="0097292D"/>
    <w:rsid w:val="00972A8B"/>
    <w:rsid w:val="0097312B"/>
    <w:rsid w:val="00974DD3"/>
    <w:rsid w:val="00975C92"/>
    <w:rsid w:val="00975E5B"/>
    <w:rsid w:val="00975F51"/>
    <w:rsid w:val="00976CD6"/>
    <w:rsid w:val="00976D48"/>
    <w:rsid w:val="00976F22"/>
    <w:rsid w:val="009779B1"/>
    <w:rsid w:val="009779F8"/>
    <w:rsid w:val="00977C8F"/>
    <w:rsid w:val="00977F94"/>
    <w:rsid w:val="00980A1F"/>
    <w:rsid w:val="00981131"/>
    <w:rsid w:val="00983326"/>
    <w:rsid w:val="009836F9"/>
    <w:rsid w:val="009863E9"/>
    <w:rsid w:val="0098757B"/>
    <w:rsid w:val="00987D41"/>
    <w:rsid w:val="00987E95"/>
    <w:rsid w:val="0099050D"/>
    <w:rsid w:val="009918FE"/>
    <w:rsid w:val="00991A04"/>
    <w:rsid w:val="00991EEC"/>
    <w:rsid w:val="00991F31"/>
    <w:rsid w:val="00992E20"/>
    <w:rsid w:val="009936FC"/>
    <w:rsid w:val="00993925"/>
    <w:rsid w:val="00993977"/>
    <w:rsid w:val="00993A00"/>
    <w:rsid w:val="009969B5"/>
    <w:rsid w:val="009A05D1"/>
    <w:rsid w:val="009A0628"/>
    <w:rsid w:val="009A09A7"/>
    <w:rsid w:val="009A1386"/>
    <w:rsid w:val="009A1FD3"/>
    <w:rsid w:val="009A28AC"/>
    <w:rsid w:val="009A2B14"/>
    <w:rsid w:val="009A3A5B"/>
    <w:rsid w:val="009A3F2A"/>
    <w:rsid w:val="009A467D"/>
    <w:rsid w:val="009A48E0"/>
    <w:rsid w:val="009A56D0"/>
    <w:rsid w:val="009A6F60"/>
    <w:rsid w:val="009A72D4"/>
    <w:rsid w:val="009A73D8"/>
    <w:rsid w:val="009B1707"/>
    <w:rsid w:val="009B1BFA"/>
    <w:rsid w:val="009B1C62"/>
    <w:rsid w:val="009B2794"/>
    <w:rsid w:val="009B2AAC"/>
    <w:rsid w:val="009B3298"/>
    <w:rsid w:val="009B3521"/>
    <w:rsid w:val="009B35C8"/>
    <w:rsid w:val="009B37CF"/>
    <w:rsid w:val="009B3D5F"/>
    <w:rsid w:val="009B4B94"/>
    <w:rsid w:val="009B4BEC"/>
    <w:rsid w:val="009B541C"/>
    <w:rsid w:val="009B554C"/>
    <w:rsid w:val="009B6291"/>
    <w:rsid w:val="009B6B8B"/>
    <w:rsid w:val="009B7404"/>
    <w:rsid w:val="009B786F"/>
    <w:rsid w:val="009C076C"/>
    <w:rsid w:val="009C14F7"/>
    <w:rsid w:val="009C3B19"/>
    <w:rsid w:val="009C413A"/>
    <w:rsid w:val="009C4460"/>
    <w:rsid w:val="009C4706"/>
    <w:rsid w:val="009C5345"/>
    <w:rsid w:val="009C5613"/>
    <w:rsid w:val="009D0462"/>
    <w:rsid w:val="009D05C1"/>
    <w:rsid w:val="009D2C16"/>
    <w:rsid w:val="009D36F1"/>
    <w:rsid w:val="009D3D6B"/>
    <w:rsid w:val="009D4F56"/>
    <w:rsid w:val="009D5239"/>
    <w:rsid w:val="009D5528"/>
    <w:rsid w:val="009D575F"/>
    <w:rsid w:val="009D59BB"/>
    <w:rsid w:val="009D641E"/>
    <w:rsid w:val="009D7192"/>
    <w:rsid w:val="009D7223"/>
    <w:rsid w:val="009D7EE8"/>
    <w:rsid w:val="009D7F6F"/>
    <w:rsid w:val="009E0E38"/>
    <w:rsid w:val="009E1A35"/>
    <w:rsid w:val="009E1DB4"/>
    <w:rsid w:val="009E2B94"/>
    <w:rsid w:val="009E2D23"/>
    <w:rsid w:val="009E33D4"/>
    <w:rsid w:val="009E3EDF"/>
    <w:rsid w:val="009E4D49"/>
    <w:rsid w:val="009E688D"/>
    <w:rsid w:val="009E6B67"/>
    <w:rsid w:val="009E6ECF"/>
    <w:rsid w:val="009E6EEF"/>
    <w:rsid w:val="009E6FD1"/>
    <w:rsid w:val="009E7199"/>
    <w:rsid w:val="009E7969"/>
    <w:rsid w:val="009E7C3A"/>
    <w:rsid w:val="009F01BE"/>
    <w:rsid w:val="009F09AA"/>
    <w:rsid w:val="009F1BAE"/>
    <w:rsid w:val="009F1C49"/>
    <w:rsid w:val="009F2C16"/>
    <w:rsid w:val="009F2C1B"/>
    <w:rsid w:val="009F2DF6"/>
    <w:rsid w:val="009F2F78"/>
    <w:rsid w:val="009F3029"/>
    <w:rsid w:val="009F335C"/>
    <w:rsid w:val="009F5039"/>
    <w:rsid w:val="009F615D"/>
    <w:rsid w:val="009F7987"/>
    <w:rsid w:val="00A002B5"/>
    <w:rsid w:val="00A0260C"/>
    <w:rsid w:val="00A041B5"/>
    <w:rsid w:val="00A042E4"/>
    <w:rsid w:val="00A04E5D"/>
    <w:rsid w:val="00A04F8C"/>
    <w:rsid w:val="00A05158"/>
    <w:rsid w:val="00A05E3D"/>
    <w:rsid w:val="00A067E8"/>
    <w:rsid w:val="00A103F3"/>
    <w:rsid w:val="00A103F7"/>
    <w:rsid w:val="00A10873"/>
    <w:rsid w:val="00A11A30"/>
    <w:rsid w:val="00A11D81"/>
    <w:rsid w:val="00A123ED"/>
    <w:rsid w:val="00A12DFB"/>
    <w:rsid w:val="00A13BF5"/>
    <w:rsid w:val="00A1428B"/>
    <w:rsid w:val="00A1474E"/>
    <w:rsid w:val="00A14837"/>
    <w:rsid w:val="00A14857"/>
    <w:rsid w:val="00A148C1"/>
    <w:rsid w:val="00A15ADD"/>
    <w:rsid w:val="00A1671F"/>
    <w:rsid w:val="00A16BA6"/>
    <w:rsid w:val="00A16F61"/>
    <w:rsid w:val="00A17E9D"/>
    <w:rsid w:val="00A20BA8"/>
    <w:rsid w:val="00A216F5"/>
    <w:rsid w:val="00A21EF7"/>
    <w:rsid w:val="00A225E3"/>
    <w:rsid w:val="00A229F8"/>
    <w:rsid w:val="00A23A26"/>
    <w:rsid w:val="00A23A7A"/>
    <w:rsid w:val="00A24A8F"/>
    <w:rsid w:val="00A25708"/>
    <w:rsid w:val="00A25BF0"/>
    <w:rsid w:val="00A25C83"/>
    <w:rsid w:val="00A262AA"/>
    <w:rsid w:val="00A26BFA"/>
    <w:rsid w:val="00A26EEA"/>
    <w:rsid w:val="00A2796B"/>
    <w:rsid w:val="00A300D6"/>
    <w:rsid w:val="00A3026E"/>
    <w:rsid w:val="00A314CE"/>
    <w:rsid w:val="00A31554"/>
    <w:rsid w:val="00A3183D"/>
    <w:rsid w:val="00A31F0B"/>
    <w:rsid w:val="00A32042"/>
    <w:rsid w:val="00A32052"/>
    <w:rsid w:val="00A321B4"/>
    <w:rsid w:val="00A331A6"/>
    <w:rsid w:val="00A336AE"/>
    <w:rsid w:val="00A33D3A"/>
    <w:rsid w:val="00A33E01"/>
    <w:rsid w:val="00A34136"/>
    <w:rsid w:val="00A368E8"/>
    <w:rsid w:val="00A371C0"/>
    <w:rsid w:val="00A3756D"/>
    <w:rsid w:val="00A376A3"/>
    <w:rsid w:val="00A403A5"/>
    <w:rsid w:val="00A40884"/>
    <w:rsid w:val="00A40AFA"/>
    <w:rsid w:val="00A40E3B"/>
    <w:rsid w:val="00A424B3"/>
    <w:rsid w:val="00A42BEA"/>
    <w:rsid w:val="00A43093"/>
    <w:rsid w:val="00A43786"/>
    <w:rsid w:val="00A43F29"/>
    <w:rsid w:val="00A43F34"/>
    <w:rsid w:val="00A452DC"/>
    <w:rsid w:val="00A4576A"/>
    <w:rsid w:val="00A45AD0"/>
    <w:rsid w:val="00A45EE9"/>
    <w:rsid w:val="00A4667A"/>
    <w:rsid w:val="00A46711"/>
    <w:rsid w:val="00A47A81"/>
    <w:rsid w:val="00A5010D"/>
    <w:rsid w:val="00A5013C"/>
    <w:rsid w:val="00A5090E"/>
    <w:rsid w:val="00A50F16"/>
    <w:rsid w:val="00A522C1"/>
    <w:rsid w:val="00A5283F"/>
    <w:rsid w:val="00A5319B"/>
    <w:rsid w:val="00A53774"/>
    <w:rsid w:val="00A53C14"/>
    <w:rsid w:val="00A541C2"/>
    <w:rsid w:val="00A54817"/>
    <w:rsid w:val="00A5526E"/>
    <w:rsid w:val="00A564C4"/>
    <w:rsid w:val="00A57689"/>
    <w:rsid w:val="00A61058"/>
    <w:rsid w:val="00A61362"/>
    <w:rsid w:val="00A61410"/>
    <w:rsid w:val="00A6198A"/>
    <w:rsid w:val="00A62AA8"/>
    <w:rsid w:val="00A63CF7"/>
    <w:rsid w:val="00A63E26"/>
    <w:rsid w:val="00A646BF"/>
    <w:rsid w:val="00A64A75"/>
    <w:rsid w:val="00A65108"/>
    <w:rsid w:val="00A65760"/>
    <w:rsid w:val="00A65D86"/>
    <w:rsid w:val="00A66140"/>
    <w:rsid w:val="00A665E6"/>
    <w:rsid w:val="00A668D0"/>
    <w:rsid w:val="00A66B1B"/>
    <w:rsid w:val="00A67FAF"/>
    <w:rsid w:val="00A705AD"/>
    <w:rsid w:val="00A7067F"/>
    <w:rsid w:val="00A70767"/>
    <w:rsid w:val="00A707A7"/>
    <w:rsid w:val="00A70D31"/>
    <w:rsid w:val="00A71790"/>
    <w:rsid w:val="00A718FD"/>
    <w:rsid w:val="00A719D9"/>
    <w:rsid w:val="00A72341"/>
    <w:rsid w:val="00A72486"/>
    <w:rsid w:val="00A728D3"/>
    <w:rsid w:val="00A73A83"/>
    <w:rsid w:val="00A73BFB"/>
    <w:rsid w:val="00A75447"/>
    <w:rsid w:val="00A77102"/>
    <w:rsid w:val="00A7712B"/>
    <w:rsid w:val="00A776ED"/>
    <w:rsid w:val="00A778AA"/>
    <w:rsid w:val="00A779C0"/>
    <w:rsid w:val="00A77EA2"/>
    <w:rsid w:val="00A80E50"/>
    <w:rsid w:val="00A81279"/>
    <w:rsid w:val="00A82123"/>
    <w:rsid w:val="00A82800"/>
    <w:rsid w:val="00A83663"/>
    <w:rsid w:val="00A83B0F"/>
    <w:rsid w:val="00A84216"/>
    <w:rsid w:val="00A844E8"/>
    <w:rsid w:val="00A859EC"/>
    <w:rsid w:val="00A87B61"/>
    <w:rsid w:val="00A90BFA"/>
    <w:rsid w:val="00A90C89"/>
    <w:rsid w:val="00A91433"/>
    <w:rsid w:val="00A9260A"/>
    <w:rsid w:val="00A92BF3"/>
    <w:rsid w:val="00A93830"/>
    <w:rsid w:val="00A9385F"/>
    <w:rsid w:val="00A93C3E"/>
    <w:rsid w:val="00A943C8"/>
    <w:rsid w:val="00A94AB3"/>
    <w:rsid w:val="00A94FFA"/>
    <w:rsid w:val="00A950A4"/>
    <w:rsid w:val="00A9520D"/>
    <w:rsid w:val="00A95D26"/>
    <w:rsid w:val="00A96012"/>
    <w:rsid w:val="00A96479"/>
    <w:rsid w:val="00A96588"/>
    <w:rsid w:val="00A96F9E"/>
    <w:rsid w:val="00A97026"/>
    <w:rsid w:val="00A9747D"/>
    <w:rsid w:val="00AA00A6"/>
    <w:rsid w:val="00AA0DD0"/>
    <w:rsid w:val="00AA0FD3"/>
    <w:rsid w:val="00AA1AB1"/>
    <w:rsid w:val="00AA24EF"/>
    <w:rsid w:val="00AA2B6B"/>
    <w:rsid w:val="00AA2D3D"/>
    <w:rsid w:val="00AA3DCD"/>
    <w:rsid w:val="00AA4966"/>
    <w:rsid w:val="00AA4D18"/>
    <w:rsid w:val="00AA5053"/>
    <w:rsid w:val="00AA5333"/>
    <w:rsid w:val="00AA5897"/>
    <w:rsid w:val="00AA5A75"/>
    <w:rsid w:val="00AA6B49"/>
    <w:rsid w:val="00AA6BA8"/>
    <w:rsid w:val="00AA757B"/>
    <w:rsid w:val="00AA7B5F"/>
    <w:rsid w:val="00AA7F5A"/>
    <w:rsid w:val="00AB0111"/>
    <w:rsid w:val="00AB09D6"/>
    <w:rsid w:val="00AB0B6B"/>
    <w:rsid w:val="00AB0F69"/>
    <w:rsid w:val="00AB2340"/>
    <w:rsid w:val="00AB280E"/>
    <w:rsid w:val="00AB31A3"/>
    <w:rsid w:val="00AB3CFC"/>
    <w:rsid w:val="00AB3EE2"/>
    <w:rsid w:val="00AB4F95"/>
    <w:rsid w:val="00AB5D36"/>
    <w:rsid w:val="00AB5E23"/>
    <w:rsid w:val="00AB5F1C"/>
    <w:rsid w:val="00AB5FE4"/>
    <w:rsid w:val="00AB659D"/>
    <w:rsid w:val="00AB6BA2"/>
    <w:rsid w:val="00AB6DBE"/>
    <w:rsid w:val="00AB738A"/>
    <w:rsid w:val="00AC026E"/>
    <w:rsid w:val="00AC0AFF"/>
    <w:rsid w:val="00AC140E"/>
    <w:rsid w:val="00AC1567"/>
    <w:rsid w:val="00AC19AD"/>
    <w:rsid w:val="00AC229F"/>
    <w:rsid w:val="00AC252A"/>
    <w:rsid w:val="00AC32AB"/>
    <w:rsid w:val="00AC3FC0"/>
    <w:rsid w:val="00AC43CC"/>
    <w:rsid w:val="00AC4B85"/>
    <w:rsid w:val="00AC53A9"/>
    <w:rsid w:val="00AC5417"/>
    <w:rsid w:val="00AC6D51"/>
    <w:rsid w:val="00AC7A58"/>
    <w:rsid w:val="00AC7E86"/>
    <w:rsid w:val="00AD0FB6"/>
    <w:rsid w:val="00AD2569"/>
    <w:rsid w:val="00AD3627"/>
    <w:rsid w:val="00AD3774"/>
    <w:rsid w:val="00AD4C32"/>
    <w:rsid w:val="00AD4E7C"/>
    <w:rsid w:val="00AD592D"/>
    <w:rsid w:val="00AD718F"/>
    <w:rsid w:val="00AD7671"/>
    <w:rsid w:val="00AD7D1E"/>
    <w:rsid w:val="00AE14A2"/>
    <w:rsid w:val="00AE1F28"/>
    <w:rsid w:val="00AE1F75"/>
    <w:rsid w:val="00AE232C"/>
    <w:rsid w:val="00AE23C9"/>
    <w:rsid w:val="00AE2A21"/>
    <w:rsid w:val="00AE365B"/>
    <w:rsid w:val="00AE4119"/>
    <w:rsid w:val="00AE53E8"/>
    <w:rsid w:val="00AE5CF6"/>
    <w:rsid w:val="00AE5E09"/>
    <w:rsid w:val="00AE6FE4"/>
    <w:rsid w:val="00AE7941"/>
    <w:rsid w:val="00AF13A6"/>
    <w:rsid w:val="00AF13F9"/>
    <w:rsid w:val="00AF1D2D"/>
    <w:rsid w:val="00AF1D5C"/>
    <w:rsid w:val="00AF2059"/>
    <w:rsid w:val="00AF2186"/>
    <w:rsid w:val="00AF342D"/>
    <w:rsid w:val="00AF3D84"/>
    <w:rsid w:val="00AF4161"/>
    <w:rsid w:val="00AF45BD"/>
    <w:rsid w:val="00AF464F"/>
    <w:rsid w:val="00AF5044"/>
    <w:rsid w:val="00AF580B"/>
    <w:rsid w:val="00AF67F9"/>
    <w:rsid w:val="00AF6EB0"/>
    <w:rsid w:val="00AF6F6A"/>
    <w:rsid w:val="00AF70B9"/>
    <w:rsid w:val="00AF7ACC"/>
    <w:rsid w:val="00B007C8"/>
    <w:rsid w:val="00B00A4D"/>
    <w:rsid w:val="00B00AAF"/>
    <w:rsid w:val="00B01442"/>
    <w:rsid w:val="00B02B4D"/>
    <w:rsid w:val="00B02E2D"/>
    <w:rsid w:val="00B03533"/>
    <w:rsid w:val="00B047B2"/>
    <w:rsid w:val="00B04C3B"/>
    <w:rsid w:val="00B057A6"/>
    <w:rsid w:val="00B0610A"/>
    <w:rsid w:val="00B1036E"/>
    <w:rsid w:val="00B108BF"/>
    <w:rsid w:val="00B10A8F"/>
    <w:rsid w:val="00B10B6D"/>
    <w:rsid w:val="00B11042"/>
    <w:rsid w:val="00B11834"/>
    <w:rsid w:val="00B1224D"/>
    <w:rsid w:val="00B126AC"/>
    <w:rsid w:val="00B136E9"/>
    <w:rsid w:val="00B14410"/>
    <w:rsid w:val="00B14778"/>
    <w:rsid w:val="00B14C1B"/>
    <w:rsid w:val="00B15E61"/>
    <w:rsid w:val="00B1628B"/>
    <w:rsid w:val="00B16478"/>
    <w:rsid w:val="00B169E9"/>
    <w:rsid w:val="00B16A66"/>
    <w:rsid w:val="00B16ACC"/>
    <w:rsid w:val="00B205C2"/>
    <w:rsid w:val="00B22EF8"/>
    <w:rsid w:val="00B24245"/>
    <w:rsid w:val="00B2484B"/>
    <w:rsid w:val="00B24954"/>
    <w:rsid w:val="00B24F15"/>
    <w:rsid w:val="00B24F35"/>
    <w:rsid w:val="00B25C01"/>
    <w:rsid w:val="00B26207"/>
    <w:rsid w:val="00B270E4"/>
    <w:rsid w:val="00B27CED"/>
    <w:rsid w:val="00B27D46"/>
    <w:rsid w:val="00B27F20"/>
    <w:rsid w:val="00B3024D"/>
    <w:rsid w:val="00B30CAE"/>
    <w:rsid w:val="00B31BA6"/>
    <w:rsid w:val="00B321F6"/>
    <w:rsid w:val="00B32219"/>
    <w:rsid w:val="00B32C88"/>
    <w:rsid w:val="00B32EE1"/>
    <w:rsid w:val="00B33080"/>
    <w:rsid w:val="00B34747"/>
    <w:rsid w:val="00B347DB"/>
    <w:rsid w:val="00B35996"/>
    <w:rsid w:val="00B35D07"/>
    <w:rsid w:val="00B36369"/>
    <w:rsid w:val="00B36F77"/>
    <w:rsid w:val="00B3714B"/>
    <w:rsid w:val="00B37D93"/>
    <w:rsid w:val="00B37FAD"/>
    <w:rsid w:val="00B409AE"/>
    <w:rsid w:val="00B42246"/>
    <w:rsid w:val="00B42AB7"/>
    <w:rsid w:val="00B42CBA"/>
    <w:rsid w:val="00B42E49"/>
    <w:rsid w:val="00B438D2"/>
    <w:rsid w:val="00B444D7"/>
    <w:rsid w:val="00B44D0B"/>
    <w:rsid w:val="00B45BB6"/>
    <w:rsid w:val="00B471A5"/>
    <w:rsid w:val="00B50903"/>
    <w:rsid w:val="00B5099F"/>
    <w:rsid w:val="00B50A30"/>
    <w:rsid w:val="00B50C75"/>
    <w:rsid w:val="00B51241"/>
    <w:rsid w:val="00B51AF0"/>
    <w:rsid w:val="00B51C71"/>
    <w:rsid w:val="00B522C8"/>
    <w:rsid w:val="00B52998"/>
    <w:rsid w:val="00B53666"/>
    <w:rsid w:val="00B55B0E"/>
    <w:rsid w:val="00B574B6"/>
    <w:rsid w:val="00B60104"/>
    <w:rsid w:val="00B61D9F"/>
    <w:rsid w:val="00B62F8C"/>
    <w:rsid w:val="00B62FFE"/>
    <w:rsid w:val="00B642AB"/>
    <w:rsid w:val="00B65013"/>
    <w:rsid w:val="00B650FE"/>
    <w:rsid w:val="00B6525C"/>
    <w:rsid w:val="00B65643"/>
    <w:rsid w:val="00B671D3"/>
    <w:rsid w:val="00B7012C"/>
    <w:rsid w:val="00B708B9"/>
    <w:rsid w:val="00B709A6"/>
    <w:rsid w:val="00B7123A"/>
    <w:rsid w:val="00B71346"/>
    <w:rsid w:val="00B71EDD"/>
    <w:rsid w:val="00B71EFD"/>
    <w:rsid w:val="00B72540"/>
    <w:rsid w:val="00B72AC4"/>
    <w:rsid w:val="00B72B94"/>
    <w:rsid w:val="00B7435C"/>
    <w:rsid w:val="00B74477"/>
    <w:rsid w:val="00B748C1"/>
    <w:rsid w:val="00B75493"/>
    <w:rsid w:val="00B75EA2"/>
    <w:rsid w:val="00B76F38"/>
    <w:rsid w:val="00B803EA"/>
    <w:rsid w:val="00B8085D"/>
    <w:rsid w:val="00B80B24"/>
    <w:rsid w:val="00B80DF8"/>
    <w:rsid w:val="00B81EFF"/>
    <w:rsid w:val="00B825BF"/>
    <w:rsid w:val="00B82623"/>
    <w:rsid w:val="00B83198"/>
    <w:rsid w:val="00B831BA"/>
    <w:rsid w:val="00B836BB"/>
    <w:rsid w:val="00B83BDB"/>
    <w:rsid w:val="00B83C2D"/>
    <w:rsid w:val="00B83F8C"/>
    <w:rsid w:val="00B84122"/>
    <w:rsid w:val="00B85E73"/>
    <w:rsid w:val="00B862B0"/>
    <w:rsid w:val="00B86379"/>
    <w:rsid w:val="00B864FB"/>
    <w:rsid w:val="00B86939"/>
    <w:rsid w:val="00B87198"/>
    <w:rsid w:val="00B87784"/>
    <w:rsid w:val="00B90EBD"/>
    <w:rsid w:val="00B9220C"/>
    <w:rsid w:val="00B92F80"/>
    <w:rsid w:val="00B932C1"/>
    <w:rsid w:val="00B93314"/>
    <w:rsid w:val="00B93D79"/>
    <w:rsid w:val="00B93EF6"/>
    <w:rsid w:val="00B96105"/>
    <w:rsid w:val="00B96187"/>
    <w:rsid w:val="00B97B23"/>
    <w:rsid w:val="00B97F71"/>
    <w:rsid w:val="00BA09C2"/>
    <w:rsid w:val="00BA10BA"/>
    <w:rsid w:val="00BA1908"/>
    <w:rsid w:val="00BA2946"/>
    <w:rsid w:val="00BA2B7C"/>
    <w:rsid w:val="00BA3DFA"/>
    <w:rsid w:val="00BA44B0"/>
    <w:rsid w:val="00BA4775"/>
    <w:rsid w:val="00BA5600"/>
    <w:rsid w:val="00BA5CFF"/>
    <w:rsid w:val="00BA6968"/>
    <w:rsid w:val="00BA7867"/>
    <w:rsid w:val="00BA7D36"/>
    <w:rsid w:val="00BB07B4"/>
    <w:rsid w:val="00BB127D"/>
    <w:rsid w:val="00BB142A"/>
    <w:rsid w:val="00BB2334"/>
    <w:rsid w:val="00BB29A4"/>
    <w:rsid w:val="00BB2A78"/>
    <w:rsid w:val="00BB2E12"/>
    <w:rsid w:val="00BB2E23"/>
    <w:rsid w:val="00BB30CF"/>
    <w:rsid w:val="00BB34B9"/>
    <w:rsid w:val="00BB35C2"/>
    <w:rsid w:val="00BB3989"/>
    <w:rsid w:val="00BB42AB"/>
    <w:rsid w:val="00BB476E"/>
    <w:rsid w:val="00BB4841"/>
    <w:rsid w:val="00BB553B"/>
    <w:rsid w:val="00BB5606"/>
    <w:rsid w:val="00BB5607"/>
    <w:rsid w:val="00BB57AC"/>
    <w:rsid w:val="00BB5CDF"/>
    <w:rsid w:val="00BB5D9C"/>
    <w:rsid w:val="00BB7180"/>
    <w:rsid w:val="00BB71AB"/>
    <w:rsid w:val="00BB7FD6"/>
    <w:rsid w:val="00BC0913"/>
    <w:rsid w:val="00BC0B83"/>
    <w:rsid w:val="00BC0C0C"/>
    <w:rsid w:val="00BC12B7"/>
    <w:rsid w:val="00BC20EB"/>
    <w:rsid w:val="00BC28D7"/>
    <w:rsid w:val="00BC376C"/>
    <w:rsid w:val="00BC3849"/>
    <w:rsid w:val="00BC3DF0"/>
    <w:rsid w:val="00BC4EA5"/>
    <w:rsid w:val="00BC55C3"/>
    <w:rsid w:val="00BC5711"/>
    <w:rsid w:val="00BC5EBC"/>
    <w:rsid w:val="00BC6321"/>
    <w:rsid w:val="00BC7817"/>
    <w:rsid w:val="00BD0D79"/>
    <w:rsid w:val="00BD13EA"/>
    <w:rsid w:val="00BD2676"/>
    <w:rsid w:val="00BD371B"/>
    <w:rsid w:val="00BD3819"/>
    <w:rsid w:val="00BD3D6B"/>
    <w:rsid w:val="00BD3D93"/>
    <w:rsid w:val="00BD45EB"/>
    <w:rsid w:val="00BD486F"/>
    <w:rsid w:val="00BD4E9F"/>
    <w:rsid w:val="00BD5272"/>
    <w:rsid w:val="00BD5766"/>
    <w:rsid w:val="00BD62C5"/>
    <w:rsid w:val="00BD642D"/>
    <w:rsid w:val="00BD6988"/>
    <w:rsid w:val="00BD725D"/>
    <w:rsid w:val="00BD7474"/>
    <w:rsid w:val="00BE0190"/>
    <w:rsid w:val="00BE08DC"/>
    <w:rsid w:val="00BE0C60"/>
    <w:rsid w:val="00BE1484"/>
    <w:rsid w:val="00BE19F0"/>
    <w:rsid w:val="00BE1A77"/>
    <w:rsid w:val="00BE2911"/>
    <w:rsid w:val="00BE2C0B"/>
    <w:rsid w:val="00BE2DD1"/>
    <w:rsid w:val="00BE39E2"/>
    <w:rsid w:val="00BE4742"/>
    <w:rsid w:val="00BE66DA"/>
    <w:rsid w:val="00BE6772"/>
    <w:rsid w:val="00BE6F61"/>
    <w:rsid w:val="00BE7383"/>
    <w:rsid w:val="00BE754D"/>
    <w:rsid w:val="00BE7574"/>
    <w:rsid w:val="00BE76A9"/>
    <w:rsid w:val="00BE78D6"/>
    <w:rsid w:val="00BF0945"/>
    <w:rsid w:val="00BF124B"/>
    <w:rsid w:val="00BF1DB9"/>
    <w:rsid w:val="00BF2273"/>
    <w:rsid w:val="00BF3207"/>
    <w:rsid w:val="00BF555B"/>
    <w:rsid w:val="00BF5ABB"/>
    <w:rsid w:val="00BF6D10"/>
    <w:rsid w:val="00BF6E79"/>
    <w:rsid w:val="00BF742C"/>
    <w:rsid w:val="00BF751B"/>
    <w:rsid w:val="00BF7592"/>
    <w:rsid w:val="00C00113"/>
    <w:rsid w:val="00C002BB"/>
    <w:rsid w:val="00C002FE"/>
    <w:rsid w:val="00C0174D"/>
    <w:rsid w:val="00C019E1"/>
    <w:rsid w:val="00C0222F"/>
    <w:rsid w:val="00C022C3"/>
    <w:rsid w:val="00C02592"/>
    <w:rsid w:val="00C02F5E"/>
    <w:rsid w:val="00C03C4F"/>
    <w:rsid w:val="00C03F6C"/>
    <w:rsid w:val="00C05472"/>
    <w:rsid w:val="00C06275"/>
    <w:rsid w:val="00C0737F"/>
    <w:rsid w:val="00C074E6"/>
    <w:rsid w:val="00C07564"/>
    <w:rsid w:val="00C105B5"/>
    <w:rsid w:val="00C1091D"/>
    <w:rsid w:val="00C10BDA"/>
    <w:rsid w:val="00C12108"/>
    <w:rsid w:val="00C121D9"/>
    <w:rsid w:val="00C12AFC"/>
    <w:rsid w:val="00C12E14"/>
    <w:rsid w:val="00C12E70"/>
    <w:rsid w:val="00C13453"/>
    <w:rsid w:val="00C13CBB"/>
    <w:rsid w:val="00C13F24"/>
    <w:rsid w:val="00C1468F"/>
    <w:rsid w:val="00C154C0"/>
    <w:rsid w:val="00C159DF"/>
    <w:rsid w:val="00C15BDB"/>
    <w:rsid w:val="00C15C0D"/>
    <w:rsid w:val="00C161F0"/>
    <w:rsid w:val="00C16225"/>
    <w:rsid w:val="00C173CD"/>
    <w:rsid w:val="00C20F03"/>
    <w:rsid w:val="00C21DB7"/>
    <w:rsid w:val="00C220F9"/>
    <w:rsid w:val="00C2223B"/>
    <w:rsid w:val="00C22597"/>
    <w:rsid w:val="00C22B74"/>
    <w:rsid w:val="00C237E7"/>
    <w:rsid w:val="00C23A05"/>
    <w:rsid w:val="00C2428E"/>
    <w:rsid w:val="00C2541C"/>
    <w:rsid w:val="00C25D63"/>
    <w:rsid w:val="00C261B6"/>
    <w:rsid w:val="00C26862"/>
    <w:rsid w:val="00C271EB"/>
    <w:rsid w:val="00C2787E"/>
    <w:rsid w:val="00C27BF9"/>
    <w:rsid w:val="00C30458"/>
    <w:rsid w:val="00C309D0"/>
    <w:rsid w:val="00C31DA6"/>
    <w:rsid w:val="00C325E6"/>
    <w:rsid w:val="00C3285F"/>
    <w:rsid w:val="00C32AE9"/>
    <w:rsid w:val="00C3306F"/>
    <w:rsid w:val="00C33260"/>
    <w:rsid w:val="00C33612"/>
    <w:rsid w:val="00C3546B"/>
    <w:rsid w:val="00C37964"/>
    <w:rsid w:val="00C40385"/>
    <w:rsid w:val="00C40D0B"/>
    <w:rsid w:val="00C410A7"/>
    <w:rsid w:val="00C414B6"/>
    <w:rsid w:val="00C41750"/>
    <w:rsid w:val="00C43DB0"/>
    <w:rsid w:val="00C43EAF"/>
    <w:rsid w:val="00C44416"/>
    <w:rsid w:val="00C44543"/>
    <w:rsid w:val="00C446C5"/>
    <w:rsid w:val="00C4598F"/>
    <w:rsid w:val="00C459C4"/>
    <w:rsid w:val="00C46549"/>
    <w:rsid w:val="00C46A92"/>
    <w:rsid w:val="00C50360"/>
    <w:rsid w:val="00C51070"/>
    <w:rsid w:val="00C52403"/>
    <w:rsid w:val="00C528B2"/>
    <w:rsid w:val="00C52A1A"/>
    <w:rsid w:val="00C533D9"/>
    <w:rsid w:val="00C54E12"/>
    <w:rsid w:val="00C552ED"/>
    <w:rsid w:val="00C553F6"/>
    <w:rsid w:val="00C55468"/>
    <w:rsid w:val="00C55A6D"/>
    <w:rsid w:val="00C573B2"/>
    <w:rsid w:val="00C60394"/>
    <w:rsid w:val="00C60532"/>
    <w:rsid w:val="00C60C53"/>
    <w:rsid w:val="00C60E5E"/>
    <w:rsid w:val="00C613C5"/>
    <w:rsid w:val="00C618F4"/>
    <w:rsid w:val="00C622C3"/>
    <w:rsid w:val="00C624FB"/>
    <w:rsid w:val="00C62A99"/>
    <w:rsid w:val="00C6370F"/>
    <w:rsid w:val="00C63BD5"/>
    <w:rsid w:val="00C6586C"/>
    <w:rsid w:val="00C65986"/>
    <w:rsid w:val="00C66EAB"/>
    <w:rsid w:val="00C6776F"/>
    <w:rsid w:val="00C67AF3"/>
    <w:rsid w:val="00C70101"/>
    <w:rsid w:val="00C707D6"/>
    <w:rsid w:val="00C708ED"/>
    <w:rsid w:val="00C70BFF"/>
    <w:rsid w:val="00C70C21"/>
    <w:rsid w:val="00C74906"/>
    <w:rsid w:val="00C74B06"/>
    <w:rsid w:val="00C75B20"/>
    <w:rsid w:val="00C75B9A"/>
    <w:rsid w:val="00C7771E"/>
    <w:rsid w:val="00C81042"/>
    <w:rsid w:val="00C814C9"/>
    <w:rsid w:val="00C81B40"/>
    <w:rsid w:val="00C81D95"/>
    <w:rsid w:val="00C81EA9"/>
    <w:rsid w:val="00C81FEA"/>
    <w:rsid w:val="00C82637"/>
    <w:rsid w:val="00C82E05"/>
    <w:rsid w:val="00C83969"/>
    <w:rsid w:val="00C84E20"/>
    <w:rsid w:val="00C85234"/>
    <w:rsid w:val="00C85F9C"/>
    <w:rsid w:val="00C86154"/>
    <w:rsid w:val="00C866E5"/>
    <w:rsid w:val="00C86C7D"/>
    <w:rsid w:val="00C86C95"/>
    <w:rsid w:val="00C8791D"/>
    <w:rsid w:val="00C90C09"/>
    <w:rsid w:val="00C910EF"/>
    <w:rsid w:val="00C9253E"/>
    <w:rsid w:val="00C9287B"/>
    <w:rsid w:val="00C937D2"/>
    <w:rsid w:val="00C93915"/>
    <w:rsid w:val="00C949BF"/>
    <w:rsid w:val="00C9624F"/>
    <w:rsid w:val="00C96628"/>
    <w:rsid w:val="00C9665D"/>
    <w:rsid w:val="00C96BD5"/>
    <w:rsid w:val="00C97209"/>
    <w:rsid w:val="00CA05EB"/>
    <w:rsid w:val="00CA0C88"/>
    <w:rsid w:val="00CA3515"/>
    <w:rsid w:val="00CA3535"/>
    <w:rsid w:val="00CA3755"/>
    <w:rsid w:val="00CA3770"/>
    <w:rsid w:val="00CA3A05"/>
    <w:rsid w:val="00CA3CBF"/>
    <w:rsid w:val="00CA4C2F"/>
    <w:rsid w:val="00CA5894"/>
    <w:rsid w:val="00CA62BE"/>
    <w:rsid w:val="00CA746B"/>
    <w:rsid w:val="00CA75D4"/>
    <w:rsid w:val="00CA76D9"/>
    <w:rsid w:val="00CA7D61"/>
    <w:rsid w:val="00CB04E2"/>
    <w:rsid w:val="00CB05A0"/>
    <w:rsid w:val="00CB08B2"/>
    <w:rsid w:val="00CB11BF"/>
    <w:rsid w:val="00CB14E9"/>
    <w:rsid w:val="00CB1B6A"/>
    <w:rsid w:val="00CB1D83"/>
    <w:rsid w:val="00CB2947"/>
    <w:rsid w:val="00CB29C2"/>
    <w:rsid w:val="00CB4D02"/>
    <w:rsid w:val="00CB4F70"/>
    <w:rsid w:val="00CB573A"/>
    <w:rsid w:val="00CB60D4"/>
    <w:rsid w:val="00CB63DA"/>
    <w:rsid w:val="00CB6D90"/>
    <w:rsid w:val="00CB70CD"/>
    <w:rsid w:val="00CB71CB"/>
    <w:rsid w:val="00CB72C3"/>
    <w:rsid w:val="00CB78B7"/>
    <w:rsid w:val="00CC05C8"/>
    <w:rsid w:val="00CC0D27"/>
    <w:rsid w:val="00CC11BE"/>
    <w:rsid w:val="00CC125C"/>
    <w:rsid w:val="00CC3243"/>
    <w:rsid w:val="00CC45E4"/>
    <w:rsid w:val="00CC46E0"/>
    <w:rsid w:val="00CC53C3"/>
    <w:rsid w:val="00CC574E"/>
    <w:rsid w:val="00CC60B7"/>
    <w:rsid w:val="00CC6345"/>
    <w:rsid w:val="00CC67EF"/>
    <w:rsid w:val="00CC6940"/>
    <w:rsid w:val="00CC722A"/>
    <w:rsid w:val="00CC726E"/>
    <w:rsid w:val="00CC77F2"/>
    <w:rsid w:val="00CC78A9"/>
    <w:rsid w:val="00CC7A56"/>
    <w:rsid w:val="00CC7D06"/>
    <w:rsid w:val="00CD019F"/>
    <w:rsid w:val="00CD0829"/>
    <w:rsid w:val="00CD11A5"/>
    <w:rsid w:val="00CD27C5"/>
    <w:rsid w:val="00CD293A"/>
    <w:rsid w:val="00CD3834"/>
    <w:rsid w:val="00CD39F7"/>
    <w:rsid w:val="00CD48E6"/>
    <w:rsid w:val="00CD4F1C"/>
    <w:rsid w:val="00CD4F79"/>
    <w:rsid w:val="00CD525A"/>
    <w:rsid w:val="00CD59B3"/>
    <w:rsid w:val="00CD5AE5"/>
    <w:rsid w:val="00CD6577"/>
    <w:rsid w:val="00CD663A"/>
    <w:rsid w:val="00CD78D2"/>
    <w:rsid w:val="00CD7C03"/>
    <w:rsid w:val="00CE0766"/>
    <w:rsid w:val="00CE0CD3"/>
    <w:rsid w:val="00CE14C6"/>
    <w:rsid w:val="00CE18F3"/>
    <w:rsid w:val="00CE1AF5"/>
    <w:rsid w:val="00CE1F1E"/>
    <w:rsid w:val="00CE28BE"/>
    <w:rsid w:val="00CE313E"/>
    <w:rsid w:val="00CE350B"/>
    <w:rsid w:val="00CE4169"/>
    <w:rsid w:val="00CE427F"/>
    <w:rsid w:val="00CE5256"/>
    <w:rsid w:val="00CE57A2"/>
    <w:rsid w:val="00CE5D21"/>
    <w:rsid w:val="00CE5D72"/>
    <w:rsid w:val="00CE5DC3"/>
    <w:rsid w:val="00CE6334"/>
    <w:rsid w:val="00CE6B40"/>
    <w:rsid w:val="00CE6EBD"/>
    <w:rsid w:val="00CE7894"/>
    <w:rsid w:val="00CF001D"/>
    <w:rsid w:val="00CF06A1"/>
    <w:rsid w:val="00CF1467"/>
    <w:rsid w:val="00CF24F7"/>
    <w:rsid w:val="00CF2645"/>
    <w:rsid w:val="00CF3412"/>
    <w:rsid w:val="00CF34EE"/>
    <w:rsid w:val="00CF3532"/>
    <w:rsid w:val="00CF47E6"/>
    <w:rsid w:val="00CF48D6"/>
    <w:rsid w:val="00CF57C9"/>
    <w:rsid w:val="00CF57D6"/>
    <w:rsid w:val="00CF5C3F"/>
    <w:rsid w:val="00CF6C1B"/>
    <w:rsid w:val="00CF75AB"/>
    <w:rsid w:val="00D019D5"/>
    <w:rsid w:val="00D02224"/>
    <w:rsid w:val="00D02FEC"/>
    <w:rsid w:val="00D03D62"/>
    <w:rsid w:val="00D040FE"/>
    <w:rsid w:val="00D0412E"/>
    <w:rsid w:val="00D047DE"/>
    <w:rsid w:val="00D04962"/>
    <w:rsid w:val="00D04ED4"/>
    <w:rsid w:val="00D05B28"/>
    <w:rsid w:val="00D05FA0"/>
    <w:rsid w:val="00D06377"/>
    <w:rsid w:val="00D068CB"/>
    <w:rsid w:val="00D0728A"/>
    <w:rsid w:val="00D07E57"/>
    <w:rsid w:val="00D1029C"/>
    <w:rsid w:val="00D1115E"/>
    <w:rsid w:val="00D114A0"/>
    <w:rsid w:val="00D118D5"/>
    <w:rsid w:val="00D12DF6"/>
    <w:rsid w:val="00D13999"/>
    <w:rsid w:val="00D139F5"/>
    <w:rsid w:val="00D13A70"/>
    <w:rsid w:val="00D14E89"/>
    <w:rsid w:val="00D159BF"/>
    <w:rsid w:val="00D162E2"/>
    <w:rsid w:val="00D1668F"/>
    <w:rsid w:val="00D167D0"/>
    <w:rsid w:val="00D168BF"/>
    <w:rsid w:val="00D168FD"/>
    <w:rsid w:val="00D16F64"/>
    <w:rsid w:val="00D17052"/>
    <w:rsid w:val="00D174BE"/>
    <w:rsid w:val="00D20268"/>
    <w:rsid w:val="00D207F2"/>
    <w:rsid w:val="00D212EB"/>
    <w:rsid w:val="00D22F05"/>
    <w:rsid w:val="00D230A7"/>
    <w:rsid w:val="00D233DE"/>
    <w:rsid w:val="00D23D4C"/>
    <w:rsid w:val="00D23F8E"/>
    <w:rsid w:val="00D2472C"/>
    <w:rsid w:val="00D25590"/>
    <w:rsid w:val="00D2685A"/>
    <w:rsid w:val="00D279BA"/>
    <w:rsid w:val="00D27EEC"/>
    <w:rsid w:val="00D30D7A"/>
    <w:rsid w:val="00D310EC"/>
    <w:rsid w:val="00D31835"/>
    <w:rsid w:val="00D31ACE"/>
    <w:rsid w:val="00D31E91"/>
    <w:rsid w:val="00D320D0"/>
    <w:rsid w:val="00D3217D"/>
    <w:rsid w:val="00D325E1"/>
    <w:rsid w:val="00D32BD3"/>
    <w:rsid w:val="00D33BB0"/>
    <w:rsid w:val="00D34303"/>
    <w:rsid w:val="00D34413"/>
    <w:rsid w:val="00D3779A"/>
    <w:rsid w:val="00D37997"/>
    <w:rsid w:val="00D40026"/>
    <w:rsid w:val="00D402C4"/>
    <w:rsid w:val="00D404B5"/>
    <w:rsid w:val="00D422C4"/>
    <w:rsid w:val="00D42C56"/>
    <w:rsid w:val="00D43F74"/>
    <w:rsid w:val="00D43FDC"/>
    <w:rsid w:val="00D447CB"/>
    <w:rsid w:val="00D449BA"/>
    <w:rsid w:val="00D4545C"/>
    <w:rsid w:val="00D4636F"/>
    <w:rsid w:val="00D475F4"/>
    <w:rsid w:val="00D479A0"/>
    <w:rsid w:val="00D47D16"/>
    <w:rsid w:val="00D502F0"/>
    <w:rsid w:val="00D5039B"/>
    <w:rsid w:val="00D505F4"/>
    <w:rsid w:val="00D50FF7"/>
    <w:rsid w:val="00D511C9"/>
    <w:rsid w:val="00D518B9"/>
    <w:rsid w:val="00D51CE1"/>
    <w:rsid w:val="00D546B7"/>
    <w:rsid w:val="00D5470D"/>
    <w:rsid w:val="00D55250"/>
    <w:rsid w:val="00D55369"/>
    <w:rsid w:val="00D55D76"/>
    <w:rsid w:val="00D562F2"/>
    <w:rsid w:val="00D56F5A"/>
    <w:rsid w:val="00D56FE3"/>
    <w:rsid w:val="00D57120"/>
    <w:rsid w:val="00D576A0"/>
    <w:rsid w:val="00D57D9E"/>
    <w:rsid w:val="00D60A2A"/>
    <w:rsid w:val="00D60CAA"/>
    <w:rsid w:val="00D61858"/>
    <w:rsid w:val="00D61B59"/>
    <w:rsid w:val="00D61B8D"/>
    <w:rsid w:val="00D61B93"/>
    <w:rsid w:val="00D62D31"/>
    <w:rsid w:val="00D64721"/>
    <w:rsid w:val="00D65D87"/>
    <w:rsid w:val="00D66A15"/>
    <w:rsid w:val="00D67B9E"/>
    <w:rsid w:val="00D67E4A"/>
    <w:rsid w:val="00D702A6"/>
    <w:rsid w:val="00D71D0B"/>
    <w:rsid w:val="00D732AA"/>
    <w:rsid w:val="00D73C01"/>
    <w:rsid w:val="00D74181"/>
    <w:rsid w:val="00D74357"/>
    <w:rsid w:val="00D759AC"/>
    <w:rsid w:val="00D75A2B"/>
    <w:rsid w:val="00D763FD"/>
    <w:rsid w:val="00D7670F"/>
    <w:rsid w:val="00D76DB6"/>
    <w:rsid w:val="00D76F89"/>
    <w:rsid w:val="00D80C31"/>
    <w:rsid w:val="00D80DD2"/>
    <w:rsid w:val="00D81A7A"/>
    <w:rsid w:val="00D83672"/>
    <w:rsid w:val="00D8383C"/>
    <w:rsid w:val="00D84461"/>
    <w:rsid w:val="00D84738"/>
    <w:rsid w:val="00D84E00"/>
    <w:rsid w:val="00D862FF"/>
    <w:rsid w:val="00D8670D"/>
    <w:rsid w:val="00D86888"/>
    <w:rsid w:val="00D86FEE"/>
    <w:rsid w:val="00D87B36"/>
    <w:rsid w:val="00D9045F"/>
    <w:rsid w:val="00D90AD1"/>
    <w:rsid w:val="00D912C0"/>
    <w:rsid w:val="00D91365"/>
    <w:rsid w:val="00D91E92"/>
    <w:rsid w:val="00D91FD9"/>
    <w:rsid w:val="00D92622"/>
    <w:rsid w:val="00D92896"/>
    <w:rsid w:val="00D93792"/>
    <w:rsid w:val="00D941F7"/>
    <w:rsid w:val="00D942B8"/>
    <w:rsid w:val="00D9512D"/>
    <w:rsid w:val="00D9583E"/>
    <w:rsid w:val="00D96D3D"/>
    <w:rsid w:val="00D9702F"/>
    <w:rsid w:val="00D9769A"/>
    <w:rsid w:val="00DA047F"/>
    <w:rsid w:val="00DA069D"/>
    <w:rsid w:val="00DA07A5"/>
    <w:rsid w:val="00DA0E88"/>
    <w:rsid w:val="00DA13CF"/>
    <w:rsid w:val="00DA1565"/>
    <w:rsid w:val="00DA1E08"/>
    <w:rsid w:val="00DA20AB"/>
    <w:rsid w:val="00DA2210"/>
    <w:rsid w:val="00DA23E0"/>
    <w:rsid w:val="00DA2510"/>
    <w:rsid w:val="00DA2D5D"/>
    <w:rsid w:val="00DA45B8"/>
    <w:rsid w:val="00DA4DDF"/>
    <w:rsid w:val="00DA6081"/>
    <w:rsid w:val="00DB0804"/>
    <w:rsid w:val="00DB0891"/>
    <w:rsid w:val="00DB18D6"/>
    <w:rsid w:val="00DB1B11"/>
    <w:rsid w:val="00DB1C2E"/>
    <w:rsid w:val="00DB2041"/>
    <w:rsid w:val="00DB23D6"/>
    <w:rsid w:val="00DB2FC4"/>
    <w:rsid w:val="00DB3A88"/>
    <w:rsid w:val="00DB3BD4"/>
    <w:rsid w:val="00DB4020"/>
    <w:rsid w:val="00DB48E2"/>
    <w:rsid w:val="00DB5026"/>
    <w:rsid w:val="00DB52BF"/>
    <w:rsid w:val="00DB5BED"/>
    <w:rsid w:val="00DB6F39"/>
    <w:rsid w:val="00DB7F5A"/>
    <w:rsid w:val="00DC1C0B"/>
    <w:rsid w:val="00DC1D98"/>
    <w:rsid w:val="00DC2AAC"/>
    <w:rsid w:val="00DC2C35"/>
    <w:rsid w:val="00DC366B"/>
    <w:rsid w:val="00DC382A"/>
    <w:rsid w:val="00DC4955"/>
    <w:rsid w:val="00DC4FF3"/>
    <w:rsid w:val="00DC54F0"/>
    <w:rsid w:val="00DC64D5"/>
    <w:rsid w:val="00DD0512"/>
    <w:rsid w:val="00DD2C87"/>
    <w:rsid w:val="00DD2F2E"/>
    <w:rsid w:val="00DD2F99"/>
    <w:rsid w:val="00DD37F2"/>
    <w:rsid w:val="00DD54E7"/>
    <w:rsid w:val="00DD5947"/>
    <w:rsid w:val="00DD6CE5"/>
    <w:rsid w:val="00DE0018"/>
    <w:rsid w:val="00DE09ED"/>
    <w:rsid w:val="00DE0ABB"/>
    <w:rsid w:val="00DE0DF8"/>
    <w:rsid w:val="00DE1012"/>
    <w:rsid w:val="00DE1828"/>
    <w:rsid w:val="00DE1923"/>
    <w:rsid w:val="00DE1AFD"/>
    <w:rsid w:val="00DE1D08"/>
    <w:rsid w:val="00DE235E"/>
    <w:rsid w:val="00DE29A2"/>
    <w:rsid w:val="00DE2B33"/>
    <w:rsid w:val="00DE2C80"/>
    <w:rsid w:val="00DE360C"/>
    <w:rsid w:val="00DE4131"/>
    <w:rsid w:val="00DE433C"/>
    <w:rsid w:val="00DE434C"/>
    <w:rsid w:val="00DE4532"/>
    <w:rsid w:val="00DE506E"/>
    <w:rsid w:val="00DE5AA1"/>
    <w:rsid w:val="00DE5CC7"/>
    <w:rsid w:val="00DE638B"/>
    <w:rsid w:val="00DE65C9"/>
    <w:rsid w:val="00DE6919"/>
    <w:rsid w:val="00DE72EE"/>
    <w:rsid w:val="00DE7481"/>
    <w:rsid w:val="00DE75BE"/>
    <w:rsid w:val="00DF050C"/>
    <w:rsid w:val="00DF07D2"/>
    <w:rsid w:val="00DF0AA0"/>
    <w:rsid w:val="00DF26B7"/>
    <w:rsid w:val="00DF2BC4"/>
    <w:rsid w:val="00DF2C7F"/>
    <w:rsid w:val="00DF37E5"/>
    <w:rsid w:val="00DF3895"/>
    <w:rsid w:val="00DF51AE"/>
    <w:rsid w:val="00DF6C06"/>
    <w:rsid w:val="00DF7555"/>
    <w:rsid w:val="00DF7603"/>
    <w:rsid w:val="00DF77A5"/>
    <w:rsid w:val="00E004B8"/>
    <w:rsid w:val="00E01AF7"/>
    <w:rsid w:val="00E034FE"/>
    <w:rsid w:val="00E03709"/>
    <w:rsid w:val="00E0397B"/>
    <w:rsid w:val="00E03C4D"/>
    <w:rsid w:val="00E041E5"/>
    <w:rsid w:val="00E04287"/>
    <w:rsid w:val="00E04812"/>
    <w:rsid w:val="00E04888"/>
    <w:rsid w:val="00E0525D"/>
    <w:rsid w:val="00E05F1B"/>
    <w:rsid w:val="00E0639F"/>
    <w:rsid w:val="00E06D0B"/>
    <w:rsid w:val="00E07530"/>
    <w:rsid w:val="00E0763B"/>
    <w:rsid w:val="00E0796A"/>
    <w:rsid w:val="00E10302"/>
    <w:rsid w:val="00E10F33"/>
    <w:rsid w:val="00E118E6"/>
    <w:rsid w:val="00E129AB"/>
    <w:rsid w:val="00E12E6D"/>
    <w:rsid w:val="00E133A7"/>
    <w:rsid w:val="00E13A49"/>
    <w:rsid w:val="00E15096"/>
    <w:rsid w:val="00E1651D"/>
    <w:rsid w:val="00E16C0E"/>
    <w:rsid w:val="00E17EC5"/>
    <w:rsid w:val="00E2009D"/>
    <w:rsid w:val="00E20155"/>
    <w:rsid w:val="00E208B6"/>
    <w:rsid w:val="00E209FB"/>
    <w:rsid w:val="00E2124E"/>
    <w:rsid w:val="00E21F2D"/>
    <w:rsid w:val="00E23147"/>
    <w:rsid w:val="00E23FD8"/>
    <w:rsid w:val="00E241BE"/>
    <w:rsid w:val="00E262E0"/>
    <w:rsid w:val="00E26545"/>
    <w:rsid w:val="00E26A41"/>
    <w:rsid w:val="00E26BFD"/>
    <w:rsid w:val="00E26C55"/>
    <w:rsid w:val="00E26E5C"/>
    <w:rsid w:val="00E27E90"/>
    <w:rsid w:val="00E301F2"/>
    <w:rsid w:val="00E32077"/>
    <w:rsid w:val="00E326BF"/>
    <w:rsid w:val="00E328A7"/>
    <w:rsid w:val="00E32A4F"/>
    <w:rsid w:val="00E32CF3"/>
    <w:rsid w:val="00E32E5A"/>
    <w:rsid w:val="00E3307F"/>
    <w:rsid w:val="00E332B4"/>
    <w:rsid w:val="00E33601"/>
    <w:rsid w:val="00E336EA"/>
    <w:rsid w:val="00E33C83"/>
    <w:rsid w:val="00E33D02"/>
    <w:rsid w:val="00E34970"/>
    <w:rsid w:val="00E34F2C"/>
    <w:rsid w:val="00E34FAD"/>
    <w:rsid w:val="00E35D2F"/>
    <w:rsid w:val="00E35D79"/>
    <w:rsid w:val="00E36496"/>
    <w:rsid w:val="00E3724A"/>
    <w:rsid w:val="00E40316"/>
    <w:rsid w:val="00E434AD"/>
    <w:rsid w:val="00E43707"/>
    <w:rsid w:val="00E43D07"/>
    <w:rsid w:val="00E44202"/>
    <w:rsid w:val="00E44235"/>
    <w:rsid w:val="00E443C2"/>
    <w:rsid w:val="00E44E46"/>
    <w:rsid w:val="00E45DB9"/>
    <w:rsid w:val="00E45FB3"/>
    <w:rsid w:val="00E4641E"/>
    <w:rsid w:val="00E469DA"/>
    <w:rsid w:val="00E47747"/>
    <w:rsid w:val="00E47D19"/>
    <w:rsid w:val="00E501FE"/>
    <w:rsid w:val="00E50BC7"/>
    <w:rsid w:val="00E50F86"/>
    <w:rsid w:val="00E519AE"/>
    <w:rsid w:val="00E51CCC"/>
    <w:rsid w:val="00E527AD"/>
    <w:rsid w:val="00E52D27"/>
    <w:rsid w:val="00E53100"/>
    <w:rsid w:val="00E5365F"/>
    <w:rsid w:val="00E53B63"/>
    <w:rsid w:val="00E53B84"/>
    <w:rsid w:val="00E55C5B"/>
    <w:rsid w:val="00E560DE"/>
    <w:rsid w:val="00E56149"/>
    <w:rsid w:val="00E561B7"/>
    <w:rsid w:val="00E5629D"/>
    <w:rsid w:val="00E57AF7"/>
    <w:rsid w:val="00E57B2F"/>
    <w:rsid w:val="00E57F60"/>
    <w:rsid w:val="00E6085A"/>
    <w:rsid w:val="00E6135A"/>
    <w:rsid w:val="00E6166A"/>
    <w:rsid w:val="00E61A8C"/>
    <w:rsid w:val="00E6241B"/>
    <w:rsid w:val="00E63554"/>
    <w:rsid w:val="00E6419A"/>
    <w:rsid w:val="00E641BA"/>
    <w:rsid w:val="00E645DC"/>
    <w:rsid w:val="00E64628"/>
    <w:rsid w:val="00E64FCC"/>
    <w:rsid w:val="00E64FD7"/>
    <w:rsid w:val="00E6637C"/>
    <w:rsid w:val="00E67173"/>
    <w:rsid w:val="00E67492"/>
    <w:rsid w:val="00E67B57"/>
    <w:rsid w:val="00E703B6"/>
    <w:rsid w:val="00E70AA1"/>
    <w:rsid w:val="00E7190F"/>
    <w:rsid w:val="00E71F15"/>
    <w:rsid w:val="00E72200"/>
    <w:rsid w:val="00E7247F"/>
    <w:rsid w:val="00E72B1B"/>
    <w:rsid w:val="00E72BD5"/>
    <w:rsid w:val="00E72C0C"/>
    <w:rsid w:val="00E72DD5"/>
    <w:rsid w:val="00E72ECD"/>
    <w:rsid w:val="00E731DC"/>
    <w:rsid w:val="00E73207"/>
    <w:rsid w:val="00E735F8"/>
    <w:rsid w:val="00E74D26"/>
    <w:rsid w:val="00E75198"/>
    <w:rsid w:val="00E75C9B"/>
    <w:rsid w:val="00E75D47"/>
    <w:rsid w:val="00E75E4D"/>
    <w:rsid w:val="00E763BF"/>
    <w:rsid w:val="00E766F5"/>
    <w:rsid w:val="00E76932"/>
    <w:rsid w:val="00E77A28"/>
    <w:rsid w:val="00E808A3"/>
    <w:rsid w:val="00E80EDF"/>
    <w:rsid w:val="00E80FC3"/>
    <w:rsid w:val="00E8145D"/>
    <w:rsid w:val="00E82948"/>
    <w:rsid w:val="00E82B28"/>
    <w:rsid w:val="00E82F9C"/>
    <w:rsid w:val="00E83928"/>
    <w:rsid w:val="00E848FB"/>
    <w:rsid w:val="00E85AC3"/>
    <w:rsid w:val="00E87333"/>
    <w:rsid w:val="00E9013A"/>
    <w:rsid w:val="00E90218"/>
    <w:rsid w:val="00E913BB"/>
    <w:rsid w:val="00E92708"/>
    <w:rsid w:val="00E931A9"/>
    <w:rsid w:val="00E948E3"/>
    <w:rsid w:val="00E94C21"/>
    <w:rsid w:val="00E94FAD"/>
    <w:rsid w:val="00E95A35"/>
    <w:rsid w:val="00E95A94"/>
    <w:rsid w:val="00E95F2E"/>
    <w:rsid w:val="00E96213"/>
    <w:rsid w:val="00E96A1A"/>
    <w:rsid w:val="00E96A23"/>
    <w:rsid w:val="00E97177"/>
    <w:rsid w:val="00EA0235"/>
    <w:rsid w:val="00EA06A5"/>
    <w:rsid w:val="00EA08E7"/>
    <w:rsid w:val="00EA109C"/>
    <w:rsid w:val="00EA1508"/>
    <w:rsid w:val="00EA1541"/>
    <w:rsid w:val="00EA1A5D"/>
    <w:rsid w:val="00EA29F4"/>
    <w:rsid w:val="00EA2B78"/>
    <w:rsid w:val="00EA2C8D"/>
    <w:rsid w:val="00EA32E4"/>
    <w:rsid w:val="00EA3C0D"/>
    <w:rsid w:val="00EA4618"/>
    <w:rsid w:val="00EA4E37"/>
    <w:rsid w:val="00EA59DF"/>
    <w:rsid w:val="00EA6859"/>
    <w:rsid w:val="00EA6C3B"/>
    <w:rsid w:val="00EA7B73"/>
    <w:rsid w:val="00EA7E36"/>
    <w:rsid w:val="00EB0335"/>
    <w:rsid w:val="00EB0898"/>
    <w:rsid w:val="00EB0AC1"/>
    <w:rsid w:val="00EB119E"/>
    <w:rsid w:val="00EB1957"/>
    <w:rsid w:val="00EB19B7"/>
    <w:rsid w:val="00EB22CA"/>
    <w:rsid w:val="00EB24A7"/>
    <w:rsid w:val="00EB2591"/>
    <w:rsid w:val="00EB36F5"/>
    <w:rsid w:val="00EB4EA0"/>
    <w:rsid w:val="00EB5BEB"/>
    <w:rsid w:val="00EB5CEF"/>
    <w:rsid w:val="00EB6239"/>
    <w:rsid w:val="00EB627B"/>
    <w:rsid w:val="00EB6906"/>
    <w:rsid w:val="00EB6D94"/>
    <w:rsid w:val="00EB7206"/>
    <w:rsid w:val="00EB7815"/>
    <w:rsid w:val="00EB7C4B"/>
    <w:rsid w:val="00EB7DDF"/>
    <w:rsid w:val="00EC05E6"/>
    <w:rsid w:val="00EC0724"/>
    <w:rsid w:val="00EC0DC0"/>
    <w:rsid w:val="00EC206D"/>
    <w:rsid w:val="00EC2098"/>
    <w:rsid w:val="00EC4183"/>
    <w:rsid w:val="00EC4EA2"/>
    <w:rsid w:val="00EC575F"/>
    <w:rsid w:val="00EC5950"/>
    <w:rsid w:val="00EC61A4"/>
    <w:rsid w:val="00EC6468"/>
    <w:rsid w:val="00EC6708"/>
    <w:rsid w:val="00EC7A32"/>
    <w:rsid w:val="00ED02B3"/>
    <w:rsid w:val="00ED0361"/>
    <w:rsid w:val="00ED0D7F"/>
    <w:rsid w:val="00ED1A98"/>
    <w:rsid w:val="00ED1CB6"/>
    <w:rsid w:val="00ED207C"/>
    <w:rsid w:val="00ED21BF"/>
    <w:rsid w:val="00ED2461"/>
    <w:rsid w:val="00ED24CB"/>
    <w:rsid w:val="00ED2D30"/>
    <w:rsid w:val="00ED2F16"/>
    <w:rsid w:val="00ED325A"/>
    <w:rsid w:val="00ED38A4"/>
    <w:rsid w:val="00ED3D76"/>
    <w:rsid w:val="00ED3F41"/>
    <w:rsid w:val="00ED4089"/>
    <w:rsid w:val="00ED5615"/>
    <w:rsid w:val="00ED692E"/>
    <w:rsid w:val="00ED69AF"/>
    <w:rsid w:val="00ED6B3B"/>
    <w:rsid w:val="00ED6C5A"/>
    <w:rsid w:val="00ED7D7F"/>
    <w:rsid w:val="00EE023D"/>
    <w:rsid w:val="00EE0B35"/>
    <w:rsid w:val="00EE116C"/>
    <w:rsid w:val="00EE13CF"/>
    <w:rsid w:val="00EE1847"/>
    <w:rsid w:val="00EE240E"/>
    <w:rsid w:val="00EE2560"/>
    <w:rsid w:val="00EE3092"/>
    <w:rsid w:val="00EE3421"/>
    <w:rsid w:val="00EE3546"/>
    <w:rsid w:val="00EE5654"/>
    <w:rsid w:val="00EE66C0"/>
    <w:rsid w:val="00EE688E"/>
    <w:rsid w:val="00EE6A6D"/>
    <w:rsid w:val="00EE6AA2"/>
    <w:rsid w:val="00EF034B"/>
    <w:rsid w:val="00EF03E2"/>
    <w:rsid w:val="00EF0B24"/>
    <w:rsid w:val="00EF0B67"/>
    <w:rsid w:val="00EF141D"/>
    <w:rsid w:val="00EF1ADE"/>
    <w:rsid w:val="00EF1B85"/>
    <w:rsid w:val="00EF270E"/>
    <w:rsid w:val="00EF359F"/>
    <w:rsid w:val="00EF37D0"/>
    <w:rsid w:val="00EF3A19"/>
    <w:rsid w:val="00EF43CE"/>
    <w:rsid w:val="00EF4C92"/>
    <w:rsid w:val="00EF4E55"/>
    <w:rsid w:val="00EF58DD"/>
    <w:rsid w:val="00EF5931"/>
    <w:rsid w:val="00EF7069"/>
    <w:rsid w:val="00EF77AF"/>
    <w:rsid w:val="00EF7F8B"/>
    <w:rsid w:val="00F0002B"/>
    <w:rsid w:val="00F01146"/>
    <w:rsid w:val="00F0153C"/>
    <w:rsid w:val="00F01C81"/>
    <w:rsid w:val="00F02115"/>
    <w:rsid w:val="00F02CBA"/>
    <w:rsid w:val="00F0300F"/>
    <w:rsid w:val="00F03814"/>
    <w:rsid w:val="00F03C69"/>
    <w:rsid w:val="00F03D11"/>
    <w:rsid w:val="00F04489"/>
    <w:rsid w:val="00F05E71"/>
    <w:rsid w:val="00F063A5"/>
    <w:rsid w:val="00F07A09"/>
    <w:rsid w:val="00F11EC1"/>
    <w:rsid w:val="00F12DD6"/>
    <w:rsid w:val="00F12E4F"/>
    <w:rsid w:val="00F1390C"/>
    <w:rsid w:val="00F13E69"/>
    <w:rsid w:val="00F14D98"/>
    <w:rsid w:val="00F14F2E"/>
    <w:rsid w:val="00F159C1"/>
    <w:rsid w:val="00F16662"/>
    <w:rsid w:val="00F16899"/>
    <w:rsid w:val="00F16A12"/>
    <w:rsid w:val="00F17464"/>
    <w:rsid w:val="00F17A9E"/>
    <w:rsid w:val="00F17FC9"/>
    <w:rsid w:val="00F20C5E"/>
    <w:rsid w:val="00F21341"/>
    <w:rsid w:val="00F22A54"/>
    <w:rsid w:val="00F22A7B"/>
    <w:rsid w:val="00F23A49"/>
    <w:rsid w:val="00F257EF"/>
    <w:rsid w:val="00F25868"/>
    <w:rsid w:val="00F26B34"/>
    <w:rsid w:val="00F27A40"/>
    <w:rsid w:val="00F30575"/>
    <w:rsid w:val="00F30C5B"/>
    <w:rsid w:val="00F31CC2"/>
    <w:rsid w:val="00F31FB7"/>
    <w:rsid w:val="00F32318"/>
    <w:rsid w:val="00F342DE"/>
    <w:rsid w:val="00F356BE"/>
    <w:rsid w:val="00F365C6"/>
    <w:rsid w:val="00F36A1D"/>
    <w:rsid w:val="00F36ACD"/>
    <w:rsid w:val="00F36C80"/>
    <w:rsid w:val="00F37291"/>
    <w:rsid w:val="00F37567"/>
    <w:rsid w:val="00F378FE"/>
    <w:rsid w:val="00F37EBC"/>
    <w:rsid w:val="00F40245"/>
    <w:rsid w:val="00F4036D"/>
    <w:rsid w:val="00F405AE"/>
    <w:rsid w:val="00F40888"/>
    <w:rsid w:val="00F40B0F"/>
    <w:rsid w:val="00F40EA3"/>
    <w:rsid w:val="00F41122"/>
    <w:rsid w:val="00F41969"/>
    <w:rsid w:val="00F425EA"/>
    <w:rsid w:val="00F42B7B"/>
    <w:rsid w:val="00F43FE0"/>
    <w:rsid w:val="00F44079"/>
    <w:rsid w:val="00F44278"/>
    <w:rsid w:val="00F44A8C"/>
    <w:rsid w:val="00F44D06"/>
    <w:rsid w:val="00F44EF7"/>
    <w:rsid w:val="00F456A7"/>
    <w:rsid w:val="00F4773E"/>
    <w:rsid w:val="00F517E1"/>
    <w:rsid w:val="00F51B65"/>
    <w:rsid w:val="00F51DE6"/>
    <w:rsid w:val="00F51E25"/>
    <w:rsid w:val="00F52AAB"/>
    <w:rsid w:val="00F52DC6"/>
    <w:rsid w:val="00F52EB6"/>
    <w:rsid w:val="00F52F49"/>
    <w:rsid w:val="00F53B46"/>
    <w:rsid w:val="00F55260"/>
    <w:rsid w:val="00F55592"/>
    <w:rsid w:val="00F5619F"/>
    <w:rsid w:val="00F56356"/>
    <w:rsid w:val="00F56481"/>
    <w:rsid w:val="00F60021"/>
    <w:rsid w:val="00F60E62"/>
    <w:rsid w:val="00F61686"/>
    <w:rsid w:val="00F6251D"/>
    <w:rsid w:val="00F6316B"/>
    <w:rsid w:val="00F633F3"/>
    <w:rsid w:val="00F63403"/>
    <w:rsid w:val="00F63FED"/>
    <w:rsid w:val="00F64381"/>
    <w:rsid w:val="00F646FB"/>
    <w:rsid w:val="00F64A9F"/>
    <w:rsid w:val="00F65376"/>
    <w:rsid w:val="00F657A1"/>
    <w:rsid w:val="00F657D2"/>
    <w:rsid w:val="00F65AE0"/>
    <w:rsid w:val="00F66971"/>
    <w:rsid w:val="00F70018"/>
    <w:rsid w:val="00F7085C"/>
    <w:rsid w:val="00F74554"/>
    <w:rsid w:val="00F74A3D"/>
    <w:rsid w:val="00F74E38"/>
    <w:rsid w:val="00F7520F"/>
    <w:rsid w:val="00F761B8"/>
    <w:rsid w:val="00F7623E"/>
    <w:rsid w:val="00F764F1"/>
    <w:rsid w:val="00F76D6F"/>
    <w:rsid w:val="00F778B0"/>
    <w:rsid w:val="00F7792E"/>
    <w:rsid w:val="00F80A95"/>
    <w:rsid w:val="00F80B33"/>
    <w:rsid w:val="00F80EBD"/>
    <w:rsid w:val="00F8112C"/>
    <w:rsid w:val="00F8186E"/>
    <w:rsid w:val="00F81B4D"/>
    <w:rsid w:val="00F81BB2"/>
    <w:rsid w:val="00F81EDE"/>
    <w:rsid w:val="00F82E38"/>
    <w:rsid w:val="00F8307E"/>
    <w:rsid w:val="00F83293"/>
    <w:rsid w:val="00F833F6"/>
    <w:rsid w:val="00F8352C"/>
    <w:rsid w:val="00F83BC2"/>
    <w:rsid w:val="00F848A4"/>
    <w:rsid w:val="00F84B03"/>
    <w:rsid w:val="00F84DBD"/>
    <w:rsid w:val="00F85144"/>
    <w:rsid w:val="00F8544A"/>
    <w:rsid w:val="00F857DB"/>
    <w:rsid w:val="00F85FB8"/>
    <w:rsid w:val="00F8619C"/>
    <w:rsid w:val="00F86DF6"/>
    <w:rsid w:val="00F87551"/>
    <w:rsid w:val="00F904E2"/>
    <w:rsid w:val="00F907B7"/>
    <w:rsid w:val="00F90B8D"/>
    <w:rsid w:val="00F90D80"/>
    <w:rsid w:val="00F90D84"/>
    <w:rsid w:val="00F916B9"/>
    <w:rsid w:val="00F919A7"/>
    <w:rsid w:val="00F91B02"/>
    <w:rsid w:val="00F923AF"/>
    <w:rsid w:val="00F92EC1"/>
    <w:rsid w:val="00F934B6"/>
    <w:rsid w:val="00F93691"/>
    <w:rsid w:val="00F946F5"/>
    <w:rsid w:val="00F94BCB"/>
    <w:rsid w:val="00F94C47"/>
    <w:rsid w:val="00F9595A"/>
    <w:rsid w:val="00F9659B"/>
    <w:rsid w:val="00F96AA9"/>
    <w:rsid w:val="00F97425"/>
    <w:rsid w:val="00F97F68"/>
    <w:rsid w:val="00FA0148"/>
    <w:rsid w:val="00FA0421"/>
    <w:rsid w:val="00FA0912"/>
    <w:rsid w:val="00FA0C66"/>
    <w:rsid w:val="00FA1956"/>
    <w:rsid w:val="00FA1CDA"/>
    <w:rsid w:val="00FA1DCF"/>
    <w:rsid w:val="00FA1DD9"/>
    <w:rsid w:val="00FA1E63"/>
    <w:rsid w:val="00FA2310"/>
    <w:rsid w:val="00FA2BD2"/>
    <w:rsid w:val="00FA2EB8"/>
    <w:rsid w:val="00FA3389"/>
    <w:rsid w:val="00FA3476"/>
    <w:rsid w:val="00FA361A"/>
    <w:rsid w:val="00FA4423"/>
    <w:rsid w:val="00FA44E5"/>
    <w:rsid w:val="00FA4CA1"/>
    <w:rsid w:val="00FA5C31"/>
    <w:rsid w:val="00FA65E2"/>
    <w:rsid w:val="00FA669E"/>
    <w:rsid w:val="00FA6798"/>
    <w:rsid w:val="00FA6919"/>
    <w:rsid w:val="00FA69E6"/>
    <w:rsid w:val="00FA75C6"/>
    <w:rsid w:val="00FA7886"/>
    <w:rsid w:val="00FA7E49"/>
    <w:rsid w:val="00FB0C10"/>
    <w:rsid w:val="00FB3C36"/>
    <w:rsid w:val="00FB423D"/>
    <w:rsid w:val="00FB4280"/>
    <w:rsid w:val="00FB4B60"/>
    <w:rsid w:val="00FB57F8"/>
    <w:rsid w:val="00FB580D"/>
    <w:rsid w:val="00FB5B7F"/>
    <w:rsid w:val="00FB6DA7"/>
    <w:rsid w:val="00FB7CCE"/>
    <w:rsid w:val="00FC0104"/>
    <w:rsid w:val="00FC01C8"/>
    <w:rsid w:val="00FC0519"/>
    <w:rsid w:val="00FC0A92"/>
    <w:rsid w:val="00FC0D8F"/>
    <w:rsid w:val="00FC0F61"/>
    <w:rsid w:val="00FC145B"/>
    <w:rsid w:val="00FC1577"/>
    <w:rsid w:val="00FC198F"/>
    <w:rsid w:val="00FC2CA4"/>
    <w:rsid w:val="00FC3501"/>
    <w:rsid w:val="00FC36A1"/>
    <w:rsid w:val="00FC3790"/>
    <w:rsid w:val="00FC39FD"/>
    <w:rsid w:val="00FC3D67"/>
    <w:rsid w:val="00FC423D"/>
    <w:rsid w:val="00FC46CF"/>
    <w:rsid w:val="00FC5027"/>
    <w:rsid w:val="00FC50C7"/>
    <w:rsid w:val="00FC511D"/>
    <w:rsid w:val="00FC6034"/>
    <w:rsid w:val="00FC68BC"/>
    <w:rsid w:val="00FC7366"/>
    <w:rsid w:val="00FD07EF"/>
    <w:rsid w:val="00FD097A"/>
    <w:rsid w:val="00FD0E3D"/>
    <w:rsid w:val="00FD11D4"/>
    <w:rsid w:val="00FD217B"/>
    <w:rsid w:val="00FD225D"/>
    <w:rsid w:val="00FD2384"/>
    <w:rsid w:val="00FD29D4"/>
    <w:rsid w:val="00FD4C24"/>
    <w:rsid w:val="00FD4C88"/>
    <w:rsid w:val="00FD4F32"/>
    <w:rsid w:val="00FD59ED"/>
    <w:rsid w:val="00FD66C6"/>
    <w:rsid w:val="00FD7C9B"/>
    <w:rsid w:val="00FD7D34"/>
    <w:rsid w:val="00FE035B"/>
    <w:rsid w:val="00FE125C"/>
    <w:rsid w:val="00FE1F3B"/>
    <w:rsid w:val="00FE2BEA"/>
    <w:rsid w:val="00FE3549"/>
    <w:rsid w:val="00FE452E"/>
    <w:rsid w:val="00FE4827"/>
    <w:rsid w:val="00FE4963"/>
    <w:rsid w:val="00FE58C7"/>
    <w:rsid w:val="00FE7B6C"/>
    <w:rsid w:val="00FF03C0"/>
    <w:rsid w:val="00FF2D9A"/>
    <w:rsid w:val="00FF3663"/>
    <w:rsid w:val="00FF4275"/>
    <w:rsid w:val="00FF4A4C"/>
    <w:rsid w:val="00FF4C15"/>
    <w:rsid w:val="00FF4F2F"/>
    <w:rsid w:val="00FF5BFB"/>
    <w:rsid w:val="00FF5E54"/>
    <w:rsid w:val="00FF69EA"/>
    <w:rsid w:val="00FF70F1"/>
    <w:rsid w:val="00FF754D"/>
    <w:rsid w:val="00FF761C"/>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uiPriority w:val="99"/>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99"/>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uiPriority w:val="99"/>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99"/>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416F-3358-42B1-9D6F-700E9356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2252</Words>
  <Characters>17943</Characters>
  <Application>Microsoft Office Word</Application>
  <DocSecurity>0</DocSecurity>
  <Lines>149</Lines>
  <Paragraphs>40</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20155</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De Santiago, Iñaki</cp:lastModifiedBy>
  <cp:revision>2</cp:revision>
  <cp:lastPrinted>2015-09-23T07:00:00Z</cp:lastPrinted>
  <dcterms:created xsi:type="dcterms:W3CDTF">2016-02-08T07:35:00Z</dcterms:created>
  <dcterms:modified xsi:type="dcterms:W3CDTF">2016-02-08T07:35:00Z</dcterms:modified>
</cp:coreProperties>
</file>