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AF" w:rsidRDefault="00502CCF" w:rsidP="00B67C4B">
      <w:pPr>
        <w:spacing w:line="360" w:lineRule="auto"/>
        <w:jc w:val="both"/>
        <w:rPr>
          <w:rFonts w:ascii="Arial" w:hAnsi="Arial" w:cs="Arial"/>
        </w:rPr>
      </w:pPr>
    </w:p>
    <w:p w:rsidR="0006150C" w:rsidRPr="00DD3F5C" w:rsidRDefault="00502CCF" w:rsidP="00B67C4B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Unión del Pueblo Navarro 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taldeari atxikitako foru parlamentari Mónica Domenech Linde andreak galdera bat egin du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16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00213</w:t>
      </w:r>
      <w:r>
        <w:rPr>
          <w:rStyle w:val="Normal"/>
          <w:rFonts w:ascii="Arial" w:hAnsi="Arial"/>
        </w:rPr>
        <w:t>)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Etxez Etxeko Laguntza Zerbitzuaren </w:t>
      </w:r>
      <w:r>
        <w:rPr>
          <w:rStyle w:val="Normal"/>
          <w:rFonts w:ascii="Arial" w:hAnsi="Arial"/>
        </w:rPr>
        <w:t>2015</w:t>
      </w:r>
      <w:r>
        <w:rPr>
          <w:rStyle w:val="Normal"/>
          <w:rFonts w:ascii="Arial" w:hAnsi="Arial"/>
        </w:rPr>
        <w:t xml:space="preserve">eko oroitidazkiari buruz eta </w:t>
      </w:r>
      <w:r>
        <w:rPr>
          <w:rStyle w:val="Normal"/>
          <w:rFonts w:ascii="Arial" w:hAnsi="Arial"/>
        </w:rPr>
        <w:t>2016</w:t>
      </w:r>
      <w:r>
        <w:rPr>
          <w:rStyle w:val="Normal"/>
          <w:rFonts w:ascii="Arial" w:hAnsi="Arial"/>
        </w:rPr>
        <w:t>ko hilabeteetako datuak eskura ote dituzt</w:t>
      </w:r>
      <w:r>
        <w:rPr>
          <w:rStyle w:val="Normal"/>
          <w:rFonts w:ascii="Arial" w:hAnsi="Arial"/>
        </w:rPr>
        <w:t>en jakiteko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Hona Nafarroako Gobernuko Eskubide Sozialetako lehendakariordearen erantzuna</w:t>
      </w:r>
      <w:r>
        <w:rPr>
          <w:rStyle w:val="Normal"/>
          <w:rFonts w:ascii="Arial" w:hAnsi="Arial"/>
        </w:rPr>
        <w:t>:</w:t>
      </w:r>
    </w:p>
    <w:p w:rsidR="00225C7D" w:rsidRDefault="00502CCF" w:rsidP="0006150C">
      <w:pPr>
        <w:spacing w:line="360" w:lineRule="auto"/>
        <w:jc w:val="both"/>
        <w:rPr>
          <w:rFonts w:ascii="Arial" w:hAnsi="Arial" w:cs="Arial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Aipatutako parlamentariak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berariaz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honako honi buruzko informazioa eskatu du</w:t>
      </w:r>
      <w:r>
        <w:rPr>
          <w:rStyle w:val="Normal"/>
          <w:rFonts w:ascii="Arial" w:hAnsi="Arial"/>
        </w:rPr>
        <w:t>: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t>(</w:t>
      </w:r>
      <w:r>
        <w:rPr>
          <w:rStyle w:val="Normal"/>
          <w:rFonts w:ascii="Arial" w:hAnsi="Arial"/>
          <w:b/>
        </w:rPr>
        <w:t>1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Etxez etxeko laguntza zerbitzua osatzen duten profesionalak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programara bid</w:t>
      </w:r>
      <w:r>
        <w:rPr>
          <w:rStyle w:val="Normal"/>
          <w:rFonts w:ascii="Arial" w:hAnsi="Arial"/>
          <w:b/>
        </w:rPr>
        <w:t>eratutako lanaldi osoko lanpostuen kopurua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zuzeneko edo zeharkako kontrataziokoetatik bereizita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Kontuan hartuz programen araberako arduraldia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Lanaldi osoko profesionalaren arreta</w:t>
      </w:r>
      <w:r>
        <w:rPr>
          <w:rStyle w:val="Normal"/>
          <w:rFonts w:ascii="Arial" w:hAnsi="Arial"/>
          <w:b/>
        </w:rPr>
        <w:t>-</w:t>
      </w:r>
      <w:r>
        <w:rPr>
          <w:rStyle w:val="Normal"/>
          <w:rFonts w:ascii="Arial" w:hAnsi="Arial"/>
          <w:b/>
        </w:rPr>
        <w:t>ratioa</w:t>
      </w:r>
      <w:r>
        <w:rPr>
          <w:rStyle w:val="Normal"/>
          <w:rFonts w:ascii="Arial" w:hAnsi="Arial"/>
          <w:b/>
        </w:rPr>
        <w:t>.</w:t>
      </w:r>
    </w:p>
    <w:p w:rsidR="00A5462A" w:rsidRPr="00886EAF" w:rsidRDefault="00502CCF" w:rsidP="00A5462A">
      <w:pPr>
        <w:spacing w:line="360" w:lineRule="auto"/>
        <w:jc w:val="both"/>
        <w:rPr>
          <w:rFonts w:ascii="Arial" w:hAnsi="Arial" w:cs="Arial"/>
          <w:b/>
          <w:sz w:val="14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t>(</w:t>
      </w:r>
      <w:r>
        <w:rPr>
          <w:rStyle w:val="Normal"/>
          <w:rFonts w:ascii="Arial" w:hAnsi="Arial"/>
          <w:b/>
        </w:rPr>
        <w:t>2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Zeharkako kontratazioaren bidez zerbitzua ematen duten entita</w:t>
      </w:r>
      <w:r>
        <w:rPr>
          <w:rStyle w:val="Normal"/>
          <w:rFonts w:ascii="Arial" w:hAnsi="Arial"/>
          <w:b/>
        </w:rPr>
        <w:t>teak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arloka banakatuta</w:t>
      </w:r>
      <w:r>
        <w:rPr>
          <w:rStyle w:val="Normal"/>
          <w:rFonts w:ascii="Arial" w:hAnsi="Arial"/>
          <w:b/>
        </w:rPr>
        <w:t>.</w:t>
      </w:r>
    </w:p>
    <w:p w:rsidR="00A5462A" w:rsidRPr="00886EAF" w:rsidRDefault="00502CCF" w:rsidP="00A5462A">
      <w:pPr>
        <w:spacing w:line="360" w:lineRule="auto"/>
        <w:jc w:val="both"/>
        <w:rPr>
          <w:rFonts w:ascii="Arial" w:hAnsi="Arial" w:cs="Arial"/>
          <w:b/>
          <w:sz w:val="12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t>(</w:t>
      </w:r>
      <w:r>
        <w:rPr>
          <w:rStyle w:val="Normal"/>
          <w:rFonts w:ascii="Arial" w:hAnsi="Arial"/>
          <w:b/>
        </w:rPr>
        <w:t>3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Gizarte langileen jardueraren banaketa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Udalak udal arautegiaren arabera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etxez etxeko laguntzako beste zerbitzu batzuk</w:t>
      </w:r>
      <w:r>
        <w:rPr>
          <w:rStyle w:val="Normal"/>
          <w:rFonts w:ascii="Arial" w:hAnsi="Arial"/>
          <w:b/>
        </w:rPr>
        <w:t xml:space="preserve">; </w:t>
      </w:r>
      <w:r>
        <w:rPr>
          <w:rStyle w:val="Normal"/>
          <w:rFonts w:ascii="Arial" w:hAnsi="Arial"/>
          <w:b/>
        </w:rPr>
        <w:t>ELZko ordutegiak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erabiltzaileak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eskualdeen arabera hartzen diren prestazioak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Banaketa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zerbitz</w:t>
      </w:r>
      <w:r>
        <w:rPr>
          <w:rStyle w:val="Normal"/>
          <w:rFonts w:ascii="Arial" w:hAnsi="Arial"/>
          <w:b/>
        </w:rPr>
        <w:t>uen eta adinen arabera</w:t>
      </w:r>
      <w:r>
        <w:rPr>
          <w:rStyle w:val="Normal"/>
          <w:rFonts w:ascii="Arial" w:hAnsi="Arial"/>
          <w:b/>
        </w:rPr>
        <w:t xml:space="preserve">; </w:t>
      </w:r>
      <w:r>
        <w:rPr>
          <w:rStyle w:val="Normal"/>
          <w:rFonts w:ascii="Arial" w:hAnsi="Arial"/>
          <w:b/>
        </w:rPr>
        <w:t>laguntza teknikoetarako maileguak</w:t>
      </w:r>
      <w:r>
        <w:rPr>
          <w:rStyle w:val="Normal"/>
          <w:rFonts w:ascii="Arial" w:hAnsi="Arial"/>
          <w:b/>
        </w:rPr>
        <w:t>.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Esan beharra dago dokumentu honetan ematen diren datuak oinarrizko gizarte zerbitzuek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Eskubide Sozialetako Departamentuaren eta oinarrizko gizarte zerbitzuen titularrak diren toki entitateen arte</w:t>
      </w:r>
      <w:r>
        <w:rPr>
          <w:rStyle w:val="Normal"/>
          <w:rFonts w:ascii="Arial" w:hAnsi="Arial"/>
        </w:rPr>
        <w:t>an ezarritako finantzaketa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hitzartutako finantzaketa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hitzarmena justifikatze aldera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aurkeztutako oroitidazki teknikoetatik lortu direla</w:t>
      </w:r>
      <w:r>
        <w:rPr>
          <w:rStyle w:val="Normal"/>
          <w:rFonts w:ascii="Arial" w:hAnsi="Arial"/>
        </w:rPr>
        <w:t>.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Hitzarmen horien eta Toki entitateen eta Eskubide Sozialetako Departamentuaren artean egindako finantzaketa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hitzarmena</w:t>
      </w:r>
      <w:r>
        <w:rPr>
          <w:rStyle w:val="Normal"/>
          <w:rFonts w:ascii="Arial" w:hAnsi="Arial"/>
        </w:rPr>
        <w:t>ren arabera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bai eta maiatzaren </w:t>
      </w:r>
      <w:r>
        <w:rPr>
          <w:rStyle w:val="Normal"/>
          <w:rFonts w:ascii="Arial" w:hAnsi="Arial"/>
        </w:rPr>
        <w:t>22</w:t>
      </w:r>
      <w:r>
        <w:rPr>
          <w:rStyle w:val="Normal"/>
          <w:rFonts w:ascii="Arial" w:hAnsi="Arial"/>
        </w:rPr>
        <w:t xml:space="preserve">ko </w:t>
      </w:r>
      <w:r>
        <w:rPr>
          <w:rStyle w:val="Normal"/>
          <w:rFonts w:ascii="Arial" w:hAnsi="Arial"/>
        </w:rPr>
        <w:t>32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2013 </w:t>
      </w:r>
      <w:r>
        <w:rPr>
          <w:rStyle w:val="Normal"/>
          <w:rFonts w:ascii="Arial" w:hAnsi="Arial"/>
        </w:rPr>
        <w:t>Foru Dekretuaren arabera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toki entitateek txosten </w:t>
      </w:r>
      <w:r>
        <w:rPr>
          <w:rStyle w:val="Normal"/>
          <w:rFonts w:ascii="Arial" w:hAnsi="Arial"/>
        </w:rPr>
        <w:lastRenderedPageBreak/>
        <w:t>tekniko eta ekonomikoak aurrekontua bete beharreko ekitaldiaren hurrengo ekitaldiko urtarrilean edo otsailean aurkeztu beharko dituzte</w:t>
      </w:r>
      <w:r>
        <w:rPr>
          <w:rStyle w:val="Normal"/>
          <w:rFonts w:ascii="Arial" w:hAnsi="Arial"/>
        </w:rPr>
        <w:t>.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Horrenbestez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aldez aurr</w:t>
      </w:r>
      <w:r>
        <w:rPr>
          <w:rStyle w:val="Normal"/>
          <w:rFonts w:ascii="Arial" w:hAnsi="Arial"/>
        </w:rPr>
        <w:t>etiko bi gai aipatu behar dira</w:t>
      </w:r>
      <w:r>
        <w:rPr>
          <w:rStyle w:val="Normal"/>
          <w:rFonts w:ascii="Arial" w:hAnsi="Arial"/>
        </w:rPr>
        <w:t>: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Lehena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 xml:space="preserve">Dokumentu horretan emandako datuetan aldeak egon daitezke Nafarroako </w:t>
      </w:r>
      <w:r>
        <w:rPr>
          <w:rStyle w:val="Normal"/>
          <w:rFonts w:ascii="Arial" w:hAnsi="Arial"/>
        </w:rPr>
        <w:t>2015</w:t>
      </w:r>
      <w:r>
        <w:rPr>
          <w:rStyle w:val="Normal"/>
          <w:rFonts w:ascii="Arial" w:hAnsi="Arial"/>
        </w:rPr>
        <w:t>eko oinarrizko gizarte zerbitzuetan esku hartzeko amaierako oroitidazkiarekin konparatuta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zeren eta azken horiek oinarrizko osasun laguntzaren</w:t>
      </w:r>
      <w:r>
        <w:rPr>
          <w:rStyle w:val="Normal"/>
          <w:rFonts w:ascii="Arial" w:hAnsi="Arial"/>
        </w:rPr>
        <w:t xml:space="preserve"> eta gizarteratzeren zerbitzuari aurkeztutako oroitidazkiak baloratzeko prozesuan baitaude</w:t>
      </w:r>
      <w:r>
        <w:rPr>
          <w:rStyle w:val="Normal"/>
          <w:rFonts w:ascii="Arial" w:hAnsi="Arial"/>
        </w:rPr>
        <w:t>.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Bigarrena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 xml:space="preserve">Ezin da </w:t>
      </w:r>
      <w:r>
        <w:rPr>
          <w:rStyle w:val="Normal"/>
          <w:rFonts w:ascii="Arial" w:hAnsi="Arial"/>
        </w:rPr>
        <w:t>2016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urteari buruzko daturik eman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zeren eta oinarrizko gizarte zerbitzuen finantzaketari buruzko araudiari jarraituz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entitateek </w:t>
      </w:r>
      <w:r>
        <w:rPr>
          <w:rStyle w:val="Normal"/>
          <w:rFonts w:ascii="Arial" w:hAnsi="Arial"/>
        </w:rPr>
        <w:t>2016</w:t>
      </w:r>
      <w:r>
        <w:rPr>
          <w:rStyle w:val="Normal"/>
          <w:rFonts w:ascii="Arial" w:hAnsi="Arial"/>
        </w:rPr>
        <w:t>ko ekitald</w:t>
      </w:r>
      <w:r>
        <w:rPr>
          <w:rStyle w:val="Normal"/>
          <w:rFonts w:ascii="Arial" w:hAnsi="Arial"/>
        </w:rPr>
        <w:t xml:space="preserve">iko justifikazioa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ko urtarrilean eta otsailean aurkeztu beharko bailukete</w:t>
      </w:r>
      <w:r>
        <w:rPr>
          <w:rStyle w:val="Normal"/>
          <w:rFonts w:ascii="Arial" w:hAnsi="Arial"/>
        </w:rPr>
        <w:t>.</w:t>
      </w:r>
    </w:p>
    <w:p w:rsidR="00886EAF" w:rsidRDefault="00502CCF" w:rsidP="00A5462A">
      <w:pPr>
        <w:spacing w:line="360" w:lineRule="auto"/>
        <w:jc w:val="both"/>
        <w:rPr>
          <w:rFonts w:ascii="Arial" w:hAnsi="Arial" w:cs="Arial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Aurreko gogoeta horiek kontuan hartuta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Domenech andreak egindako galderei erantzunen diegu</w:t>
      </w:r>
      <w:r>
        <w:rPr>
          <w:rStyle w:val="Normal"/>
          <w:rFonts w:ascii="Arial" w:hAnsi="Arial"/>
        </w:rPr>
        <w:t>.</w:t>
      </w: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t>(</w:t>
      </w:r>
      <w:r>
        <w:rPr>
          <w:rStyle w:val="Normal"/>
          <w:rFonts w:ascii="Arial" w:hAnsi="Arial"/>
          <w:b/>
        </w:rPr>
        <w:t>1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Etxez etxeko laguntza zerbitzua osatzen duten profesionalak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programara bi</w:t>
      </w:r>
      <w:r>
        <w:rPr>
          <w:rStyle w:val="Normal"/>
          <w:rFonts w:ascii="Arial" w:hAnsi="Arial"/>
          <w:b/>
        </w:rPr>
        <w:t>deratutako lanaldi osoko lanpostuen kopurua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zuzeneko edo zeharkako kontrataziokoetatik bereizita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Kontuan hartuz programen araberako arduraldia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Lanaldi osoko profesionalaren arreta</w:t>
      </w:r>
      <w:r>
        <w:rPr>
          <w:rStyle w:val="Normal"/>
          <w:rFonts w:ascii="Arial" w:hAnsi="Arial"/>
          <w:b/>
        </w:rPr>
        <w:t>-</w:t>
      </w:r>
      <w:r>
        <w:rPr>
          <w:rStyle w:val="Normal"/>
          <w:rFonts w:ascii="Arial" w:hAnsi="Arial"/>
          <w:b/>
        </w:rPr>
        <w:t>ratioa</w:t>
      </w:r>
      <w:r>
        <w:rPr>
          <w:rStyle w:val="Normal"/>
          <w:rFonts w:ascii="Arial" w:hAnsi="Arial"/>
          <w:b/>
        </w:rPr>
        <w:t>.</w:t>
      </w:r>
    </w:p>
    <w:p w:rsidR="00A5462A" w:rsidRDefault="00502CCF" w:rsidP="00A5462A">
      <w:pPr>
        <w:ind w:firstLine="709"/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0"/>
        <w:gridCol w:w="2287"/>
        <w:gridCol w:w="2287"/>
      </w:tblGrid>
      <w:tr w:rsidR="00A5462A" w:rsidTr="00A5462A">
        <w:trPr>
          <w:trHeight w:val="915"/>
        </w:trPr>
        <w:tc>
          <w:tcPr>
            <w:tcW w:w="5000" w:type="pct"/>
            <w:gridSpan w:val="3"/>
            <w:shd w:val="clear" w:color="auto" w:fill="BFBFBF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ETXEZ ETXEKO LAGUNTZA ZERBITZUKO PROFESIONALAK</w:t>
            </w:r>
          </w:p>
        </w:tc>
      </w:tr>
      <w:tr w:rsidR="00A5462A" w:rsidTr="00A5462A">
        <w:trPr>
          <w:trHeight w:val="915"/>
        </w:trPr>
        <w:tc>
          <w:tcPr>
            <w:tcW w:w="2354" w:type="pct"/>
            <w:shd w:val="clear" w:color="5B9BD5" w:fill="5B9BD5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Profesionalak</w:t>
            </w:r>
          </w:p>
        </w:tc>
        <w:tc>
          <w:tcPr>
            <w:tcW w:w="1323" w:type="pct"/>
            <w:shd w:val="clear" w:color="5B9BD5" w:fill="5B9BD5"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Zu</w:t>
            </w: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zenean kontratatutako profesionalen lanaldiak</w:t>
            </w:r>
          </w:p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 xml:space="preserve"> Autonomiako programa</w:t>
            </w:r>
          </w:p>
        </w:tc>
        <w:tc>
          <w:tcPr>
            <w:tcW w:w="1323" w:type="pct"/>
            <w:shd w:val="clear" w:color="5B9BD5" w:fill="5B9BD5"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Zeharka kontratatutako profesionalen lanaldiak</w:t>
            </w:r>
          </w:p>
        </w:tc>
      </w:tr>
      <w:tr w:rsidR="00A5462A" w:rsidTr="00DA6A47">
        <w:trPr>
          <w:trHeight w:val="390"/>
        </w:trPr>
        <w:tc>
          <w:tcPr>
            <w:tcW w:w="2354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FAMILIA LANGILEA</w:t>
            </w:r>
          </w:p>
        </w:tc>
        <w:tc>
          <w:tcPr>
            <w:tcW w:w="1323" w:type="pct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04</w:t>
            </w:r>
          </w:p>
        </w:tc>
        <w:tc>
          <w:tcPr>
            <w:tcW w:w="1323" w:type="pct"/>
            <w:noWrap/>
            <w:vAlign w:val="center"/>
          </w:tcPr>
          <w:p w:rsidR="00A5462A" w:rsidRPr="00C36247" w:rsidRDefault="00502CCF" w:rsidP="00A5462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119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19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*</w:t>
            </w:r>
          </w:p>
        </w:tc>
      </w:tr>
      <w:tr w:rsidR="00A5462A" w:rsidTr="00DA6A47">
        <w:trPr>
          <w:trHeight w:val="390"/>
        </w:trPr>
        <w:tc>
          <w:tcPr>
            <w:tcW w:w="2354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GIZARTE LANGILEA</w:t>
            </w:r>
          </w:p>
        </w:tc>
        <w:tc>
          <w:tcPr>
            <w:tcW w:w="1323" w:type="pct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323" w:type="pct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DA6A47">
        <w:trPr>
          <w:trHeight w:val="390"/>
        </w:trPr>
        <w:tc>
          <w:tcPr>
            <w:tcW w:w="2354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GARBIKETAKO LAGUNTZAILEA</w:t>
            </w:r>
          </w:p>
        </w:tc>
        <w:tc>
          <w:tcPr>
            <w:tcW w:w="1323" w:type="pct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1323" w:type="pct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</w:tbl>
    <w:p w:rsidR="00A5462A" w:rsidRPr="00A5462A" w:rsidRDefault="00502CCF" w:rsidP="00A5462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Style w:val="Normal"/>
          <w:rFonts w:ascii="Arial" w:hAnsi="Arial"/>
          <w:sz w:val="16"/>
        </w:rPr>
        <w:t xml:space="preserve">* </w:t>
      </w:r>
      <w:r>
        <w:rPr>
          <w:rStyle w:val="Normal"/>
          <w:rFonts w:ascii="Arial" w:hAnsi="Arial"/>
          <w:b/>
          <w:sz w:val="16"/>
        </w:rPr>
        <w:t>2014</w:t>
      </w:r>
      <w:r>
        <w:rPr>
          <w:rStyle w:val="Normal"/>
          <w:rFonts w:ascii="Arial" w:hAnsi="Arial"/>
          <w:b/>
          <w:sz w:val="16"/>
        </w:rPr>
        <w:t>ko ekitaldiari dagozkion datuak dira</w:t>
      </w:r>
      <w:r>
        <w:rPr>
          <w:rStyle w:val="Normal"/>
          <w:rFonts w:ascii="Arial" w:hAnsi="Arial"/>
          <w:b/>
          <w:sz w:val="16"/>
        </w:rPr>
        <w:t xml:space="preserve">; </w:t>
      </w:r>
      <w:r>
        <w:rPr>
          <w:rStyle w:val="Normal"/>
          <w:rFonts w:ascii="Arial" w:hAnsi="Arial"/>
          <w:b/>
          <w:sz w:val="16"/>
        </w:rPr>
        <w:t>2015</w:t>
      </w:r>
      <w:r>
        <w:rPr>
          <w:rStyle w:val="Normal"/>
          <w:rFonts w:ascii="Arial" w:hAnsi="Arial"/>
          <w:b/>
          <w:sz w:val="16"/>
        </w:rPr>
        <w:t>eko ekitaldiari buruzko datuak</w:t>
      </w:r>
      <w:r>
        <w:rPr>
          <w:rStyle w:val="Normal"/>
          <w:rFonts w:ascii="Arial" w:hAnsi="Arial"/>
          <w:b/>
          <w:sz w:val="16"/>
        </w:rPr>
        <w:t xml:space="preserve">, </w:t>
      </w:r>
      <w:r>
        <w:rPr>
          <w:rStyle w:val="Normal"/>
          <w:rFonts w:ascii="Arial" w:hAnsi="Arial"/>
          <w:b/>
          <w:sz w:val="16"/>
        </w:rPr>
        <w:t>berriz</w:t>
      </w:r>
      <w:r>
        <w:rPr>
          <w:rStyle w:val="Normal"/>
          <w:rFonts w:ascii="Arial" w:hAnsi="Arial"/>
          <w:b/>
          <w:sz w:val="16"/>
        </w:rPr>
        <w:t xml:space="preserve">, </w:t>
      </w:r>
      <w:r>
        <w:rPr>
          <w:rStyle w:val="Normal"/>
          <w:rFonts w:ascii="Arial" w:hAnsi="Arial"/>
          <w:b/>
          <w:sz w:val="16"/>
        </w:rPr>
        <w:t>baliozkotze</w:t>
      </w:r>
      <w:r>
        <w:rPr>
          <w:rStyle w:val="Normal"/>
          <w:rFonts w:ascii="Arial" w:hAnsi="Arial"/>
          <w:b/>
          <w:sz w:val="16"/>
        </w:rPr>
        <w:t>-</w:t>
      </w:r>
      <w:r>
        <w:rPr>
          <w:rStyle w:val="Normal"/>
          <w:rFonts w:ascii="Arial" w:hAnsi="Arial"/>
          <w:b/>
          <w:sz w:val="16"/>
        </w:rPr>
        <w:t>prozesuan daude</w:t>
      </w:r>
      <w:r>
        <w:rPr>
          <w:rStyle w:val="Normal"/>
          <w:rFonts w:ascii="Arial" w:hAnsi="Arial"/>
          <w:b/>
          <w:sz w:val="16"/>
        </w:rPr>
        <w:t>.</w:t>
      </w:r>
    </w:p>
    <w:p w:rsidR="00A5462A" w:rsidRPr="00A5462A" w:rsidRDefault="00502CCF" w:rsidP="00A5462A">
      <w:pPr>
        <w:jc w:val="both"/>
        <w:rPr>
          <w:rFonts w:ascii="Arial" w:hAnsi="Arial" w:cs="Arial"/>
          <w:b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Datu horiei eta guztira artatutako populazioari erreparatuta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langile bakoitzak lanaldi osoari emandako arreta da familia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langile bakoitzeko </w:t>
      </w:r>
      <w:r>
        <w:rPr>
          <w:rStyle w:val="Normal"/>
          <w:rFonts w:ascii="Arial" w:hAnsi="Arial"/>
        </w:rPr>
        <w:t>20</w:t>
      </w:r>
      <w:r>
        <w:rPr>
          <w:rStyle w:val="Normal"/>
          <w:rFonts w:ascii="Arial" w:hAnsi="Arial"/>
        </w:rPr>
        <w:t>,</w:t>
      </w:r>
      <w:r>
        <w:rPr>
          <w:rStyle w:val="Normal"/>
          <w:rFonts w:ascii="Arial" w:hAnsi="Arial"/>
        </w:rPr>
        <w:t xml:space="preserve">45 </w:t>
      </w:r>
      <w:r>
        <w:rPr>
          <w:rStyle w:val="Normal"/>
          <w:rFonts w:ascii="Arial" w:hAnsi="Arial"/>
        </w:rPr>
        <w:t>erabiltzailerena eta gizarte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lang</w:t>
      </w:r>
      <w:r>
        <w:rPr>
          <w:rStyle w:val="Normal"/>
          <w:rFonts w:ascii="Arial" w:hAnsi="Arial"/>
        </w:rPr>
        <w:t xml:space="preserve">ile bakoitzeko </w:t>
      </w:r>
      <w:r>
        <w:rPr>
          <w:rStyle w:val="Normal"/>
          <w:rFonts w:ascii="Arial" w:hAnsi="Arial"/>
        </w:rPr>
        <w:t>94</w:t>
      </w:r>
      <w:r>
        <w:rPr>
          <w:rStyle w:val="Normal"/>
          <w:rFonts w:ascii="Arial" w:hAnsi="Arial"/>
        </w:rPr>
        <w:t>,</w:t>
      </w:r>
      <w:r>
        <w:rPr>
          <w:rStyle w:val="Normal"/>
          <w:rFonts w:ascii="Arial" w:hAnsi="Arial"/>
        </w:rPr>
        <w:t xml:space="preserve">89 </w:t>
      </w:r>
      <w:r>
        <w:rPr>
          <w:rStyle w:val="Normal"/>
          <w:rFonts w:ascii="Arial" w:hAnsi="Arial"/>
        </w:rPr>
        <w:t>erabiltzailerena</w:t>
      </w:r>
      <w:r>
        <w:rPr>
          <w:rStyle w:val="Normal"/>
          <w:rFonts w:ascii="Arial" w:hAnsi="Arial"/>
        </w:rPr>
        <w:t>.</w:t>
      </w:r>
    </w:p>
    <w:p w:rsidR="009340E9" w:rsidRPr="00A5462A" w:rsidRDefault="00502CCF" w:rsidP="009340E9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lastRenderedPageBreak/>
        <w:t>(</w:t>
      </w:r>
      <w:r>
        <w:rPr>
          <w:rStyle w:val="Normal"/>
          <w:rFonts w:ascii="Arial" w:hAnsi="Arial"/>
          <w:b/>
        </w:rPr>
        <w:t>2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Zeharkako kontratazioaren bidez zerbitzua ematen duten entitateak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arloka banakatuta</w:t>
      </w:r>
      <w:r>
        <w:rPr>
          <w:rStyle w:val="Normal"/>
          <w:rFonts w:ascii="Arial" w:hAnsi="Arial"/>
          <w:b/>
        </w:rPr>
        <w:t>.</w:t>
      </w:r>
    </w:p>
    <w:p w:rsidR="00A5462A" w:rsidRPr="009340E9" w:rsidRDefault="00502CCF" w:rsidP="009340E9">
      <w:pPr>
        <w:jc w:val="both"/>
        <w:rPr>
          <w:rFonts w:ascii="Calibri" w:hAnsi="Calibri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3"/>
        <w:gridCol w:w="2941"/>
      </w:tblGrid>
      <w:tr w:rsidR="00A5462A" w:rsidTr="00A5462A">
        <w:trPr>
          <w:trHeight w:val="300"/>
        </w:trPr>
        <w:tc>
          <w:tcPr>
            <w:tcW w:w="5000" w:type="pct"/>
            <w:gridSpan w:val="2"/>
            <w:shd w:val="clear" w:color="auto" w:fill="BFBFBF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sz w:val="22"/>
              </w:rPr>
              <w:t>ZEHARKAKO KONTRATAZIOAREN BIDEZ ZERBITZUA EMATEN DUTEN ENTITATEAK</w:t>
            </w:r>
            <w:r>
              <w:rPr>
                <w:rStyle w:val="Normal"/>
                <w:rFonts w:ascii="Calibri" w:hAnsi="Calibri"/>
                <w:b/>
                <w:sz w:val="22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sz w:val="22"/>
              </w:rPr>
              <w:t xml:space="preserve">BARRUTIKA BANAKATUTA 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shd w:val="clear" w:color="5B9BD5" w:fill="5B9BD5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Oinarrizko Gizarte Zerbitzua</w:t>
            </w:r>
          </w:p>
        </w:tc>
        <w:tc>
          <w:tcPr>
            <w:tcW w:w="1698" w:type="pct"/>
            <w:shd w:val="clear" w:color="5B9BD5" w:fill="5B9BD5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Zerbitz</w:t>
            </w: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ua ematen duen enpresa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BARAÑAIN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TRANSFORMA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/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GAZTELAN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BURLATA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TRANSFORMA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CORELLA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Servicor S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L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CORELLA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Gourmet Food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NOAIN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ETT IRUÑA EMPLEO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 xml:space="preserve">IRUÑA 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ASIMEC S A</w:t>
            </w:r>
          </w:p>
        </w:tc>
      </w:tr>
      <w:tr w:rsidR="00A5462A" w:rsidTr="00A5462A">
        <w:trPr>
          <w:trHeight w:val="300"/>
        </w:trPr>
        <w:tc>
          <w:tcPr>
            <w:tcW w:w="3302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 xml:space="preserve">IRUÑA </w:t>
            </w:r>
          </w:p>
        </w:tc>
        <w:tc>
          <w:tcPr>
            <w:tcW w:w="1698" w:type="pct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SARQUAVITAE</w:t>
            </w:r>
          </w:p>
        </w:tc>
      </w:tr>
    </w:tbl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  <w:b/>
        </w:rPr>
      </w:pPr>
      <w:r>
        <w:rPr>
          <w:rStyle w:val="Normal"/>
          <w:rFonts w:ascii="Arial" w:hAnsi="Arial"/>
          <w:b/>
        </w:rPr>
        <w:t>(</w:t>
      </w:r>
      <w:r>
        <w:rPr>
          <w:rStyle w:val="Normal"/>
          <w:rFonts w:ascii="Arial" w:hAnsi="Arial"/>
          <w:b/>
        </w:rPr>
        <w:t>3</w:t>
      </w:r>
      <w:r>
        <w:rPr>
          <w:rStyle w:val="Normal"/>
          <w:rFonts w:ascii="Arial" w:hAnsi="Arial"/>
          <w:b/>
        </w:rPr>
        <w:t xml:space="preserve">) </w:t>
      </w:r>
      <w:r>
        <w:rPr>
          <w:rStyle w:val="Normal"/>
          <w:rFonts w:ascii="Arial" w:hAnsi="Arial"/>
          <w:b/>
        </w:rPr>
        <w:t>Gizarte langileen jardueraren banaketa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Udalak udal arautegiaren arab</w:t>
      </w:r>
      <w:r>
        <w:rPr>
          <w:rStyle w:val="Normal"/>
          <w:rFonts w:ascii="Arial" w:hAnsi="Arial"/>
          <w:b/>
        </w:rPr>
        <w:t>era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etxez etxeko laguntzako beste zerbitzu batzuk</w:t>
      </w:r>
      <w:r>
        <w:rPr>
          <w:rStyle w:val="Normal"/>
          <w:rFonts w:ascii="Arial" w:hAnsi="Arial"/>
          <w:b/>
        </w:rPr>
        <w:t xml:space="preserve">; </w:t>
      </w:r>
      <w:r>
        <w:rPr>
          <w:rStyle w:val="Normal"/>
          <w:rFonts w:ascii="Arial" w:hAnsi="Arial"/>
          <w:b/>
        </w:rPr>
        <w:t>ELZko ordutegiak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erabiltzaileak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eta eskualdeen arabera hartzen diren prestazioak</w:t>
      </w:r>
      <w:r>
        <w:rPr>
          <w:rStyle w:val="Normal"/>
          <w:rFonts w:ascii="Arial" w:hAnsi="Arial"/>
          <w:b/>
        </w:rPr>
        <w:t xml:space="preserve">. </w:t>
      </w:r>
      <w:r>
        <w:rPr>
          <w:rStyle w:val="Normal"/>
          <w:rFonts w:ascii="Arial" w:hAnsi="Arial"/>
          <w:b/>
        </w:rPr>
        <w:t>Banaketa</w:t>
      </w:r>
      <w:r>
        <w:rPr>
          <w:rStyle w:val="Normal"/>
          <w:rFonts w:ascii="Arial" w:hAnsi="Arial"/>
          <w:b/>
        </w:rPr>
        <w:t xml:space="preserve">, </w:t>
      </w:r>
      <w:r>
        <w:rPr>
          <w:rStyle w:val="Normal"/>
          <w:rFonts w:ascii="Arial" w:hAnsi="Arial"/>
          <w:b/>
        </w:rPr>
        <w:t>zerbitzuen eta adinen arabera</w:t>
      </w:r>
      <w:r>
        <w:rPr>
          <w:rStyle w:val="Normal"/>
          <w:rFonts w:ascii="Arial" w:hAnsi="Arial"/>
          <w:b/>
        </w:rPr>
        <w:t xml:space="preserve">; </w:t>
      </w:r>
      <w:r>
        <w:rPr>
          <w:rStyle w:val="Normal"/>
          <w:rFonts w:ascii="Arial" w:hAnsi="Arial"/>
          <w:b/>
        </w:rPr>
        <w:t>laguntza teknikoetarako maileguak</w:t>
      </w:r>
      <w:r>
        <w:rPr>
          <w:rStyle w:val="Normal"/>
          <w:rFonts w:ascii="Arial" w:hAnsi="Arial"/>
          <w:b/>
        </w:rPr>
        <w:t>.</w:t>
      </w:r>
    </w:p>
    <w:p w:rsidR="00A5462A" w:rsidRPr="00333D5D" w:rsidRDefault="00502CCF" w:rsidP="00A5462A">
      <w:pPr>
        <w:spacing w:line="360" w:lineRule="auto"/>
        <w:jc w:val="both"/>
        <w:rPr>
          <w:rFonts w:ascii="Arial" w:hAnsi="Arial" w:cs="Arial"/>
          <w:b/>
          <w:sz w:val="12"/>
        </w:rPr>
      </w:pPr>
    </w:p>
    <w:p w:rsidR="00A5462A" w:rsidRPr="00A5462A" w:rsidRDefault="00502CCF" w:rsidP="00A5462A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  <w:i/>
        </w:rPr>
        <w:t>“Gizarte</w:t>
      </w:r>
      <w:r>
        <w:rPr>
          <w:rStyle w:val="Normal"/>
          <w:rFonts w:ascii="Arial" w:hAnsi="Arial"/>
          <w:i/>
        </w:rPr>
        <w:t>-</w:t>
      </w:r>
      <w:r>
        <w:rPr>
          <w:rStyle w:val="Normal"/>
          <w:rFonts w:ascii="Arial" w:hAnsi="Arial"/>
          <w:i/>
        </w:rPr>
        <w:t>langileen jardueraren banaketa</w:t>
      </w:r>
      <w:r>
        <w:rPr>
          <w:rStyle w:val="Normal"/>
          <w:rFonts w:ascii="Arial" w:hAnsi="Arial"/>
          <w:i/>
        </w:rPr>
        <w:t>ri”</w:t>
      </w:r>
      <w:r>
        <w:rPr>
          <w:rStyle w:val="Normal"/>
          <w:rFonts w:ascii="Arial" w:hAnsi="Arial"/>
        </w:rPr>
        <w:t xml:space="preserve"> buruz </w:t>
      </w:r>
      <w:r>
        <w:rPr>
          <w:rStyle w:val="Normal"/>
          <w:rFonts w:ascii="Arial" w:hAnsi="Arial"/>
        </w:rPr>
        <w:t>eskatutako informazioari dagokionez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esan beharra daukagu eskatutako informazioa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oroitidazkietan ematen dena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programako familia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langileen jardueraren banaketari buruzkoa dela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Horrenbestez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ondokoko taulan aurkeztutako informazioa etxez etxeko </w:t>
      </w:r>
      <w:r>
        <w:rPr>
          <w:rStyle w:val="Normal"/>
          <w:rFonts w:ascii="Arial" w:hAnsi="Arial"/>
        </w:rPr>
        <w:t>laguntza zerbitzuaren programako familia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langileen jarduketaren banaketari buruzkoa da</w:t>
      </w:r>
      <w:r>
        <w:rPr>
          <w:rStyle w:val="Normal"/>
          <w:rFonts w:ascii="Arial" w:hAnsi="Arial"/>
        </w:rPr>
        <w:t>.</w:t>
      </w:r>
    </w:p>
    <w:p w:rsidR="00A5462A" w:rsidRDefault="00502CCF" w:rsidP="00A5462A">
      <w:pPr>
        <w:jc w:val="both"/>
        <w:rPr>
          <w:rFonts w:ascii="Calibri" w:hAnsi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8"/>
        <w:gridCol w:w="1788"/>
        <w:gridCol w:w="1788"/>
      </w:tblGrid>
      <w:tr w:rsidR="00A5462A" w:rsidTr="00A5462A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sz w:val="20"/>
              </w:rPr>
              <w:t xml:space="preserve">FAMILIA LANGILEEN JARDUERAREN BANAKETA </w:t>
            </w:r>
            <w:r>
              <w:rPr>
                <w:rStyle w:val="Normal"/>
                <w:rFonts w:ascii="Calibri" w:hAnsi="Calibri"/>
                <w:b/>
                <w:sz w:val="20"/>
              </w:rPr>
              <w:t>(</w:t>
            </w:r>
            <w:r>
              <w:rPr>
                <w:rStyle w:val="Normal"/>
                <w:rFonts w:ascii="Calibri" w:hAnsi="Calibri"/>
                <w:b/>
                <w:sz w:val="20"/>
              </w:rPr>
              <w:t>oinarrizko gizarte zerbitzuen guztizko datuak</w:t>
            </w:r>
            <w:r>
              <w:rPr>
                <w:rStyle w:val="Normal"/>
                <w:rFonts w:ascii="Calibri" w:hAnsi="Calibri"/>
                <w:b/>
                <w:sz w:val="20"/>
              </w:rPr>
              <w:t>)</w:t>
            </w:r>
          </w:p>
          <w:p w:rsidR="00A5462A" w:rsidRPr="00F31FA2" w:rsidRDefault="00502CCF" w:rsidP="00A546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Familia langileen jarduera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Orduak</w:t>
            </w: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guztira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Orduen guztizkoaren gaineko ehuneko</w:t>
            </w:r>
            <w:r>
              <w:rPr>
                <w:rStyle w:val="Normal"/>
                <w:rFonts w:ascii="Calibri" w:hAnsi="Calibri"/>
                <w:b/>
                <w:color w:val="FFFFFF"/>
                <w:sz w:val="16"/>
              </w:rPr>
              <w:t>a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Zuzeneko arreta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334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% 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82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Koordinazioa eta Barne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antolamendua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857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% 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02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Joan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2"/>
              </w:rPr>
              <w:t>etorriak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% 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13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Prestakuntza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206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87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% 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87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color w:val="000000"/>
                <w:sz w:val="22"/>
              </w:rPr>
              <w:t>Bestelakoak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601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 xml:space="preserve">% 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A5462A" w:rsidTr="00A5462A">
        <w:trPr>
          <w:trHeight w:val="57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A5462A" w:rsidRDefault="00502CCF" w:rsidP="00A546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2"/>
              </w:rPr>
              <w:t xml:space="preserve">Guztira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595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80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:rsidR="00A5462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 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100</w:t>
            </w:r>
          </w:p>
        </w:tc>
      </w:tr>
    </w:tbl>
    <w:p w:rsidR="00A5462A" w:rsidRDefault="00502CCF" w:rsidP="00A5462A">
      <w:pPr>
        <w:shd w:val="clear" w:color="auto" w:fill="FFFFFF"/>
        <w:jc w:val="both"/>
        <w:rPr>
          <w:rFonts w:ascii="Calibri" w:hAnsi="Calibri"/>
          <w:b/>
        </w:rPr>
      </w:pPr>
    </w:p>
    <w:p w:rsidR="00A5462A" w:rsidRDefault="00502CCF" w:rsidP="00A5462A">
      <w:pPr>
        <w:shd w:val="clear" w:color="auto" w:fill="FFFFFF"/>
        <w:jc w:val="both"/>
        <w:rPr>
          <w:rFonts w:ascii="Calibri" w:hAnsi="Calibri"/>
          <w:b/>
        </w:rPr>
      </w:pPr>
      <w:r>
        <w:lastRenderedPageBreak/>
        <w:br w:type="page"/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18"/>
        <w:gridCol w:w="1168"/>
        <w:gridCol w:w="1104"/>
        <w:gridCol w:w="1424"/>
        <w:gridCol w:w="1157"/>
        <w:gridCol w:w="993"/>
        <w:gridCol w:w="1278"/>
      </w:tblGrid>
      <w:tr w:rsidR="00A5462A" w:rsidTr="00A5462A">
        <w:trPr>
          <w:trHeight w:val="57"/>
        </w:trPr>
        <w:tc>
          <w:tcPr>
            <w:tcW w:w="5000" w:type="pct"/>
            <w:gridSpan w:val="7"/>
            <w:shd w:val="clear" w:color="auto" w:fill="BFBFBF"/>
            <w:vAlign w:val="center"/>
          </w:tcPr>
          <w:p w:rsidR="00A5462A" w:rsidRPr="00AC3286" w:rsidRDefault="00502CCF" w:rsidP="00A5462A">
            <w:pPr>
              <w:shd w:val="clear" w:color="auto" w:fill="BFBFBF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sz w:val="20"/>
              </w:rPr>
              <w:lastRenderedPageBreak/>
              <w:t>FAMILIA LANGILEEN JARDUERAREN ORDUEN ARAB</w:t>
            </w:r>
            <w:r>
              <w:rPr>
                <w:rStyle w:val="Normal"/>
                <w:rFonts w:ascii="Calibri" w:hAnsi="Calibri"/>
                <w:b/>
                <w:sz w:val="20"/>
              </w:rPr>
              <w:t>ERAKO BANAKETA</w:t>
            </w:r>
            <w:r>
              <w:rPr>
                <w:rStyle w:val="Normal"/>
                <w:rFonts w:ascii="Calibri" w:hAnsi="Calibri"/>
                <w:b/>
                <w:sz w:val="20"/>
              </w:rPr>
              <w:t xml:space="preserve">, </w:t>
            </w:r>
            <w:r>
              <w:rPr>
                <w:rStyle w:val="Normal"/>
                <w:rFonts w:ascii="Calibri" w:hAnsi="Calibri"/>
                <w:b/>
                <w:sz w:val="20"/>
              </w:rPr>
              <w:t xml:space="preserve">OINARRIZKO GIZARTE ZERBITZUEN ARABERA 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shd w:val="clear" w:color="5B9BD5" w:fill="5B9BD5"/>
            <w:vAlign w:val="center"/>
          </w:tcPr>
          <w:p w:rsidR="00A5462A" w:rsidRDefault="00502CCF" w:rsidP="00A5462A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2"/>
              </w:rPr>
              <w:t>Oinarrizko Gizarte Zerbitzua</w:t>
            </w:r>
          </w:p>
        </w:tc>
        <w:tc>
          <w:tcPr>
            <w:tcW w:w="639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Zuzeneko arreta</w:t>
            </w:r>
          </w:p>
        </w:tc>
        <w:tc>
          <w:tcPr>
            <w:tcW w:w="604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Koordinazioa eta Barne</w:t>
            </w: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-</w:t>
            </w: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antolamendua</w:t>
            </w:r>
          </w:p>
        </w:tc>
        <w:tc>
          <w:tcPr>
            <w:tcW w:w="779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Joan</w:t>
            </w: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-</w:t>
            </w: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etorriak</w:t>
            </w:r>
          </w:p>
        </w:tc>
        <w:tc>
          <w:tcPr>
            <w:tcW w:w="633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Prestakuntza</w:t>
            </w:r>
          </w:p>
        </w:tc>
        <w:tc>
          <w:tcPr>
            <w:tcW w:w="543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Bestelakoak</w:t>
            </w:r>
          </w:p>
        </w:tc>
        <w:tc>
          <w:tcPr>
            <w:tcW w:w="699" w:type="pct"/>
            <w:shd w:val="clear" w:color="5B9BD5" w:fill="5B9BD5"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FFFFFF"/>
                <w:sz w:val="20"/>
              </w:rPr>
              <w:t>Guztira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Allo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888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Altsasu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670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122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Antzin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392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747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Agoitz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085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221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673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Aranguren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Artaxoa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523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920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279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Auritz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652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653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Aiegi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53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83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149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12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Barañain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142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378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Berriozar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Buñuel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891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623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086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Burla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ta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102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542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Zarrakaztelu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Cascante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702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488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0177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Cintruénigo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Zizur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857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857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234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Corella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Castejón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862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822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767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Doneztebe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386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88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Eguesibarra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470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186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Elizondo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876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Li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zarra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711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42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424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140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536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812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59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Etxarri Aranatz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Uharte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660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747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837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Irurtzun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72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918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Izaba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290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282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58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07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907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47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Leitza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77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332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266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72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322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39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Lesaka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-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Bortziriak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495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175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899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96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327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947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51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Lodosa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487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82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675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87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795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82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Los Arcos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253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581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45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0177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Noain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435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378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Erriberri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776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Orkoien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598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189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983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Iruña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177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791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84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023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67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593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231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52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274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53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Azkoien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280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425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75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243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Gares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997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243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883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Zaraitzu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279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287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485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49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59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095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63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San Adrián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Zangoza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151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448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805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404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37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Tafalla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184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290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76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Tutera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141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130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497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268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Ultzama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648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494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759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260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164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Valtierra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256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602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997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548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55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Viana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240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745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347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7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378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Villatuerta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4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355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150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501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Atarrabia</w:t>
            </w:r>
          </w:p>
        </w:tc>
        <w:tc>
          <w:tcPr>
            <w:tcW w:w="63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8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416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04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320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77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3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50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543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0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  <w:tc>
          <w:tcPr>
            <w:tcW w:w="699" w:type="pct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color w:val="000000"/>
                <w:sz w:val="20"/>
              </w:rPr>
              <w:t>9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286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color w:val="000000"/>
                <w:sz w:val="20"/>
              </w:rPr>
              <w:t>00</w:t>
            </w:r>
          </w:p>
        </w:tc>
      </w:tr>
      <w:tr w:rsidR="00A5462A" w:rsidTr="00A5462A">
        <w:trPr>
          <w:trHeight w:val="57"/>
        </w:trPr>
        <w:tc>
          <w:tcPr>
            <w:tcW w:w="1103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lastRenderedPageBreak/>
              <w:t>Guztira</w:t>
            </w:r>
          </w:p>
        </w:tc>
        <w:tc>
          <w:tcPr>
            <w:tcW w:w="639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445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334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38</w:t>
            </w:r>
          </w:p>
        </w:tc>
        <w:tc>
          <w:tcPr>
            <w:tcW w:w="604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29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857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76</w:t>
            </w:r>
          </w:p>
        </w:tc>
        <w:tc>
          <w:tcPr>
            <w:tcW w:w="779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72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47</w:t>
            </w:r>
          </w:p>
        </w:tc>
        <w:tc>
          <w:tcPr>
            <w:tcW w:w="633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5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206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87</w:t>
            </w:r>
          </w:p>
        </w:tc>
        <w:tc>
          <w:tcPr>
            <w:tcW w:w="543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42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601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32</w:t>
            </w:r>
          </w:p>
        </w:tc>
        <w:tc>
          <w:tcPr>
            <w:tcW w:w="699" w:type="pct"/>
            <w:shd w:val="clear" w:color="000000" w:fill="D6DCE4"/>
            <w:noWrap/>
            <w:vAlign w:val="center"/>
          </w:tcPr>
          <w:p w:rsidR="00A5462A" w:rsidRPr="00D941FA" w:rsidRDefault="00502CCF" w:rsidP="00A5462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595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.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198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,</w:t>
            </w:r>
            <w:r>
              <w:rPr>
                <w:rStyle w:val="Normal"/>
                <w:rFonts w:ascii="Calibri" w:hAnsi="Calibri"/>
                <w:b/>
                <w:color w:val="000000"/>
                <w:sz w:val="20"/>
              </w:rPr>
              <w:t>80</w:t>
            </w:r>
          </w:p>
        </w:tc>
      </w:tr>
    </w:tbl>
    <w:p w:rsidR="00A5462A" w:rsidRDefault="00502CCF" w:rsidP="00A5462A">
      <w:pPr>
        <w:jc w:val="both"/>
        <w:rPr>
          <w:rFonts w:ascii="Calibri" w:hAnsi="Calibri"/>
          <w:b/>
        </w:rPr>
      </w:pPr>
    </w:p>
    <w:tbl>
      <w:tblPr>
        <w:tblW w:w="537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6814"/>
      </w:tblGrid>
      <w:tr w:rsidR="00A5462A" w:rsidRPr="00502CCF" w:rsidTr="00A5462A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BFBFBF"/>
            <w:vAlign w:val="center"/>
          </w:tcPr>
          <w:p w:rsidR="00A5462A" w:rsidRPr="00502CCF" w:rsidRDefault="00502CCF" w:rsidP="00A5462A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>UDALAK UDAL ARAUTEGIAREN ARABERA</w:t>
            </w: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>ETA ETXEZ ETXEKO LAGUNTZAKO BESTE ZERB</w:t>
            </w: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>ITZU BATZUK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Oinarrizko Gizarte Zerbitzua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ARAUDIA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Allo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otsailaren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Altsasu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1999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 NAO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Antzin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irailaren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astelehena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Agoitz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NAO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abuztuaren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Aranguren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otsailaren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Ar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taxoa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251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Auritz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1992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Aiegi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apirilaren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Barañain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NAO eta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Berriozar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Buñuel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Burlata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Zarrakaztelu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Etxez etxeko laguntza zerbitzuari buruzko udal ordenantza egiten ari da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Cascante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0177B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Cintruénigo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134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1995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Zizur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Castejón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Corella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 NAO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Donezt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ebe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1999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Eguesibarra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Elizondo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Lizarra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Etxarri Aranatz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131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Uharte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Irurtzun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Izaba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Leitza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Lesaka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Lodosa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Los Arcos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Ez zen NAOn argitaratu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Noain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Erriberri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Orkoien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Iruña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Gizarte Zerbitzuei buruzko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/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2006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Foru Legea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Azkoien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Gares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Zaraitzu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San Adrián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koa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(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aldaketa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 NAOn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Zangoza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Tafalla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248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Tutera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21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Ultzama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24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Valtierra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2009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02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Viana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28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.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NAO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2005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03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07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Villatuerta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Barne dokumentua</w:t>
            </w:r>
          </w:p>
        </w:tc>
      </w:tr>
      <w:tr w:rsidR="00A5462A" w:rsidRPr="00502CCF" w:rsidTr="00A5462A">
        <w:trPr>
          <w:trHeight w:val="57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Atarrabia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2006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ko urtarrila</w:t>
            </w:r>
          </w:p>
        </w:tc>
      </w:tr>
    </w:tbl>
    <w:p w:rsidR="00A5462A" w:rsidRDefault="00502CCF" w:rsidP="00A5462A">
      <w:pPr>
        <w:jc w:val="both"/>
        <w:rPr>
          <w:rFonts w:ascii="Calibri" w:hAnsi="Calibri"/>
          <w:b/>
        </w:rPr>
      </w:pPr>
    </w:p>
    <w:p w:rsidR="00A5462A" w:rsidRDefault="00502CCF" w:rsidP="00A5462A">
      <w:pPr>
        <w:jc w:val="both"/>
        <w:rPr>
          <w:rFonts w:ascii="Calibri" w:hAnsi="Calibri"/>
          <w:b/>
        </w:rPr>
      </w:pPr>
    </w:p>
    <w:p w:rsidR="00DA6A47" w:rsidRPr="00DA6A47" w:rsidRDefault="00502CCF">
      <w:pPr>
        <w:rPr>
          <w:sz w:val="2"/>
          <w:szCs w:val="2"/>
        </w:rPr>
      </w:pPr>
      <w:r>
        <w:br w:type="page"/>
      </w:r>
    </w:p>
    <w:tbl>
      <w:tblPr>
        <w:tblW w:w="537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6"/>
        <w:gridCol w:w="1059"/>
        <w:gridCol w:w="1121"/>
        <w:gridCol w:w="1059"/>
        <w:gridCol w:w="1086"/>
        <w:gridCol w:w="1059"/>
        <w:gridCol w:w="1121"/>
      </w:tblGrid>
      <w:tr w:rsidR="00A5462A" w:rsidRPr="00502CCF" w:rsidTr="00A5462A">
        <w:trPr>
          <w:trHeight w:val="495"/>
        </w:trPr>
        <w:tc>
          <w:tcPr>
            <w:tcW w:w="5000" w:type="pct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auto"/>
              <w:right w:val="single" w:sz="4" w:space="0" w:color="5B9BD5"/>
            </w:tcBorders>
            <w:shd w:val="clear" w:color="auto" w:fill="BFBFBF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r w:rsidRPr="00502CCF">
              <w:rPr>
                <w:sz w:val="18"/>
                <w:szCs w:val="18"/>
              </w:rPr>
              <w:lastRenderedPageBreak/>
              <w:br w:type="page"/>
            </w: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>BARRUTI GEOGRAFIKOEN A</w:t>
            </w:r>
            <w:r w:rsidRPr="00502CCF">
              <w:rPr>
                <w:rStyle w:val="Normal"/>
                <w:rFonts w:ascii="Calibri" w:hAnsi="Calibri"/>
                <w:b/>
                <w:sz w:val="18"/>
                <w:szCs w:val="18"/>
              </w:rPr>
              <w:t>RABERA JASOTAKO PRESTAZIOAK ZERBITZU ETA ADINEN ARABERAKO BANAKETA LAGUNTZA TEKNIKOAK MAILEGUAN EMATEA</w:t>
            </w:r>
          </w:p>
        </w:tc>
      </w:tr>
      <w:tr w:rsidR="00A5462A" w:rsidRPr="00502CCF" w:rsidTr="00A5462A">
        <w:trPr>
          <w:trHeight w:val="49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Bestelako prestazioak eta oinarrizko gizarte zerbitzuak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Emakumeak 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&lt;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65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urte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Gizonak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&lt;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65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 urte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Emakumeak  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65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80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urte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Gizonak  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65-80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urte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Emakumeak 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&lt;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80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urte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Gizonak     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&lt;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>80</w:t>
            </w:r>
            <w:r w:rsidRPr="00502CCF">
              <w:rPr>
                <w:rStyle w:val="Normal"/>
                <w:rFonts w:ascii="Calibri" w:hAnsi="Calibri"/>
                <w:b/>
                <w:color w:val="FFFFFF"/>
                <w:sz w:val="18"/>
                <w:szCs w:val="18"/>
              </w:rPr>
              <w:t xml:space="preserve"> urte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Etxez etxeko jatorduak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Burlata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Corella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Los Arcos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Iruña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Etxez etxeko arropa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garbiketa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6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Iruña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Garbiketa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Corella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Bestelakoak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2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Zizur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Laguntza teknikoen mailegu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zerbitzua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Altsasu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Antzin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Aranguren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Auritz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Barañain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Buñuel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Cascante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 xml:space="preserve">Cintruénigo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Corella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Eguesibarra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Lizarra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Irurtzun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Leitza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Lesaka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Bortziriak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Lodosa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0177B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Noain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Iruña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San Adrián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Zangoza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Atseden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zerbitzua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Burlata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Irurtzun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Lodosa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Noain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Azkoien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Janari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-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garraioa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lastRenderedPageBreak/>
              <w:t>Burlata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</w:tr>
      <w:tr w:rsidR="00A5462A" w:rsidRPr="00502CCF" w:rsidTr="00A5462A">
        <w:trPr>
          <w:trHeight w:val="3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Orokorra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5462A" w:rsidRPr="00502CCF" w:rsidRDefault="00502CCF" w:rsidP="00A5462A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CCF">
              <w:rPr>
                <w:rStyle w:val="Normal"/>
                <w:rFonts w:ascii="Calibri" w:hAnsi="Calibri"/>
                <w:b/>
                <w:i/>
                <w:color w:val="000000"/>
                <w:sz w:val="18"/>
                <w:szCs w:val="18"/>
              </w:rPr>
              <w:t>172</w:t>
            </w:r>
          </w:p>
        </w:tc>
      </w:tr>
      <w:bookmarkEnd w:id="0"/>
    </w:tbl>
    <w:p w:rsidR="00EC31C9" w:rsidRPr="0006150C" w:rsidRDefault="00502CCF" w:rsidP="00EC31C9">
      <w:pPr>
        <w:spacing w:line="360" w:lineRule="auto"/>
        <w:jc w:val="both"/>
        <w:rPr>
          <w:rFonts w:ascii="Arial" w:hAnsi="Arial" w:cs="Arial"/>
        </w:rPr>
      </w:pPr>
    </w:p>
    <w:p w:rsidR="0006150C" w:rsidRPr="00C96585" w:rsidRDefault="00502CCF" w:rsidP="00B67C4B">
      <w:pPr>
        <w:spacing w:line="360" w:lineRule="auto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Hori guztia jakinarazten</w:t>
      </w:r>
      <w:r>
        <w:rPr>
          <w:rStyle w:val="Normal"/>
          <w:rFonts w:ascii="Arial" w:hAnsi="Arial"/>
        </w:rPr>
        <w:t xml:space="preserve"> dizut Nafarroako Parlamentuko Erregelamenduaren </w:t>
      </w:r>
      <w:r>
        <w:rPr>
          <w:rStyle w:val="Normal"/>
          <w:rFonts w:ascii="Arial" w:hAnsi="Arial"/>
        </w:rPr>
        <w:t>194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artikulua betetzeko</w:t>
      </w:r>
      <w:r>
        <w:rPr>
          <w:rStyle w:val="Normal"/>
          <w:rFonts w:ascii="Arial" w:hAnsi="Arial"/>
        </w:rPr>
        <w:t>.</w:t>
      </w:r>
    </w:p>
    <w:p w:rsidR="0006150C" w:rsidRPr="00C96585" w:rsidRDefault="00502CCF" w:rsidP="0006150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6150C" w:rsidRPr="00C96585" w:rsidRDefault="00502CCF" w:rsidP="0006150C">
      <w:pPr>
        <w:spacing w:line="360" w:lineRule="auto"/>
        <w:ind w:firstLine="708"/>
        <w:jc w:val="center"/>
        <w:outlineLvl w:val="0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2016</w:t>
      </w:r>
      <w:r>
        <w:rPr>
          <w:rStyle w:val="Normal"/>
          <w:rFonts w:ascii="Arial" w:hAnsi="Arial"/>
        </w:rPr>
        <w:t xml:space="preserve">ko ekainaren </w:t>
      </w:r>
      <w:r>
        <w:rPr>
          <w:rStyle w:val="Normal"/>
          <w:rFonts w:ascii="Arial" w:hAnsi="Arial"/>
        </w:rPr>
        <w:t>6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06150C" w:rsidRPr="00C96585" w:rsidRDefault="00502CCF" w:rsidP="0006150C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06150C" w:rsidRPr="000177B1" w:rsidRDefault="00502CCF" w:rsidP="000177B1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Eskubide Sozialetako lehendakariordea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Miguel Laparra Navarro</w:t>
      </w:r>
    </w:p>
    <w:p w:rsidR="0006150C" w:rsidRPr="00FA6849" w:rsidRDefault="00502CCF" w:rsidP="00FA68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E0158" w:rsidRPr="00FA6849" w:rsidRDefault="00502CCF" w:rsidP="00FA68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E0158" w:rsidRDefault="00502CCF" w:rsidP="00FA68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E5A1A" w:rsidRDefault="00502CCF" w:rsidP="00FA6849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5E5A1A" w:rsidSect="005E5A1A">
      <w:headerReference w:type="default" r:id="rId8"/>
      <w:footerReference w:type="even" r:id="rId9"/>
      <w:footerReference w:type="default" r:id="rId10"/>
      <w:pgSz w:w="11906" w:h="16838" w:code="9"/>
      <w:pgMar w:top="1588" w:right="1701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AA" w:rsidRDefault="00502CCF">
      <w:r>
        <w:separator/>
      </w:r>
    </w:p>
  </w:endnote>
  <w:endnote w:type="continuationSeparator" w:id="0">
    <w:p w:rsidR="001D6BAA" w:rsidRDefault="0050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31" w:rsidRPr="005E5A1A" w:rsidRDefault="00502CCF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/>
        <w:sz w:val="20"/>
      </w:rPr>
      <w:tab/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8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NUMPAGES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8</w:t>
    </w:r>
    <w:r>
      <w:rPr>
        <w:rStyle w:val="Nmerodepgina"/>
        <w:rFonts w:ascii="Arial" w:hAnsi="Arial"/>
        <w:sz w:val="20"/>
      </w:rPr>
      <w:fldChar w:fldCharType="end"/>
    </w:r>
    <w:r>
      <w:rPr>
        <w:rStyle w:val="Piedepgina"/>
        <w:rFonts w:ascii="Arial" w:hAnsi="Arial"/>
        <w:sz w:val="20"/>
      </w:rPr>
      <w:tab/>
    </w:r>
    <w:r>
      <w:rPr>
        <w:rStyle w:val="Piedepgina"/>
        <w:rFonts w:ascii="Arial" w:hAnsi="Arial"/>
        <w:sz w:val="20"/>
      </w:rPr>
      <w:t>9-16</w:t>
    </w:r>
    <w:r>
      <w:rPr>
        <w:rStyle w:val="Piedepgina"/>
        <w:rFonts w:ascii="Arial" w:hAnsi="Arial"/>
        <w:sz w:val="20"/>
      </w:rPr>
      <w:t>/</w:t>
    </w:r>
    <w:r>
      <w:rPr>
        <w:rStyle w:val="Piedepgina"/>
        <w:rFonts w:ascii="Arial" w:hAnsi="Arial"/>
        <w:sz w:val="20"/>
      </w:rPr>
      <w:t>PES</w:t>
    </w:r>
    <w:r>
      <w:rPr>
        <w:rStyle w:val="Piedepgina"/>
        <w:rFonts w:ascii="Arial" w:hAnsi="Arial"/>
        <w:sz w:val="20"/>
      </w:rPr>
      <w:t>-</w:t>
    </w:r>
    <w:r>
      <w:rPr>
        <w:rStyle w:val="Piedepgina"/>
        <w:rFonts w:ascii="Arial" w:hAnsi="Arial"/>
        <w:sz w:val="20"/>
      </w:rPr>
      <w:t>00213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31" w:rsidRPr="009E1EFF" w:rsidRDefault="00502CCF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/>
        <w:sz w:val="20"/>
      </w:rPr>
      <w:tab/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PAGE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7</w:t>
    </w:r>
    <w:r>
      <w:rPr>
        <w:rStyle w:val="Nmerodepgina"/>
        <w:rFonts w:ascii="Arial" w:hAnsi="Arial"/>
        <w:sz w:val="20"/>
      </w:rPr>
      <w:fldChar w:fldCharType="end"/>
    </w:r>
    <w:r>
      <w:rPr>
        <w:rStyle w:val="Nmerodepgina"/>
        <w:rFonts w:ascii="Arial" w:hAnsi="Arial"/>
        <w:sz w:val="20"/>
      </w:rPr>
      <w:t>/</w:t>
    </w:r>
    <w:r>
      <w:rPr>
        <w:rStyle w:val="Nmerodepgina"/>
        <w:rFonts w:ascii="Arial" w:hAnsi="Arial"/>
        <w:sz w:val="20"/>
      </w:rPr>
      <w:fldChar w:fldCharType="begin"/>
    </w:r>
    <w:r>
      <w:rPr>
        <w:rStyle w:val="Nmerodepgina"/>
        <w:rFonts w:ascii="Arial" w:hAnsi="Arial"/>
        <w:sz w:val="20"/>
      </w:rPr>
      <w:instrText xml:space="preserve"> NUMPAGE</w:instrText>
    </w:r>
    <w:r>
      <w:rPr>
        <w:rStyle w:val="Nmerodepgina"/>
        <w:rFonts w:ascii="Arial" w:hAnsi="Arial"/>
        <w:sz w:val="20"/>
      </w:rPr>
      <w:instrText xml:space="preserve">S </w:instrText>
    </w:r>
    <w:r>
      <w:rPr>
        <w:rStyle w:val="Nmerodepgina"/>
        <w:rFonts w:ascii="Arial" w:hAnsi="Arial"/>
        <w:sz w:val="20"/>
      </w:rPr>
      <w:fldChar w:fldCharType="separate"/>
    </w:r>
    <w:r>
      <w:rPr>
        <w:rStyle w:val="Nmerodepgina"/>
        <w:rFonts w:ascii="Arial" w:hAnsi="Arial"/>
        <w:noProof/>
        <w:sz w:val="20"/>
      </w:rPr>
      <w:t>8</w:t>
    </w:r>
    <w:r>
      <w:rPr>
        <w:rStyle w:val="Nmerodepgina"/>
        <w:rFonts w:ascii="Arial" w:hAnsi="Arial"/>
        <w:sz w:val="20"/>
      </w:rPr>
      <w:fldChar w:fldCharType="end"/>
    </w:r>
    <w:r>
      <w:rPr>
        <w:rStyle w:val="Piedepgina"/>
        <w:rFonts w:ascii="Arial" w:hAnsi="Arial"/>
        <w:sz w:val="20"/>
      </w:rPr>
      <w:tab/>
    </w:r>
    <w:r>
      <w:rPr>
        <w:rStyle w:val="Piedepgina"/>
        <w:rFonts w:ascii="Arial" w:hAnsi="Arial"/>
        <w:sz w:val="20"/>
      </w:rPr>
      <w:t>9-16</w:t>
    </w:r>
    <w:r>
      <w:rPr>
        <w:rStyle w:val="Piedepgina"/>
        <w:rFonts w:ascii="Arial" w:hAnsi="Arial"/>
        <w:sz w:val="20"/>
      </w:rPr>
      <w:t>/</w:t>
    </w:r>
    <w:r>
      <w:rPr>
        <w:rStyle w:val="Piedepgina"/>
        <w:rFonts w:ascii="Arial" w:hAnsi="Arial"/>
        <w:sz w:val="20"/>
      </w:rPr>
      <w:t>PES</w:t>
    </w:r>
    <w:r>
      <w:rPr>
        <w:rStyle w:val="Piedepgina"/>
        <w:rFonts w:ascii="Arial" w:hAnsi="Arial"/>
        <w:sz w:val="20"/>
      </w:rPr>
      <w:t>-</w:t>
    </w:r>
    <w:r>
      <w:rPr>
        <w:rStyle w:val="Piedepgina"/>
        <w:rFonts w:ascii="Arial" w:hAnsi="Arial"/>
        <w:sz w:val="20"/>
      </w:rPr>
      <w:t>00213</w:t>
    </w:r>
    <w:r>
      <w:rPr>
        <w:rStyle w:val="Piedepgin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AA" w:rsidRDefault="00502CCF">
      <w:r>
        <w:separator/>
      </w:r>
    </w:p>
  </w:footnote>
  <w:footnote w:type="continuationSeparator" w:id="0">
    <w:p w:rsidR="001D6BAA" w:rsidRDefault="0050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31" w:rsidRDefault="00BF128D" w:rsidP="00360C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4169410" cy="757555"/>
          <wp:effectExtent l="0" t="0" r="254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1" t="18646" r="2335" b="60086"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2931" w:rsidRDefault="00502CCF" w:rsidP="00360CD5">
    <w:pPr>
      <w:pStyle w:val="Encabezado"/>
      <w:jc w:val="center"/>
    </w:pPr>
  </w:p>
  <w:p w:rsidR="00812931" w:rsidRDefault="00502CCF" w:rsidP="00360CD5">
    <w:pPr>
      <w:pStyle w:val="Encabezado"/>
      <w:jc w:val="center"/>
    </w:pPr>
  </w:p>
  <w:p w:rsidR="00812931" w:rsidRDefault="00502CCF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670"/>
    <w:multiLevelType w:val="hybridMultilevel"/>
    <w:tmpl w:val="48F6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502CCF"/>
    <w:rsid w:val="00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BF1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128D"/>
    <w:rPr>
      <w:rFonts w:ascii="Tahoma" w:hAnsi="Tahoma" w:cs="Tahoma"/>
      <w:sz w:val="16"/>
      <w:szCs w:val="16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BF1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128D"/>
    <w:rPr>
      <w:rFonts w:ascii="Tahoma" w:hAnsi="Tahoma" w:cs="Tahoma"/>
      <w:sz w:val="16"/>
      <w:szCs w:val="16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1397</Words>
  <Characters>9529</Characters>
  <Application>Microsoft Office Word</Application>
  <DocSecurity>0</DocSecurity>
  <Lines>4764</Lines>
  <Paragraphs>2731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De Santiago, Iñaki</cp:lastModifiedBy>
  <cp:revision>3</cp:revision>
  <cp:lastPrinted>2016-06-06T11:55:00Z</cp:lastPrinted>
  <dcterms:created xsi:type="dcterms:W3CDTF">2016-07-01T11:19:00Z</dcterms:created>
  <dcterms:modified xsi:type="dcterms:W3CDTF">2016-07-01T11:35:00Z</dcterms:modified>
</cp:coreProperties>
</file>