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15AC" w:rsidRDefault="00FA495F" w:rsidP="003A3339">
      <w:pPr>
        <w:pStyle w:val="EstiloPortada"/>
        <w:tabs>
          <w:tab w:val="left" w:pos="4253"/>
        </w:tabs>
        <w:ind w:left="4253" w:right="-709"/>
        <w:jc w:val="both"/>
        <w:rPr>
          <w:b w:val="0"/>
          <w:sz w:val="24"/>
        </w:rPr>
      </w:pPr>
      <w:r w:rsidRPr="00F8474A">
        <w:rPr>
          <w:rFonts w:ascii="GillSans" w:hAnsi="GillSans"/>
          <w:noProof/>
          <w:color w:val="808080"/>
          <w:sz w:val="40"/>
          <w:szCs w:val="40"/>
          <w:lang w:val="es-ES" w:eastAsia="es-ES"/>
        </w:rPr>
        <mc:AlternateContent>
          <mc:Choice Requires="wps">
            <w:drawing>
              <wp:anchor distT="0" distB="0" distL="114300" distR="114300" simplePos="0" relativeHeight="251657728" behindDoc="0" locked="0" layoutInCell="1" allowOverlap="1" wp14:anchorId="74612485" wp14:editId="4DC3006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83F3D" w:rsidRPr="00D115AC" w:rsidRDefault="00783F3D" w:rsidP="002C7026">
                            <w:pPr>
                              <w:spacing w:after="0"/>
                              <w:ind w:firstLine="0"/>
                              <w:jc w:val="center"/>
                              <w:rPr>
                                <w:rFonts w:ascii="Trajan" w:hAnsi="Trajan"/>
                                <w:sz w:val="18"/>
                                <w:szCs w:val="18"/>
                                <w:lang w:val="es-ES"/>
                              </w:rPr>
                            </w:pPr>
                            <w:r w:rsidRPr="00D115AC">
                              <w:rPr>
                                <w:rFonts w:ascii="Trajan" w:hAnsi="Trajan"/>
                                <w:sz w:val="18"/>
                                <w:szCs w:val="18"/>
                                <w:lang w:val="es-ES"/>
                              </w:rPr>
                              <w:t>Cámara de</w:t>
                            </w:r>
                          </w:p>
                          <w:p w:rsidR="00783F3D" w:rsidRPr="00D115AC" w:rsidRDefault="00783F3D" w:rsidP="002C7026">
                            <w:pPr>
                              <w:spacing w:after="0"/>
                              <w:ind w:firstLine="0"/>
                              <w:jc w:val="center"/>
                              <w:rPr>
                                <w:rFonts w:ascii="Trajan" w:hAnsi="Trajan"/>
                                <w:sz w:val="18"/>
                                <w:szCs w:val="18"/>
                                <w:lang w:val="es-ES"/>
                              </w:rPr>
                            </w:pPr>
                            <w:r w:rsidRPr="00D115AC">
                              <w:rPr>
                                <w:rFonts w:ascii="Trajan" w:hAnsi="Trajan"/>
                                <w:sz w:val="18"/>
                                <w:szCs w:val="18"/>
                                <w:lang w:val="es-ES"/>
                              </w:rPr>
                              <w:t>Comptos</w:t>
                            </w:r>
                          </w:p>
                          <w:p w:rsidR="00783F3D" w:rsidRPr="00D115AC" w:rsidRDefault="00783F3D" w:rsidP="002C7026">
                            <w:pPr>
                              <w:spacing w:after="0"/>
                              <w:ind w:firstLine="0"/>
                              <w:jc w:val="center"/>
                              <w:rPr>
                                <w:rFonts w:ascii="Trajan" w:hAnsi="Trajan"/>
                                <w:sz w:val="18"/>
                                <w:szCs w:val="18"/>
                                <w:lang w:val="es-ES"/>
                              </w:rPr>
                            </w:pPr>
                            <w:r w:rsidRPr="00D115AC">
                              <w:rPr>
                                <w:rFonts w:ascii="Trajan" w:hAnsi="Trajan"/>
                                <w:sz w:val="18"/>
                                <w:szCs w:val="18"/>
                                <w:lang w:val="es-ES"/>
                              </w:rPr>
                              <w:t>de Navarra</w:t>
                            </w:r>
                          </w:p>
                          <w:p w:rsidR="00783F3D" w:rsidRPr="00D115AC" w:rsidRDefault="00783F3D" w:rsidP="002C7026">
                            <w:pPr>
                              <w:spacing w:after="0"/>
                              <w:ind w:firstLine="0"/>
                              <w:jc w:val="center"/>
                              <w:rPr>
                                <w:rFonts w:ascii="Trajan" w:hAnsi="Trajan"/>
                                <w:color w:val="808080"/>
                                <w:sz w:val="18"/>
                                <w:szCs w:val="18"/>
                                <w:lang w:val="es-ES"/>
                              </w:rPr>
                            </w:pPr>
                            <w:r w:rsidRPr="00D115AC">
                              <w:rPr>
                                <w:rFonts w:ascii="Trajan" w:hAnsi="Trajan"/>
                                <w:color w:val="808080"/>
                                <w:sz w:val="18"/>
                                <w:szCs w:val="18"/>
                                <w:lang w:val="es-ES"/>
                              </w:rPr>
                              <w:t>Nafarroako</w:t>
                            </w:r>
                          </w:p>
                          <w:p w:rsidR="00783F3D" w:rsidRPr="00D115AC" w:rsidRDefault="00783F3D"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w:t>
                            </w:r>
                            <w:r w:rsidRPr="00D115AC">
                              <w:rPr>
                                <w:rFonts w:ascii="Trajan" w:hAnsi="Trajan"/>
                                <w:color w:val="808080"/>
                                <w:sz w:val="18"/>
                                <w:szCs w:val="18"/>
                                <w:lang w:val="es-ES"/>
                              </w:rPr>
                              <w:t>ontuen</w:t>
                            </w:r>
                          </w:p>
                          <w:p w:rsidR="00783F3D" w:rsidRPr="00D115AC" w:rsidRDefault="00783F3D"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D115AC">
                              <w:rPr>
                                <w:rFonts w:ascii="Trajan" w:hAnsi="Trajan"/>
                                <w:color w:val="808080"/>
                                <w:sz w:val="18"/>
                                <w:szCs w:val="18"/>
                                <w:lang w:val="es-ES"/>
                              </w:rPr>
                              <w:t>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83F3D" w:rsidRPr="00D115AC" w:rsidRDefault="00783F3D" w:rsidP="002C7026">
                      <w:pPr>
                        <w:spacing w:after="0"/>
                        <w:ind w:firstLine="0"/>
                        <w:jc w:val="center"/>
                        <w:rPr>
                          <w:rFonts w:ascii="Trajan" w:hAnsi="Trajan"/>
                          <w:sz w:val="18"/>
                          <w:szCs w:val="18"/>
                          <w:lang w:val="es-ES"/>
                        </w:rPr>
                      </w:pPr>
                      <w:r w:rsidRPr="00D115AC">
                        <w:rPr>
                          <w:rFonts w:ascii="Trajan" w:hAnsi="Trajan"/>
                          <w:sz w:val="18"/>
                          <w:szCs w:val="18"/>
                          <w:lang w:val="es-ES"/>
                        </w:rPr>
                        <w:t>Cámara de</w:t>
                      </w:r>
                    </w:p>
                    <w:p w:rsidR="00783F3D" w:rsidRPr="00D115AC" w:rsidRDefault="00783F3D" w:rsidP="002C7026">
                      <w:pPr>
                        <w:spacing w:after="0"/>
                        <w:ind w:firstLine="0"/>
                        <w:jc w:val="center"/>
                        <w:rPr>
                          <w:rFonts w:ascii="Trajan" w:hAnsi="Trajan"/>
                          <w:sz w:val="18"/>
                          <w:szCs w:val="18"/>
                          <w:lang w:val="es-ES"/>
                        </w:rPr>
                      </w:pPr>
                      <w:r w:rsidRPr="00D115AC">
                        <w:rPr>
                          <w:rFonts w:ascii="Trajan" w:hAnsi="Trajan"/>
                          <w:sz w:val="18"/>
                          <w:szCs w:val="18"/>
                          <w:lang w:val="es-ES"/>
                        </w:rPr>
                        <w:t>Comptos</w:t>
                      </w:r>
                    </w:p>
                    <w:p w:rsidR="00783F3D" w:rsidRPr="00D115AC" w:rsidRDefault="00783F3D" w:rsidP="002C7026">
                      <w:pPr>
                        <w:spacing w:after="0"/>
                        <w:ind w:firstLine="0"/>
                        <w:jc w:val="center"/>
                        <w:rPr>
                          <w:rFonts w:ascii="Trajan" w:hAnsi="Trajan"/>
                          <w:sz w:val="18"/>
                          <w:szCs w:val="18"/>
                          <w:lang w:val="es-ES"/>
                        </w:rPr>
                      </w:pPr>
                      <w:r w:rsidRPr="00D115AC">
                        <w:rPr>
                          <w:rFonts w:ascii="Trajan" w:hAnsi="Trajan"/>
                          <w:sz w:val="18"/>
                          <w:szCs w:val="18"/>
                          <w:lang w:val="es-ES"/>
                        </w:rPr>
                        <w:t>de Navarra</w:t>
                      </w:r>
                    </w:p>
                    <w:p w:rsidR="00783F3D" w:rsidRPr="00D115AC" w:rsidRDefault="00783F3D" w:rsidP="002C7026">
                      <w:pPr>
                        <w:spacing w:after="0"/>
                        <w:ind w:firstLine="0"/>
                        <w:jc w:val="center"/>
                        <w:rPr>
                          <w:rFonts w:ascii="Trajan" w:hAnsi="Trajan"/>
                          <w:color w:val="808080"/>
                          <w:sz w:val="18"/>
                          <w:szCs w:val="18"/>
                          <w:lang w:val="es-ES"/>
                        </w:rPr>
                      </w:pPr>
                      <w:r w:rsidRPr="00D115AC">
                        <w:rPr>
                          <w:rFonts w:ascii="Trajan" w:hAnsi="Trajan"/>
                          <w:color w:val="808080"/>
                          <w:sz w:val="18"/>
                          <w:szCs w:val="18"/>
                          <w:lang w:val="es-ES"/>
                        </w:rPr>
                        <w:t>Nafarroako</w:t>
                      </w:r>
                    </w:p>
                    <w:p w:rsidR="00783F3D" w:rsidRPr="00D115AC" w:rsidRDefault="00783F3D"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w:t>
                      </w:r>
                      <w:r w:rsidRPr="00D115AC">
                        <w:rPr>
                          <w:rFonts w:ascii="Trajan" w:hAnsi="Trajan"/>
                          <w:color w:val="808080"/>
                          <w:sz w:val="18"/>
                          <w:szCs w:val="18"/>
                          <w:lang w:val="es-ES"/>
                        </w:rPr>
                        <w:t>ontuen</w:t>
                      </w:r>
                    </w:p>
                    <w:p w:rsidR="00783F3D" w:rsidRPr="00D115AC" w:rsidRDefault="00783F3D"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D115AC">
                        <w:rPr>
                          <w:rFonts w:ascii="Trajan" w:hAnsi="Trajan"/>
                          <w:color w:val="808080"/>
                          <w:sz w:val="18"/>
                          <w:szCs w:val="18"/>
                          <w:lang w:val="es-ES"/>
                        </w:rPr>
                        <w:t>anbera</w:t>
                      </w:r>
                    </w:p>
                  </w:txbxContent>
                </v:textbox>
              </v:shape>
            </w:pict>
          </mc:Fallback>
        </mc:AlternateContent>
      </w:r>
    </w:p>
    <w:p w:rsidR="003A3339" w:rsidRPr="00D115AC" w:rsidRDefault="003A3339" w:rsidP="003A3339">
      <w:pPr>
        <w:pStyle w:val="EstiloPortada"/>
        <w:tabs>
          <w:tab w:val="left" w:pos="4253"/>
        </w:tabs>
        <w:ind w:left="4253" w:right="-709"/>
        <w:jc w:val="both"/>
        <w:rPr>
          <w:b w:val="0"/>
          <w:sz w:val="24"/>
        </w:rPr>
      </w:pPr>
    </w:p>
    <w:p w:rsidR="00946655" w:rsidRDefault="00A47FF0" w:rsidP="00E93720">
      <w:pPr>
        <w:pStyle w:val="EstiloPortada"/>
        <w:ind w:left="3828"/>
        <w:rPr>
          <w:sz w:val="48"/>
          <w:szCs w:val="48"/>
        </w:rPr>
      </w:pPr>
      <w:r>
        <w:rPr>
          <w:sz w:val="48"/>
          <w:szCs w:val="48"/>
        </w:rPr>
        <w:t>Mancomunidad de servicios sociales de Lumbier</w:t>
      </w:r>
      <w:r w:rsidR="00E93720">
        <w:rPr>
          <w:sz w:val="48"/>
          <w:szCs w:val="48"/>
        </w:rPr>
        <w:t>, 2015</w:t>
      </w:r>
      <w:r w:rsidR="00D115AC">
        <w:rPr>
          <w:sz w:val="48"/>
          <w:szCs w:val="48"/>
        </w:rPr>
        <w:t xml:space="preserve"> </w:t>
      </w: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847AF3" w:rsidRDefault="00847AF3" w:rsidP="00891D73">
      <w:pPr>
        <w:pStyle w:val="texto"/>
      </w:pPr>
    </w:p>
    <w:p w:rsidR="00847AF3" w:rsidRPr="00204979" w:rsidRDefault="00847AF3"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E93720" w:rsidRDefault="00E93720" w:rsidP="00891D73">
      <w:pPr>
        <w:pStyle w:val="texto"/>
      </w:pPr>
    </w:p>
    <w:p w:rsidR="00E93720" w:rsidRDefault="00E93720" w:rsidP="00891D73">
      <w:pPr>
        <w:pStyle w:val="texto"/>
      </w:pPr>
    </w:p>
    <w:p w:rsidR="00E93720" w:rsidRPr="00204979" w:rsidRDefault="00E93720" w:rsidP="00891D73">
      <w:pPr>
        <w:pStyle w:val="texto"/>
      </w:pPr>
    </w:p>
    <w:p w:rsidR="00844F74" w:rsidRPr="00204979" w:rsidRDefault="00844F74" w:rsidP="00891D73">
      <w:pPr>
        <w:pStyle w:val="texto"/>
      </w:pPr>
    </w:p>
    <w:p w:rsidR="00716463" w:rsidRPr="001D4F09" w:rsidRDefault="00902B9C" w:rsidP="009936FC">
      <w:pPr>
        <w:pStyle w:val="Fechaportada"/>
      </w:pPr>
      <w:r>
        <w:t>Febrero</w:t>
      </w:r>
      <w:r w:rsidR="00654DE3">
        <w:t>,</w:t>
      </w:r>
      <w:r w:rsidR="00253E78" w:rsidRPr="001D4F09">
        <w:t xml:space="preserve"> 20</w:t>
      </w:r>
      <w:r w:rsidR="00D115AC">
        <w:t>1</w:t>
      </w:r>
      <w:r w:rsidR="00654DE3">
        <w:t>7</w:t>
      </w:r>
    </w:p>
    <w:p w:rsidR="008E3FFE" w:rsidRPr="001D4F09" w:rsidRDefault="008E3FFE" w:rsidP="00891D73">
      <w:pPr>
        <w:pStyle w:val="ndice"/>
        <w:rPr>
          <w:rFonts w:ascii="Times New Roman" w:hAnsi="Times New Roman"/>
        </w:rPr>
        <w:sectPr w:rsidR="008E3FFE" w:rsidRPr="001D4F09" w:rsidSect="00822C0B">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D115AC" w:rsidRDefault="00D115AC" w:rsidP="00D115AC">
      <w:pPr>
        <w:pStyle w:val="ndice"/>
      </w:pPr>
      <w:r w:rsidRPr="00891D73">
        <w:lastRenderedPageBreak/>
        <w:t>Índice</w:t>
      </w:r>
    </w:p>
    <w:p w:rsidR="00D115AC" w:rsidRPr="004950CC" w:rsidRDefault="00D115AC" w:rsidP="00D115AC">
      <w:pPr>
        <w:pStyle w:val="texto"/>
        <w:ind w:right="-211"/>
        <w:jc w:val="right"/>
        <w:rPr>
          <w:smallCaps/>
          <w:sz w:val="20"/>
          <w:szCs w:val="20"/>
        </w:rPr>
      </w:pPr>
      <w:r>
        <w:tab/>
      </w:r>
      <w:r>
        <w:tab/>
      </w:r>
      <w:r>
        <w:tab/>
      </w:r>
      <w:r>
        <w:tab/>
      </w:r>
      <w:r>
        <w:tab/>
      </w:r>
      <w:r>
        <w:rPr>
          <w:smallCaps/>
          <w:sz w:val="20"/>
          <w:szCs w:val="20"/>
        </w:rPr>
        <w:t>página</w:t>
      </w:r>
    </w:p>
    <w:p w:rsidR="00575A3F" w:rsidRDefault="00D115AC">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75093082" w:history="1">
        <w:r w:rsidR="00575A3F" w:rsidRPr="00E556AB">
          <w:rPr>
            <w:rStyle w:val="Hipervnculo"/>
            <w:noProof/>
          </w:rPr>
          <w:t>I. Introducción</w:t>
        </w:r>
        <w:r w:rsidR="00575A3F">
          <w:rPr>
            <w:noProof/>
            <w:webHidden/>
          </w:rPr>
          <w:tab/>
        </w:r>
        <w:r w:rsidR="00575A3F">
          <w:rPr>
            <w:noProof/>
            <w:webHidden/>
          </w:rPr>
          <w:fldChar w:fldCharType="begin"/>
        </w:r>
        <w:r w:rsidR="00575A3F">
          <w:rPr>
            <w:noProof/>
            <w:webHidden/>
          </w:rPr>
          <w:instrText xml:space="preserve"> PAGEREF _Toc475093082 \h </w:instrText>
        </w:r>
        <w:r w:rsidR="00575A3F">
          <w:rPr>
            <w:noProof/>
            <w:webHidden/>
          </w:rPr>
        </w:r>
        <w:r w:rsidR="00575A3F">
          <w:rPr>
            <w:noProof/>
            <w:webHidden/>
          </w:rPr>
          <w:fldChar w:fldCharType="separate"/>
        </w:r>
        <w:r w:rsidR="00575A3F">
          <w:rPr>
            <w:noProof/>
            <w:webHidden/>
          </w:rPr>
          <w:t>3</w:t>
        </w:r>
        <w:r w:rsidR="00575A3F">
          <w:rPr>
            <w:noProof/>
            <w:webHidden/>
          </w:rPr>
          <w:fldChar w:fldCharType="end"/>
        </w:r>
      </w:hyperlink>
    </w:p>
    <w:p w:rsidR="00575A3F" w:rsidRDefault="00B90792">
      <w:pPr>
        <w:pStyle w:val="TDC1"/>
        <w:rPr>
          <w:rFonts w:asciiTheme="minorHAnsi" w:eastAsiaTheme="minorEastAsia" w:hAnsiTheme="minorHAnsi" w:cstheme="minorBidi"/>
          <w:smallCaps w:val="0"/>
          <w:noProof/>
          <w:szCs w:val="22"/>
          <w:lang w:val="es-ES" w:eastAsia="es-ES"/>
        </w:rPr>
      </w:pPr>
      <w:hyperlink w:anchor="_Toc475093083" w:history="1">
        <w:r w:rsidR="00575A3F" w:rsidRPr="00E556AB">
          <w:rPr>
            <w:rStyle w:val="Hipervnculo"/>
            <w:noProof/>
          </w:rPr>
          <w:t>II. Opinión</w:t>
        </w:r>
        <w:r w:rsidR="00575A3F">
          <w:rPr>
            <w:noProof/>
            <w:webHidden/>
          </w:rPr>
          <w:tab/>
        </w:r>
        <w:r w:rsidR="00575A3F">
          <w:rPr>
            <w:noProof/>
            <w:webHidden/>
          </w:rPr>
          <w:fldChar w:fldCharType="begin"/>
        </w:r>
        <w:r w:rsidR="00575A3F">
          <w:rPr>
            <w:noProof/>
            <w:webHidden/>
          </w:rPr>
          <w:instrText xml:space="preserve"> PAGEREF _Toc475093083 \h </w:instrText>
        </w:r>
        <w:r w:rsidR="00575A3F">
          <w:rPr>
            <w:noProof/>
            <w:webHidden/>
          </w:rPr>
        </w:r>
        <w:r w:rsidR="00575A3F">
          <w:rPr>
            <w:noProof/>
            <w:webHidden/>
          </w:rPr>
          <w:fldChar w:fldCharType="separate"/>
        </w:r>
        <w:r w:rsidR="00575A3F">
          <w:rPr>
            <w:noProof/>
            <w:webHidden/>
          </w:rPr>
          <w:t>7</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84" w:history="1">
        <w:r w:rsidR="00575A3F" w:rsidRPr="00E556AB">
          <w:rPr>
            <w:rStyle w:val="Hipervnculo"/>
            <w:noProof/>
          </w:rPr>
          <w:t>II.1. Opinión de auditoría financiera sobre la cuenta general de 2015</w:t>
        </w:r>
        <w:r w:rsidR="00575A3F">
          <w:rPr>
            <w:noProof/>
            <w:webHidden/>
          </w:rPr>
          <w:tab/>
        </w:r>
        <w:r w:rsidR="00575A3F">
          <w:rPr>
            <w:noProof/>
            <w:webHidden/>
          </w:rPr>
          <w:fldChar w:fldCharType="begin"/>
        </w:r>
        <w:r w:rsidR="00575A3F">
          <w:rPr>
            <w:noProof/>
            <w:webHidden/>
          </w:rPr>
          <w:instrText xml:space="preserve"> PAGEREF _Toc475093084 \h </w:instrText>
        </w:r>
        <w:r w:rsidR="00575A3F">
          <w:rPr>
            <w:noProof/>
            <w:webHidden/>
          </w:rPr>
        </w:r>
        <w:r w:rsidR="00575A3F">
          <w:rPr>
            <w:noProof/>
            <w:webHidden/>
          </w:rPr>
          <w:fldChar w:fldCharType="separate"/>
        </w:r>
        <w:r w:rsidR="00575A3F">
          <w:rPr>
            <w:noProof/>
            <w:webHidden/>
          </w:rPr>
          <w:t>8</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85" w:history="1">
        <w:r w:rsidR="00575A3F" w:rsidRPr="00E556AB">
          <w:rPr>
            <w:rStyle w:val="Hipervnculo"/>
            <w:noProof/>
          </w:rPr>
          <w:t>II.2. Opinión de fiscalización de cumplimiento de legalidad</w:t>
        </w:r>
        <w:r w:rsidR="00575A3F">
          <w:rPr>
            <w:noProof/>
            <w:webHidden/>
          </w:rPr>
          <w:tab/>
        </w:r>
        <w:r w:rsidR="00575A3F">
          <w:rPr>
            <w:noProof/>
            <w:webHidden/>
          </w:rPr>
          <w:fldChar w:fldCharType="begin"/>
        </w:r>
        <w:r w:rsidR="00575A3F">
          <w:rPr>
            <w:noProof/>
            <w:webHidden/>
          </w:rPr>
          <w:instrText xml:space="preserve"> PAGEREF _Toc475093085 \h </w:instrText>
        </w:r>
        <w:r w:rsidR="00575A3F">
          <w:rPr>
            <w:noProof/>
            <w:webHidden/>
          </w:rPr>
        </w:r>
        <w:r w:rsidR="00575A3F">
          <w:rPr>
            <w:noProof/>
            <w:webHidden/>
          </w:rPr>
          <w:fldChar w:fldCharType="separate"/>
        </w:r>
        <w:r w:rsidR="00575A3F">
          <w:rPr>
            <w:noProof/>
            <w:webHidden/>
          </w:rPr>
          <w:t>9</w:t>
        </w:r>
        <w:r w:rsidR="00575A3F">
          <w:rPr>
            <w:noProof/>
            <w:webHidden/>
          </w:rPr>
          <w:fldChar w:fldCharType="end"/>
        </w:r>
      </w:hyperlink>
    </w:p>
    <w:p w:rsidR="00575A3F" w:rsidRDefault="00B90792">
      <w:pPr>
        <w:pStyle w:val="TDC1"/>
        <w:rPr>
          <w:rFonts w:asciiTheme="minorHAnsi" w:eastAsiaTheme="minorEastAsia" w:hAnsiTheme="minorHAnsi" w:cstheme="minorBidi"/>
          <w:smallCaps w:val="0"/>
          <w:noProof/>
          <w:szCs w:val="22"/>
          <w:lang w:val="es-ES" w:eastAsia="es-ES"/>
        </w:rPr>
      </w:pPr>
      <w:hyperlink w:anchor="_Toc475093086" w:history="1">
        <w:r w:rsidR="00575A3F" w:rsidRPr="00E556AB">
          <w:rPr>
            <w:rStyle w:val="Hipervnculo"/>
            <w:noProof/>
          </w:rPr>
          <w:t>III. Resumen de la cuenta general de la Mancomunidad de Servicios Sociales de Lumbier/Residencia de San Isidro de 2015</w:t>
        </w:r>
        <w:r w:rsidR="00575A3F">
          <w:rPr>
            <w:noProof/>
            <w:webHidden/>
          </w:rPr>
          <w:tab/>
        </w:r>
        <w:r w:rsidR="00575A3F">
          <w:rPr>
            <w:noProof/>
            <w:webHidden/>
          </w:rPr>
          <w:fldChar w:fldCharType="begin"/>
        </w:r>
        <w:r w:rsidR="00575A3F">
          <w:rPr>
            <w:noProof/>
            <w:webHidden/>
          </w:rPr>
          <w:instrText xml:space="preserve"> PAGEREF _Toc475093086 \h </w:instrText>
        </w:r>
        <w:r w:rsidR="00575A3F">
          <w:rPr>
            <w:noProof/>
            <w:webHidden/>
          </w:rPr>
        </w:r>
        <w:r w:rsidR="00575A3F">
          <w:rPr>
            <w:noProof/>
            <w:webHidden/>
          </w:rPr>
          <w:fldChar w:fldCharType="separate"/>
        </w:r>
        <w:r w:rsidR="00575A3F">
          <w:rPr>
            <w:noProof/>
            <w:webHidden/>
          </w:rPr>
          <w:t>10</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87" w:history="1">
        <w:r w:rsidR="00575A3F" w:rsidRPr="00E556AB">
          <w:rPr>
            <w:rStyle w:val="Hipervnculo"/>
            <w:noProof/>
          </w:rPr>
          <w:t>III.1. Estado de Ejecución del presupuesto de 2015</w:t>
        </w:r>
        <w:r w:rsidR="00575A3F">
          <w:rPr>
            <w:noProof/>
            <w:webHidden/>
          </w:rPr>
          <w:tab/>
        </w:r>
        <w:r w:rsidR="00575A3F">
          <w:rPr>
            <w:noProof/>
            <w:webHidden/>
          </w:rPr>
          <w:fldChar w:fldCharType="begin"/>
        </w:r>
        <w:r w:rsidR="00575A3F">
          <w:rPr>
            <w:noProof/>
            <w:webHidden/>
          </w:rPr>
          <w:instrText xml:space="preserve"> PAGEREF _Toc475093087 \h </w:instrText>
        </w:r>
        <w:r w:rsidR="00575A3F">
          <w:rPr>
            <w:noProof/>
            <w:webHidden/>
          </w:rPr>
        </w:r>
        <w:r w:rsidR="00575A3F">
          <w:rPr>
            <w:noProof/>
            <w:webHidden/>
          </w:rPr>
          <w:fldChar w:fldCharType="separate"/>
        </w:r>
        <w:r w:rsidR="00575A3F">
          <w:rPr>
            <w:noProof/>
            <w:webHidden/>
          </w:rPr>
          <w:t>10</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88" w:history="1">
        <w:r w:rsidR="00575A3F" w:rsidRPr="00E556AB">
          <w:rPr>
            <w:rStyle w:val="Hipervnculo"/>
            <w:noProof/>
          </w:rPr>
          <w:t>III.2. Resultado Presupuestario 2015</w:t>
        </w:r>
        <w:r w:rsidR="00575A3F">
          <w:rPr>
            <w:noProof/>
            <w:webHidden/>
          </w:rPr>
          <w:tab/>
        </w:r>
        <w:r w:rsidR="00575A3F">
          <w:rPr>
            <w:noProof/>
            <w:webHidden/>
          </w:rPr>
          <w:fldChar w:fldCharType="begin"/>
        </w:r>
        <w:r w:rsidR="00575A3F">
          <w:rPr>
            <w:noProof/>
            <w:webHidden/>
          </w:rPr>
          <w:instrText xml:space="preserve"> PAGEREF _Toc475093088 \h </w:instrText>
        </w:r>
        <w:r w:rsidR="00575A3F">
          <w:rPr>
            <w:noProof/>
            <w:webHidden/>
          </w:rPr>
        </w:r>
        <w:r w:rsidR="00575A3F">
          <w:rPr>
            <w:noProof/>
            <w:webHidden/>
          </w:rPr>
          <w:fldChar w:fldCharType="separate"/>
        </w:r>
        <w:r w:rsidR="00575A3F">
          <w:rPr>
            <w:noProof/>
            <w:webHidden/>
          </w:rPr>
          <w:t>11</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89" w:history="1">
        <w:r w:rsidR="00575A3F" w:rsidRPr="00E556AB">
          <w:rPr>
            <w:rStyle w:val="Hipervnculo"/>
            <w:noProof/>
          </w:rPr>
          <w:t>III.3. Remanente de Tesorería a 31 de diciembre de 2015</w:t>
        </w:r>
        <w:r w:rsidR="00575A3F">
          <w:rPr>
            <w:noProof/>
            <w:webHidden/>
          </w:rPr>
          <w:tab/>
        </w:r>
        <w:r w:rsidR="00575A3F">
          <w:rPr>
            <w:noProof/>
            <w:webHidden/>
          </w:rPr>
          <w:fldChar w:fldCharType="begin"/>
        </w:r>
        <w:r w:rsidR="00575A3F">
          <w:rPr>
            <w:noProof/>
            <w:webHidden/>
          </w:rPr>
          <w:instrText xml:space="preserve"> PAGEREF _Toc475093089 \h </w:instrText>
        </w:r>
        <w:r w:rsidR="00575A3F">
          <w:rPr>
            <w:noProof/>
            <w:webHidden/>
          </w:rPr>
        </w:r>
        <w:r w:rsidR="00575A3F">
          <w:rPr>
            <w:noProof/>
            <w:webHidden/>
          </w:rPr>
          <w:fldChar w:fldCharType="separate"/>
        </w:r>
        <w:r w:rsidR="00575A3F">
          <w:rPr>
            <w:noProof/>
            <w:webHidden/>
          </w:rPr>
          <w:t>11</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0" w:history="1">
        <w:r w:rsidR="00575A3F" w:rsidRPr="00E556AB">
          <w:rPr>
            <w:rStyle w:val="Hipervnculo"/>
            <w:rFonts w:cs="Arial"/>
            <w:noProof/>
          </w:rPr>
          <w:t xml:space="preserve">III.4. </w:t>
        </w:r>
        <w:r w:rsidR="00575A3F" w:rsidRPr="00E556AB">
          <w:rPr>
            <w:rStyle w:val="Hipervnculo"/>
            <w:noProof/>
          </w:rPr>
          <w:t>Balance de Situación a 31 de diciembre de 2015</w:t>
        </w:r>
        <w:r w:rsidR="00575A3F">
          <w:rPr>
            <w:noProof/>
            <w:webHidden/>
          </w:rPr>
          <w:tab/>
        </w:r>
        <w:r w:rsidR="00575A3F">
          <w:rPr>
            <w:noProof/>
            <w:webHidden/>
          </w:rPr>
          <w:fldChar w:fldCharType="begin"/>
        </w:r>
        <w:r w:rsidR="00575A3F">
          <w:rPr>
            <w:noProof/>
            <w:webHidden/>
          </w:rPr>
          <w:instrText xml:space="preserve"> PAGEREF _Toc475093090 \h </w:instrText>
        </w:r>
        <w:r w:rsidR="00575A3F">
          <w:rPr>
            <w:noProof/>
            <w:webHidden/>
          </w:rPr>
        </w:r>
        <w:r w:rsidR="00575A3F">
          <w:rPr>
            <w:noProof/>
            <w:webHidden/>
          </w:rPr>
          <w:fldChar w:fldCharType="separate"/>
        </w:r>
        <w:r w:rsidR="00575A3F">
          <w:rPr>
            <w:noProof/>
            <w:webHidden/>
          </w:rPr>
          <w:t>12</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1" w:history="1">
        <w:r w:rsidR="00575A3F" w:rsidRPr="00E556AB">
          <w:rPr>
            <w:rStyle w:val="Hipervnculo"/>
            <w:rFonts w:cs="Arial"/>
            <w:noProof/>
          </w:rPr>
          <w:t>III.5. Cuenta de Resultado Económico 2015</w:t>
        </w:r>
        <w:r w:rsidR="00575A3F">
          <w:rPr>
            <w:noProof/>
            <w:webHidden/>
          </w:rPr>
          <w:tab/>
        </w:r>
        <w:r w:rsidR="00575A3F">
          <w:rPr>
            <w:noProof/>
            <w:webHidden/>
          </w:rPr>
          <w:fldChar w:fldCharType="begin"/>
        </w:r>
        <w:r w:rsidR="00575A3F">
          <w:rPr>
            <w:noProof/>
            <w:webHidden/>
          </w:rPr>
          <w:instrText xml:space="preserve"> PAGEREF _Toc475093091 \h </w:instrText>
        </w:r>
        <w:r w:rsidR="00575A3F">
          <w:rPr>
            <w:noProof/>
            <w:webHidden/>
          </w:rPr>
        </w:r>
        <w:r w:rsidR="00575A3F">
          <w:rPr>
            <w:noProof/>
            <w:webHidden/>
          </w:rPr>
          <w:fldChar w:fldCharType="separate"/>
        </w:r>
        <w:r w:rsidR="00575A3F">
          <w:rPr>
            <w:noProof/>
            <w:webHidden/>
          </w:rPr>
          <w:t>12</w:t>
        </w:r>
        <w:r w:rsidR="00575A3F">
          <w:rPr>
            <w:noProof/>
            <w:webHidden/>
          </w:rPr>
          <w:fldChar w:fldCharType="end"/>
        </w:r>
      </w:hyperlink>
    </w:p>
    <w:p w:rsidR="00575A3F" w:rsidRDefault="00B90792">
      <w:pPr>
        <w:pStyle w:val="TDC1"/>
        <w:rPr>
          <w:rFonts w:asciiTheme="minorHAnsi" w:eastAsiaTheme="minorEastAsia" w:hAnsiTheme="minorHAnsi" w:cstheme="minorBidi"/>
          <w:smallCaps w:val="0"/>
          <w:noProof/>
          <w:szCs w:val="22"/>
          <w:lang w:val="es-ES" w:eastAsia="es-ES"/>
        </w:rPr>
      </w:pPr>
      <w:hyperlink w:anchor="_Toc475093092" w:history="1">
        <w:r w:rsidR="00575A3F" w:rsidRPr="00E556AB">
          <w:rPr>
            <w:rStyle w:val="Hipervnculo"/>
            <w:noProof/>
          </w:rPr>
          <w:t>IV. Observaciones y recomendaciones</w:t>
        </w:r>
        <w:r w:rsidR="00575A3F">
          <w:rPr>
            <w:noProof/>
            <w:webHidden/>
          </w:rPr>
          <w:tab/>
        </w:r>
        <w:r w:rsidR="00575A3F">
          <w:rPr>
            <w:noProof/>
            <w:webHidden/>
          </w:rPr>
          <w:fldChar w:fldCharType="begin"/>
        </w:r>
        <w:r w:rsidR="00575A3F">
          <w:rPr>
            <w:noProof/>
            <w:webHidden/>
          </w:rPr>
          <w:instrText xml:space="preserve"> PAGEREF _Toc475093092 \h </w:instrText>
        </w:r>
        <w:r w:rsidR="00575A3F">
          <w:rPr>
            <w:noProof/>
            <w:webHidden/>
          </w:rPr>
        </w:r>
        <w:r w:rsidR="00575A3F">
          <w:rPr>
            <w:noProof/>
            <w:webHidden/>
          </w:rPr>
          <w:fldChar w:fldCharType="separate"/>
        </w:r>
        <w:r w:rsidR="00575A3F">
          <w:rPr>
            <w:noProof/>
            <w:webHidden/>
          </w:rPr>
          <w:t>13</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3" w:history="1">
        <w:r w:rsidR="00575A3F" w:rsidRPr="00E556AB">
          <w:rPr>
            <w:rStyle w:val="Hipervnculo"/>
            <w:noProof/>
          </w:rPr>
          <w:t>IV.1. Situación económico-financiera de la Mancomunidad a 31 de diciembre de 2015.</w:t>
        </w:r>
        <w:r w:rsidR="00575A3F">
          <w:rPr>
            <w:noProof/>
            <w:webHidden/>
          </w:rPr>
          <w:tab/>
        </w:r>
        <w:r w:rsidR="00575A3F">
          <w:rPr>
            <w:noProof/>
            <w:webHidden/>
          </w:rPr>
          <w:fldChar w:fldCharType="begin"/>
        </w:r>
        <w:r w:rsidR="00575A3F">
          <w:rPr>
            <w:noProof/>
            <w:webHidden/>
          </w:rPr>
          <w:instrText xml:space="preserve"> PAGEREF _Toc475093093 \h </w:instrText>
        </w:r>
        <w:r w:rsidR="00575A3F">
          <w:rPr>
            <w:noProof/>
            <w:webHidden/>
          </w:rPr>
        </w:r>
        <w:r w:rsidR="00575A3F">
          <w:rPr>
            <w:noProof/>
            <w:webHidden/>
          </w:rPr>
          <w:fldChar w:fldCharType="separate"/>
        </w:r>
        <w:r w:rsidR="00575A3F">
          <w:rPr>
            <w:noProof/>
            <w:webHidden/>
          </w:rPr>
          <w:t>13</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4" w:history="1">
        <w:r w:rsidR="00575A3F" w:rsidRPr="00E556AB">
          <w:rPr>
            <w:rStyle w:val="Hipervnculo"/>
            <w:noProof/>
          </w:rPr>
          <w:t>IV.2. Principios de estabilidad presupuestaria y sostenibilidad financiera</w:t>
        </w:r>
        <w:r w:rsidR="00575A3F">
          <w:rPr>
            <w:noProof/>
            <w:webHidden/>
          </w:rPr>
          <w:tab/>
        </w:r>
        <w:r w:rsidR="00575A3F">
          <w:rPr>
            <w:noProof/>
            <w:webHidden/>
          </w:rPr>
          <w:fldChar w:fldCharType="begin"/>
        </w:r>
        <w:r w:rsidR="00575A3F">
          <w:rPr>
            <w:noProof/>
            <w:webHidden/>
          </w:rPr>
          <w:instrText xml:space="preserve"> PAGEREF _Toc475093094 \h </w:instrText>
        </w:r>
        <w:r w:rsidR="00575A3F">
          <w:rPr>
            <w:noProof/>
            <w:webHidden/>
          </w:rPr>
        </w:r>
        <w:r w:rsidR="00575A3F">
          <w:rPr>
            <w:noProof/>
            <w:webHidden/>
          </w:rPr>
          <w:fldChar w:fldCharType="separate"/>
        </w:r>
        <w:r w:rsidR="00575A3F">
          <w:rPr>
            <w:noProof/>
            <w:webHidden/>
          </w:rPr>
          <w:t>15</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5" w:history="1">
        <w:r w:rsidR="00575A3F" w:rsidRPr="00E556AB">
          <w:rPr>
            <w:rStyle w:val="Hipervnculo"/>
            <w:noProof/>
          </w:rPr>
          <w:t>IV.3. Aspectos generales</w:t>
        </w:r>
        <w:r w:rsidR="00575A3F">
          <w:rPr>
            <w:noProof/>
            <w:webHidden/>
          </w:rPr>
          <w:tab/>
        </w:r>
        <w:r w:rsidR="00575A3F">
          <w:rPr>
            <w:noProof/>
            <w:webHidden/>
          </w:rPr>
          <w:fldChar w:fldCharType="begin"/>
        </w:r>
        <w:r w:rsidR="00575A3F">
          <w:rPr>
            <w:noProof/>
            <w:webHidden/>
          </w:rPr>
          <w:instrText xml:space="preserve"> PAGEREF _Toc475093095 \h </w:instrText>
        </w:r>
        <w:r w:rsidR="00575A3F">
          <w:rPr>
            <w:noProof/>
            <w:webHidden/>
          </w:rPr>
        </w:r>
        <w:r w:rsidR="00575A3F">
          <w:rPr>
            <w:noProof/>
            <w:webHidden/>
          </w:rPr>
          <w:fldChar w:fldCharType="separate"/>
        </w:r>
        <w:r w:rsidR="00575A3F">
          <w:rPr>
            <w:noProof/>
            <w:webHidden/>
          </w:rPr>
          <w:t>17</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6" w:history="1">
        <w:r w:rsidR="00575A3F" w:rsidRPr="00E556AB">
          <w:rPr>
            <w:rStyle w:val="Hipervnculo"/>
            <w:noProof/>
          </w:rPr>
          <w:t>IV.4. Personal</w:t>
        </w:r>
        <w:r w:rsidR="00575A3F">
          <w:rPr>
            <w:noProof/>
            <w:webHidden/>
          </w:rPr>
          <w:tab/>
        </w:r>
        <w:r w:rsidR="00575A3F">
          <w:rPr>
            <w:noProof/>
            <w:webHidden/>
          </w:rPr>
          <w:fldChar w:fldCharType="begin"/>
        </w:r>
        <w:r w:rsidR="00575A3F">
          <w:rPr>
            <w:noProof/>
            <w:webHidden/>
          </w:rPr>
          <w:instrText xml:space="preserve"> PAGEREF _Toc475093096 \h </w:instrText>
        </w:r>
        <w:r w:rsidR="00575A3F">
          <w:rPr>
            <w:noProof/>
            <w:webHidden/>
          </w:rPr>
        </w:r>
        <w:r w:rsidR="00575A3F">
          <w:rPr>
            <w:noProof/>
            <w:webHidden/>
          </w:rPr>
          <w:fldChar w:fldCharType="separate"/>
        </w:r>
        <w:r w:rsidR="00575A3F">
          <w:rPr>
            <w:noProof/>
            <w:webHidden/>
          </w:rPr>
          <w:t>18</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7" w:history="1">
        <w:r w:rsidR="00575A3F" w:rsidRPr="00E556AB">
          <w:rPr>
            <w:rStyle w:val="Hipervnculo"/>
            <w:noProof/>
          </w:rPr>
          <w:t>IV.5. Bienes corrientes y servicios</w:t>
        </w:r>
        <w:r w:rsidR="00575A3F">
          <w:rPr>
            <w:noProof/>
            <w:webHidden/>
          </w:rPr>
          <w:tab/>
        </w:r>
        <w:r w:rsidR="00575A3F">
          <w:rPr>
            <w:noProof/>
            <w:webHidden/>
          </w:rPr>
          <w:fldChar w:fldCharType="begin"/>
        </w:r>
        <w:r w:rsidR="00575A3F">
          <w:rPr>
            <w:noProof/>
            <w:webHidden/>
          </w:rPr>
          <w:instrText xml:space="preserve"> PAGEREF _Toc475093097 \h </w:instrText>
        </w:r>
        <w:r w:rsidR="00575A3F">
          <w:rPr>
            <w:noProof/>
            <w:webHidden/>
          </w:rPr>
        </w:r>
        <w:r w:rsidR="00575A3F">
          <w:rPr>
            <w:noProof/>
            <w:webHidden/>
          </w:rPr>
          <w:fldChar w:fldCharType="separate"/>
        </w:r>
        <w:r w:rsidR="00575A3F">
          <w:rPr>
            <w:noProof/>
            <w:webHidden/>
          </w:rPr>
          <w:t>23</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8" w:history="1">
        <w:r w:rsidR="00575A3F" w:rsidRPr="00E556AB">
          <w:rPr>
            <w:rStyle w:val="Hipervnculo"/>
            <w:noProof/>
          </w:rPr>
          <w:t>IV.6. Ingresos</w:t>
        </w:r>
        <w:r w:rsidR="00575A3F">
          <w:rPr>
            <w:noProof/>
            <w:webHidden/>
          </w:rPr>
          <w:tab/>
        </w:r>
        <w:r w:rsidR="00575A3F">
          <w:rPr>
            <w:noProof/>
            <w:webHidden/>
          </w:rPr>
          <w:fldChar w:fldCharType="begin"/>
        </w:r>
        <w:r w:rsidR="00575A3F">
          <w:rPr>
            <w:noProof/>
            <w:webHidden/>
          </w:rPr>
          <w:instrText xml:space="preserve"> PAGEREF _Toc475093098 \h </w:instrText>
        </w:r>
        <w:r w:rsidR="00575A3F">
          <w:rPr>
            <w:noProof/>
            <w:webHidden/>
          </w:rPr>
        </w:r>
        <w:r w:rsidR="00575A3F">
          <w:rPr>
            <w:noProof/>
            <w:webHidden/>
          </w:rPr>
          <w:fldChar w:fldCharType="separate"/>
        </w:r>
        <w:r w:rsidR="00575A3F">
          <w:rPr>
            <w:noProof/>
            <w:webHidden/>
          </w:rPr>
          <w:t>25</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099" w:history="1">
        <w:r w:rsidR="00575A3F" w:rsidRPr="00E556AB">
          <w:rPr>
            <w:rStyle w:val="Hipervnculo"/>
            <w:noProof/>
          </w:rPr>
          <w:t>IV.7. Inmovilizado</w:t>
        </w:r>
        <w:r w:rsidR="00575A3F">
          <w:rPr>
            <w:noProof/>
            <w:webHidden/>
          </w:rPr>
          <w:tab/>
        </w:r>
        <w:r w:rsidR="00575A3F">
          <w:rPr>
            <w:noProof/>
            <w:webHidden/>
          </w:rPr>
          <w:fldChar w:fldCharType="begin"/>
        </w:r>
        <w:r w:rsidR="00575A3F">
          <w:rPr>
            <w:noProof/>
            <w:webHidden/>
          </w:rPr>
          <w:instrText xml:space="preserve"> PAGEREF _Toc475093099 \h </w:instrText>
        </w:r>
        <w:r w:rsidR="00575A3F">
          <w:rPr>
            <w:noProof/>
            <w:webHidden/>
          </w:rPr>
        </w:r>
        <w:r w:rsidR="00575A3F">
          <w:rPr>
            <w:noProof/>
            <w:webHidden/>
          </w:rPr>
          <w:fldChar w:fldCharType="separate"/>
        </w:r>
        <w:r w:rsidR="00575A3F">
          <w:rPr>
            <w:noProof/>
            <w:webHidden/>
          </w:rPr>
          <w:t>28</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100" w:history="1">
        <w:r w:rsidR="00575A3F" w:rsidRPr="00E556AB">
          <w:rPr>
            <w:rStyle w:val="Hipervnculo"/>
            <w:noProof/>
          </w:rPr>
          <w:t>IV.8. Otras áreas</w:t>
        </w:r>
        <w:r w:rsidR="00575A3F">
          <w:rPr>
            <w:noProof/>
            <w:webHidden/>
          </w:rPr>
          <w:tab/>
        </w:r>
        <w:r w:rsidR="00575A3F">
          <w:rPr>
            <w:noProof/>
            <w:webHidden/>
          </w:rPr>
          <w:fldChar w:fldCharType="begin"/>
        </w:r>
        <w:r w:rsidR="00575A3F">
          <w:rPr>
            <w:noProof/>
            <w:webHidden/>
          </w:rPr>
          <w:instrText xml:space="preserve"> PAGEREF _Toc475093100 \h </w:instrText>
        </w:r>
        <w:r w:rsidR="00575A3F">
          <w:rPr>
            <w:noProof/>
            <w:webHidden/>
          </w:rPr>
        </w:r>
        <w:r w:rsidR="00575A3F">
          <w:rPr>
            <w:noProof/>
            <w:webHidden/>
          </w:rPr>
          <w:fldChar w:fldCharType="separate"/>
        </w:r>
        <w:r w:rsidR="00575A3F">
          <w:rPr>
            <w:noProof/>
            <w:webHidden/>
          </w:rPr>
          <w:t>29</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101" w:history="1">
        <w:r w:rsidR="00575A3F" w:rsidRPr="00E556AB">
          <w:rPr>
            <w:rStyle w:val="Hipervnculo"/>
            <w:noProof/>
          </w:rPr>
          <w:t>IV.9. Actuaciones de inspección del Gobierno de Navarra</w:t>
        </w:r>
        <w:r w:rsidR="00575A3F">
          <w:rPr>
            <w:noProof/>
            <w:webHidden/>
          </w:rPr>
          <w:tab/>
        </w:r>
        <w:r w:rsidR="00575A3F">
          <w:rPr>
            <w:noProof/>
            <w:webHidden/>
          </w:rPr>
          <w:fldChar w:fldCharType="begin"/>
        </w:r>
        <w:r w:rsidR="00575A3F">
          <w:rPr>
            <w:noProof/>
            <w:webHidden/>
          </w:rPr>
          <w:instrText xml:space="preserve"> PAGEREF _Toc475093101 \h </w:instrText>
        </w:r>
        <w:r w:rsidR="00575A3F">
          <w:rPr>
            <w:noProof/>
            <w:webHidden/>
          </w:rPr>
        </w:r>
        <w:r w:rsidR="00575A3F">
          <w:rPr>
            <w:noProof/>
            <w:webHidden/>
          </w:rPr>
          <w:fldChar w:fldCharType="separate"/>
        </w:r>
        <w:r w:rsidR="00575A3F">
          <w:rPr>
            <w:noProof/>
            <w:webHidden/>
          </w:rPr>
          <w:t>30</w:t>
        </w:r>
        <w:r w:rsidR="00575A3F">
          <w:rPr>
            <w:noProof/>
            <w:webHidden/>
          </w:rPr>
          <w:fldChar w:fldCharType="end"/>
        </w:r>
      </w:hyperlink>
    </w:p>
    <w:p w:rsidR="00575A3F" w:rsidRDefault="00B90792">
      <w:pPr>
        <w:pStyle w:val="TDC2"/>
        <w:rPr>
          <w:rFonts w:asciiTheme="minorHAnsi" w:eastAsiaTheme="minorEastAsia" w:hAnsiTheme="minorHAnsi" w:cstheme="minorBidi"/>
          <w:noProof/>
          <w:szCs w:val="22"/>
          <w:lang w:val="es-ES" w:eastAsia="es-ES"/>
        </w:rPr>
      </w:pPr>
      <w:hyperlink w:anchor="_Toc475093102" w:history="1">
        <w:r w:rsidR="00575A3F" w:rsidRPr="00E556AB">
          <w:rPr>
            <w:rStyle w:val="Hipervnculo"/>
            <w:noProof/>
          </w:rPr>
          <w:t>IV.10. Indicadores de gestión</w:t>
        </w:r>
        <w:r w:rsidR="00575A3F">
          <w:rPr>
            <w:noProof/>
            <w:webHidden/>
          </w:rPr>
          <w:tab/>
        </w:r>
        <w:r w:rsidR="00575A3F">
          <w:rPr>
            <w:noProof/>
            <w:webHidden/>
          </w:rPr>
          <w:fldChar w:fldCharType="begin"/>
        </w:r>
        <w:r w:rsidR="00575A3F">
          <w:rPr>
            <w:noProof/>
            <w:webHidden/>
          </w:rPr>
          <w:instrText xml:space="preserve"> PAGEREF _Toc475093102 \h </w:instrText>
        </w:r>
        <w:r w:rsidR="00575A3F">
          <w:rPr>
            <w:noProof/>
            <w:webHidden/>
          </w:rPr>
        </w:r>
        <w:r w:rsidR="00575A3F">
          <w:rPr>
            <w:noProof/>
            <w:webHidden/>
          </w:rPr>
          <w:fldChar w:fldCharType="separate"/>
        </w:r>
        <w:r w:rsidR="00575A3F">
          <w:rPr>
            <w:noProof/>
            <w:webHidden/>
          </w:rPr>
          <w:t>31</w:t>
        </w:r>
        <w:r w:rsidR="00575A3F">
          <w:rPr>
            <w:noProof/>
            <w:webHidden/>
          </w:rPr>
          <w:fldChar w:fldCharType="end"/>
        </w:r>
      </w:hyperlink>
    </w:p>
    <w:p w:rsidR="00575A3F" w:rsidRDefault="00B90792">
      <w:pPr>
        <w:pStyle w:val="TDC1"/>
        <w:rPr>
          <w:rFonts w:asciiTheme="minorHAnsi" w:eastAsiaTheme="minorEastAsia" w:hAnsiTheme="minorHAnsi" w:cstheme="minorBidi"/>
          <w:smallCaps w:val="0"/>
          <w:noProof/>
          <w:szCs w:val="22"/>
          <w:lang w:val="es-ES" w:eastAsia="es-ES"/>
        </w:rPr>
      </w:pPr>
      <w:hyperlink w:anchor="_Toc475093103" w:history="1">
        <w:r w:rsidR="00575A3F" w:rsidRPr="00E556AB">
          <w:rPr>
            <w:rStyle w:val="Hipervnculo"/>
            <w:noProof/>
          </w:rPr>
          <w:t>V. Recapitulación o resumen final</w:t>
        </w:r>
        <w:r w:rsidR="00575A3F">
          <w:rPr>
            <w:noProof/>
            <w:webHidden/>
          </w:rPr>
          <w:tab/>
        </w:r>
        <w:r w:rsidR="00575A3F">
          <w:rPr>
            <w:noProof/>
            <w:webHidden/>
          </w:rPr>
          <w:fldChar w:fldCharType="begin"/>
        </w:r>
        <w:r w:rsidR="00575A3F">
          <w:rPr>
            <w:noProof/>
            <w:webHidden/>
          </w:rPr>
          <w:instrText xml:space="preserve"> PAGEREF _Toc475093103 \h </w:instrText>
        </w:r>
        <w:r w:rsidR="00575A3F">
          <w:rPr>
            <w:noProof/>
            <w:webHidden/>
          </w:rPr>
        </w:r>
        <w:r w:rsidR="00575A3F">
          <w:rPr>
            <w:noProof/>
            <w:webHidden/>
          </w:rPr>
          <w:fldChar w:fldCharType="separate"/>
        </w:r>
        <w:r w:rsidR="00575A3F">
          <w:rPr>
            <w:noProof/>
            <w:webHidden/>
          </w:rPr>
          <w:t>35</w:t>
        </w:r>
        <w:r w:rsidR="00575A3F">
          <w:rPr>
            <w:noProof/>
            <w:webHidden/>
          </w:rPr>
          <w:fldChar w:fldCharType="end"/>
        </w:r>
      </w:hyperlink>
    </w:p>
    <w:p w:rsidR="00575A3F" w:rsidRDefault="00B90792">
      <w:pPr>
        <w:pStyle w:val="TDC1"/>
        <w:rPr>
          <w:rFonts w:asciiTheme="minorHAnsi" w:eastAsiaTheme="minorEastAsia" w:hAnsiTheme="minorHAnsi" w:cstheme="minorBidi"/>
          <w:smallCaps w:val="0"/>
          <w:noProof/>
          <w:szCs w:val="22"/>
          <w:lang w:val="es-ES" w:eastAsia="es-ES"/>
        </w:rPr>
      </w:pPr>
      <w:hyperlink w:anchor="_Toc475093104" w:history="1">
        <w:r w:rsidR="00575A3F" w:rsidRPr="00E556AB">
          <w:rPr>
            <w:rStyle w:val="Hipervnculo"/>
            <w:noProof/>
          </w:rPr>
          <w:t>Alegaciones presentadas por la Agencia Navarra de Autonomía y Desarrollo de las Personas</w:t>
        </w:r>
      </w:hyperlink>
    </w:p>
    <w:p w:rsidR="00575A3F" w:rsidRDefault="00B90792">
      <w:pPr>
        <w:pStyle w:val="TDC1"/>
        <w:rPr>
          <w:rFonts w:asciiTheme="minorHAnsi" w:eastAsiaTheme="minorEastAsia" w:hAnsiTheme="minorHAnsi" w:cstheme="minorBidi"/>
          <w:smallCaps w:val="0"/>
          <w:noProof/>
          <w:szCs w:val="22"/>
          <w:lang w:val="es-ES" w:eastAsia="es-ES"/>
        </w:rPr>
      </w:pPr>
      <w:hyperlink w:anchor="_Toc475093105" w:history="1">
        <w:r w:rsidR="00575A3F" w:rsidRPr="00E556AB">
          <w:rPr>
            <w:rStyle w:val="Hipervnculo"/>
            <w:noProof/>
          </w:rPr>
          <w:t>Contestación de la Cámara de Comptos a las alegaciones presentadas por la Agencia Navarra de Autonomía y Desarrollo de las Personas (Departamento de Derechos Sociales)</w:t>
        </w:r>
      </w:hyperlink>
    </w:p>
    <w:p w:rsidR="00D115AC" w:rsidRDefault="00D115AC" w:rsidP="00D115AC">
      <w:pPr>
        <w:pStyle w:val="texto"/>
      </w:pPr>
      <w:r>
        <w:fldChar w:fldCharType="end"/>
      </w:r>
    </w:p>
    <w:p w:rsidR="00D115AC" w:rsidRDefault="00D115AC" w:rsidP="00D115AC">
      <w:pPr>
        <w:pStyle w:val="texto"/>
      </w:pPr>
    </w:p>
    <w:p w:rsidR="00D115AC" w:rsidRDefault="00D115AC" w:rsidP="00D115AC">
      <w:pPr>
        <w:pStyle w:val="texto"/>
        <w:ind w:firstLine="0"/>
        <w:sectPr w:rsidR="00D115AC" w:rsidSect="0094179B">
          <w:type w:val="oddPage"/>
          <w:pgSz w:w="11907" w:h="16840" w:code="9"/>
          <w:pgMar w:top="2109" w:right="1559" w:bottom="1644" w:left="1559" w:header="369" w:footer="402" w:gutter="0"/>
          <w:pgNumType w:start="3"/>
          <w:cols w:space="720"/>
          <w:docGrid w:linePitch="360"/>
        </w:sectPr>
      </w:pPr>
    </w:p>
    <w:p w:rsidR="00D115AC" w:rsidRDefault="00D115AC" w:rsidP="00D115AC">
      <w:pPr>
        <w:pStyle w:val="atitulo1"/>
      </w:pPr>
      <w:bookmarkStart w:id="1" w:name="_Toc303592528"/>
      <w:bookmarkStart w:id="2" w:name="_Toc309383711"/>
      <w:bookmarkStart w:id="3" w:name="_Toc339016600"/>
      <w:bookmarkStart w:id="4" w:name="_Toc475093082"/>
      <w:r w:rsidRPr="00FB570E">
        <w:lastRenderedPageBreak/>
        <w:t>I. Introducción</w:t>
      </w:r>
      <w:bookmarkEnd w:id="1"/>
      <w:bookmarkEnd w:id="2"/>
      <w:bookmarkEnd w:id="3"/>
      <w:bookmarkEnd w:id="4"/>
      <w:r>
        <w:t xml:space="preserve"> </w:t>
      </w:r>
    </w:p>
    <w:p w:rsidR="008F58E6" w:rsidRDefault="005A4B68" w:rsidP="008F58E6">
      <w:pPr>
        <w:pStyle w:val="texto"/>
        <w:rPr>
          <w:szCs w:val="26"/>
        </w:rPr>
      </w:pPr>
      <w:r w:rsidRPr="005A4B68">
        <w:rPr>
          <w:szCs w:val="26"/>
        </w:rPr>
        <w:t>La Junta de Portavoces del Parlamento de Navarra, a petición del Grupo Pa</w:t>
      </w:r>
      <w:r w:rsidRPr="005A4B68">
        <w:rPr>
          <w:szCs w:val="26"/>
        </w:rPr>
        <w:t>r</w:t>
      </w:r>
      <w:r w:rsidR="00CA6DE7">
        <w:rPr>
          <w:szCs w:val="26"/>
        </w:rPr>
        <w:t xml:space="preserve">lamentario EH Bildu Nafarroa, </w:t>
      </w:r>
      <w:r w:rsidRPr="005A4B68">
        <w:rPr>
          <w:szCs w:val="26"/>
        </w:rPr>
        <w:t>acordó, el 13 de junio de 2016, solicitar a la Cámara de Comptos un informe de fiscalización sobre la</w:t>
      </w:r>
      <w:r w:rsidR="0038151C">
        <w:rPr>
          <w:szCs w:val="26"/>
        </w:rPr>
        <w:t xml:space="preserve"> </w:t>
      </w:r>
      <w:r>
        <w:rPr>
          <w:szCs w:val="26"/>
        </w:rPr>
        <w:t>cuenta</w:t>
      </w:r>
      <w:r w:rsidR="0038151C">
        <w:rPr>
          <w:szCs w:val="26"/>
        </w:rPr>
        <w:t xml:space="preserve"> general</w:t>
      </w:r>
      <w:r w:rsidRPr="005A4B68">
        <w:rPr>
          <w:szCs w:val="26"/>
        </w:rPr>
        <w:t xml:space="preserve"> de 2015 de la Residencia de Ancianos San Isidro de Lumbier. </w:t>
      </w:r>
      <w:r w:rsidR="008F58E6">
        <w:rPr>
          <w:szCs w:val="26"/>
        </w:rPr>
        <w:t>En concreto, la cit</w:t>
      </w:r>
      <w:r w:rsidR="008F58E6">
        <w:rPr>
          <w:szCs w:val="26"/>
        </w:rPr>
        <w:t>a</w:t>
      </w:r>
      <w:r w:rsidR="008F58E6">
        <w:rPr>
          <w:szCs w:val="26"/>
        </w:rPr>
        <w:t>da petición solicitaba expresamente de la Cámara de Comptos, el análisis de los siguientes aspectos:</w:t>
      </w:r>
    </w:p>
    <w:p w:rsidR="008F58E6" w:rsidRDefault="008F58E6" w:rsidP="008F58E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Gestión económica</w:t>
      </w:r>
      <w:r w:rsidR="001A5110">
        <w:rPr>
          <w:szCs w:val="26"/>
        </w:rPr>
        <w:t xml:space="preserve"> y financiera</w:t>
      </w:r>
      <w:r w:rsidR="007B49FB">
        <w:rPr>
          <w:szCs w:val="26"/>
        </w:rPr>
        <w:t>.</w:t>
      </w:r>
    </w:p>
    <w:p w:rsidR="008F58E6" w:rsidRDefault="008F58E6" w:rsidP="008F58E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Contratación de personal</w:t>
      </w:r>
      <w:r w:rsidR="007B49FB">
        <w:rPr>
          <w:szCs w:val="26"/>
        </w:rPr>
        <w:t>.</w:t>
      </w:r>
    </w:p>
    <w:p w:rsidR="008F58E6" w:rsidRDefault="008F58E6" w:rsidP="008F58E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Cumplimiento de ratios</w:t>
      </w:r>
      <w:r w:rsidR="007B49FB">
        <w:rPr>
          <w:szCs w:val="26"/>
        </w:rPr>
        <w:t>.</w:t>
      </w:r>
    </w:p>
    <w:p w:rsidR="005A4B68" w:rsidRPr="008F58E6" w:rsidRDefault="003902BE" w:rsidP="008F58E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Posible incompatibilidad de la presidenta de la mancomunidad</w:t>
      </w:r>
      <w:r w:rsidR="008F58E6">
        <w:rPr>
          <w:szCs w:val="26"/>
        </w:rPr>
        <w:t xml:space="preserve"> </w:t>
      </w:r>
      <w:r w:rsidR="00752074">
        <w:rPr>
          <w:szCs w:val="26"/>
        </w:rPr>
        <w:t>con su co</w:t>
      </w:r>
      <w:r w:rsidR="00752074">
        <w:rPr>
          <w:szCs w:val="26"/>
        </w:rPr>
        <w:t>n</w:t>
      </w:r>
      <w:r w:rsidR="00752074">
        <w:rPr>
          <w:szCs w:val="26"/>
        </w:rPr>
        <w:t>dición simultánea de</w:t>
      </w:r>
      <w:r>
        <w:rPr>
          <w:szCs w:val="26"/>
        </w:rPr>
        <w:t xml:space="preserve"> </w:t>
      </w:r>
      <w:r w:rsidR="008F58E6">
        <w:rPr>
          <w:szCs w:val="26"/>
        </w:rPr>
        <w:t>trabajadora de la residencia</w:t>
      </w:r>
      <w:r w:rsidR="007B49FB">
        <w:rPr>
          <w:szCs w:val="26"/>
        </w:rPr>
        <w:t>.</w:t>
      </w:r>
    </w:p>
    <w:p w:rsidR="005A4B68" w:rsidRPr="005A4B68" w:rsidRDefault="005A4B68" w:rsidP="005A4B68">
      <w:pPr>
        <w:pStyle w:val="texto"/>
        <w:rPr>
          <w:szCs w:val="26"/>
        </w:rPr>
      </w:pPr>
      <w:r w:rsidRPr="005A4B68">
        <w:rPr>
          <w:szCs w:val="26"/>
        </w:rPr>
        <w:t xml:space="preserve">Con carácter previo, conviene precisar que la </w:t>
      </w:r>
      <w:r>
        <w:rPr>
          <w:szCs w:val="26"/>
        </w:rPr>
        <w:t xml:space="preserve">citada </w:t>
      </w:r>
      <w:r w:rsidR="00CA6DE7">
        <w:rPr>
          <w:szCs w:val="26"/>
        </w:rPr>
        <w:t>r</w:t>
      </w:r>
      <w:r w:rsidRPr="005A4B68">
        <w:rPr>
          <w:szCs w:val="26"/>
        </w:rPr>
        <w:t>esidencia</w:t>
      </w:r>
      <w:r>
        <w:rPr>
          <w:szCs w:val="26"/>
        </w:rPr>
        <w:t xml:space="preserve"> no tiene pe</w:t>
      </w:r>
      <w:r>
        <w:rPr>
          <w:szCs w:val="26"/>
        </w:rPr>
        <w:t>r</w:t>
      </w:r>
      <w:r>
        <w:rPr>
          <w:szCs w:val="26"/>
        </w:rPr>
        <w:t>sonalidad jurídica</w:t>
      </w:r>
      <w:r w:rsidR="0043311E">
        <w:rPr>
          <w:szCs w:val="26"/>
        </w:rPr>
        <w:t xml:space="preserve"> propia ni es una entidad contable independiente</w:t>
      </w:r>
      <w:r>
        <w:rPr>
          <w:szCs w:val="26"/>
        </w:rPr>
        <w:t xml:space="preserve">, </w:t>
      </w:r>
      <w:r w:rsidRPr="005A4B68">
        <w:rPr>
          <w:szCs w:val="26"/>
        </w:rPr>
        <w:t>configur</w:t>
      </w:r>
      <w:r>
        <w:rPr>
          <w:szCs w:val="26"/>
        </w:rPr>
        <w:t>á</w:t>
      </w:r>
      <w:r>
        <w:rPr>
          <w:szCs w:val="26"/>
        </w:rPr>
        <w:t>n</w:t>
      </w:r>
      <w:r>
        <w:rPr>
          <w:szCs w:val="26"/>
        </w:rPr>
        <w:t>dose</w:t>
      </w:r>
      <w:r w:rsidRPr="005A4B68">
        <w:rPr>
          <w:szCs w:val="26"/>
        </w:rPr>
        <w:t xml:space="preserve"> como </w:t>
      </w:r>
      <w:r>
        <w:rPr>
          <w:szCs w:val="26"/>
        </w:rPr>
        <w:t>el único servicio que presta</w:t>
      </w:r>
      <w:r w:rsidRPr="005A4B68">
        <w:rPr>
          <w:szCs w:val="26"/>
        </w:rPr>
        <w:t xml:space="preserve"> la Mancomunidad de Servicios Sociales de Lum</w:t>
      </w:r>
      <w:r>
        <w:rPr>
          <w:szCs w:val="26"/>
        </w:rPr>
        <w:t>bier</w:t>
      </w:r>
      <w:r w:rsidRPr="005A4B68">
        <w:rPr>
          <w:szCs w:val="26"/>
        </w:rPr>
        <w:t>.</w:t>
      </w:r>
      <w:r>
        <w:rPr>
          <w:szCs w:val="26"/>
        </w:rPr>
        <w:t xml:space="preserve"> Por tanto, la cuenta general </w:t>
      </w:r>
      <w:r w:rsidR="007C7447">
        <w:rPr>
          <w:szCs w:val="26"/>
        </w:rPr>
        <w:t>objeto de revisión por esta Cámara de Comptos se corresponde con la de la</w:t>
      </w:r>
      <w:r w:rsidR="00C04137">
        <w:rPr>
          <w:szCs w:val="26"/>
        </w:rPr>
        <w:t xml:space="preserve"> citada</w:t>
      </w:r>
      <w:r w:rsidR="007C7447">
        <w:rPr>
          <w:szCs w:val="26"/>
        </w:rPr>
        <w:t xml:space="preserve"> mancomunidad.</w:t>
      </w:r>
      <w:r w:rsidRPr="005A4B68">
        <w:rPr>
          <w:szCs w:val="26"/>
        </w:rPr>
        <w:t xml:space="preserve"> </w:t>
      </w:r>
    </w:p>
    <w:p w:rsidR="00D115AC" w:rsidRDefault="00374104" w:rsidP="00D115AC">
      <w:pPr>
        <w:pStyle w:val="texto"/>
        <w:rPr>
          <w:szCs w:val="26"/>
          <w:lang w:val="es-ES" w:eastAsia="es-ES"/>
        </w:rPr>
      </w:pPr>
      <w:r>
        <w:rPr>
          <w:szCs w:val="26"/>
          <w:lang w:val="es-ES" w:eastAsia="es-ES"/>
        </w:rPr>
        <w:t xml:space="preserve">Al </w:t>
      </w:r>
      <w:r w:rsidR="007C7447">
        <w:rPr>
          <w:szCs w:val="26"/>
          <w:lang w:val="es-ES" w:eastAsia="es-ES"/>
        </w:rPr>
        <w:t>objeto de dar cumplimiento a es</w:t>
      </w:r>
      <w:r>
        <w:rPr>
          <w:szCs w:val="26"/>
          <w:lang w:val="es-ES" w:eastAsia="es-ES"/>
        </w:rPr>
        <w:t>a petición</w:t>
      </w:r>
      <w:r w:rsidR="007C7447">
        <w:rPr>
          <w:szCs w:val="26"/>
          <w:lang w:val="es-ES" w:eastAsia="es-ES"/>
        </w:rPr>
        <w:t xml:space="preserve"> parlamentaria</w:t>
      </w:r>
      <w:r>
        <w:rPr>
          <w:szCs w:val="26"/>
          <w:lang w:val="es-ES" w:eastAsia="es-ES"/>
        </w:rPr>
        <w:t xml:space="preserve">, </w:t>
      </w:r>
      <w:r w:rsidR="00D115AC">
        <w:rPr>
          <w:szCs w:val="26"/>
          <w:lang w:val="es-ES" w:eastAsia="es-ES"/>
        </w:rPr>
        <w:t xml:space="preserve">se </w:t>
      </w:r>
      <w:r w:rsidR="005C43DB">
        <w:rPr>
          <w:szCs w:val="26"/>
          <w:lang w:val="es-ES" w:eastAsia="es-ES"/>
        </w:rPr>
        <w:t>incluyó</w:t>
      </w:r>
      <w:r w:rsidR="00D115AC">
        <w:rPr>
          <w:szCs w:val="26"/>
          <w:lang w:val="es-ES" w:eastAsia="es-ES"/>
        </w:rPr>
        <w:t xml:space="preserve"> en el programa anual de fiscalización de la Cámara de Comptos para el año 201</w:t>
      </w:r>
      <w:r>
        <w:rPr>
          <w:szCs w:val="26"/>
          <w:lang w:val="es-ES" w:eastAsia="es-ES"/>
        </w:rPr>
        <w:t>6 la realización de tal trabajo.</w:t>
      </w:r>
      <w:r w:rsidR="00D115AC">
        <w:rPr>
          <w:szCs w:val="26"/>
          <w:lang w:val="es-ES" w:eastAsia="es-ES"/>
        </w:rPr>
        <w:t xml:space="preserve"> </w:t>
      </w:r>
    </w:p>
    <w:p w:rsidR="00374104" w:rsidRDefault="00374104" w:rsidP="00374104">
      <w:pPr>
        <w:pStyle w:val="texto"/>
        <w:rPr>
          <w:szCs w:val="26"/>
        </w:rPr>
      </w:pPr>
      <w:r>
        <w:rPr>
          <w:szCs w:val="26"/>
          <w:lang w:val="es-ES" w:eastAsia="es-ES"/>
        </w:rPr>
        <w:t>La Cámara de Comptos, de conformidad con su Ley Foral</w:t>
      </w:r>
      <w:r w:rsidR="00896CA9">
        <w:rPr>
          <w:szCs w:val="26"/>
          <w:lang w:val="es-ES" w:eastAsia="es-ES"/>
        </w:rPr>
        <w:t xml:space="preserve"> reguladora</w:t>
      </w:r>
      <w:r>
        <w:rPr>
          <w:szCs w:val="26"/>
          <w:lang w:val="es-ES" w:eastAsia="es-ES"/>
        </w:rPr>
        <w:t xml:space="preserve"> 19/1984, de 20 de diciembre, ha</w:t>
      </w:r>
      <w:r>
        <w:rPr>
          <w:szCs w:val="26"/>
        </w:rPr>
        <w:t xml:space="preserve"> fiscalizado la cuenta general de</w:t>
      </w:r>
      <w:r w:rsidR="005A4B68">
        <w:rPr>
          <w:szCs w:val="26"/>
        </w:rPr>
        <w:t xml:space="preserve"> la Mancom</w:t>
      </w:r>
      <w:r w:rsidR="005A4B68">
        <w:rPr>
          <w:szCs w:val="26"/>
        </w:rPr>
        <w:t>u</w:t>
      </w:r>
      <w:r w:rsidR="005A4B68">
        <w:rPr>
          <w:szCs w:val="26"/>
        </w:rPr>
        <w:t>nidad de Servicios Sociales de Lumbier</w:t>
      </w:r>
      <w:r>
        <w:rPr>
          <w:szCs w:val="26"/>
        </w:rPr>
        <w:t xml:space="preserve"> correspondiente</w:t>
      </w:r>
      <w:r w:rsidR="005A4B68">
        <w:rPr>
          <w:szCs w:val="26"/>
        </w:rPr>
        <w:t xml:space="preserve"> </w:t>
      </w:r>
      <w:r>
        <w:rPr>
          <w:szCs w:val="26"/>
        </w:rPr>
        <w:t>al ejercicio de 2015, que está formada, fundamentalmente</w:t>
      </w:r>
      <w:r w:rsidR="00AE7A2C">
        <w:rPr>
          <w:szCs w:val="26"/>
        </w:rPr>
        <w:t>,</w:t>
      </w:r>
      <w:r w:rsidR="0000774F">
        <w:rPr>
          <w:szCs w:val="26"/>
        </w:rPr>
        <w:t xml:space="preserve"> por los estados de</w:t>
      </w:r>
      <w:r>
        <w:rPr>
          <w:szCs w:val="26"/>
        </w:rPr>
        <w:t xml:space="preserve"> liquidación del pres</w:t>
      </w:r>
      <w:r>
        <w:rPr>
          <w:szCs w:val="26"/>
        </w:rPr>
        <w:t>u</w:t>
      </w:r>
      <w:r>
        <w:rPr>
          <w:szCs w:val="26"/>
        </w:rPr>
        <w:t xml:space="preserve">puesto, </w:t>
      </w:r>
      <w:r w:rsidR="0000774F">
        <w:rPr>
          <w:szCs w:val="26"/>
        </w:rPr>
        <w:t xml:space="preserve">resultado presupuestario, remanente de tesorería, </w:t>
      </w:r>
      <w:r>
        <w:rPr>
          <w:szCs w:val="26"/>
        </w:rPr>
        <w:t>balan</w:t>
      </w:r>
      <w:r w:rsidR="0000774F">
        <w:rPr>
          <w:szCs w:val="26"/>
        </w:rPr>
        <w:t>ce</w:t>
      </w:r>
      <w:r w:rsidR="00A5413A">
        <w:rPr>
          <w:szCs w:val="26"/>
        </w:rPr>
        <w:t xml:space="preserve"> y</w:t>
      </w:r>
      <w:r w:rsidR="0000774F">
        <w:rPr>
          <w:szCs w:val="26"/>
        </w:rPr>
        <w:t xml:space="preserve"> </w:t>
      </w:r>
      <w:r>
        <w:rPr>
          <w:szCs w:val="26"/>
        </w:rPr>
        <w:t>cuenta de resultados económico-patrimonial</w:t>
      </w:r>
      <w:r w:rsidR="00A5413A">
        <w:rPr>
          <w:szCs w:val="26"/>
        </w:rPr>
        <w:t>.</w:t>
      </w:r>
      <w:r>
        <w:rPr>
          <w:szCs w:val="26"/>
        </w:rPr>
        <w:t xml:space="preserve"> </w:t>
      </w:r>
    </w:p>
    <w:p w:rsidR="00374104" w:rsidRPr="001E6679" w:rsidRDefault="00374104" w:rsidP="00E04F19">
      <w:pPr>
        <w:pStyle w:val="texto"/>
        <w:rPr>
          <w:spacing w:val="4"/>
          <w:szCs w:val="26"/>
          <w:lang w:val="es-ES" w:eastAsia="es-ES"/>
        </w:rPr>
      </w:pPr>
      <w:r w:rsidRPr="00715FEA">
        <w:rPr>
          <w:szCs w:val="26"/>
          <w:lang w:val="es-ES" w:eastAsia="es-ES"/>
        </w:rPr>
        <w:t xml:space="preserve">Conjuntamente con la auditoría financiera de la cuenta </w:t>
      </w:r>
      <w:r w:rsidR="00B872B1" w:rsidRPr="00715FEA">
        <w:rPr>
          <w:szCs w:val="26"/>
          <w:lang w:val="es-ES" w:eastAsia="es-ES"/>
        </w:rPr>
        <w:t>general</w:t>
      </w:r>
      <w:r w:rsidRPr="00715FEA">
        <w:rPr>
          <w:szCs w:val="26"/>
          <w:lang w:val="es-ES" w:eastAsia="es-ES"/>
        </w:rPr>
        <w:t>, hemos plan</w:t>
      </w:r>
      <w:r w:rsidRPr="00715FEA">
        <w:rPr>
          <w:szCs w:val="26"/>
          <w:lang w:val="es-ES" w:eastAsia="es-ES"/>
        </w:rPr>
        <w:t>i</w:t>
      </w:r>
      <w:r w:rsidRPr="00715FEA">
        <w:rPr>
          <w:szCs w:val="26"/>
          <w:lang w:val="es-ES" w:eastAsia="es-ES"/>
        </w:rPr>
        <w:t>ficado y ejecutado una fiscalización de cumplimiento de la legalidad para em</w:t>
      </w:r>
      <w:r w:rsidRPr="00715FEA">
        <w:rPr>
          <w:szCs w:val="26"/>
          <w:lang w:val="es-ES" w:eastAsia="es-ES"/>
        </w:rPr>
        <w:t>i</w:t>
      </w:r>
      <w:r w:rsidRPr="00715FEA">
        <w:rPr>
          <w:szCs w:val="26"/>
          <w:lang w:val="es-ES" w:eastAsia="es-ES"/>
        </w:rPr>
        <w:t xml:space="preserve">tir una opinión </w:t>
      </w:r>
      <w:r w:rsidRPr="001E6679">
        <w:rPr>
          <w:spacing w:val="4"/>
          <w:szCs w:val="26"/>
          <w:lang w:val="es-ES" w:eastAsia="es-ES"/>
        </w:rPr>
        <w:t>sobre si las actividades, operaciones presupuestarias y financi</w:t>
      </w:r>
      <w:r w:rsidRPr="001E6679">
        <w:rPr>
          <w:spacing w:val="4"/>
          <w:szCs w:val="26"/>
          <w:lang w:val="es-ES" w:eastAsia="es-ES"/>
        </w:rPr>
        <w:t>e</w:t>
      </w:r>
      <w:r w:rsidRPr="001E6679">
        <w:rPr>
          <w:spacing w:val="4"/>
          <w:szCs w:val="26"/>
          <w:lang w:val="es-ES" w:eastAsia="es-ES"/>
        </w:rPr>
        <w:t xml:space="preserve">ras realizadas por el </w:t>
      </w:r>
      <w:r w:rsidR="005A4B68" w:rsidRPr="001E6679">
        <w:rPr>
          <w:spacing w:val="4"/>
          <w:szCs w:val="26"/>
          <w:lang w:val="es-ES" w:eastAsia="es-ES"/>
        </w:rPr>
        <w:t>mancomunidad</w:t>
      </w:r>
      <w:r w:rsidRPr="001E6679">
        <w:rPr>
          <w:spacing w:val="4"/>
          <w:szCs w:val="26"/>
          <w:lang w:val="es-ES" w:eastAsia="es-ES"/>
        </w:rPr>
        <w:t xml:space="preserve"> durante el ejercicio y la información reflej</w:t>
      </w:r>
      <w:r w:rsidRPr="001E6679">
        <w:rPr>
          <w:spacing w:val="4"/>
          <w:szCs w:val="26"/>
          <w:lang w:val="es-ES" w:eastAsia="es-ES"/>
        </w:rPr>
        <w:t>a</w:t>
      </w:r>
      <w:r w:rsidRPr="001E6679">
        <w:rPr>
          <w:spacing w:val="4"/>
          <w:szCs w:val="26"/>
          <w:lang w:val="es-ES" w:eastAsia="es-ES"/>
        </w:rPr>
        <w:t>da en la cuenta general del ejercicio 2015 resultan conformes en todos los aspe</w:t>
      </w:r>
      <w:r w:rsidRPr="001E6679">
        <w:rPr>
          <w:spacing w:val="4"/>
          <w:szCs w:val="26"/>
          <w:lang w:val="es-ES" w:eastAsia="es-ES"/>
        </w:rPr>
        <w:t>c</w:t>
      </w:r>
      <w:r w:rsidRPr="001E6679">
        <w:rPr>
          <w:spacing w:val="4"/>
          <w:szCs w:val="26"/>
          <w:lang w:val="es-ES" w:eastAsia="es-ES"/>
        </w:rPr>
        <w:t xml:space="preserve">tos significativos con las normas aplicables a la gestión de los fondos públicos. </w:t>
      </w:r>
    </w:p>
    <w:p w:rsidR="00374104" w:rsidRPr="00A42F39" w:rsidRDefault="0054670A" w:rsidP="00A42F39">
      <w:pPr>
        <w:pStyle w:val="texto"/>
        <w:tabs>
          <w:tab w:val="clear" w:pos="2835"/>
          <w:tab w:val="clear" w:pos="3969"/>
          <w:tab w:val="clear" w:pos="5103"/>
          <w:tab w:val="clear" w:pos="6237"/>
          <w:tab w:val="clear" w:pos="7371"/>
        </w:tabs>
        <w:rPr>
          <w:szCs w:val="26"/>
        </w:rPr>
      </w:pPr>
      <w:r w:rsidRPr="0054670A">
        <w:rPr>
          <w:szCs w:val="26"/>
        </w:rPr>
        <w:t>El marco normativo que resulta aplicable a</w:t>
      </w:r>
      <w:r w:rsidR="005A4B68">
        <w:rPr>
          <w:szCs w:val="26"/>
        </w:rPr>
        <w:t xml:space="preserve"> </w:t>
      </w:r>
      <w:r w:rsidRPr="0054670A">
        <w:rPr>
          <w:szCs w:val="26"/>
        </w:rPr>
        <w:t>l</w:t>
      </w:r>
      <w:r w:rsidR="005A4B68">
        <w:rPr>
          <w:szCs w:val="26"/>
        </w:rPr>
        <w:t>a mancomunidad</w:t>
      </w:r>
      <w:r w:rsidRPr="0054670A">
        <w:rPr>
          <w:szCs w:val="26"/>
        </w:rPr>
        <w:t xml:space="preserve"> en 2015</w:t>
      </w:r>
      <w:r>
        <w:rPr>
          <w:szCs w:val="26"/>
        </w:rPr>
        <w:t xml:space="preserve"> </w:t>
      </w:r>
      <w:r w:rsidRPr="0054670A">
        <w:rPr>
          <w:szCs w:val="26"/>
        </w:rPr>
        <w:t>está constituido fundamentalmente por la Ley Foral 6/1990 de la Administración</w:t>
      </w:r>
      <w:r>
        <w:rPr>
          <w:szCs w:val="26"/>
        </w:rPr>
        <w:t xml:space="preserve"> </w:t>
      </w:r>
      <w:r w:rsidRPr="0054670A">
        <w:rPr>
          <w:szCs w:val="26"/>
        </w:rPr>
        <w:t>Local de Navarra, la Ley Foral 2/1995 de Haciendas Locales de Navarra</w:t>
      </w:r>
      <w:r w:rsidR="006D3E33">
        <w:rPr>
          <w:szCs w:val="26"/>
        </w:rPr>
        <w:t xml:space="preserve"> (LFHL),</w:t>
      </w:r>
      <w:r>
        <w:rPr>
          <w:szCs w:val="26"/>
        </w:rPr>
        <w:t xml:space="preserve"> </w:t>
      </w:r>
      <w:r w:rsidRPr="0054670A">
        <w:rPr>
          <w:szCs w:val="26"/>
        </w:rPr>
        <w:t>la Ley 7/1985, reguladora de las Bases de Régimen Local</w:t>
      </w:r>
      <w:r w:rsidR="006D3E33">
        <w:rPr>
          <w:szCs w:val="26"/>
        </w:rPr>
        <w:t xml:space="preserve"> y la Ley O</w:t>
      </w:r>
      <w:r w:rsidR="006D3E33">
        <w:rPr>
          <w:szCs w:val="26"/>
        </w:rPr>
        <w:t>r</w:t>
      </w:r>
      <w:r w:rsidR="006D3E33">
        <w:rPr>
          <w:szCs w:val="26"/>
        </w:rPr>
        <w:t>gánica</w:t>
      </w:r>
      <w:r w:rsidR="00AA1638">
        <w:rPr>
          <w:szCs w:val="26"/>
        </w:rPr>
        <w:t xml:space="preserve"> 2/2012,</w:t>
      </w:r>
      <w:r w:rsidR="006D3E33">
        <w:rPr>
          <w:szCs w:val="26"/>
        </w:rPr>
        <w:t xml:space="preserve"> de Estabilidad Presupuestaria y Sostenibilidad Financiera (LOEPySF)</w:t>
      </w:r>
      <w:r w:rsidRPr="0054670A">
        <w:rPr>
          <w:szCs w:val="26"/>
        </w:rPr>
        <w:t>, así como por la</w:t>
      </w:r>
      <w:r>
        <w:rPr>
          <w:szCs w:val="26"/>
        </w:rPr>
        <w:t xml:space="preserve"> </w:t>
      </w:r>
      <w:r w:rsidRPr="0054670A">
        <w:rPr>
          <w:szCs w:val="26"/>
        </w:rPr>
        <w:t>normativa sectorial vigente</w:t>
      </w:r>
      <w:r w:rsidR="00A02392">
        <w:rPr>
          <w:szCs w:val="26"/>
        </w:rPr>
        <w:t>, especialmente la ref</w:t>
      </w:r>
      <w:r w:rsidR="00A02392">
        <w:rPr>
          <w:szCs w:val="26"/>
        </w:rPr>
        <w:t>e</w:t>
      </w:r>
      <w:r w:rsidR="00A02392">
        <w:rPr>
          <w:szCs w:val="26"/>
        </w:rPr>
        <w:lastRenderedPageBreak/>
        <w:t>rida a</w:t>
      </w:r>
      <w:r w:rsidR="00C04137">
        <w:rPr>
          <w:szCs w:val="26"/>
        </w:rPr>
        <w:t xml:space="preserve"> la</w:t>
      </w:r>
      <w:r w:rsidR="00A02392">
        <w:rPr>
          <w:szCs w:val="26"/>
        </w:rPr>
        <w:t xml:space="preserve"> atención residencial.</w:t>
      </w:r>
      <w:r w:rsidR="006223BA" w:rsidRPr="006223BA">
        <w:rPr>
          <w:szCs w:val="26"/>
          <w:lang w:val="es-ES" w:eastAsia="es-ES"/>
        </w:rPr>
        <w:t xml:space="preserve"> </w:t>
      </w:r>
      <w:r w:rsidR="006223BA">
        <w:rPr>
          <w:szCs w:val="26"/>
          <w:lang w:val="es-ES" w:eastAsia="es-ES"/>
        </w:rPr>
        <w:t>La mancomunidad</w:t>
      </w:r>
      <w:r w:rsidR="006223BA" w:rsidRPr="00566891">
        <w:rPr>
          <w:szCs w:val="26"/>
          <w:lang w:val="es-ES" w:eastAsia="es-ES"/>
        </w:rPr>
        <w:t xml:space="preserve"> aplica para su gestión cont</w:t>
      </w:r>
      <w:r w:rsidR="006223BA" w:rsidRPr="00566891">
        <w:rPr>
          <w:szCs w:val="26"/>
          <w:lang w:val="es-ES" w:eastAsia="es-ES"/>
        </w:rPr>
        <w:t>a</w:t>
      </w:r>
      <w:r w:rsidR="006223BA" w:rsidRPr="00566891">
        <w:rPr>
          <w:szCs w:val="26"/>
          <w:lang w:val="es-ES" w:eastAsia="es-ES"/>
        </w:rPr>
        <w:t>ble</w:t>
      </w:r>
      <w:r w:rsidR="006223BA">
        <w:rPr>
          <w:szCs w:val="26"/>
          <w:lang w:val="es-ES" w:eastAsia="es-ES"/>
        </w:rPr>
        <w:t>-presupuestaria, mediante el oportuno programa informático,</w:t>
      </w:r>
      <w:r w:rsidR="006223BA" w:rsidRPr="00566891">
        <w:rPr>
          <w:szCs w:val="26"/>
          <w:lang w:val="es-ES" w:eastAsia="es-ES"/>
        </w:rPr>
        <w:t xml:space="preserve"> el régimen simplificado regulado en el D</w:t>
      </w:r>
      <w:r w:rsidR="0007290D">
        <w:rPr>
          <w:szCs w:val="26"/>
          <w:lang w:val="es-ES" w:eastAsia="es-ES"/>
        </w:rPr>
        <w:t>ecreto Foral</w:t>
      </w:r>
      <w:r w:rsidR="006223BA" w:rsidRPr="00566891">
        <w:rPr>
          <w:szCs w:val="26"/>
          <w:lang w:val="es-ES" w:eastAsia="es-ES"/>
        </w:rPr>
        <w:t xml:space="preserve"> 273/1998.</w:t>
      </w:r>
    </w:p>
    <w:p w:rsidR="00A02392" w:rsidRDefault="00A02392" w:rsidP="00A02392">
      <w:pPr>
        <w:pStyle w:val="texto"/>
        <w:rPr>
          <w:szCs w:val="26"/>
          <w:lang w:val="es-ES" w:eastAsia="es-ES"/>
        </w:rPr>
      </w:pPr>
      <w:r w:rsidRPr="00A02392">
        <w:rPr>
          <w:szCs w:val="26"/>
          <w:lang w:val="es-ES" w:eastAsia="es-ES"/>
        </w:rPr>
        <w:t xml:space="preserve">La Mancomunidad de Servicios Sociales de Lumbier </w:t>
      </w:r>
      <w:r w:rsidR="00AF5FBB">
        <w:rPr>
          <w:szCs w:val="26"/>
          <w:lang w:val="es-ES" w:eastAsia="es-ES"/>
        </w:rPr>
        <w:t>(en adelante, la ma</w:t>
      </w:r>
      <w:r w:rsidR="00AF5FBB">
        <w:rPr>
          <w:szCs w:val="26"/>
          <w:lang w:val="es-ES" w:eastAsia="es-ES"/>
        </w:rPr>
        <w:t>n</w:t>
      </w:r>
      <w:r w:rsidR="00AF5FBB">
        <w:rPr>
          <w:szCs w:val="26"/>
          <w:lang w:val="es-ES" w:eastAsia="es-ES"/>
        </w:rPr>
        <w:t xml:space="preserve">comunidad) </w:t>
      </w:r>
      <w:r w:rsidRPr="00A02392">
        <w:rPr>
          <w:szCs w:val="26"/>
          <w:lang w:val="es-ES" w:eastAsia="es-ES"/>
        </w:rPr>
        <w:t xml:space="preserve">se constituye </w:t>
      </w:r>
      <w:r w:rsidR="00AF5FBB">
        <w:rPr>
          <w:szCs w:val="26"/>
          <w:lang w:val="es-ES" w:eastAsia="es-ES"/>
        </w:rPr>
        <w:t>en 1987</w:t>
      </w:r>
      <w:r w:rsidR="007179B2">
        <w:rPr>
          <w:szCs w:val="26"/>
          <w:lang w:val="es-ES" w:eastAsia="es-ES"/>
        </w:rPr>
        <w:t>, publicándose sus estatutos en el BON nº 148 de 27 de noviembre de dicho año. Si bien los mismos contemplan otros f</w:t>
      </w:r>
      <w:r w:rsidR="007179B2">
        <w:rPr>
          <w:szCs w:val="26"/>
          <w:lang w:val="es-ES" w:eastAsia="es-ES"/>
        </w:rPr>
        <w:t>i</w:t>
      </w:r>
      <w:r w:rsidR="007179B2">
        <w:rPr>
          <w:szCs w:val="26"/>
          <w:lang w:val="es-ES" w:eastAsia="es-ES"/>
        </w:rPr>
        <w:t>nes (como por ejemplo, los servicios sociales de base</w:t>
      </w:r>
      <w:r w:rsidR="007179B2">
        <w:rPr>
          <w:rStyle w:val="Refdenotaalpie"/>
          <w:szCs w:val="26"/>
          <w:lang w:val="es-ES" w:eastAsia="es-ES"/>
        </w:rPr>
        <w:footnoteReference w:id="1"/>
      </w:r>
      <w:r w:rsidR="007179B2">
        <w:rPr>
          <w:szCs w:val="26"/>
          <w:lang w:val="es-ES" w:eastAsia="es-ES"/>
        </w:rPr>
        <w:t>) su única actividad se centra en la atención residencial.</w:t>
      </w:r>
      <w:r w:rsidRPr="00A02392">
        <w:rPr>
          <w:szCs w:val="26"/>
          <w:lang w:val="es-ES" w:eastAsia="es-ES"/>
        </w:rPr>
        <w:t xml:space="preserve"> </w:t>
      </w:r>
    </w:p>
    <w:p w:rsidR="007179B2" w:rsidRPr="001E6679" w:rsidRDefault="007179B2" w:rsidP="007179B2">
      <w:pPr>
        <w:pStyle w:val="texto"/>
        <w:rPr>
          <w:spacing w:val="2"/>
          <w:szCs w:val="26"/>
          <w:lang w:val="es-ES" w:eastAsia="es-ES"/>
        </w:rPr>
      </w:pPr>
      <w:r w:rsidRPr="00A02392">
        <w:rPr>
          <w:szCs w:val="26"/>
          <w:lang w:val="es-ES" w:eastAsia="es-ES"/>
        </w:rPr>
        <w:t>Para la prestación de</w:t>
      </w:r>
      <w:r w:rsidR="006531C1">
        <w:rPr>
          <w:szCs w:val="26"/>
          <w:lang w:val="es-ES" w:eastAsia="es-ES"/>
        </w:rPr>
        <w:t>l</w:t>
      </w:r>
      <w:r w:rsidRPr="00A02392">
        <w:rPr>
          <w:szCs w:val="26"/>
          <w:lang w:val="es-ES" w:eastAsia="es-ES"/>
        </w:rPr>
        <w:t xml:space="preserve"> servicio se </w:t>
      </w:r>
      <w:r w:rsidR="006531C1">
        <w:rPr>
          <w:szCs w:val="26"/>
          <w:lang w:val="es-ES" w:eastAsia="es-ES"/>
        </w:rPr>
        <w:t>dota de la</w:t>
      </w:r>
      <w:r w:rsidRPr="00A02392">
        <w:rPr>
          <w:szCs w:val="26"/>
          <w:lang w:val="es-ES" w:eastAsia="es-ES"/>
        </w:rPr>
        <w:t xml:space="preserve"> Residencia</w:t>
      </w:r>
      <w:r w:rsidR="00421A1F">
        <w:rPr>
          <w:szCs w:val="26"/>
          <w:lang w:val="es-ES" w:eastAsia="es-ES"/>
        </w:rPr>
        <w:t xml:space="preserve"> </w:t>
      </w:r>
      <w:r w:rsidRPr="00A02392">
        <w:rPr>
          <w:szCs w:val="26"/>
          <w:lang w:val="es-ES" w:eastAsia="es-ES"/>
        </w:rPr>
        <w:t>para Mayores y Ps</w:t>
      </w:r>
      <w:r w:rsidRPr="00A02392">
        <w:rPr>
          <w:szCs w:val="26"/>
          <w:lang w:val="es-ES" w:eastAsia="es-ES"/>
        </w:rPr>
        <w:t>i</w:t>
      </w:r>
      <w:r w:rsidRPr="00A02392">
        <w:rPr>
          <w:szCs w:val="26"/>
          <w:lang w:val="es-ES" w:eastAsia="es-ES"/>
        </w:rPr>
        <w:t xml:space="preserve">cogeriátrico “San Isidro” </w:t>
      </w:r>
      <w:r w:rsidR="0007290D">
        <w:rPr>
          <w:szCs w:val="26"/>
          <w:lang w:val="es-ES" w:eastAsia="es-ES"/>
        </w:rPr>
        <w:t xml:space="preserve">(en adelante, la residencia) </w:t>
      </w:r>
      <w:r w:rsidRPr="00A02392">
        <w:rPr>
          <w:szCs w:val="26"/>
          <w:lang w:val="es-ES" w:eastAsia="es-ES"/>
        </w:rPr>
        <w:t xml:space="preserve">ubicada en </w:t>
      </w:r>
      <w:r w:rsidR="0007290D">
        <w:rPr>
          <w:szCs w:val="26"/>
          <w:lang w:val="es-ES" w:eastAsia="es-ES"/>
        </w:rPr>
        <w:t xml:space="preserve">la localidad de </w:t>
      </w:r>
      <w:r w:rsidRPr="00A02392">
        <w:rPr>
          <w:szCs w:val="26"/>
          <w:lang w:val="es-ES" w:eastAsia="es-ES"/>
        </w:rPr>
        <w:t>Lumbier</w:t>
      </w:r>
      <w:r w:rsidR="000C1A9C">
        <w:rPr>
          <w:szCs w:val="26"/>
          <w:lang w:val="es-ES" w:eastAsia="es-ES"/>
        </w:rPr>
        <w:t>, iniciando sus actividades</w:t>
      </w:r>
      <w:r w:rsidR="005269FF">
        <w:rPr>
          <w:szCs w:val="26"/>
          <w:lang w:val="es-ES" w:eastAsia="es-ES"/>
        </w:rPr>
        <w:t xml:space="preserve"> asistenciales</w:t>
      </w:r>
      <w:r w:rsidR="000C1A9C">
        <w:rPr>
          <w:szCs w:val="26"/>
          <w:lang w:val="es-ES" w:eastAsia="es-ES"/>
        </w:rPr>
        <w:t xml:space="preserve"> en julio de 1</w:t>
      </w:r>
      <w:r w:rsidR="005269FF">
        <w:rPr>
          <w:szCs w:val="26"/>
          <w:lang w:val="es-ES" w:eastAsia="es-ES"/>
        </w:rPr>
        <w:t>98</w:t>
      </w:r>
      <w:r w:rsidR="000C1A9C">
        <w:rPr>
          <w:szCs w:val="26"/>
          <w:lang w:val="es-ES" w:eastAsia="es-ES"/>
        </w:rPr>
        <w:t>8</w:t>
      </w:r>
      <w:r w:rsidR="005269FF">
        <w:rPr>
          <w:szCs w:val="26"/>
          <w:lang w:val="es-ES" w:eastAsia="es-ES"/>
        </w:rPr>
        <w:t xml:space="preserve"> y psicogeri</w:t>
      </w:r>
      <w:r w:rsidR="005269FF">
        <w:rPr>
          <w:szCs w:val="26"/>
          <w:lang w:val="es-ES" w:eastAsia="es-ES"/>
        </w:rPr>
        <w:t>á</w:t>
      </w:r>
      <w:r w:rsidR="005269FF">
        <w:rPr>
          <w:szCs w:val="26"/>
          <w:lang w:val="es-ES" w:eastAsia="es-ES"/>
        </w:rPr>
        <w:t>tricas en 2008</w:t>
      </w:r>
      <w:r w:rsidRPr="00A02392">
        <w:rPr>
          <w:szCs w:val="26"/>
          <w:lang w:val="es-ES" w:eastAsia="es-ES"/>
        </w:rPr>
        <w:t xml:space="preserve">. </w:t>
      </w:r>
      <w:r w:rsidR="005269FF" w:rsidRPr="001E6679">
        <w:rPr>
          <w:spacing w:val="2"/>
          <w:szCs w:val="26"/>
          <w:lang w:val="es-ES" w:eastAsia="es-ES"/>
        </w:rPr>
        <w:t>Estos servicios</w:t>
      </w:r>
      <w:r w:rsidRPr="001E6679">
        <w:rPr>
          <w:spacing w:val="2"/>
          <w:szCs w:val="26"/>
          <w:lang w:val="es-ES" w:eastAsia="es-ES"/>
        </w:rPr>
        <w:t xml:space="preserve"> se gestiona</w:t>
      </w:r>
      <w:r w:rsidR="005269FF" w:rsidRPr="001E6679">
        <w:rPr>
          <w:spacing w:val="2"/>
          <w:szCs w:val="26"/>
          <w:lang w:val="es-ES" w:eastAsia="es-ES"/>
        </w:rPr>
        <w:t>n</w:t>
      </w:r>
      <w:r w:rsidRPr="001E6679">
        <w:rPr>
          <w:spacing w:val="2"/>
          <w:szCs w:val="26"/>
          <w:lang w:val="es-ES" w:eastAsia="es-ES"/>
        </w:rPr>
        <w:t xml:space="preserve"> directamente desde la propia </w:t>
      </w:r>
      <w:r w:rsidR="00AF5FBB" w:rsidRPr="001E6679">
        <w:rPr>
          <w:spacing w:val="2"/>
          <w:szCs w:val="26"/>
          <w:lang w:val="es-ES" w:eastAsia="es-ES"/>
        </w:rPr>
        <w:t>m</w:t>
      </w:r>
      <w:r w:rsidRPr="001E6679">
        <w:rPr>
          <w:spacing w:val="2"/>
          <w:szCs w:val="26"/>
          <w:lang w:val="es-ES" w:eastAsia="es-ES"/>
        </w:rPr>
        <w:t>anc</w:t>
      </w:r>
      <w:r w:rsidRPr="001E6679">
        <w:rPr>
          <w:spacing w:val="2"/>
          <w:szCs w:val="26"/>
          <w:lang w:val="es-ES" w:eastAsia="es-ES"/>
        </w:rPr>
        <w:t>o</w:t>
      </w:r>
      <w:r w:rsidRPr="001E6679">
        <w:rPr>
          <w:spacing w:val="2"/>
          <w:szCs w:val="26"/>
          <w:lang w:val="es-ES" w:eastAsia="es-ES"/>
        </w:rPr>
        <w:t xml:space="preserve">munidad, nombrándose un director para la </w:t>
      </w:r>
      <w:r w:rsidR="0007290D" w:rsidRPr="001E6679">
        <w:rPr>
          <w:spacing w:val="2"/>
          <w:szCs w:val="26"/>
          <w:lang w:val="es-ES" w:eastAsia="es-ES"/>
        </w:rPr>
        <w:t>gestión</w:t>
      </w:r>
      <w:r w:rsidRPr="001E6679">
        <w:rPr>
          <w:spacing w:val="2"/>
          <w:szCs w:val="26"/>
          <w:lang w:val="es-ES" w:eastAsia="es-ES"/>
        </w:rPr>
        <w:t xml:space="preserve"> de sus actividades ordinarias.</w:t>
      </w:r>
    </w:p>
    <w:p w:rsidR="007179B2" w:rsidRPr="00A02392" w:rsidRDefault="007179B2" w:rsidP="007179B2">
      <w:pPr>
        <w:pStyle w:val="texto"/>
        <w:rPr>
          <w:szCs w:val="26"/>
          <w:lang w:val="es-ES" w:eastAsia="es-ES"/>
        </w:rPr>
      </w:pPr>
      <w:r w:rsidRPr="00A02392">
        <w:rPr>
          <w:szCs w:val="26"/>
          <w:lang w:val="es-ES" w:eastAsia="es-ES"/>
        </w:rPr>
        <w:t>Su ámbito territorial se extiende a las siguientes entidades locales: Gallués, Izalzu, Lumbier, Navascués, Romanza</w:t>
      </w:r>
      <w:r w:rsidR="00C6781A">
        <w:rPr>
          <w:szCs w:val="26"/>
          <w:lang w:val="es-ES" w:eastAsia="es-ES"/>
        </w:rPr>
        <w:t>d</w:t>
      </w:r>
      <w:r w:rsidRPr="00A02392">
        <w:rPr>
          <w:szCs w:val="26"/>
          <w:lang w:val="es-ES" w:eastAsia="es-ES"/>
        </w:rPr>
        <w:t xml:space="preserve">o, Urraúl Alto y Urraúl Bajo. </w:t>
      </w:r>
    </w:p>
    <w:p w:rsidR="00175C43" w:rsidRDefault="00A02392" w:rsidP="00A02392">
      <w:pPr>
        <w:pStyle w:val="texto"/>
        <w:rPr>
          <w:szCs w:val="26"/>
          <w:lang w:val="es-ES" w:eastAsia="es-ES"/>
        </w:rPr>
      </w:pPr>
      <w:r>
        <w:rPr>
          <w:szCs w:val="26"/>
          <w:lang w:val="es-ES" w:eastAsia="es-ES"/>
        </w:rPr>
        <w:t xml:space="preserve">De acuerdo con </w:t>
      </w:r>
      <w:r w:rsidR="006531C1">
        <w:rPr>
          <w:szCs w:val="26"/>
          <w:lang w:val="es-ES" w:eastAsia="es-ES"/>
        </w:rPr>
        <w:t>sus estatutos</w:t>
      </w:r>
      <w:r>
        <w:rPr>
          <w:szCs w:val="26"/>
          <w:lang w:val="es-ES" w:eastAsia="es-ES"/>
        </w:rPr>
        <w:t>, l</w:t>
      </w:r>
      <w:r w:rsidRPr="00A02392">
        <w:rPr>
          <w:szCs w:val="26"/>
          <w:lang w:val="es-ES" w:eastAsia="es-ES"/>
        </w:rPr>
        <w:t xml:space="preserve">a </w:t>
      </w:r>
      <w:r>
        <w:rPr>
          <w:szCs w:val="26"/>
          <w:lang w:val="es-ES" w:eastAsia="es-ES"/>
        </w:rPr>
        <w:t>presidencia de la</w:t>
      </w:r>
      <w:r w:rsidRPr="00A02392">
        <w:rPr>
          <w:szCs w:val="26"/>
          <w:lang w:val="es-ES" w:eastAsia="es-ES"/>
        </w:rPr>
        <w:t xml:space="preserve"> </w:t>
      </w:r>
      <w:r>
        <w:rPr>
          <w:szCs w:val="26"/>
          <w:lang w:val="es-ES" w:eastAsia="es-ES"/>
        </w:rPr>
        <w:t>m</w:t>
      </w:r>
      <w:r w:rsidRPr="00A02392">
        <w:rPr>
          <w:szCs w:val="26"/>
          <w:lang w:val="es-ES" w:eastAsia="es-ES"/>
        </w:rPr>
        <w:t>ancomunidad</w:t>
      </w:r>
      <w:r>
        <w:rPr>
          <w:szCs w:val="26"/>
          <w:lang w:val="es-ES" w:eastAsia="es-ES"/>
        </w:rPr>
        <w:t xml:space="preserve"> recae en el alcalde de Lumbier y </w:t>
      </w:r>
      <w:r w:rsidR="00175C43">
        <w:rPr>
          <w:szCs w:val="26"/>
          <w:lang w:val="es-ES" w:eastAsia="es-ES"/>
        </w:rPr>
        <w:t>la asamblea designará el secretario</w:t>
      </w:r>
      <w:r w:rsidR="00F04793">
        <w:rPr>
          <w:szCs w:val="26"/>
          <w:lang w:val="es-ES" w:eastAsia="es-ES"/>
        </w:rPr>
        <w:t>, el</w:t>
      </w:r>
      <w:r w:rsidR="00175C43">
        <w:rPr>
          <w:szCs w:val="26"/>
          <w:lang w:val="es-ES" w:eastAsia="es-ES"/>
        </w:rPr>
        <w:t xml:space="preserve"> interventor</w:t>
      </w:r>
      <w:r w:rsidR="00F04793">
        <w:rPr>
          <w:szCs w:val="26"/>
          <w:lang w:val="es-ES" w:eastAsia="es-ES"/>
        </w:rPr>
        <w:t xml:space="preserve"> y el d</w:t>
      </w:r>
      <w:r w:rsidR="00F04793">
        <w:rPr>
          <w:szCs w:val="26"/>
          <w:lang w:val="es-ES" w:eastAsia="es-ES"/>
        </w:rPr>
        <w:t>e</w:t>
      </w:r>
      <w:r w:rsidR="00F04793">
        <w:rPr>
          <w:szCs w:val="26"/>
          <w:lang w:val="es-ES" w:eastAsia="es-ES"/>
        </w:rPr>
        <w:t>positario</w:t>
      </w:r>
      <w:r w:rsidR="00175C43">
        <w:rPr>
          <w:szCs w:val="26"/>
          <w:lang w:val="es-ES" w:eastAsia="es-ES"/>
        </w:rPr>
        <w:t xml:space="preserve"> entre funcionarios </w:t>
      </w:r>
      <w:r w:rsidR="00260AF4">
        <w:rPr>
          <w:szCs w:val="26"/>
          <w:lang w:val="es-ES" w:eastAsia="es-ES"/>
        </w:rPr>
        <w:t>que ocupen dichas plazas en</w:t>
      </w:r>
      <w:r w:rsidR="00175C43">
        <w:rPr>
          <w:szCs w:val="26"/>
          <w:lang w:val="es-ES" w:eastAsia="es-ES"/>
        </w:rPr>
        <w:t xml:space="preserve"> las entidades locales mancomunadas; en tanto no se designe, las funciones de secretario serán eje</w:t>
      </w:r>
      <w:r w:rsidR="00175C43">
        <w:rPr>
          <w:szCs w:val="26"/>
          <w:lang w:val="es-ES" w:eastAsia="es-ES"/>
        </w:rPr>
        <w:t>r</w:t>
      </w:r>
      <w:r w:rsidR="00175C43">
        <w:rPr>
          <w:szCs w:val="26"/>
          <w:lang w:val="es-ES" w:eastAsia="es-ES"/>
        </w:rPr>
        <w:t>cidas por un funcionario del ayuntamiento de Lumbier;</w:t>
      </w:r>
      <w:r w:rsidR="00AF5FBB">
        <w:rPr>
          <w:szCs w:val="26"/>
          <w:lang w:val="es-ES" w:eastAsia="es-ES"/>
        </w:rPr>
        <w:t xml:space="preserve"> </w:t>
      </w:r>
      <w:r w:rsidR="00175C43">
        <w:rPr>
          <w:szCs w:val="26"/>
          <w:lang w:val="es-ES" w:eastAsia="es-ES"/>
        </w:rPr>
        <w:t>en la actualidad, son realizadas por la secretaria del</w:t>
      </w:r>
      <w:r w:rsidRPr="00A02392">
        <w:rPr>
          <w:szCs w:val="26"/>
          <w:lang w:val="es-ES" w:eastAsia="es-ES"/>
        </w:rPr>
        <w:t xml:space="preserve"> citado ayuntamiento.</w:t>
      </w:r>
      <w:r w:rsidR="00175C43">
        <w:rPr>
          <w:szCs w:val="26"/>
          <w:lang w:val="es-ES" w:eastAsia="es-ES"/>
        </w:rPr>
        <w:t xml:space="preserve"> No se ha designado fo</w:t>
      </w:r>
      <w:r w:rsidR="00175C43">
        <w:rPr>
          <w:szCs w:val="26"/>
          <w:lang w:val="es-ES" w:eastAsia="es-ES"/>
        </w:rPr>
        <w:t>r</w:t>
      </w:r>
      <w:r w:rsidR="00175C43">
        <w:rPr>
          <w:szCs w:val="26"/>
          <w:lang w:val="es-ES" w:eastAsia="es-ES"/>
        </w:rPr>
        <w:t>malmente interventor de la mancomunidad</w:t>
      </w:r>
      <w:r w:rsidR="00D03509">
        <w:rPr>
          <w:szCs w:val="26"/>
          <w:lang w:val="es-ES" w:eastAsia="es-ES"/>
        </w:rPr>
        <w:t xml:space="preserve"> y los estatutos</w:t>
      </w:r>
      <w:r w:rsidR="007F7777">
        <w:rPr>
          <w:szCs w:val="26"/>
          <w:lang w:val="es-ES" w:eastAsia="es-ES"/>
        </w:rPr>
        <w:t xml:space="preserve"> </w:t>
      </w:r>
      <w:r w:rsidR="00D03509">
        <w:rPr>
          <w:szCs w:val="26"/>
          <w:lang w:val="es-ES" w:eastAsia="es-ES"/>
        </w:rPr>
        <w:t>r</w:t>
      </w:r>
      <w:r w:rsidR="007F7777">
        <w:rPr>
          <w:szCs w:val="26"/>
          <w:lang w:val="es-ES" w:eastAsia="es-ES"/>
        </w:rPr>
        <w:t xml:space="preserve">emiten </w:t>
      </w:r>
      <w:r w:rsidR="00D03509">
        <w:rPr>
          <w:szCs w:val="26"/>
          <w:lang w:val="es-ES" w:eastAsia="es-ES"/>
        </w:rPr>
        <w:t>de forma g</w:t>
      </w:r>
      <w:r w:rsidR="00D03509">
        <w:rPr>
          <w:szCs w:val="26"/>
          <w:lang w:val="es-ES" w:eastAsia="es-ES"/>
        </w:rPr>
        <w:t>e</w:t>
      </w:r>
      <w:r w:rsidR="00D03509">
        <w:rPr>
          <w:szCs w:val="26"/>
          <w:lang w:val="es-ES" w:eastAsia="es-ES"/>
        </w:rPr>
        <w:t xml:space="preserve">nérica, </w:t>
      </w:r>
      <w:r w:rsidR="007F7777">
        <w:rPr>
          <w:szCs w:val="26"/>
          <w:lang w:val="es-ES" w:eastAsia="es-ES"/>
        </w:rPr>
        <w:t>en cuanto a su</w:t>
      </w:r>
      <w:r w:rsidR="00214A1B">
        <w:rPr>
          <w:szCs w:val="26"/>
          <w:lang w:val="es-ES" w:eastAsia="es-ES"/>
        </w:rPr>
        <w:t>s</w:t>
      </w:r>
      <w:r w:rsidR="007F7777">
        <w:rPr>
          <w:szCs w:val="26"/>
          <w:lang w:val="es-ES" w:eastAsia="es-ES"/>
        </w:rPr>
        <w:t xml:space="preserve"> funciones</w:t>
      </w:r>
      <w:r w:rsidR="00D03509">
        <w:rPr>
          <w:szCs w:val="26"/>
          <w:lang w:val="es-ES" w:eastAsia="es-ES"/>
        </w:rPr>
        <w:t>, a la normativa vigente</w:t>
      </w:r>
      <w:r w:rsidR="006531C1">
        <w:rPr>
          <w:szCs w:val="26"/>
          <w:lang w:val="es-ES" w:eastAsia="es-ES"/>
        </w:rPr>
        <w:t xml:space="preserve">; la gestión contable </w:t>
      </w:r>
      <w:r w:rsidR="0053615E">
        <w:rPr>
          <w:szCs w:val="26"/>
          <w:lang w:val="es-ES" w:eastAsia="es-ES"/>
        </w:rPr>
        <w:t xml:space="preserve">de la mancomunidad </w:t>
      </w:r>
      <w:r w:rsidR="006531C1">
        <w:rPr>
          <w:szCs w:val="26"/>
          <w:lang w:val="es-ES" w:eastAsia="es-ES"/>
        </w:rPr>
        <w:t>está contratada externamente</w:t>
      </w:r>
      <w:r w:rsidR="00175C43">
        <w:rPr>
          <w:szCs w:val="26"/>
          <w:lang w:val="es-ES" w:eastAsia="es-ES"/>
        </w:rPr>
        <w:t>.</w:t>
      </w:r>
      <w:r w:rsidR="007179B2">
        <w:rPr>
          <w:szCs w:val="26"/>
          <w:lang w:val="es-ES" w:eastAsia="es-ES"/>
        </w:rPr>
        <w:t xml:space="preserve"> </w:t>
      </w:r>
    </w:p>
    <w:p w:rsidR="00A02392" w:rsidRDefault="007179B2" w:rsidP="00A02392">
      <w:pPr>
        <w:pStyle w:val="texto"/>
        <w:rPr>
          <w:szCs w:val="26"/>
          <w:lang w:val="es-ES" w:eastAsia="es-ES"/>
        </w:rPr>
      </w:pPr>
      <w:r>
        <w:rPr>
          <w:szCs w:val="26"/>
          <w:lang w:val="es-ES" w:eastAsia="es-ES"/>
        </w:rPr>
        <w:t>As</w:t>
      </w:r>
      <w:r w:rsidR="00AF5FBB">
        <w:rPr>
          <w:szCs w:val="26"/>
          <w:lang w:val="es-ES" w:eastAsia="es-ES"/>
        </w:rPr>
        <w:t>í</w:t>
      </w:r>
      <w:r>
        <w:rPr>
          <w:szCs w:val="26"/>
          <w:lang w:val="es-ES" w:eastAsia="es-ES"/>
        </w:rPr>
        <w:t xml:space="preserve"> mismo</w:t>
      </w:r>
      <w:r w:rsidR="00AE7A2C">
        <w:rPr>
          <w:szCs w:val="26"/>
          <w:lang w:val="es-ES" w:eastAsia="es-ES"/>
        </w:rPr>
        <w:t>,</w:t>
      </w:r>
      <w:r>
        <w:rPr>
          <w:szCs w:val="26"/>
          <w:lang w:val="es-ES" w:eastAsia="es-ES"/>
        </w:rPr>
        <w:t xml:space="preserve"> se contem</w:t>
      </w:r>
      <w:r w:rsidR="001F3D3C">
        <w:rPr>
          <w:szCs w:val="26"/>
          <w:lang w:val="es-ES" w:eastAsia="es-ES"/>
        </w:rPr>
        <w:t xml:space="preserve">pla </w:t>
      </w:r>
      <w:r w:rsidR="00AF5FBB">
        <w:rPr>
          <w:szCs w:val="26"/>
          <w:lang w:val="es-ES" w:eastAsia="es-ES"/>
        </w:rPr>
        <w:t xml:space="preserve">la </w:t>
      </w:r>
      <w:r w:rsidR="0007290D">
        <w:rPr>
          <w:szCs w:val="26"/>
          <w:lang w:val="es-ES" w:eastAsia="es-ES"/>
        </w:rPr>
        <w:t>j</w:t>
      </w:r>
      <w:r w:rsidR="00AF5FBB">
        <w:rPr>
          <w:szCs w:val="26"/>
          <w:lang w:val="es-ES" w:eastAsia="es-ES"/>
        </w:rPr>
        <w:t xml:space="preserve">unta general o </w:t>
      </w:r>
      <w:r w:rsidR="0007290D">
        <w:rPr>
          <w:szCs w:val="26"/>
          <w:lang w:val="es-ES" w:eastAsia="es-ES"/>
        </w:rPr>
        <w:t>a</w:t>
      </w:r>
      <w:r w:rsidR="00AF5FBB">
        <w:rPr>
          <w:szCs w:val="26"/>
          <w:lang w:val="es-ES" w:eastAsia="es-ES"/>
        </w:rPr>
        <w:t>samblea, como órgano supremo de gestión de la mancomunidad,</w:t>
      </w:r>
      <w:r w:rsidR="00757D78">
        <w:rPr>
          <w:szCs w:val="26"/>
          <w:lang w:val="es-ES" w:eastAsia="es-ES"/>
        </w:rPr>
        <w:t xml:space="preserve"> un vicepresidente</w:t>
      </w:r>
      <w:r w:rsidR="00AF5FBB">
        <w:rPr>
          <w:szCs w:val="26"/>
          <w:lang w:val="es-ES" w:eastAsia="es-ES"/>
        </w:rPr>
        <w:t xml:space="preserve"> y una Comisión de G</w:t>
      </w:r>
      <w:r w:rsidR="00AF5FBB">
        <w:rPr>
          <w:szCs w:val="26"/>
          <w:lang w:val="es-ES" w:eastAsia="es-ES"/>
        </w:rPr>
        <w:t>o</w:t>
      </w:r>
      <w:r w:rsidR="00AF5FBB">
        <w:rPr>
          <w:szCs w:val="26"/>
          <w:lang w:val="es-ES" w:eastAsia="es-ES"/>
        </w:rPr>
        <w:t>bierno.</w:t>
      </w:r>
      <w:r>
        <w:rPr>
          <w:szCs w:val="26"/>
          <w:lang w:val="es-ES" w:eastAsia="es-ES"/>
        </w:rPr>
        <w:t xml:space="preserve"> </w:t>
      </w:r>
    </w:p>
    <w:p w:rsidR="00757D78" w:rsidRDefault="00757D78" w:rsidP="00757D78">
      <w:pPr>
        <w:pStyle w:val="texto"/>
        <w:rPr>
          <w:szCs w:val="26"/>
          <w:lang w:val="es-ES" w:eastAsia="es-ES"/>
        </w:rPr>
      </w:pPr>
      <w:r>
        <w:rPr>
          <w:szCs w:val="26"/>
          <w:lang w:val="es-ES" w:eastAsia="es-ES"/>
        </w:rPr>
        <w:t>Su personal está integrado por los funcionarios de los entes locales afectos al servicio y por el personal contratado por la manc</w:t>
      </w:r>
      <w:r w:rsidR="005D0892">
        <w:rPr>
          <w:szCs w:val="26"/>
          <w:lang w:val="es-ES" w:eastAsia="es-ES"/>
        </w:rPr>
        <w:t>omunidad</w:t>
      </w:r>
      <w:r w:rsidR="009461A1">
        <w:rPr>
          <w:szCs w:val="26"/>
          <w:lang w:val="es-ES" w:eastAsia="es-ES"/>
        </w:rPr>
        <w:t xml:space="preserve"> que</w:t>
      </w:r>
      <w:r w:rsidR="00D73D03">
        <w:rPr>
          <w:szCs w:val="26"/>
          <w:lang w:val="es-ES" w:eastAsia="es-ES"/>
        </w:rPr>
        <w:t xml:space="preserve"> no adquirirá</w:t>
      </w:r>
      <w:r w:rsidR="00175C43">
        <w:rPr>
          <w:szCs w:val="26"/>
          <w:lang w:val="es-ES" w:eastAsia="es-ES"/>
        </w:rPr>
        <w:t>, en ningún supuesto,</w:t>
      </w:r>
      <w:r w:rsidR="00D73D03">
        <w:rPr>
          <w:szCs w:val="26"/>
          <w:lang w:val="es-ES" w:eastAsia="es-ES"/>
        </w:rPr>
        <w:t xml:space="preserve"> la condición de funcionario local.</w:t>
      </w:r>
    </w:p>
    <w:p w:rsidR="00757D78" w:rsidRPr="00A02392" w:rsidRDefault="00757D78" w:rsidP="00757D78">
      <w:pPr>
        <w:pStyle w:val="texto"/>
        <w:rPr>
          <w:szCs w:val="26"/>
          <w:lang w:val="es-ES" w:eastAsia="es-ES"/>
        </w:rPr>
      </w:pPr>
      <w:r>
        <w:rPr>
          <w:szCs w:val="26"/>
          <w:lang w:val="es-ES" w:eastAsia="es-ES"/>
        </w:rPr>
        <w:t>La financiación de sus actividades se efectúa básicamente con los ingresos obtenidos por las plazas residenciales</w:t>
      </w:r>
      <w:r w:rsidR="0007290D">
        <w:rPr>
          <w:szCs w:val="26"/>
          <w:lang w:val="es-ES" w:eastAsia="es-ES"/>
        </w:rPr>
        <w:t xml:space="preserve"> y</w:t>
      </w:r>
      <w:r w:rsidR="00AF2305">
        <w:rPr>
          <w:szCs w:val="26"/>
          <w:lang w:val="es-ES" w:eastAsia="es-ES"/>
        </w:rPr>
        <w:t>, residualmente,</w:t>
      </w:r>
      <w:r w:rsidR="0007290D">
        <w:rPr>
          <w:szCs w:val="26"/>
          <w:lang w:val="es-ES" w:eastAsia="es-ES"/>
        </w:rPr>
        <w:t xml:space="preserve"> </w:t>
      </w:r>
      <w:r>
        <w:rPr>
          <w:szCs w:val="26"/>
          <w:lang w:val="es-ES" w:eastAsia="es-ES"/>
        </w:rPr>
        <w:t>por subvenciones</w:t>
      </w:r>
      <w:r w:rsidR="0007290D">
        <w:rPr>
          <w:szCs w:val="26"/>
          <w:lang w:val="es-ES" w:eastAsia="es-ES"/>
        </w:rPr>
        <w:t xml:space="preserve"> y d</w:t>
      </w:r>
      <w:r w:rsidR="0007290D">
        <w:rPr>
          <w:szCs w:val="26"/>
          <w:lang w:val="es-ES" w:eastAsia="es-ES"/>
        </w:rPr>
        <w:t>o</w:t>
      </w:r>
      <w:r w:rsidR="0007290D">
        <w:rPr>
          <w:szCs w:val="26"/>
          <w:lang w:val="es-ES" w:eastAsia="es-ES"/>
        </w:rPr>
        <w:t>naciones</w:t>
      </w:r>
      <w:r>
        <w:rPr>
          <w:szCs w:val="26"/>
          <w:lang w:val="es-ES" w:eastAsia="es-ES"/>
        </w:rPr>
        <w:t>. Así mismo</w:t>
      </w:r>
      <w:r w:rsidR="00AE7A2C">
        <w:rPr>
          <w:szCs w:val="26"/>
          <w:lang w:val="es-ES" w:eastAsia="es-ES"/>
        </w:rPr>
        <w:t>,</w:t>
      </w:r>
      <w:r>
        <w:rPr>
          <w:szCs w:val="26"/>
          <w:lang w:val="es-ES" w:eastAsia="es-ES"/>
        </w:rPr>
        <w:t xml:space="preserve"> se establece que las entidades locales mancomunadas aportarán una cantidad fija por habitante y soportarán, en su caso, el déficit g</w:t>
      </w:r>
      <w:r>
        <w:rPr>
          <w:szCs w:val="26"/>
          <w:lang w:val="es-ES" w:eastAsia="es-ES"/>
        </w:rPr>
        <w:t>e</w:t>
      </w:r>
      <w:r>
        <w:rPr>
          <w:szCs w:val="26"/>
          <w:lang w:val="es-ES" w:eastAsia="es-ES"/>
        </w:rPr>
        <w:t>nerado por los usuarios pertenecientes a su localidad; en los ejercicios de 2014 y 2015 no constan aportaciones de las entidades locales mancomunadas.</w:t>
      </w:r>
    </w:p>
    <w:p w:rsidR="001E6679" w:rsidRDefault="001E6679" w:rsidP="00A02392">
      <w:pPr>
        <w:pStyle w:val="texto"/>
        <w:rPr>
          <w:szCs w:val="26"/>
          <w:lang w:val="es-ES" w:eastAsia="es-ES"/>
        </w:rPr>
      </w:pPr>
    </w:p>
    <w:p w:rsidR="00A02392" w:rsidRPr="00A02392" w:rsidRDefault="00A02392" w:rsidP="00A02392">
      <w:pPr>
        <w:pStyle w:val="texto"/>
        <w:rPr>
          <w:szCs w:val="26"/>
          <w:lang w:val="es-ES" w:eastAsia="es-ES"/>
        </w:rPr>
      </w:pPr>
      <w:r w:rsidRPr="00A02392">
        <w:rPr>
          <w:szCs w:val="26"/>
          <w:lang w:val="es-ES" w:eastAsia="es-ES"/>
        </w:rPr>
        <w:t>Como pr</w:t>
      </w:r>
      <w:r w:rsidR="00AF5FBB">
        <w:rPr>
          <w:szCs w:val="26"/>
          <w:lang w:val="es-ES" w:eastAsia="es-ES"/>
        </w:rPr>
        <w:t xml:space="preserve">incipales características de la </w:t>
      </w:r>
      <w:r w:rsidR="00CA6DE7">
        <w:rPr>
          <w:szCs w:val="26"/>
          <w:lang w:val="es-ES" w:eastAsia="es-ES"/>
        </w:rPr>
        <w:t>R</w:t>
      </w:r>
      <w:r w:rsidR="00AF5FBB">
        <w:rPr>
          <w:szCs w:val="26"/>
          <w:lang w:val="es-ES" w:eastAsia="es-ES"/>
        </w:rPr>
        <w:t>esidencia</w:t>
      </w:r>
      <w:r w:rsidR="00CA6DE7">
        <w:rPr>
          <w:szCs w:val="26"/>
          <w:lang w:val="es-ES" w:eastAsia="es-ES"/>
        </w:rPr>
        <w:t xml:space="preserve"> San Isidro</w:t>
      </w:r>
      <w:r w:rsidRPr="00A02392">
        <w:rPr>
          <w:szCs w:val="26"/>
          <w:lang w:val="es-ES" w:eastAsia="es-ES"/>
        </w:rPr>
        <w:t>, señalamos:</w:t>
      </w:r>
    </w:p>
    <w:p w:rsidR="00D07F04" w:rsidRDefault="00D07F04" w:rsidP="006A195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Los </w:t>
      </w:r>
      <w:r w:rsidR="00E15276">
        <w:rPr>
          <w:szCs w:val="26"/>
        </w:rPr>
        <w:t xml:space="preserve">dos edificios </w:t>
      </w:r>
      <w:r w:rsidR="009C04BF">
        <w:rPr>
          <w:szCs w:val="26"/>
        </w:rPr>
        <w:t>–</w:t>
      </w:r>
      <w:r>
        <w:rPr>
          <w:szCs w:val="26"/>
        </w:rPr>
        <w:t>residencial</w:t>
      </w:r>
      <w:r w:rsidR="009C04BF">
        <w:rPr>
          <w:szCs w:val="26"/>
        </w:rPr>
        <w:t xml:space="preserve"> tercera edad</w:t>
      </w:r>
      <w:r>
        <w:rPr>
          <w:szCs w:val="26"/>
        </w:rPr>
        <w:t xml:space="preserve"> y psicogeriátrico</w:t>
      </w:r>
      <w:r w:rsidR="00C46A7F">
        <w:rPr>
          <w:szCs w:val="26"/>
        </w:rPr>
        <w:t>–</w:t>
      </w:r>
      <w:r>
        <w:rPr>
          <w:szCs w:val="26"/>
        </w:rPr>
        <w:t xml:space="preserve"> en que des</w:t>
      </w:r>
      <w:r>
        <w:rPr>
          <w:szCs w:val="26"/>
        </w:rPr>
        <w:t>a</w:t>
      </w:r>
      <w:r>
        <w:rPr>
          <w:szCs w:val="26"/>
        </w:rPr>
        <w:t xml:space="preserve">rrolla su actividad </w:t>
      </w:r>
      <w:r w:rsidR="009626C6">
        <w:rPr>
          <w:szCs w:val="26"/>
        </w:rPr>
        <w:t xml:space="preserve">fueron </w:t>
      </w:r>
      <w:r w:rsidR="005269FF">
        <w:rPr>
          <w:szCs w:val="26"/>
        </w:rPr>
        <w:t>construidos</w:t>
      </w:r>
      <w:r w:rsidR="00421A1F" w:rsidRPr="00421A1F">
        <w:rPr>
          <w:szCs w:val="26"/>
        </w:rPr>
        <w:t xml:space="preserve"> </w:t>
      </w:r>
      <w:r w:rsidR="00421A1F">
        <w:rPr>
          <w:szCs w:val="26"/>
        </w:rPr>
        <w:t>por el Gobierno de Navarra</w:t>
      </w:r>
      <w:r w:rsidR="005269FF">
        <w:rPr>
          <w:szCs w:val="26"/>
        </w:rPr>
        <w:t xml:space="preserve"> y </w:t>
      </w:r>
      <w:r w:rsidR="00085685">
        <w:rPr>
          <w:szCs w:val="26"/>
        </w:rPr>
        <w:t>terminados</w:t>
      </w:r>
      <w:r w:rsidR="00E15276">
        <w:rPr>
          <w:szCs w:val="26"/>
        </w:rPr>
        <w:t xml:space="preserve"> en </w:t>
      </w:r>
      <w:r w:rsidR="00E15276" w:rsidRPr="00085685">
        <w:rPr>
          <w:szCs w:val="26"/>
        </w:rPr>
        <w:t>19</w:t>
      </w:r>
      <w:r w:rsidR="00085685" w:rsidRPr="00085685">
        <w:rPr>
          <w:szCs w:val="26"/>
        </w:rPr>
        <w:t>87</w:t>
      </w:r>
      <w:r w:rsidR="00E15276" w:rsidRPr="00085685">
        <w:rPr>
          <w:szCs w:val="26"/>
        </w:rPr>
        <w:t xml:space="preserve"> y </w:t>
      </w:r>
      <w:r w:rsidR="00085685" w:rsidRPr="00085685">
        <w:rPr>
          <w:szCs w:val="26"/>
        </w:rPr>
        <w:t>200</w:t>
      </w:r>
      <w:r w:rsidR="00C8098B">
        <w:rPr>
          <w:szCs w:val="26"/>
        </w:rPr>
        <w:t>2</w:t>
      </w:r>
      <w:r w:rsidR="00E15276">
        <w:rPr>
          <w:szCs w:val="26"/>
        </w:rPr>
        <w:t>, respecti</w:t>
      </w:r>
      <w:r w:rsidR="00421A1F">
        <w:rPr>
          <w:szCs w:val="26"/>
        </w:rPr>
        <w:t>vamente</w:t>
      </w:r>
      <w:r>
        <w:rPr>
          <w:szCs w:val="26"/>
        </w:rPr>
        <w:t>.</w:t>
      </w:r>
      <w:r w:rsidR="00C8098B">
        <w:rPr>
          <w:szCs w:val="26"/>
        </w:rPr>
        <w:t xml:space="preserve"> Su entrada en funcionamiento efectivo se produce, </w:t>
      </w:r>
      <w:r w:rsidR="009C04BF">
        <w:rPr>
          <w:szCs w:val="26"/>
        </w:rPr>
        <w:t>para la residencia</w:t>
      </w:r>
      <w:r w:rsidR="00C8098B">
        <w:rPr>
          <w:szCs w:val="26"/>
        </w:rPr>
        <w:t xml:space="preserve">, en 1988, </w:t>
      </w:r>
      <w:r w:rsidR="009C04BF">
        <w:rPr>
          <w:szCs w:val="26"/>
        </w:rPr>
        <w:t>y para el psicoger</w:t>
      </w:r>
      <w:r w:rsidR="00E93720">
        <w:rPr>
          <w:szCs w:val="26"/>
        </w:rPr>
        <w:t>i</w:t>
      </w:r>
      <w:r w:rsidR="009C04BF">
        <w:rPr>
          <w:szCs w:val="26"/>
        </w:rPr>
        <w:t>átrico</w:t>
      </w:r>
      <w:r w:rsidR="00C8098B">
        <w:rPr>
          <w:szCs w:val="26"/>
        </w:rPr>
        <w:t>, en 2008, es d</w:t>
      </w:r>
      <w:r w:rsidR="00C8098B">
        <w:rPr>
          <w:szCs w:val="26"/>
        </w:rPr>
        <w:t>e</w:t>
      </w:r>
      <w:r w:rsidR="00C8098B">
        <w:rPr>
          <w:szCs w:val="26"/>
        </w:rPr>
        <w:t xml:space="preserve">cir, seis años después de </w:t>
      </w:r>
      <w:r w:rsidR="009C04BF">
        <w:rPr>
          <w:szCs w:val="26"/>
        </w:rPr>
        <w:t>la</w:t>
      </w:r>
      <w:r w:rsidR="00C8098B">
        <w:rPr>
          <w:szCs w:val="26"/>
        </w:rPr>
        <w:t xml:space="preserve"> terminación</w:t>
      </w:r>
      <w:r w:rsidR="009C04BF">
        <w:rPr>
          <w:szCs w:val="26"/>
        </w:rPr>
        <w:t xml:space="preserve"> del edificio</w:t>
      </w:r>
      <w:r w:rsidR="00C8098B">
        <w:rPr>
          <w:szCs w:val="26"/>
        </w:rPr>
        <w:t>.</w:t>
      </w:r>
    </w:p>
    <w:p w:rsidR="00D07F04" w:rsidRPr="00783F3D" w:rsidRDefault="00D07F04" w:rsidP="006A195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0"/>
          <w:szCs w:val="26"/>
        </w:rPr>
      </w:pPr>
      <w:r w:rsidRPr="00783F3D">
        <w:rPr>
          <w:spacing w:val="0"/>
          <w:szCs w:val="26"/>
        </w:rPr>
        <w:t>Presta dos tipos de atenciones</w:t>
      </w:r>
      <w:r w:rsidR="00E15276" w:rsidRPr="00783F3D">
        <w:rPr>
          <w:spacing w:val="0"/>
          <w:szCs w:val="26"/>
        </w:rPr>
        <w:t xml:space="preserve">: </w:t>
      </w:r>
      <w:r w:rsidRPr="00783F3D">
        <w:rPr>
          <w:spacing w:val="0"/>
          <w:szCs w:val="26"/>
        </w:rPr>
        <w:t>residencia de la tercera edad y psicogeriátrico.</w:t>
      </w:r>
    </w:p>
    <w:p w:rsidR="00A02392" w:rsidRPr="006A1959" w:rsidRDefault="00A02392" w:rsidP="006A195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6A1959">
        <w:rPr>
          <w:szCs w:val="26"/>
        </w:rPr>
        <w:t xml:space="preserve">Tipo de </w:t>
      </w:r>
      <w:r w:rsidR="009461A1">
        <w:rPr>
          <w:szCs w:val="26"/>
        </w:rPr>
        <w:t>asistencia</w:t>
      </w:r>
      <w:r w:rsidR="005C7037">
        <w:rPr>
          <w:szCs w:val="26"/>
        </w:rPr>
        <w:t>:</w:t>
      </w:r>
      <w:r w:rsidR="00715FEA">
        <w:rPr>
          <w:szCs w:val="26"/>
        </w:rPr>
        <w:t xml:space="preserve"> </w:t>
      </w:r>
      <w:r w:rsidR="000C1A9C">
        <w:rPr>
          <w:szCs w:val="26"/>
        </w:rPr>
        <w:t>dependientes y no dependien</w:t>
      </w:r>
      <w:r w:rsidR="00715FEA">
        <w:rPr>
          <w:szCs w:val="26"/>
        </w:rPr>
        <w:t>tes</w:t>
      </w:r>
      <w:r w:rsidRPr="006A1959">
        <w:rPr>
          <w:szCs w:val="26"/>
        </w:rPr>
        <w:t>.</w:t>
      </w:r>
    </w:p>
    <w:p w:rsidR="00A02392" w:rsidRDefault="00A02392" w:rsidP="006A195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6A1959">
        <w:rPr>
          <w:szCs w:val="26"/>
        </w:rPr>
        <w:t>Número de plazas, 119,</w:t>
      </w:r>
      <w:r w:rsidR="000C632A">
        <w:rPr>
          <w:szCs w:val="26"/>
        </w:rPr>
        <w:t xml:space="preserve"> de las que</w:t>
      </w:r>
      <w:r w:rsidR="000C1A9C">
        <w:rPr>
          <w:szCs w:val="26"/>
        </w:rPr>
        <w:t xml:space="preserve"> 89 </w:t>
      </w:r>
      <w:r w:rsidR="000C632A">
        <w:rPr>
          <w:szCs w:val="26"/>
        </w:rPr>
        <w:t xml:space="preserve">son </w:t>
      </w:r>
      <w:r w:rsidR="000C1A9C">
        <w:rPr>
          <w:szCs w:val="26"/>
        </w:rPr>
        <w:t>para residentes y 30 para psic</w:t>
      </w:r>
      <w:r w:rsidR="000C1A9C">
        <w:rPr>
          <w:szCs w:val="26"/>
        </w:rPr>
        <w:t>o</w:t>
      </w:r>
      <w:r w:rsidR="000C1A9C">
        <w:rPr>
          <w:szCs w:val="26"/>
        </w:rPr>
        <w:t>geriátrico. Actualmente están</w:t>
      </w:r>
      <w:r w:rsidR="00D07F04">
        <w:rPr>
          <w:szCs w:val="26"/>
        </w:rPr>
        <w:t xml:space="preserve"> concertadas con el Gobierno de </w:t>
      </w:r>
      <w:r w:rsidR="005C7037">
        <w:rPr>
          <w:szCs w:val="26"/>
        </w:rPr>
        <w:t>N</w:t>
      </w:r>
      <w:r w:rsidR="00D07F04">
        <w:rPr>
          <w:szCs w:val="26"/>
        </w:rPr>
        <w:t xml:space="preserve">avarra un total de </w:t>
      </w:r>
      <w:r w:rsidR="005C7037" w:rsidRPr="000C1A9C">
        <w:rPr>
          <w:szCs w:val="26"/>
        </w:rPr>
        <w:t>50 (20</w:t>
      </w:r>
      <w:r w:rsidR="00D07F04" w:rsidRPr="000C1A9C">
        <w:rPr>
          <w:szCs w:val="26"/>
        </w:rPr>
        <w:t xml:space="preserve"> residenciales y </w:t>
      </w:r>
      <w:r w:rsidR="005C7037" w:rsidRPr="000C1A9C">
        <w:rPr>
          <w:szCs w:val="26"/>
        </w:rPr>
        <w:t>30</w:t>
      </w:r>
      <w:r w:rsidR="00D07F04" w:rsidRPr="000C1A9C">
        <w:rPr>
          <w:szCs w:val="26"/>
        </w:rPr>
        <w:t xml:space="preserve"> de psicogeriatría)</w:t>
      </w:r>
      <w:r w:rsidRPr="000C1A9C">
        <w:rPr>
          <w:szCs w:val="26"/>
        </w:rPr>
        <w:t>.</w:t>
      </w:r>
    </w:p>
    <w:p w:rsidR="000C632A" w:rsidRPr="006A1959" w:rsidRDefault="000C632A" w:rsidP="000C632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6A1959">
        <w:rPr>
          <w:szCs w:val="26"/>
        </w:rPr>
        <w:t>Número de habitaciones, 9</w:t>
      </w:r>
      <w:r w:rsidR="00F86FB8">
        <w:rPr>
          <w:szCs w:val="26"/>
        </w:rPr>
        <w:t>4</w:t>
      </w:r>
      <w:r w:rsidRPr="006A1959">
        <w:rPr>
          <w:szCs w:val="26"/>
        </w:rPr>
        <w:t>, de las que 6</w:t>
      </w:r>
      <w:r w:rsidR="00F86FB8">
        <w:rPr>
          <w:szCs w:val="26"/>
        </w:rPr>
        <w:t>9</w:t>
      </w:r>
      <w:r w:rsidRPr="006A1959">
        <w:rPr>
          <w:szCs w:val="26"/>
        </w:rPr>
        <w:t xml:space="preserve"> son individuales y 25 dobles.</w:t>
      </w:r>
    </w:p>
    <w:p w:rsidR="00CA6DE7" w:rsidRPr="006A1959" w:rsidRDefault="00085685" w:rsidP="006A195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w:t>
      </w:r>
      <w:r w:rsidR="00715FEA">
        <w:rPr>
          <w:szCs w:val="26"/>
        </w:rPr>
        <w:t>n torno al ocho</w:t>
      </w:r>
      <w:r w:rsidR="00CA6DE7" w:rsidRPr="00CA6DE7">
        <w:rPr>
          <w:color w:val="FF0000"/>
          <w:szCs w:val="26"/>
        </w:rPr>
        <w:t xml:space="preserve"> </w:t>
      </w:r>
      <w:r w:rsidR="00CA6DE7">
        <w:rPr>
          <w:szCs w:val="26"/>
        </w:rPr>
        <w:t xml:space="preserve">por ciento de las plazas están ocupadas por </w:t>
      </w:r>
      <w:r>
        <w:rPr>
          <w:szCs w:val="26"/>
        </w:rPr>
        <w:t>residentes empadronados en</w:t>
      </w:r>
      <w:r w:rsidR="00CA6DE7">
        <w:rPr>
          <w:szCs w:val="26"/>
        </w:rPr>
        <w:t xml:space="preserve"> las entidades locales mancomunadas; el resto proceden fu</w:t>
      </w:r>
      <w:r w:rsidR="00CA6DE7">
        <w:rPr>
          <w:szCs w:val="26"/>
        </w:rPr>
        <w:t>n</w:t>
      </w:r>
      <w:r w:rsidR="00CA6DE7">
        <w:rPr>
          <w:szCs w:val="26"/>
        </w:rPr>
        <w:t>damentalmente de la Comarca de Pamplona.</w:t>
      </w:r>
    </w:p>
    <w:p w:rsidR="007C7447" w:rsidRDefault="00A02392" w:rsidP="00AF5FBB">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6A1959">
        <w:rPr>
          <w:szCs w:val="26"/>
        </w:rPr>
        <w:t>Servicios: enfermería las 24 horas, consulta médica</w:t>
      </w:r>
      <w:r w:rsidR="00FA1A28">
        <w:rPr>
          <w:szCs w:val="26"/>
        </w:rPr>
        <w:t xml:space="preserve"> y de</w:t>
      </w:r>
      <w:r w:rsidRPr="006A1959">
        <w:rPr>
          <w:szCs w:val="26"/>
        </w:rPr>
        <w:t xml:space="preserve"> </w:t>
      </w:r>
      <w:r w:rsidR="00FA1A28">
        <w:rPr>
          <w:szCs w:val="26"/>
        </w:rPr>
        <w:t xml:space="preserve">psiquiatría, </w:t>
      </w:r>
      <w:r w:rsidRPr="006A1959">
        <w:rPr>
          <w:szCs w:val="26"/>
        </w:rPr>
        <w:t>fisi</w:t>
      </w:r>
      <w:r w:rsidRPr="006A1959">
        <w:rPr>
          <w:szCs w:val="26"/>
        </w:rPr>
        <w:t>o</w:t>
      </w:r>
      <w:r w:rsidRPr="006A1959">
        <w:rPr>
          <w:szCs w:val="26"/>
        </w:rPr>
        <w:t>terapia, terapia ocupacional, trabajadora social, cocina, lavandería, gimnasio, servicio religioso y capilla</w:t>
      </w:r>
      <w:r w:rsidR="003A3339">
        <w:rPr>
          <w:szCs w:val="26"/>
        </w:rPr>
        <w:t>.</w:t>
      </w:r>
    </w:p>
    <w:p w:rsidR="00D115AC" w:rsidRPr="00A42F39" w:rsidRDefault="00AF5FBB" w:rsidP="00783F3D">
      <w:pPr>
        <w:pStyle w:val="texto"/>
        <w:tabs>
          <w:tab w:val="clear" w:pos="2835"/>
          <w:tab w:val="clear" w:pos="3969"/>
          <w:tab w:val="clear" w:pos="5103"/>
          <w:tab w:val="clear" w:pos="6237"/>
          <w:tab w:val="clear" w:pos="7371"/>
        </w:tabs>
        <w:spacing w:after="200"/>
        <w:rPr>
          <w:szCs w:val="26"/>
        </w:rPr>
      </w:pPr>
      <w:r>
        <w:rPr>
          <w:szCs w:val="26"/>
          <w:lang w:val="es-ES" w:eastAsia="es-ES"/>
        </w:rPr>
        <w:t>Los principales datos económico-presupuestarios de la mancomunidad al ci</w:t>
      </w:r>
      <w:r>
        <w:rPr>
          <w:szCs w:val="26"/>
          <w:lang w:val="es-ES" w:eastAsia="es-ES"/>
        </w:rPr>
        <w:t>e</w:t>
      </w:r>
      <w:r>
        <w:rPr>
          <w:szCs w:val="26"/>
          <w:lang w:val="es-ES" w:eastAsia="es-ES"/>
        </w:rPr>
        <w:t xml:space="preserve">rre </w:t>
      </w:r>
      <w:r w:rsidR="00D115AC">
        <w:rPr>
          <w:szCs w:val="26"/>
          <w:lang w:val="es-ES" w:eastAsia="es-ES"/>
        </w:rPr>
        <w:t>del ejercicio de 201</w:t>
      </w:r>
      <w:r w:rsidR="00A42F39">
        <w:rPr>
          <w:szCs w:val="26"/>
          <w:lang w:val="es-ES" w:eastAsia="es-ES"/>
        </w:rPr>
        <w:t>5</w:t>
      </w:r>
      <w:r w:rsidR="00D115AC">
        <w:rPr>
          <w:szCs w:val="26"/>
          <w:lang w:val="es-ES" w:eastAsia="es-ES"/>
        </w:rPr>
        <w:t>, son:</w:t>
      </w:r>
    </w:p>
    <w:tbl>
      <w:tblPr>
        <w:tblW w:w="4888"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7018"/>
        <w:gridCol w:w="1711"/>
      </w:tblGrid>
      <w:tr w:rsidR="00D115AC" w:rsidRPr="006420DA" w:rsidTr="0094179B">
        <w:trPr>
          <w:trHeight w:val="284"/>
          <w:jc w:val="center"/>
        </w:trPr>
        <w:tc>
          <w:tcPr>
            <w:tcW w:w="4020" w:type="pct"/>
            <w:shd w:val="clear" w:color="auto" w:fill="FABF8F" w:themeFill="accent6" w:themeFillTint="99"/>
            <w:vAlign w:val="center"/>
          </w:tcPr>
          <w:p w:rsidR="00D115AC" w:rsidRPr="002A6470" w:rsidRDefault="00AF5FBB" w:rsidP="00AF5FBB">
            <w:pPr>
              <w:pStyle w:val="cuatexto"/>
              <w:jc w:val="left"/>
              <w:rPr>
                <w:rFonts w:ascii="Arial" w:hAnsi="Arial" w:cs="Arial"/>
                <w:sz w:val="18"/>
                <w:szCs w:val="18"/>
              </w:rPr>
            </w:pPr>
            <w:r>
              <w:rPr>
                <w:rFonts w:ascii="Arial" w:hAnsi="Arial" w:cs="Arial"/>
                <w:sz w:val="18"/>
                <w:szCs w:val="18"/>
              </w:rPr>
              <w:t>Mancomunidad S.S. de Lumbier</w:t>
            </w:r>
            <w:r w:rsidR="00343E2D">
              <w:rPr>
                <w:rFonts w:ascii="Arial" w:hAnsi="Arial" w:cs="Arial"/>
                <w:sz w:val="18"/>
                <w:szCs w:val="18"/>
              </w:rPr>
              <w:t>-2015</w:t>
            </w:r>
          </w:p>
        </w:tc>
        <w:tc>
          <w:tcPr>
            <w:tcW w:w="980" w:type="pct"/>
            <w:shd w:val="clear" w:color="auto" w:fill="FABF8F" w:themeFill="accent6" w:themeFillTint="99"/>
            <w:vAlign w:val="center"/>
          </w:tcPr>
          <w:p w:rsidR="00D115AC" w:rsidRPr="002A6470" w:rsidRDefault="00D115AC" w:rsidP="0094179B">
            <w:pPr>
              <w:pStyle w:val="cuatexto"/>
              <w:jc w:val="right"/>
              <w:rPr>
                <w:rFonts w:ascii="Arial" w:hAnsi="Arial" w:cs="Arial"/>
                <w:sz w:val="18"/>
                <w:szCs w:val="18"/>
              </w:rPr>
            </w:pPr>
            <w:r w:rsidRPr="002A6470">
              <w:rPr>
                <w:rFonts w:ascii="Arial" w:hAnsi="Arial" w:cs="Arial"/>
                <w:sz w:val="18"/>
                <w:szCs w:val="18"/>
              </w:rPr>
              <w:t>Importe</w:t>
            </w:r>
          </w:p>
        </w:tc>
      </w:tr>
      <w:tr w:rsidR="00D115AC" w:rsidRPr="006420DA" w:rsidTr="0094179B">
        <w:trPr>
          <w:trHeight w:val="284"/>
          <w:jc w:val="center"/>
        </w:trPr>
        <w:tc>
          <w:tcPr>
            <w:tcW w:w="4020" w:type="pct"/>
            <w:tcBorders>
              <w:bottom w:val="single" w:sz="2" w:space="0" w:color="auto"/>
            </w:tcBorders>
            <w:noWrap/>
            <w:vAlign w:val="center"/>
          </w:tcPr>
          <w:p w:rsidR="00D115AC" w:rsidRPr="00A36664" w:rsidRDefault="00D115AC" w:rsidP="0094179B">
            <w:pPr>
              <w:pStyle w:val="cuatexto"/>
              <w:jc w:val="left"/>
            </w:pPr>
            <w:r w:rsidRPr="00A36664">
              <w:t>Derechos reconocidos</w:t>
            </w:r>
          </w:p>
        </w:tc>
        <w:tc>
          <w:tcPr>
            <w:tcW w:w="980" w:type="pct"/>
            <w:tcBorders>
              <w:bottom w:val="single" w:sz="2" w:space="0" w:color="auto"/>
            </w:tcBorders>
            <w:noWrap/>
            <w:vAlign w:val="center"/>
          </w:tcPr>
          <w:p w:rsidR="00D115AC" w:rsidRPr="00A36664" w:rsidRDefault="008C2317" w:rsidP="0094179B">
            <w:pPr>
              <w:pStyle w:val="cuatexto"/>
              <w:jc w:val="right"/>
            </w:pPr>
            <w:r>
              <w:t>2.820.315</w:t>
            </w:r>
          </w:p>
        </w:tc>
      </w:tr>
      <w:tr w:rsidR="00D115AC" w:rsidRPr="006420DA" w:rsidTr="0094179B">
        <w:trPr>
          <w:trHeight w:val="284"/>
          <w:jc w:val="center"/>
        </w:trPr>
        <w:tc>
          <w:tcPr>
            <w:tcW w:w="4020" w:type="pct"/>
            <w:tcBorders>
              <w:top w:val="single" w:sz="2" w:space="0" w:color="auto"/>
              <w:bottom w:val="single" w:sz="2" w:space="0" w:color="auto"/>
            </w:tcBorders>
            <w:noWrap/>
            <w:vAlign w:val="center"/>
          </w:tcPr>
          <w:p w:rsidR="00D115AC" w:rsidRPr="00A36664" w:rsidRDefault="00D115AC" w:rsidP="0094179B">
            <w:pPr>
              <w:pStyle w:val="cuatexto"/>
              <w:jc w:val="left"/>
            </w:pPr>
            <w:r w:rsidRPr="00A36664">
              <w:t>Obligaciones reconocidas</w:t>
            </w:r>
          </w:p>
        </w:tc>
        <w:tc>
          <w:tcPr>
            <w:tcW w:w="980" w:type="pct"/>
            <w:tcBorders>
              <w:top w:val="single" w:sz="2" w:space="0" w:color="auto"/>
              <w:bottom w:val="single" w:sz="2" w:space="0" w:color="auto"/>
            </w:tcBorders>
            <w:noWrap/>
            <w:vAlign w:val="center"/>
          </w:tcPr>
          <w:p w:rsidR="00D115AC" w:rsidRPr="00A36664" w:rsidRDefault="008C2317" w:rsidP="0094179B">
            <w:pPr>
              <w:pStyle w:val="cuatexto"/>
              <w:jc w:val="right"/>
            </w:pPr>
            <w:r>
              <w:t>2.897.554</w:t>
            </w:r>
          </w:p>
        </w:tc>
      </w:tr>
      <w:tr w:rsidR="00D115AC" w:rsidRPr="006420DA" w:rsidTr="0094179B">
        <w:trPr>
          <w:trHeight w:val="284"/>
          <w:jc w:val="center"/>
        </w:trPr>
        <w:tc>
          <w:tcPr>
            <w:tcW w:w="4020" w:type="pct"/>
            <w:tcBorders>
              <w:top w:val="single" w:sz="2" w:space="0" w:color="auto"/>
            </w:tcBorders>
            <w:noWrap/>
            <w:vAlign w:val="center"/>
          </w:tcPr>
          <w:p w:rsidR="00D115AC" w:rsidRPr="00A36664" w:rsidRDefault="00A42F39" w:rsidP="00C46A7F">
            <w:pPr>
              <w:pStyle w:val="cuatexto"/>
              <w:jc w:val="left"/>
            </w:pPr>
            <w:r>
              <w:t xml:space="preserve">Número de empleados </w:t>
            </w:r>
            <w:r w:rsidR="00DB1FED">
              <w:t>equivalentes a jornada completa</w:t>
            </w:r>
          </w:p>
        </w:tc>
        <w:tc>
          <w:tcPr>
            <w:tcW w:w="980" w:type="pct"/>
            <w:tcBorders>
              <w:top w:val="single" w:sz="2" w:space="0" w:color="auto"/>
            </w:tcBorders>
            <w:noWrap/>
            <w:vAlign w:val="center"/>
          </w:tcPr>
          <w:p w:rsidR="00D115AC" w:rsidRPr="00A36664" w:rsidRDefault="00DB1FED" w:rsidP="00D76880">
            <w:pPr>
              <w:pStyle w:val="cuatexto"/>
              <w:jc w:val="right"/>
            </w:pPr>
            <w:r>
              <w:t>4</w:t>
            </w:r>
            <w:r w:rsidR="00D76880">
              <w:t>5,3</w:t>
            </w:r>
          </w:p>
        </w:tc>
      </w:tr>
    </w:tbl>
    <w:p w:rsidR="00DB1FED" w:rsidRDefault="00DB1FED" w:rsidP="00C46A7F">
      <w:pPr>
        <w:pStyle w:val="texto"/>
        <w:tabs>
          <w:tab w:val="clear" w:pos="2835"/>
          <w:tab w:val="clear" w:pos="3969"/>
          <w:tab w:val="clear" w:pos="5103"/>
          <w:tab w:val="clear" w:pos="6237"/>
          <w:tab w:val="clear" w:pos="7371"/>
        </w:tabs>
        <w:spacing w:after="0"/>
        <w:rPr>
          <w:szCs w:val="26"/>
        </w:rPr>
      </w:pPr>
    </w:p>
    <w:p w:rsidR="001442AE" w:rsidRPr="00C82E98" w:rsidRDefault="001442AE" w:rsidP="00C82E98">
      <w:pPr>
        <w:pStyle w:val="texto"/>
        <w:tabs>
          <w:tab w:val="clear" w:pos="2835"/>
          <w:tab w:val="clear" w:pos="3969"/>
          <w:tab w:val="clear" w:pos="5103"/>
          <w:tab w:val="clear" w:pos="6237"/>
          <w:tab w:val="clear" w:pos="7371"/>
        </w:tabs>
        <w:rPr>
          <w:szCs w:val="26"/>
        </w:rPr>
      </w:pPr>
      <w:r>
        <w:rPr>
          <w:szCs w:val="26"/>
        </w:rPr>
        <w:t xml:space="preserve">El presupuesto </w:t>
      </w:r>
      <w:r w:rsidR="002D2648">
        <w:rPr>
          <w:szCs w:val="26"/>
        </w:rPr>
        <w:t xml:space="preserve">de la mancomunidad </w:t>
      </w:r>
      <w:r>
        <w:rPr>
          <w:szCs w:val="26"/>
        </w:rPr>
        <w:t>de 2015 fue ap</w:t>
      </w:r>
      <w:r w:rsidR="00C82E98">
        <w:rPr>
          <w:szCs w:val="26"/>
        </w:rPr>
        <w:t>ro</w:t>
      </w:r>
      <w:r>
        <w:rPr>
          <w:szCs w:val="26"/>
        </w:rPr>
        <w:t xml:space="preserve">bado por </w:t>
      </w:r>
      <w:r w:rsidR="002D2648">
        <w:rPr>
          <w:szCs w:val="26"/>
        </w:rPr>
        <w:t>su</w:t>
      </w:r>
      <w:r>
        <w:rPr>
          <w:szCs w:val="26"/>
        </w:rPr>
        <w:t xml:space="preserve"> Junta </w:t>
      </w:r>
      <w:r w:rsidR="009626C6">
        <w:rPr>
          <w:szCs w:val="26"/>
        </w:rPr>
        <w:t>gen</w:t>
      </w:r>
      <w:r w:rsidR="009626C6">
        <w:rPr>
          <w:szCs w:val="26"/>
        </w:rPr>
        <w:t>e</w:t>
      </w:r>
      <w:r w:rsidR="009626C6">
        <w:rPr>
          <w:szCs w:val="26"/>
        </w:rPr>
        <w:t>ral</w:t>
      </w:r>
      <w:r>
        <w:rPr>
          <w:szCs w:val="26"/>
        </w:rPr>
        <w:t xml:space="preserve"> el</w:t>
      </w:r>
      <w:r w:rsidR="00C82E98">
        <w:rPr>
          <w:szCs w:val="26"/>
        </w:rPr>
        <w:t xml:space="preserve"> </w:t>
      </w:r>
      <w:r w:rsidR="00901AEA">
        <w:rPr>
          <w:szCs w:val="26"/>
        </w:rPr>
        <w:t>18 de</w:t>
      </w:r>
      <w:r w:rsidR="00C82E98">
        <w:rPr>
          <w:szCs w:val="26"/>
        </w:rPr>
        <w:t xml:space="preserve"> diciembre de 201</w:t>
      </w:r>
      <w:r w:rsidR="00901AEA">
        <w:rPr>
          <w:szCs w:val="26"/>
        </w:rPr>
        <w:t>4</w:t>
      </w:r>
      <w:r w:rsidR="00C82E98">
        <w:rPr>
          <w:szCs w:val="26"/>
        </w:rPr>
        <w:t>.</w:t>
      </w:r>
      <w:r w:rsidR="00C33609">
        <w:rPr>
          <w:szCs w:val="26"/>
        </w:rPr>
        <w:t xml:space="preserve"> No se acompaña de bases de ejecución.</w:t>
      </w:r>
    </w:p>
    <w:p w:rsidR="009F6F49" w:rsidRPr="003465F8" w:rsidRDefault="009F6F49" w:rsidP="009F6F49">
      <w:pPr>
        <w:pStyle w:val="texto"/>
        <w:tabs>
          <w:tab w:val="clear" w:pos="2835"/>
          <w:tab w:val="clear" w:pos="3969"/>
          <w:tab w:val="clear" w:pos="5103"/>
          <w:tab w:val="clear" w:pos="6237"/>
          <w:tab w:val="clear" w:pos="7371"/>
        </w:tabs>
        <w:rPr>
          <w:rFonts w:ascii="Times New (W1)" w:hAnsi="Times New (W1)"/>
          <w:szCs w:val="26"/>
        </w:rPr>
      </w:pPr>
      <w:r w:rsidRPr="003465F8">
        <w:rPr>
          <w:rFonts w:ascii="Times New (W1)" w:hAnsi="Times New (W1)"/>
          <w:szCs w:val="26"/>
        </w:rPr>
        <w:t>La cuenta general de</w:t>
      </w:r>
      <w:r>
        <w:rPr>
          <w:rFonts w:ascii="Times New (W1)" w:hAnsi="Times New (W1)"/>
          <w:szCs w:val="26"/>
        </w:rPr>
        <w:t xml:space="preserve"> la mancomunidad </w:t>
      </w:r>
      <w:r w:rsidRPr="003465F8">
        <w:rPr>
          <w:rFonts w:ascii="Times New (W1)" w:hAnsi="Times New (W1)"/>
          <w:szCs w:val="26"/>
        </w:rPr>
        <w:t>correspondiente al ejercicio 2014 no ha sido auditada. L</w:t>
      </w:r>
      <w:r>
        <w:rPr>
          <w:rFonts w:ascii="Times New (W1)" w:hAnsi="Times New (W1)"/>
          <w:szCs w:val="26"/>
        </w:rPr>
        <w:t>a información relativa a</w:t>
      </w:r>
      <w:r w:rsidRPr="003465F8">
        <w:rPr>
          <w:rFonts w:ascii="Times New (W1)" w:hAnsi="Times New (W1)"/>
          <w:szCs w:val="26"/>
        </w:rPr>
        <w:t xml:space="preserve"> dich</w:t>
      </w:r>
      <w:r>
        <w:rPr>
          <w:rFonts w:ascii="Times New (W1)" w:hAnsi="Times New (W1)"/>
          <w:szCs w:val="26"/>
        </w:rPr>
        <w:t>o</w:t>
      </w:r>
      <w:r w:rsidRPr="003465F8">
        <w:rPr>
          <w:rFonts w:ascii="Times New (W1)" w:hAnsi="Times New (W1)"/>
          <w:szCs w:val="26"/>
        </w:rPr>
        <w:t xml:space="preserve"> ejercicio </w:t>
      </w:r>
      <w:r>
        <w:rPr>
          <w:rFonts w:ascii="Times New (W1)" w:hAnsi="Times New (W1)"/>
          <w:szCs w:val="26"/>
        </w:rPr>
        <w:t>contemplada en este informe</w:t>
      </w:r>
      <w:r w:rsidRPr="003465F8">
        <w:rPr>
          <w:rFonts w:ascii="Times New (W1)" w:hAnsi="Times New (W1)"/>
          <w:szCs w:val="26"/>
        </w:rPr>
        <w:t xml:space="preserve"> se presenta a título informativo.</w:t>
      </w:r>
    </w:p>
    <w:p w:rsidR="00D115AC" w:rsidRPr="00780510" w:rsidRDefault="00D115AC" w:rsidP="00D115AC">
      <w:pPr>
        <w:pStyle w:val="texto"/>
        <w:tabs>
          <w:tab w:val="clear" w:pos="2835"/>
          <w:tab w:val="clear" w:pos="3969"/>
          <w:tab w:val="clear" w:pos="5103"/>
          <w:tab w:val="clear" w:pos="6237"/>
          <w:tab w:val="clear" w:pos="7371"/>
        </w:tabs>
        <w:rPr>
          <w:rFonts w:ascii="Times New (W1)" w:hAnsi="Times New (W1)"/>
          <w:szCs w:val="26"/>
        </w:rPr>
      </w:pPr>
      <w:r w:rsidRPr="00780510">
        <w:rPr>
          <w:rFonts w:ascii="Times New (W1)" w:hAnsi="Times New (W1)"/>
          <w:szCs w:val="26"/>
        </w:rPr>
        <w:t xml:space="preserve">El informe se estructura en </w:t>
      </w:r>
      <w:r w:rsidR="00C82E98">
        <w:rPr>
          <w:rFonts w:ascii="Times New (W1)" w:hAnsi="Times New (W1)"/>
          <w:szCs w:val="26"/>
        </w:rPr>
        <w:t>c</w:t>
      </w:r>
      <w:r w:rsidR="00F17A2C">
        <w:rPr>
          <w:rFonts w:ascii="Times New (W1)" w:hAnsi="Times New (W1)"/>
          <w:szCs w:val="26"/>
        </w:rPr>
        <w:t>inco</w:t>
      </w:r>
      <w:r w:rsidRPr="00780510">
        <w:rPr>
          <w:rFonts w:ascii="Times New (W1)" w:hAnsi="Times New (W1)"/>
          <w:szCs w:val="26"/>
        </w:rPr>
        <w:t xml:space="preserve"> epígrafes, incluyendo esta introducción</w:t>
      </w:r>
      <w:r w:rsidR="00C82E98">
        <w:rPr>
          <w:rFonts w:ascii="Times New (W1)" w:hAnsi="Times New (W1)"/>
          <w:szCs w:val="26"/>
        </w:rPr>
        <w:t>. En el segundo, mostramos la opinión de auditoría financiera y de cumplimiento de legalidad sobre la cuenta general de</w:t>
      </w:r>
      <w:r w:rsidR="009626C6">
        <w:rPr>
          <w:rFonts w:ascii="Times New (W1)" w:hAnsi="Times New (W1)"/>
          <w:szCs w:val="26"/>
        </w:rPr>
        <w:t xml:space="preserve"> </w:t>
      </w:r>
      <w:r w:rsidR="00C82E98">
        <w:rPr>
          <w:rFonts w:ascii="Times New (W1)" w:hAnsi="Times New (W1)"/>
          <w:szCs w:val="26"/>
        </w:rPr>
        <w:t>l</w:t>
      </w:r>
      <w:r w:rsidR="009626C6">
        <w:rPr>
          <w:rFonts w:ascii="Times New (W1)" w:hAnsi="Times New (W1)"/>
          <w:szCs w:val="26"/>
        </w:rPr>
        <w:t>a mancomunidad</w:t>
      </w:r>
      <w:r w:rsidR="00C82E98">
        <w:rPr>
          <w:rFonts w:ascii="Times New (W1)" w:hAnsi="Times New (W1)"/>
          <w:szCs w:val="26"/>
        </w:rPr>
        <w:t xml:space="preserve"> correspondiente a 2015</w:t>
      </w:r>
      <w:r w:rsidRPr="00780510">
        <w:rPr>
          <w:rFonts w:ascii="Times New (W1)" w:hAnsi="Times New (W1)"/>
          <w:szCs w:val="26"/>
        </w:rPr>
        <w:t xml:space="preserve">; </w:t>
      </w:r>
      <w:r w:rsidR="00C82E98">
        <w:rPr>
          <w:rFonts w:ascii="Times New (W1)" w:hAnsi="Times New (W1)"/>
          <w:szCs w:val="26"/>
        </w:rPr>
        <w:t>un resumen de los principales estados contables, se refleja en el epígrafe terc</w:t>
      </w:r>
      <w:r w:rsidR="00C82E98">
        <w:rPr>
          <w:rFonts w:ascii="Times New (W1)" w:hAnsi="Times New (W1)"/>
          <w:szCs w:val="26"/>
        </w:rPr>
        <w:t>e</w:t>
      </w:r>
      <w:r w:rsidR="00C82E98">
        <w:rPr>
          <w:rFonts w:ascii="Times New (W1)" w:hAnsi="Times New (W1)"/>
          <w:szCs w:val="26"/>
        </w:rPr>
        <w:t>ro.</w:t>
      </w:r>
      <w:r w:rsidRPr="00780510">
        <w:rPr>
          <w:rFonts w:ascii="Times New (W1)" w:hAnsi="Times New (W1)"/>
          <w:szCs w:val="26"/>
        </w:rPr>
        <w:t xml:space="preserve"> En el </w:t>
      </w:r>
      <w:r w:rsidR="00C82E98">
        <w:rPr>
          <w:rFonts w:ascii="Times New (W1)" w:hAnsi="Times New (W1)"/>
          <w:szCs w:val="26"/>
        </w:rPr>
        <w:t>cuarto,</w:t>
      </w:r>
      <w:r w:rsidRPr="00780510">
        <w:rPr>
          <w:rFonts w:ascii="Times New (W1)" w:hAnsi="Times New (W1)"/>
          <w:szCs w:val="26"/>
        </w:rPr>
        <w:t xml:space="preserve"> </w:t>
      </w:r>
      <w:r w:rsidR="00C82E98">
        <w:rPr>
          <w:rFonts w:ascii="Times New (W1)" w:hAnsi="Times New (W1)"/>
          <w:szCs w:val="26"/>
        </w:rPr>
        <w:t>incluimos las observaciones y conclusiones sobre su situación económico-financiera</w:t>
      </w:r>
      <w:r w:rsidR="00C82E98" w:rsidRPr="003F4A2F">
        <w:rPr>
          <w:rFonts w:ascii="Times New (W1)" w:hAnsi="Times New (W1)"/>
          <w:szCs w:val="26"/>
        </w:rPr>
        <w:t>, el cumplimiento de los objetivos de estabilidad pres</w:t>
      </w:r>
      <w:r w:rsidR="00C82E98" w:rsidRPr="003F4A2F">
        <w:rPr>
          <w:rFonts w:ascii="Times New (W1)" w:hAnsi="Times New (W1)"/>
          <w:szCs w:val="26"/>
        </w:rPr>
        <w:t>u</w:t>
      </w:r>
      <w:r w:rsidR="00C82E98" w:rsidRPr="003F4A2F">
        <w:rPr>
          <w:rFonts w:ascii="Times New (W1)" w:hAnsi="Times New (W1)"/>
          <w:szCs w:val="26"/>
        </w:rPr>
        <w:t xml:space="preserve">puestaria y de sostenibilidad financiera </w:t>
      </w:r>
      <w:r w:rsidR="00C82E98">
        <w:rPr>
          <w:rFonts w:ascii="Times New (W1)" w:hAnsi="Times New (W1)"/>
          <w:szCs w:val="26"/>
        </w:rPr>
        <w:t>así como sobre otras áreas de gestión relevantes</w:t>
      </w:r>
      <w:r w:rsidRPr="00780510">
        <w:rPr>
          <w:rFonts w:ascii="Times New (W1)" w:hAnsi="Times New (W1)"/>
          <w:szCs w:val="26"/>
        </w:rPr>
        <w:t xml:space="preserve"> </w:t>
      </w:r>
      <w:r w:rsidR="00865EA3">
        <w:rPr>
          <w:rFonts w:ascii="Times New (W1)" w:hAnsi="Times New (W1)"/>
          <w:szCs w:val="26"/>
        </w:rPr>
        <w:t>junto con</w:t>
      </w:r>
      <w:r w:rsidRPr="00780510">
        <w:rPr>
          <w:rFonts w:ascii="Times New (W1)" w:hAnsi="Times New (W1)"/>
          <w:szCs w:val="26"/>
        </w:rPr>
        <w:t xml:space="preserve"> las recomendaciones que consideramos oportunas para la mejora de la gesti</w:t>
      </w:r>
      <w:r w:rsidRPr="00C46A7F">
        <w:rPr>
          <w:rFonts w:ascii="Times New (W1)" w:hAnsi="Times New (W1)"/>
          <w:szCs w:val="26"/>
        </w:rPr>
        <w:t>ón</w:t>
      </w:r>
      <w:r w:rsidR="005269FF" w:rsidRPr="00C46A7F">
        <w:rPr>
          <w:rFonts w:ascii="Times New (W1)" w:hAnsi="Times New (W1)"/>
          <w:szCs w:val="26"/>
        </w:rPr>
        <w:t xml:space="preserve">; incluye </w:t>
      </w:r>
      <w:r w:rsidR="005269FF" w:rsidRPr="004F21C7">
        <w:rPr>
          <w:rFonts w:ascii="Times New (W1)" w:hAnsi="Times New (W1)"/>
          <w:szCs w:val="26"/>
        </w:rPr>
        <w:t xml:space="preserve">igualmente un </w:t>
      </w:r>
      <w:r w:rsidR="004F21C7" w:rsidRPr="004F21C7">
        <w:rPr>
          <w:rFonts w:ascii="Times New (W1)" w:hAnsi="Times New (W1)"/>
          <w:szCs w:val="26"/>
        </w:rPr>
        <w:t>resumen de</w:t>
      </w:r>
      <w:r w:rsidR="005269FF" w:rsidRPr="004F21C7">
        <w:rPr>
          <w:rFonts w:ascii="Times New (W1)" w:hAnsi="Times New (W1)"/>
          <w:szCs w:val="26"/>
        </w:rPr>
        <w:t xml:space="preserve"> la</w:t>
      </w:r>
      <w:r w:rsidR="004F21C7" w:rsidRPr="004F21C7">
        <w:rPr>
          <w:rFonts w:ascii="Times New (W1)" w:hAnsi="Times New (W1)"/>
          <w:szCs w:val="26"/>
        </w:rPr>
        <w:t>s</w:t>
      </w:r>
      <w:r w:rsidR="005269FF" w:rsidRPr="004F21C7">
        <w:rPr>
          <w:rFonts w:ascii="Times New (W1)" w:hAnsi="Times New (W1)"/>
          <w:szCs w:val="26"/>
        </w:rPr>
        <w:t xml:space="preserve"> actuaci</w:t>
      </w:r>
      <w:r w:rsidR="004F21C7" w:rsidRPr="004F21C7">
        <w:rPr>
          <w:rFonts w:ascii="Times New (W1)" w:hAnsi="Times New (W1)"/>
          <w:szCs w:val="26"/>
        </w:rPr>
        <w:t>ones de in</w:t>
      </w:r>
      <w:r w:rsidR="004F21C7" w:rsidRPr="004F21C7">
        <w:rPr>
          <w:rFonts w:ascii="Times New (W1)" w:hAnsi="Times New (W1)"/>
          <w:szCs w:val="26"/>
        </w:rPr>
        <w:t>s</w:t>
      </w:r>
      <w:r w:rsidR="004F21C7" w:rsidRPr="004F21C7">
        <w:rPr>
          <w:rFonts w:ascii="Times New (W1)" w:hAnsi="Times New (W1)"/>
          <w:szCs w:val="26"/>
        </w:rPr>
        <w:t xml:space="preserve">pección efectuadas por el Gobierno de Navarra y un análisis de indicadores </w:t>
      </w:r>
      <w:r w:rsidR="0007290D">
        <w:rPr>
          <w:rFonts w:ascii="Times New (W1)" w:hAnsi="Times New (W1)"/>
          <w:szCs w:val="26"/>
        </w:rPr>
        <w:t>o</w:t>
      </w:r>
      <w:r w:rsidR="004F21C7" w:rsidRPr="004F21C7">
        <w:rPr>
          <w:rFonts w:ascii="Times New (W1)" w:hAnsi="Times New (W1)"/>
          <w:szCs w:val="26"/>
        </w:rPr>
        <w:t xml:space="preserve"> ratios de gestión</w:t>
      </w:r>
      <w:r w:rsidR="00091399" w:rsidRPr="004F21C7">
        <w:rPr>
          <w:rFonts w:ascii="Times New (W1)" w:hAnsi="Times New (W1)"/>
          <w:szCs w:val="26"/>
        </w:rPr>
        <w:t xml:space="preserve"> de la residencia</w:t>
      </w:r>
      <w:r w:rsidR="004F21C7" w:rsidRPr="004F21C7">
        <w:rPr>
          <w:rFonts w:ascii="Times New (W1)" w:hAnsi="Times New (W1)"/>
          <w:szCs w:val="26"/>
        </w:rPr>
        <w:t>.</w:t>
      </w:r>
      <w:r w:rsidR="00F17A2C">
        <w:rPr>
          <w:rFonts w:ascii="Times New (W1)" w:hAnsi="Times New (W1)"/>
          <w:szCs w:val="26"/>
        </w:rPr>
        <w:t xml:space="preserve"> Finalmente, en el quinto, hacemos una rec</w:t>
      </w:r>
      <w:r w:rsidR="00F17A2C">
        <w:rPr>
          <w:rFonts w:ascii="Times New (W1)" w:hAnsi="Times New (W1)"/>
          <w:szCs w:val="26"/>
        </w:rPr>
        <w:t>a</w:t>
      </w:r>
      <w:r w:rsidR="00F17A2C">
        <w:rPr>
          <w:rFonts w:ascii="Times New (W1)" w:hAnsi="Times New (W1)"/>
          <w:szCs w:val="26"/>
        </w:rPr>
        <w:t>pitulación o reflexión final sobre la mancomunidad.</w:t>
      </w:r>
      <w:r w:rsidRPr="00780510">
        <w:rPr>
          <w:rFonts w:ascii="Times New (W1)" w:hAnsi="Times New (W1)"/>
          <w:szCs w:val="26"/>
        </w:rPr>
        <w:t xml:space="preserve"> </w:t>
      </w:r>
    </w:p>
    <w:p w:rsidR="00902B9C" w:rsidRPr="00902B9C" w:rsidRDefault="00902B9C" w:rsidP="00902B9C">
      <w:pPr>
        <w:pStyle w:val="texto"/>
        <w:tabs>
          <w:tab w:val="clear" w:pos="2835"/>
          <w:tab w:val="clear" w:pos="3969"/>
          <w:tab w:val="clear" w:pos="5103"/>
          <w:tab w:val="clear" w:pos="6237"/>
          <w:tab w:val="clear" w:pos="7371"/>
        </w:tabs>
        <w:rPr>
          <w:rFonts w:ascii="Times New (W1)" w:hAnsi="Times New (W1)"/>
          <w:szCs w:val="26"/>
        </w:rPr>
      </w:pPr>
      <w:r w:rsidRPr="00902B9C">
        <w:rPr>
          <w:rFonts w:ascii="Times New (W1)" w:hAnsi="Times New (W1)"/>
          <w:szCs w:val="26"/>
        </w:rPr>
        <w:t xml:space="preserve">El trabajo de campo lo ejecutó, entre </w:t>
      </w:r>
      <w:r>
        <w:rPr>
          <w:rFonts w:ascii="Times New (W1)" w:hAnsi="Times New (W1)"/>
          <w:szCs w:val="26"/>
        </w:rPr>
        <w:t>octubre de 2016 y enero de 2017</w:t>
      </w:r>
      <w:r w:rsidRPr="00902B9C">
        <w:rPr>
          <w:rFonts w:ascii="Times New (W1)" w:hAnsi="Times New (W1)"/>
          <w:szCs w:val="26"/>
        </w:rPr>
        <w:t xml:space="preserve">, un equipo integrado por </w:t>
      </w:r>
      <w:r>
        <w:rPr>
          <w:rFonts w:ascii="Times New (W1)" w:hAnsi="Times New (W1)"/>
          <w:szCs w:val="26"/>
        </w:rPr>
        <w:t>dos</w:t>
      </w:r>
      <w:r w:rsidRPr="00902B9C">
        <w:rPr>
          <w:rFonts w:ascii="Times New (W1)" w:hAnsi="Times New (W1)"/>
          <w:szCs w:val="26"/>
        </w:rPr>
        <w:t xml:space="preserve"> técnic</w:t>
      </w:r>
      <w:r>
        <w:rPr>
          <w:rFonts w:ascii="Times New (W1)" w:hAnsi="Times New (W1)"/>
          <w:szCs w:val="26"/>
        </w:rPr>
        <w:t>os</w:t>
      </w:r>
      <w:r w:rsidRPr="00902B9C">
        <w:rPr>
          <w:rFonts w:ascii="Times New (W1)" w:hAnsi="Times New (W1)"/>
          <w:szCs w:val="26"/>
        </w:rPr>
        <w:t xml:space="preserve"> de auditoría y un auditor, con la colaboración de los servicios jurídicos, informáticos y administrativos de la Cámara. </w:t>
      </w:r>
    </w:p>
    <w:p w:rsidR="00966B08" w:rsidRPr="00646EE3" w:rsidRDefault="00D115AC" w:rsidP="00D115AC">
      <w:pPr>
        <w:pStyle w:val="texto"/>
        <w:tabs>
          <w:tab w:val="clear" w:pos="2835"/>
          <w:tab w:val="clear" w:pos="3969"/>
          <w:tab w:val="clear" w:pos="5103"/>
          <w:tab w:val="clear" w:pos="6237"/>
          <w:tab w:val="clear" w:pos="7371"/>
        </w:tabs>
        <w:rPr>
          <w:rFonts w:ascii="Times New (W1)" w:hAnsi="Times New (W1)"/>
          <w:szCs w:val="26"/>
        </w:rPr>
      </w:pPr>
      <w:r w:rsidRPr="00646EE3">
        <w:rPr>
          <w:rFonts w:ascii="Times New (W1)" w:hAnsi="Times New (W1)"/>
          <w:szCs w:val="26"/>
        </w:rPr>
        <w:t>Los resultados de esta actuación se pusieron de manifiesto a</w:t>
      </w:r>
      <w:r w:rsidR="00C81AD8" w:rsidRPr="00646EE3">
        <w:rPr>
          <w:rFonts w:ascii="Times New (W1)" w:hAnsi="Times New (W1)"/>
          <w:szCs w:val="26"/>
        </w:rPr>
        <w:t>l</w:t>
      </w:r>
      <w:r w:rsidRPr="00646EE3">
        <w:rPr>
          <w:rFonts w:ascii="Times New (W1)" w:hAnsi="Times New (W1)"/>
          <w:szCs w:val="26"/>
        </w:rPr>
        <w:t xml:space="preserve"> actual </w:t>
      </w:r>
      <w:r w:rsidR="00C82E98" w:rsidRPr="00646EE3">
        <w:rPr>
          <w:rFonts w:ascii="Times New (W1)" w:hAnsi="Times New (W1)"/>
          <w:szCs w:val="26"/>
        </w:rPr>
        <w:t>preside</w:t>
      </w:r>
      <w:r w:rsidR="00C82E98" w:rsidRPr="00646EE3">
        <w:rPr>
          <w:rFonts w:ascii="Times New (W1)" w:hAnsi="Times New (W1)"/>
          <w:szCs w:val="26"/>
        </w:rPr>
        <w:t>n</w:t>
      </w:r>
      <w:r w:rsidR="00C81AD8" w:rsidRPr="00646EE3">
        <w:rPr>
          <w:rFonts w:ascii="Times New (W1)" w:hAnsi="Times New (W1)"/>
          <w:szCs w:val="26"/>
        </w:rPr>
        <w:t>te</w:t>
      </w:r>
      <w:r w:rsidR="00C82E98" w:rsidRPr="00646EE3">
        <w:rPr>
          <w:rFonts w:ascii="Times New (W1)" w:hAnsi="Times New (W1)"/>
          <w:szCs w:val="26"/>
        </w:rPr>
        <w:t xml:space="preserve"> de</w:t>
      </w:r>
      <w:r w:rsidR="009626C6" w:rsidRPr="00646EE3">
        <w:rPr>
          <w:rFonts w:ascii="Times New (W1)" w:hAnsi="Times New (W1)"/>
          <w:szCs w:val="26"/>
        </w:rPr>
        <w:t xml:space="preserve"> </w:t>
      </w:r>
      <w:r w:rsidR="00C82E98" w:rsidRPr="00646EE3">
        <w:rPr>
          <w:rFonts w:ascii="Times New (W1)" w:hAnsi="Times New (W1)"/>
          <w:szCs w:val="26"/>
        </w:rPr>
        <w:t>l</w:t>
      </w:r>
      <w:r w:rsidR="009626C6" w:rsidRPr="00646EE3">
        <w:rPr>
          <w:rFonts w:ascii="Times New (W1)" w:hAnsi="Times New (W1)"/>
          <w:szCs w:val="26"/>
        </w:rPr>
        <w:t>a mancomunidad</w:t>
      </w:r>
      <w:r w:rsidRPr="00646EE3">
        <w:rPr>
          <w:rFonts w:ascii="Times New (W1)" w:hAnsi="Times New (W1)"/>
          <w:szCs w:val="26"/>
        </w:rPr>
        <w:t xml:space="preserve"> y a</w:t>
      </w:r>
      <w:r w:rsidR="00C04137" w:rsidRPr="00646EE3">
        <w:rPr>
          <w:rFonts w:ascii="Times New (W1)" w:hAnsi="Times New (W1)"/>
          <w:szCs w:val="26"/>
        </w:rPr>
        <w:t xml:space="preserve"> la persona</w:t>
      </w:r>
      <w:r w:rsidRPr="00646EE3">
        <w:rPr>
          <w:rFonts w:ascii="Times New (W1)" w:hAnsi="Times New (W1)"/>
          <w:szCs w:val="26"/>
        </w:rPr>
        <w:t xml:space="preserve"> que ejerció dicho cargo </w:t>
      </w:r>
      <w:r w:rsidR="005C43DB" w:rsidRPr="00646EE3">
        <w:rPr>
          <w:rFonts w:ascii="Times New (W1)" w:hAnsi="Times New (W1)"/>
          <w:szCs w:val="26"/>
        </w:rPr>
        <w:t>hasta</w:t>
      </w:r>
      <w:r w:rsidRPr="00646EE3">
        <w:rPr>
          <w:rFonts w:ascii="Times New (W1)" w:hAnsi="Times New (W1)"/>
          <w:szCs w:val="26"/>
        </w:rPr>
        <w:t xml:space="preserve"> </w:t>
      </w:r>
      <w:r w:rsidR="00C81AD8" w:rsidRPr="00646EE3">
        <w:rPr>
          <w:rFonts w:ascii="Times New (W1)" w:hAnsi="Times New (W1)"/>
          <w:szCs w:val="26"/>
        </w:rPr>
        <w:t>enero de 2017</w:t>
      </w:r>
      <w:r w:rsidRPr="00646EE3">
        <w:rPr>
          <w:rFonts w:ascii="Times New (W1)" w:hAnsi="Times New (W1)"/>
          <w:szCs w:val="26"/>
        </w:rPr>
        <w:t xml:space="preserve">, </w:t>
      </w:r>
      <w:r w:rsidR="00ED290D" w:rsidRPr="00646EE3">
        <w:rPr>
          <w:rFonts w:ascii="Times New (W1)" w:hAnsi="Times New (W1)"/>
          <w:szCs w:val="26"/>
        </w:rPr>
        <w:t>así como al Vicepresidente y Consejero de Derechos Sociales del G</w:t>
      </w:r>
      <w:r w:rsidR="00ED290D" w:rsidRPr="00646EE3">
        <w:rPr>
          <w:rFonts w:ascii="Times New (W1)" w:hAnsi="Times New (W1)"/>
          <w:szCs w:val="26"/>
        </w:rPr>
        <w:t>o</w:t>
      </w:r>
      <w:r w:rsidR="00ED290D" w:rsidRPr="00646EE3">
        <w:rPr>
          <w:rFonts w:ascii="Times New (W1)" w:hAnsi="Times New (W1)"/>
          <w:szCs w:val="26"/>
        </w:rPr>
        <w:t xml:space="preserve">bierno de Navarra </w:t>
      </w:r>
      <w:r w:rsidRPr="00646EE3">
        <w:rPr>
          <w:rFonts w:ascii="Times New (W1)" w:hAnsi="Times New (W1)"/>
          <w:szCs w:val="26"/>
        </w:rPr>
        <w:t>para que formulasen, en su caso, las alegaciones que estim</w:t>
      </w:r>
      <w:r w:rsidRPr="00646EE3">
        <w:rPr>
          <w:rFonts w:ascii="Times New (W1)" w:hAnsi="Times New (W1)"/>
          <w:szCs w:val="26"/>
        </w:rPr>
        <w:t>a</w:t>
      </w:r>
      <w:r w:rsidRPr="00646EE3">
        <w:rPr>
          <w:rFonts w:ascii="Times New (W1)" w:hAnsi="Times New (W1)"/>
          <w:szCs w:val="26"/>
        </w:rPr>
        <w:t>sen oportunas, de conformidad con lo previsto en el art. 1</w:t>
      </w:r>
      <w:r w:rsidR="00190397" w:rsidRPr="00646EE3">
        <w:rPr>
          <w:rFonts w:ascii="Times New (W1)" w:hAnsi="Times New (W1)"/>
          <w:szCs w:val="26"/>
        </w:rPr>
        <w:t>1.2</w:t>
      </w:r>
      <w:r w:rsidRPr="00646EE3">
        <w:rPr>
          <w:rFonts w:ascii="Times New (W1)" w:hAnsi="Times New (W1)"/>
          <w:szCs w:val="26"/>
        </w:rPr>
        <w:t xml:space="preserve"> de la Ley Foral 19/1984, reguladora de la Cámara de Comptos de Navarra.</w:t>
      </w:r>
      <w:r w:rsidR="00C81AD8" w:rsidRPr="00646EE3">
        <w:rPr>
          <w:rFonts w:ascii="Times New (W1)" w:hAnsi="Times New (W1)"/>
          <w:szCs w:val="26"/>
        </w:rPr>
        <w:t xml:space="preserve"> </w:t>
      </w:r>
      <w:r w:rsidR="008F56FC">
        <w:rPr>
          <w:rFonts w:ascii="Times New (W1)" w:hAnsi="Times New (W1)"/>
          <w:szCs w:val="26"/>
        </w:rPr>
        <w:t>Transcurrido el pl</w:t>
      </w:r>
      <w:r w:rsidR="008F56FC">
        <w:rPr>
          <w:rFonts w:ascii="Times New (W1)" w:hAnsi="Times New (W1)"/>
          <w:szCs w:val="26"/>
        </w:rPr>
        <w:t>a</w:t>
      </w:r>
      <w:r w:rsidR="008F56FC">
        <w:rPr>
          <w:rFonts w:ascii="Times New (W1)" w:hAnsi="Times New (W1)"/>
          <w:szCs w:val="26"/>
        </w:rPr>
        <w:t xml:space="preserve">zo </w:t>
      </w:r>
      <w:r w:rsidR="00783F3D">
        <w:rPr>
          <w:rFonts w:ascii="Times New (W1)" w:hAnsi="Times New (W1)"/>
          <w:szCs w:val="26"/>
        </w:rPr>
        <w:t>concedido, se han recibido alegaciones de la Agencia Navarra de Autonomía y Desarrollo de las Personas, del Departamento de Derechos Sociales, que se adjuntan a este informe.</w:t>
      </w:r>
    </w:p>
    <w:p w:rsidR="000C632A" w:rsidRPr="00783F3D" w:rsidRDefault="000C632A" w:rsidP="000C632A">
      <w:pPr>
        <w:pStyle w:val="texto"/>
        <w:rPr>
          <w:spacing w:val="0"/>
          <w:szCs w:val="26"/>
          <w:lang w:val="es-ES" w:eastAsia="es-ES"/>
        </w:rPr>
      </w:pPr>
      <w:r w:rsidRPr="00783F3D">
        <w:rPr>
          <w:spacing w:val="0"/>
          <w:szCs w:val="26"/>
          <w:lang w:val="es-ES" w:eastAsia="es-ES"/>
        </w:rPr>
        <w:t>A finales de 2016 se han modificado los estatutos de la mancomunidad</w:t>
      </w:r>
      <w:r w:rsidR="00C81AD8" w:rsidRPr="00783F3D">
        <w:rPr>
          <w:spacing w:val="0"/>
          <w:szCs w:val="26"/>
          <w:lang w:val="es-ES" w:eastAsia="es-ES"/>
        </w:rPr>
        <w:t xml:space="preserve"> (BON de 22 de diciembre de 2016), destacando los siguientes aspectos de esta modificación</w:t>
      </w:r>
      <w:r w:rsidRPr="00783F3D">
        <w:rPr>
          <w:spacing w:val="0"/>
          <w:szCs w:val="26"/>
          <w:lang w:val="es-ES" w:eastAsia="es-ES"/>
        </w:rPr>
        <w:t>:</w:t>
      </w:r>
    </w:p>
    <w:p w:rsidR="00C96784" w:rsidRPr="00D419BE" w:rsidRDefault="000C632A" w:rsidP="00654DE3">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
        </w:rPr>
      </w:pPr>
      <w:r w:rsidRPr="00D419BE">
        <w:rPr>
          <w:szCs w:val="26"/>
          <w:lang w:val="es-ES" w:eastAsia="es-ES"/>
        </w:rPr>
        <w:t>La mancomunidad se denominará “Mancomunidad de Servicios Sociales</w:t>
      </w:r>
      <w:r w:rsidR="00172CE9">
        <w:rPr>
          <w:szCs w:val="26"/>
          <w:lang w:val="es-ES" w:eastAsia="es-ES"/>
        </w:rPr>
        <w:t xml:space="preserve"> San Isidro”</w:t>
      </w:r>
      <w:r w:rsidRPr="00D419BE">
        <w:rPr>
          <w:szCs w:val="26"/>
          <w:lang w:val="es-ES" w:eastAsia="es-ES"/>
        </w:rPr>
        <w:t xml:space="preserve"> y su sede se ubicará en la citada residencia.</w:t>
      </w:r>
    </w:p>
    <w:p w:rsidR="000C632A" w:rsidRPr="00D419BE" w:rsidRDefault="0053615E" w:rsidP="000C632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
        </w:rPr>
      </w:pPr>
      <w:r>
        <w:rPr>
          <w:szCs w:val="26"/>
          <w:lang w:val="es-ES"/>
        </w:rPr>
        <w:t>La</w:t>
      </w:r>
      <w:r w:rsidR="00654DE3" w:rsidRPr="00D419BE">
        <w:rPr>
          <w:szCs w:val="26"/>
        </w:rPr>
        <w:t xml:space="preserve"> presidencia de la mancomunidad la puede ostentar tanto el alcalde de Lumbier como un teniente alcalde de dicho ayuntamiento.</w:t>
      </w:r>
    </w:p>
    <w:p w:rsidR="000C632A" w:rsidRPr="00D419BE" w:rsidRDefault="000C632A" w:rsidP="000C632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
        </w:rPr>
      </w:pPr>
      <w:r w:rsidRPr="00D419BE">
        <w:rPr>
          <w:szCs w:val="26"/>
        </w:rPr>
        <w:t xml:space="preserve">La comisión de gobierno se sustituye por una junta de gobierno local. </w:t>
      </w:r>
    </w:p>
    <w:p w:rsidR="000C632A" w:rsidRPr="00D419BE" w:rsidRDefault="000C632A" w:rsidP="000C632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
        </w:rPr>
      </w:pPr>
      <w:r w:rsidRPr="00D419BE">
        <w:rPr>
          <w:szCs w:val="26"/>
          <w:lang w:val="es-ES" w:eastAsia="es-ES"/>
        </w:rPr>
        <w:t xml:space="preserve">El secretario </w:t>
      </w:r>
      <w:r w:rsidR="001F3D3C" w:rsidRPr="00D419BE">
        <w:rPr>
          <w:szCs w:val="26"/>
          <w:lang w:val="es-ES" w:eastAsia="es-ES"/>
        </w:rPr>
        <w:t>y el</w:t>
      </w:r>
      <w:r w:rsidRPr="00D419BE">
        <w:rPr>
          <w:szCs w:val="26"/>
          <w:lang w:val="es-ES" w:eastAsia="es-ES"/>
        </w:rPr>
        <w:t xml:space="preserve"> interventor de la mancomunidad serán designados por la asamblea entre los funcionarios que ejerzan esos puestos en cualquiera de las entidades mancomunadas. </w:t>
      </w:r>
    </w:p>
    <w:p w:rsidR="000C632A" w:rsidRPr="00D419BE" w:rsidRDefault="000C632A" w:rsidP="000C632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
        </w:rPr>
      </w:pPr>
      <w:r w:rsidRPr="00D419BE">
        <w:rPr>
          <w:szCs w:val="26"/>
          <w:lang w:val="es-ES" w:eastAsia="es-ES"/>
        </w:rPr>
        <w:t>Sobre la financiación, se establece que los entes mancomunados se obl</w:t>
      </w:r>
      <w:r w:rsidRPr="00D419BE">
        <w:rPr>
          <w:szCs w:val="26"/>
          <w:lang w:val="es-ES" w:eastAsia="es-ES"/>
        </w:rPr>
        <w:t>i</w:t>
      </w:r>
      <w:r w:rsidRPr="00D419BE">
        <w:rPr>
          <w:szCs w:val="26"/>
          <w:lang w:val="es-ES" w:eastAsia="es-ES"/>
        </w:rPr>
        <w:t>gan, en proporción a su número de habitantes, a responder de todas las oblig</w:t>
      </w:r>
      <w:r w:rsidRPr="00D419BE">
        <w:rPr>
          <w:szCs w:val="26"/>
          <w:lang w:val="es-ES" w:eastAsia="es-ES"/>
        </w:rPr>
        <w:t>a</w:t>
      </w:r>
      <w:r w:rsidRPr="00D419BE">
        <w:rPr>
          <w:szCs w:val="26"/>
          <w:lang w:val="es-ES" w:eastAsia="es-ES"/>
        </w:rPr>
        <w:t>ciones y deudas aprobadas en cada ejercicio.</w:t>
      </w:r>
    </w:p>
    <w:p w:rsidR="000C632A" w:rsidRPr="00D419BE" w:rsidRDefault="000C632A" w:rsidP="000C632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
        </w:rPr>
      </w:pPr>
      <w:r w:rsidRPr="00D419BE">
        <w:rPr>
          <w:szCs w:val="26"/>
          <w:lang w:val="es-ES" w:eastAsia="es-ES"/>
        </w:rPr>
        <w:t>Se contempla expresamente la herramienta de la plantilla orgánica de pe</w:t>
      </w:r>
      <w:r w:rsidRPr="00D419BE">
        <w:rPr>
          <w:szCs w:val="26"/>
          <w:lang w:val="es-ES" w:eastAsia="es-ES"/>
        </w:rPr>
        <w:t>r</w:t>
      </w:r>
      <w:r w:rsidRPr="00D419BE">
        <w:rPr>
          <w:szCs w:val="26"/>
          <w:lang w:val="es-ES" w:eastAsia="es-ES"/>
        </w:rPr>
        <w:t>sonal de la mancomunidad.</w:t>
      </w:r>
    </w:p>
    <w:p w:rsidR="000C632A" w:rsidRPr="00D419BE" w:rsidRDefault="000C632A" w:rsidP="000C632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
        </w:rPr>
      </w:pPr>
      <w:r w:rsidRPr="00D419BE">
        <w:rPr>
          <w:szCs w:val="26"/>
          <w:lang w:val="es-ES" w:eastAsia="es-ES"/>
        </w:rPr>
        <w:t>El Ayuntamiento de Romanzado ha dejado de formar parte de la manc</w:t>
      </w:r>
      <w:r w:rsidRPr="00D419BE">
        <w:rPr>
          <w:szCs w:val="26"/>
          <w:lang w:val="es-ES" w:eastAsia="es-ES"/>
        </w:rPr>
        <w:t>o</w:t>
      </w:r>
      <w:r w:rsidRPr="00D419BE">
        <w:rPr>
          <w:szCs w:val="26"/>
          <w:lang w:val="es-ES" w:eastAsia="es-ES"/>
        </w:rPr>
        <w:t xml:space="preserve">munidad. </w:t>
      </w:r>
      <w:r w:rsidR="003F4A2F" w:rsidRPr="00D419BE">
        <w:rPr>
          <w:szCs w:val="26"/>
          <w:lang w:val="es-ES" w:eastAsia="es-ES"/>
        </w:rPr>
        <w:t>No consta si debe asumir proporcionalmente los déficit</w:t>
      </w:r>
      <w:r w:rsidR="00085685" w:rsidRPr="00D419BE">
        <w:rPr>
          <w:szCs w:val="26"/>
          <w:lang w:val="es-ES" w:eastAsia="es-ES"/>
        </w:rPr>
        <w:t>s</w:t>
      </w:r>
      <w:r w:rsidR="003F4A2F" w:rsidRPr="00D419BE">
        <w:rPr>
          <w:szCs w:val="26"/>
          <w:lang w:val="es-ES" w:eastAsia="es-ES"/>
        </w:rPr>
        <w:t xml:space="preserve"> generados hasta </w:t>
      </w:r>
      <w:r w:rsidR="00085685" w:rsidRPr="00D419BE">
        <w:rPr>
          <w:szCs w:val="26"/>
          <w:lang w:val="es-ES" w:eastAsia="es-ES"/>
        </w:rPr>
        <w:t>ese momento</w:t>
      </w:r>
      <w:r w:rsidR="003F4A2F" w:rsidRPr="00D419BE">
        <w:rPr>
          <w:szCs w:val="26"/>
          <w:lang w:val="es-ES" w:eastAsia="es-ES"/>
        </w:rPr>
        <w:t>.</w:t>
      </w:r>
    </w:p>
    <w:p w:rsidR="009461A1" w:rsidRDefault="0053615E" w:rsidP="00D115AC">
      <w:pPr>
        <w:pStyle w:val="texto"/>
        <w:tabs>
          <w:tab w:val="clear" w:pos="2835"/>
          <w:tab w:val="clear" w:pos="3969"/>
          <w:tab w:val="clear" w:pos="5103"/>
          <w:tab w:val="clear" w:pos="6237"/>
          <w:tab w:val="clear" w:pos="7371"/>
        </w:tabs>
        <w:rPr>
          <w:szCs w:val="26"/>
        </w:rPr>
      </w:pPr>
      <w:r>
        <w:rPr>
          <w:szCs w:val="26"/>
        </w:rPr>
        <w:t>En estos nuevos estatutos, s</w:t>
      </w:r>
      <w:r w:rsidR="009461A1" w:rsidRPr="00D419BE">
        <w:rPr>
          <w:szCs w:val="26"/>
        </w:rPr>
        <w:t>igue sin considerarse la elección de presidente directamente por la asamblea de la mancomunidad</w:t>
      </w:r>
      <w:r w:rsidR="009461A1">
        <w:rPr>
          <w:szCs w:val="26"/>
        </w:rPr>
        <w:t>.</w:t>
      </w:r>
      <w:r w:rsidR="009461A1" w:rsidRPr="00A522C1">
        <w:rPr>
          <w:szCs w:val="26"/>
        </w:rPr>
        <w:t xml:space="preserve"> </w:t>
      </w:r>
    </w:p>
    <w:p w:rsidR="00D115AC" w:rsidRDefault="00D115AC" w:rsidP="00D115AC">
      <w:pPr>
        <w:pStyle w:val="texto"/>
        <w:tabs>
          <w:tab w:val="clear" w:pos="2835"/>
          <w:tab w:val="clear" w:pos="3969"/>
          <w:tab w:val="clear" w:pos="5103"/>
          <w:tab w:val="clear" w:pos="6237"/>
          <w:tab w:val="clear" w:pos="7371"/>
        </w:tabs>
        <w:rPr>
          <w:rFonts w:ascii="Arial" w:hAnsi="Arial"/>
          <w:b/>
          <w:color w:val="000000"/>
          <w:kern w:val="28"/>
          <w:sz w:val="25"/>
          <w:szCs w:val="26"/>
        </w:rPr>
      </w:pPr>
      <w:r w:rsidRPr="00A522C1">
        <w:rPr>
          <w:szCs w:val="26"/>
        </w:rPr>
        <w:t xml:space="preserve">Agradecemos al </w:t>
      </w:r>
      <w:r>
        <w:rPr>
          <w:szCs w:val="26"/>
        </w:rPr>
        <w:t>personal de</w:t>
      </w:r>
      <w:r w:rsidR="009626C6">
        <w:rPr>
          <w:szCs w:val="26"/>
        </w:rPr>
        <w:t xml:space="preserve"> </w:t>
      </w:r>
      <w:r>
        <w:rPr>
          <w:szCs w:val="26"/>
        </w:rPr>
        <w:t>l</w:t>
      </w:r>
      <w:r w:rsidR="009626C6">
        <w:rPr>
          <w:szCs w:val="26"/>
        </w:rPr>
        <w:t>a</w:t>
      </w:r>
      <w:r>
        <w:rPr>
          <w:szCs w:val="26"/>
        </w:rPr>
        <w:t xml:space="preserve"> </w:t>
      </w:r>
      <w:r w:rsidR="009626C6">
        <w:rPr>
          <w:szCs w:val="26"/>
        </w:rPr>
        <w:t>mancomunidad</w:t>
      </w:r>
      <w:r w:rsidR="0038151C">
        <w:rPr>
          <w:szCs w:val="26"/>
        </w:rPr>
        <w:t xml:space="preserve"> y de la </w:t>
      </w:r>
      <w:r w:rsidR="009626C6">
        <w:rPr>
          <w:szCs w:val="26"/>
        </w:rPr>
        <w:t>residencia</w:t>
      </w:r>
      <w:r>
        <w:rPr>
          <w:szCs w:val="26"/>
        </w:rPr>
        <w:t xml:space="preserve"> </w:t>
      </w:r>
      <w:r w:rsidRPr="00A522C1">
        <w:rPr>
          <w:szCs w:val="26"/>
        </w:rPr>
        <w:t>la colab</w:t>
      </w:r>
      <w:r w:rsidRPr="00A522C1">
        <w:rPr>
          <w:szCs w:val="26"/>
        </w:rPr>
        <w:t>o</w:t>
      </w:r>
      <w:r w:rsidRPr="00A522C1">
        <w:rPr>
          <w:szCs w:val="26"/>
        </w:rPr>
        <w:t>ración prestada en la realización del presente trabajo.</w:t>
      </w:r>
      <w:bookmarkStart w:id="5" w:name="_Toc188167194"/>
      <w:bookmarkStart w:id="6" w:name="_Toc303592531"/>
      <w:bookmarkStart w:id="7" w:name="_Toc309383714"/>
      <w:bookmarkStart w:id="8" w:name="_Toc339016603"/>
      <w:r>
        <w:br w:type="page"/>
      </w:r>
    </w:p>
    <w:p w:rsidR="00D115AC" w:rsidRPr="00331AF7" w:rsidRDefault="00D115AC" w:rsidP="00D115AC">
      <w:pPr>
        <w:pStyle w:val="atitulo1"/>
      </w:pPr>
      <w:bookmarkStart w:id="9" w:name="_Toc475093083"/>
      <w:bookmarkStart w:id="10" w:name="_Toc423419507"/>
      <w:r w:rsidRPr="00DF51AE">
        <w:t>I</w:t>
      </w:r>
      <w:r>
        <w:t>I</w:t>
      </w:r>
      <w:r w:rsidRPr="00DF51AE">
        <w:t xml:space="preserve">. </w:t>
      </w:r>
      <w:r w:rsidR="00B872B1">
        <w:t>Opinión</w:t>
      </w:r>
      <w:bookmarkEnd w:id="9"/>
      <w:r>
        <w:t xml:space="preserve"> </w:t>
      </w:r>
      <w:bookmarkEnd w:id="10"/>
    </w:p>
    <w:p w:rsidR="00B872B1" w:rsidRDefault="00B872B1" w:rsidP="00D115AC">
      <w:pPr>
        <w:pStyle w:val="texto"/>
        <w:tabs>
          <w:tab w:val="clear" w:pos="2835"/>
          <w:tab w:val="clear" w:pos="3969"/>
          <w:tab w:val="clear" w:pos="5103"/>
          <w:tab w:val="clear" w:pos="6237"/>
          <w:tab w:val="clear" w:pos="7371"/>
        </w:tabs>
        <w:rPr>
          <w:szCs w:val="26"/>
        </w:rPr>
      </w:pPr>
      <w:r>
        <w:rPr>
          <w:szCs w:val="26"/>
        </w:rPr>
        <w:t>Hemos fiscalizado la cuenta general de</w:t>
      </w:r>
      <w:r w:rsidR="007B37D8">
        <w:rPr>
          <w:szCs w:val="26"/>
        </w:rPr>
        <w:t xml:space="preserve"> la Mancomunidad de Servicios S</w:t>
      </w:r>
      <w:r w:rsidR="007B37D8">
        <w:rPr>
          <w:szCs w:val="26"/>
        </w:rPr>
        <w:t>o</w:t>
      </w:r>
      <w:r w:rsidR="007B37D8">
        <w:rPr>
          <w:szCs w:val="26"/>
        </w:rPr>
        <w:t>ciales de Lumbier</w:t>
      </w:r>
      <w:r>
        <w:rPr>
          <w:szCs w:val="26"/>
        </w:rPr>
        <w:t xml:space="preserve"> correspondiente al ejercicio de 2015, cuyos estados contables se reflejan de forma resumida en el epígrafe III del presente informe.</w:t>
      </w:r>
    </w:p>
    <w:p w:rsidR="00B872B1" w:rsidRPr="0095666D" w:rsidRDefault="007B37D8" w:rsidP="0095666D">
      <w:pPr>
        <w:pStyle w:val="atitulo3"/>
      </w:pPr>
      <w:r>
        <w:t>Responsabilidad de la mancomunidad</w:t>
      </w:r>
    </w:p>
    <w:p w:rsidR="0095666D" w:rsidRPr="00EA1988" w:rsidRDefault="007B37D8" w:rsidP="0095666D">
      <w:pPr>
        <w:pStyle w:val="texto"/>
        <w:rPr>
          <w:spacing w:val="4"/>
        </w:rPr>
      </w:pPr>
      <w:r>
        <w:t xml:space="preserve">La </w:t>
      </w:r>
      <w:r w:rsidR="0095666D">
        <w:t>secretari</w:t>
      </w:r>
      <w:r>
        <w:t>a de la mancomunidad</w:t>
      </w:r>
      <w:r w:rsidR="0095666D" w:rsidRPr="0026612D">
        <w:t xml:space="preserve"> es </w:t>
      </w:r>
      <w:r>
        <w:t>la</w:t>
      </w:r>
      <w:r w:rsidR="0095666D" w:rsidRPr="0026612D">
        <w:t xml:space="preserve"> responsable de formular</w:t>
      </w:r>
      <w:r w:rsidR="0095666D">
        <w:t xml:space="preserve"> y presentar la cuenta</w:t>
      </w:r>
      <w:r w:rsidR="0095666D" w:rsidRPr="0026612D">
        <w:t xml:space="preserve"> genera</w:t>
      </w:r>
      <w:r w:rsidR="0095666D">
        <w:t>l</w:t>
      </w:r>
      <w:r w:rsidR="0095666D" w:rsidRPr="0026612D">
        <w:t>, de forma que expresen la imagen fiel de la liquidación pres</w:t>
      </w:r>
      <w:r w:rsidR="0095666D" w:rsidRPr="0026612D">
        <w:t>u</w:t>
      </w:r>
      <w:r w:rsidR="0095666D" w:rsidRPr="0026612D">
        <w:t>puestaria, del patrimonio, de los resultados y de la situación financiera de</w:t>
      </w:r>
      <w:r w:rsidRPr="007B37D8">
        <w:rPr>
          <w:szCs w:val="26"/>
        </w:rPr>
        <w:t xml:space="preserve"> </w:t>
      </w:r>
      <w:r>
        <w:rPr>
          <w:szCs w:val="26"/>
        </w:rPr>
        <w:t xml:space="preserve">la Mancomunidad de Servicios Sociales de Lumbier </w:t>
      </w:r>
      <w:r w:rsidR="0095666D" w:rsidRPr="0026612D">
        <w:t>de conformidad con e</w:t>
      </w:r>
      <w:r w:rsidR="0095666D" w:rsidRPr="00EA1988">
        <w:rPr>
          <w:spacing w:val="4"/>
        </w:rPr>
        <w:t>l marco normativo de información financiera pública aplicable, y del control interno que consideren necesario para permitir la preparación y presentación de las cuentas generales libres de incorrección material, debida a fraude o error.</w:t>
      </w:r>
    </w:p>
    <w:p w:rsidR="0095666D" w:rsidRDefault="0095666D" w:rsidP="0095666D">
      <w:pPr>
        <w:pStyle w:val="texto"/>
        <w:tabs>
          <w:tab w:val="clear" w:pos="2835"/>
          <w:tab w:val="clear" w:pos="3969"/>
          <w:tab w:val="clear" w:pos="5103"/>
          <w:tab w:val="clear" w:pos="6237"/>
          <w:tab w:val="clear" w:pos="7371"/>
        </w:tabs>
        <w:rPr>
          <w:szCs w:val="26"/>
        </w:rPr>
      </w:pPr>
      <w:r>
        <w:rPr>
          <w:lang w:val="es-ES"/>
        </w:rPr>
        <w:t xml:space="preserve">La cuenta general de 2015 fue aprobada por la </w:t>
      </w:r>
      <w:r w:rsidR="00F929F9">
        <w:rPr>
          <w:lang w:val="es-ES"/>
        </w:rPr>
        <w:t>j</w:t>
      </w:r>
      <w:r>
        <w:rPr>
          <w:lang w:val="es-ES"/>
        </w:rPr>
        <w:t xml:space="preserve">unta </w:t>
      </w:r>
      <w:r w:rsidR="007B37D8">
        <w:rPr>
          <w:lang w:val="es-ES"/>
        </w:rPr>
        <w:t>general de la mancom</w:t>
      </w:r>
      <w:r w:rsidR="007B37D8">
        <w:rPr>
          <w:lang w:val="es-ES"/>
        </w:rPr>
        <w:t>u</w:t>
      </w:r>
      <w:r w:rsidR="007B37D8">
        <w:rPr>
          <w:lang w:val="es-ES"/>
        </w:rPr>
        <w:t>nidad</w:t>
      </w:r>
      <w:r>
        <w:rPr>
          <w:lang w:val="es-ES"/>
        </w:rPr>
        <w:t xml:space="preserve"> el</w:t>
      </w:r>
      <w:r w:rsidR="009E1FD3" w:rsidRPr="009E1FD3">
        <w:rPr>
          <w:lang w:val="es-ES"/>
        </w:rPr>
        <w:t xml:space="preserve"> 23 de mayo de 2016</w:t>
      </w:r>
      <w:r w:rsidR="009E1FD3">
        <w:rPr>
          <w:lang w:val="es-ES"/>
        </w:rPr>
        <w:t>.</w:t>
      </w:r>
      <w:r>
        <w:rPr>
          <w:szCs w:val="26"/>
        </w:rPr>
        <w:t xml:space="preserve"> </w:t>
      </w:r>
    </w:p>
    <w:p w:rsidR="0095666D" w:rsidRDefault="007B37D8" w:rsidP="0095666D">
      <w:pPr>
        <w:pStyle w:val="texto"/>
        <w:spacing w:after="240"/>
      </w:pPr>
      <w:r>
        <w:t>La mancomunidad</w:t>
      </w:r>
      <w:r w:rsidR="00B44B58">
        <w:t>, a</w:t>
      </w:r>
      <w:r w:rsidR="0095666D">
        <w:t>demás de la responsabilidad de formular y presentar la cuenta general, debe garantizar que las actividades, operaciones presupuestarias y financieras y la información reflejadas en la cuenta general resultan confo</w:t>
      </w:r>
      <w:r w:rsidR="0095666D">
        <w:t>r</w:t>
      </w:r>
      <w:r w:rsidR="0095666D">
        <w:t>mes con las normas aplicables y de establecer los sistemas de control interno que consideren necesario para esa finalidad.</w:t>
      </w:r>
    </w:p>
    <w:p w:rsidR="0095666D" w:rsidRPr="00F71FD2" w:rsidRDefault="0095666D" w:rsidP="0095666D">
      <w:pPr>
        <w:pStyle w:val="atitulo3"/>
      </w:pPr>
      <w:r w:rsidRPr="00F71FD2">
        <w:t>Responsabilidad de la Cámara de Comptos de Navarra</w:t>
      </w:r>
    </w:p>
    <w:p w:rsidR="0095666D" w:rsidRDefault="0095666D" w:rsidP="0095666D">
      <w:pPr>
        <w:pStyle w:val="texto"/>
      </w:pPr>
      <w:r w:rsidRPr="004F32B1">
        <w:t>Nuestra responsabilidad es expresar una opinión sobre</w:t>
      </w:r>
      <w:r>
        <w:t xml:space="preserve"> </w:t>
      </w:r>
      <w:r w:rsidRPr="004F32B1">
        <w:t xml:space="preserve">la cuenta </w:t>
      </w:r>
      <w:r>
        <w:t>general de 2015 y sobre la legalidad de las operaciones efectuadas</w:t>
      </w:r>
      <w:r w:rsidRPr="004F32B1">
        <w:t xml:space="preserve"> basada en nuestra </w:t>
      </w:r>
      <w:r>
        <w:t>fisc</w:t>
      </w:r>
      <w:r>
        <w:t>a</w:t>
      </w:r>
      <w:r>
        <w:t>lización</w:t>
      </w:r>
      <w:r w:rsidRPr="004F32B1">
        <w:t xml:space="preserve">. </w:t>
      </w:r>
      <w:r w:rsidR="00A1110A">
        <w:t>Adicionalmente, y teniendo en cuenta la petición parlamentaria, se ha revisado el resto de aspectos que contiene la misma.</w:t>
      </w:r>
      <w:r w:rsidR="00E24E9D">
        <w:t xml:space="preserve">  </w:t>
      </w:r>
      <w:r w:rsidR="00A1110A">
        <w:t xml:space="preserve"> </w:t>
      </w:r>
    </w:p>
    <w:p w:rsidR="0095666D" w:rsidRPr="0015212F" w:rsidRDefault="0095666D" w:rsidP="0095666D">
      <w:pPr>
        <w:pStyle w:val="texto"/>
      </w:pPr>
      <w:r>
        <w:t>Para ello, h</w:t>
      </w:r>
      <w:r w:rsidRPr="004F32B1">
        <w:t xml:space="preserve">emos llevado a cabo </w:t>
      </w:r>
      <w:r>
        <w:t>la misma</w:t>
      </w:r>
      <w:r w:rsidRPr="004F32B1">
        <w:t xml:space="preserve"> de conformidad con los </w:t>
      </w:r>
      <w:r>
        <w:t>principios fundamentales</w:t>
      </w:r>
      <w:r w:rsidRPr="004F32B1">
        <w:t xml:space="preserve"> de fiscalización de las Instituciones</w:t>
      </w:r>
      <w:r>
        <w:t xml:space="preserve"> Públicas de Control E</w:t>
      </w:r>
      <w:r>
        <w:t>x</w:t>
      </w:r>
      <w:r>
        <w:t xml:space="preserve">terno. Dichos principios </w:t>
      </w:r>
      <w:r w:rsidRPr="004F32B1">
        <w:t>exige</w:t>
      </w:r>
      <w:r>
        <w:t>n</w:t>
      </w:r>
      <w:r w:rsidRPr="004F32B1">
        <w:t xml:space="preserve"> que cumplamos los requerimientos de ética, así como que planifiquemos y ejecutemos la </w:t>
      </w:r>
      <w:r>
        <w:t>fiscalización</w:t>
      </w:r>
      <w:r w:rsidRPr="004F32B1">
        <w:t xml:space="preserve"> con el fin de obtener una seguridad razonable de que la cuenta</w:t>
      </w:r>
      <w:r w:rsidR="002A30ED">
        <w:t xml:space="preserve"> general</w:t>
      </w:r>
      <w:r w:rsidRPr="004F32B1">
        <w:t xml:space="preserve"> está libre de incorrecciones mat</w:t>
      </w:r>
      <w:r w:rsidRPr="004F32B1">
        <w:t>e</w:t>
      </w:r>
      <w:r w:rsidRPr="004F32B1">
        <w:t>riales</w:t>
      </w:r>
      <w:r>
        <w:t xml:space="preserve"> y que </w:t>
      </w:r>
      <w:r w:rsidRPr="0015212F">
        <w:t>las actividades, operaciones financieras y la información reflejadas en los estados financieros resultan, en todos los aspectos significativos, co</w:t>
      </w:r>
      <w:r w:rsidRPr="0015212F">
        <w:t>n</w:t>
      </w:r>
      <w:r w:rsidRPr="0015212F">
        <w:t>formes con la</w:t>
      </w:r>
      <w:r>
        <w:t xml:space="preserve"> normativa vigente</w:t>
      </w:r>
      <w:r w:rsidRPr="0015212F">
        <w:t xml:space="preserve">. </w:t>
      </w:r>
    </w:p>
    <w:p w:rsidR="0095666D" w:rsidRPr="00C115DD" w:rsidRDefault="0095666D" w:rsidP="0095666D">
      <w:pPr>
        <w:pStyle w:val="texto"/>
        <w:rPr>
          <w:spacing w:val="4"/>
        </w:rPr>
      </w:pPr>
      <w:r w:rsidRPr="00C115DD">
        <w:rPr>
          <w:spacing w:val="4"/>
        </w:rPr>
        <w:t>Una fiscalización requiere la aplicación de procedimientos para obtener ev</w:t>
      </w:r>
      <w:r w:rsidRPr="00C115DD">
        <w:rPr>
          <w:spacing w:val="4"/>
        </w:rPr>
        <w:t>i</w:t>
      </w:r>
      <w:r w:rsidRPr="00C115DD">
        <w:rPr>
          <w:spacing w:val="4"/>
        </w:rPr>
        <w:t xml:space="preserve">dencia de auditoría sobre los importes y la información revelada en la cuenta </w:t>
      </w:r>
      <w:r w:rsidR="002A30ED" w:rsidRPr="00C115DD">
        <w:rPr>
          <w:spacing w:val="4"/>
        </w:rPr>
        <w:t>g</w:t>
      </w:r>
      <w:r w:rsidR="002A30ED" w:rsidRPr="00C115DD">
        <w:rPr>
          <w:spacing w:val="4"/>
        </w:rPr>
        <w:t>e</w:t>
      </w:r>
      <w:r w:rsidR="002A30ED" w:rsidRPr="00C115DD">
        <w:rPr>
          <w:spacing w:val="4"/>
        </w:rPr>
        <w:t>neral</w:t>
      </w:r>
      <w:r w:rsidRPr="00C115DD">
        <w:rPr>
          <w:spacing w:val="4"/>
        </w:rPr>
        <w:t xml:space="preserve"> y sobre el cumplimiento de los aspectos relevantes establecidos en la no</w:t>
      </w:r>
      <w:r w:rsidRPr="00C115DD">
        <w:rPr>
          <w:spacing w:val="4"/>
        </w:rPr>
        <w:t>r</w:t>
      </w:r>
      <w:r w:rsidRPr="00C115DD">
        <w:rPr>
          <w:spacing w:val="4"/>
        </w:rPr>
        <w:t>mativa durante el ejercicio fiscalizado. Los procedimientos seleccionados depe</w:t>
      </w:r>
      <w:r w:rsidRPr="00C115DD">
        <w:rPr>
          <w:spacing w:val="4"/>
        </w:rPr>
        <w:t>n</w:t>
      </w:r>
      <w:r w:rsidRPr="00C115DD">
        <w:rPr>
          <w:spacing w:val="4"/>
        </w:rPr>
        <w:t>den del juicio del auditor, incluida la valoración de los riesgos tanto de incorre</w:t>
      </w:r>
      <w:r w:rsidRPr="00C115DD">
        <w:rPr>
          <w:spacing w:val="4"/>
        </w:rPr>
        <w:t>c</w:t>
      </w:r>
      <w:r w:rsidRPr="00C115DD">
        <w:rPr>
          <w:spacing w:val="4"/>
        </w:rPr>
        <w:t>ción material en las cuentas anuales, debida a fraude o error, como de incumpl</w:t>
      </w:r>
      <w:r w:rsidRPr="00C115DD">
        <w:rPr>
          <w:spacing w:val="4"/>
        </w:rPr>
        <w:t>i</w:t>
      </w:r>
      <w:r w:rsidRPr="00C115DD">
        <w:rPr>
          <w:spacing w:val="4"/>
        </w:rPr>
        <w:t>mientos significativos de la legalidad. Al efectuar dichas valoraciones del riesgo, el auditor tiene en cuenta el control interno relevante para la formulación por parte de la entidad de la cuenta</w:t>
      </w:r>
      <w:r w:rsidR="002A30ED" w:rsidRPr="00C115DD">
        <w:rPr>
          <w:spacing w:val="4"/>
        </w:rPr>
        <w:t xml:space="preserve"> general</w:t>
      </w:r>
      <w:r w:rsidRPr="00C115DD">
        <w:rPr>
          <w:spacing w:val="4"/>
        </w:rPr>
        <w:t xml:space="preserve"> y para garantizar el cumplimiento de la legalidad, con el fin de diseñar los procedimientos de auditoría que sean adecu</w:t>
      </w:r>
      <w:r w:rsidRPr="00C115DD">
        <w:rPr>
          <w:spacing w:val="4"/>
        </w:rPr>
        <w:t>a</w:t>
      </w:r>
      <w:r w:rsidRPr="00C115DD">
        <w:rPr>
          <w:spacing w:val="4"/>
        </w:rPr>
        <w:t>dos en función de las circunstancias, y no con la finalidad de expresar una op</w:t>
      </w:r>
      <w:r w:rsidRPr="00C115DD">
        <w:rPr>
          <w:spacing w:val="4"/>
        </w:rPr>
        <w:t>i</w:t>
      </w:r>
      <w:r w:rsidRPr="00C115DD">
        <w:rPr>
          <w:spacing w:val="4"/>
        </w:rPr>
        <w:t>nión sobre la eficacia del control interno de la entidad. Una auditoría también incluye la evaluación de la adecuación de las políticas contables aplicadas y de la razonabilidad de las estimaciones contables realizadas por la dirección, así como la evaluación de la presentación de la cuenta</w:t>
      </w:r>
      <w:r w:rsidR="002A30ED" w:rsidRPr="00C115DD">
        <w:rPr>
          <w:spacing w:val="4"/>
        </w:rPr>
        <w:t xml:space="preserve"> general</w:t>
      </w:r>
      <w:r w:rsidRPr="00C115DD">
        <w:rPr>
          <w:spacing w:val="4"/>
        </w:rPr>
        <w:t xml:space="preserve"> tomada en su conjunto.</w:t>
      </w:r>
    </w:p>
    <w:p w:rsidR="0095666D" w:rsidRPr="004C62F0" w:rsidRDefault="0095666D" w:rsidP="0095666D">
      <w:pPr>
        <w:pStyle w:val="texto"/>
      </w:pPr>
      <w:r w:rsidRPr="00A2212D">
        <w:t xml:space="preserve">Consideramos que la evidencia de auditoría que hemos obtenido proporciona una base suficiente y adecuada para </w:t>
      </w:r>
      <w:r>
        <w:t xml:space="preserve">fundamentar </w:t>
      </w:r>
      <w:r w:rsidRPr="004C62F0">
        <w:t>nuestra opinión.</w:t>
      </w:r>
    </w:p>
    <w:p w:rsidR="0095666D" w:rsidRDefault="0095666D" w:rsidP="0095666D">
      <w:pPr>
        <w:pStyle w:val="atitulo2"/>
        <w:spacing w:before="240"/>
      </w:pPr>
      <w:bookmarkStart w:id="11" w:name="_Toc463350238"/>
      <w:bookmarkStart w:id="12" w:name="_Toc475093084"/>
      <w:r>
        <w:t xml:space="preserve">II.1. </w:t>
      </w:r>
      <w:r w:rsidRPr="003639A8">
        <w:t>Opinión de auditoría financiera sobre la cuenta general de 2015</w:t>
      </w:r>
      <w:bookmarkEnd w:id="11"/>
      <w:bookmarkEnd w:id="12"/>
    </w:p>
    <w:p w:rsidR="0095666D" w:rsidRDefault="0095666D" w:rsidP="0095666D">
      <w:pPr>
        <w:pStyle w:val="atitulo3"/>
      </w:pPr>
      <w:r>
        <w:t>Fundamento de la opinión financiera con salvedades</w:t>
      </w:r>
    </w:p>
    <w:p w:rsidR="0089716E" w:rsidRPr="00172CE9" w:rsidRDefault="00172CE9" w:rsidP="00172CE9">
      <w:pPr>
        <w:pStyle w:val="texto"/>
      </w:pPr>
      <w:r>
        <w:t xml:space="preserve">a) </w:t>
      </w:r>
      <w:r w:rsidR="003F4A2F" w:rsidRPr="00172CE9">
        <w:t>No co</w:t>
      </w:r>
      <w:r w:rsidR="00154BC7" w:rsidRPr="00172CE9">
        <w:t>nsta</w:t>
      </w:r>
      <w:r w:rsidR="003F4A2F" w:rsidRPr="00172CE9">
        <w:t xml:space="preserve"> la existencia de un inventario de bienes de la mancomunidad y de los bienes cedidos</w:t>
      </w:r>
      <w:r w:rsidR="00154BC7" w:rsidRPr="00172CE9">
        <w:t xml:space="preserve"> para su uso</w:t>
      </w:r>
      <w:r w:rsidR="003F4A2F" w:rsidRPr="00172CE9">
        <w:t xml:space="preserve"> por el Gobierno de Navarra</w:t>
      </w:r>
      <w:r w:rsidR="00EE0136" w:rsidRPr="00172CE9">
        <w:t>.</w:t>
      </w:r>
    </w:p>
    <w:p w:rsidR="00B872B1" w:rsidRPr="00172CE9" w:rsidRDefault="00172CE9" w:rsidP="00172CE9">
      <w:pPr>
        <w:pStyle w:val="texto"/>
      </w:pPr>
      <w:r>
        <w:t xml:space="preserve">b) </w:t>
      </w:r>
      <w:r w:rsidR="00437E1F" w:rsidRPr="00172CE9">
        <w:t xml:space="preserve">No se respeta el límite de créditos para gastos tanto </w:t>
      </w:r>
      <w:r w:rsidR="00E22FAA" w:rsidRPr="00172CE9">
        <w:t xml:space="preserve">globalmente </w:t>
      </w:r>
      <w:r w:rsidR="00B0290F" w:rsidRPr="00172CE9">
        <w:t xml:space="preserve">como </w:t>
      </w:r>
      <w:r w:rsidR="00437E1F" w:rsidRPr="00172CE9">
        <w:t>e</w:t>
      </w:r>
      <w:r w:rsidR="00EE0136" w:rsidRPr="00172CE9">
        <w:t>s</w:t>
      </w:r>
      <w:r w:rsidR="00EE0136" w:rsidRPr="00172CE9">
        <w:t>pecíficamente e</w:t>
      </w:r>
      <w:r w:rsidR="00437E1F" w:rsidRPr="00172CE9">
        <w:t>n el capítulo 1</w:t>
      </w:r>
      <w:r w:rsidR="00B0290F" w:rsidRPr="00172CE9">
        <w:t>.</w:t>
      </w:r>
    </w:p>
    <w:p w:rsidR="00172CE9" w:rsidRDefault="00172CE9" w:rsidP="00172CE9">
      <w:pPr>
        <w:pStyle w:val="texto"/>
      </w:pPr>
      <w:r>
        <w:t xml:space="preserve">c) </w:t>
      </w:r>
      <w:r w:rsidR="00606ED4" w:rsidRPr="00172CE9">
        <w:t>Se han detectado incorrectas imputaciones presupuestarias</w:t>
      </w:r>
      <w:r w:rsidR="00712172" w:rsidRPr="00172CE9">
        <w:t xml:space="preserve"> que afectan tanto a capítulos y partidas de gastos como </w:t>
      </w:r>
      <w:r w:rsidR="00606ED4" w:rsidRPr="00172CE9">
        <w:t xml:space="preserve">especialmente </w:t>
      </w:r>
      <w:r w:rsidR="00AE7A2C" w:rsidRPr="00172CE9">
        <w:t>a</w:t>
      </w:r>
      <w:r w:rsidR="00606ED4" w:rsidRPr="00172CE9">
        <w:t xml:space="preserve"> ingresos</w:t>
      </w:r>
      <w:r w:rsidR="0074583C" w:rsidRPr="00172CE9">
        <w:t>.</w:t>
      </w:r>
    </w:p>
    <w:p w:rsidR="009E1FD3" w:rsidRDefault="005D5FD1" w:rsidP="005D5FD1">
      <w:pPr>
        <w:pStyle w:val="atitulo3"/>
      </w:pPr>
      <w:r>
        <w:t>Opinión de auditoría financiera</w:t>
      </w:r>
      <w:r w:rsidR="0094529C">
        <w:t xml:space="preserve"> con salvedades</w:t>
      </w:r>
    </w:p>
    <w:p w:rsidR="00CF701D" w:rsidRDefault="00CF701D" w:rsidP="00CF701D">
      <w:pPr>
        <w:pStyle w:val="texto"/>
        <w:spacing w:after="0"/>
      </w:pPr>
      <w:r w:rsidRPr="006151BD">
        <w:t>En nuestra opinión</w:t>
      </w:r>
      <w:r w:rsidRPr="00915718">
        <w:rPr>
          <w:i/>
        </w:rPr>
        <w:t>,</w:t>
      </w:r>
      <w:r w:rsidRPr="006602FF">
        <w:t xml:space="preserve"> excepto por los </w:t>
      </w:r>
      <w:r>
        <w:t>posibles efectos de la limitación al a</w:t>
      </w:r>
      <w:r>
        <w:t>l</w:t>
      </w:r>
      <w:r>
        <w:t xml:space="preserve">cance descrita en el párrafo a) y por los </w:t>
      </w:r>
      <w:r w:rsidRPr="006602FF">
        <w:t>efec</w:t>
      </w:r>
      <w:r>
        <w:t>tos de</w:t>
      </w:r>
      <w:r w:rsidR="00606ED4">
        <w:t xml:space="preserve"> los</w:t>
      </w:r>
      <w:r w:rsidRPr="006602FF">
        <w:t xml:space="preserve"> hecho</w:t>
      </w:r>
      <w:r w:rsidR="00606ED4">
        <w:t>s</w:t>
      </w:r>
      <w:r w:rsidRPr="006602FF">
        <w:t xml:space="preserve"> descrito</w:t>
      </w:r>
      <w:r w:rsidR="00606ED4">
        <w:t>s</w:t>
      </w:r>
      <w:r w:rsidRPr="006602FF">
        <w:t xml:space="preserve"> en el párrafo </w:t>
      </w:r>
      <w:r>
        <w:t>b)</w:t>
      </w:r>
      <w:r w:rsidR="00676EF6">
        <w:t xml:space="preserve"> y</w:t>
      </w:r>
      <w:r w:rsidR="00715FEA">
        <w:t xml:space="preserve"> </w:t>
      </w:r>
      <w:r w:rsidR="00606ED4">
        <w:t>c)</w:t>
      </w:r>
      <w:r>
        <w:t xml:space="preserve"> </w:t>
      </w:r>
      <w:r w:rsidRPr="006602FF">
        <w:t>de</w:t>
      </w:r>
      <w:r>
        <w:t>l apartado de</w:t>
      </w:r>
      <w:r w:rsidRPr="006602FF">
        <w:t xml:space="preserve"> “Fundamento de la opinión</w:t>
      </w:r>
      <w:r>
        <w:t xml:space="preserve"> financiera con sa</w:t>
      </w:r>
      <w:r>
        <w:t>l</w:t>
      </w:r>
      <w:r>
        <w:t>vedades”,</w:t>
      </w:r>
      <w:r>
        <w:rPr>
          <w:i/>
          <w:color w:val="FF0000"/>
        </w:rPr>
        <w:t xml:space="preserve"> </w:t>
      </w:r>
      <w:r w:rsidRPr="006602FF">
        <w:t>la cuenta general adjunta expresa, en todos los aspectos significat</w:t>
      </w:r>
      <w:r w:rsidRPr="006602FF">
        <w:t>i</w:t>
      </w:r>
      <w:r w:rsidRPr="006602FF">
        <w:t>vos, la imagen fiel del patrimonio, de la liquidación de sus presupuestos de ga</w:t>
      </w:r>
      <w:r w:rsidRPr="006602FF">
        <w:t>s</w:t>
      </w:r>
      <w:r w:rsidRPr="006602FF">
        <w:t xml:space="preserve">tos e ingresos y de la situación financiera de la </w:t>
      </w:r>
      <w:r w:rsidR="00AC78F3">
        <w:t>m</w:t>
      </w:r>
      <w:r>
        <w:t>ancomunidad</w:t>
      </w:r>
      <w:r w:rsidRPr="006602FF">
        <w:t xml:space="preserve"> a 31 de dicie</w:t>
      </w:r>
      <w:r w:rsidRPr="006602FF">
        <w:t>m</w:t>
      </w:r>
      <w:r w:rsidRPr="006602FF">
        <w:t>bre de 201</w:t>
      </w:r>
      <w:r>
        <w:t>5</w:t>
      </w:r>
      <w:r w:rsidR="00AE7A2C">
        <w:t xml:space="preserve">. También refleja </w:t>
      </w:r>
      <w:r w:rsidRPr="006602FF">
        <w:t>sus resultados económicos y presupuestarios c</w:t>
      </w:r>
      <w:r w:rsidRPr="006602FF">
        <w:t>o</w:t>
      </w:r>
      <w:r w:rsidRPr="006602FF">
        <w:t>rrespondientes al ejercicio anual terminado en dicha fecha, de conformidad con el marco normativo de información financiera pública aplicable y, en partic</w:t>
      </w:r>
      <w:r w:rsidRPr="006602FF">
        <w:t>u</w:t>
      </w:r>
      <w:r w:rsidRPr="006602FF">
        <w:t>lar, con los principios y criterios contables contenidos en el mismo.</w:t>
      </w:r>
    </w:p>
    <w:p w:rsidR="00F66D24" w:rsidRDefault="00F66D24" w:rsidP="00C46A7F">
      <w:pPr>
        <w:pStyle w:val="texto"/>
        <w:tabs>
          <w:tab w:val="clear" w:pos="2835"/>
          <w:tab w:val="clear" w:pos="3969"/>
          <w:tab w:val="clear" w:pos="5103"/>
          <w:tab w:val="clear" w:pos="6237"/>
          <w:tab w:val="clear" w:pos="7371"/>
        </w:tabs>
        <w:spacing w:after="0"/>
        <w:ind w:firstLine="0"/>
        <w:rPr>
          <w:szCs w:val="26"/>
        </w:rPr>
      </w:pPr>
    </w:p>
    <w:p w:rsidR="009E1FD3" w:rsidRDefault="009E1FD3" w:rsidP="009E1FD3">
      <w:pPr>
        <w:pStyle w:val="atitulo3"/>
      </w:pPr>
      <w:r>
        <w:t>Párrafo de énfasis</w:t>
      </w:r>
    </w:p>
    <w:p w:rsidR="009E1FD3" w:rsidRPr="00172CE9" w:rsidRDefault="005269FF" w:rsidP="001400DF">
      <w:pPr>
        <w:pStyle w:val="texto"/>
        <w:spacing w:after="0"/>
      </w:pPr>
      <w:r w:rsidRPr="00172CE9">
        <w:t>Sin que afecte a nuestra opinión</w:t>
      </w:r>
      <w:r w:rsidR="007362CE" w:rsidRPr="00172CE9">
        <w:t xml:space="preserve"> de auditoría financiera</w:t>
      </w:r>
      <w:r w:rsidRPr="00172CE9">
        <w:t>, l</w:t>
      </w:r>
      <w:r w:rsidR="00983F94" w:rsidRPr="00172CE9">
        <w:t>lamamos la ate</w:t>
      </w:r>
      <w:r w:rsidR="00983F94" w:rsidRPr="00172CE9">
        <w:t>n</w:t>
      </w:r>
      <w:r w:rsidR="00983F94" w:rsidRPr="00172CE9">
        <w:t xml:space="preserve">ción sobre </w:t>
      </w:r>
      <w:r w:rsidR="009E1FD3" w:rsidRPr="00172CE9">
        <w:t xml:space="preserve">la delicada situación económico-financiera de la </w:t>
      </w:r>
      <w:r w:rsidR="007347A6" w:rsidRPr="00172CE9">
        <w:t>m</w:t>
      </w:r>
      <w:r w:rsidR="009E1FD3" w:rsidRPr="00172CE9">
        <w:t>ancomunidad a 31 de diciembre de 2015, que se manifiesta</w:t>
      </w:r>
      <w:r w:rsidR="00913330" w:rsidRPr="00172CE9">
        <w:t xml:space="preserve"> especialmente </w:t>
      </w:r>
      <w:r w:rsidR="00AE7A2C" w:rsidRPr="00172CE9">
        <w:t>en</w:t>
      </w:r>
      <w:r w:rsidR="00913330" w:rsidRPr="00172CE9">
        <w:t xml:space="preserve"> un remanente de tesorería para gastos generales</w:t>
      </w:r>
      <w:r w:rsidR="008D1E52" w:rsidRPr="00172CE9">
        <w:t xml:space="preserve"> negativo,</w:t>
      </w:r>
      <w:r w:rsidR="00913330" w:rsidRPr="00172CE9">
        <w:t xml:space="preserve"> </w:t>
      </w:r>
      <w:r w:rsidR="00AE7A2C" w:rsidRPr="00172CE9">
        <w:t>a</w:t>
      </w:r>
      <w:r w:rsidR="00913330" w:rsidRPr="00172CE9">
        <w:t>horro</w:t>
      </w:r>
      <w:r w:rsidR="00983F94" w:rsidRPr="00172CE9">
        <w:t>s</w:t>
      </w:r>
      <w:r w:rsidR="00913330" w:rsidRPr="00172CE9">
        <w:t xml:space="preserve"> </w:t>
      </w:r>
      <w:r w:rsidR="00F0315D" w:rsidRPr="00172CE9">
        <w:t xml:space="preserve">bruto y </w:t>
      </w:r>
      <w:r w:rsidR="00913330" w:rsidRPr="00172CE9">
        <w:t>neto</w:t>
      </w:r>
      <w:r w:rsidR="00F0315D" w:rsidRPr="00172CE9">
        <w:t xml:space="preserve"> </w:t>
      </w:r>
      <w:r w:rsidR="008D1E52" w:rsidRPr="00172CE9">
        <w:t xml:space="preserve">igualmente </w:t>
      </w:r>
      <w:r w:rsidR="00913330" w:rsidRPr="00172CE9">
        <w:t>neg</w:t>
      </w:r>
      <w:r w:rsidR="00913330" w:rsidRPr="00172CE9">
        <w:t>a</w:t>
      </w:r>
      <w:r w:rsidR="00913330" w:rsidRPr="00172CE9">
        <w:t>tivos</w:t>
      </w:r>
      <w:r w:rsidR="004D2B8A" w:rsidRPr="00172CE9">
        <w:t>, fondos propios también negativos</w:t>
      </w:r>
      <w:r w:rsidR="003F4A2F" w:rsidRPr="00172CE9">
        <w:t>,</w:t>
      </w:r>
      <w:r w:rsidR="008D1E52" w:rsidRPr="00172CE9">
        <w:t xml:space="preserve"> retraso relevante en el pago a prove</w:t>
      </w:r>
      <w:r w:rsidR="008D1E52" w:rsidRPr="00172CE9">
        <w:t>e</w:t>
      </w:r>
      <w:r w:rsidR="008D1E52" w:rsidRPr="00172CE9">
        <w:t>dores</w:t>
      </w:r>
      <w:r w:rsidR="003F4A2F" w:rsidRPr="00172CE9">
        <w:t xml:space="preserve"> y la imposibilidad </w:t>
      </w:r>
      <w:r w:rsidR="006D3E33" w:rsidRPr="00172CE9">
        <w:t xml:space="preserve">legal y económica </w:t>
      </w:r>
      <w:r w:rsidR="003F4A2F" w:rsidRPr="00172CE9">
        <w:t>de captar endeudamiento financiero</w:t>
      </w:r>
      <w:r w:rsidR="00DE7AC5" w:rsidRPr="00172CE9">
        <w:t>.</w:t>
      </w:r>
    </w:p>
    <w:p w:rsidR="00237F46" w:rsidRDefault="00237F46" w:rsidP="00237F46">
      <w:pPr>
        <w:pStyle w:val="atitulo3"/>
      </w:pPr>
      <w:r>
        <w:t>Párrafo de otras cuestiones significativas</w:t>
      </w:r>
    </w:p>
    <w:p w:rsidR="00983F94" w:rsidRPr="006C7254" w:rsidRDefault="00237F46" w:rsidP="00DA31BA">
      <w:pPr>
        <w:pStyle w:val="texto"/>
        <w:tabs>
          <w:tab w:val="clear" w:pos="2835"/>
          <w:tab w:val="clear" w:pos="3969"/>
          <w:tab w:val="clear" w:pos="5103"/>
          <w:tab w:val="clear" w:pos="6237"/>
          <w:tab w:val="clear" w:pos="7371"/>
        </w:tabs>
        <w:rPr>
          <w:szCs w:val="26"/>
        </w:rPr>
      </w:pPr>
      <w:r w:rsidRPr="006C7254">
        <w:rPr>
          <w:szCs w:val="26"/>
        </w:rPr>
        <w:t>No se ha documentado</w:t>
      </w:r>
      <w:r w:rsidR="00774F4B" w:rsidRPr="006C7254">
        <w:rPr>
          <w:szCs w:val="26"/>
        </w:rPr>
        <w:t xml:space="preserve"> formalmente</w:t>
      </w:r>
      <w:r w:rsidRPr="006C7254">
        <w:rPr>
          <w:szCs w:val="26"/>
        </w:rPr>
        <w:t xml:space="preserve"> la cesión</w:t>
      </w:r>
      <w:r w:rsidR="00C70FA4">
        <w:rPr>
          <w:szCs w:val="26"/>
        </w:rPr>
        <w:t xml:space="preserve"> de uso y de gestión</w:t>
      </w:r>
      <w:r w:rsidR="001400DF">
        <w:rPr>
          <w:szCs w:val="26"/>
        </w:rPr>
        <w:t xml:space="preserve"> por parte del Gobierno de Navarra</w:t>
      </w:r>
      <w:r w:rsidRPr="006C7254">
        <w:rPr>
          <w:szCs w:val="26"/>
        </w:rPr>
        <w:t xml:space="preserve"> de</w:t>
      </w:r>
      <w:r w:rsidR="007347A6">
        <w:rPr>
          <w:szCs w:val="26"/>
        </w:rPr>
        <w:t xml:space="preserve"> los </w:t>
      </w:r>
      <w:r w:rsidR="006D5730">
        <w:rPr>
          <w:szCs w:val="26"/>
        </w:rPr>
        <w:t xml:space="preserve">dos </w:t>
      </w:r>
      <w:r w:rsidR="007347A6">
        <w:rPr>
          <w:szCs w:val="26"/>
        </w:rPr>
        <w:t>edificios de</w:t>
      </w:r>
      <w:r w:rsidRPr="006C7254">
        <w:rPr>
          <w:szCs w:val="26"/>
        </w:rPr>
        <w:t xml:space="preserve"> la residencia a la </w:t>
      </w:r>
      <w:r w:rsidR="001400DF">
        <w:rPr>
          <w:szCs w:val="26"/>
        </w:rPr>
        <w:t>mancomun</w:t>
      </w:r>
      <w:r w:rsidR="001400DF">
        <w:rPr>
          <w:szCs w:val="26"/>
        </w:rPr>
        <w:t>i</w:t>
      </w:r>
      <w:r w:rsidR="001400DF">
        <w:rPr>
          <w:szCs w:val="26"/>
        </w:rPr>
        <w:t xml:space="preserve">dad </w:t>
      </w:r>
      <w:r w:rsidRPr="006C7254">
        <w:rPr>
          <w:szCs w:val="26"/>
        </w:rPr>
        <w:t xml:space="preserve">ni se han </w:t>
      </w:r>
      <w:r w:rsidR="00774F4B" w:rsidRPr="006C7254">
        <w:rPr>
          <w:szCs w:val="26"/>
        </w:rPr>
        <w:t>concretado</w:t>
      </w:r>
      <w:r w:rsidRPr="006C7254">
        <w:rPr>
          <w:szCs w:val="26"/>
        </w:rPr>
        <w:t xml:space="preserve"> las obligaciones</w:t>
      </w:r>
      <w:r w:rsidR="00C6781A" w:rsidRPr="006C7254">
        <w:rPr>
          <w:szCs w:val="26"/>
        </w:rPr>
        <w:t xml:space="preserve"> de cada parte para el</w:t>
      </w:r>
      <w:r w:rsidRPr="006C7254">
        <w:rPr>
          <w:szCs w:val="26"/>
        </w:rPr>
        <w:t xml:space="preserve"> mantenimiento e inversiones de reposición y su financia</w:t>
      </w:r>
      <w:r w:rsidR="00C6781A" w:rsidRPr="006C7254">
        <w:rPr>
          <w:szCs w:val="26"/>
        </w:rPr>
        <w:t>ción</w:t>
      </w:r>
      <w:r w:rsidRPr="006C7254">
        <w:rPr>
          <w:szCs w:val="26"/>
        </w:rPr>
        <w:t>.</w:t>
      </w:r>
      <w:r w:rsidR="005620FD" w:rsidRPr="006C7254">
        <w:rPr>
          <w:szCs w:val="26"/>
        </w:rPr>
        <w:t xml:space="preserve"> Esta situación</w:t>
      </w:r>
      <w:r w:rsidR="00AC78F3">
        <w:rPr>
          <w:szCs w:val="26"/>
        </w:rPr>
        <w:t>, además de la ins</w:t>
      </w:r>
      <w:r w:rsidR="00AC78F3">
        <w:rPr>
          <w:szCs w:val="26"/>
        </w:rPr>
        <w:t>e</w:t>
      </w:r>
      <w:r w:rsidR="00AC78F3">
        <w:rPr>
          <w:szCs w:val="26"/>
        </w:rPr>
        <w:t xml:space="preserve">guridad jurídica que conlleva, </w:t>
      </w:r>
      <w:r w:rsidR="008C506B">
        <w:rPr>
          <w:szCs w:val="26"/>
        </w:rPr>
        <w:t>puede</w:t>
      </w:r>
      <w:r w:rsidR="00AC78F3">
        <w:rPr>
          <w:szCs w:val="26"/>
        </w:rPr>
        <w:t xml:space="preserve"> afectar a la situación financiera de la ma</w:t>
      </w:r>
      <w:r w:rsidR="00AC78F3">
        <w:rPr>
          <w:szCs w:val="26"/>
        </w:rPr>
        <w:t>n</w:t>
      </w:r>
      <w:r w:rsidR="00AC78F3">
        <w:rPr>
          <w:szCs w:val="26"/>
        </w:rPr>
        <w:t>comunidad</w:t>
      </w:r>
      <w:r w:rsidR="000656CA">
        <w:rPr>
          <w:szCs w:val="26"/>
        </w:rPr>
        <w:t>.</w:t>
      </w:r>
    </w:p>
    <w:p w:rsidR="002A30ED" w:rsidRDefault="002A30ED" w:rsidP="002A30ED">
      <w:pPr>
        <w:pStyle w:val="atitulo2"/>
        <w:spacing w:before="240"/>
      </w:pPr>
      <w:bookmarkStart w:id="13" w:name="_Toc475093085"/>
      <w:r>
        <w:t xml:space="preserve">II.2. </w:t>
      </w:r>
      <w:r w:rsidRPr="003639A8">
        <w:t xml:space="preserve">Opinión de </w:t>
      </w:r>
      <w:r>
        <w:t>fiscalización de cumplimiento de legalidad</w:t>
      </w:r>
      <w:bookmarkEnd w:id="13"/>
    </w:p>
    <w:p w:rsidR="00237F46" w:rsidRDefault="00237F46" w:rsidP="00237F46">
      <w:pPr>
        <w:pStyle w:val="atitulo3"/>
      </w:pPr>
      <w:r>
        <w:t xml:space="preserve">Fundamento de la opinión de cumplimiento </w:t>
      </w:r>
      <w:r w:rsidR="00437E1F">
        <w:t>desfavorable</w:t>
      </w:r>
    </w:p>
    <w:p w:rsidR="004E43BF" w:rsidRPr="00646EE3" w:rsidRDefault="00172CE9" w:rsidP="004E43BF">
      <w:pPr>
        <w:pStyle w:val="texto"/>
      </w:pPr>
      <w:r w:rsidRPr="00646EE3">
        <w:t xml:space="preserve">a) </w:t>
      </w:r>
      <w:r w:rsidR="004E43BF" w:rsidRPr="00646EE3">
        <w:t>Determinados trabajadores han adquirido la condición de fijo</w:t>
      </w:r>
      <w:r w:rsidR="00C0458D">
        <w:t xml:space="preserve"> e indefinido</w:t>
      </w:r>
      <w:r w:rsidR="004E43BF" w:rsidRPr="00646EE3">
        <w:t xml:space="preserve"> en el empleo de la mancomunidad sin seguir los procedimientos de acceso pr</w:t>
      </w:r>
      <w:r w:rsidR="004E43BF" w:rsidRPr="00646EE3">
        <w:t>e</w:t>
      </w:r>
      <w:r w:rsidR="004E43BF" w:rsidRPr="00646EE3">
        <w:t xml:space="preserve">visto en el Estatuto de la Función Pública. </w:t>
      </w:r>
    </w:p>
    <w:p w:rsidR="00412CBD" w:rsidRPr="00172CE9" w:rsidRDefault="00172CE9" w:rsidP="00172CE9">
      <w:pPr>
        <w:pStyle w:val="texto"/>
      </w:pPr>
      <w:r>
        <w:t xml:space="preserve">b) </w:t>
      </w:r>
      <w:r w:rsidR="004060A7" w:rsidRPr="00172CE9">
        <w:t>En los contratos de asistencia</w:t>
      </w:r>
      <w:r w:rsidR="0067287A" w:rsidRPr="00172CE9">
        <w:t xml:space="preserve"> y suministros</w:t>
      </w:r>
      <w:r w:rsidR="004060A7" w:rsidRPr="00172CE9">
        <w:t xml:space="preserve"> revisados s</w:t>
      </w:r>
      <w:r w:rsidR="00C33609" w:rsidRPr="00172CE9">
        <w:t>e ha superado a</w:t>
      </w:r>
      <w:r w:rsidR="00C33609" w:rsidRPr="00172CE9">
        <w:t>m</w:t>
      </w:r>
      <w:r w:rsidR="00C33609" w:rsidRPr="00172CE9">
        <w:t xml:space="preserve">pliamente el plazo de vigencia de </w:t>
      </w:r>
      <w:r w:rsidR="004060A7" w:rsidRPr="00172CE9">
        <w:t>los mismos.</w:t>
      </w:r>
    </w:p>
    <w:p w:rsidR="00DC2D9A" w:rsidRPr="00172CE9" w:rsidRDefault="00172CE9" w:rsidP="00172CE9">
      <w:pPr>
        <w:pStyle w:val="texto"/>
      </w:pPr>
      <w:r>
        <w:t xml:space="preserve">c) </w:t>
      </w:r>
      <w:r w:rsidR="00C33609" w:rsidRPr="00172CE9">
        <w:t xml:space="preserve">El pago a </w:t>
      </w:r>
      <w:r w:rsidR="004060A7" w:rsidRPr="00172CE9">
        <w:t xml:space="preserve">los principales </w:t>
      </w:r>
      <w:r w:rsidR="00C33609" w:rsidRPr="00172CE9">
        <w:t>provee</w:t>
      </w:r>
      <w:r w:rsidR="009C551F" w:rsidRPr="00172CE9">
        <w:t>d</w:t>
      </w:r>
      <w:r w:rsidR="00C33609" w:rsidRPr="00172CE9">
        <w:t xml:space="preserve">ores supera </w:t>
      </w:r>
      <w:r w:rsidR="004060A7" w:rsidRPr="00172CE9">
        <w:t>con amplitud</w:t>
      </w:r>
      <w:r w:rsidR="00C33609" w:rsidRPr="00172CE9">
        <w:t xml:space="preserve"> el plazo legal marcado en la leg</w:t>
      </w:r>
      <w:r w:rsidR="009C551F" w:rsidRPr="00172CE9">
        <w:t>is</w:t>
      </w:r>
      <w:r w:rsidR="00C33609" w:rsidRPr="00172CE9">
        <w:t>lación vigente.</w:t>
      </w:r>
    </w:p>
    <w:p w:rsidR="006D3E33" w:rsidRPr="00172CE9" w:rsidRDefault="00172CE9" w:rsidP="00172CE9">
      <w:pPr>
        <w:pStyle w:val="texto"/>
      </w:pPr>
      <w:r>
        <w:t xml:space="preserve">d) </w:t>
      </w:r>
      <w:r w:rsidR="006D3E33" w:rsidRPr="00172CE9">
        <w:t>No se han aplicado los mecanismo</w:t>
      </w:r>
      <w:r w:rsidR="00173204" w:rsidRPr="00172CE9">
        <w:t>s</w:t>
      </w:r>
      <w:r w:rsidR="006D3E33" w:rsidRPr="00172CE9">
        <w:t xml:space="preserve"> previstos en </w:t>
      </w:r>
      <w:r w:rsidR="002C1601" w:rsidRPr="00172CE9">
        <w:t xml:space="preserve">el artículo 230 de </w:t>
      </w:r>
      <w:r w:rsidR="006D3E33" w:rsidRPr="00172CE9">
        <w:t>la LFHL</w:t>
      </w:r>
      <w:r w:rsidR="00173204" w:rsidRPr="00172CE9">
        <w:t xml:space="preserve"> para cancelar los remanentes de tesorería negativos.</w:t>
      </w:r>
      <w:r w:rsidR="006D3E33" w:rsidRPr="00172CE9">
        <w:t xml:space="preserve"> </w:t>
      </w:r>
    </w:p>
    <w:p w:rsidR="004060A7" w:rsidRPr="00172CE9" w:rsidRDefault="00172CE9" w:rsidP="00172CE9">
      <w:pPr>
        <w:pStyle w:val="texto"/>
      </w:pPr>
      <w:r>
        <w:t xml:space="preserve">e) </w:t>
      </w:r>
      <w:r w:rsidR="004060A7" w:rsidRPr="00172CE9">
        <w:t>La mancomunidad no ha cumplido en 2015 con el principio de estabilidad presupuestaria al obtener necesidades de financiación o déficit en términos de contabilidad nacional.</w:t>
      </w:r>
    </w:p>
    <w:p w:rsidR="00DA31BA" w:rsidRPr="00172CE9" w:rsidRDefault="00172CE9" w:rsidP="003A3339">
      <w:pPr>
        <w:pStyle w:val="texto"/>
        <w:spacing w:after="240"/>
      </w:pPr>
      <w:r>
        <w:t xml:space="preserve">f) </w:t>
      </w:r>
      <w:r w:rsidR="00DA31BA" w:rsidRPr="00172CE9">
        <w:t>No constan las actas de los acuerdos adoptados por la asamblea de la ma</w:t>
      </w:r>
      <w:r w:rsidR="00DA31BA" w:rsidRPr="00172CE9">
        <w:t>n</w:t>
      </w:r>
      <w:r w:rsidR="00DA31BA" w:rsidRPr="00172CE9">
        <w:t>comunidad.</w:t>
      </w:r>
    </w:p>
    <w:bookmarkEnd w:id="5"/>
    <w:bookmarkEnd w:id="6"/>
    <w:bookmarkEnd w:id="7"/>
    <w:bookmarkEnd w:id="8"/>
    <w:p w:rsidR="005D5FD1" w:rsidRDefault="005D5FD1" w:rsidP="005D5FD1">
      <w:pPr>
        <w:pStyle w:val="atitulo3"/>
      </w:pPr>
      <w:r>
        <w:t>Opinión de fiscalización de cumplimiento de legalidad</w:t>
      </w:r>
      <w:r w:rsidR="00437E1F">
        <w:t xml:space="preserve"> desfavorable</w:t>
      </w:r>
    </w:p>
    <w:p w:rsidR="00522BB2" w:rsidRDefault="00437E1F" w:rsidP="00437E1F">
      <w:pPr>
        <w:pStyle w:val="texto"/>
        <w:tabs>
          <w:tab w:val="clear" w:pos="2835"/>
          <w:tab w:val="clear" w:pos="3969"/>
          <w:tab w:val="clear" w:pos="5103"/>
          <w:tab w:val="clear" w:pos="6237"/>
          <w:tab w:val="clear" w:pos="7371"/>
        </w:tabs>
        <w:rPr>
          <w:szCs w:val="26"/>
        </w:rPr>
      </w:pPr>
      <w:r w:rsidRPr="00437E1F">
        <w:rPr>
          <w:szCs w:val="26"/>
        </w:rPr>
        <w:t>Debido a la importancia de los incumplimientos descritos en el párrafo de “Fundamento de la opinión de cumpl</w:t>
      </w:r>
      <w:r>
        <w:rPr>
          <w:szCs w:val="26"/>
        </w:rPr>
        <w:t>i</w:t>
      </w:r>
      <w:r w:rsidRPr="00437E1F">
        <w:rPr>
          <w:szCs w:val="26"/>
        </w:rPr>
        <w:t xml:space="preserve">miento desfavorable”, las actividades, operaciones presupuestarias y financieras y la información reflejada en </w:t>
      </w:r>
      <w:r>
        <w:rPr>
          <w:szCs w:val="26"/>
        </w:rPr>
        <w:t>la cue</w:t>
      </w:r>
      <w:r>
        <w:rPr>
          <w:szCs w:val="26"/>
        </w:rPr>
        <w:t>n</w:t>
      </w:r>
      <w:r>
        <w:rPr>
          <w:szCs w:val="26"/>
        </w:rPr>
        <w:t>ta general de la mancomunidad del ejercicio de 2015</w:t>
      </w:r>
      <w:r w:rsidRPr="00437E1F">
        <w:rPr>
          <w:szCs w:val="26"/>
        </w:rPr>
        <w:t xml:space="preserve"> no resultan conformes con la normativa aplicable a la gestión de los fondos públicos</w:t>
      </w:r>
      <w:r>
        <w:rPr>
          <w:szCs w:val="26"/>
        </w:rPr>
        <w:t>.</w:t>
      </w:r>
    </w:p>
    <w:p w:rsidR="001400DF" w:rsidRDefault="001400DF">
      <w:pPr>
        <w:spacing w:after="0"/>
        <w:ind w:firstLine="0"/>
        <w:jc w:val="left"/>
        <w:rPr>
          <w:rFonts w:ascii="Arial" w:hAnsi="Arial"/>
          <w:b/>
          <w:color w:val="000000"/>
          <w:kern w:val="28"/>
          <w:sz w:val="25"/>
          <w:szCs w:val="26"/>
        </w:rPr>
      </w:pPr>
      <w:r>
        <w:br w:type="page"/>
      </w:r>
    </w:p>
    <w:p w:rsidR="00D115AC" w:rsidRDefault="00D115AC" w:rsidP="00D115AC">
      <w:pPr>
        <w:pStyle w:val="atitulo1"/>
      </w:pPr>
      <w:bookmarkStart w:id="14" w:name="_Toc475093086"/>
      <w:r>
        <w:t>I</w:t>
      </w:r>
      <w:r w:rsidR="00FA5973">
        <w:t>II</w:t>
      </w:r>
      <w:r w:rsidRPr="00D97409">
        <w:t xml:space="preserve">. </w:t>
      </w:r>
      <w:r w:rsidR="00AD3EE4">
        <w:t>Resumen de la cuenta general de</w:t>
      </w:r>
      <w:r w:rsidR="0038151C">
        <w:t xml:space="preserve"> la Mancomunidad de Servicios S</w:t>
      </w:r>
      <w:r w:rsidR="0038151C">
        <w:t>o</w:t>
      </w:r>
      <w:r w:rsidR="0038151C">
        <w:t>ciales de Lumbier/Residencia de San Isidro</w:t>
      </w:r>
      <w:r w:rsidR="00AD3EE4">
        <w:t xml:space="preserve"> de 2015</w:t>
      </w:r>
      <w:bookmarkEnd w:id="14"/>
      <w:r w:rsidRPr="00D97409">
        <w:t xml:space="preserve"> </w:t>
      </w:r>
    </w:p>
    <w:p w:rsidR="00482857" w:rsidRDefault="00482857" w:rsidP="000D2C76">
      <w:pPr>
        <w:pStyle w:val="CuadroTtulo"/>
        <w:spacing w:before="120"/>
        <w:jc w:val="center"/>
      </w:pPr>
      <w:bookmarkStart w:id="15" w:name="_Toc309383720"/>
      <w:bookmarkStart w:id="16" w:name="_Toc339016609"/>
      <w:bookmarkStart w:id="17" w:name="_Toc442251800"/>
    </w:p>
    <w:p w:rsidR="000D2C76" w:rsidRPr="004D5125" w:rsidRDefault="000D2C76" w:rsidP="000D2C76">
      <w:pPr>
        <w:pStyle w:val="atitulo2"/>
      </w:pPr>
      <w:bookmarkStart w:id="18" w:name="_Toc469315860"/>
      <w:bookmarkStart w:id="19" w:name="_Toc475093087"/>
      <w:r>
        <w:t xml:space="preserve">III.1. </w:t>
      </w:r>
      <w:r w:rsidRPr="004D5125">
        <w:t xml:space="preserve">Estado de </w:t>
      </w:r>
      <w:r>
        <w:t>E</w:t>
      </w:r>
      <w:r w:rsidRPr="004D5125">
        <w:t>jecución del presupuesto de 2015</w:t>
      </w:r>
      <w:bookmarkEnd w:id="18"/>
      <w:bookmarkEnd w:id="19"/>
    </w:p>
    <w:p w:rsidR="000D2C76" w:rsidRPr="004D5125" w:rsidRDefault="000D2C76" w:rsidP="000D2C76">
      <w:pPr>
        <w:pStyle w:val="CuadroTtulo"/>
        <w:spacing w:before="440" w:after="240"/>
        <w:jc w:val="center"/>
      </w:pPr>
      <w:r w:rsidRPr="004D5125">
        <w:t>Gastos por capítulo económico</w:t>
      </w:r>
    </w:p>
    <w:tbl>
      <w:tblPr>
        <w:tblW w:w="5159" w:type="pct"/>
        <w:jc w:val="center"/>
        <w:tblCellMar>
          <w:left w:w="70" w:type="dxa"/>
          <w:right w:w="70" w:type="dxa"/>
        </w:tblCellMar>
        <w:tblLook w:val="04A0" w:firstRow="1" w:lastRow="0" w:firstColumn="1" w:lastColumn="0" w:noHBand="0" w:noVBand="1"/>
      </w:tblPr>
      <w:tblGrid>
        <w:gridCol w:w="3301"/>
        <w:gridCol w:w="995"/>
        <w:gridCol w:w="722"/>
        <w:gridCol w:w="995"/>
        <w:gridCol w:w="995"/>
        <w:gridCol w:w="526"/>
        <w:gridCol w:w="995"/>
        <w:gridCol w:w="684"/>
      </w:tblGrid>
      <w:tr w:rsidR="000D2C76" w:rsidRPr="00B53611" w:rsidTr="00C46A7F">
        <w:trPr>
          <w:trHeight w:val="170"/>
          <w:jc w:val="center"/>
        </w:trPr>
        <w:tc>
          <w:tcPr>
            <w:tcW w:w="1792" w:type="pct"/>
            <w:tcBorders>
              <w:top w:val="single" w:sz="4" w:space="0" w:color="auto"/>
              <w:left w:val="nil"/>
              <w:bottom w:val="single" w:sz="4" w:space="0" w:color="auto"/>
              <w:right w:val="nil"/>
            </w:tcBorders>
            <w:shd w:val="clear" w:color="auto" w:fill="FABF8F" w:themeFill="accent6" w:themeFillTint="99"/>
            <w:vAlign w:val="center"/>
          </w:tcPr>
          <w:p w:rsidR="000D2C76" w:rsidRPr="00B53611" w:rsidRDefault="000D2C76" w:rsidP="000D2C76">
            <w:pPr>
              <w:pStyle w:val="cuatexto"/>
              <w:jc w:val="left"/>
              <w:rPr>
                <w:rFonts w:ascii="Arial" w:hAnsi="Arial" w:cs="Arial"/>
                <w:sz w:val="16"/>
                <w:szCs w:val="16"/>
                <w:lang w:val="es-ES" w:eastAsia="es-ES"/>
              </w:rPr>
            </w:pPr>
            <w:r w:rsidRPr="00B53611">
              <w:rPr>
                <w:rFonts w:ascii="Arial" w:hAnsi="Arial" w:cs="Arial"/>
                <w:sz w:val="16"/>
                <w:szCs w:val="16"/>
                <w:lang w:val="es-ES" w:eastAsia="es-ES"/>
              </w:rPr>
              <w:t>Descripción</w:t>
            </w:r>
          </w:p>
        </w:tc>
        <w:tc>
          <w:tcPr>
            <w:tcW w:w="540" w:type="pct"/>
            <w:tcBorders>
              <w:top w:val="single" w:sz="4" w:space="0" w:color="auto"/>
              <w:left w:val="nil"/>
              <w:bottom w:val="single" w:sz="4" w:space="0" w:color="auto"/>
              <w:right w:val="nil"/>
            </w:tcBorders>
            <w:shd w:val="clear" w:color="auto" w:fill="FABF8F" w:themeFill="accent6" w:themeFillTint="99"/>
            <w:vAlign w:val="center"/>
          </w:tcPr>
          <w:p w:rsidR="000D2C76" w:rsidRPr="00B53611"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Previsión</w:t>
            </w:r>
          </w:p>
          <w:p w:rsidR="000D2C76" w:rsidRPr="00B53611"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 xml:space="preserve"> inicial</w:t>
            </w:r>
          </w:p>
        </w:tc>
        <w:tc>
          <w:tcPr>
            <w:tcW w:w="392" w:type="pct"/>
            <w:tcBorders>
              <w:top w:val="single" w:sz="4" w:space="0" w:color="auto"/>
              <w:left w:val="nil"/>
              <w:bottom w:val="single" w:sz="4" w:space="0" w:color="auto"/>
              <w:right w:val="nil"/>
            </w:tcBorders>
            <w:shd w:val="clear" w:color="auto" w:fill="FABF8F" w:themeFill="accent6" w:themeFillTint="99"/>
            <w:vAlign w:val="center"/>
          </w:tcPr>
          <w:p w:rsidR="000D2C76" w:rsidRPr="00B53611"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Modif.</w:t>
            </w:r>
          </w:p>
        </w:tc>
        <w:tc>
          <w:tcPr>
            <w:tcW w:w="540" w:type="pct"/>
            <w:tcBorders>
              <w:top w:val="single" w:sz="4" w:space="0" w:color="auto"/>
              <w:left w:val="nil"/>
              <w:bottom w:val="single" w:sz="4" w:space="0" w:color="auto"/>
              <w:right w:val="nil"/>
            </w:tcBorders>
            <w:shd w:val="clear" w:color="auto" w:fill="FABF8F" w:themeFill="accent6" w:themeFillTint="99"/>
            <w:vAlign w:val="center"/>
          </w:tcPr>
          <w:p w:rsidR="000D2C76" w:rsidRPr="00B53611"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Previsión definitiva</w:t>
            </w:r>
          </w:p>
        </w:tc>
        <w:tc>
          <w:tcPr>
            <w:tcW w:w="540" w:type="pct"/>
            <w:tcBorders>
              <w:top w:val="single" w:sz="4" w:space="0" w:color="auto"/>
              <w:left w:val="nil"/>
              <w:bottom w:val="single" w:sz="4" w:space="0" w:color="auto"/>
              <w:right w:val="nil"/>
            </w:tcBorders>
            <w:shd w:val="clear" w:color="auto" w:fill="FABF8F" w:themeFill="accent6" w:themeFillTint="99"/>
            <w:vAlign w:val="center"/>
          </w:tcPr>
          <w:p w:rsidR="000D2C76"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Obligac</w:t>
            </w:r>
            <w:r>
              <w:rPr>
                <w:rFonts w:ascii="Arial" w:hAnsi="Arial" w:cs="Arial"/>
                <w:sz w:val="16"/>
                <w:szCs w:val="16"/>
                <w:lang w:val="es-ES" w:eastAsia="es-ES"/>
              </w:rPr>
              <w:t>.</w:t>
            </w:r>
          </w:p>
          <w:p w:rsidR="000D2C76" w:rsidRPr="00B53611"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Reconoc</w:t>
            </w:r>
            <w:r>
              <w:rPr>
                <w:rFonts w:ascii="Arial" w:hAnsi="Arial" w:cs="Arial"/>
                <w:sz w:val="16"/>
                <w:szCs w:val="16"/>
                <w:lang w:val="es-ES" w:eastAsia="es-ES"/>
              </w:rPr>
              <w:t>.</w:t>
            </w:r>
          </w:p>
        </w:tc>
        <w:tc>
          <w:tcPr>
            <w:tcW w:w="285" w:type="pct"/>
            <w:tcBorders>
              <w:top w:val="single" w:sz="4" w:space="0" w:color="auto"/>
              <w:left w:val="nil"/>
              <w:bottom w:val="single" w:sz="4" w:space="0" w:color="auto"/>
              <w:right w:val="nil"/>
            </w:tcBorders>
            <w:shd w:val="clear" w:color="auto" w:fill="FABF8F" w:themeFill="accent6" w:themeFillTint="99"/>
            <w:vAlign w:val="center"/>
          </w:tcPr>
          <w:p w:rsidR="000D2C76" w:rsidRPr="00B53611"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 Ejec</w:t>
            </w:r>
            <w:r>
              <w:rPr>
                <w:rFonts w:ascii="Arial" w:hAnsi="Arial" w:cs="Arial"/>
                <w:sz w:val="16"/>
                <w:szCs w:val="16"/>
                <w:lang w:val="es-ES" w:eastAsia="es-ES"/>
              </w:rPr>
              <w:t>.</w:t>
            </w:r>
          </w:p>
        </w:tc>
        <w:tc>
          <w:tcPr>
            <w:tcW w:w="540" w:type="pct"/>
            <w:tcBorders>
              <w:top w:val="single" w:sz="4" w:space="0" w:color="auto"/>
              <w:left w:val="nil"/>
              <w:bottom w:val="single" w:sz="4" w:space="0" w:color="auto"/>
              <w:right w:val="nil"/>
            </w:tcBorders>
            <w:shd w:val="clear" w:color="auto" w:fill="FABF8F" w:themeFill="accent6" w:themeFillTint="99"/>
            <w:vAlign w:val="center"/>
          </w:tcPr>
          <w:p w:rsidR="000D2C76" w:rsidRPr="00B53611" w:rsidRDefault="000D2C76" w:rsidP="000D2C76">
            <w:pPr>
              <w:pStyle w:val="cuatexto"/>
              <w:jc w:val="right"/>
              <w:rPr>
                <w:rFonts w:ascii="Arial" w:hAnsi="Arial" w:cs="Arial"/>
                <w:sz w:val="16"/>
                <w:szCs w:val="16"/>
                <w:lang w:val="es-ES" w:eastAsia="es-ES"/>
              </w:rPr>
            </w:pPr>
            <w:r w:rsidRPr="00B53611">
              <w:rPr>
                <w:rFonts w:ascii="Arial" w:hAnsi="Arial" w:cs="Arial"/>
                <w:sz w:val="16"/>
                <w:szCs w:val="16"/>
                <w:lang w:val="es-ES" w:eastAsia="es-ES"/>
              </w:rPr>
              <w:t>Pagos</w:t>
            </w:r>
          </w:p>
        </w:tc>
        <w:tc>
          <w:tcPr>
            <w:tcW w:w="371" w:type="pct"/>
            <w:tcBorders>
              <w:top w:val="single" w:sz="4" w:space="0" w:color="auto"/>
              <w:left w:val="nil"/>
              <w:bottom w:val="single" w:sz="4" w:space="0" w:color="auto"/>
              <w:right w:val="nil"/>
            </w:tcBorders>
            <w:shd w:val="clear" w:color="auto" w:fill="FABF8F" w:themeFill="accent6" w:themeFillTint="99"/>
            <w:vAlign w:val="center"/>
          </w:tcPr>
          <w:p w:rsidR="000D2C76" w:rsidRDefault="000D2C76" w:rsidP="000D2C76">
            <w:pPr>
              <w:pStyle w:val="cuatexto"/>
              <w:jc w:val="right"/>
              <w:rPr>
                <w:rFonts w:ascii="Arial" w:hAnsi="Arial" w:cs="Arial"/>
                <w:sz w:val="16"/>
                <w:szCs w:val="16"/>
                <w:lang w:val="es-ES" w:eastAsia="es-ES"/>
              </w:rPr>
            </w:pPr>
            <w:r>
              <w:rPr>
                <w:rFonts w:ascii="Arial" w:hAnsi="Arial" w:cs="Arial"/>
                <w:sz w:val="16"/>
                <w:szCs w:val="16"/>
                <w:lang w:val="es-ES" w:eastAsia="es-ES"/>
              </w:rPr>
              <w:t xml:space="preserve">% </w:t>
            </w:r>
          </w:p>
          <w:p w:rsidR="000D2C76" w:rsidRPr="00B53611" w:rsidRDefault="000D2C76" w:rsidP="000D2C76">
            <w:pPr>
              <w:pStyle w:val="cuatexto"/>
              <w:jc w:val="right"/>
              <w:rPr>
                <w:rFonts w:ascii="Arial" w:hAnsi="Arial" w:cs="Arial"/>
                <w:sz w:val="16"/>
                <w:szCs w:val="16"/>
                <w:lang w:val="es-ES" w:eastAsia="es-ES"/>
              </w:rPr>
            </w:pPr>
            <w:r>
              <w:rPr>
                <w:rFonts w:ascii="Arial" w:hAnsi="Arial" w:cs="Arial"/>
                <w:sz w:val="16"/>
                <w:szCs w:val="16"/>
                <w:lang w:val="es-ES" w:eastAsia="es-ES"/>
              </w:rPr>
              <w:t>Pagos</w:t>
            </w:r>
          </w:p>
        </w:tc>
      </w:tr>
      <w:tr w:rsidR="000D2C76" w:rsidRPr="00B53611" w:rsidTr="00C46A7F">
        <w:trPr>
          <w:trHeight w:val="284"/>
          <w:jc w:val="center"/>
        </w:trPr>
        <w:tc>
          <w:tcPr>
            <w:tcW w:w="1792" w:type="pct"/>
            <w:tcBorders>
              <w:top w:val="single" w:sz="4" w:space="0" w:color="auto"/>
              <w:left w:val="nil"/>
              <w:bottom w:val="single" w:sz="2" w:space="0" w:color="auto"/>
              <w:right w:val="nil"/>
            </w:tcBorders>
            <w:shd w:val="clear" w:color="auto" w:fill="auto"/>
            <w:noWrap/>
            <w:vAlign w:val="center"/>
          </w:tcPr>
          <w:p w:rsidR="000D2C76" w:rsidRPr="00B53611" w:rsidRDefault="000D2C76" w:rsidP="000D2C76">
            <w:pPr>
              <w:pStyle w:val="cuatexto"/>
              <w:jc w:val="left"/>
              <w:rPr>
                <w:sz w:val="18"/>
                <w:szCs w:val="18"/>
                <w:lang w:val="es-ES" w:eastAsia="es-ES"/>
              </w:rPr>
            </w:pPr>
            <w:r w:rsidRPr="00B53611">
              <w:rPr>
                <w:sz w:val="18"/>
                <w:szCs w:val="18"/>
                <w:lang w:val="es-ES" w:eastAsia="es-ES"/>
              </w:rPr>
              <w:t>1. Gastos de personal</w:t>
            </w:r>
          </w:p>
        </w:tc>
        <w:tc>
          <w:tcPr>
            <w:tcW w:w="540" w:type="pct"/>
            <w:tcBorders>
              <w:top w:val="single" w:sz="4"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1.688.600</w:t>
            </w:r>
          </w:p>
        </w:tc>
        <w:tc>
          <w:tcPr>
            <w:tcW w:w="392" w:type="pct"/>
            <w:tcBorders>
              <w:top w:val="single" w:sz="4"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0</w:t>
            </w:r>
          </w:p>
        </w:tc>
        <w:tc>
          <w:tcPr>
            <w:tcW w:w="540" w:type="pct"/>
            <w:tcBorders>
              <w:top w:val="single" w:sz="4"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1.688.600</w:t>
            </w:r>
          </w:p>
        </w:tc>
        <w:tc>
          <w:tcPr>
            <w:tcW w:w="540" w:type="pct"/>
            <w:tcBorders>
              <w:top w:val="single" w:sz="4"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1.828.357</w:t>
            </w:r>
          </w:p>
        </w:tc>
        <w:tc>
          <w:tcPr>
            <w:tcW w:w="285" w:type="pct"/>
            <w:tcBorders>
              <w:top w:val="single" w:sz="4"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108</w:t>
            </w:r>
          </w:p>
        </w:tc>
        <w:tc>
          <w:tcPr>
            <w:tcW w:w="540" w:type="pct"/>
            <w:tcBorders>
              <w:top w:val="single" w:sz="4"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1.792.017</w:t>
            </w:r>
          </w:p>
        </w:tc>
        <w:tc>
          <w:tcPr>
            <w:tcW w:w="371" w:type="pct"/>
            <w:tcBorders>
              <w:top w:val="single" w:sz="4" w:space="0" w:color="auto"/>
              <w:left w:val="nil"/>
              <w:bottom w:val="single" w:sz="2" w:space="0" w:color="auto"/>
              <w:right w:val="nil"/>
            </w:tcBorders>
            <w:vAlign w:val="center"/>
          </w:tcPr>
          <w:p w:rsidR="000D2C76" w:rsidRDefault="000D2C76" w:rsidP="000D2C76">
            <w:pPr>
              <w:pStyle w:val="cuatexto"/>
              <w:jc w:val="right"/>
              <w:rPr>
                <w:sz w:val="18"/>
                <w:szCs w:val="18"/>
                <w:lang w:val="es-ES" w:eastAsia="es-ES"/>
              </w:rPr>
            </w:pPr>
            <w:r>
              <w:rPr>
                <w:sz w:val="18"/>
                <w:szCs w:val="18"/>
                <w:lang w:val="es-ES" w:eastAsia="es-ES"/>
              </w:rPr>
              <w:t>98</w:t>
            </w:r>
          </w:p>
        </w:tc>
      </w:tr>
      <w:tr w:rsidR="000D2C76" w:rsidRPr="00B53611" w:rsidTr="00C46A7F">
        <w:trPr>
          <w:trHeight w:val="284"/>
          <w:jc w:val="center"/>
        </w:trPr>
        <w:tc>
          <w:tcPr>
            <w:tcW w:w="1792" w:type="pct"/>
            <w:tcBorders>
              <w:top w:val="single" w:sz="2" w:space="0" w:color="auto"/>
              <w:left w:val="nil"/>
              <w:bottom w:val="single" w:sz="2" w:space="0" w:color="auto"/>
              <w:right w:val="nil"/>
            </w:tcBorders>
            <w:shd w:val="clear" w:color="auto" w:fill="auto"/>
            <w:noWrap/>
            <w:vAlign w:val="center"/>
          </w:tcPr>
          <w:p w:rsidR="000D2C76" w:rsidRPr="00B53611" w:rsidRDefault="00C21FD8" w:rsidP="00C21FD8">
            <w:pPr>
              <w:pStyle w:val="cuatexto"/>
              <w:jc w:val="left"/>
              <w:rPr>
                <w:sz w:val="18"/>
                <w:szCs w:val="18"/>
                <w:lang w:val="es-ES" w:eastAsia="es-ES"/>
              </w:rPr>
            </w:pPr>
            <w:r>
              <w:rPr>
                <w:sz w:val="18"/>
                <w:szCs w:val="18"/>
                <w:lang w:val="es-ES" w:eastAsia="es-ES"/>
              </w:rPr>
              <w:t>2. B</w:t>
            </w:r>
            <w:r w:rsidR="000D2C76" w:rsidRPr="00B53611">
              <w:rPr>
                <w:sz w:val="18"/>
                <w:szCs w:val="18"/>
                <w:lang w:val="es-ES" w:eastAsia="es-ES"/>
              </w:rPr>
              <w:t>ienes c</w:t>
            </w:r>
            <w:r>
              <w:rPr>
                <w:sz w:val="18"/>
                <w:szCs w:val="18"/>
                <w:lang w:val="es-ES" w:eastAsia="es-ES"/>
              </w:rPr>
              <w:t>orrientes</w:t>
            </w:r>
            <w:r w:rsidR="000D2C76" w:rsidRPr="00B53611">
              <w:rPr>
                <w:sz w:val="18"/>
                <w:szCs w:val="18"/>
                <w:lang w:val="es-ES" w:eastAsia="es-ES"/>
              </w:rPr>
              <w:t xml:space="preserve"> y servicios</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1.142.600</w:t>
            </w:r>
          </w:p>
        </w:tc>
        <w:tc>
          <w:tcPr>
            <w:tcW w:w="392"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0</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1.142.600</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1.065.237</w:t>
            </w:r>
          </w:p>
        </w:tc>
        <w:tc>
          <w:tcPr>
            <w:tcW w:w="285" w:type="pct"/>
            <w:tcBorders>
              <w:top w:val="single" w:sz="2" w:space="0" w:color="auto"/>
              <w:left w:val="nil"/>
              <w:bottom w:val="single" w:sz="2" w:space="0" w:color="auto"/>
              <w:right w:val="nil"/>
            </w:tcBorders>
            <w:shd w:val="clear" w:color="auto" w:fill="auto"/>
            <w:vAlign w:val="center"/>
          </w:tcPr>
          <w:p w:rsidR="000D2C76" w:rsidRPr="00B53611" w:rsidRDefault="000D2C76" w:rsidP="000D2C76">
            <w:pPr>
              <w:pStyle w:val="cuatexto"/>
              <w:jc w:val="right"/>
              <w:rPr>
                <w:sz w:val="18"/>
                <w:szCs w:val="18"/>
                <w:lang w:val="es-ES" w:eastAsia="es-ES"/>
              </w:rPr>
            </w:pPr>
            <w:r>
              <w:rPr>
                <w:sz w:val="18"/>
                <w:szCs w:val="18"/>
                <w:lang w:val="es-ES" w:eastAsia="es-ES"/>
              </w:rPr>
              <w:t>93</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796.042</w:t>
            </w:r>
          </w:p>
        </w:tc>
        <w:tc>
          <w:tcPr>
            <w:tcW w:w="371" w:type="pct"/>
            <w:tcBorders>
              <w:top w:val="single" w:sz="2" w:space="0" w:color="auto"/>
              <w:left w:val="nil"/>
              <w:bottom w:val="single" w:sz="2" w:space="0" w:color="auto"/>
              <w:right w:val="nil"/>
            </w:tcBorders>
            <w:vAlign w:val="center"/>
          </w:tcPr>
          <w:p w:rsidR="000D2C76" w:rsidRDefault="000D2C76" w:rsidP="000D2C76">
            <w:pPr>
              <w:pStyle w:val="cuatexto"/>
              <w:jc w:val="right"/>
              <w:rPr>
                <w:sz w:val="18"/>
                <w:szCs w:val="18"/>
                <w:lang w:val="es-ES" w:eastAsia="es-ES"/>
              </w:rPr>
            </w:pPr>
            <w:r>
              <w:rPr>
                <w:sz w:val="18"/>
                <w:szCs w:val="18"/>
                <w:lang w:val="es-ES" w:eastAsia="es-ES"/>
              </w:rPr>
              <w:t>75</w:t>
            </w:r>
          </w:p>
        </w:tc>
      </w:tr>
      <w:tr w:rsidR="000D2C76" w:rsidRPr="00B53611" w:rsidTr="00C46A7F">
        <w:trPr>
          <w:trHeight w:val="284"/>
          <w:jc w:val="center"/>
        </w:trPr>
        <w:tc>
          <w:tcPr>
            <w:tcW w:w="1792" w:type="pct"/>
            <w:tcBorders>
              <w:top w:val="single" w:sz="2" w:space="0" w:color="auto"/>
              <w:left w:val="nil"/>
              <w:bottom w:val="single" w:sz="2" w:space="0" w:color="auto"/>
              <w:right w:val="nil"/>
            </w:tcBorders>
            <w:shd w:val="clear" w:color="auto" w:fill="auto"/>
            <w:noWrap/>
            <w:vAlign w:val="center"/>
          </w:tcPr>
          <w:p w:rsidR="000D2C76" w:rsidRDefault="000D2C76" w:rsidP="000D2C76">
            <w:pPr>
              <w:pStyle w:val="cuatexto"/>
              <w:jc w:val="left"/>
              <w:rPr>
                <w:sz w:val="18"/>
                <w:szCs w:val="18"/>
                <w:lang w:val="es-ES" w:eastAsia="es-ES"/>
              </w:rPr>
            </w:pPr>
            <w:r>
              <w:rPr>
                <w:sz w:val="18"/>
                <w:szCs w:val="18"/>
                <w:lang w:val="es-ES" w:eastAsia="es-ES"/>
              </w:rPr>
              <w:t>3</w:t>
            </w:r>
            <w:r w:rsidR="00C21FD8">
              <w:rPr>
                <w:sz w:val="18"/>
                <w:szCs w:val="18"/>
                <w:lang w:val="es-ES" w:eastAsia="es-ES"/>
              </w:rPr>
              <w:t>.</w:t>
            </w:r>
            <w:r>
              <w:rPr>
                <w:sz w:val="18"/>
                <w:szCs w:val="18"/>
                <w:lang w:val="es-ES" w:eastAsia="es-ES"/>
              </w:rPr>
              <w:t xml:space="preserve"> Gastos financieros</w:t>
            </w:r>
          </w:p>
        </w:tc>
        <w:tc>
          <w:tcPr>
            <w:tcW w:w="540" w:type="pct"/>
            <w:tcBorders>
              <w:top w:val="single" w:sz="2" w:space="0" w:color="auto"/>
              <w:left w:val="nil"/>
              <w:bottom w:val="single" w:sz="2" w:space="0" w:color="auto"/>
              <w:right w:val="nil"/>
            </w:tcBorders>
            <w:shd w:val="clear" w:color="auto" w:fill="auto"/>
            <w:noWrap/>
            <w:vAlign w:val="center"/>
          </w:tcPr>
          <w:p w:rsidR="000D2C76" w:rsidRDefault="000D2C76" w:rsidP="000D2C76">
            <w:pPr>
              <w:pStyle w:val="cuatexto"/>
              <w:jc w:val="right"/>
              <w:rPr>
                <w:sz w:val="18"/>
                <w:szCs w:val="18"/>
                <w:lang w:val="es-ES" w:eastAsia="es-ES"/>
              </w:rPr>
            </w:pPr>
            <w:r>
              <w:rPr>
                <w:sz w:val="18"/>
                <w:szCs w:val="18"/>
                <w:lang w:val="es-ES" w:eastAsia="es-ES"/>
              </w:rPr>
              <w:t>0</w:t>
            </w:r>
          </w:p>
        </w:tc>
        <w:tc>
          <w:tcPr>
            <w:tcW w:w="392" w:type="pct"/>
            <w:tcBorders>
              <w:top w:val="single" w:sz="2" w:space="0" w:color="auto"/>
              <w:left w:val="nil"/>
              <w:bottom w:val="single" w:sz="2" w:space="0" w:color="auto"/>
              <w:right w:val="nil"/>
            </w:tcBorders>
            <w:shd w:val="clear" w:color="auto" w:fill="auto"/>
            <w:noWrap/>
            <w:vAlign w:val="center"/>
          </w:tcPr>
          <w:p w:rsidR="000D2C76" w:rsidRDefault="000D2C76" w:rsidP="000D2C76">
            <w:pPr>
              <w:pStyle w:val="cuatexto"/>
              <w:jc w:val="right"/>
              <w:rPr>
                <w:sz w:val="18"/>
                <w:szCs w:val="18"/>
                <w:lang w:val="es-ES" w:eastAsia="es-ES"/>
              </w:rPr>
            </w:pPr>
            <w:r>
              <w:rPr>
                <w:sz w:val="18"/>
                <w:szCs w:val="18"/>
                <w:lang w:val="es-ES" w:eastAsia="es-ES"/>
              </w:rPr>
              <w:t>0</w:t>
            </w:r>
          </w:p>
        </w:tc>
        <w:tc>
          <w:tcPr>
            <w:tcW w:w="540" w:type="pct"/>
            <w:tcBorders>
              <w:top w:val="single" w:sz="2" w:space="0" w:color="auto"/>
              <w:left w:val="nil"/>
              <w:bottom w:val="single" w:sz="2" w:space="0" w:color="auto"/>
              <w:right w:val="nil"/>
            </w:tcBorders>
            <w:shd w:val="clear" w:color="auto" w:fill="auto"/>
            <w:noWrap/>
            <w:vAlign w:val="center"/>
          </w:tcPr>
          <w:p w:rsidR="000D2C76" w:rsidRDefault="000D2C76" w:rsidP="000D2C76">
            <w:pPr>
              <w:pStyle w:val="cuatexto"/>
              <w:jc w:val="right"/>
              <w:rPr>
                <w:sz w:val="18"/>
                <w:szCs w:val="18"/>
                <w:lang w:val="es-ES" w:eastAsia="es-ES"/>
              </w:rPr>
            </w:pPr>
            <w:r>
              <w:rPr>
                <w:sz w:val="18"/>
                <w:szCs w:val="18"/>
                <w:lang w:val="es-ES" w:eastAsia="es-ES"/>
              </w:rPr>
              <w:t>0</w:t>
            </w:r>
          </w:p>
        </w:tc>
        <w:tc>
          <w:tcPr>
            <w:tcW w:w="540" w:type="pct"/>
            <w:tcBorders>
              <w:top w:val="single" w:sz="2" w:space="0" w:color="auto"/>
              <w:left w:val="nil"/>
              <w:bottom w:val="single" w:sz="2" w:space="0" w:color="auto"/>
              <w:right w:val="nil"/>
            </w:tcBorders>
            <w:shd w:val="clear" w:color="auto" w:fill="auto"/>
            <w:noWrap/>
            <w:vAlign w:val="center"/>
          </w:tcPr>
          <w:p w:rsidR="000D2C76" w:rsidRDefault="000D2C76" w:rsidP="000D2C76">
            <w:pPr>
              <w:pStyle w:val="cuatexto"/>
              <w:jc w:val="right"/>
              <w:rPr>
                <w:sz w:val="18"/>
                <w:szCs w:val="18"/>
                <w:lang w:val="es-ES" w:eastAsia="es-ES"/>
              </w:rPr>
            </w:pPr>
            <w:r>
              <w:rPr>
                <w:sz w:val="18"/>
                <w:szCs w:val="18"/>
                <w:lang w:val="es-ES" w:eastAsia="es-ES"/>
              </w:rPr>
              <w:t>2.911</w:t>
            </w:r>
          </w:p>
        </w:tc>
        <w:tc>
          <w:tcPr>
            <w:tcW w:w="285" w:type="pct"/>
            <w:tcBorders>
              <w:top w:val="single" w:sz="2" w:space="0" w:color="auto"/>
              <w:left w:val="nil"/>
              <w:bottom w:val="single" w:sz="2" w:space="0" w:color="auto"/>
              <w:right w:val="nil"/>
            </w:tcBorders>
            <w:shd w:val="clear" w:color="auto" w:fill="auto"/>
            <w:vAlign w:val="center"/>
          </w:tcPr>
          <w:p w:rsidR="000D2C76" w:rsidRDefault="000D2C76" w:rsidP="000D2C76">
            <w:pPr>
              <w:pStyle w:val="cuatexto"/>
              <w:jc w:val="right"/>
              <w:rPr>
                <w:sz w:val="18"/>
                <w:szCs w:val="18"/>
                <w:lang w:val="es-ES" w:eastAsia="es-ES"/>
              </w:rPr>
            </w:pPr>
            <w:r>
              <w:rPr>
                <w:sz w:val="18"/>
                <w:szCs w:val="18"/>
                <w:lang w:val="es-ES" w:eastAsia="es-ES"/>
              </w:rPr>
              <w:t>-</w:t>
            </w:r>
          </w:p>
        </w:tc>
        <w:tc>
          <w:tcPr>
            <w:tcW w:w="540" w:type="pct"/>
            <w:tcBorders>
              <w:top w:val="single" w:sz="2" w:space="0" w:color="auto"/>
              <w:left w:val="nil"/>
              <w:bottom w:val="single" w:sz="2" w:space="0" w:color="auto"/>
              <w:right w:val="nil"/>
            </w:tcBorders>
            <w:shd w:val="clear" w:color="auto" w:fill="auto"/>
            <w:noWrap/>
            <w:vAlign w:val="center"/>
          </w:tcPr>
          <w:p w:rsidR="000D2C76" w:rsidRDefault="000D2C76" w:rsidP="000D2C76">
            <w:pPr>
              <w:pStyle w:val="cuatexto"/>
              <w:jc w:val="right"/>
              <w:rPr>
                <w:sz w:val="18"/>
                <w:szCs w:val="18"/>
                <w:lang w:val="es-ES" w:eastAsia="es-ES"/>
              </w:rPr>
            </w:pPr>
            <w:r>
              <w:rPr>
                <w:sz w:val="18"/>
                <w:szCs w:val="18"/>
                <w:lang w:val="es-ES" w:eastAsia="es-ES"/>
              </w:rPr>
              <w:t>2.911</w:t>
            </w:r>
          </w:p>
        </w:tc>
        <w:tc>
          <w:tcPr>
            <w:tcW w:w="371" w:type="pct"/>
            <w:tcBorders>
              <w:top w:val="single" w:sz="2" w:space="0" w:color="auto"/>
              <w:left w:val="nil"/>
              <w:bottom w:val="single" w:sz="2" w:space="0" w:color="auto"/>
              <w:right w:val="nil"/>
            </w:tcBorders>
            <w:vAlign w:val="center"/>
          </w:tcPr>
          <w:p w:rsidR="000D2C76" w:rsidRDefault="000D2C76" w:rsidP="000D2C76">
            <w:pPr>
              <w:pStyle w:val="cuatexto"/>
              <w:jc w:val="right"/>
              <w:rPr>
                <w:sz w:val="18"/>
                <w:szCs w:val="18"/>
                <w:lang w:val="es-ES" w:eastAsia="es-ES"/>
              </w:rPr>
            </w:pPr>
            <w:r>
              <w:rPr>
                <w:sz w:val="18"/>
                <w:szCs w:val="18"/>
                <w:lang w:val="es-ES" w:eastAsia="es-ES"/>
              </w:rPr>
              <w:t>100</w:t>
            </w:r>
          </w:p>
        </w:tc>
      </w:tr>
      <w:tr w:rsidR="000D2C76" w:rsidRPr="00B53611" w:rsidTr="00C46A7F">
        <w:trPr>
          <w:trHeight w:val="284"/>
          <w:jc w:val="center"/>
        </w:trPr>
        <w:tc>
          <w:tcPr>
            <w:tcW w:w="1792"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left"/>
              <w:rPr>
                <w:sz w:val="18"/>
                <w:szCs w:val="18"/>
                <w:lang w:val="es-ES" w:eastAsia="es-ES"/>
              </w:rPr>
            </w:pPr>
            <w:r>
              <w:rPr>
                <w:sz w:val="18"/>
                <w:szCs w:val="18"/>
                <w:lang w:val="es-ES" w:eastAsia="es-ES"/>
              </w:rPr>
              <w:t xml:space="preserve">4. Transferencias </w:t>
            </w:r>
            <w:r w:rsidRPr="00B53611">
              <w:rPr>
                <w:sz w:val="18"/>
                <w:szCs w:val="18"/>
                <w:lang w:val="es-ES" w:eastAsia="es-ES"/>
              </w:rPr>
              <w:t>corrientes</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1.900</w:t>
            </w:r>
          </w:p>
        </w:tc>
        <w:tc>
          <w:tcPr>
            <w:tcW w:w="392"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0</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1.900</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1.048</w:t>
            </w:r>
          </w:p>
        </w:tc>
        <w:tc>
          <w:tcPr>
            <w:tcW w:w="285" w:type="pct"/>
            <w:tcBorders>
              <w:top w:val="single" w:sz="2" w:space="0" w:color="auto"/>
              <w:left w:val="nil"/>
              <w:bottom w:val="single" w:sz="2" w:space="0" w:color="auto"/>
              <w:right w:val="nil"/>
            </w:tcBorders>
            <w:shd w:val="clear" w:color="auto" w:fill="auto"/>
            <w:vAlign w:val="center"/>
          </w:tcPr>
          <w:p w:rsidR="000D2C76" w:rsidRPr="00B53611" w:rsidRDefault="000D2C76" w:rsidP="000D2C76">
            <w:pPr>
              <w:pStyle w:val="cuatexto"/>
              <w:jc w:val="right"/>
              <w:rPr>
                <w:sz w:val="18"/>
                <w:szCs w:val="18"/>
                <w:lang w:val="es-ES" w:eastAsia="es-ES"/>
              </w:rPr>
            </w:pPr>
            <w:r>
              <w:rPr>
                <w:sz w:val="18"/>
                <w:szCs w:val="18"/>
                <w:lang w:val="es-ES" w:eastAsia="es-ES"/>
              </w:rPr>
              <w:t>55</w:t>
            </w:r>
          </w:p>
        </w:tc>
        <w:tc>
          <w:tcPr>
            <w:tcW w:w="540" w:type="pct"/>
            <w:tcBorders>
              <w:top w:val="single" w:sz="2" w:space="0" w:color="auto"/>
              <w:left w:val="nil"/>
              <w:bottom w:val="single" w:sz="2" w:space="0" w:color="auto"/>
              <w:right w:val="nil"/>
            </w:tcBorders>
            <w:shd w:val="clear" w:color="auto" w:fill="auto"/>
            <w:noWrap/>
            <w:vAlign w:val="center"/>
          </w:tcPr>
          <w:p w:rsidR="000D2C76" w:rsidRPr="00B53611" w:rsidRDefault="000D2C76" w:rsidP="000D2C76">
            <w:pPr>
              <w:pStyle w:val="cuatexto"/>
              <w:jc w:val="right"/>
              <w:rPr>
                <w:sz w:val="18"/>
                <w:szCs w:val="18"/>
                <w:lang w:val="es-ES" w:eastAsia="es-ES"/>
              </w:rPr>
            </w:pPr>
            <w:r>
              <w:rPr>
                <w:sz w:val="18"/>
                <w:szCs w:val="18"/>
                <w:lang w:val="es-ES" w:eastAsia="es-ES"/>
              </w:rPr>
              <w:t>1.048</w:t>
            </w:r>
          </w:p>
        </w:tc>
        <w:tc>
          <w:tcPr>
            <w:tcW w:w="371" w:type="pct"/>
            <w:tcBorders>
              <w:top w:val="single" w:sz="2" w:space="0" w:color="auto"/>
              <w:left w:val="nil"/>
              <w:bottom w:val="single" w:sz="2" w:space="0" w:color="auto"/>
              <w:right w:val="nil"/>
            </w:tcBorders>
            <w:vAlign w:val="center"/>
          </w:tcPr>
          <w:p w:rsidR="000D2C76" w:rsidRDefault="000D2C76" w:rsidP="000D2C76">
            <w:pPr>
              <w:pStyle w:val="cuatexto"/>
              <w:jc w:val="right"/>
              <w:rPr>
                <w:sz w:val="18"/>
                <w:szCs w:val="18"/>
                <w:lang w:val="es-ES" w:eastAsia="es-ES"/>
              </w:rPr>
            </w:pPr>
            <w:r>
              <w:rPr>
                <w:sz w:val="18"/>
                <w:szCs w:val="18"/>
                <w:lang w:val="es-ES" w:eastAsia="es-ES"/>
              </w:rPr>
              <w:t>100</w:t>
            </w:r>
          </w:p>
        </w:tc>
      </w:tr>
      <w:tr w:rsidR="000D2C76" w:rsidRPr="004D5125" w:rsidTr="00C46A7F">
        <w:trPr>
          <w:trHeight w:val="284"/>
          <w:jc w:val="center"/>
        </w:trPr>
        <w:tc>
          <w:tcPr>
            <w:tcW w:w="1792"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left"/>
              <w:rPr>
                <w:rFonts w:ascii="Arial" w:hAnsi="Arial" w:cs="Arial"/>
                <w:sz w:val="18"/>
                <w:szCs w:val="18"/>
                <w:lang w:val="es-ES" w:eastAsia="es-ES"/>
              </w:rPr>
            </w:pPr>
            <w:r w:rsidRPr="004D5125">
              <w:rPr>
                <w:rFonts w:ascii="Arial" w:hAnsi="Arial" w:cs="Arial"/>
                <w:sz w:val="18"/>
                <w:szCs w:val="18"/>
                <w:lang w:val="es-ES" w:eastAsia="es-ES"/>
              </w:rPr>
              <w:t>Total</w:t>
            </w:r>
          </w:p>
        </w:tc>
        <w:tc>
          <w:tcPr>
            <w:tcW w:w="540"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2.833.100</w:t>
            </w:r>
          </w:p>
        </w:tc>
        <w:tc>
          <w:tcPr>
            <w:tcW w:w="392"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0</w:t>
            </w:r>
          </w:p>
        </w:tc>
        <w:tc>
          <w:tcPr>
            <w:tcW w:w="540"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2.833.100</w:t>
            </w:r>
          </w:p>
        </w:tc>
        <w:tc>
          <w:tcPr>
            <w:tcW w:w="540"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2.897.554</w:t>
            </w:r>
          </w:p>
        </w:tc>
        <w:tc>
          <w:tcPr>
            <w:tcW w:w="285"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102</w:t>
            </w:r>
          </w:p>
        </w:tc>
        <w:tc>
          <w:tcPr>
            <w:tcW w:w="540"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2.592.018</w:t>
            </w:r>
          </w:p>
        </w:tc>
        <w:tc>
          <w:tcPr>
            <w:tcW w:w="371"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89</w:t>
            </w:r>
          </w:p>
        </w:tc>
      </w:tr>
    </w:tbl>
    <w:p w:rsidR="000D2C76" w:rsidRPr="004D5125" w:rsidRDefault="000D2C76" w:rsidP="000D2C76">
      <w:pPr>
        <w:pStyle w:val="CuadroTtulo"/>
        <w:spacing w:before="880" w:after="240"/>
        <w:jc w:val="center"/>
      </w:pPr>
      <w:r w:rsidRPr="004D5125">
        <w:t>Ingresos por capítulo económico</w:t>
      </w:r>
    </w:p>
    <w:tbl>
      <w:tblPr>
        <w:tblW w:w="5269" w:type="pct"/>
        <w:jc w:val="center"/>
        <w:tblLayout w:type="fixed"/>
        <w:tblCellMar>
          <w:left w:w="70" w:type="dxa"/>
          <w:right w:w="70" w:type="dxa"/>
        </w:tblCellMar>
        <w:tblLook w:val="04A0" w:firstRow="1" w:lastRow="0" w:firstColumn="1" w:lastColumn="0" w:noHBand="0" w:noVBand="1"/>
      </w:tblPr>
      <w:tblGrid>
        <w:gridCol w:w="3197"/>
        <w:gridCol w:w="1127"/>
        <w:gridCol w:w="617"/>
        <w:gridCol w:w="1043"/>
        <w:gridCol w:w="1001"/>
        <w:gridCol w:w="679"/>
        <w:gridCol w:w="1011"/>
        <w:gridCol w:w="734"/>
      </w:tblGrid>
      <w:tr w:rsidR="000D2C76" w:rsidRPr="004D5125" w:rsidTr="00C46A7F">
        <w:trPr>
          <w:trHeight w:val="170"/>
          <w:jc w:val="center"/>
        </w:trPr>
        <w:tc>
          <w:tcPr>
            <w:tcW w:w="1699"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left"/>
              <w:rPr>
                <w:rFonts w:ascii="Arial" w:hAnsi="Arial" w:cs="Arial"/>
                <w:sz w:val="16"/>
                <w:szCs w:val="16"/>
                <w:lang w:val="es-ES" w:eastAsia="es-ES"/>
              </w:rPr>
            </w:pPr>
            <w:r w:rsidRPr="004D5125">
              <w:rPr>
                <w:rFonts w:ascii="Arial" w:hAnsi="Arial" w:cs="Arial"/>
                <w:sz w:val="16"/>
                <w:szCs w:val="16"/>
                <w:lang w:val="es-ES" w:eastAsia="es-ES"/>
              </w:rPr>
              <w:t>Descripción</w:t>
            </w:r>
          </w:p>
        </w:tc>
        <w:tc>
          <w:tcPr>
            <w:tcW w:w="599"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 xml:space="preserve">Previsión </w:t>
            </w:r>
          </w:p>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inicial</w:t>
            </w:r>
          </w:p>
        </w:tc>
        <w:tc>
          <w:tcPr>
            <w:tcW w:w="328"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Modif.</w:t>
            </w:r>
          </w:p>
        </w:tc>
        <w:tc>
          <w:tcPr>
            <w:tcW w:w="554"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Previsión</w:t>
            </w:r>
          </w:p>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 xml:space="preserve"> definitiva</w:t>
            </w:r>
          </w:p>
        </w:tc>
        <w:tc>
          <w:tcPr>
            <w:tcW w:w="532"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Derechos</w:t>
            </w:r>
          </w:p>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 xml:space="preserve"> reconoc.</w:t>
            </w:r>
          </w:p>
        </w:tc>
        <w:tc>
          <w:tcPr>
            <w:tcW w:w="361"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 Ejec.</w:t>
            </w:r>
          </w:p>
        </w:tc>
        <w:tc>
          <w:tcPr>
            <w:tcW w:w="537" w:type="pct"/>
            <w:tcBorders>
              <w:top w:val="single" w:sz="4" w:space="0" w:color="auto"/>
              <w:left w:val="nil"/>
              <w:bottom w:val="single" w:sz="4" w:space="0" w:color="auto"/>
              <w:right w:val="nil"/>
            </w:tcBorders>
            <w:shd w:val="clear" w:color="auto" w:fill="FABF8F" w:themeFill="accent6" w:themeFillTint="99"/>
            <w:vAlign w:val="center"/>
          </w:tcPr>
          <w:p w:rsidR="000D2C76" w:rsidRPr="004D5125" w:rsidRDefault="000D2C76" w:rsidP="000D2C76">
            <w:pPr>
              <w:pStyle w:val="cuatexto"/>
              <w:jc w:val="right"/>
              <w:rPr>
                <w:rFonts w:ascii="Arial" w:hAnsi="Arial" w:cs="Arial"/>
                <w:sz w:val="16"/>
                <w:szCs w:val="16"/>
                <w:lang w:val="es-ES" w:eastAsia="es-ES"/>
              </w:rPr>
            </w:pPr>
            <w:r w:rsidRPr="004D5125">
              <w:rPr>
                <w:rFonts w:ascii="Arial" w:hAnsi="Arial" w:cs="Arial"/>
                <w:sz w:val="16"/>
                <w:szCs w:val="16"/>
                <w:lang w:val="es-ES" w:eastAsia="es-ES"/>
              </w:rPr>
              <w:t>Cobros</w:t>
            </w:r>
          </w:p>
        </w:tc>
        <w:tc>
          <w:tcPr>
            <w:tcW w:w="391" w:type="pct"/>
            <w:tcBorders>
              <w:top w:val="single" w:sz="4" w:space="0" w:color="auto"/>
              <w:left w:val="nil"/>
              <w:bottom w:val="single" w:sz="4" w:space="0" w:color="auto"/>
              <w:right w:val="nil"/>
            </w:tcBorders>
            <w:shd w:val="clear" w:color="auto" w:fill="FABF8F" w:themeFill="accent6" w:themeFillTint="99"/>
          </w:tcPr>
          <w:p w:rsidR="000D2C76" w:rsidRDefault="000D2C76" w:rsidP="000D2C76">
            <w:pPr>
              <w:pStyle w:val="cuatexto"/>
              <w:jc w:val="right"/>
              <w:rPr>
                <w:rFonts w:ascii="Arial" w:hAnsi="Arial" w:cs="Arial"/>
                <w:sz w:val="16"/>
                <w:szCs w:val="16"/>
                <w:lang w:val="es-ES" w:eastAsia="es-ES"/>
              </w:rPr>
            </w:pPr>
            <w:r>
              <w:rPr>
                <w:rFonts w:ascii="Arial" w:hAnsi="Arial" w:cs="Arial"/>
                <w:sz w:val="16"/>
                <w:szCs w:val="16"/>
                <w:lang w:val="es-ES" w:eastAsia="es-ES"/>
              </w:rPr>
              <w:t xml:space="preserve">% </w:t>
            </w:r>
          </w:p>
          <w:p w:rsidR="000D2C76" w:rsidRPr="004D5125" w:rsidRDefault="000D2C76" w:rsidP="000D2C76">
            <w:pPr>
              <w:pStyle w:val="cuatexto"/>
              <w:jc w:val="right"/>
              <w:rPr>
                <w:rFonts w:ascii="Arial" w:hAnsi="Arial" w:cs="Arial"/>
                <w:sz w:val="16"/>
                <w:szCs w:val="16"/>
                <w:lang w:val="es-ES" w:eastAsia="es-ES"/>
              </w:rPr>
            </w:pPr>
            <w:r>
              <w:rPr>
                <w:rFonts w:ascii="Arial" w:hAnsi="Arial" w:cs="Arial"/>
                <w:sz w:val="16"/>
                <w:szCs w:val="16"/>
                <w:lang w:val="es-ES" w:eastAsia="es-ES"/>
              </w:rPr>
              <w:t>Cobros</w:t>
            </w:r>
          </w:p>
        </w:tc>
      </w:tr>
      <w:tr w:rsidR="000D2C76" w:rsidRPr="004D5125" w:rsidTr="00C46A7F">
        <w:trPr>
          <w:trHeight w:val="284"/>
          <w:jc w:val="center"/>
        </w:trPr>
        <w:tc>
          <w:tcPr>
            <w:tcW w:w="1699"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left"/>
              <w:rPr>
                <w:sz w:val="18"/>
                <w:szCs w:val="18"/>
                <w:lang w:val="es-ES" w:eastAsia="es-ES"/>
              </w:rPr>
            </w:pPr>
            <w:r>
              <w:rPr>
                <w:sz w:val="18"/>
                <w:szCs w:val="18"/>
                <w:lang w:val="es-ES" w:eastAsia="es-ES"/>
              </w:rPr>
              <w:t>3. Tasas, precios públicos y otros Ingresos</w:t>
            </w:r>
          </w:p>
        </w:tc>
        <w:tc>
          <w:tcPr>
            <w:tcW w:w="599"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2.831.000</w:t>
            </w:r>
          </w:p>
        </w:tc>
        <w:tc>
          <w:tcPr>
            <w:tcW w:w="328"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0</w:t>
            </w:r>
          </w:p>
        </w:tc>
        <w:tc>
          <w:tcPr>
            <w:tcW w:w="554"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2.831.000</w:t>
            </w:r>
          </w:p>
        </w:tc>
        <w:tc>
          <w:tcPr>
            <w:tcW w:w="532"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2.820.314</w:t>
            </w:r>
          </w:p>
        </w:tc>
        <w:tc>
          <w:tcPr>
            <w:tcW w:w="361"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100</w:t>
            </w:r>
          </w:p>
        </w:tc>
        <w:tc>
          <w:tcPr>
            <w:tcW w:w="537"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2.663.359</w:t>
            </w:r>
          </w:p>
        </w:tc>
        <w:tc>
          <w:tcPr>
            <w:tcW w:w="391" w:type="pct"/>
            <w:tcBorders>
              <w:top w:val="single" w:sz="2" w:space="0" w:color="auto"/>
              <w:left w:val="nil"/>
              <w:bottom w:val="single" w:sz="2" w:space="0" w:color="auto"/>
              <w:right w:val="nil"/>
            </w:tcBorders>
            <w:vAlign w:val="center"/>
          </w:tcPr>
          <w:p w:rsidR="000D2C76" w:rsidRDefault="000D2C76" w:rsidP="000D2C76">
            <w:pPr>
              <w:pStyle w:val="cuatexto"/>
              <w:jc w:val="right"/>
              <w:rPr>
                <w:sz w:val="18"/>
                <w:szCs w:val="18"/>
                <w:lang w:val="es-ES" w:eastAsia="es-ES"/>
              </w:rPr>
            </w:pPr>
            <w:r>
              <w:rPr>
                <w:sz w:val="18"/>
                <w:szCs w:val="18"/>
                <w:lang w:val="es-ES" w:eastAsia="es-ES"/>
              </w:rPr>
              <w:t>94</w:t>
            </w:r>
          </w:p>
        </w:tc>
      </w:tr>
      <w:tr w:rsidR="000D2C76" w:rsidRPr="004D5125" w:rsidTr="00C46A7F">
        <w:trPr>
          <w:trHeight w:val="284"/>
          <w:jc w:val="center"/>
        </w:trPr>
        <w:tc>
          <w:tcPr>
            <w:tcW w:w="1699"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left"/>
              <w:rPr>
                <w:sz w:val="18"/>
                <w:szCs w:val="18"/>
                <w:lang w:val="es-ES" w:eastAsia="es-ES"/>
              </w:rPr>
            </w:pPr>
            <w:r>
              <w:rPr>
                <w:sz w:val="18"/>
                <w:szCs w:val="18"/>
                <w:lang w:val="es-ES" w:eastAsia="es-ES"/>
              </w:rPr>
              <w:t xml:space="preserve">4. Transferencias </w:t>
            </w:r>
            <w:r w:rsidRPr="004D5125">
              <w:rPr>
                <w:sz w:val="18"/>
                <w:szCs w:val="18"/>
                <w:lang w:val="es-ES" w:eastAsia="es-ES"/>
              </w:rPr>
              <w:t>corrientes</w:t>
            </w:r>
          </w:p>
        </w:tc>
        <w:tc>
          <w:tcPr>
            <w:tcW w:w="599"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2.000</w:t>
            </w:r>
          </w:p>
        </w:tc>
        <w:tc>
          <w:tcPr>
            <w:tcW w:w="328"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0</w:t>
            </w:r>
          </w:p>
        </w:tc>
        <w:tc>
          <w:tcPr>
            <w:tcW w:w="554"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2.000</w:t>
            </w:r>
          </w:p>
        </w:tc>
        <w:tc>
          <w:tcPr>
            <w:tcW w:w="532"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0</w:t>
            </w:r>
          </w:p>
        </w:tc>
        <w:tc>
          <w:tcPr>
            <w:tcW w:w="361"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0</w:t>
            </w:r>
          </w:p>
        </w:tc>
        <w:tc>
          <w:tcPr>
            <w:tcW w:w="537"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0</w:t>
            </w:r>
          </w:p>
        </w:tc>
        <w:tc>
          <w:tcPr>
            <w:tcW w:w="391" w:type="pct"/>
            <w:tcBorders>
              <w:top w:val="single" w:sz="2" w:space="0" w:color="auto"/>
              <w:left w:val="nil"/>
              <w:bottom w:val="single" w:sz="2" w:space="0" w:color="auto"/>
              <w:right w:val="nil"/>
            </w:tcBorders>
            <w:vAlign w:val="center"/>
          </w:tcPr>
          <w:p w:rsidR="000D2C76" w:rsidRDefault="000D2C76" w:rsidP="000D2C76">
            <w:pPr>
              <w:pStyle w:val="cuatexto"/>
              <w:jc w:val="right"/>
              <w:rPr>
                <w:sz w:val="18"/>
                <w:szCs w:val="18"/>
                <w:lang w:val="es-ES" w:eastAsia="es-ES"/>
              </w:rPr>
            </w:pPr>
            <w:r>
              <w:rPr>
                <w:sz w:val="18"/>
                <w:szCs w:val="18"/>
                <w:lang w:val="es-ES" w:eastAsia="es-ES"/>
              </w:rPr>
              <w:t>0</w:t>
            </w:r>
          </w:p>
        </w:tc>
      </w:tr>
      <w:tr w:rsidR="000D2C76" w:rsidRPr="004D5125" w:rsidTr="00C46A7F">
        <w:trPr>
          <w:trHeight w:val="284"/>
          <w:jc w:val="center"/>
        </w:trPr>
        <w:tc>
          <w:tcPr>
            <w:tcW w:w="1699" w:type="pct"/>
            <w:tcBorders>
              <w:top w:val="single" w:sz="2" w:space="0" w:color="auto"/>
              <w:left w:val="nil"/>
              <w:bottom w:val="single" w:sz="2" w:space="0" w:color="auto"/>
              <w:right w:val="nil"/>
            </w:tcBorders>
            <w:shd w:val="clear" w:color="auto" w:fill="auto"/>
            <w:noWrap/>
            <w:vAlign w:val="center"/>
          </w:tcPr>
          <w:p w:rsidR="000D2C76" w:rsidRPr="004D5125" w:rsidRDefault="000D2C76" w:rsidP="00AA1638">
            <w:pPr>
              <w:pStyle w:val="cuatexto"/>
              <w:jc w:val="left"/>
              <w:rPr>
                <w:sz w:val="18"/>
                <w:szCs w:val="18"/>
                <w:lang w:val="es-ES" w:eastAsia="es-ES"/>
              </w:rPr>
            </w:pPr>
            <w:r w:rsidRPr="004D5125">
              <w:rPr>
                <w:sz w:val="18"/>
                <w:szCs w:val="18"/>
                <w:lang w:val="es-ES" w:eastAsia="es-ES"/>
              </w:rPr>
              <w:t>5. Ingresos patrimoniales</w:t>
            </w:r>
          </w:p>
        </w:tc>
        <w:tc>
          <w:tcPr>
            <w:tcW w:w="599"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100</w:t>
            </w:r>
          </w:p>
        </w:tc>
        <w:tc>
          <w:tcPr>
            <w:tcW w:w="328"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0</w:t>
            </w:r>
          </w:p>
        </w:tc>
        <w:tc>
          <w:tcPr>
            <w:tcW w:w="554"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100</w:t>
            </w:r>
          </w:p>
        </w:tc>
        <w:tc>
          <w:tcPr>
            <w:tcW w:w="532"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1</w:t>
            </w:r>
          </w:p>
        </w:tc>
        <w:tc>
          <w:tcPr>
            <w:tcW w:w="361"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1</w:t>
            </w:r>
          </w:p>
        </w:tc>
        <w:tc>
          <w:tcPr>
            <w:tcW w:w="537" w:type="pct"/>
            <w:tcBorders>
              <w:top w:val="single" w:sz="2" w:space="0" w:color="auto"/>
              <w:left w:val="nil"/>
              <w:bottom w:val="single" w:sz="2" w:space="0" w:color="auto"/>
              <w:right w:val="nil"/>
            </w:tcBorders>
            <w:shd w:val="clear" w:color="auto" w:fill="auto"/>
            <w:noWrap/>
            <w:vAlign w:val="center"/>
          </w:tcPr>
          <w:p w:rsidR="000D2C76" w:rsidRPr="004D5125" w:rsidRDefault="000D2C76" w:rsidP="000D2C76">
            <w:pPr>
              <w:pStyle w:val="cuatexto"/>
              <w:jc w:val="right"/>
              <w:rPr>
                <w:sz w:val="18"/>
                <w:szCs w:val="18"/>
                <w:lang w:val="es-ES" w:eastAsia="es-ES"/>
              </w:rPr>
            </w:pPr>
            <w:r>
              <w:rPr>
                <w:sz w:val="18"/>
                <w:szCs w:val="18"/>
                <w:lang w:val="es-ES" w:eastAsia="es-ES"/>
              </w:rPr>
              <w:t>1</w:t>
            </w:r>
          </w:p>
        </w:tc>
        <w:tc>
          <w:tcPr>
            <w:tcW w:w="391" w:type="pct"/>
            <w:tcBorders>
              <w:top w:val="single" w:sz="2" w:space="0" w:color="auto"/>
              <w:left w:val="nil"/>
              <w:bottom w:val="single" w:sz="2" w:space="0" w:color="auto"/>
              <w:right w:val="nil"/>
            </w:tcBorders>
            <w:vAlign w:val="center"/>
          </w:tcPr>
          <w:p w:rsidR="000D2C76" w:rsidRDefault="000D2C76" w:rsidP="000D2C76">
            <w:pPr>
              <w:pStyle w:val="cuatexto"/>
              <w:jc w:val="right"/>
              <w:rPr>
                <w:sz w:val="18"/>
                <w:szCs w:val="18"/>
                <w:lang w:val="es-ES" w:eastAsia="es-ES"/>
              </w:rPr>
            </w:pPr>
            <w:r>
              <w:rPr>
                <w:sz w:val="18"/>
                <w:szCs w:val="18"/>
                <w:lang w:val="es-ES" w:eastAsia="es-ES"/>
              </w:rPr>
              <w:t>100</w:t>
            </w:r>
          </w:p>
        </w:tc>
      </w:tr>
      <w:tr w:rsidR="000D2C76" w:rsidRPr="004D5125" w:rsidTr="00C46A7F">
        <w:trPr>
          <w:trHeight w:val="284"/>
          <w:jc w:val="center"/>
        </w:trPr>
        <w:tc>
          <w:tcPr>
            <w:tcW w:w="1699"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left"/>
              <w:rPr>
                <w:rFonts w:ascii="Arial" w:hAnsi="Arial" w:cs="Arial"/>
                <w:sz w:val="18"/>
                <w:szCs w:val="18"/>
                <w:lang w:val="es-ES" w:eastAsia="es-ES"/>
              </w:rPr>
            </w:pPr>
            <w:r w:rsidRPr="004D5125">
              <w:rPr>
                <w:rFonts w:ascii="Arial" w:hAnsi="Arial" w:cs="Arial"/>
                <w:sz w:val="18"/>
                <w:szCs w:val="18"/>
                <w:lang w:val="es-ES" w:eastAsia="es-ES"/>
              </w:rPr>
              <w:t>Total</w:t>
            </w:r>
          </w:p>
        </w:tc>
        <w:tc>
          <w:tcPr>
            <w:tcW w:w="599"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2.833.100</w:t>
            </w:r>
          </w:p>
        </w:tc>
        <w:tc>
          <w:tcPr>
            <w:tcW w:w="328"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0</w:t>
            </w:r>
          </w:p>
        </w:tc>
        <w:tc>
          <w:tcPr>
            <w:tcW w:w="554"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2.833.100</w:t>
            </w:r>
          </w:p>
        </w:tc>
        <w:tc>
          <w:tcPr>
            <w:tcW w:w="532"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2.820.315</w:t>
            </w:r>
          </w:p>
        </w:tc>
        <w:tc>
          <w:tcPr>
            <w:tcW w:w="361"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99</w:t>
            </w:r>
          </w:p>
        </w:tc>
        <w:tc>
          <w:tcPr>
            <w:tcW w:w="537" w:type="pct"/>
            <w:tcBorders>
              <w:top w:val="single" w:sz="4" w:space="0" w:color="auto"/>
              <w:left w:val="nil"/>
              <w:bottom w:val="single" w:sz="4" w:space="0" w:color="auto"/>
              <w:right w:val="nil"/>
            </w:tcBorders>
            <w:shd w:val="clear" w:color="auto" w:fill="FABF8F" w:themeFill="accent6" w:themeFillTint="99"/>
            <w:noWrap/>
            <w:vAlign w:val="center"/>
          </w:tcPr>
          <w:p w:rsidR="000D2C76" w:rsidRPr="004D512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2.66</w:t>
            </w:r>
            <w:r w:rsidR="00C21FD8">
              <w:rPr>
                <w:rFonts w:ascii="Arial" w:hAnsi="Arial" w:cs="Arial"/>
                <w:sz w:val="18"/>
                <w:szCs w:val="18"/>
                <w:lang w:val="es-ES" w:eastAsia="es-ES"/>
              </w:rPr>
              <w:t>3</w:t>
            </w:r>
            <w:r>
              <w:rPr>
                <w:rFonts w:ascii="Arial" w:hAnsi="Arial" w:cs="Arial"/>
                <w:sz w:val="18"/>
                <w:szCs w:val="18"/>
                <w:lang w:val="es-ES" w:eastAsia="es-ES"/>
              </w:rPr>
              <w:t>.360</w:t>
            </w:r>
          </w:p>
        </w:tc>
        <w:tc>
          <w:tcPr>
            <w:tcW w:w="391" w:type="pct"/>
            <w:tcBorders>
              <w:top w:val="single" w:sz="4" w:space="0" w:color="auto"/>
              <w:left w:val="nil"/>
              <w:bottom w:val="single" w:sz="4" w:space="0" w:color="auto"/>
              <w:right w:val="nil"/>
            </w:tcBorders>
            <w:shd w:val="clear" w:color="auto" w:fill="FABF8F" w:themeFill="accent6" w:themeFillTint="99"/>
            <w:vAlign w:val="center"/>
          </w:tcPr>
          <w:p w:rsidR="000D2C76"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94</w:t>
            </w:r>
          </w:p>
        </w:tc>
      </w:tr>
    </w:tbl>
    <w:p w:rsidR="000D2C76" w:rsidRDefault="000D2C76" w:rsidP="000D2C76">
      <w:pPr>
        <w:ind w:firstLine="0"/>
      </w:pPr>
    </w:p>
    <w:p w:rsidR="000D2C76" w:rsidRDefault="000D2C76" w:rsidP="000D2C76">
      <w:pPr>
        <w:spacing w:after="0"/>
        <w:ind w:firstLine="0"/>
        <w:jc w:val="left"/>
        <w:rPr>
          <w:rFonts w:ascii="Arial" w:hAnsi="Arial"/>
          <w:bCs/>
          <w:iCs/>
          <w:color w:val="000000"/>
          <w:spacing w:val="10"/>
          <w:kern w:val="28"/>
          <w:sz w:val="25"/>
          <w:szCs w:val="26"/>
        </w:rPr>
      </w:pPr>
      <w:r>
        <w:br w:type="page"/>
      </w:r>
    </w:p>
    <w:p w:rsidR="000D2C76" w:rsidRPr="004D5125" w:rsidRDefault="000D2C76" w:rsidP="000D2C76">
      <w:pPr>
        <w:pStyle w:val="atitulo2"/>
      </w:pPr>
      <w:bookmarkStart w:id="20" w:name="_Toc469315861"/>
      <w:bookmarkStart w:id="21" w:name="_Toc475093088"/>
      <w:r>
        <w:t xml:space="preserve">III.2. </w:t>
      </w:r>
      <w:r w:rsidRPr="004D5125">
        <w:t xml:space="preserve">Resultado </w:t>
      </w:r>
      <w:r>
        <w:t>P</w:t>
      </w:r>
      <w:r w:rsidRPr="004D5125">
        <w:t>resupuestario 2015</w:t>
      </w:r>
      <w:bookmarkEnd w:id="20"/>
      <w:bookmarkEnd w:id="21"/>
    </w:p>
    <w:tbl>
      <w:tblPr>
        <w:tblW w:w="8815" w:type="dxa"/>
        <w:tblInd w:w="70" w:type="dxa"/>
        <w:tblCellMar>
          <w:left w:w="70" w:type="dxa"/>
          <w:right w:w="70" w:type="dxa"/>
        </w:tblCellMar>
        <w:tblLook w:val="04A0" w:firstRow="1" w:lastRow="0" w:firstColumn="1" w:lastColumn="0" w:noHBand="0" w:noVBand="1"/>
      </w:tblPr>
      <w:tblGrid>
        <w:gridCol w:w="5935"/>
        <w:gridCol w:w="1440"/>
        <w:gridCol w:w="1440"/>
      </w:tblGrid>
      <w:tr w:rsidR="000D2C76" w:rsidRPr="001F2418" w:rsidTr="000D2C76">
        <w:trPr>
          <w:trHeight w:val="340"/>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0D2C76" w:rsidRPr="001F2418" w:rsidRDefault="000D2C76" w:rsidP="000D2C76">
            <w:pPr>
              <w:pStyle w:val="cuatexto"/>
              <w:jc w:val="left"/>
              <w:rPr>
                <w:rFonts w:ascii="Arial" w:hAnsi="Arial" w:cs="Arial"/>
                <w:sz w:val="18"/>
                <w:szCs w:val="18"/>
                <w:lang w:val="es-ES" w:eastAsia="es-ES"/>
              </w:rPr>
            </w:pPr>
            <w:r w:rsidRPr="001F2418">
              <w:rPr>
                <w:rFonts w:ascii="Arial" w:hAnsi="Arial" w:cs="Arial"/>
                <w:sz w:val="18"/>
                <w:szCs w:val="18"/>
                <w:lang w:eastAsia="es-ES"/>
              </w:rPr>
              <w:t>Concepto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C76" w:rsidRPr="001F2418" w:rsidRDefault="000D2C76" w:rsidP="000D2C76">
            <w:pPr>
              <w:pStyle w:val="cuatexto"/>
              <w:jc w:val="right"/>
              <w:rPr>
                <w:rFonts w:ascii="Arial" w:hAnsi="Arial" w:cs="Arial"/>
                <w:sz w:val="18"/>
                <w:szCs w:val="18"/>
                <w:lang w:val="es-ES" w:eastAsia="es-ES"/>
              </w:rPr>
            </w:pPr>
            <w:r w:rsidRPr="001F2418">
              <w:rPr>
                <w:rFonts w:ascii="Arial" w:hAnsi="Arial" w:cs="Arial"/>
                <w:sz w:val="18"/>
                <w:szCs w:val="18"/>
                <w:lang w:val="es-ES" w:eastAsia="es-ES"/>
              </w:rPr>
              <w:t>Ejercicio 201</w:t>
            </w:r>
            <w:r>
              <w:rPr>
                <w:rFonts w:ascii="Arial" w:hAnsi="Arial" w:cs="Arial"/>
                <w:sz w:val="18"/>
                <w:szCs w:val="18"/>
                <w:lang w:val="es-ES" w:eastAsia="es-ES"/>
              </w:rPr>
              <w:t>4</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0D2C76" w:rsidRPr="001F2418"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Ejercicio 2015</w:t>
            </w:r>
          </w:p>
        </w:tc>
      </w:tr>
      <w:tr w:rsidR="000D2C76" w:rsidRPr="00635066" w:rsidTr="000D2C76">
        <w:trPr>
          <w:trHeight w:val="255"/>
        </w:trPr>
        <w:tc>
          <w:tcPr>
            <w:tcW w:w="5935" w:type="dxa"/>
            <w:tcBorders>
              <w:top w:val="single" w:sz="4" w:space="0" w:color="auto"/>
              <w:left w:val="nil"/>
              <w:bottom w:val="single" w:sz="2" w:space="0" w:color="auto"/>
              <w:right w:val="nil"/>
            </w:tcBorders>
            <w:shd w:val="clear" w:color="auto" w:fill="auto"/>
            <w:noWrap/>
            <w:vAlign w:val="center"/>
          </w:tcPr>
          <w:p w:rsidR="000D2C76" w:rsidRPr="00635066" w:rsidRDefault="000D2C76" w:rsidP="000D2C76">
            <w:pPr>
              <w:pStyle w:val="cuatexto"/>
              <w:jc w:val="left"/>
              <w:rPr>
                <w:lang w:val="es-ES" w:eastAsia="es-ES"/>
              </w:rPr>
            </w:pPr>
            <w:r w:rsidRPr="00635066">
              <w:rPr>
                <w:lang w:eastAsia="es-ES"/>
              </w:rPr>
              <w:t>+ Derechos reconocidos</w:t>
            </w:r>
          </w:p>
        </w:tc>
        <w:tc>
          <w:tcPr>
            <w:tcW w:w="1440" w:type="dxa"/>
            <w:tcBorders>
              <w:top w:val="single" w:sz="4" w:space="0" w:color="auto"/>
              <w:left w:val="nil"/>
              <w:bottom w:val="single" w:sz="2" w:space="0" w:color="auto"/>
              <w:right w:val="nil"/>
            </w:tcBorders>
            <w:vAlign w:val="center"/>
          </w:tcPr>
          <w:p w:rsidR="000D2C76" w:rsidRPr="00635066" w:rsidRDefault="000D2C76" w:rsidP="000D2C76">
            <w:pPr>
              <w:pStyle w:val="cuatexto"/>
              <w:jc w:val="right"/>
              <w:rPr>
                <w:lang w:val="es-ES" w:eastAsia="es-ES"/>
              </w:rPr>
            </w:pPr>
            <w:r>
              <w:rPr>
                <w:lang w:val="es-ES" w:eastAsia="es-ES"/>
              </w:rPr>
              <w:t>2.731.328</w:t>
            </w:r>
          </w:p>
        </w:tc>
        <w:tc>
          <w:tcPr>
            <w:tcW w:w="1440" w:type="dxa"/>
            <w:tcBorders>
              <w:top w:val="single" w:sz="4" w:space="0" w:color="auto"/>
              <w:left w:val="nil"/>
              <w:bottom w:val="single" w:sz="2" w:space="0" w:color="auto"/>
              <w:right w:val="nil"/>
            </w:tcBorders>
            <w:shd w:val="clear" w:color="auto" w:fill="auto"/>
            <w:noWrap/>
            <w:vAlign w:val="center"/>
          </w:tcPr>
          <w:p w:rsidR="000D2C76" w:rsidRPr="00635066" w:rsidRDefault="000D2C76" w:rsidP="000D2C76">
            <w:pPr>
              <w:pStyle w:val="cuatexto"/>
              <w:jc w:val="right"/>
              <w:rPr>
                <w:lang w:val="es-ES" w:eastAsia="es-ES"/>
              </w:rPr>
            </w:pPr>
            <w:r>
              <w:rPr>
                <w:lang w:val="es-ES" w:eastAsia="es-ES"/>
              </w:rPr>
              <w:t>2.820.315</w:t>
            </w:r>
          </w:p>
        </w:tc>
      </w:tr>
      <w:tr w:rsidR="000D2C76" w:rsidRPr="00635066" w:rsidTr="000D2C76">
        <w:trPr>
          <w:trHeight w:val="255"/>
        </w:trPr>
        <w:tc>
          <w:tcPr>
            <w:tcW w:w="5935" w:type="dxa"/>
            <w:tcBorders>
              <w:top w:val="single" w:sz="2" w:space="0" w:color="auto"/>
              <w:left w:val="nil"/>
              <w:bottom w:val="single" w:sz="2" w:space="0" w:color="auto"/>
              <w:right w:val="nil"/>
            </w:tcBorders>
            <w:shd w:val="clear" w:color="auto" w:fill="auto"/>
            <w:noWrap/>
            <w:vAlign w:val="center"/>
          </w:tcPr>
          <w:p w:rsidR="000D2C76" w:rsidRPr="00635066" w:rsidRDefault="000D2C76" w:rsidP="000D2C76">
            <w:pPr>
              <w:pStyle w:val="cuatexto"/>
              <w:jc w:val="left"/>
              <w:rPr>
                <w:lang w:val="es-ES" w:eastAsia="es-ES"/>
              </w:rPr>
            </w:pPr>
            <w:r w:rsidRPr="00635066">
              <w:rPr>
                <w:lang w:eastAsia="es-ES"/>
              </w:rPr>
              <w:t>- Obligaciones reconocidas</w:t>
            </w:r>
          </w:p>
        </w:tc>
        <w:tc>
          <w:tcPr>
            <w:tcW w:w="1440" w:type="dxa"/>
            <w:tcBorders>
              <w:top w:val="single" w:sz="2" w:space="0" w:color="auto"/>
              <w:left w:val="nil"/>
              <w:bottom w:val="single" w:sz="2" w:space="0" w:color="auto"/>
              <w:right w:val="nil"/>
            </w:tcBorders>
            <w:vAlign w:val="center"/>
          </w:tcPr>
          <w:p w:rsidR="000D2C76" w:rsidRPr="00635066" w:rsidRDefault="000D2C76" w:rsidP="000D2C76">
            <w:pPr>
              <w:pStyle w:val="cuatexto"/>
              <w:jc w:val="right"/>
              <w:rPr>
                <w:lang w:val="es-ES" w:eastAsia="es-ES"/>
              </w:rPr>
            </w:pPr>
            <w:r>
              <w:rPr>
                <w:lang w:val="es-ES" w:eastAsia="es-ES"/>
              </w:rPr>
              <w:t>2.815.058</w:t>
            </w:r>
          </w:p>
        </w:tc>
        <w:tc>
          <w:tcPr>
            <w:tcW w:w="1440" w:type="dxa"/>
            <w:tcBorders>
              <w:top w:val="single" w:sz="2" w:space="0" w:color="auto"/>
              <w:left w:val="nil"/>
              <w:bottom w:val="single" w:sz="2" w:space="0" w:color="auto"/>
              <w:right w:val="nil"/>
            </w:tcBorders>
            <w:shd w:val="clear" w:color="auto" w:fill="auto"/>
            <w:noWrap/>
            <w:vAlign w:val="center"/>
          </w:tcPr>
          <w:p w:rsidR="000D2C76" w:rsidRPr="00635066" w:rsidRDefault="000D2C76" w:rsidP="000D2C76">
            <w:pPr>
              <w:pStyle w:val="cuatexto"/>
              <w:jc w:val="right"/>
              <w:rPr>
                <w:lang w:val="es-ES" w:eastAsia="es-ES"/>
              </w:rPr>
            </w:pPr>
            <w:r>
              <w:rPr>
                <w:lang w:val="es-ES" w:eastAsia="es-ES"/>
              </w:rPr>
              <w:t>2.897.554</w:t>
            </w:r>
          </w:p>
        </w:tc>
      </w:tr>
      <w:tr w:rsidR="000D2C76" w:rsidRPr="00635066" w:rsidTr="000D2C76">
        <w:trPr>
          <w:trHeight w:val="255"/>
        </w:trPr>
        <w:tc>
          <w:tcPr>
            <w:tcW w:w="5935" w:type="dxa"/>
            <w:tcBorders>
              <w:top w:val="single" w:sz="2" w:space="0" w:color="auto"/>
              <w:left w:val="nil"/>
              <w:bottom w:val="single" w:sz="2" w:space="0" w:color="auto"/>
              <w:right w:val="nil"/>
            </w:tcBorders>
            <w:shd w:val="clear" w:color="auto" w:fill="auto"/>
            <w:noWrap/>
            <w:vAlign w:val="center"/>
          </w:tcPr>
          <w:p w:rsidR="000D2C76" w:rsidRPr="00482857" w:rsidRDefault="000D2C76" w:rsidP="000D2C76">
            <w:pPr>
              <w:pStyle w:val="cuatexto"/>
              <w:jc w:val="left"/>
              <w:rPr>
                <w:b/>
                <w:lang w:val="es-ES" w:eastAsia="es-ES"/>
              </w:rPr>
            </w:pPr>
            <w:r w:rsidRPr="00482857">
              <w:rPr>
                <w:b/>
                <w:lang w:val="es-ES" w:eastAsia="es-ES"/>
              </w:rPr>
              <w:t>= Resultado Presupuestario</w:t>
            </w:r>
          </w:p>
        </w:tc>
        <w:tc>
          <w:tcPr>
            <w:tcW w:w="1440" w:type="dxa"/>
            <w:tcBorders>
              <w:top w:val="single" w:sz="2" w:space="0" w:color="auto"/>
              <w:left w:val="nil"/>
              <w:bottom w:val="single" w:sz="2" w:space="0" w:color="auto"/>
              <w:right w:val="nil"/>
            </w:tcBorders>
            <w:vAlign w:val="center"/>
          </w:tcPr>
          <w:p w:rsidR="000D2C76" w:rsidRPr="00482857" w:rsidRDefault="000D2C76" w:rsidP="000D2C76">
            <w:pPr>
              <w:pStyle w:val="cuatexto"/>
              <w:jc w:val="right"/>
              <w:rPr>
                <w:b/>
                <w:lang w:val="es-ES" w:eastAsia="es-ES"/>
              </w:rPr>
            </w:pPr>
            <w:r w:rsidRPr="00482857">
              <w:rPr>
                <w:b/>
                <w:lang w:val="es-ES" w:eastAsia="es-ES"/>
              </w:rPr>
              <w:t>-83.730</w:t>
            </w:r>
          </w:p>
        </w:tc>
        <w:tc>
          <w:tcPr>
            <w:tcW w:w="1440" w:type="dxa"/>
            <w:tcBorders>
              <w:top w:val="single" w:sz="2" w:space="0" w:color="auto"/>
              <w:left w:val="nil"/>
              <w:bottom w:val="single" w:sz="2" w:space="0" w:color="auto"/>
              <w:right w:val="nil"/>
            </w:tcBorders>
            <w:shd w:val="clear" w:color="auto" w:fill="auto"/>
            <w:noWrap/>
            <w:vAlign w:val="center"/>
          </w:tcPr>
          <w:p w:rsidR="000D2C76" w:rsidRPr="00482857" w:rsidRDefault="000D2C76" w:rsidP="000D2C76">
            <w:pPr>
              <w:pStyle w:val="cuatexto"/>
              <w:jc w:val="right"/>
              <w:rPr>
                <w:b/>
                <w:lang w:val="es-ES" w:eastAsia="es-ES"/>
              </w:rPr>
            </w:pPr>
            <w:r w:rsidRPr="00482857">
              <w:rPr>
                <w:b/>
                <w:lang w:val="es-ES" w:eastAsia="es-ES"/>
              </w:rPr>
              <w:t>-77.239</w:t>
            </w:r>
          </w:p>
        </w:tc>
      </w:tr>
      <w:tr w:rsidR="000D2C76" w:rsidRPr="00635066" w:rsidTr="000D2C76">
        <w:trPr>
          <w:trHeight w:val="255"/>
        </w:trPr>
        <w:tc>
          <w:tcPr>
            <w:tcW w:w="5935" w:type="dxa"/>
            <w:tcBorders>
              <w:top w:val="single" w:sz="2" w:space="0" w:color="auto"/>
              <w:left w:val="nil"/>
              <w:bottom w:val="single" w:sz="2" w:space="0" w:color="auto"/>
              <w:right w:val="nil"/>
            </w:tcBorders>
            <w:shd w:val="clear" w:color="auto" w:fill="auto"/>
            <w:noWrap/>
            <w:vAlign w:val="center"/>
          </w:tcPr>
          <w:p w:rsidR="000D2C76" w:rsidRPr="00635066" w:rsidRDefault="000D2C76" w:rsidP="000D2C76">
            <w:pPr>
              <w:pStyle w:val="cuatexto"/>
              <w:jc w:val="left"/>
              <w:rPr>
                <w:lang w:val="es-ES" w:eastAsia="es-ES"/>
              </w:rPr>
            </w:pPr>
            <w:r w:rsidRPr="00635066">
              <w:rPr>
                <w:lang w:eastAsia="es-ES"/>
              </w:rPr>
              <w:t>Ajustes</w:t>
            </w:r>
          </w:p>
        </w:tc>
        <w:tc>
          <w:tcPr>
            <w:tcW w:w="1440" w:type="dxa"/>
            <w:tcBorders>
              <w:top w:val="single" w:sz="2" w:space="0" w:color="auto"/>
              <w:left w:val="nil"/>
              <w:bottom w:val="single" w:sz="2" w:space="0" w:color="auto"/>
              <w:right w:val="nil"/>
            </w:tcBorders>
            <w:vAlign w:val="center"/>
          </w:tcPr>
          <w:p w:rsidR="000D2C76" w:rsidRPr="00635066" w:rsidRDefault="00C21FD8" w:rsidP="000D2C76">
            <w:pPr>
              <w:pStyle w:val="cuatexto"/>
              <w:jc w:val="right"/>
              <w:rPr>
                <w:b/>
                <w:bCs/>
                <w:lang w:val="es-ES" w:eastAsia="es-ES"/>
              </w:rPr>
            </w:pPr>
            <w:r>
              <w:rPr>
                <w:b/>
                <w:bCs/>
                <w:lang w:val="es-ES" w:eastAsia="es-ES"/>
              </w:rPr>
              <w:t>0</w:t>
            </w:r>
          </w:p>
        </w:tc>
        <w:tc>
          <w:tcPr>
            <w:tcW w:w="1440" w:type="dxa"/>
            <w:tcBorders>
              <w:top w:val="single" w:sz="2" w:space="0" w:color="auto"/>
              <w:left w:val="nil"/>
              <w:bottom w:val="single" w:sz="2" w:space="0" w:color="auto"/>
              <w:right w:val="nil"/>
            </w:tcBorders>
            <w:shd w:val="clear" w:color="auto" w:fill="auto"/>
            <w:noWrap/>
            <w:vAlign w:val="center"/>
          </w:tcPr>
          <w:p w:rsidR="000D2C76" w:rsidRPr="00635066" w:rsidRDefault="00C21FD8" w:rsidP="000D2C76">
            <w:pPr>
              <w:pStyle w:val="cuatexto"/>
              <w:jc w:val="right"/>
              <w:rPr>
                <w:b/>
                <w:bCs/>
                <w:lang w:val="es-ES" w:eastAsia="es-ES"/>
              </w:rPr>
            </w:pPr>
            <w:r>
              <w:rPr>
                <w:b/>
                <w:bCs/>
                <w:lang w:val="es-ES" w:eastAsia="es-ES"/>
              </w:rPr>
              <w:t>0</w:t>
            </w:r>
          </w:p>
        </w:tc>
      </w:tr>
      <w:tr w:rsidR="000D2C76" w:rsidRPr="00635066" w:rsidTr="000D2C76">
        <w:trPr>
          <w:trHeight w:val="255"/>
        </w:trPr>
        <w:tc>
          <w:tcPr>
            <w:tcW w:w="5935" w:type="dxa"/>
            <w:tcBorders>
              <w:top w:val="single" w:sz="2" w:space="0" w:color="auto"/>
              <w:left w:val="nil"/>
              <w:bottom w:val="single" w:sz="2" w:space="0" w:color="auto"/>
              <w:right w:val="nil"/>
            </w:tcBorders>
            <w:shd w:val="clear" w:color="auto" w:fill="auto"/>
            <w:vAlign w:val="center"/>
          </w:tcPr>
          <w:p w:rsidR="000D2C76" w:rsidRPr="00635066" w:rsidRDefault="000D2C76" w:rsidP="000D2C76">
            <w:pPr>
              <w:pStyle w:val="cuatexto"/>
              <w:jc w:val="left"/>
              <w:rPr>
                <w:lang w:val="es-ES" w:eastAsia="es-ES"/>
              </w:rPr>
            </w:pPr>
            <w:r w:rsidRPr="00635066">
              <w:rPr>
                <w:lang w:eastAsia="es-ES"/>
              </w:rPr>
              <w:t>-  Desviaciones positivas de financiación</w:t>
            </w:r>
          </w:p>
        </w:tc>
        <w:tc>
          <w:tcPr>
            <w:tcW w:w="1440" w:type="dxa"/>
            <w:tcBorders>
              <w:top w:val="single" w:sz="2" w:space="0" w:color="auto"/>
              <w:left w:val="nil"/>
              <w:bottom w:val="single" w:sz="2" w:space="0" w:color="auto"/>
              <w:right w:val="nil"/>
            </w:tcBorders>
            <w:vAlign w:val="center"/>
          </w:tcPr>
          <w:p w:rsidR="000D2C76" w:rsidRPr="00635066" w:rsidRDefault="000D2C76" w:rsidP="000D2C76">
            <w:pPr>
              <w:pStyle w:val="cuatexto"/>
              <w:jc w:val="right"/>
              <w:rPr>
                <w:lang w:val="es-ES" w:eastAsia="es-ES"/>
              </w:rPr>
            </w:pPr>
          </w:p>
        </w:tc>
        <w:tc>
          <w:tcPr>
            <w:tcW w:w="1440" w:type="dxa"/>
            <w:tcBorders>
              <w:top w:val="single" w:sz="2" w:space="0" w:color="auto"/>
              <w:left w:val="nil"/>
              <w:bottom w:val="single" w:sz="2" w:space="0" w:color="auto"/>
              <w:right w:val="nil"/>
            </w:tcBorders>
            <w:shd w:val="clear" w:color="auto" w:fill="auto"/>
            <w:noWrap/>
            <w:vAlign w:val="center"/>
          </w:tcPr>
          <w:p w:rsidR="000D2C76" w:rsidRPr="00635066" w:rsidRDefault="000D2C76" w:rsidP="000D2C76">
            <w:pPr>
              <w:pStyle w:val="cuatexto"/>
              <w:jc w:val="right"/>
              <w:rPr>
                <w:lang w:val="es-ES" w:eastAsia="es-ES"/>
              </w:rPr>
            </w:pPr>
          </w:p>
        </w:tc>
      </w:tr>
      <w:tr w:rsidR="000D2C76" w:rsidRPr="00635066" w:rsidTr="000D2C76">
        <w:trPr>
          <w:trHeight w:val="255"/>
        </w:trPr>
        <w:tc>
          <w:tcPr>
            <w:tcW w:w="5935" w:type="dxa"/>
            <w:tcBorders>
              <w:top w:val="single" w:sz="2" w:space="0" w:color="auto"/>
              <w:left w:val="nil"/>
              <w:bottom w:val="single" w:sz="2" w:space="0" w:color="auto"/>
              <w:right w:val="nil"/>
            </w:tcBorders>
            <w:shd w:val="clear" w:color="auto" w:fill="auto"/>
            <w:vAlign w:val="center"/>
          </w:tcPr>
          <w:p w:rsidR="000D2C76" w:rsidRPr="00635066" w:rsidRDefault="000D2C76" w:rsidP="000D2C76">
            <w:pPr>
              <w:pStyle w:val="cuatexto"/>
              <w:jc w:val="left"/>
              <w:rPr>
                <w:lang w:val="es-ES" w:eastAsia="es-ES"/>
              </w:rPr>
            </w:pPr>
            <w:r w:rsidRPr="00635066">
              <w:rPr>
                <w:lang w:eastAsia="es-ES"/>
              </w:rPr>
              <w:t>+ Desviaciones negativas de financiación</w:t>
            </w:r>
          </w:p>
        </w:tc>
        <w:tc>
          <w:tcPr>
            <w:tcW w:w="1440" w:type="dxa"/>
            <w:tcBorders>
              <w:top w:val="single" w:sz="2" w:space="0" w:color="auto"/>
              <w:left w:val="nil"/>
              <w:bottom w:val="single" w:sz="2" w:space="0" w:color="auto"/>
              <w:right w:val="nil"/>
            </w:tcBorders>
            <w:vAlign w:val="center"/>
          </w:tcPr>
          <w:p w:rsidR="000D2C76" w:rsidRPr="00635066" w:rsidRDefault="000D2C76" w:rsidP="000D2C76">
            <w:pPr>
              <w:pStyle w:val="cuatexto"/>
              <w:jc w:val="right"/>
              <w:rPr>
                <w:lang w:val="es-ES" w:eastAsia="es-ES"/>
              </w:rPr>
            </w:pPr>
          </w:p>
        </w:tc>
        <w:tc>
          <w:tcPr>
            <w:tcW w:w="1440" w:type="dxa"/>
            <w:tcBorders>
              <w:top w:val="single" w:sz="2" w:space="0" w:color="auto"/>
              <w:left w:val="nil"/>
              <w:bottom w:val="single" w:sz="2" w:space="0" w:color="auto"/>
              <w:right w:val="nil"/>
            </w:tcBorders>
            <w:shd w:val="clear" w:color="auto" w:fill="auto"/>
            <w:noWrap/>
            <w:vAlign w:val="center"/>
          </w:tcPr>
          <w:p w:rsidR="000D2C76" w:rsidRPr="00635066" w:rsidRDefault="000D2C76" w:rsidP="000D2C76">
            <w:pPr>
              <w:pStyle w:val="cuatexto"/>
              <w:jc w:val="right"/>
              <w:rPr>
                <w:lang w:val="es-ES" w:eastAsia="es-ES"/>
              </w:rPr>
            </w:pPr>
          </w:p>
        </w:tc>
      </w:tr>
      <w:tr w:rsidR="000D2C76" w:rsidRPr="00635066" w:rsidTr="000D2C76">
        <w:trPr>
          <w:trHeight w:val="255"/>
        </w:trPr>
        <w:tc>
          <w:tcPr>
            <w:tcW w:w="5935" w:type="dxa"/>
            <w:tcBorders>
              <w:top w:val="single" w:sz="2" w:space="0" w:color="auto"/>
              <w:left w:val="nil"/>
              <w:bottom w:val="single" w:sz="2" w:space="0" w:color="auto"/>
              <w:right w:val="nil"/>
            </w:tcBorders>
            <w:shd w:val="clear" w:color="auto" w:fill="auto"/>
            <w:vAlign w:val="center"/>
          </w:tcPr>
          <w:p w:rsidR="000D2C76" w:rsidRPr="00635066" w:rsidRDefault="000D2C76" w:rsidP="000D2C76">
            <w:pPr>
              <w:pStyle w:val="cuatexto"/>
              <w:jc w:val="left"/>
              <w:rPr>
                <w:lang w:val="es-ES" w:eastAsia="es-ES"/>
              </w:rPr>
            </w:pPr>
            <w:r w:rsidRPr="00635066">
              <w:rPr>
                <w:lang w:eastAsia="es-ES"/>
              </w:rPr>
              <w:t xml:space="preserve">+ Gastos </w:t>
            </w:r>
            <w:r>
              <w:rPr>
                <w:lang w:eastAsia="es-ES"/>
              </w:rPr>
              <w:t>financiación con remanente de tesorería</w:t>
            </w:r>
          </w:p>
        </w:tc>
        <w:tc>
          <w:tcPr>
            <w:tcW w:w="1440" w:type="dxa"/>
            <w:tcBorders>
              <w:top w:val="single" w:sz="2" w:space="0" w:color="auto"/>
              <w:left w:val="nil"/>
              <w:bottom w:val="single" w:sz="2" w:space="0" w:color="auto"/>
              <w:right w:val="nil"/>
            </w:tcBorders>
            <w:vAlign w:val="center"/>
          </w:tcPr>
          <w:p w:rsidR="000D2C76" w:rsidRPr="00635066" w:rsidRDefault="000D2C76" w:rsidP="000D2C76">
            <w:pPr>
              <w:pStyle w:val="cuatexto"/>
              <w:jc w:val="right"/>
              <w:rPr>
                <w:lang w:val="es-ES" w:eastAsia="es-ES"/>
              </w:rPr>
            </w:pPr>
          </w:p>
        </w:tc>
        <w:tc>
          <w:tcPr>
            <w:tcW w:w="1440" w:type="dxa"/>
            <w:tcBorders>
              <w:top w:val="single" w:sz="2" w:space="0" w:color="auto"/>
              <w:left w:val="nil"/>
              <w:bottom w:val="single" w:sz="2" w:space="0" w:color="auto"/>
              <w:right w:val="nil"/>
            </w:tcBorders>
            <w:shd w:val="clear" w:color="auto" w:fill="auto"/>
            <w:noWrap/>
            <w:vAlign w:val="center"/>
          </w:tcPr>
          <w:p w:rsidR="000D2C76" w:rsidRPr="00635066" w:rsidRDefault="000D2C76" w:rsidP="000D2C76">
            <w:pPr>
              <w:pStyle w:val="cuatexto"/>
              <w:jc w:val="right"/>
              <w:rPr>
                <w:lang w:val="es-ES" w:eastAsia="es-ES"/>
              </w:rPr>
            </w:pPr>
          </w:p>
        </w:tc>
      </w:tr>
      <w:tr w:rsidR="000D2C76" w:rsidRPr="00635066" w:rsidTr="000D2C76">
        <w:trPr>
          <w:trHeight w:val="255"/>
        </w:trPr>
        <w:tc>
          <w:tcPr>
            <w:tcW w:w="5935" w:type="dxa"/>
            <w:tcBorders>
              <w:top w:val="single" w:sz="2" w:space="0" w:color="auto"/>
              <w:left w:val="nil"/>
              <w:bottom w:val="single" w:sz="4" w:space="0" w:color="auto"/>
              <w:right w:val="nil"/>
            </w:tcBorders>
            <w:shd w:val="clear" w:color="auto" w:fill="auto"/>
            <w:vAlign w:val="center"/>
          </w:tcPr>
          <w:p w:rsidR="000D2C76" w:rsidRPr="00635066" w:rsidRDefault="000D2C76" w:rsidP="000D2C76">
            <w:pPr>
              <w:pStyle w:val="cuatexto"/>
              <w:jc w:val="left"/>
              <w:rPr>
                <w:lang w:val="es-ES" w:eastAsia="es-ES"/>
              </w:rPr>
            </w:pPr>
            <w:r w:rsidRPr="00635066">
              <w:rPr>
                <w:lang w:eastAsia="es-ES"/>
              </w:rPr>
              <w:t xml:space="preserve">+ </w:t>
            </w:r>
            <w:r>
              <w:rPr>
                <w:lang w:eastAsia="es-ES"/>
              </w:rPr>
              <w:t>Resultado de operaciones comerciales</w:t>
            </w:r>
          </w:p>
        </w:tc>
        <w:tc>
          <w:tcPr>
            <w:tcW w:w="1440" w:type="dxa"/>
            <w:tcBorders>
              <w:top w:val="single" w:sz="2" w:space="0" w:color="auto"/>
              <w:left w:val="nil"/>
              <w:bottom w:val="single" w:sz="4" w:space="0" w:color="auto"/>
              <w:right w:val="nil"/>
            </w:tcBorders>
            <w:vAlign w:val="center"/>
          </w:tcPr>
          <w:p w:rsidR="000D2C76" w:rsidRPr="00635066" w:rsidRDefault="000D2C76" w:rsidP="000D2C76">
            <w:pPr>
              <w:pStyle w:val="cuatexto"/>
              <w:jc w:val="right"/>
              <w:rPr>
                <w:lang w:val="es-ES" w:eastAsia="es-ES"/>
              </w:rPr>
            </w:pPr>
          </w:p>
        </w:tc>
        <w:tc>
          <w:tcPr>
            <w:tcW w:w="1440" w:type="dxa"/>
            <w:tcBorders>
              <w:top w:val="single" w:sz="2" w:space="0" w:color="auto"/>
              <w:left w:val="nil"/>
              <w:bottom w:val="single" w:sz="4" w:space="0" w:color="auto"/>
              <w:right w:val="nil"/>
            </w:tcBorders>
            <w:shd w:val="clear" w:color="auto" w:fill="auto"/>
            <w:noWrap/>
            <w:vAlign w:val="center"/>
          </w:tcPr>
          <w:p w:rsidR="000D2C76" w:rsidRPr="00635066" w:rsidRDefault="000D2C76" w:rsidP="000D2C76">
            <w:pPr>
              <w:pStyle w:val="cuatexto"/>
              <w:jc w:val="right"/>
              <w:rPr>
                <w:lang w:val="es-ES" w:eastAsia="es-ES"/>
              </w:rPr>
            </w:pPr>
          </w:p>
        </w:tc>
      </w:tr>
      <w:tr w:rsidR="000D2C76" w:rsidRPr="001F2418" w:rsidTr="000D2C76">
        <w:trPr>
          <w:trHeight w:val="312"/>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0D2C76" w:rsidRPr="001F2418" w:rsidRDefault="000D2C76" w:rsidP="000D2C76">
            <w:pPr>
              <w:pStyle w:val="cuatexto"/>
              <w:jc w:val="left"/>
              <w:rPr>
                <w:rFonts w:ascii="Arial" w:hAnsi="Arial" w:cs="Arial"/>
                <w:sz w:val="18"/>
                <w:szCs w:val="18"/>
                <w:lang w:val="es-ES" w:eastAsia="es-ES"/>
              </w:rPr>
            </w:pPr>
            <w:r w:rsidRPr="001F2418">
              <w:rPr>
                <w:rFonts w:ascii="Arial" w:hAnsi="Arial" w:cs="Arial"/>
                <w:sz w:val="18"/>
                <w:szCs w:val="18"/>
                <w:lang w:val="es-ES" w:eastAsia="es-ES"/>
              </w:rPr>
              <w:t>Resultado Presupuestario Ajustado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C76" w:rsidRPr="001F2418"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-83.730</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0D2C76" w:rsidRPr="001F2418"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-77.239</w:t>
            </w:r>
          </w:p>
        </w:tc>
      </w:tr>
    </w:tbl>
    <w:p w:rsidR="000D2C76" w:rsidRPr="00C46A7F" w:rsidRDefault="000D2C76" w:rsidP="00C46A7F">
      <w:pPr>
        <w:pStyle w:val="texto"/>
        <w:tabs>
          <w:tab w:val="clear" w:pos="2835"/>
          <w:tab w:val="clear" w:pos="3969"/>
          <w:tab w:val="clear" w:pos="5103"/>
          <w:tab w:val="clear" w:pos="6237"/>
          <w:tab w:val="clear" w:pos="7371"/>
        </w:tabs>
        <w:rPr>
          <w:szCs w:val="26"/>
        </w:rPr>
      </w:pPr>
    </w:p>
    <w:p w:rsidR="000D2C76" w:rsidRPr="00C46A7F" w:rsidRDefault="000D2C76" w:rsidP="00C46A7F">
      <w:pPr>
        <w:pStyle w:val="texto"/>
        <w:tabs>
          <w:tab w:val="clear" w:pos="2835"/>
          <w:tab w:val="clear" w:pos="3969"/>
          <w:tab w:val="clear" w:pos="5103"/>
          <w:tab w:val="clear" w:pos="6237"/>
          <w:tab w:val="clear" w:pos="7371"/>
        </w:tabs>
        <w:rPr>
          <w:szCs w:val="26"/>
        </w:rPr>
      </w:pPr>
    </w:p>
    <w:p w:rsidR="000D2C76" w:rsidRPr="004D5125" w:rsidRDefault="000D2C76" w:rsidP="000D2C76">
      <w:pPr>
        <w:pStyle w:val="atitulo2"/>
      </w:pPr>
      <w:bookmarkStart w:id="22" w:name="_Toc469315862"/>
      <w:bookmarkStart w:id="23" w:name="_Toc475093089"/>
      <w:r>
        <w:t>III.3. R</w:t>
      </w:r>
      <w:r w:rsidRPr="004D5125">
        <w:t xml:space="preserve">emanente de </w:t>
      </w:r>
      <w:r>
        <w:t>T</w:t>
      </w:r>
      <w:r w:rsidRPr="004D5125">
        <w:t>esorería a 31 de diciembre de 2015</w:t>
      </w:r>
      <w:bookmarkEnd w:id="22"/>
      <w:bookmarkEnd w:id="23"/>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0D2C76" w:rsidRPr="00AC5F28" w:rsidTr="000D2C76">
        <w:trPr>
          <w:trHeight w:val="340"/>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0D2C76" w:rsidRPr="00AC5F28" w:rsidRDefault="000D2C76" w:rsidP="000D2C76">
            <w:pPr>
              <w:pStyle w:val="cuatexto"/>
              <w:jc w:val="left"/>
              <w:rPr>
                <w:rFonts w:ascii="Arial" w:hAnsi="Arial" w:cs="Arial"/>
                <w:sz w:val="18"/>
                <w:szCs w:val="18"/>
                <w:lang w:val="es-ES" w:eastAsia="es-ES"/>
              </w:rPr>
            </w:pPr>
            <w:r w:rsidRPr="00AC5F28">
              <w:rPr>
                <w:rFonts w:ascii="Arial" w:hAnsi="Arial" w:cs="Arial"/>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0D2C76" w:rsidRPr="00AC5F28" w:rsidRDefault="000D2C76" w:rsidP="000D2C76">
            <w:pPr>
              <w:pStyle w:val="cuatexto"/>
              <w:jc w:val="right"/>
              <w:rPr>
                <w:rFonts w:ascii="Arial" w:hAnsi="Arial" w:cs="Arial"/>
                <w:sz w:val="18"/>
                <w:szCs w:val="18"/>
                <w:lang w:val="es-ES" w:eastAsia="es-ES"/>
              </w:rPr>
            </w:pPr>
            <w:r w:rsidRPr="00AC5F28">
              <w:rPr>
                <w:rFonts w:ascii="Arial" w:hAnsi="Arial" w:cs="Arial"/>
                <w:sz w:val="18"/>
                <w:szCs w:val="18"/>
                <w:lang w:val="es-ES" w:eastAsia="es-ES"/>
              </w:rPr>
              <w:t>Ejercicio 2014</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0D2C76" w:rsidRPr="00AC5F28" w:rsidRDefault="000D2C76" w:rsidP="000D2C76">
            <w:pPr>
              <w:pStyle w:val="cuatexto"/>
              <w:jc w:val="right"/>
              <w:rPr>
                <w:rFonts w:ascii="Arial" w:hAnsi="Arial" w:cs="Arial"/>
                <w:sz w:val="18"/>
                <w:szCs w:val="18"/>
                <w:lang w:val="es-ES" w:eastAsia="es-ES"/>
              </w:rPr>
            </w:pPr>
            <w:r w:rsidRPr="00AC5F28">
              <w:rPr>
                <w:rFonts w:ascii="Arial" w:hAnsi="Arial" w:cs="Arial"/>
                <w:sz w:val="18"/>
                <w:szCs w:val="18"/>
                <w:lang w:val="es-ES" w:eastAsia="es-ES"/>
              </w:rPr>
              <w:t>Ejercicio 2015</w:t>
            </w:r>
          </w:p>
        </w:tc>
      </w:tr>
      <w:tr w:rsidR="000D2C76" w:rsidRPr="00AC5F28" w:rsidTr="000D2C76">
        <w:trPr>
          <w:trHeight w:val="255"/>
        </w:trPr>
        <w:tc>
          <w:tcPr>
            <w:tcW w:w="3366" w:type="pct"/>
            <w:tcBorders>
              <w:top w:val="single" w:sz="4" w:space="0" w:color="auto"/>
              <w:left w:val="nil"/>
              <w:bottom w:val="single" w:sz="2" w:space="0" w:color="auto"/>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Derechos pendientes de cobro</w:t>
            </w:r>
          </w:p>
        </w:tc>
        <w:tc>
          <w:tcPr>
            <w:tcW w:w="817" w:type="pct"/>
            <w:tcBorders>
              <w:top w:val="single" w:sz="4" w:space="0" w:color="auto"/>
              <w:left w:val="nil"/>
              <w:bottom w:val="single" w:sz="2" w:space="0" w:color="auto"/>
              <w:right w:val="nil"/>
            </w:tcBorders>
            <w:vAlign w:val="center"/>
          </w:tcPr>
          <w:p w:rsidR="000D2C76" w:rsidRPr="00AC5F28" w:rsidRDefault="000D2C76" w:rsidP="000D2C76">
            <w:pPr>
              <w:pStyle w:val="cuatexto"/>
              <w:jc w:val="right"/>
              <w:rPr>
                <w:szCs w:val="20"/>
                <w:lang w:val="es-ES" w:eastAsia="es-ES"/>
              </w:rPr>
            </w:pPr>
            <w:r>
              <w:rPr>
                <w:szCs w:val="20"/>
                <w:lang w:val="es-ES" w:eastAsia="es-ES"/>
              </w:rPr>
              <w:t>112.332</w:t>
            </w:r>
          </w:p>
        </w:tc>
        <w:tc>
          <w:tcPr>
            <w:tcW w:w="817" w:type="pct"/>
            <w:tcBorders>
              <w:top w:val="single" w:sz="4" w:space="0" w:color="auto"/>
              <w:left w:val="nil"/>
              <w:bottom w:val="single" w:sz="2" w:space="0" w:color="auto"/>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186.416</w:t>
            </w:r>
          </w:p>
        </w:tc>
      </w:tr>
      <w:tr w:rsidR="000D2C76" w:rsidRPr="00AC5F28" w:rsidTr="000D2C76">
        <w:trPr>
          <w:trHeight w:val="255"/>
        </w:trPr>
        <w:tc>
          <w:tcPr>
            <w:tcW w:w="3366" w:type="pct"/>
            <w:tcBorders>
              <w:top w:val="single" w:sz="2" w:space="0" w:color="auto"/>
              <w:left w:val="nil"/>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Ppto. Ingresos: Ejercicio corriente</w:t>
            </w:r>
          </w:p>
        </w:tc>
        <w:tc>
          <w:tcPr>
            <w:tcW w:w="817" w:type="pct"/>
            <w:tcBorders>
              <w:top w:val="single" w:sz="2" w:space="0" w:color="auto"/>
              <w:left w:val="nil"/>
              <w:right w:val="nil"/>
            </w:tcBorders>
            <w:vAlign w:val="center"/>
          </w:tcPr>
          <w:p w:rsidR="000D2C76" w:rsidRPr="00AC5F28" w:rsidRDefault="000D2C76" w:rsidP="000D2C76">
            <w:pPr>
              <w:pStyle w:val="cuatexto"/>
              <w:jc w:val="right"/>
              <w:rPr>
                <w:szCs w:val="20"/>
                <w:lang w:val="es-ES" w:eastAsia="es-ES"/>
              </w:rPr>
            </w:pPr>
            <w:r>
              <w:rPr>
                <w:szCs w:val="20"/>
                <w:lang w:val="es-ES" w:eastAsia="es-ES"/>
              </w:rPr>
              <w:t>68.723</w:t>
            </w:r>
          </w:p>
        </w:tc>
        <w:tc>
          <w:tcPr>
            <w:tcW w:w="817" w:type="pct"/>
            <w:tcBorders>
              <w:top w:val="single" w:sz="2" w:space="0" w:color="auto"/>
              <w:left w:val="nil"/>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156.954</w:t>
            </w:r>
          </w:p>
        </w:tc>
      </w:tr>
      <w:tr w:rsidR="000D2C76" w:rsidRPr="00AC5F28" w:rsidTr="000D2C76">
        <w:trPr>
          <w:trHeight w:val="255"/>
        </w:trPr>
        <w:tc>
          <w:tcPr>
            <w:tcW w:w="3366" w:type="pct"/>
            <w:tcBorders>
              <w:left w:val="nil"/>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Ppto. Ingresos: Ejercicios cerrados</w:t>
            </w:r>
          </w:p>
        </w:tc>
        <w:tc>
          <w:tcPr>
            <w:tcW w:w="817" w:type="pct"/>
            <w:tcBorders>
              <w:left w:val="nil"/>
              <w:right w:val="nil"/>
            </w:tcBorders>
            <w:vAlign w:val="center"/>
          </w:tcPr>
          <w:p w:rsidR="000D2C76" w:rsidRPr="00AC5F28" w:rsidRDefault="000D2C76" w:rsidP="000D2C76">
            <w:pPr>
              <w:pStyle w:val="cuatexto"/>
              <w:jc w:val="right"/>
              <w:rPr>
                <w:szCs w:val="20"/>
                <w:lang w:val="es-ES" w:eastAsia="es-ES"/>
              </w:rPr>
            </w:pPr>
            <w:r>
              <w:rPr>
                <w:szCs w:val="20"/>
                <w:lang w:val="es-ES" w:eastAsia="es-ES"/>
              </w:rPr>
              <w:t>36.072</w:t>
            </w:r>
          </w:p>
        </w:tc>
        <w:tc>
          <w:tcPr>
            <w:tcW w:w="817" w:type="pct"/>
            <w:tcBorders>
              <w:left w:val="nil"/>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32.776</w:t>
            </w:r>
          </w:p>
        </w:tc>
      </w:tr>
      <w:tr w:rsidR="000D2C76" w:rsidRPr="00AC5F28" w:rsidTr="000D2C76">
        <w:trPr>
          <w:trHeight w:val="255"/>
        </w:trPr>
        <w:tc>
          <w:tcPr>
            <w:tcW w:w="3366" w:type="pct"/>
            <w:tcBorders>
              <w:left w:val="nil"/>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Ingresos extrapresupuestarios</w:t>
            </w:r>
          </w:p>
        </w:tc>
        <w:tc>
          <w:tcPr>
            <w:tcW w:w="817" w:type="pct"/>
            <w:tcBorders>
              <w:left w:val="nil"/>
              <w:right w:val="nil"/>
            </w:tcBorders>
            <w:vAlign w:val="center"/>
          </w:tcPr>
          <w:p w:rsidR="000D2C76" w:rsidRPr="00AC5F28" w:rsidRDefault="000D2C76" w:rsidP="000D2C76">
            <w:pPr>
              <w:pStyle w:val="cuatexto"/>
              <w:jc w:val="right"/>
              <w:rPr>
                <w:szCs w:val="20"/>
                <w:lang w:val="es-ES" w:eastAsia="es-ES"/>
              </w:rPr>
            </w:pPr>
            <w:r>
              <w:rPr>
                <w:szCs w:val="20"/>
                <w:lang w:val="es-ES" w:eastAsia="es-ES"/>
              </w:rPr>
              <w:t>7.537</w:t>
            </w:r>
          </w:p>
        </w:tc>
        <w:tc>
          <w:tcPr>
            <w:tcW w:w="817" w:type="pct"/>
            <w:tcBorders>
              <w:left w:val="nil"/>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27.654</w:t>
            </w:r>
          </w:p>
        </w:tc>
      </w:tr>
      <w:tr w:rsidR="000D2C76" w:rsidRPr="00AC5F28" w:rsidTr="000D2C76">
        <w:trPr>
          <w:trHeight w:val="255"/>
        </w:trPr>
        <w:tc>
          <w:tcPr>
            <w:tcW w:w="3366" w:type="pct"/>
            <w:tcBorders>
              <w:left w:val="nil"/>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Derechos de difícil recaudación</w:t>
            </w:r>
          </w:p>
        </w:tc>
        <w:tc>
          <w:tcPr>
            <w:tcW w:w="817" w:type="pct"/>
            <w:tcBorders>
              <w:left w:val="nil"/>
              <w:right w:val="nil"/>
            </w:tcBorders>
            <w:vAlign w:val="center"/>
          </w:tcPr>
          <w:p w:rsidR="000D2C76" w:rsidRPr="00AC5F28" w:rsidRDefault="000D2C76" w:rsidP="000D2C76">
            <w:pPr>
              <w:pStyle w:val="cuatexto"/>
              <w:jc w:val="right"/>
              <w:rPr>
                <w:szCs w:val="20"/>
                <w:lang w:val="es-ES" w:eastAsia="es-ES"/>
              </w:rPr>
            </w:pPr>
            <w:r>
              <w:rPr>
                <w:szCs w:val="20"/>
                <w:lang w:val="es-ES" w:eastAsia="es-ES"/>
              </w:rPr>
              <w:t>0</w:t>
            </w:r>
          </w:p>
        </w:tc>
        <w:tc>
          <w:tcPr>
            <w:tcW w:w="817" w:type="pct"/>
            <w:tcBorders>
              <w:left w:val="nil"/>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30.968</w:t>
            </w:r>
          </w:p>
        </w:tc>
      </w:tr>
      <w:tr w:rsidR="000D2C76" w:rsidRPr="00AC5F28" w:rsidTr="000D2C76">
        <w:trPr>
          <w:trHeight w:val="255"/>
        </w:trPr>
        <w:tc>
          <w:tcPr>
            <w:tcW w:w="3366" w:type="pct"/>
            <w:tcBorders>
              <w:top w:val="single" w:sz="2" w:space="0" w:color="auto"/>
              <w:left w:val="nil"/>
              <w:bottom w:val="single" w:sz="2" w:space="0" w:color="auto"/>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0D2C76" w:rsidRPr="00AC5F28" w:rsidRDefault="000D2C76" w:rsidP="000D2C76">
            <w:pPr>
              <w:pStyle w:val="cuatexto"/>
              <w:jc w:val="right"/>
              <w:rPr>
                <w:szCs w:val="20"/>
                <w:lang w:val="es-ES" w:eastAsia="es-ES"/>
              </w:rPr>
            </w:pPr>
            <w:r>
              <w:rPr>
                <w:szCs w:val="20"/>
                <w:lang w:val="es-ES" w:eastAsia="es-ES"/>
              </w:rPr>
              <w:t>421.832</w:t>
            </w:r>
          </w:p>
        </w:tc>
        <w:tc>
          <w:tcPr>
            <w:tcW w:w="817" w:type="pct"/>
            <w:tcBorders>
              <w:top w:val="single" w:sz="2" w:space="0" w:color="auto"/>
              <w:left w:val="nil"/>
              <w:bottom w:val="single" w:sz="2" w:space="0" w:color="auto"/>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574.929</w:t>
            </w:r>
          </w:p>
        </w:tc>
      </w:tr>
      <w:tr w:rsidR="000D2C76" w:rsidRPr="00AC5F28" w:rsidTr="000D2C76">
        <w:trPr>
          <w:trHeight w:val="255"/>
        </w:trPr>
        <w:tc>
          <w:tcPr>
            <w:tcW w:w="3366" w:type="pct"/>
            <w:tcBorders>
              <w:top w:val="single" w:sz="2" w:space="0" w:color="auto"/>
              <w:left w:val="nil"/>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Ppto. de Gastos: Ejercicio corriente</w:t>
            </w:r>
          </w:p>
        </w:tc>
        <w:tc>
          <w:tcPr>
            <w:tcW w:w="817" w:type="pct"/>
            <w:tcBorders>
              <w:top w:val="single" w:sz="2" w:space="0" w:color="auto"/>
              <w:left w:val="nil"/>
              <w:right w:val="nil"/>
            </w:tcBorders>
            <w:vAlign w:val="center"/>
          </w:tcPr>
          <w:p w:rsidR="000D2C76" w:rsidRPr="00AC5F28" w:rsidRDefault="000D2C76" w:rsidP="000D2C76">
            <w:pPr>
              <w:pStyle w:val="cuatexto"/>
              <w:jc w:val="right"/>
              <w:rPr>
                <w:szCs w:val="20"/>
                <w:lang w:val="es-ES" w:eastAsia="es-ES"/>
              </w:rPr>
            </w:pPr>
            <w:r>
              <w:rPr>
                <w:szCs w:val="20"/>
                <w:lang w:val="es-ES" w:eastAsia="es-ES"/>
              </w:rPr>
              <w:t>393.693</w:t>
            </w:r>
          </w:p>
        </w:tc>
        <w:tc>
          <w:tcPr>
            <w:tcW w:w="817" w:type="pct"/>
            <w:tcBorders>
              <w:top w:val="single" w:sz="2" w:space="0" w:color="auto"/>
              <w:left w:val="nil"/>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305.536</w:t>
            </w:r>
          </w:p>
        </w:tc>
      </w:tr>
      <w:tr w:rsidR="000D2C76" w:rsidRPr="00AC5F28" w:rsidTr="000D2C76">
        <w:trPr>
          <w:trHeight w:val="255"/>
        </w:trPr>
        <w:tc>
          <w:tcPr>
            <w:tcW w:w="3366" w:type="pct"/>
            <w:tcBorders>
              <w:left w:val="nil"/>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Ppto. de Gastos: Ejercicios cerrados</w:t>
            </w:r>
          </w:p>
        </w:tc>
        <w:tc>
          <w:tcPr>
            <w:tcW w:w="817" w:type="pct"/>
            <w:tcBorders>
              <w:left w:val="nil"/>
              <w:right w:val="nil"/>
            </w:tcBorders>
            <w:vAlign w:val="center"/>
          </w:tcPr>
          <w:p w:rsidR="000D2C76" w:rsidRPr="00AC5F28" w:rsidRDefault="000D2C76" w:rsidP="000D2C76">
            <w:pPr>
              <w:pStyle w:val="cuatexto"/>
              <w:jc w:val="right"/>
              <w:rPr>
                <w:szCs w:val="20"/>
                <w:lang w:val="es-ES" w:eastAsia="es-ES"/>
              </w:rPr>
            </w:pPr>
            <w:r>
              <w:rPr>
                <w:szCs w:val="20"/>
                <w:lang w:val="es-ES" w:eastAsia="es-ES"/>
              </w:rPr>
              <w:t>0</w:t>
            </w:r>
          </w:p>
        </w:tc>
        <w:tc>
          <w:tcPr>
            <w:tcW w:w="817" w:type="pct"/>
            <w:tcBorders>
              <w:left w:val="nil"/>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0</w:t>
            </w:r>
          </w:p>
        </w:tc>
      </w:tr>
      <w:tr w:rsidR="000D2C76" w:rsidRPr="00AC5F28" w:rsidTr="000D2C76">
        <w:trPr>
          <w:trHeight w:val="255"/>
        </w:trPr>
        <w:tc>
          <w:tcPr>
            <w:tcW w:w="3366" w:type="pct"/>
            <w:tcBorders>
              <w:left w:val="nil"/>
              <w:bottom w:val="single" w:sz="2" w:space="0" w:color="auto"/>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Gastos extrapresupuestarios</w:t>
            </w:r>
          </w:p>
        </w:tc>
        <w:tc>
          <w:tcPr>
            <w:tcW w:w="817" w:type="pct"/>
            <w:tcBorders>
              <w:left w:val="nil"/>
              <w:bottom w:val="single" w:sz="2" w:space="0" w:color="auto"/>
              <w:right w:val="nil"/>
            </w:tcBorders>
            <w:vAlign w:val="center"/>
          </w:tcPr>
          <w:p w:rsidR="000D2C76" w:rsidRPr="00AC5F28" w:rsidRDefault="000D2C76" w:rsidP="000D2C76">
            <w:pPr>
              <w:pStyle w:val="cuatexto"/>
              <w:jc w:val="right"/>
              <w:rPr>
                <w:szCs w:val="20"/>
                <w:lang w:val="es-ES" w:eastAsia="es-ES"/>
              </w:rPr>
            </w:pPr>
            <w:r>
              <w:rPr>
                <w:szCs w:val="20"/>
                <w:lang w:val="es-ES" w:eastAsia="es-ES"/>
              </w:rPr>
              <w:t>28.139</w:t>
            </w:r>
          </w:p>
        </w:tc>
        <w:tc>
          <w:tcPr>
            <w:tcW w:w="817" w:type="pct"/>
            <w:tcBorders>
              <w:left w:val="nil"/>
              <w:bottom w:val="single" w:sz="2" w:space="0" w:color="auto"/>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269.392</w:t>
            </w:r>
          </w:p>
        </w:tc>
      </w:tr>
      <w:tr w:rsidR="000D2C76" w:rsidRPr="00AC5F28" w:rsidTr="000D2C76">
        <w:trPr>
          <w:trHeight w:val="255"/>
        </w:trPr>
        <w:tc>
          <w:tcPr>
            <w:tcW w:w="3366" w:type="pct"/>
            <w:tcBorders>
              <w:top w:val="single" w:sz="2" w:space="0" w:color="auto"/>
              <w:left w:val="nil"/>
              <w:bottom w:val="single" w:sz="2" w:space="0" w:color="auto"/>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Fondos líquidos de tesorería</w:t>
            </w:r>
          </w:p>
        </w:tc>
        <w:tc>
          <w:tcPr>
            <w:tcW w:w="817" w:type="pct"/>
            <w:tcBorders>
              <w:top w:val="single" w:sz="2" w:space="0" w:color="auto"/>
              <w:left w:val="nil"/>
              <w:bottom w:val="single" w:sz="2" w:space="0" w:color="auto"/>
              <w:right w:val="nil"/>
            </w:tcBorders>
            <w:vAlign w:val="center"/>
          </w:tcPr>
          <w:p w:rsidR="000D2C76" w:rsidRPr="00AC5F28" w:rsidRDefault="000D2C76" w:rsidP="000D2C76">
            <w:pPr>
              <w:pStyle w:val="cuatexto"/>
              <w:jc w:val="right"/>
              <w:rPr>
                <w:szCs w:val="20"/>
                <w:lang w:val="es-ES" w:eastAsia="es-ES"/>
              </w:rPr>
            </w:pPr>
            <w:r>
              <w:rPr>
                <w:szCs w:val="20"/>
                <w:lang w:val="es-ES" w:eastAsia="es-ES"/>
              </w:rPr>
              <w:t>151.300</w:t>
            </w:r>
          </w:p>
        </w:tc>
        <w:tc>
          <w:tcPr>
            <w:tcW w:w="817" w:type="pct"/>
            <w:tcBorders>
              <w:top w:val="single" w:sz="2" w:space="0" w:color="auto"/>
              <w:left w:val="nil"/>
              <w:bottom w:val="single" w:sz="2" w:space="0" w:color="auto"/>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122.106</w:t>
            </w:r>
          </w:p>
        </w:tc>
      </w:tr>
      <w:tr w:rsidR="000D2C76" w:rsidRPr="00AC5F28" w:rsidTr="006C56A8">
        <w:trPr>
          <w:trHeight w:val="255"/>
        </w:trPr>
        <w:tc>
          <w:tcPr>
            <w:tcW w:w="3366" w:type="pct"/>
            <w:tcBorders>
              <w:top w:val="single" w:sz="2" w:space="0" w:color="auto"/>
              <w:left w:val="nil"/>
              <w:bottom w:val="single" w:sz="4" w:space="0" w:color="auto"/>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 Desviaciones financiación acumuladas negativas</w:t>
            </w:r>
          </w:p>
        </w:tc>
        <w:tc>
          <w:tcPr>
            <w:tcW w:w="817" w:type="pct"/>
            <w:tcBorders>
              <w:top w:val="single" w:sz="2" w:space="0" w:color="auto"/>
              <w:left w:val="nil"/>
              <w:bottom w:val="single" w:sz="4" w:space="0" w:color="auto"/>
              <w:right w:val="nil"/>
            </w:tcBorders>
            <w:vAlign w:val="center"/>
          </w:tcPr>
          <w:p w:rsidR="000D2C76" w:rsidRPr="00AC5F28" w:rsidRDefault="000D2C76" w:rsidP="000D2C76">
            <w:pPr>
              <w:pStyle w:val="cuatexto"/>
              <w:jc w:val="right"/>
              <w:rPr>
                <w:szCs w:val="20"/>
                <w:lang w:val="es-ES" w:eastAsia="es-ES"/>
              </w:rPr>
            </w:pPr>
            <w:r>
              <w:rPr>
                <w:szCs w:val="20"/>
                <w:lang w:val="es-ES" w:eastAsia="es-ES"/>
              </w:rPr>
              <w:t>0</w:t>
            </w:r>
          </w:p>
        </w:tc>
        <w:tc>
          <w:tcPr>
            <w:tcW w:w="817" w:type="pct"/>
            <w:tcBorders>
              <w:top w:val="single" w:sz="2" w:space="0" w:color="auto"/>
              <w:left w:val="nil"/>
              <w:bottom w:val="single" w:sz="4" w:space="0" w:color="auto"/>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0</w:t>
            </w:r>
          </w:p>
        </w:tc>
      </w:tr>
      <w:tr w:rsidR="000D2C76" w:rsidRPr="009B28F2" w:rsidTr="006C56A8">
        <w:trPr>
          <w:trHeight w:val="255"/>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0D2C76" w:rsidRPr="009B28F2" w:rsidRDefault="000D2C76" w:rsidP="000D2C76">
            <w:pPr>
              <w:pStyle w:val="cuatexto"/>
              <w:jc w:val="left"/>
              <w:rPr>
                <w:b/>
                <w:szCs w:val="20"/>
                <w:lang w:val="es-ES" w:eastAsia="es-ES"/>
              </w:rPr>
            </w:pPr>
            <w:r w:rsidRPr="009B28F2">
              <w:rPr>
                <w:b/>
                <w:szCs w:val="20"/>
                <w:lang w:val="es-ES" w:eastAsia="es-ES"/>
              </w:rPr>
              <w:t>Remanente de tesorería total</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0D2C76" w:rsidRPr="009B28F2" w:rsidRDefault="000D2C76" w:rsidP="000D2C76">
            <w:pPr>
              <w:pStyle w:val="cuatexto"/>
              <w:jc w:val="right"/>
              <w:rPr>
                <w:b/>
                <w:szCs w:val="20"/>
                <w:lang w:val="es-ES" w:eastAsia="es-ES"/>
              </w:rPr>
            </w:pPr>
            <w:r>
              <w:rPr>
                <w:b/>
                <w:szCs w:val="20"/>
                <w:lang w:val="es-ES" w:eastAsia="es-ES"/>
              </w:rPr>
              <w:t>-158.200</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0D2C76" w:rsidRPr="009B28F2" w:rsidRDefault="000D2C76" w:rsidP="000D2C76">
            <w:pPr>
              <w:pStyle w:val="cuatexto"/>
              <w:jc w:val="right"/>
              <w:rPr>
                <w:b/>
                <w:szCs w:val="20"/>
                <w:lang w:val="es-ES" w:eastAsia="es-ES"/>
              </w:rPr>
            </w:pPr>
            <w:r>
              <w:rPr>
                <w:b/>
                <w:szCs w:val="20"/>
                <w:lang w:val="es-ES" w:eastAsia="es-ES"/>
              </w:rPr>
              <w:t>-266.407</w:t>
            </w:r>
          </w:p>
        </w:tc>
      </w:tr>
      <w:tr w:rsidR="000D2C76" w:rsidRPr="00AC5F28" w:rsidTr="006C56A8">
        <w:trPr>
          <w:trHeight w:val="255"/>
        </w:trPr>
        <w:tc>
          <w:tcPr>
            <w:tcW w:w="3366" w:type="pct"/>
            <w:tcBorders>
              <w:top w:val="single" w:sz="4" w:space="0" w:color="auto"/>
              <w:left w:val="nil"/>
              <w:bottom w:val="single" w:sz="2" w:space="0" w:color="auto"/>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Remanente de tesorería por gastos con financiación afectada</w:t>
            </w:r>
          </w:p>
        </w:tc>
        <w:tc>
          <w:tcPr>
            <w:tcW w:w="817" w:type="pct"/>
            <w:tcBorders>
              <w:top w:val="single" w:sz="4" w:space="0" w:color="auto"/>
              <w:left w:val="nil"/>
              <w:bottom w:val="single" w:sz="2" w:space="0" w:color="auto"/>
              <w:right w:val="nil"/>
            </w:tcBorders>
            <w:vAlign w:val="center"/>
          </w:tcPr>
          <w:p w:rsidR="000D2C76" w:rsidRPr="00AC5F28" w:rsidRDefault="000D2C76" w:rsidP="000D2C76">
            <w:pPr>
              <w:pStyle w:val="cuatexto"/>
              <w:jc w:val="right"/>
              <w:rPr>
                <w:szCs w:val="20"/>
                <w:lang w:val="es-ES" w:eastAsia="es-ES"/>
              </w:rPr>
            </w:pPr>
            <w:r>
              <w:rPr>
                <w:szCs w:val="20"/>
                <w:lang w:val="es-ES" w:eastAsia="es-ES"/>
              </w:rPr>
              <w:t>0</w:t>
            </w:r>
          </w:p>
        </w:tc>
        <w:tc>
          <w:tcPr>
            <w:tcW w:w="817" w:type="pct"/>
            <w:tcBorders>
              <w:top w:val="single" w:sz="4" w:space="0" w:color="auto"/>
              <w:left w:val="nil"/>
              <w:bottom w:val="single" w:sz="2" w:space="0" w:color="auto"/>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0</w:t>
            </w:r>
          </w:p>
        </w:tc>
      </w:tr>
      <w:tr w:rsidR="000D2C76" w:rsidRPr="00AC5F28" w:rsidTr="000D2C76">
        <w:trPr>
          <w:trHeight w:val="255"/>
        </w:trPr>
        <w:tc>
          <w:tcPr>
            <w:tcW w:w="3366" w:type="pct"/>
            <w:tcBorders>
              <w:top w:val="single" w:sz="2" w:space="0" w:color="auto"/>
              <w:left w:val="nil"/>
              <w:bottom w:val="single" w:sz="2" w:space="0" w:color="auto"/>
              <w:right w:val="nil"/>
            </w:tcBorders>
            <w:shd w:val="clear" w:color="auto" w:fill="auto"/>
            <w:vAlign w:val="center"/>
          </w:tcPr>
          <w:p w:rsidR="000D2C76" w:rsidRPr="00AC5F28" w:rsidRDefault="000D2C76" w:rsidP="000D2C76">
            <w:pPr>
              <w:pStyle w:val="cuatexto"/>
              <w:jc w:val="left"/>
              <w:rPr>
                <w:szCs w:val="20"/>
                <w:lang w:val="es-ES" w:eastAsia="es-ES"/>
              </w:rPr>
            </w:pPr>
            <w:r w:rsidRPr="00AC5F28">
              <w:rPr>
                <w:szCs w:val="20"/>
                <w:lang w:val="es-ES" w:eastAsia="es-ES"/>
              </w:rPr>
              <w:t>Remanente de tesorería por recursos afectados</w:t>
            </w:r>
          </w:p>
        </w:tc>
        <w:tc>
          <w:tcPr>
            <w:tcW w:w="817" w:type="pct"/>
            <w:tcBorders>
              <w:top w:val="single" w:sz="2" w:space="0" w:color="auto"/>
              <w:left w:val="nil"/>
              <w:bottom w:val="single" w:sz="2" w:space="0" w:color="auto"/>
              <w:right w:val="nil"/>
            </w:tcBorders>
            <w:vAlign w:val="center"/>
          </w:tcPr>
          <w:p w:rsidR="000D2C76" w:rsidRPr="00AC5F28" w:rsidRDefault="000D2C76" w:rsidP="000D2C76">
            <w:pPr>
              <w:pStyle w:val="cuatexto"/>
              <w:jc w:val="right"/>
              <w:rPr>
                <w:szCs w:val="20"/>
                <w:lang w:val="es-ES" w:eastAsia="es-ES"/>
              </w:rPr>
            </w:pPr>
            <w:r>
              <w:rPr>
                <w:szCs w:val="20"/>
                <w:lang w:val="es-ES" w:eastAsia="es-ES"/>
              </w:rPr>
              <w:t>0</w:t>
            </w:r>
          </w:p>
        </w:tc>
        <w:tc>
          <w:tcPr>
            <w:tcW w:w="817" w:type="pct"/>
            <w:tcBorders>
              <w:top w:val="single" w:sz="2" w:space="0" w:color="auto"/>
              <w:left w:val="nil"/>
              <w:bottom w:val="single" w:sz="2" w:space="0" w:color="auto"/>
              <w:right w:val="nil"/>
            </w:tcBorders>
            <w:shd w:val="clear" w:color="auto" w:fill="auto"/>
            <w:vAlign w:val="center"/>
          </w:tcPr>
          <w:p w:rsidR="000D2C76" w:rsidRPr="00AC5F28" w:rsidRDefault="000D2C76" w:rsidP="000D2C76">
            <w:pPr>
              <w:pStyle w:val="cuatexto"/>
              <w:jc w:val="right"/>
              <w:rPr>
                <w:szCs w:val="20"/>
                <w:lang w:val="es-ES" w:eastAsia="es-ES"/>
              </w:rPr>
            </w:pPr>
            <w:r>
              <w:rPr>
                <w:szCs w:val="20"/>
                <w:lang w:val="es-ES" w:eastAsia="es-ES"/>
              </w:rPr>
              <w:t>0</w:t>
            </w:r>
          </w:p>
        </w:tc>
      </w:tr>
      <w:tr w:rsidR="000D2C76" w:rsidRPr="00AC5F28" w:rsidTr="000D2C76">
        <w:trPr>
          <w:trHeight w:val="255"/>
        </w:trPr>
        <w:tc>
          <w:tcPr>
            <w:tcW w:w="3366" w:type="pct"/>
            <w:tcBorders>
              <w:top w:val="single" w:sz="2" w:space="0" w:color="auto"/>
              <w:left w:val="nil"/>
              <w:bottom w:val="single" w:sz="4" w:space="0" w:color="auto"/>
              <w:right w:val="nil"/>
            </w:tcBorders>
            <w:shd w:val="clear" w:color="auto" w:fill="FFFFFF"/>
            <w:vAlign w:val="center"/>
          </w:tcPr>
          <w:p w:rsidR="000D2C76" w:rsidRPr="001C3E00" w:rsidRDefault="000D2C76" w:rsidP="000D2C76">
            <w:pPr>
              <w:pStyle w:val="cuatexto"/>
              <w:jc w:val="left"/>
              <w:rPr>
                <w:rFonts w:cs="Arial"/>
                <w:b/>
                <w:szCs w:val="20"/>
                <w:lang w:val="es-ES" w:eastAsia="es-ES"/>
              </w:rPr>
            </w:pPr>
            <w:r w:rsidRPr="001C3E00">
              <w:rPr>
                <w:rFonts w:cs="Arial"/>
                <w:b/>
                <w:szCs w:val="20"/>
                <w:lang w:val="es-ES" w:eastAsia="es-ES"/>
              </w:rPr>
              <w:t>Remanente de tesorería para gastos generales</w:t>
            </w:r>
          </w:p>
        </w:tc>
        <w:tc>
          <w:tcPr>
            <w:tcW w:w="817" w:type="pct"/>
            <w:tcBorders>
              <w:top w:val="single" w:sz="2" w:space="0" w:color="auto"/>
              <w:left w:val="nil"/>
              <w:bottom w:val="single" w:sz="4" w:space="0" w:color="auto"/>
              <w:right w:val="nil"/>
            </w:tcBorders>
            <w:shd w:val="clear" w:color="auto" w:fill="FFFFFF"/>
            <w:vAlign w:val="center"/>
          </w:tcPr>
          <w:p w:rsidR="000D2C76" w:rsidRPr="001C3E00" w:rsidRDefault="000D2C76" w:rsidP="000D2C76">
            <w:pPr>
              <w:pStyle w:val="cuatexto"/>
              <w:jc w:val="right"/>
              <w:rPr>
                <w:rFonts w:cs="Arial"/>
                <w:b/>
                <w:szCs w:val="20"/>
                <w:lang w:val="es-ES" w:eastAsia="es-ES"/>
              </w:rPr>
            </w:pPr>
            <w:r>
              <w:rPr>
                <w:rFonts w:cs="Arial"/>
                <w:b/>
                <w:szCs w:val="20"/>
                <w:lang w:val="es-ES" w:eastAsia="es-ES"/>
              </w:rPr>
              <w:t>-158.200</w:t>
            </w:r>
          </w:p>
        </w:tc>
        <w:tc>
          <w:tcPr>
            <w:tcW w:w="817" w:type="pct"/>
            <w:tcBorders>
              <w:top w:val="single" w:sz="2" w:space="0" w:color="auto"/>
              <w:left w:val="nil"/>
              <w:bottom w:val="single" w:sz="4" w:space="0" w:color="auto"/>
              <w:right w:val="nil"/>
            </w:tcBorders>
            <w:shd w:val="clear" w:color="auto" w:fill="FFFFFF"/>
            <w:vAlign w:val="center"/>
          </w:tcPr>
          <w:p w:rsidR="000D2C76" w:rsidRPr="001C3E00" w:rsidRDefault="000D2C76" w:rsidP="000D2C76">
            <w:pPr>
              <w:pStyle w:val="cuatexto"/>
              <w:jc w:val="right"/>
              <w:rPr>
                <w:rFonts w:cs="Arial"/>
                <w:b/>
                <w:szCs w:val="20"/>
                <w:lang w:val="es-ES" w:eastAsia="es-ES"/>
              </w:rPr>
            </w:pPr>
            <w:r>
              <w:rPr>
                <w:rFonts w:cs="Arial"/>
                <w:b/>
                <w:szCs w:val="20"/>
                <w:lang w:val="es-ES" w:eastAsia="es-ES"/>
              </w:rPr>
              <w:t>-266.407</w:t>
            </w:r>
          </w:p>
        </w:tc>
      </w:tr>
    </w:tbl>
    <w:p w:rsidR="000D2C76" w:rsidRPr="009B28F2" w:rsidRDefault="000D2C76" w:rsidP="000D2C76">
      <w:pPr>
        <w:pStyle w:val="texto"/>
        <w:ind w:firstLine="0"/>
        <w:rPr>
          <w:rFonts w:ascii="Arial" w:hAnsi="Arial" w:cs="Arial"/>
          <w:sz w:val="16"/>
          <w:szCs w:val="16"/>
        </w:rPr>
      </w:pPr>
    </w:p>
    <w:p w:rsidR="000D2C76" w:rsidRPr="00256775" w:rsidRDefault="000D2C76" w:rsidP="000D2C76">
      <w:pPr>
        <w:pStyle w:val="atitulo2"/>
        <w:rPr>
          <w:color w:val="auto"/>
        </w:rPr>
      </w:pPr>
      <w:r>
        <w:rPr>
          <w:rFonts w:cs="Arial"/>
        </w:rPr>
        <w:br w:type="page"/>
      </w:r>
      <w:bookmarkStart w:id="24" w:name="_Toc469315863"/>
      <w:bookmarkStart w:id="25" w:name="_Toc475093090"/>
      <w:r w:rsidRPr="00256775">
        <w:rPr>
          <w:rFonts w:cs="Arial"/>
          <w:color w:val="auto"/>
        </w:rPr>
        <w:t xml:space="preserve">III.4. </w:t>
      </w:r>
      <w:r w:rsidRPr="00256775">
        <w:rPr>
          <w:color w:val="auto"/>
        </w:rPr>
        <w:t>Balance de Situación a 31 de diciembre de 2015</w:t>
      </w:r>
      <w:bookmarkEnd w:id="24"/>
      <w:bookmarkEnd w:id="25"/>
    </w:p>
    <w:p w:rsidR="000D2C76" w:rsidRPr="00256775" w:rsidRDefault="000D2C76" w:rsidP="000D2C76">
      <w:pPr>
        <w:pStyle w:val="CuadroTtulo"/>
        <w:jc w:val="center"/>
      </w:pPr>
      <w:r w:rsidRPr="00256775">
        <w:t>Activo</w:t>
      </w:r>
    </w:p>
    <w:p w:rsidR="00A07E3E" w:rsidRPr="00256775" w:rsidRDefault="00A07E3E" w:rsidP="00A07E3E">
      <w:pPr>
        <w:pStyle w:val="CuadroTtulo"/>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A07E3E" w:rsidRPr="00256775" w:rsidTr="00A270D4">
        <w:trPr>
          <w:cantSplit/>
          <w:trHeight w:val="340"/>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A07E3E" w:rsidRPr="00256775" w:rsidRDefault="00A07E3E" w:rsidP="00A270D4">
            <w:pPr>
              <w:pStyle w:val="cuatexto"/>
              <w:jc w:val="left"/>
              <w:rPr>
                <w:rFonts w:ascii="Arial" w:hAnsi="Arial" w:cs="Arial"/>
                <w:sz w:val="18"/>
                <w:szCs w:val="18"/>
                <w:lang w:val="es-ES" w:eastAsia="es-ES"/>
              </w:rPr>
            </w:pPr>
            <w:r w:rsidRPr="00256775">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A07E3E" w:rsidRPr="00256775" w:rsidRDefault="00A07E3E" w:rsidP="00A270D4">
            <w:pPr>
              <w:pStyle w:val="cuatexto"/>
              <w:jc w:val="right"/>
              <w:rPr>
                <w:rFonts w:ascii="Arial" w:hAnsi="Arial" w:cs="Arial"/>
                <w:sz w:val="18"/>
                <w:szCs w:val="18"/>
                <w:lang w:val="es-ES" w:eastAsia="es-ES"/>
              </w:rPr>
            </w:pPr>
            <w:r w:rsidRPr="00256775">
              <w:rPr>
                <w:rFonts w:ascii="Arial" w:hAnsi="Arial" w:cs="Arial"/>
                <w:sz w:val="18"/>
                <w:szCs w:val="18"/>
                <w:lang w:eastAsia="es-ES"/>
              </w:rPr>
              <w:t>2014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A07E3E" w:rsidRPr="00256775" w:rsidRDefault="00A07E3E" w:rsidP="00A270D4">
            <w:pPr>
              <w:pStyle w:val="cuatexto"/>
              <w:jc w:val="right"/>
              <w:rPr>
                <w:rFonts w:ascii="Arial" w:hAnsi="Arial" w:cs="Arial"/>
                <w:sz w:val="18"/>
                <w:szCs w:val="18"/>
                <w:lang w:val="es-ES" w:eastAsia="es-ES"/>
              </w:rPr>
            </w:pPr>
            <w:r w:rsidRPr="00256775">
              <w:rPr>
                <w:rFonts w:ascii="Arial" w:hAnsi="Arial" w:cs="Arial"/>
                <w:sz w:val="18"/>
                <w:szCs w:val="18"/>
                <w:lang w:eastAsia="es-ES"/>
              </w:rPr>
              <w:t>2015</w:t>
            </w:r>
          </w:p>
        </w:tc>
      </w:tr>
      <w:tr w:rsidR="00A07E3E" w:rsidRPr="00256775" w:rsidTr="00A270D4">
        <w:trPr>
          <w:cantSplit/>
          <w:trHeight w:val="255"/>
        </w:trPr>
        <w:tc>
          <w:tcPr>
            <w:tcW w:w="360" w:type="dxa"/>
            <w:tcBorders>
              <w:top w:val="single" w:sz="2" w:space="0" w:color="auto"/>
              <w:left w:val="nil"/>
              <w:right w:val="nil"/>
            </w:tcBorders>
            <w:shd w:val="clear" w:color="auto" w:fill="auto"/>
            <w:vAlign w:val="center"/>
          </w:tcPr>
          <w:p w:rsidR="00A07E3E" w:rsidRPr="00256775" w:rsidRDefault="00A07E3E" w:rsidP="00A270D4">
            <w:pPr>
              <w:pStyle w:val="cuatexto"/>
              <w:jc w:val="left"/>
              <w:rPr>
                <w:szCs w:val="20"/>
                <w:lang w:eastAsia="es-ES"/>
              </w:rPr>
            </w:pPr>
            <w:r>
              <w:rPr>
                <w:szCs w:val="20"/>
                <w:lang w:eastAsia="es-ES"/>
              </w:rPr>
              <w:t>A</w:t>
            </w:r>
          </w:p>
        </w:tc>
        <w:tc>
          <w:tcPr>
            <w:tcW w:w="5739" w:type="dxa"/>
            <w:tcBorders>
              <w:top w:val="single" w:sz="2" w:space="0" w:color="auto"/>
              <w:left w:val="nil"/>
              <w:right w:val="nil"/>
            </w:tcBorders>
            <w:shd w:val="clear" w:color="auto" w:fill="auto"/>
            <w:vAlign w:val="center"/>
          </w:tcPr>
          <w:p w:rsidR="00A07E3E" w:rsidRPr="00256775" w:rsidRDefault="00A07E3E" w:rsidP="00A270D4">
            <w:pPr>
              <w:pStyle w:val="cuatexto"/>
              <w:jc w:val="left"/>
              <w:rPr>
                <w:szCs w:val="20"/>
                <w:lang w:eastAsia="es-ES"/>
              </w:rPr>
            </w:pPr>
            <w:r>
              <w:rPr>
                <w:szCs w:val="20"/>
                <w:lang w:eastAsia="es-ES"/>
              </w:rPr>
              <w:t>Inmovilizado</w:t>
            </w:r>
          </w:p>
        </w:tc>
        <w:tc>
          <w:tcPr>
            <w:tcW w:w="1440" w:type="dxa"/>
            <w:tcBorders>
              <w:top w:val="single" w:sz="2" w:space="0" w:color="auto"/>
              <w:left w:val="nil"/>
              <w:right w:val="nil"/>
            </w:tcBorders>
            <w:shd w:val="clear" w:color="auto" w:fill="auto"/>
            <w:vAlign w:val="center"/>
          </w:tcPr>
          <w:p w:rsidR="00A07E3E" w:rsidRPr="00256775" w:rsidRDefault="00A07E3E" w:rsidP="00A270D4">
            <w:pPr>
              <w:pStyle w:val="cuatexto"/>
              <w:jc w:val="right"/>
              <w:rPr>
                <w:rFonts w:cs="Arial"/>
                <w:szCs w:val="20"/>
                <w:lang w:eastAsia="es-ES"/>
              </w:rPr>
            </w:pPr>
            <w:r>
              <w:rPr>
                <w:rFonts w:cs="Arial"/>
                <w:szCs w:val="20"/>
                <w:lang w:eastAsia="es-ES"/>
              </w:rPr>
              <w:t>0</w:t>
            </w:r>
          </w:p>
        </w:tc>
        <w:tc>
          <w:tcPr>
            <w:tcW w:w="1320" w:type="dxa"/>
            <w:tcBorders>
              <w:top w:val="single" w:sz="2" w:space="0" w:color="auto"/>
              <w:left w:val="nil"/>
              <w:right w:val="nil"/>
            </w:tcBorders>
            <w:shd w:val="clear" w:color="auto" w:fill="auto"/>
            <w:vAlign w:val="center"/>
          </w:tcPr>
          <w:p w:rsidR="00A07E3E" w:rsidRPr="00256775" w:rsidRDefault="00A07E3E" w:rsidP="00A270D4">
            <w:pPr>
              <w:pStyle w:val="cuatexto"/>
              <w:jc w:val="right"/>
              <w:rPr>
                <w:rFonts w:cs="Arial"/>
                <w:szCs w:val="20"/>
                <w:lang w:eastAsia="es-ES"/>
              </w:rPr>
            </w:pPr>
            <w:r>
              <w:rPr>
                <w:rFonts w:cs="Arial"/>
                <w:szCs w:val="20"/>
                <w:lang w:eastAsia="es-ES"/>
              </w:rPr>
              <w:t>0</w:t>
            </w:r>
          </w:p>
        </w:tc>
      </w:tr>
      <w:tr w:rsidR="00A07E3E" w:rsidRPr="00256775" w:rsidTr="00A270D4">
        <w:trPr>
          <w:cantSplit/>
          <w:trHeight w:val="255"/>
        </w:trPr>
        <w:tc>
          <w:tcPr>
            <w:tcW w:w="360" w:type="dxa"/>
            <w:tcBorders>
              <w:top w:val="single" w:sz="2" w:space="0" w:color="auto"/>
              <w:left w:val="nil"/>
              <w:bottom w:val="single" w:sz="2" w:space="0" w:color="auto"/>
              <w:right w:val="nil"/>
            </w:tcBorders>
            <w:shd w:val="clear" w:color="auto" w:fill="auto"/>
            <w:vAlign w:val="center"/>
          </w:tcPr>
          <w:p w:rsidR="00A07E3E" w:rsidRPr="00256775" w:rsidRDefault="00A07E3E" w:rsidP="00A270D4">
            <w:pPr>
              <w:pStyle w:val="cuatexto"/>
              <w:jc w:val="left"/>
              <w:rPr>
                <w:rFonts w:cs="Arial"/>
                <w:szCs w:val="20"/>
                <w:lang w:val="es-ES" w:eastAsia="es-ES"/>
              </w:rPr>
            </w:pPr>
            <w:r w:rsidRPr="00256775">
              <w:rPr>
                <w:rFonts w:cs="Arial"/>
                <w:szCs w:val="20"/>
                <w:lang w:eastAsia="es-ES"/>
              </w:rPr>
              <w:t>C</w:t>
            </w:r>
          </w:p>
        </w:tc>
        <w:tc>
          <w:tcPr>
            <w:tcW w:w="5739" w:type="dxa"/>
            <w:tcBorders>
              <w:top w:val="single" w:sz="2" w:space="0" w:color="auto"/>
              <w:left w:val="nil"/>
              <w:bottom w:val="single" w:sz="2" w:space="0" w:color="auto"/>
              <w:right w:val="nil"/>
            </w:tcBorders>
            <w:shd w:val="clear" w:color="auto" w:fill="auto"/>
            <w:vAlign w:val="center"/>
          </w:tcPr>
          <w:p w:rsidR="00A07E3E" w:rsidRPr="00256775" w:rsidRDefault="00A07E3E" w:rsidP="00A270D4">
            <w:pPr>
              <w:pStyle w:val="cuatexto"/>
              <w:jc w:val="left"/>
              <w:rPr>
                <w:rFonts w:cs="Arial"/>
                <w:szCs w:val="20"/>
                <w:lang w:val="es-ES" w:eastAsia="es-ES"/>
              </w:rPr>
            </w:pPr>
            <w:r w:rsidRPr="00256775">
              <w:rPr>
                <w:rFonts w:cs="Arial"/>
                <w:szCs w:val="20"/>
                <w:lang w:eastAsia="es-ES"/>
              </w:rPr>
              <w:t>Circulante</w:t>
            </w:r>
          </w:p>
        </w:tc>
        <w:tc>
          <w:tcPr>
            <w:tcW w:w="1440" w:type="dxa"/>
            <w:tcBorders>
              <w:top w:val="single" w:sz="2" w:space="0" w:color="auto"/>
              <w:left w:val="nil"/>
              <w:bottom w:val="single" w:sz="2" w:space="0" w:color="auto"/>
              <w:right w:val="nil"/>
            </w:tcBorders>
            <w:shd w:val="clear" w:color="auto" w:fill="auto"/>
            <w:vAlign w:val="center"/>
          </w:tcPr>
          <w:p w:rsidR="00A07E3E" w:rsidRPr="00256775" w:rsidRDefault="00A07E3E" w:rsidP="00A270D4">
            <w:pPr>
              <w:pStyle w:val="cuatexto"/>
              <w:jc w:val="right"/>
              <w:rPr>
                <w:rFonts w:cs="Arial"/>
                <w:szCs w:val="20"/>
                <w:lang w:eastAsia="es-ES"/>
              </w:rPr>
            </w:pPr>
            <w:r>
              <w:rPr>
                <w:rFonts w:cs="Arial"/>
                <w:szCs w:val="20"/>
                <w:lang w:eastAsia="es-ES"/>
              </w:rPr>
              <w:t>263.632</w:t>
            </w:r>
          </w:p>
        </w:tc>
        <w:tc>
          <w:tcPr>
            <w:tcW w:w="1320" w:type="dxa"/>
            <w:tcBorders>
              <w:top w:val="single" w:sz="2" w:space="0" w:color="auto"/>
              <w:left w:val="nil"/>
              <w:bottom w:val="single" w:sz="2" w:space="0" w:color="auto"/>
              <w:right w:val="nil"/>
            </w:tcBorders>
            <w:shd w:val="clear" w:color="auto" w:fill="auto"/>
            <w:vAlign w:val="center"/>
          </w:tcPr>
          <w:p w:rsidR="00A07E3E" w:rsidRPr="00256775" w:rsidRDefault="00A07E3E" w:rsidP="00A270D4">
            <w:pPr>
              <w:pStyle w:val="cuatexto"/>
              <w:jc w:val="right"/>
              <w:rPr>
                <w:rFonts w:cs="Arial"/>
                <w:szCs w:val="20"/>
                <w:lang w:eastAsia="es-ES"/>
              </w:rPr>
            </w:pPr>
            <w:r>
              <w:rPr>
                <w:rFonts w:cs="Arial"/>
                <w:szCs w:val="20"/>
                <w:lang w:eastAsia="es-ES"/>
              </w:rPr>
              <w:t>339.490</w:t>
            </w:r>
          </w:p>
        </w:tc>
      </w:tr>
      <w:tr w:rsidR="00A07E3E" w:rsidRPr="00256775" w:rsidTr="00A270D4">
        <w:trPr>
          <w:cantSplit/>
          <w:trHeight w:val="255"/>
        </w:trPr>
        <w:tc>
          <w:tcPr>
            <w:tcW w:w="360" w:type="dxa"/>
            <w:tcBorders>
              <w:top w:val="single" w:sz="2" w:space="0" w:color="auto"/>
              <w:left w:val="nil"/>
              <w:right w:val="nil"/>
            </w:tcBorders>
            <w:shd w:val="clear" w:color="auto" w:fill="auto"/>
            <w:vAlign w:val="center"/>
          </w:tcPr>
          <w:p w:rsidR="00A07E3E" w:rsidRPr="00256775" w:rsidRDefault="00A07E3E" w:rsidP="00A270D4">
            <w:pPr>
              <w:pStyle w:val="cuatexto"/>
              <w:jc w:val="left"/>
              <w:rPr>
                <w:szCs w:val="20"/>
                <w:lang w:eastAsia="es-ES"/>
              </w:rPr>
            </w:pPr>
            <w:r>
              <w:rPr>
                <w:szCs w:val="20"/>
                <w:lang w:eastAsia="es-ES"/>
              </w:rPr>
              <w:t>7</w:t>
            </w:r>
          </w:p>
        </w:tc>
        <w:tc>
          <w:tcPr>
            <w:tcW w:w="5739" w:type="dxa"/>
            <w:tcBorders>
              <w:top w:val="single" w:sz="2" w:space="0" w:color="auto"/>
              <w:left w:val="nil"/>
              <w:right w:val="nil"/>
            </w:tcBorders>
            <w:shd w:val="clear" w:color="auto" w:fill="auto"/>
            <w:vAlign w:val="center"/>
          </w:tcPr>
          <w:p w:rsidR="00A07E3E" w:rsidRPr="00256775" w:rsidRDefault="00A07E3E" w:rsidP="00A270D4">
            <w:pPr>
              <w:pStyle w:val="cuatexto"/>
              <w:jc w:val="left"/>
              <w:rPr>
                <w:szCs w:val="20"/>
                <w:lang w:eastAsia="es-ES"/>
              </w:rPr>
            </w:pPr>
            <w:r>
              <w:rPr>
                <w:szCs w:val="20"/>
                <w:lang w:eastAsia="es-ES"/>
              </w:rPr>
              <w:t>Deudores presupuestos cerrados y extrapresupuestarios</w:t>
            </w:r>
          </w:p>
        </w:tc>
        <w:tc>
          <w:tcPr>
            <w:tcW w:w="1440" w:type="dxa"/>
            <w:tcBorders>
              <w:top w:val="single" w:sz="2" w:space="0" w:color="auto"/>
              <w:left w:val="nil"/>
              <w:right w:val="nil"/>
            </w:tcBorders>
            <w:shd w:val="clear" w:color="auto" w:fill="auto"/>
            <w:vAlign w:val="center"/>
          </w:tcPr>
          <w:p w:rsidR="00A07E3E" w:rsidRPr="00256775" w:rsidRDefault="00A07E3E" w:rsidP="00A270D4">
            <w:pPr>
              <w:pStyle w:val="cuatexto"/>
              <w:jc w:val="right"/>
              <w:rPr>
                <w:rFonts w:cs="Arial"/>
                <w:szCs w:val="20"/>
                <w:lang w:eastAsia="es-ES"/>
              </w:rPr>
            </w:pPr>
            <w:r>
              <w:rPr>
                <w:rFonts w:cs="Arial"/>
                <w:szCs w:val="20"/>
                <w:lang w:eastAsia="es-ES"/>
              </w:rPr>
              <w:t>43.609</w:t>
            </w:r>
          </w:p>
        </w:tc>
        <w:tc>
          <w:tcPr>
            <w:tcW w:w="1320" w:type="dxa"/>
            <w:tcBorders>
              <w:top w:val="single" w:sz="2" w:space="0" w:color="auto"/>
              <w:left w:val="nil"/>
              <w:right w:val="nil"/>
            </w:tcBorders>
            <w:shd w:val="clear" w:color="auto" w:fill="auto"/>
            <w:vAlign w:val="center"/>
          </w:tcPr>
          <w:p w:rsidR="00A07E3E" w:rsidRPr="00256775" w:rsidRDefault="00A07E3E" w:rsidP="00A270D4">
            <w:pPr>
              <w:pStyle w:val="cuatexto"/>
              <w:jc w:val="right"/>
              <w:rPr>
                <w:szCs w:val="20"/>
                <w:lang w:val="es-ES" w:eastAsia="es-ES"/>
              </w:rPr>
            </w:pPr>
            <w:r>
              <w:rPr>
                <w:szCs w:val="20"/>
                <w:lang w:val="es-ES" w:eastAsia="es-ES"/>
              </w:rPr>
              <w:t>60.430</w:t>
            </w:r>
          </w:p>
        </w:tc>
      </w:tr>
      <w:tr w:rsidR="00A07E3E" w:rsidRPr="00256775" w:rsidTr="00A270D4">
        <w:trPr>
          <w:cantSplit/>
          <w:trHeight w:val="255"/>
        </w:trPr>
        <w:tc>
          <w:tcPr>
            <w:tcW w:w="360" w:type="dxa"/>
            <w:tcBorders>
              <w:left w:val="nil"/>
              <w:right w:val="nil"/>
            </w:tcBorders>
            <w:shd w:val="clear" w:color="auto" w:fill="auto"/>
            <w:vAlign w:val="center"/>
          </w:tcPr>
          <w:p w:rsidR="00A07E3E" w:rsidRPr="00256775" w:rsidRDefault="00A07E3E" w:rsidP="00A270D4">
            <w:pPr>
              <w:pStyle w:val="cuatexto"/>
              <w:jc w:val="left"/>
              <w:rPr>
                <w:szCs w:val="20"/>
                <w:lang w:val="es-ES" w:eastAsia="es-ES"/>
              </w:rPr>
            </w:pPr>
            <w:r w:rsidRPr="00256775">
              <w:rPr>
                <w:szCs w:val="20"/>
                <w:lang w:eastAsia="es-ES"/>
              </w:rPr>
              <w:t>8</w:t>
            </w:r>
          </w:p>
        </w:tc>
        <w:tc>
          <w:tcPr>
            <w:tcW w:w="5739" w:type="dxa"/>
            <w:tcBorders>
              <w:left w:val="nil"/>
              <w:right w:val="nil"/>
            </w:tcBorders>
            <w:shd w:val="clear" w:color="auto" w:fill="auto"/>
            <w:vAlign w:val="center"/>
          </w:tcPr>
          <w:p w:rsidR="00A07E3E" w:rsidRPr="00256775" w:rsidRDefault="00A07E3E" w:rsidP="00A270D4">
            <w:pPr>
              <w:pStyle w:val="cuatexto"/>
              <w:jc w:val="left"/>
              <w:rPr>
                <w:szCs w:val="20"/>
                <w:lang w:val="es-ES" w:eastAsia="es-ES"/>
              </w:rPr>
            </w:pPr>
            <w:r w:rsidRPr="00256775">
              <w:rPr>
                <w:szCs w:val="20"/>
                <w:lang w:eastAsia="es-ES"/>
              </w:rPr>
              <w:t>Deudores</w:t>
            </w:r>
            <w:r>
              <w:rPr>
                <w:szCs w:val="20"/>
                <w:lang w:eastAsia="es-ES"/>
              </w:rPr>
              <w:t xml:space="preserve"> del presupuesto</w:t>
            </w:r>
          </w:p>
        </w:tc>
        <w:tc>
          <w:tcPr>
            <w:tcW w:w="1440" w:type="dxa"/>
            <w:tcBorders>
              <w:left w:val="nil"/>
              <w:right w:val="nil"/>
            </w:tcBorders>
            <w:shd w:val="clear" w:color="auto" w:fill="auto"/>
            <w:vAlign w:val="center"/>
          </w:tcPr>
          <w:p w:rsidR="00A07E3E" w:rsidRPr="00256775" w:rsidRDefault="00A07E3E" w:rsidP="00A270D4">
            <w:pPr>
              <w:pStyle w:val="cuatexto"/>
              <w:jc w:val="right"/>
              <w:rPr>
                <w:rFonts w:cs="Arial"/>
                <w:szCs w:val="20"/>
                <w:lang w:eastAsia="es-ES"/>
              </w:rPr>
            </w:pPr>
            <w:r>
              <w:rPr>
                <w:rFonts w:cs="Arial"/>
                <w:szCs w:val="20"/>
                <w:lang w:eastAsia="es-ES"/>
              </w:rPr>
              <w:t>68.723</w:t>
            </w:r>
          </w:p>
        </w:tc>
        <w:tc>
          <w:tcPr>
            <w:tcW w:w="1320" w:type="dxa"/>
            <w:tcBorders>
              <w:left w:val="nil"/>
              <w:right w:val="nil"/>
            </w:tcBorders>
            <w:shd w:val="clear" w:color="auto" w:fill="auto"/>
            <w:vAlign w:val="center"/>
          </w:tcPr>
          <w:p w:rsidR="00A07E3E" w:rsidRPr="00256775" w:rsidRDefault="00A07E3E" w:rsidP="00A270D4">
            <w:pPr>
              <w:pStyle w:val="cuatexto"/>
              <w:jc w:val="right"/>
              <w:rPr>
                <w:szCs w:val="20"/>
                <w:lang w:val="es-ES" w:eastAsia="es-ES"/>
              </w:rPr>
            </w:pPr>
            <w:r>
              <w:rPr>
                <w:szCs w:val="20"/>
                <w:lang w:val="es-ES" w:eastAsia="es-ES"/>
              </w:rPr>
              <w:t>156.954</w:t>
            </w:r>
          </w:p>
        </w:tc>
      </w:tr>
      <w:tr w:rsidR="00A07E3E" w:rsidRPr="00256775" w:rsidTr="00A270D4">
        <w:trPr>
          <w:cantSplit/>
          <w:trHeight w:val="255"/>
        </w:trPr>
        <w:tc>
          <w:tcPr>
            <w:tcW w:w="360" w:type="dxa"/>
            <w:tcBorders>
              <w:left w:val="nil"/>
              <w:bottom w:val="single" w:sz="2" w:space="0" w:color="auto"/>
              <w:right w:val="nil"/>
            </w:tcBorders>
            <w:shd w:val="clear" w:color="auto" w:fill="auto"/>
            <w:vAlign w:val="center"/>
          </w:tcPr>
          <w:p w:rsidR="00A07E3E" w:rsidRPr="00256775" w:rsidRDefault="00A07E3E" w:rsidP="00A270D4">
            <w:pPr>
              <w:pStyle w:val="cuatexto"/>
              <w:jc w:val="left"/>
              <w:rPr>
                <w:szCs w:val="20"/>
                <w:lang w:val="es-ES" w:eastAsia="es-ES"/>
              </w:rPr>
            </w:pPr>
            <w:r w:rsidRPr="00256775">
              <w:rPr>
                <w:szCs w:val="20"/>
                <w:lang w:eastAsia="es-ES"/>
              </w:rPr>
              <w:t>9</w:t>
            </w:r>
          </w:p>
        </w:tc>
        <w:tc>
          <w:tcPr>
            <w:tcW w:w="5739" w:type="dxa"/>
            <w:tcBorders>
              <w:left w:val="nil"/>
              <w:bottom w:val="single" w:sz="2" w:space="0" w:color="auto"/>
              <w:right w:val="nil"/>
            </w:tcBorders>
            <w:shd w:val="clear" w:color="auto" w:fill="auto"/>
            <w:vAlign w:val="center"/>
          </w:tcPr>
          <w:p w:rsidR="00A07E3E" w:rsidRPr="00256775" w:rsidRDefault="00A07E3E" w:rsidP="00A270D4">
            <w:pPr>
              <w:pStyle w:val="cuatexto"/>
              <w:jc w:val="left"/>
              <w:rPr>
                <w:szCs w:val="20"/>
                <w:lang w:val="es-ES" w:eastAsia="es-ES"/>
              </w:rPr>
            </w:pPr>
            <w:r w:rsidRPr="00256775">
              <w:rPr>
                <w:szCs w:val="20"/>
                <w:lang w:eastAsia="es-ES"/>
              </w:rPr>
              <w:t>Cuentas financieras</w:t>
            </w:r>
          </w:p>
        </w:tc>
        <w:tc>
          <w:tcPr>
            <w:tcW w:w="1440" w:type="dxa"/>
            <w:tcBorders>
              <w:left w:val="nil"/>
              <w:bottom w:val="single" w:sz="2" w:space="0" w:color="auto"/>
              <w:right w:val="nil"/>
            </w:tcBorders>
            <w:shd w:val="clear" w:color="auto" w:fill="auto"/>
            <w:vAlign w:val="center"/>
          </w:tcPr>
          <w:p w:rsidR="00A07E3E" w:rsidRPr="00256775" w:rsidRDefault="00A07E3E" w:rsidP="00A270D4">
            <w:pPr>
              <w:pStyle w:val="cuatexto"/>
              <w:jc w:val="right"/>
              <w:rPr>
                <w:rFonts w:cs="Arial"/>
                <w:szCs w:val="20"/>
                <w:lang w:eastAsia="es-ES"/>
              </w:rPr>
            </w:pPr>
            <w:r>
              <w:rPr>
                <w:rFonts w:cs="Arial"/>
                <w:szCs w:val="20"/>
                <w:lang w:eastAsia="es-ES"/>
              </w:rPr>
              <w:t>151.300</w:t>
            </w:r>
          </w:p>
        </w:tc>
        <w:tc>
          <w:tcPr>
            <w:tcW w:w="1320" w:type="dxa"/>
            <w:tcBorders>
              <w:left w:val="nil"/>
              <w:bottom w:val="single" w:sz="2" w:space="0" w:color="auto"/>
              <w:right w:val="nil"/>
            </w:tcBorders>
            <w:shd w:val="clear" w:color="auto" w:fill="auto"/>
            <w:vAlign w:val="center"/>
          </w:tcPr>
          <w:p w:rsidR="00A07E3E" w:rsidRPr="00256775" w:rsidRDefault="00A07E3E" w:rsidP="00A270D4">
            <w:pPr>
              <w:pStyle w:val="cuatexto"/>
              <w:jc w:val="right"/>
              <w:rPr>
                <w:szCs w:val="20"/>
                <w:lang w:val="es-ES" w:eastAsia="es-ES"/>
              </w:rPr>
            </w:pPr>
            <w:r>
              <w:rPr>
                <w:szCs w:val="20"/>
                <w:lang w:val="es-ES" w:eastAsia="es-ES"/>
              </w:rPr>
              <w:t>122.106</w:t>
            </w:r>
          </w:p>
        </w:tc>
      </w:tr>
      <w:tr w:rsidR="00A07E3E" w:rsidRPr="00256775" w:rsidTr="00A270D4">
        <w:trPr>
          <w:cantSplit/>
          <w:trHeight w:val="312"/>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A07E3E" w:rsidRPr="00256775" w:rsidRDefault="00A07E3E" w:rsidP="00A270D4">
            <w:pPr>
              <w:pStyle w:val="cuatexto"/>
              <w:jc w:val="left"/>
              <w:rPr>
                <w:rFonts w:ascii="Arial" w:hAnsi="Arial" w:cs="Arial"/>
                <w:sz w:val="18"/>
                <w:szCs w:val="18"/>
                <w:lang w:val="es-ES" w:eastAsia="es-ES"/>
              </w:rPr>
            </w:pPr>
            <w:r w:rsidRPr="00256775">
              <w:rPr>
                <w:rFonts w:ascii="Arial" w:hAnsi="Arial" w:cs="Arial"/>
                <w:sz w:val="18"/>
                <w:szCs w:val="18"/>
                <w:lang w:eastAsia="es-ES"/>
              </w:rPr>
              <w:t xml:space="preserve">Total </w:t>
            </w:r>
            <w:r>
              <w:rPr>
                <w:rFonts w:ascii="Arial" w:hAnsi="Arial" w:cs="Arial"/>
                <w:sz w:val="18"/>
                <w:szCs w:val="18"/>
                <w:lang w:eastAsia="es-ES"/>
              </w:rPr>
              <w:t>A</w:t>
            </w:r>
            <w:r w:rsidRPr="00256775">
              <w:rPr>
                <w:rFonts w:ascii="Arial" w:hAnsi="Arial" w:cs="Arial"/>
                <w:sz w:val="18"/>
                <w:szCs w:val="18"/>
                <w:lang w:eastAsia="es-ES"/>
              </w:rPr>
              <w:t>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A07E3E" w:rsidRPr="00256775" w:rsidRDefault="00A07E3E" w:rsidP="00A270D4">
            <w:pPr>
              <w:pStyle w:val="cuatexto"/>
              <w:jc w:val="right"/>
              <w:rPr>
                <w:rFonts w:ascii="Arial" w:hAnsi="Arial" w:cs="Arial"/>
                <w:sz w:val="18"/>
                <w:szCs w:val="18"/>
                <w:lang w:val="es-ES" w:eastAsia="es-ES"/>
              </w:rPr>
            </w:pPr>
            <w:r>
              <w:rPr>
                <w:rFonts w:ascii="Arial" w:hAnsi="Arial" w:cs="Arial"/>
                <w:sz w:val="18"/>
                <w:szCs w:val="18"/>
                <w:lang w:val="es-ES" w:eastAsia="es-ES"/>
              </w:rPr>
              <w:t>263.632</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A07E3E" w:rsidRPr="00256775" w:rsidRDefault="00A07E3E" w:rsidP="00A270D4">
            <w:pPr>
              <w:pStyle w:val="cuatexto"/>
              <w:jc w:val="right"/>
              <w:rPr>
                <w:rFonts w:ascii="Arial" w:hAnsi="Arial" w:cs="Arial"/>
                <w:sz w:val="18"/>
                <w:szCs w:val="18"/>
                <w:lang w:val="es-ES" w:eastAsia="es-ES"/>
              </w:rPr>
            </w:pPr>
            <w:r>
              <w:rPr>
                <w:rFonts w:ascii="Arial" w:hAnsi="Arial" w:cs="Arial"/>
                <w:sz w:val="18"/>
                <w:szCs w:val="18"/>
                <w:lang w:val="es-ES" w:eastAsia="es-ES"/>
              </w:rPr>
              <w:t>339.490</w:t>
            </w:r>
          </w:p>
        </w:tc>
      </w:tr>
    </w:tbl>
    <w:p w:rsidR="00A07E3E" w:rsidRDefault="00A07E3E" w:rsidP="00A07E3E">
      <w:pPr>
        <w:pStyle w:val="CuadroTtulo"/>
      </w:pPr>
    </w:p>
    <w:p w:rsidR="00A07E3E" w:rsidRPr="00256775" w:rsidRDefault="00A07E3E" w:rsidP="00A07E3E">
      <w:pPr>
        <w:pStyle w:val="CuadroTtulo"/>
      </w:pPr>
    </w:p>
    <w:p w:rsidR="000D2C76" w:rsidRPr="00256775" w:rsidRDefault="000D2C76" w:rsidP="000D2C76">
      <w:pPr>
        <w:pStyle w:val="CuadroTtulo"/>
        <w:jc w:val="center"/>
      </w:pPr>
      <w:r w:rsidRPr="00256775">
        <w:t>Neto y Pasivo</w:t>
      </w:r>
    </w:p>
    <w:p w:rsidR="000D2C76" w:rsidRPr="00256775" w:rsidRDefault="000D2C76" w:rsidP="000D2C76">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0D2C76" w:rsidRPr="00256775" w:rsidTr="000D2C76">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0D2C76" w:rsidRPr="00256775" w:rsidRDefault="000D2C76" w:rsidP="000D2C76">
            <w:pPr>
              <w:pStyle w:val="cuatexto"/>
              <w:jc w:val="left"/>
              <w:rPr>
                <w:rFonts w:ascii="Arial" w:hAnsi="Arial" w:cs="Arial"/>
                <w:sz w:val="18"/>
                <w:szCs w:val="18"/>
                <w:lang w:val="es-ES" w:eastAsia="es-ES"/>
              </w:rPr>
            </w:pPr>
            <w:r w:rsidRPr="00256775">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C76" w:rsidRPr="00256775" w:rsidRDefault="000D2C76" w:rsidP="000D2C76">
            <w:pPr>
              <w:pStyle w:val="cuatexto"/>
              <w:jc w:val="right"/>
              <w:rPr>
                <w:rFonts w:ascii="Arial" w:hAnsi="Arial" w:cs="Arial"/>
                <w:sz w:val="18"/>
                <w:szCs w:val="18"/>
                <w:lang w:val="es-ES" w:eastAsia="es-ES"/>
              </w:rPr>
            </w:pPr>
            <w:r w:rsidRPr="00256775">
              <w:rPr>
                <w:rFonts w:ascii="Arial" w:hAnsi="Arial" w:cs="Arial"/>
                <w:sz w:val="18"/>
                <w:szCs w:val="18"/>
                <w:lang w:eastAsia="es-ES"/>
              </w:rPr>
              <w:t>2014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0D2C76" w:rsidRPr="00256775" w:rsidRDefault="000D2C76" w:rsidP="000D2C76">
            <w:pPr>
              <w:pStyle w:val="cuatexto"/>
              <w:jc w:val="right"/>
              <w:rPr>
                <w:rFonts w:ascii="Arial" w:hAnsi="Arial" w:cs="Arial"/>
                <w:sz w:val="18"/>
                <w:szCs w:val="18"/>
                <w:lang w:val="es-ES" w:eastAsia="es-ES"/>
              </w:rPr>
            </w:pPr>
            <w:r w:rsidRPr="00256775">
              <w:rPr>
                <w:rFonts w:ascii="Arial" w:hAnsi="Arial" w:cs="Arial"/>
                <w:sz w:val="18"/>
                <w:szCs w:val="18"/>
                <w:lang w:eastAsia="es-ES"/>
              </w:rPr>
              <w:t>2015</w:t>
            </w:r>
          </w:p>
        </w:tc>
      </w:tr>
      <w:tr w:rsidR="000D2C76" w:rsidRPr="00256775" w:rsidTr="000D2C76">
        <w:trPr>
          <w:trHeight w:val="255"/>
        </w:trPr>
        <w:tc>
          <w:tcPr>
            <w:tcW w:w="360" w:type="dxa"/>
            <w:tcBorders>
              <w:top w:val="single" w:sz="4" w:space="0" w:color="auto"/>
              <w:left w:val="nil"/>
              <w:right w:val="nil"/>
            </w:tcBorders>
            <w:shd w:val="clear" w:color="auto" w:fill="auto"/>
            <w:vAlign w:val="center"/>
          </w:tcPr>
          <w:p w:rsidR="000D2C76" w:rsidRPr="00256775" w:rsidRDefault="000B4B70" w:rsidP="000D2C76">
            <w:pPr>
              <w:pStyle w:val="cuatexto"/>
              <w:jc w:val="left"/>
              <w:rPr>
                <w:szCs w:val="20"/>
                <w:lang w:eastAsia="es-ES"/>
              </w:rPr>
            </w:pPr>
            <w:r>
              <w:rPr>
                <w:szCs w:val="20"/>
                <w:lang w:eastAsia="es-ES"/>
              </w:rPr>
              <w:t>A</w:t>
            </w:r>
          </w:p>
        </w:tc>
        <w:tc>
          <w:tcPr>
            <w:tcW w:w="5760" w:type="dxa"/>
            <w:tcBorders>
              <w:top w:val="single" w:sz="4" w:space="0" w:color="auto"/>
              <w:left w:val="nil"/>
              <w:right w:val="nil"/>
            </w:tcBorders>
            <w:shd w:val="clear" w:color="auto" w:fill="auto"/>
            <w:vAlign w:val="center"/>
          </w:tcPr>
          <w:p w:rsidR="000D2C76" w:rsidRPr="00256775" w:rsidRDefault="000D2C76" w:rsidP="000D2C76">
            <w:pPr>
              <w:pStyle w:val="cuatexto"/>
              <w:jc w:val="left"/>
              <w:rPr>
                <w:szCs w:val="20"/>
                <w:lang w:eastAsia="es-ES"/>
              </w:rPr>
            </w:pPr>
            <w:r>
              <w:rPr>
                <w:szCs w:val="20"/>
                <w:lang w:eastAsia="es-ES"/>
              </w:rPr>
              <w:t>Fondos propios</w:t>
            </w:r>
          </w:p>
        </w:tc>
        <w:tc>
          <w:tcPr>
            <w:tcW w:w="1440" w:type="dxa"/>
            <w:tcBorders>
              <w:top w:val="single" w:sz="4" w:space="0" w:color="auto"/>
              <w:left w:val="nil"/>
              <w:right w:val="nil"/>
            </w:tcBorders>
            <w:shd w:val="clear" w:color="auto" w:fill="auto"/>
            <w:vAlign w:val="center"/>
          </w:tcPr>
          <w:p w:rsidR="000D2C76" w:rsidRPr="00256775" w:rsidRDefault="000D2C76" w:rsidP="000D2C76">
            <w:pPr>
              <w:pStyle w:val="cuatexto"/>
              <w:jc w:val="right"/>
              <w:rPr>
                <w:rFonts w:cs="Arial"/>
                <w:szCs w:val="20"/>
                <w:lang w:eastAsia="es-ES"/>
              </w:rPr>
            </w:pPr>
            <w:r>
              <w:rPr>
                <w:rFonts w:cs="Arial"/>
                <w:szCs w:val="20"/>
                <w:lang w:eastAsia="es-ES"/>
              </w:rPr>
              <w:t>-158.200</w:t>
            </w:r>
          </w:p>
        </w:tc>
        <w:tc>
          <w:tcPr>
            <w:tcW w:w="1320" w:type="dxa"/>
            <w:tcBorders>
              <w:top w:val="single" w:sz="4" w:space="0" w:color="auto"/>
              <w:left w:val="nil"/>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-235.439</w:t>
            </w:r>
          </w:p>
        </w:tc>
      </w:tr>
      <w:tr w:rsidR="000D2C76" w:rsidRPr="00256775" w:rsidTr="000D2C76">
        <w:trPr>
          <w:trHeight w:val="255"/>
        </w:trPr>
        <w:tc>
          <w:tcPr>
            <w:tcW w:w="360" w:type="dxa"/>
            <w:tcBorders>
              <w:top w:val="single" w:sz="4" w:space="0" w:color="auto"/>
              <w:left w:val="nil"/>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eastAsia="es-ES"/>
              </w:rPr>
              <w:t>1</w:t>
            </w:r>
          </w:p>
        </w:tc>
        <w:tc>
          <w:tcPr>
            <w:tcW w:w="5760" w:type="dxa"/>
            <w:tcBorders>
              <w:top w:val="single" w:sz="4" w:space="0" w:color="auto"/>
              <w:left w:val="nil"/>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eastAsia="es-ES"/>
              </w:rPr>
              <w:t>Patrimonio y reservas</w:t>
            </w:r>
          </w:p>
        </w:tc>
        <w:tc>
          <w:tcPr>
            <w:tcW w:w="1440" w:type="dxa"/>
            <w:tcBorders>
              <w:top w:val="single" w:sz="4" w:space="0" w:color="auto"/>
              <w:left w:val="nil"/>
              <w:right w:val="nil"/>
            </w:tcBorders>
            <w:shd w:val="clear" w:color="auto" w:fill="auto"/>
            <w:vAlign w:val="center"/>
          </w:tcPr>
          <w:p w:rsidR="000D2C76" w:rsidRPr="00256775" w:rsidRDefault="000D2C76" w:rsidP="000D2C76">
            <w:pPr>
              <w:pStyle w:val="cuatexto"/>
              <w:jc w:val="right"/>
              <w:rPr>
                <w:rFonts w:cs="Arial"/>
                <w:szCs w:val="20"/>
                <w:lang w:eastAsia="es-ES"/>
              </w:rPr>
            </w:pPr>
            <w:r>
              <w:rPr>
                <w:rFonts w:cs="Arial"/>
                <w:szCs w:val="20"/>
                <w:lang w:eastAsia="es-ES"/>
              </w:rPr>
              <w:t>-74.470</w:t>
            </w:r>
          </w:p>
        </w:tc>
        <w:tc>
          <w:tcPr>
            <w:tcW w:w="1320" w:type="dxa"/>
            <w:tcBorders>
              <w:top w:val="single" w:sz="4" w:space="0" w:color="auto"/>
              <w:left w:val="nil"/>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-158.200</w:t>
            </w:r>
          </w:p>
        </w:tc>
      </w:tr>
      <w:tr w:rsidR="000D2C76" w:rsidRPr="00256775" w:rsidTr="000D2C76">
        <w:trPr>
          <w:trHeight w:val="255"/>
        </w:trPr>
        <w:tc>
          <w:tcPr>
            <w:tcW w:w="360" w:type="dxa"/>
            <w:tcBorders>
              <w:left w:val="nil"/>
              <w:right w:val="nil"/>
            </w:tcBorders>
            <w:shd w:val="clear" w:color="auto" w:fill="auto"/>
            <w:vAlign w:val="center"/>
          </w:tcPr>
          <w:p w:rsidR="000D2C76" w:rsidRPr="00256775" w:rsidRDefault="000D2C76" w:rsidP="000D2C76">
            <w:pPr>
              <w:pStyle w:val="cuatexto"/>
              <w:jc w:val="left"/>
              <w:rPr>
                <w:szCs w:val="20"/>
                <w:lang w:eastAsia="es-ES"/>
              </w:rPr>
            </w:pPr>
            <w:r>
              <w:rPr>
                <w:szCs w:val="20"/>
                <w:lang w:eastAsia="es-ES"/>
              </w:rPr>
              <w:t>2</w:t>
            </w:r>
          </w:p>
        </w:tc>
        <w:tc>
          <w:tcPr>
            <w:tcW w:w="5760" w:type="dxa"/>
            <w:tcBorders>
              <w:left w:val="nil"/>
              <w:right w:val="nil"/>
            </w:tcBorders>
            <w:shd w:val="clear" w:color="auto" w:fill="auto"/>
            <w:vAlign w:val="center"/>
          </w:tcPr>
          <w:p w:rsidR="000D2C76" w:rsidRPr="00256775" w:rsidRDefault="000D2C76" w:rsidP="000D2C76">
            <w:pPr>
              <w:pStyle w:val="cuatexto"/>
              <w:jc w:val="left"/>
              <w:rPr>
                <w:szCs w:val="20"/>
                <w:lang w:eastAsia="es-ES"/>
              </w:rPr>
            </w:pPr>
            <w:r>
              <w:rPr>
                <w:szCs w:val="20"/>
                <w:lang w:eastAsia="es-ES"/>
              </w:rPr>
              <w:t>Bienes y derechos entregados</w:t>
            </w:r>
          </w:p>
        </w:tc>
        <w:tc>
          <w:tcPr>
            <w:tcW w:w="1440" w:type="dxa"/>
            <w:tcBorders>
              <w:left w:val="nil"/>
              <w:right w:val="nil"/>
            </w:tcBorders>
            <w:shd w:val="clear" w:color="auto" w:fill="auto"/>
            <w:vAlign w:val="center"/>
          </w:tcPr>
          <w:p w:rsidR="000D2C76" w:rsidRPr="00256775" w:rsidRDefault="000D2C76" w:rsidP="000D2C76">
            <w:pPr>
              <w:pStyle w:val="cuatexto"/>
              <w:jc w:val="right"/>
              <w:rPr>
                <w:rFonts w:cs="Arial"/>
                <w:szCs w:val="20"/>
                <w:lang w:eastAsia="es-ES"/>
              </w:rPr>
            </w:pPr>
            <w:r>
              <w:rPr>
                <w:rFonts w:cs="Arial"/>
                <w:szCs w:val="20"/>
                <w:lang w:eastAsia="es-ES"/>
              </w:rPr>
              <w:t>0</w:t>
            </w:r>
          </w:p>
        </w:tc>
        <w:tc>
          <w:tcPr>
            <w:tcW w:w="1320" w:type="dxa"/>
            <w:tcBorders>
              <w:left w:val="nil"/>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0</w:t>
            </w:r>
          </w:p>
        </w:tc>
      </w:tr>
      <w:tr w:rsidR="000D2C76" w:rsidRPr="00256775" w:rsidTr="000D2C76">
        <w:trPr>
          <w:trHeight w:val="255"/>
        </w:trPr>
        <w:tc>
          <w:tcPr>
            <w:tcW w:w="360" w:type="dxa"/>
            <w:tcBorders>
              <w:left w:val="nil"/>
              <w:bottom w:val="single" w:sz="2" w:space="0" w:color="auto"/>
              <w:right w:val="nil"/>
            </w:tcBorders>
            <w:shd w:val="clear" w:color="auto" w:fill="auto"/>
            <w:vAlign w:val="center"/>
          </w:tcPr>
          <w:p w:rsidR="000D2C76" w:rsidRPr="00256775" w:rsidRDefault="000D2C76" w:rsidP="000D2C76">
            <w:pPr>
              <w:pStyle w:val="cuatexto"/>
              <w:jc w:val="left"/>
              <w:rPr>
                <w:szCs w:val="20"/>
                <w:lang w:eastAsia="es-ES"/>
              </w:rPr>
            </w:pPr>
            <w:r>
              <w:rPr>
                <w:szCs w:val="20"/>
                <w:lang w:eastAsia="es-ES"/>
              </w:rPr>
              <w:t>3</w:t>
            </w:r>
          </w:p>
        </w:tc>
        <w:tc>
          <w:tcPr>
            <w:tcW w:w="5760" w:type="dxa"/>
            <w:tcBorders>
              <w:left w:val="nil"/>
              <w:bottom w:val="single" w:sz="2" w:space="0" w:color="auto"/>
              <w:right w:val="nil"/>
            </w:tcBorders>
            <w:shd w:val="clear" w:color="auto" w:fill="auto"/>
            <w:vAlign w:val="center"/>
          </w:tcPr>
          <w:p w:rsidR="000D2C76" w:rsidRPr="00256775" w:rsidRDefault="000D2C76" w:rsidP="000D2C76">
            <w:pPr>
              <w:pStyle w:val="cuatexto"/>
              <w:jc w:val="left"/>
              <w:rPr>
                <w:szCs w:val="20"/>
                <w:lang w:eastAsia="es-ES"/>
              </w:rPr>
            </w:pPr>
            <w:r w:rsidRPr="00256775">
              <w:rPr>
                <w:szCs w:val="20"/>
                <w:lang w:eastAsia="es-ES"/>
              </w:rPr>
              <w:t xml:space="preserve">Resultado económico del ejercicio </w:t>
            </w:r>
          </w:p>
        </w:tc>
        <w:tc>
          <w:tcPr>
            <w:tcW w:w="1440" w:type="dxa"/>
            <w:tcBorders>
              <w:left w:val="nil"/>
              <w:bottom w:val="single" w:sz="2" w:space="0" w:color="auto"/>
              <w:right w:val="nil"/>
            </w:tcBorders>
            <w:shd w:val="clear" w:color="auto" w:fill="auto"/>
            <w:vAlign w:val="center"/>
          </w:tcPr>
          <w:p w:rsidR="000D2C76" w:rsidRPr="00256775" w:rsidRDefault="000D2C76" w:rsidP="000D2C76">
            <w:pPr>
              <w:pStyle w:val="cuatexto"/>
              <w:jc w:val="right"/>
              <w:rPr>
                <w:rFonts w:cs="Arial"/>
                <w:szCs w:val="20"/>
                <w:lang w:eastAsia="es-ES"/>
              </w:rPr>
            </w:pPr>
            <w:r>
              <w:rPr>
                <w:rFonts w:cs="Arial"/>
                <w:szCs w:val="20"/>
                <w:lang w:eastAsia="es-ES"/>
              </w:rPr>
              <w:t>-83.730</w:t>
            </w:r>
          </w:p>
        </w:tc>
        <w:tc>
          <w:tcPr>
            <w:tcW w:w="1320" w:type="dxa"/>
            <w:tcBorders>
              <w:left w:val="nil"/>
              <w:bottom w:val="single" w:sz="2" w:space="0" w:color="auto"/>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-77.239</w:t>
            </w:r>
          </w:p>
        </w:tc>
      </w:tr>
      <w:tr w:rsidR="000D2C76" w:rsidRPr="00256775" w:rsidTr="000D2C76">
        <w:trPr>
          <w:trHeight w:val="255"/>
        </w:trPr>
        <w:tc>
          <w:tcPr>
            <w:tcW w:w="360" w:type="dxa"/>
            <w:tcBorders>
              <w:top w:val="single" w:sz="2" w:space="0" w:color="auto"/>
              <w:left w:val="nil"/>
              <w:bottom w:val="single" w:sz="4" w:space="0" w:color="auto"/>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eastAsia="es-ES"/>
              </w:rPr>
              <w:t>C</w:t>
            </w:r>
          </w:p>
        </w:tc>
        <w:tc>
          <w:tcPr>
            <w:tcW w:w="5760" w:type="dxa"/>
            <w:tcBorders>
              <w:top w:val="single" w:sz="2" w:space="0" w:color="auto"/>
              <w:left w:val="nil"/>
              <w:bottom w:val="single" w:sz="4" w:space="0" w:color="auto"/>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eastAsia="es-ES"/>
              </w:rPr>
              <w:t>Deudas a largo plazo</w:t>
            </w:r>
          </w:p>
        </w:tc>
        <w:tc>
          <w:tcPr>
            <w:tcW w:w="1440" w:type="dxa"/>
            <w:tcBorders>
              <w:top w:val="single" w:sz="2" w:space="0" w:color="auto"/>
              <w:left w:val="nil"/>
              <w:bottom w:val="single" w:sz="4" w:space="0" w:color="auto"/>
              <w:right w:val="nil"/>
            </w:tcBorders>
            <w:shd w:val="clear" w:color="auto" w:fill="auto"/>
            <w:vAlign w:val="center"/>
          </w:tcPr>
          <w:p w:rsidR="000D2C76" w:rsidRPr="00256775" w:rsidRDefault="000D2C76" w:rsidP="000D2C76">
            <w:pPr>
              <w:pStyle w:val="cuatexto"/>
              <w:jc w:val="right"/>
              <w:rPr>
                <w:szCs w:val="20"/>
                <w:lang w:eastAsia="es-ES"/>
              </w:rPr>
            </w:pPr>
            <w:r>
              <w:rPr>
                <w:szCs w:val="20"/>
                <w:lang w:eastAsia="es-ES"/>
              </w:rPr>
              <w:t>0</w:t>
            </w:r>
          </w:p>
        </w:tc>
        <w:tc>
          <w:tcPr>
            <w:tcW w:w="1320" w:type="dxa"/>
            <w:tcBorders>
              <w:top w:val="single" w:sz="2" w:space="0" w:color="auto"/>
              <w:left w:val="nil"/>
              <w:bottom w:val="single" w:sz="4" w:space="0" w:color="auto"/>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0</w:t>
            </w:r>
          </w:p>
        </w:tc>
      </w:tr>
      <w:tr w:rsidR="000D2C76" w:rsidRPr="00256775" w:rsidTr="000D2C76">
        <w:trPr>
          <w:trHeight w:val="255"/>
        </w:trPr>
        <w:tc>
          <w:tcPr>
            <w:tcW w:w="360" w:type="dxa"/>
            <w:tcBorders>
              <w:top w:val="single" w:sz="4" w:space="0" w:color="auto"/>
              <w:left w:val="nil"/>
              <w:bottom w:val="single" w:sz="4" w:space="0" w:color="auto"/>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val="es-ES" w:eastAsia="es-ES"/>
              </w:rPr>
              <w:t>D</w:t>
            </w:r>
          </w:p>
        </w:tc>
        <w:tc>
          <w:tcPr>
            <w:tcW w:w="5760" w:type="dxa"/>
            <w:tcBorders>
              <w:top w:val="single" w:sz="4" w:space="0" w:color="auto"/>
              <w:left w:val="nil"/>
              <w:bottom w:val="single" w:sz="4" w:space="0" w:color="auto"/>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val="es-ES" w:eastAsia="es-ES"/>
              </w:rPr>
              <w:t>Deudas a corto plazo</w:t>
            </w:r>
          </w:p>
        </w:tc>
        <w:tc>
          <w:tcPr>
            <w:tcW w:w="1440" w:type="dxa"/>
            <w:tcBorders>
              <w:top w:val="single" w:sz="4" w:space="0" w:color="auto"/>
              <w:left w:val="nil"/>
              <w:bottom w:val="single" w:sz="4" w:space="0" w:color="auto"/>
              <w:right w:val="nil"/>
            </w:tcBorders>
            <w:shd w:val="clear" w:color="auto" w:fill="auto"/>
            <w:vAlign w:val="center"/>
          </w:tcPr>
          <w:p w:rsidR="000D2C76" w:rsidRPr="00256775" w:rsidRDefault="000D2C76" w:rsidP="000D2C76">
            <w:pPr>
              <w:pStyle w:val="cuatexto"/>
              <w:jc w:val="right"/>
              <w:rPr>
                <w:szCs w:val="20"/>
                <w:lang w:eastAsia="es-ES"/>
              </w:rPr>
            </w:pPr>
            <w:r>
              <w:rPr>
                <w:szCs w:val="20"/>
                <w:lang w:eastAsia="es-ES"/>
              </w:rPr>
              <w:t>421.832</w:t>
            </w:r>
          </w:p>
        </w:tc>
        <w:tc>
          <w:tcPr>
            <w:tcW w:w="1320" w:type="dxa"/>
            <w:tcBorders>
              <w:top w:val="single" w:sz="4" w:space="0" w:color="auto"/>
              <w:left w:val="nil"/>
              <w:bottom w:val="single" w:sz="4" w:space="0" w:color="auto"/>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574.929</w:t>
            </w:r>
          </w:p>
        </w:tc>
      </w:tr>
      <w:tr w:rsidR="000D2C76" w:rsidRPr="00256775" w:rsidTr="000D2C76">
        <w:trPr>
          <w:trHeight w:val="255"/>
        </w:trPr>
        <w:tc>
          <w:tcPr>
            <w:tcW w:w="360" w:type="dxa"/>
            <w:tcBorders>
              <w:top w:val="single" w:sz="4" w:space="0" w:color="auto"/>
              <w:left w:val="nil"/>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eastAsia="es-ES"/>
              </w:rPr>
              <w:t>5</w:t>
            </w:r>
          </w:p>
        </w:tc>
        <w:tc>
          <w:tcPr>
            <w:tcW w:w="5760" w:type="dxa"/>
            <w:tcBorders>
              <w:top w:val="single" w:sz="4" w:space="0" w:color="auto"/>
              <w:left w:val="nil"/>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eastAsia="es-ES"/>
              </w:rPr>
              <w:t>Acreedores de presupuestos cerrados y extrapresupuestarios</w:t>
            </w:r>
          </w:p>
        </w:tc>
        <w:tc>
          <w:tcPr>
            <w:tcW w:w="1440" w:type="dxa"/>
            <w:tcBorders>
              <w:top w:val="single" w:sz="4" w:space="0" w:color="auto"/>
              <w:left w:val="nil"/>
              <w:right w:val="nil"/>
            </w:tcBorders>
            <w:shd w:val="clear" w:color="auto" w:fill="auto"/>
            <w:vAlign w:val="center"/>
          </w:tcPr>
          <w:p w:rsidR="000D2C76" w:rsidRPr="00256775" w:rsidRDefault="000D2C76" w:rsidP="000D2C76">
            <w:pPr>
              <w:pStyle w:val="cuatexto"/>
              <w:jc w:val="right"/>
              <w:rPr>
                <w:szCs w:val="20"/>
                <w:lang w:eastAsia="es-ES"/>
              </w:rPr>
            </w:pPr>
            <w:r>
              <w:rPr>
                <w:szCs w:val="20"/>
                <w:lang w:eastAsia="es-ES"/>
              </w:rPr>
              <w:t>28.139</w:t>
            </w:r>
          </w:p>
        </w:tc>
        <w:tc>
          <w:tcPr>
            <w:tcW w:w="1320" w:type="dxa"/>
            <w:tcBorders>
              <w:top w:val="single" w:sz="4" w:space="0" w:color="auto"/>
              <w:left w:val="nil"/>
              <w:right w:val="nil"/>
            </w:tcBorders>
            <w:shd w:val="clear" w:color="auto" w:fill="auto"/>
            <w:vAlign w:val="center"/>
          </w:tcPr>
          <w:p w:rsidR="000D2C76" w:rsidRPr="00256775" w:rsidRDefault="000D2C76" w:rsidP="006229FC">
            <w:pPr>
              <w:pStyle w:val="cuatexto"/>
              <w:jc w:val="right"/>
              <w:rPr>
                <w:szCs w:val="20"/>
                <w:lang w:val="es-ES" w:eastAsia="es-ES"/>
              </w:rPr>
            </w:pPr>
            <w:r>
              <w:rPr>
                <w:szCs w:val="20"/>
                <w:lang w:val="es-ES" w:eastAsia="es-ES"/>
              </w:rPr>
              <w:t>269.39</w:t>
            </w:r>
            <w:r w:rsidR="006229FC">
              <w:rPr>
                <w:szCs w:val="20"/>
                <w:lang w:val="es-ES" w:eastAsia="es-ES"/>
              </w:rPr>
              <w:t>3</w:t>
            </w:r>
          </w:p>
        </w:tc>
      </w:tr>
      <w:tr w:rsidR="000D2C76" w:rsidRPr="00256775" w:rsidTr="000D2C76">
        <w:trPr>
          <w:trHeight w:val="255"/>
        </w:trPr>
        <w:tc>
          <w:tcPr>
            <w:tcW w:w="360" w:type="dxa"/>
            <w:tcBorders>
              <w:left w:val="nil"/>
              <w:bottom w:val="single" w:sz="4" w:space="0" w:color="auto"/>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val="es-ES" w:eastAsia="es-ES"/>
              </w:rPr>
              <w:t>6</w:t>
            </w:r>
          </w:p>
        </w:tc>
        <w:tc>
          <w:tcPr>
            <w:tcW w:w="5760" w:type="dxa"/>
            <w:tcBorders>
              <w:left w:val="nil"/>
              <w:bottom w:val="single" w:sz="4" w:space="0" w:color="auto"/>
              <w:right w:val="nil"/>
            </w:tcBorders>
            <w:shd w:val="clear" w:color="auto" w:fill="auto"/>
            <w:vAlign w:val="center"/>
          </w:tcPr>
          <w:p w:rsidR="000D2C76" w:rsidRPr="00256775" w:rsidRDefault="000D2C76" w:rsidP="000D2C76">
            <w:pPr>
              <w:pStyle w:val="cuatexto"/>
              <w:jc w:val="left"/>
              <w:rPr>
                <w:szCs w:val="20"/>
                <w:lang w:val="es-ES" w:eastAsia="es-ES"/>
              </w:rPr>
            </w:pPr>
            <w:r w:rsidRPr="00256775">
              <w:rPr>
                <w:szCs w:val="20"/>
                <w:lang w:val="es-ES" w:eastAsia="es-ES"/>
              </w:rPr>
              <w:t>Acreedores del presupuesto</w:t>
            </w:r>
          </w:p>
        </w:tc>
        <w:tc>
          <w:tcPr>
            <w:tcW w:w="1440" w:type="dxa"/>
            <w:tcBorders>
              <w:left w:val="nil"/>
              <w:bottom w:val="single" w:sz="4" w:space="0" w:color="auto"/>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393.693</w:t>
            </w:r>
          </w:p>
        </w:tc>
        <w:tc>
          <w:tcPr>
            <w:tcW w:w="1320" w:type="dxa"/>
            <w:tcBorders>
              <w:left w:val="nil"/>
              <w:bottom w:val="single" w:sz="4" w:space="0" w:color="auto"/>
              <w:right w:val="nil"/>
            </w:tcBorders>
            <w:shd w:val="clear" w:color="auto" w:fill="auto"/>
            <w:vAlign w:val="center"/>
          </w:tcPr>
          <w:p w:rsidR="000D2C76" w:rsidRPr="00256775" w:rsidRDefault="000D2C76" w:rsidP="000D2C76">
            <w:pPr>
              <w:pStyle w:val="cuatexto"/>
              <w:jc w:val="right"/>
              <w:rPr>
                <w:szCs w:val="20"/>
                <w:lang w:val="es-ES" w:eastAsia="es-ES"/>
              </w:rPr>
            </w:pPr>
            <w:r>
              <w:rPr>
                <w:szCs w:val="20"/>
                <w:lang w:val="es-ES" w:eastAsia="es-ES"/>
              </w:rPr>
              <w:t>305.536</w:t>
            </w:r>
          </w:p>
        </w:tc>
      </w:tr>
      <w:tr w:rsidR="000D2C76" w:rsidRPr="00256775" w:rsidTr="000D2C76">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0D2C76" w:rsidRPr="00256775" w:rsidRDefault="000D2C76" w:rsidP="00482857">
            <w:pPr>
              <w:pStyle w:val="cuatexto"/>
              <w:jc w:val="left"/>
              <w:rPr>
                <w:rFonts w:ascii="Arial" w:hAnsi="Arial" w:cs="Arial"/>
                <w:sz w:val="18"/>
                <w:szCs w:val="18"/>
                <w:lang w:val="es-ES" w:eastAsia="es-ES"/>
              </w:rPr>
            </w:pPr>
            <w:r w:rsidRPr="00256775">
              <w:rPr>
                <w:rFonts w:ascii="Arial" w:hAnsi="Arial" w:cs="Arial"/>
                <w:sz w:val="18"/>
                <w:szCs w:val="18"/>
                <w:lang w:eastAsia="es-ES"/>
              </w:rPr>
              <w:t xml:space="preserve">Total </w:t>
            </w:r>
            <w:r w:rsidR="00482857">
              <w:rPr>
                <w:rFonts w:ascii="Arial" w:hAnsi="Arial" w:cs="Arial"/>
                <w:sz w:val="18"/>
                <w:szCs w:val="18"/>
                <w:lang w:eastAsia="es-ES"/>
              </w:rPr>
              <w:t>Neto y P</w:t>
            </w:r>
            <w:r w:rsidRPr="00256775">
              <w:rPr>
                <w:rFonts w:ascii="Arial" w:hAnsi="Arial" w:cs="Arial"/>
                <w:sz w:val="18"/>
                <w:szCs w:val="18"/>
                <w:lang w:eastAsia="es-ES"/>
              </w:rPr>
              <w:t>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C76" w:rsidRPr="0025677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263.632</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0D2C76" w:rsidRPr="00256775" w:rsidRDefault="000D2C76" w:rsidP="000D2C76">
            <w:pPr>
              <w:pStyle w:val="cuatexto"/>
              <w:jc w:val="right"/>
              <w:rPr>
                <w:rFonts w:ascii="Arial" w:hAnsi="Arial" w:cs="Arial"/>
                <w:sz w:val="18"/>
                <w:szCs w:val="18"/>
                <w:lang w:val="es-ES" w:eastAsia="es-ES"/>
              </w:rPr>
            </w:pPr>
            <w:r>
              <w:rPr>
                <w:rFonts w:ascii="Arial" w:hAnsi="Arial" w:cs="Arial"/>
                <w:sz w:val="18"/>
                <w:szCs w:val="18"/>
                <w:lang w:val="es-ES" w:eastAsia="es-ES"/>
              </w:rPr>
              <w:t>339.490</w:t>
            </w:r>
          </w:p>
        </w:tc>
      </w:tr>
    </w:tbl>
    <w:p w:rsidR="000D2C76" w:rsidRPr="00256775" w:rsidRDefault="000D2C76" w:rsidP="000D2C76">
      <w:pPr>
        <w:tabs>
          <w:tab w:val="left" w:pos="5544"/>
          <w:tab w:val="left" w:pos="6784"/>
        </w:tabs>
        <w:ind w:left="-588"/>
        <w:rPr>
          <w:rFonts w:ascii="Arial" w:hAnsi="Arial" w:cs="Arial"/>
          <w:sz w:val="16"/>
        </w:rPr>
      </w:pPr>
    </w:p>
    <w:p w:rsidR="000D2C76" w:rsidRPr="00256775" w:rsidRDefault="000D2C76" w:rsidP="000D2C76">
      <w:pPr>
        <w:pStyle w:val="texto"/>
        <w:rPr>
          <w:rFonts w:ascii="GillSans Light" w:hAnsi="GillSans Light" w:cs="Arial"/>
        </w:rPr>
      </w:pPr>
    </w:p>
    <w:p w:rsidR="000B4B70" w:rsidRPr="00A07E3E" w:rsidRDefault="000B4B70" w:rsidP="00A07E3E">
      <w:pPr>
        <w:pStyle w:val="atitulo2"/>
        <w:rPr>
          <w:rFonts w:cs="Arial"/>
          <w:color w:val="auto"/>
        </w:rPr>
      </w:pPr>
      <w:bookmarkStart w:id="26" w:name="_Toc469315864"/>
      <w:bookmarkStart w:id="27" w:name="_Toc475093091"/>
      <w:r w:rsidRPr="00A07E3E">
        <w:rPr>
          <w:rFonts w:cs="Arial"/>
          <w:color w:val="auto"/>
        </w:rPr>
        <w:t>III.5. Cuenta de Resultado Económico 2015</w:t>
      </w:r>
      <w:bookmarkEnd w:id="26"/>
      <w:bookmarkEnd w:id="27"/>
    </w:p>
    <w:p w:rsidR="000B4B70" w:rsidRPr="00043A0C" w:rsidRDefault="000B4B70" w:rsidP="000B4B70">
      <w:pPr>
        <w:pStyle w:val="CuadroTtulo"/>
        <w:jc w:val="center"/>
      </w:pPr>
    </w:p>
    <w:tbl>
      <w:tblPr>
        <w:tblW w:w="5193" w:type="pct"/>
        <w:jc w:val="center"/>
        <w:tblLayout w:type="fixed"/>
        <w:tblCellMar>
          <w:left w:w="70" w:type="dxa"/>
          <w:right w:w="70" w:type="dxa"/>
        </w:tblCellMar>
        <w:tblLook w:val="04A0" w:firstRow="1" w:lastRow="0" w:firstColumn="1" w:lastColumn="0" w:noHBand="0" w:noVBand="1"/>
      </w:tblPr>
      <w:tblGrid>
        <w:gridCol w:w="469"/>
        <w:gridCol w:w="2539"/>
        <w:gridCol w:w="790"/>
        <w:gridCol w:w="818"/>
        <w:gridCol w:w="497"/>
        <w:gridCol w:w="2432"/>
        <w:gridCol w:w="874"/>
        <w:gridCol w:w="855"/>
      </w:tblGrid>
      <w:tr w:rsidR="00E224F2" w:rsidRPr="00AE0CEF" w:rsidTr="00E224F2">
        <w:trPr>
          <w:trHeight w:val="284"/>
          <w:jc w:val="center"/>
        </w:trPr>
        <w:tc>
          <w:tcPr>
            <w:tcW w:w="2489"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B4B70" w:rsidRPr="00AE0CEF" w:rsidRDefault="000B4B70" w:rsidP="00E224F2">
            <w:pPr>
              <w:pStyle w:val="cuatexto"/>
              <w:tabs>
                <w:tab w:val="clear" w:pos="3969"/>
                <w:tab w:val="clear" w:pos="6237"/>
                <w:tab w:val="clear" w:pos="7371"/>
              </w:tabs>
              <w:jc w:val="right"/>
              <w:rPr>
                <w:rFonts w:ascii="Arial" w:hAnsi="Arial" w:cs="Arial"/>
                <w:sz w:val="17"/>
                <w:szCs w:val="17"/>
                <w:lang w:val="es-ES" w:eastAsia="es-ES"/>
              </w:rPr>
            </w:pPr>
            <w:r w:rsidRPr="00AE0CEF">
              <w:rPr>
                <w:rFonts w:ascii="Arial" w:hAnsi="Arial" w:cs="Arial"/>
                <w:sz w:val="17"/>
                <w:szCs w:val="17"/>
                <w:lang w:val="es-ES" w:eastAsia="es-ES"/>
              </w:rPr>
              <w:t>Debe</w:t>
            </w:r>
            <w:r w:rsidR="001E6679">
              <w:rPr>
                <w:rFonts w:ascii="Arial" w:hAnsi="Arial" w:cs="Arial"/>
                <w:sz w:val="17"/>
                <w:szCs w:val="17"/>
                <w:lang w:val="es-ES" w:eastAsia="es-ES"/>
              </w:rPr>
              <w:t xml:space="preserve">               </w:t>
            </w:r>
            <w:r>
              <w:rPr>
                <w:rFonts w:ascii="Arial" w:hAnsi="Arial" w:cs="Arial"/>
                <w:sz w:val="17"/>
                <w:szCs w:val="17"/>
                <w:lang w:val="es-ES" w:eastAsia="es-ES"/>
              </w:rPr>
              <w:t xml:space="preserve">                              2014       2015</w:t>
            </w:r>
          </w:p>
        </w:tc>
        <w:tc>
          <w:tcPr>
            <w:tcW w:w="2511" w:type="pct"/>
            <w:gridSpan w:val="4"/>
            <w:tcBorders>
              <w:top w:val="single" w:sz="4" w:space="0" w:color="auto"/>
              <w:left w:val="single" w:sz="4" w:space="0" w:color="auto"/>
              <w:bottom w:val="single" w:sz="4" w:space="0" w:color="auto"/>
              <w:right w:val="nil"/>
            </w:tcBorders>
            <w:shd w:val="clear" w:color="auto" w:fill="FABF8F" w:themeFill="accent6" w:themeFillTint="99"/>
            <w:noWrap/>
            <w:vAlign w:val="center"/>
          </w:tcPr>
          <w:p w:rsidR="000B4B70" w:rsidRPr="00AE0CEF" w:rsidRDefault="000B4B70" w:rsidP="001E6679">
            <w:pPr>
              <w:pStyle w:val="cuatexto"/>
              <w:tabs>
                <w:tab w:val="clear" w:pos="7371"/>
              </w:tabs>
              <w:jc w:val="right"/>
              <w:rPr>
                <w:rFonts w:ascii="Arial" w:hAnsi="Arial" w:cs="Arial"/>
                <w:sz w:val="17"/>
                <w:szCs w:val="17"/>
                <w:lang w:val="es-ES" w:eastAsia="es-ES"/>
              </w:rPr>
            </w:pPr>
            <w:r w:rsidRPr="00AE0CEF">
              <w:rPr>
                <w:rFonts w:ascii="Arial" w:hAnsi="Arial" w:cs="Arial"/>
                <w:sz w:val="17"/>
                <w:szCs w:val="17"/>
                <w:lang w:val="es-ES" w:eastAsia="es-ES"/>
              </w:rPr>
              <w:t>Haber</w:t>
            </w:r>
            <w:r>
              <w:rPr>
                <w:rFonts w:ascii="Arial" w:hAnsi="Arial" w:cs="Arial"/>
                <w:sz w:val="17"/>
                <w:szCs w:val="17"/>
                <w:lang w:val="es-ES" w:eastAsia="es-ES"/>
              </w:rPr>
              <w:t xml:space="preserve">   </w:t>
            </w:r>
            <w:r w:rsidR="001E6679">
              <w:rPr>
                <w:rFonts w:ascii="Arial" w:hAnsi="Arial" w:cs="Arial"/>
                <w:sz w:val="17"/>
                <w:szCs w:val="17"/>
                <w:lang w:val="es-ES" w:eastAsia="es-ES"/>
              </w:rPr>
              <w:t xml:space="preserve">       </w:t>
            </w:r>
            <w:r>
              <w:rPr>
                <w:rFonts w:ascii="Arial" w:hAnsi="Arial" w:cs="Arial"/>
                <w:sz w:val="17"/>
                <w:szCs w:val="17"/>
                <w:lang w:val="es-ES" w:eastAsia="es-ES"/>
              </w:rPr>
              <w:t xml:space="preserve">                                   2014       2015</w:t>
            </w:r>
          </w:p>
        </w:tc>
      </w:tr>
      <w:tr w:rsidR="00E224F2" w:rsidRPr="00AE0CEF" w:rsidTr="00E224F2">
        <w:trPr>
          <w:trHeight w:val="284"/>
          <w:jc w:val="center"/>
        </w:trPr>
        <w:tc>
          <w:tcPr>
            <w:tcW w:w="2489" w:type="pct"/>
            <w:gridSpan w:val="4"/>
            <w:tcBorders>
              <w:top w:val="single" w:sz="4" w:space="0" w:color="auto"/>
              <w:left w:val="nil"/>
              <w:bottom w:val="single" w:sz="2" w:space="0" w:color="auto"/>
              <w:right w:val="single" w:sz="4" w:space="0" w:color="auto"/>
            </w:tcBorders>
            <w:shd w:val="clear" w:color="auto" w:fill="FFFFFF"/>
            <w:noWrap/>
            <w:vAlign w:val="center"/>
          </w:tcPr>
          <w:p w:rsidR="00482857" w:rsidRPr="00562C02" w:rsidRDefault="001E6679" w:rsidP="00482857">
            <w:pPr>
              <w:pStyle w:val="cuatexto"/>
              <w:tabs>
                <w:tab w:val="clear" w:pos="3969"/>
                <w:tab w:val="clear" w:pos="6237"/>
                <w:tab w:val="clear" w:pos="7371"/>
              </w:tabs>
              <w:jc w:val="left"/>
              <w:rPr>
                <w:szCs w:val="20"/>
                <w:lang w:val="es-ES" w:eastAsia="es-ES"/>
              </w:rPr>
            </w:pPr>
            <w:r>
              <w:rPr>
                <w:sz w:val="16"/>
                <w:szCs w:val="16"/>
                <w:lang w:val="es-ES" w:eastAsia="es-ES"/>
              </w:rPr>
              <w:t xml:space="preserve">           </w:t>
            </w:r>
            <w:r w:rsidR="00482857" w:rsidRPr="001A7F27">
              <w:rPr>
                <w:sz w:val="16"/>
                <w:szCs w:val="16"/>
                <w:lang w:val="es-ES" w:eastAsia="es-ES"/>
              </w:rPr>
              <w:t>Descripción</w:t>
            </w:r>
          </w:p>
        </w:tc>
        <w:tc>
          <w:tcPr>
            <w:tcW w:w="2511" w:type="pct"/>
            <w:gridSpan w:val="4"/>
            <w:tcBorders>
              <w:top w:val="single" w:sz="4" w:space="0" w:color="auto"/>
              <w:left w:val="nil"/>
              <w:bottom w:val="single" w:sz="2" w:space="0" w:color="auto"/>
              <w:right w:val="nil"/>
            </w:tcBorders>
            <w:shd w:val="clear" w:color="auto" w:fill="FFFFFF"/>
            <w:noWrap/>
            <w:vAlign w:val="center"/>
          </w:tcPr>
          <w:p w:rsidR="00482857" w:rsidRPr="00AE0CEF" w:rsidRDefault="00482857" w:rsidP="00E224F2">
            <w:pPr>
              <w:pStyle w:val="cuatexto"/>
              <w:tabs>
                <w:tab w:val="clear" w:pos="7371"/>
              </w:tabs>
              <w:jc w:val="left"/>
              <w:rPr>
                <w:sz w:val="16"/>
                <w:szCs w:val="16"/>
                <w:lang w:val="es-ES" w:eastAsia="es-ES"/>
              </w:rPr>
            </w:pPr>
            <w:r w:rsidRPr="00AE0CEF">
              <w:rPr>
                <w:sz w:val="16"/>
                <w:szCs w:val="16"/>
                <w:lang w:val="es-ES" w:eastAsia="es-ES"/>
              </w:rPr>
              <w:t xml:space="preserve"> </w:t>
            </w:r>
            <w:r w:rsidR="001E6679">
              <w:rPr>
                <w:sz w:val="16"/>
                <w:szCs w:val="16"/>
                <w:lang w:val="es-ES" w:eastAsia="es-ES"/>
              </w:rPr>
              <w:t xml:space="preserve">          </w:t>
            </w:r>
            <w:r w:rsidRPr="00AE0CEF">
              <w:rPr>
                <w:sz w:val="16"/>
                <w:szCs w:val="16"/>
                <w:lang w:val="es-ES" w:eastAsia="es-ES"/>
              </w:rPr>
              <w:t>Descripción</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AE0CEF" w:rsidRDefault="00C21FD8" w:rsidP="000C632A">
            <w:pPr>
              <w:pStyle w:val="cuatexto"/>
              <w:rPr>
                <w:sz w:val="16"/>
                <w:szCs w:val="16"/>
                <w:lang w:val="es-ES" w:eastAsia="es-ES"/>
              </w:rPr>
            </w:pPr>
            <w:r>
              <w:rPr>
                <w:sz w:val="16"/>
                <w:szCs w:val="16"/>
                <w:lang w:val="es-ES" w:eastAsia="es-ES"/>
              </w:rPr>
              <w:t>61</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Gastos de personal</w:t>
            </w:r>
          </w:p>
        </w:tc>
        <w:tc>
          <w:tcPr>
            <w:tcW w:w="426" w:type="pct"/>
            <w:tcBorders>
              <w:top w:val="single" w:sz="2" w:space="0" w:color="auto"/>
              <w:left w:val="nil"/>
              <w:bottom w:val="single" w:sz="2" w:space="0" w:color="auto"/>
              <w:right w:val="nil"/>
            </w:tcBorders>
            <w:shd w:val="clear" w:color="auto" w:fill="auto"/>
            <w:noWrap/>
            <w:vAlign w:val="center"/>
          </w:tcPr>
          <w:p w:rsidR="00C21FD8" w:rsidRPr="00C21FD8" w:rsidRDefault="00C21FD8" w:rsidP="000C632A">
            <w:pPr>
              <w:pStyle w:val="cuatexto"/>
              <w:jc w:val="right"/>
              <w:rPr>
                <w:sz w:val="16"/>
                <w:szCs w:val="16"/>
                <w:lang w:val="es-ES" w:eastAsia="es-ES"/>
              </w:rPr>
            </w:pPr>
            <w:r w:rsidRPr="00C21FD8">
              <w:rPr>
                <w:sz w:val="16"/>
                <w:szCs w:val="16"/>
                <w:lang w:val="es-ES" w:eastAsia="es-ES"/>
              </w:rPr>
              <w:t>1.</w:t>
            </w:r>
            <w:r w:rsidRPr="00256775">
              <w:rPr>
                <w:sz w:val="16"/>
                <w:szCs w:val="16"/>
                <w:lang w:val="es-ES" w:eastAsia="es-ES"/>
              </w:rPr>
              <w:t>698</w:t>
            </w:r>
            <w:r w:rsidRPr="00C21FD8">
              <w:rPr>
                <w:sz w:val="16"/>
                <w:szCs w:val="16"/>
                <w:lang w:val="es-ES" w:eastAsia="es-ES"/>
              </w:rPr>
              <w:t>.157</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1.828.357</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70</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Ventas</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right"/>
              <w:rPr>
                <w:sz w:val="16"/>
                <w:szCs w:val="16"/>
                <w:lang w:val="es-ES" w:eastAsia="es-ES"/>
              </w:rPr>
            </w:pPr>
            <w:r>
              <w:rPr>
                <w:sz w:val="16"/>
                <w:szCs w:val="16"/>
                <w:lang w:val="es-ES" w:eastAsia="es-ES"/>
              </w:rPr>
              <w:t>2.731.311</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right"/>
              <w:rPr>
                <w:sz w:val="16"/>
                <w:szCs w:val="16"/>
                <w:lang w:val="es-ES" w:eastAsia="es-ES"/>
              </w:rPr>
            </w:pPr>
            <w:r>
              <w:rPr>
                <w:sz w:val="16"/>
                <w:szCs w:val="16"/>
                <w:lang w:val="es-ES" w:eastAsia="es-ES"/>
              </w:rPr>
              <w:t>2.820.314</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AE0CEF" w:rsidRDefault="00C21FD8" w:rsidP="000C632A">
            <w:pPr>
              <w:pStyle w:val="cuatexto"/>
              <w:rPr>
                <w:sz w:val="16"/>
                <w:szCs w:val="16"/>
                <w:lang w:val="es-ES" w:eastAsia="es-ES"/>
              </w:rPr>
            </w:pPr>
            <w:r>
              <w:rPr>
                <w:sz w:val="16"/>
                <w:szCs w:val="16"/>
                <w:lang w:val="es-ES" w:eastAsia="es-ES"/>
              </w:rPr>
              <w:t>62</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Gastos financieros</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2.911</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71</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Renta prop. y empresa</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right"/>
              <w:rPr>
                <w:sz w:val="16"/>
                <w:szCs w:val="16"/>
                <w:lang w:val="es-ES" w:eastAsia="es-ES"/>
              </w:rPr>
            </w:pPr>
            <w:r>
              <w:rPr>
                <w:sz w:val="16"/>
                <w:szCs w:val="16"/>
                <w:lang w:val="es-ES" w:eastAsia="es-ES"/>
              </w:rPr>
              <w:t>17</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right"/>
              <w:rPr>
                <w:sz w:val="16"/>
                <w:szCs w:val="16"/>
                <w:lang w:val="es-ES" w:eastAsia="es-ES"/>
              </w:rPr>
            </w:pPr>
            <w:r>
              <w:rPr>
                <w:sz w:val="16"/>
                <w:szCs w:val="16"/>
                <w:lang w:val="es-ES" w:eastAsia="es-ES"/>
              </w:rPr>
              <w:t>1</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AE0CEF" w:rsidRDefault="00C21FD8" w:rsidP="000C632A">
            <w:pPr>
              <w:pStyle w:val="cuatexto"/>
              <w:rPr>
                <w:sz w:val="16"/>
                <w:szCs w:val="16"/>
                <w:lang w:val="es-ES" w:eastAsia="es-ES"/>
              </w:rPr>
            </w:pPr>
            <w:r>
              <w:rPr>
                <w:sz w:val="16"/>
                <w:szCs w:val="16"/>
                <w:lang w:val="es-ES" w:eastAsia="es-ES"/>
              </w:rPr>
              <w:t>64</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Trabajos, suministros y serv.ext.</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1.115.852</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1.065.237</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72</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Tributos producc. e importación</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67</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Transferencias corrientes</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1.048</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1.048</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73</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Impuestos corrientes</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AE0CEF" w:rsidRDefault="00C21FD8" w:rsidP="000C632A">
            <w:pPr>
              <w:pStyle w:val="cuatexto"/>
              <w:rPr>
                <w:sz w:val="16"/>
                <w:szCs w:val="16"/>
                <w:lang w:val="es-ES" w:eastAsia="es-ES"/>
              </w:rPr>
            </w:pPr>
            <w:r>
              <w:rPr>
                <w:sz w:val="16"/>
                <w:szCs w:val="16"/>
                <w:lang w:val="es-ES" w:eastAsia="es-ES"/>
              </w:rPr>
              <w:t>68</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Transferencias de capital</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76</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Transferencias corrientes</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AE0CEF" w:rsidRDefault="00C21FD8" w:rsidP="000C632A">
            <w:pPr>
              <w:pStyle w:val="cuatexto"/>
              <w:rPr>
                <w:sz w:val="16"/>
                <w:szCs w:val="16"/>
                <w:lang w:val="es-ES" w:eastAsia="es-ES"/>
              </w:rPr>
            </w:pPr>
            <w:r>
              <w:rPr>
                <w:sz w:val="16"/>
                <w:szCs w:val="16"/>
                <w:lang w:val="es-ES" w:eastAsia="es-ES"/>
              </w:rPr>
              <w:t>69</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Gastos calculados</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77</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Impuestos sobre capital</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78502D" w:rsidP="00E224F2">
            <w:pPr>
              <w:pStyle w:val="cuatexto"/>
              <w:tabs>
                <w:tab w:val="clear" w:pos="7371"/>
              </w:tabs>
              <w:jc w:val="right"/>
              <w:rPr>
                <w:sz w:val="16"/>
                <w:szCs w:val="16"/>
                <w:lang w:val="es-ES" w:eastAsia="es-ES"/>
              </w:rPr>
            </w:pPr>
            <w:r>
              <w:rPr>
                <w:sz w:val="16"/>
                <w:szCs w:val="16"/>
                <w:lang w:val="es-ES" w:eastAsia="es-ES"/>
              </w:rPr>
              <w:t>0</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0B4B70" w:rsidRDefault="00C21FD8" w:rsidP="000C632A">
            <w:pPr>
              <w:pStyle w:val="cuatexto"/>
              <w:rPr>
                <w:b/>
                <w:sz w:val="16"/>
                <w:szCs w:val="16"/>
                <w:lang w:val="es-ES" w:eastAsia="es-ES"/>
              </w:rPr>
            </w:pPr>
            <w:r w:rsidRPr="000B4B70">
              <w:rPr>
                <w:b/>
                <w:sz w:val="16"/>
                <w:szCs w:val="16"/>
                <w:lang w:val="es-ES" w:eastAsia="es-ES"/>
              </w:rPr>
              <w:t>D80</w:t>
            </w:r>
          </w:p>
        </w:tc>
        <w:tc>
          <w:tcPr>
            <w:tcW w:w="1369" w:type="pct"/>
            <w:tcBorders>
              <w:top w:val="single" w:sz="2" w:space="0" w:color="auto"/>
              <w:left w:val="nil"/>
              <w:bottom w:val="single" w:sz="2" w:space="0" w:color="auto"/>
              <w:right w:val="nil"/>
            </w:tcBorders>
            <w:shd w:val="clear" w:color="auto" w:fill="auto"/>
            <w:noWrap/>
            <w:vAlign w:val="center"/>
          </w:tcPr>
          <w:p w:rsidR="00C21FD8" w:rsidRPr="000B4B70" w:rsidRDefault="00C21FD8" w:rsidP="00E224F2">
            <w:pPr>
              <w:pStyle w:val="cuatexto"/>
              <w:rPr>
                <w:b/>
                <w:sz w:val="16"/>
                <w:szCs w:val="16"/>
                <w:lang w:val="es-ES" w:eastAsia="es-ES"/>
              </w:rPr>
            </w:pPr>
            <w:r w:rsidRPr="000B4B70">
              <w:rPr>
                <w:b/>
                <w:sz w:val="16"/>
                <w:szCs w:val="16"/>
                <w:lang w:val="es-ES" w:eastAsia="es-ES"/>
              </w:rPr>
              <w:t>Result</w:t>
            </w:r>
            <w:r w:rsidR="00E224F2">
              <w:rPr>
                <w:b/>
                <w:sz w:val="16"/>
                <w:szCs w:val="16"/>
                <w:lang w:val="es-ES" w:eastAsia="es-ES"/>
              </w:rPr>
              <w:t xml:space="preserve">. </w:t>
            </w:r>
            <w:r w:rsidRPr="000B4B70">
              <w:rPr>
                <w:b/>
                <w:sz w:val="16"/>
                <w:szCs w:val="16"/>
                <w:lang w:val="es-ES" w:eastAsia="es-ES"/>
              </w:rPr>
              <w:t>corriente negativo ejerc</w:t>
            </w:r>
            <w:r w:rsidR="00E224F2">
              <w:rPr>
                <w:b/>
                <w:sz w:val="16"/>
                <w:szCs w:val="16"/>
                <w:lang w:val="es-ES" w:eastAsia="es-ES"/>
              </w:rPr>
              <w:t>º</w:t>
            </w:r>
          </w:p>
        </w:tc>
        <w:tc>
          <w:tcPr>
            <w:tcW w:w="426" w:type="pct"/>
            <w:tcBorders>
              <w:top w:val="single" w:sz="2" w:space="0" w:color="auto"/>
              <w:left w:val="nil"/>
              <w:bottom w:val="single" w:sz="2" w:space="0" w:color="auto"/>
              <w:right w:val="nil"/>
            </w:tcBorders>
            <w:shd w:val="clear" w:color="auto" w:fill="auto"/>
            <w:noWrap/>
            <w:vAlign w:val="center"/>
          </w:tcPr>
          <w:p w:rsidR="00C21FD8" w:rsidRPr="000B4B70" w:rsidRDefault="00C21FD8" w:rsidP="000C632A">
            <w:pPr>
              <w:pStyle w:val="cuatexto"/>
              <w:jc w:val="right"/>
              <w:rPr>
                <w:b/>
                <w:sz w:val="16"/>
                <w:szCs w:val="16"/>
                <w:lang w:val="es-ES" w:eastAsia="es-ES"/>
              </w:rPr>
            </w:pPr>
            <w:r w:rsidRPr="000B4B70">
              <w:rPr>
                <w:b/>
                <w:sz w:val="16"/>
                <w:szCs w:val="16"/>
                <w:lang w:val="es-ES" w:eastAsia="es-ES"/>
              </w:rPr>
              <w:t>-83.730</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0B4B70" w:rsidRDefault="00C21FD8" w:rsidP="000C632A">
            <w:pPr>
              <w:pStyle w:val="cuatexto"/>
              <w:jc w:val="right"/>
              <w:rPr>
                <w:b/>
                <w:sz w:val="16"/>
                <w:szCs w:val="16"/>
                <w:lang w:val="es-ES" w:eastAsia="es-ES"/>
              </w:rPr>
            </w:pPr>
            <w:r w:rsidRPr="000B4B70">
              <w:rPr>
                <w:b/>
                <w:sz w:val="16"/>
                <w:szCs w:val="16"/>
                <w:lang w:val="es-ES" w:eastAsia="es-ES"/>
              </w:rPr>
              <w:t>-77.239</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H80</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 xml:space="preserve">Resultado corriente </w:t>
            </w:r>
            <w:r w:rsidR="00197378">
              <w:rPr>
                <w:sz w:val="16"/>
                <w:szCs w:val="16"/>
                <w:lang w:val="es-ES" w:eastAsia="es-ES"/>
              </w:rPr>
              <w:t xml:space="preserve">positivo </w:t>
            </w:r>
            <w:r>
              <w:rPr>
                <w:sz w:val="16"/>
                <w:szCs w:val="16"/>
                <w:lang w:val="es-ES" w:eastAsia="es-ES"/>
              </w:rPr>
              <w:t>ejerc</w:t>
            </w:r>
            <w:r w:rsidR="00E224F2">
              <w:rPr>
                <w:sz w:val="16"/>
                <w:szCs w:val="16"/>
                <w:lang w:val="es-ES" w:eastAsia="es-ES"/>
              </w:rPr>
              <w:t>º</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AE0CEF" w:rsidRDefault="00C21FD8" w:rsidP="000C632A">
            <w:pPr>
              <w:pStyle w:val="cuatexto"/>
              <w:rPr>
                <w:sz w:val="16"/>
                <w:szCs w:val="16"/>
                <w:lang w:val="es-ES" w:eastAsia="es-ES"/>
              </w:rPr>
            </w:pPr>
            <w:r>
              <w:rPr>
                <w:sz w:val="16"/>
                <w:szCs w:val="16"/>
                <w:lang w:val="es-ES" w:eastAsia="es-ES"/>
              </w:rPr>
              <w:t>D82</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E224F2">
            <w:pPr>
              <w:pStyle w:val="cuatexto"/>
              <w:rPr>
                <w:sz w:val="16"/>
                <w:szCs w:val="16"/>
                <w:lang w:val="es-ES" w:eastAsia="es-ES"/>
              </w:rPr>
            </w:pPr>
            <w:r w:rsidRPr="001A7F27">
              <w:rPr>
                <w:sz w:val="16"/>
                <w:szCs w:val="16"/>
                <w:lang w:val="es-ES" w:eastAsia="es-ES"/>
              </w:rPr>
              <w:t>Pérdidas venta inver. y extraord</w:t>
            </w:r>
            <w:r w:rsidR="00E224F2">
              <w:rPr>
                <w:sz w:val="16"/>
                <w:szCs w:val="16"/>
                <w:lang w:val="es-ES" w:eastAsia="es-ES"/>
              </w:rPr>
              <w:t>.</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H82</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Ganancia enajenación inversiones</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D83</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Pérdidas venta activos financieros</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H83</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Ganancia venta activos financieros</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r>
      <w:tr w:rsidR="00E224F2" w:rsidRPr="00AE0CEF" w:rsidTr="00E224F2">
        <w:trPr>
          <w:trHeight w:val="284"/>
          <w:jc w:val="center"/>
        </w:trPr>
        <w:tc>
          <w:tcPr>
            <w:tcW w:w="253" w:type="pct"/>
            <w:tcBorders>
              <w:top w:val="single" w:sz="2" w:space="0" w:color="auto"/>
              <w:left w:val="nil"/>
              <w:bottom w:val="single" w:sz="2" w:space="0" w:color="auto"/>
              <w:right w:val="nil"/>
            </w:tcBorders>
            <w:shd w:val="clear" w:color="auto" w:fill="auto"/>
            <w:noWrap/>
            <w:vAlign w:val="center"/>
          </w:tcPr>
          <w:p w:rsidR="00C21FD8" w:rsidRPr="00AE0CEF" w:rsidRDefault="00C21FD8" w:rsidP="000C632A">
            <w:pPr>
              <w:pStyle w:val="cuatexto"/>
              <w:rPr>
                <w:sz w:val="16"/>
                <w:szCs w:val="16"/>
                <w:lang w:val="es-ES" w:eastAsia="es-ES"/>
              </w:rPr>
            </w:pPr>
            <w:r>
              <w:rPr>
                <w:sz w:val="16"/>
                <w:szCs w:val="16"/>
                <w:lang w:val="es-ES" w:eastAsia="es-ES"/>
              </w:rPr>
              <w:t>D84</w:t>
            </w:r>
          </w:p>
        </w:tc>
        <w:tc>
          <w:tcPr>
            <w:tcW w:w="1369"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rPr>
                <w:sz w:val="16"/>
                <w:szCs w:val="16"/>
                <w:lang w:val="es-ES" w:eastAsia="es-ES"/>
              </w:rPr>
            </w:pPr>
            <w:r w:rsidRPr="001A7F27">
              <w:rPr>
                <w:sz w:val="16"/>
                <w:szCs w:val="16"/>
                <w:lang w:val="es-ES" w:eastAsia="es-ES"/>
              </w:rPr>
              <w:t>Bajas y anul. pptos. cerrados</w:t>
            </w:r>
          </w:p>
        </w:tc>
        <w:tc>
          <w:tcPr>
            <w:tcW w:w="426" w:type="pct"/>
            <w:tcBorders>
              <w:top w:val="single" w:sz="2" w:space="0" w:color="auto"/>
              <w:left w:val="nil"/>
              <w:bottom w:val="single" w:sz="2" w:space="0" w:color="auto"/>
              <w:right w:val="nil"/>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440" w:type="pct"/>
            <w:tcBorders>
              <w:top w:val="single" w:sz="2" w:space="0" w:color="auto"/>
              <w:left w:val="nil"/>
              <w:bottom w:val="single" w:sz="2" w:space="0" w:color="auto"/>
              <w:right w:val="single" w:sz="4" w:space="0" w:color="auto"/>
            </w:tcBorders>
            <w:shd w:val="clear" w:color="auto" w:fill="auto"/>
            <w:noWrap/>
            <w:vAlign w:val="center"/>
          </w:tcPr>
          <w:p w:rsidR="00C21FD8" w:rsidRPr="001A7F27" w:rsidRDefault="00C21FD8" w:rsidP="000C632A">
            <w:pPr>
              <w:pStyle w:val="cuatexto"/>
              <w:jc w:val="right"/>
              <w:rPr>
                <w:sz w:val="16"/>
                <w:szCs w:val="16"/>
                <w:lang w:val="es-ES" w:eastAsia="es-ES"/>
              </w:rPr>
            </w:pPr>
            <w:r>
              <w:rPr>
                <w:sz w:val="16"/>
                <w:szCs w:val="16"/>
                <w:lang w:val="es-ES" w:eastAsia="es-ES"/>
              </w:rPr>
              <w:t>0</w:t>
            </w:r>
          </w:p>
        </w:tc>
        <w:tc>
          <w:tcPr>
            <w:tcW w:w="268"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jc w:val="center"/>
              <w:rPr>
                <w:sz w:val="16"/>
                <w:szCs w:val="16"/>
                <w:lang w:val="es-ES" w:eastAsia="es-ES"/>
              </w:rPr>
            </w:pPr>
            <w:r>
              <w:rPr>
                <w:sz w:val="16"/>
                <w:szCs w:val="16"/>
                <w:lang w:val="es-ES" w:eastAsia="es-ES"/>
              </w:rPr>
              <w:t>H84</w:t>
            </w:r>
          </w:p>
        </w:tc>
        <w:tc>
          <w:tcPr>
            <w:tcW w:w="1311" w:type="pct"/>
            <w:tcBorders>
              <w:top w:val="single" w:sz="2" w:space="0" w:color="auto"/>
              <w:left w:val="nil"/>
              <w:bottom w:val="single" w:sz="2" w:space="0" w:color="auto"/>
              <w:right w:val="nil"/>
            </w:tcBorders>
            <w:shd w:val="clear" w:color="auto" w:fill="auto"/>
            <w:noWrap/>
            <w:vAlign w:val="center"/>
          </w:tcPr>
          <w:p w:rsidR="00C21FD8" w:rsidRPr="00AE0CEF" w:rsidRDefault="00C21FD8" w:rsidP="00E224F2">
            <w:pPr>
              <w:pStyle w:val="cuatexto"/>
              <w:tabs>
                <w:tab w:val="clear" w:pos="7371"/>
              </w:tabs>
              <w:rPr>
                <w:sz w:val="16"/>
                <w:szCs w:val="16"/>
                <w:lang w:val="es-ES" w:eastAsia="es-ES"/>
              </w:rPr>
            </w:pPr>
            <w:r>
              <w:rPr>
                <w:sz w:val="16"/>
                <w:szCs w:val="16"/>
                <w:lang w:val="es-ES" w:eastAsia="es-ES"/>
              </w:rPr>
              <w:t>Altas y prescrip. pptos cerrados</w:t>
            </w:r>
          </w:p>
        </w:tc>
        <w:tc>
          <w:tcPr>
            <w:tcW w:w="47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c>
          <w:tcPr>
            <w:tcW w:w="461" w:type="pct"/>
            <w:tcBorders>
              <w:top w:val="single" w:sz="2" w:space="0" w:color="auto"/>
              <w:left w:val="nil"/>
              <w:bottom w:val="single" w:sz="2" w:space="0" w:color="auto"/>
              <w:right w:val="nil"/>
            </w:tcBorders>
            <w:shd w:val="clear" w:color="auto" w:fill="auto"/>
            <w:noWrap/>
            <w:vAlign w:val="center"/>
          </w:tcPr>
          <w:p w:rsidR="00C21FD8" w:rsidRPr="00AE0CEF" w:rsidRDefault="00BC7977" w:rsidP="00E224F2">
            <w:pPr>
              <w:pStyle w:val="cuatexto"/>
              <w:tabs>
                <w:tab w:val="clear" w:pos="7371"/>
              </w:tabs>
              <w:jc w:val="right"/>
              <w:rPr>
                <w:sz w:val="16"/>
                <w:szCs w:val="16"/>
                <w:lang w:val="es-ES" w:eastAsia="es-ES"/>
              </w:rPr>
            </w:pPr>
            <w:r>
              <w:rPr>
                <w:sz w:val="16"/>
                <w:szCs w:val="16"/>
                <w:lang w:val="es-ES" w:eastAsia="es-ES"/>
              </w:rPr>
              <w:t>0</w:t>
            </w:r>
          </w:p>
        </w:tc>
      </w:tr>
      <w:tr w:rsidR="00E224F2" w:rsidRPr="001E6679" w:rsidTr="00E224F2">
        <w:trPr>
          <w:trHeight w:val="284"/>
          <w:jc w:val="center"/>
        </w:trPr>
        <w:tc>
          <w:tcPr>
            <w:tcW w:w="253" w:type="pct"/>
            <w:tcBorders>
              <w:top w:val="single" w:sz="2" w:space="0" w:color="auto"/>
              <w:left w:val="nil"/>
              <w:bottom w:val="single" w:sz="2" w:space="0" w:color="auto"/>
              <w:right w:val="nil"/>
            </w:tcBorders>
            <w:shd w:val="clear" w:color="auto" w:fill="FABF8F" w:themeFill="accent6" w:themeFillTint="99"/>
            <w:noWrap/>
            <w:vAlign w:val="center"/>
          </w:tcPr>
          <w:p w:rsidR="00C21FD8" w:rsidRPr="001E6679" w:rsidRDefault="00C21FD8" w:rsidP="000C632A">
            <w:pPr>
              <w:pStyle w:val="cuatexto"/>
              <w:rPr>
                <w:rFonts w:cs="Arial"/>
                <w:sz w:val="16"/>
                <w:szCs w:val="16"/>
                <w:lang w:val="es-ES" w:eastAsia="es-ES"/>
              </w:rPr>
            </w:pPr>
            <w:r w:rsidRPr="001E6679">
              <w:rPr>
                <w:rFonts w:cs="Arial"/>
                <w:sz w:val="16"/>
                <w:szCs w:val="16"/>
                <w:lang w:val="es-ES" w:eastAsia="es-ES"/>
              </w:rPr>
              <w:t>D89</w:t>
            </w:r>
          </w:p>
        </w:tc>
        <w:tc>
          <w:tcPr>
            <w:tcW w:w="1369" w:type="pct"/>
            <w:tcBorders>
              <w:top w:val="single" w:sz="2" w:space="0" w:color="auto"/>
              <w:left w:val="nil"/>
              <w:bottom w:val="single" w:sz="2" w:space="0" w:color="auto"/>
              <w:right w:val="nil"/>
            </w:tcBorders>
            <w:shd w:val="clear" w:color="auto" w:fill="FABF8F" w:themeFill="accent6" w:themeFillTint="99"/>
            <w:noWrap/>
            <w:vAlign w:val="center"/>
          </w:tcPr>
          <w:p w:rsidR="00C21FD8" w:rsidRPr="001E6679" w:rsidRDefault="00C21FD8" w:rsidP="000C632A">
            <w:pPr>
              <w:pStyle w:val="cuatexto"/>
              <w:rPr>
                <w:rFonts w:cs="Arial"/>
                <w:sz w:val="16"/>
                <w:szCs w:val="16"/>
                <w:lang w:val="es-ES" w:eastAsia="es-ES"/>
              </w:rPr>
            </w:pPr>
            <w:r w:rsidRPr="001E6679">
              <w:rPr>
                <w:rFonts w:cs="Arial"/>
                <w:sz w:val="16"/>
                <w:szCs w:val="16"/>
                <w:lang w:val="es-ES" w:eastAsia="es-ES"/>
              </w:rPr>
              <w:t>Resultado econ. negativo ejercicio</w:t>
            </w:r>
          </w:p>
        </w:tc>
        <w:tc>
          <w:tcPr>
            <w:tcW w:w="426" w:type="pct"/>
            <w:tcBorders>
              <w:top w:val="single" w:sz="2" w:space="0" w:color="auto"/>
              <w:left w:val="nil"/>
              <w:bottom w:val="single" w:sz="2" w:space="0" w:color="auto"/>
              <w:right w:val="nil"/>
            </w:tcBorders>
            <w:shd w:val="clear" w:color="auto" w:fill="FABF8F" w:themeFill="accent6" w:themeFillTint="99"/>
            <w:noWrap/>
            <w:vAlign w:val="center"/>
          </w:tcPr>
          <w:p w:rsidR="00C21FD8" w:rsidRPr="001E6679" w:rsidRDefault="00C21FD8" w:rsidP="000C632A">
            <w:pPr>
              <w:pStyle w:val="cuatexto"/>
              <w:jc w:val="right"/>
              <w:rPr>
                <w:rFonts w:cs="Arial"/>
                <w:sz w:val="16"/>
                <w:szCs w:val="16"/>
                <w:lang w:val="es-ES" w:eastAsia="es-ES"/>
              </w:rPr>
            </w:pPr>
            <w:r w:rsidRPr="001E6679">
              <w:rPr>
                <w:rFonts w:cs="Arial"/>
                <w:sz w:val="16"/>
                <w:szCs w:val="16"/>
                <w:lang w:val="es-ES" w:eastAsia="es-ES"/>
              </w:rPr>
              <w:t>-83.730</w:t>
            </w:r>
          </w:p>
        </w:tc>
        <w:tc>
          <w:tcPr>
            <w:tcW w:w="440" w:type="pct"/>
            <w:tcBorders>
              <w:top w:val="single" w:sz="2" w:space="0" w:color="auto"/>
              <w:left w:val="nil"/>
              <w:bottom w:val="single" w:sz="2" w:space="0" w:color="auto"/>
              <w:right w:val="single" w:sz="4" w:space="0" w:color="auto"/>
            </w:tcBorders>
            <w:shd w:val="clear" w:color="auto" w:fill="FABF8F" w:themeFill="accent6" w:themeFillTint="99"/>
            <w:noWrap/>
            <w:vAlign w:val="center"/>
          </w:tcPr>
          <w:p w:rsidR="00C21FD8" w:rsidRPr="001E6679" w:rsidRDefault="00C21FD8" w:rsidP="000C632A">
            <w:pPr>
              <w:pStyle w:val="cuatexto"/>
              <w:jc w:val="right"/>
              <w:rPr>
                <w:rFonts w:cs="Arial"/>
                <w:sz w:val="16"/>
                <w:szCs w:val="16"/>
                <w:lang w:val="es-ES" w:eastAsia="es-ES"/>
              </w:rPr>
            </w:pPr>
            <w:r w:rsidRPr="001E6679">
              <w:rPr>
                <w:rFonts w:cs="Arial"/>
                <w:sz w:val="16"/>
                <w:szCs w:val="16"/>
                <w:lang w:val="es-ES" w:eastAsia="es-ES"/>
              </w:rPr>
              <w:t>-77.239</w:t>
            </w:r>
          </w:p>
        </w:tc>
        <w:tc>
          <w:tcPr>
            <w:tcW w:w="268" w:type="pct"/>
            <w:tcBorders>
              <w:top w:val="single" w:sz="2" w:space="0" w:color="auto"/>
              <w:left w:val="nil"/>
              <w:bottom w:val="single" w:sz="2" w:space="0" w:color="auto"/>
              <w:right w:val="nil"/>
            </w:tcBorders>
            <w:shd w:val="clear" w:color="auto" w:fill="FABF8F" w:themeFill="accent6" w:themeFillTint="99"/>
            <w:noWrap/>
            <w:vAlign w:val="center"/>
          </w:tcPr>
          <w:p w:rsidR="00C21FD8" w:rsidRPr="001E6679" w:rsidRDefault="00C21FD8" w:rsidP="00E224F2">
            <w:pPr>
              <w:pStyle w:val="cuatexto"/>
              <w:tabs>
                <w:tab w:val="clear" w:pos="7371"/>
              </w:tabs>
              <w:jc w:val="center"/>
              <w:rPr>
                <w:rFonts w:cs="Arial"/>
                <w:sz w:val="16"/>
                <w:szCs w:val="16"/>
                <w:lang w:val="es-ES" w:eastAsia="es-ES"/>
              </w:rPr>
            </w:pPr>
            <w:r w:rsidRPr="001E6679">
              <w:rPr>
                <w:rFonts w:cs="Arial"/>
                <w:sz w:val="16"/>
                <w:szCs w:val="16"/>
                <w:lang w:val="es-ES" w:eastAsia="es-ES"/>
              </w:rPr>
              <w:t>H89</w:t>
            </w:r>
          </w:p>
        </w:tc>
        <w:tc>
          <w:tcPr>
            <w:tcW w:w="1311" w:type="pct"/>
            <w:tcBorders>
              <w:top w:val="single" w:sz="2" w:space="0" w:color="auto"/>
              <w:left w:val="nil"/>
              <w:bottom w:val="single" w:sz="2" w:space="0" w:color="auto"/>
              <w:right w:val="nil"/>
            </w:tcBorders>
            <w:shd w:val="clear" w:color="auto" w:fill="FABF8F" w:themeFill="accent6" w:themeFillTint="99"/>
            <w:noWrap/>
            <w:vAlign w:val="center"/>
          </w:tcPr>
          <w:p w:rsidR="00C21FD8" w:rsidRPr="001E6679" w:rsidRDefault="00C21FD8" w:rsidP="00E224F2">
            <w:pPr>
              <w:pStyle w:val="cuatexto"/>
              <w:tabs>
                <w:tab w:val="clear" w:pos="7371"/>
              </w:tabs>
              <w:rPr>
                <w:rFonts w:cs="Arial"/>
                <w:sz w:val="16"/>
                <w:szCs w:val="16"/>
                <w:lang w:val="es-ES" w:eastAsia="es-ES"/>
              </w:rPr>
            </w:pPr>
            <w:r w:rsidRPr="001E6679">
              <w:rPr>
                <w:rFonts w:cs="Arial"/>
                <w:sz w:val="16"/>
                <w:szCs w:val="16"/>
                <w:lang w:val="es-ES" w:eastAsia="es-ES"/>
              </w:rPr>
              <w:t>Resultado econ. positivo ejerc</w:t>
            </w:r>
            <w:r w:rsidR="00E224F2" w:rsidRPr="001E6679">
              <w:rPr>
                <w:rFonts w:cs="Arial"/>
                <w:sz w:val="16"/>
                <w:szCs w:val="16"/>
                <w:lang w:val="es-ES" w:eastAsia="es-ES"/>
              </w:rPr>
              <w:t>º</w:t>
            </w:r>
          </w:p>
        </w:tc>
        <w:tc>
          <w:tcPr>
            <w:tcW w:w="471" w:type="pct"/>
            <w:tcBorders>
              <w:top w:val="single" w:sz="2" w:space="0" w:color="auto"/>
              <w:left w:val="nil"/>
              <w:bottom w:val="single" w:sz="2" w:space="0" w:color="auto"/>
              <w:right w:val="nil"/>
            </w:tcBorders>
            <w:shd w:val="clear" w:color="auto" w:fill="FABF8F" w:themeFill="accent6" w:themeFillTint="99"/>
            <w:noWrap/>
            <w:vAlign w:val="center"/>
          </w:tcPr>
          <w:p w:rsidR="00C21FD8" w:rsidRPr="001E6679" w:rsidRDefault="00BC7977" w:rsidP="00E224F2">
            <w:pPr>
              <w:pStyle w:val="cuatexto"/>
              <w:tabs>
                <w:tab w:val="clear" w:pos="7371"/>
              </w:tabs>
              <w:jc w:val="right"/>
              <w:rPr>
                <w:rFonts w:cs="Arial"/>
                <w:sz w:val="16"/>
                <w:szCs w:val="16"/>
                <w:lang w:val="es-ES" w:eastAsia="es-ES"/>
              </w:rPr>
            </w:pPr>
            <w:r w:rsidRPr="001E6679">
              <w:rPr>
                <w:rFonts w:cs="Arial"/>
                <w:sz w:val="16"/>
                <w:szCs w:val="16"/>
                <w:lang w:val="es-ES" w:eastAsia="es-ES"/>
              </w:rPr>
              <w:t>0</w:t>
            </w:r>
          </w:p>
        </w:tc>
        <w:tc>
          <w:tcPr>
            <w:tcW w:w="461" w:type="pct"/>
            <w:tcBorders>
              <w:top w:val="single" w:sz="2" w:space="0" w:color="auto"/>
              <w:left w:val="nil"/>
              <w:bottom w:val="single" w:sz="2" w:space="0" w:color="auto"/>
              <w:right w:val="nil"/>
            </w:tcBorders>
            <w:shd w:val="clear" w:color="auto" w:fill="FABF8F" w:themeFill="accent6" w:themeFillTint="99"/>
            <w:noWrap/>
            <w:vAlign w:val="center"/>
          </w:tcPr>
          <w:p w:rsidR="00C21FD8" w:rsidRPr="001E6679" w:rsidRDefault="00BC7977" w:rsidP="00E224F2">
            <w:pPr>
              <w:pStyle w:val="cuatexto"/>
              <w:tabs>
                <w:tab w:val="clear" w:pos="7371"/>
              </w:tabs>
              <w:jc w:val="right"/>
              <w:rPr>
                <w:rFonts w:cs="Arial"/>
                <w:sz w:val="16"/>
                <w:szCs w:val="16"/>
                <w:lang w:val="es-ES" w:eastAsia="es-ES"/>
              </w:rPr>
            </w:pPr>
            <w:r w:rsidRPr="001E6679">
              <w:rPr>
                <w:rFonts w:cs="Arial"/>
                <w:sz w:val="16"/>
                <w:szCs w:val="16"/>
                <w:lang w:val="es-ES" w:eastAsia="es-ES"/>
              </w:rPr>
              <w:t>0</w:t>
            </w:r>
          </w:p>
        </w:tc>
      </w:tr>
    </w:tbl>
    <w:p w:rsidR="000B4B70" w:rsidRDefault="000B4B70" w:rsidP="000B4B70">
      <w:pPr>
        <w:rPr>
          <w:highlight w:val="yellow"/>
        </w:rPr>
      </w:pPr>
    </w:p>
    <w:p w:rsidR="00AD3EE4" w:rsidRDefault="00AD3EE4" w:rsidP="00D115AC">
      <w:pPr>
        <w:pStyle w:val="atitulo1"/>
      </w:pPr>
      <w:bookmarkStart w:id="28" w:name="_Toc475093092"/>
      <w:bookmarkEnd w:id="15"/>
      <w:bookmarkEnd w:id="16"/>
      <w:bookmarkEnd w:id="17"/>
      <w:r>
        <w:t>IV. Observaciones y recomendaciones</w:t>
      </w:r>
      <w:bookmarkEnd w:id="28"/>
    </w:p>
    <w:p w:rsidR="00AD3EE4" w:rsidRDefault="00582C16" w:rsidP="00582C16">
      <w:pPr>
        <w:pStyle w:val="texto"/>
      </w:pPr>
      <w:r>
        <w:t>Como parte de la fiscalización realizada, a continuación se incluyen aquellas observaciones, comentarios y recomendaciones junto con determinada inform</w:t>
      </w:r>
      <w:r>
        <w:t>a</w:t>
      </w:r>
      <w:r>
        <w:t>ción adicional que esta Cámara considera que puede ser de interés a los dest</w:t>
      </w:r>
      <w:r>
        <w:t>i</w:t>
      </w:r>
      <w:r>
        <w:t>natarios y usuarios del presente informe.</w:t>
      </w:r>
      <w:r w:rsidR="00604C9B">
        <w:t xml:space="preserve"> Se incluye igualmente información detallada sobre las salvedades en la opinión del informe de fiscalización.</w:t>
      </w:r>
    </w:p>
    <w:p w:rsidR="00582C16" w:rsidRPr="00225229" w:rsidRDefault="00D115AC" w:rsidP="00582C16">
      <w:pPr>
        <w:pStyle w:val="atitulo2"/>
        <w:spacing w:before="240"/>
        <w:rPr>
          <w:color w:val="auto"/>
        </w:rPr>
      </w:pPr>
      <w:bookmarkStart w:id="29" w:name="_Toc475093093"/>
      <w:r w:rsidRPr="00225229">
        <w:rPr>
          <w:color w:val="auto"/>
        </w:rPr>
        <w:t>I</w:t>
      </w:r>
      <w:r w:rsidR="00582C16" w:rsidRPr="00225229">
        <w:rPr>
          <w:color w:val="auto"/>
        </w:rPr>
        <w:t>V.1. Situación económico-financiera de</w:t>
      </w:r>
      <w:r w:rsidR="004A2FC5" w:rsidRPr="00225229">
        <w:rPr>
          <w:color w:val="auto"/>
        </w:rPr>
        <w:t xml:space="preserve"> la</w:t>
      </w:r>
      <w:r w:rsidR="00582C16" w:rsidRPr="00225229">
        <w:rPr>
          <w:color w:val="auto"/>
        </w:rPr>
        <w:t xml:space="preserve"> </w:t>
      </w:r>
      <w:r w:rsidR="004A2FC5" w:rsidRPr="00225229">
        <w:rPr>
          <w:color w:val="auto"/>
        </w:rPr>
        <w:t>Mancomunidad</w:t>
      </w:r>
      <w:r w:rsidR="00582C16" w:rsidRPr="00225229">
        <w:rPr>
          <w:color w:val="auto"/>
        </w:rPr>
        <w:t xml:space="preserve"> a 31 de d</w:t>
      </w:r>
      <w:r w:rsidR="00582C16" w:rsidRPr="00225229">
        <w:rPr>
          <w:color w:val="auto"/>
        </w:rPr>
        <w:t>i</w:t>
      </w:r>
      <w:r w:rsidR="00582C16" w:rsidRPr="00225229">
        <w:rPr>
          <w:color w:val="auto"/>
        </w:rPr>
        <w:t>ciembre de 2015.</w:t>
      </w:r>
      <w:bookmarkEnd w:id="29"/>
    </w:p>
    <w:p w:rsidR="00291A4E" w:rsidRDefault="00291A4E" w:rsidP="00291A4E">
      <w:pPr>
        <w:pStyle w:val="texto"/>
      </w:pPr>
      <w:r>
        <w:t xml:space="preserve">Los créditos iniciales de gastos e ingresos para 2015 ascienden a </w:t>
      </w:r>
      <w:r w:rsidR="00E81C76">
        <w:t>2,83 mill</w:t>
      </w:r>
      <w:r w:rsidR="00E81C76">
        <w:t>o</w:t>
      </w:r>
      <w:r w:rsidR="00E81C76">
        <w:t>nes</w:t>
      </w:r>
      <w:r>
        <w:t>. Esto</w:t>
      </w:r>
      <w:r w:rsidR="003A3339">
        <w:t>s</w:t>
      </w:r>
      <w:r>
        <w:t xml:space="preserve"> créditos no presentan modificaciones presupuestarias.</w:t>
      </w:r>
    </w:p>
    <w:p w:rsidR="00BB490F" w:rsidRPr="00486524" w:rsidRDefault="00291A4E" w:rsidP="00886638">
      <w:pPr>
        <w:pStyle w:val="texto"/>
      </w:pPr>
      <w:r>
        <w:t xml:space="preserve">Las obligaciones reconocidas suponen un importe de </w:t>
      </w:r>
      <w:r w:rsidR="00E81C76">
        <w:t>2,90 millones</w:t>
      </w:r>
      <w:r>
        <w:t xml:space="preserve">, con un grado de ejecución del </w:t>
      </w:r>
      <w:r w:rsidR="00E81C76">
        <w:t>102</w:t>
      </w:r>
      <w:r>
        <w:t xml:space="preserve"> por ciento</w:t>
      </w:r>
      <w:r w:rsidR="00B86136">
        <w:t xml:space="preserve"> y un porcentaje de pago del </w:t>
      </w:r>
      <w:r w:rsidR="00E81C76">
        <w:t>89</w:t>
      </w:r>
      <w:r w:rsidR="00B86136">
        <w:t xml:space="preserve"> por cie</w:t>
      </w:r>
      <w:r w:rsidR="00B86136">
        <w:t>n</w:t>
      </w:r>
      <w:r w:rsidR="00B86136">
        <w:t>to</w:t>
      </w:r>
      <w:r>
        <w:t xml:space="preserve">; </w:t>
      </w:r>
      <w:r w:rsidR="00E81C76">
        <w:t>la totalidad de estos gastos</w:t>
      </w:r>
      <w:r>
        <w:t xml:space="preserve"> son de naturaleza corriente. </w:t>
      </w:r>
      <w:r w:rsidR="00E81C76">
        <w:t xml:space="preserve">Destacamos que el capítulo 1 </w:t>
      </w:r>
      <w:r w:rsidR="00AE7A2C">
        <w:t>(</w:t>
      </w:r>
      <w:r w:rsidR="00E81C76">
        <w:t>personal</w:t>
      </w:r>
      <w:r w:rsidR="00AE7A2C">
        <w:t>)</w:t>
      </w:r>
      <w:r w:rsidR="00E81C76">
        <w:t xml:space="preserve"> presenta una ejecución del 108 por ciento, no respetánd</w:t>
      </w:r>
      <w:r w:rsidR="00E81C76">
        <w:t>o</w:t>
      </w:r>
      <w:r w:rsidR="00E81C76">
        <w:t xml:space="preserve">se, en consecuencia, el límite de crédito </w:t>
      </w:r>
      <w:r w:rsidR="007B4E9B">
        <w:t>para gastos; este incumplimiento afecta igualmente al global del presupuesto de gastos.</w:t>
      </w:r>
      <w:r>
        <w:t xml:space="preserve"> </w:t>
      </w:r>
      <w:r w:rsidR="00E81C76">
        <w:t>El 63 por ciento de los gastos corresponden a personal y el 37 por ciento a bienes corrientes y servicios.</w:t>
      </w:r>
    </w:p>
    <w:p w:rsidR="00BB490F" w:rsidRDefault="00291A4E" w:rsidP="004D7154">
      <w:pPr>
        <w:pStyle w:val="texto"/>
      </w:pPr>
      <w:r>
        <w:t xml:space="preserve">Por su parte, los derechos reconocidos ascienden a </w:t>
      </w:r>
      <w:r w:rsidR="004D7154">
        <w:t>2,82 millones</w:t>
      </w:r>
      <w:r>
        <w:t xml:space="preserve">, con un grado de cumplimiento del </w:t>
      </w:r>
      <w:r w:rsidR="004D7154">
        <w:t>99</w:t>
      </w:r>
      <w:r>
        <w:t xml:space="preserve"> por ciento</w:t>
      </w:r>
      <w:r w:rsidR="00B86136">
        <w:t xml:space="preserve"> y un porcentaje de cobro del </w:t>
      </w:r>
      <w:r w:rsidR="004D7154">
        <w:t>94</w:t>
      </w:r>
      <w:r w:rsidR="00B86136">
        <w:t xml:space="preserve"> por ciento</w:t>
      </w:r>
      <w:r>
        <w:t xml:space="preserve">; </w:t>
      </w:r>
      <w:r w:rsidR="004D7154">
        <w:t>a</w:t>
      </w:r>
      <w:r>
        <w:t>tendiendo a su naturaleza, la totalidad de los ingresos son corrientes</w:t>
      </w:r>
      <w:r w:rsidR="004D7154">
        <w:t>, en concreto tiene su origen en tasas, precios públicos y otros ingresos.</w:t>
      </w:r>
      <w:r>
        <w:t xml:space="preserve"> </w:t>
      </w:r>
    </w:p>
    <w:p w:rsidR="00886638" w:rsidRDefault="00291A4E" w:rsidP="00886638">
      <w:pPr>
        <w:pStyle w:val="texto"/>
        <w:spacing w:after="240"/>
      </w:pPr>
      <w:r>
        <w:t xml:space="preserve">En resumen, cada 100 euros gastados por </w:t>
      </w:r>
      <w:r w:rsidR="004D7154">
        <w:t>la Mancomunidad en 2015</w:t>
      </w:r>
      <w:r>
        <w:t xml:space="preserve"> se han destinado y financiado con:</w:t>
      </w:r>
    </w:p>
    <w:tbl>
      <w:tblPr>
        <w:tblW w:w="8817"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07"/>
        <w:gridCol w:w="1668"/>
        <w:gridCol w:w="3313"/>
        <w:gridCol w:w="1029"/>
      </w:tblGrid>
      <w:tr w:rsidR="00291A4E" w:rsidRPr="00B71D4C" w:rsidTr="007B49FB">
        <w:trPr>
          <w:trHeight w:val="284"/>
          <w:jc w:val="center"/>
        </w:trPr>
        <w:tc>
          <w:tcPr>
            <w:tcW w:w="2807" w:type="dxa"/>
            <w:shd w:val="clear" w:color="auto" w:fill="FABF8F" w:themeFill="accent6" w:themeFillTint="99"/>
            <w:vAlign w:val="center"/>
            <w:hideMark/>
          </w:tcPr>
          <w:p w:rsidR="00291A4E" w:rsidRPr="00B71D4C" w:rsidRDefault="00291A4E" w:rsidP="00291A4E">
            <w:pPr>
              <w:pStyle w:val="cuatexto"/>
              <w:rPr>
                <w:rFonts w:ascii="Arial" w:hAnsi="Arial" w:cs="Arial"/>
                <w:sz w:val="18"/>
                <w:szCs w:val="18"/>
              </w:rPr>
            </w:pPr>
            <w:r w:rsidRPr="00B71D4C">
              <w:rPr>
                <w:rFonts w:ascii="Arial" w:hAnsi="Arial" w:cs="Arial"/>
                <w:sz w:val="18"/>
                <w:szCs w:val="18"/>
              </w:rPr>
              <w:t>Naturaleza del gasto</w:t>
            </w:r>
          </w:p>
        </w:tc>
        <w:tc>
          <w:tcPr>
            <w:tcW w:w="1668" w:type="dxa"/>
            <w:tcBorders>
              <w:right w:val="single" w:sz="2" w:space="0" w:color="auto"/>
            </w:tcBorders>
            <w:shd w:val="clear" w:color="auto" w:fill="FABF8F" w:themeFill="accent6" w:themeFillTint="99"/>
            <w:vAlign w:val="center"/>
          </w:tcPr>
          <w:p w:rsidR="00291A4E" w:rsidRPr="00B71D4C" w:rsidRDefault="00291A4E" w:rsidP="00DA0668">
            <w:pPr>
              <w:pStyle w:val="cuatexto"/>
              <w:ind w:right="10"/>
              <w:jc w:val="right"/>
              <w:rPr>
                <w:rFonts w:ascii="Arial" w:hAnsi="Arial" w:cs="Arial"/>
                <w:sz w:val="18"/>
                <w:szCs w:val="18"/>
              </w:rPr>
            </w:pPr>
            <w:r>
              <w:rPr>
                <w:rFonts w:ascii="Arial" w:hAnsi="Arial" w:cs="Arial"/>
                <w:sz w:val="18"/>
                <w:szCs w:val="18"/>
              </w:rPr>
              <w:t>2015</w:t>
            </w:r>
          </w:p>
        </w:tc>
        <w:tc>
          <w:tcPr>
            <w:tcW w:w="3313" w:type="dxa"/>
            <w:tcBorders>
              <w:left w:val="single" w:sz="2" w:space="0" w:color="auto"/>
            </w:tcBorders>
            <w:shd w:val="clear" w:color="auto" w:fill="FABF8F" w:themeFill="accent6" w:themeFillTint="99"/>
            <w:vAlign w:val="center"/>
            <w:hideMark/>
          </w:tcPr>
          <w:p w:rsidR="00291A4E" w:rsidRPr="00B71D4C" w:rsidRDefault="00291A4E" w:rsidP="00DA0668">
            <w:pPr>
              <w:pStyle w:val="cuatexto"/>
              <w:ind w:firstLine="133"/>
              <w:jc w:val="left"/>
              <w:rPr>
                <w:rFonts w:ascii="Arial" w:hAnsi="Arial" w:cs="Arial"/>
                <w:sz w:val="18"/>
                <w:szCs w:val="18"/>
              </w:rPr>
            </w:pPr>
            <w:r w:rsidRPr="00B71D4C">
              <w:rPr>
                <w:rFonts w:ascii="Arial" w:hAnsi="Arial" w:cs="Arial"/>
                <w:sz w:val="18"/>
                <w:szCs w:val="18"/>
              </w:rPr>
              <w:t>Fuente de financiación</w:t>
            </w:r>
          </w:p>
        </w:tc>
        <w:tc>
          <w:tcPr>
            <w:tcW w:w="1029" w:type="dxa"/>
            <w:shd w:val="clear" w:color="auto" w:fill="FABF8F" w:themeFill="accent6" w:themeFillTint="99"/>
            <w:vAlign w:val="center"/>
            <w:hideMark/>
          </w:tcPr>
          <w:p w:rsidR="00291A4E" w:rsidRPr="00B71D4C" w:rsidRDefault="00291A4E" w:rsidP="00FD5E07">
            <w:pPr>
              <w:pStyle w:val="cuatexto"/>
              <w:jc w:val="right"/>
              <w:rPr>
                <w:rFonts w:ascii="Arial" w:hAnsi="Arial" w:cs="Arial"/>
                <w:sz w:val="18"/>
                <w:szCs w:val="18"/>
              </w:rPr>
            </w:pPr>
            <w:r>
              <w:rPr>
                <w:rFonts w:ascii="Arial" w:hAnsi="Arial" w:cs="Arial"/>
                <w:sz w:val="18"/>
                <w:szCs w:val="18"/>
              </w:rPr>
              <w:t>2015</w:t>
            </w:r>
          </w:p>
        </w:tc>
      </w:tr>
      <w:tr w:rsidR="00291A4E" w:rsidRPr="006F2B1B" w:rsidTr="007B49FB">
        <w:trPr>
          <w:trHeight w:val="284"/>
          <w:jc w:val="center"/>
        </w:trPr>
        <w:tc>
          <w:tcPr>
            <w:tcW w:w="2807" w:type="dxa"/>
            <w:vAlign w:val="center"/>
            <w:hideMark/>
          </w:tcPr>
          <w:p w:rsidR="00291A4E" w:rsidRPr="006F2B1B" w:rsidRDefault="00291A4E" w:rsidP="00291A4E">
            <w:pPr>
              <w:pStyle w:val="cuatexto"/>
            </w:pPr>
            <w:r w:rsidRPr="006F2B1B">
              <w:t>Personal</w:t>
            </w:r>
          </w:p>
        </w:tc>
        <w:tc>
          <w:tcPr>
            <w:tcW w:w="1668" w:type="dxa"/>
            <w:tcBorders>
              <w:right w:val="single" w:sz="2" w:space="0" w:color="auto"/>
            </w:tcBorders>
            <w:vAlign w:val="center"/>
          </w:tcPr>
          <w:p w:rsidR="00291A4E" w:rsidRPr="00BE19F0" w:rsidRDefault="004D7154" w:rsidP="00DA0668">
            <w:pPr>
              <w:pStyle w:val="cuatexto"/>
              <w:ind w:right="30"/>
              <w:jc w:val="right"/>
            </w:pPr>
            <w:r>
              <w:t>63</w:t>
            </w:r>
          </w:p>
        </w:tc>
        <w:tc>
          <w:tcPr>
            <w:tcW w:w="3313" w:type="dxa"/>
            <w:tcBorders>
              <w:left w:val="single" w:sz="2" w:space="0" w:color="auto"/>
            </w:tcBorders>
            <w:vAlign w:val="center"/>
            <w:hideMark/>
          </w:tcPr>
          <w:p w:rsidR="00291A4E" w:rsidRPr="006F2B1B" w:rsidRDefault="00A4284C" w:rsidP="00DA0668">
            <w:pPr>
              <w:pStyle w:val="cuatexto"/>
              <w:ind w:firstLine="133"/>
              <w:jc w:val="left"/>
            </w:pPr>
            <w:r>
              <w:t>Tasas, precios y otros</w:t>
            </w:r>
          </w:p>
        </w:tc>
        <w:tc>
          <w:tcPr>
            <w:tcW w:w="1029" w:type="dxa"/>
            <w:vAlign w:val="center"/>
          </w:tcPr>
          <w:p w:rsidR="00291A4E" w:rsidRPr="006F2B1B" w:rsidRDefault="004D7154" w:rsidP="00291A4E">
            <w:pPr>
              <w:pStyle w:val="cuatexto"/>
              <w:jc w:val="right"/>
            </w:pPr>
            <w:r>
              <w:t>100</w:t>
            </w:r>
          </w:p>
        </w:tc>
      </w:tr>
      <w:tr w:rsidR="00291A4E" w:rsidRPr="006F2B1B" w:rsidTr="007B49FB">
        <w:trPr>
          <w:trHeight w:val="284"/>
          <w:jc w:val="center"/>
        </w:trPr>
        <w:tc>
          <w:tcPr>
            <w:tcW w:w="2807" w:type="dxa"/>
            <w:vAlign w:val="center"/>
            <w:hideMark/>
          </w:tcPr>
          <w:p w:rsidR="00291A4E" w:rsidRPr="006F2B1B" w:rsidRDefault="00A4284C" w:rsidP="00A4284C">
            <w:pPr>
              <w:pStyle w:val="cuatexto"/>
            </w:pPr>
            <w:r>
              <w:t>Bienes corrientes y servicios</w:t>
            </w:r>
          </w:p>
        </w:tc>
        <w:tc>
          <w:tcPr>
            <w:tcW w:w="1668" w:type="dxa"/>
            <w:tcBorders>
              <w:right w:val="single" w:sz="2" w:space="0" w:color="auto"/>
            </w:tcBorders>
            <w:vAlign w:val="center"/>
          </w:tcPr>
          <w:p w:rsidR="00291A4E" w:rsidRPr="00BE19F0" w:rsidRDefault="004D7154" w:rsidP="00DA0668">
            <w:pPr>
              <w:pStyle w:val="cuatexto"/>
              <w:ind w:right="30"/>
              <w:jc w:val="right"/>
            </w:pPr>
            <w:r>
              <w:t>37</w:t>
            </w:r>
          </w:p>
        </w:tc>
        <w:tc>
          <w:tcPr>
            <w:tcW w:w="3313" w:type="dxa"/>
            <w:tcBorders>
              <w:left w:val="single" w:sz="2" w:space="0" w:color="auto"/>
            </w:tcBorders>
            <w:vAlign w:val="center"/>
          </w:tcPr>
          <w:p w:rsidR="00291A4E" w:rsidRPr="006F2B1B" w:rsidRDefault="00291A4E" w:rsidP="00DA0668">
            <w:pPr>
              <w:pStyle w:val="cuatexto"/>
              <w:ind w:firstLine="133"/>
              <w:jc w:val="left"/>
            </w:pPr>
          </w:p>
        </w:tc>
        <w:tc>
          <w:tcPr>
            <w:tcW w:w="1029" w:type="dxa"/>
            <w:vAlign w:val="center"/>
          </w:tcPr>
          <w:p w:rsidR="00291A4E" w:rsidRPr="006F2B1B" w:rsidRDefault="00291A4E" w:rsidP="00291A4E">
            <w:pPr>
              <w:pStyle w:val="cuatexto"/>
              <w:jc w:val="right"/>
            </w:pPr>
          </w:p>
        </w:tc>
      </w:tr>
      <w:tr w:rsidR="00A4284C" w:rsidRPr="00B71D4C" w:rsidTr="007B49FB">
        <w:trPr>
          <w:trHeight w:val="284"/>
          <w:jc w:val="center"/>
        </w:trPr>
        <w:tc>
          <w:tcPr>
            <w:tcW w:w="2807" w:type="dxa"/>
            <w:shd w:val="clear" w:color="auto" w:fill="FABF8F" w:themeFill="accent6" w:themeFillTint="99"/>
            <w:vAlign w:val="center"/>
            <w:hideMark/>
          </w:tcPr>
          <w:p w:rsidR="00A4284C" w:rsidRPr="00B71D4C" w:rsidRDefault="00A4284C" w:rsidP="00291A4E">
            <w:pPr>
              <w:spacing w:after="0"/>
              <w:ind w:firstLine="0"/>
              <w:jc w:val="left"/>
              <w:rPr>
                <w:rFonts w:ascii="Arial" w:hAnsi="Arial" w:cs="Arial"/>
                <w:sz w:val="18"/>
                <w:szCs w:val="18"/>
                <w:lang w:val="es-ES" w:eastAsia="es-ES"/>
              </w:rPr>
            </w:pPr>
          </w:p>
        </w:tc>
        <w:tc>
          <w:tcPr>
            <w:tcW w:w="1668" w:type="dxa"/>
            <w:tcBorders>
              <w:right w:val="single" w:sz="2" w:space="0" w:color="auto"/>
            </w:tcBorders>
            <w:shd w:val="clear" w:color="auto" w:fill="FABF8F" w:themeFill="accent6" w:themeFillTint="99"/>
            <w:vAlign w:val="center"/>
          </w:tcPr>
          <w:p w:rsidR="00A4284C" w:rsidRPr="00B71D4C" w:rsidRDefault="00A4284C" w:rsidP="00DA0668">
            <w:pPr>
              <w:pStyle w:val="cuatexto"/>
              <w:ind w:right="30"/>
              <w:jc w:val="right"/>
              <w:rPr>
                <w:rFonts w:ascii="Arial" w:hAnsi="Arial" w:cs="Arial"/>
                <w:sz w:val="18"/>
                <w:szCs w:val="18"/>
              </w:rPr>
            </w:pPr>
            <w:r w:rsidRPr="00B71D4C">
              <w:rPr>
                <w:rFonts w:ascii="Arial" w:hAnsi="Arial" w:cs="Arial"/>
                <w:sz w:val="18"/>
                <w:szCs w:val="18"/>
              </w:rPr>
              <w:t xml:space="preserve">100 </w:t>
            </w:r>
          </w:p>
        </w:tc>
        <w:tc>
          <w:tcPr>
            <w:tcW w:w="3313" w:type="dxa"/>
            <w:tcBorders>
              <w:left w:val="single" w:sz="2" w:space="0" w:color="auto"/>
            </w:tcBorders>
            <w:shd w:val="clear" w:color="auto" w:fill="FABF8F" w:themeFill="accent6" w:themeFillTint="99"/>
            <w:vAlign w:val="center"/>
            <w:hideMark/>
          </w:tcPr>
          <w:p w:rsidR="00A4284C" w:rsidRPr="00B71D4C" w:rsidRDefault="00A4284C" w:rsidP="00291A4E">
            <w:pPr>
              <w:pStyle w:val="cuatexto"/>
              <w:jc w:val="left"/>
              <w:rPr>
                <w:rFonts w:ascii="Arial" w:hAnsi="Arial" w:cs="Arial"/>
                <w:sz w:val="18"/>
                <w:szCs w:val="18"/>
              </w:rPr>
            </w:pPr>
            <w:r w:rsidRPr="00B71D4C">
              <w:rPr>
                <w:rFonts w:ascii="Arial" w:hAnsi="Arial" w:cs="Arial"/>
                <w:sz w:val="18"/>
                <w:szCs w:val="18"/>
              </w:rPr>
              <w:t> </w:t>
            </w:r>
          </w:p>
        </w:tc>
        <w:tc>
          <w:tcPr>
            <w:tcW w:w="1029" w:type="dxa"/>
            <w:shd w:val="clear" w:color="auto" w:fill="FABF8F" w:themeFill="accent6" w:themeFillTint="99"/>
            <w:vAlign w:val="center"/>
            <w:hideMark/>
          </w:tcPr>
          <w:p w:rsidR="00A4284C" w:rsidRPr="00B71D4C" w:rsidRDefault="00A4284C" w:rsidP="00291A4E">
            <w:pPr>
              <w:pStyle w:val="cuatexto"/>
              <w:jc w:val="right"/>
              <w:rPr>
                <w:rFonts w:ascii="Arial" w:hAnsi="Arial" w:cs="Arial"/>
                <w:sz w:val="18"/>
                <w:szCs w:val="18"/>
              </w:rPr>
            </w:pPr>
            <w:r w:rsidRPr="00B71D4C">
              <w:rPr>
                <w:rFonts w:ascii="Arial" w:hAnsi="Arial" w:cs="Arial"/>
                <w:sz w:val="18"/>
                <w:szCs w:val="18"/>
              </w:rPr>
              <w:t xml:space="preserve">100 </w:t>
            </w:r>
          </w:p>
        </w:tc>
      </w:tr>
    </w:tbl>
    <w:p w:rsidR="000F35E5" w:rsidRDefault="000F35E5" w:rsidP="00DA0668">
      <w:pPr>
        <w:pStyle w:val="texto"/>
        <w:spacing w:after="0"/>
      </w:pPr>
    </w:p>
    <w:p w:rsidR="00E551FF" w:rsidRDefault="00E551FF" w:rsidP="00365C91">
      <w:pPr>
        <w:pStyle w:val="texto"/>
      </w:pPr>
      <w:r>
        <w:t>Si bien los gastos de personal representan el 63 por ciento del total, en el c</w:t>
      </w:r>
      <w:r>
        <w:t>a</w:t>
      </w:r>
      <w:r>
        <w:t>pítulo de bienes corrientes se incluye</w:t>
      </w:r>
      <w:r w:rsidR="00365C91">
        <w:t xml:space="preserve"> </w:t>
      </w:r>
      <w:r>
        <w:t>el</w:t>
      </w:r>
      <w:r w:rsidR="00365C91">
        <w:t xml:space="preserve"> gasto del</w:t>
      </w:r>
      <w:r>
        <w:t xml:space="preserve"> personal de limpieza y cocina contratado externamente.</w:t>
      </w:r>
    </w:p>
    <w:p w:rsidR="00C115DD" w:rsidRDefault="00C115DD">
      <w:pPr>
        <w:spacing w:after="0"/>
        <w:ind w:firstLine="0"/>
        <w:jc w:val="left"/>
        <w:rPr>
          <w:spacing w:val="6"/>
          <w:sz w:val="26"/>
          <w:szCs w:val="24"/>
        </w:rPr>
      </w:pPr>
      <w:r>
        <w:br w:type="page"/>
      </w:r>
    </w:p>
    <w:p w:rsidR="00886638" w:rsidRPr="00BD6CE9" w:rsidRDefault="00BD6CE9" w:rsidP="00C115DD">
      <w:pPr>
        <w:pStyle w:val="texto"/>
        <w:spacing w:after="240"/>
      </w:pPr>
      <w:r w:rsidRPr="00BD6CE9">
        <w:t>La ejecución del presupuesto de 2015 y su comparación con el ejercicio a</w:t>
      </w:r>
      <w:r w:rsidRPr="00BD6CE9">
        <w:t>n</w:t>
      </w:r>
      <w:r w:rsidRPr="00BD6CE9">
        <w:t>terior presenta, entre otros, las siguientes magnitudes e indicadores:</w:t>
      </w:r>
    </w:p>
    <w:tbl>
      <w:tblPr>
        <w:tblW w:w="8800" w:type="dxa"/>
        <w:tblInd w:w="55" w:type="dxa"/>
        <w:tblCellMar>
          <w:left w:w="70" w:type="dxa"/>
          <w:right w:w="70" w:type="dxa"/>
        </w:tblCellMar>
        <w:tblLook w:val="04A0" w:firstRow="1" w:lastRow="0" w:firstColumn="1" w:lastColumn="0" w:noHBand="0" w:noVBand="1"/>
      </w:tblPr>
      <w:tblGrid>
        <w:gridCol w:w="5200"/>
        <w:gridCol w:w="1200"/>
        <w:gridCol w:w="1200"/>
        <w:gridCol w:w="1200"/>
      </w:tblGrid>
      <w:tr w:rsidR="00E94B1E" w:rsidRPr="00E94B1E" w:rsidTr="00635815">
        <w:trPr>
          <w:trHeight w:val="284"/>
        </w:trPr>
        <w:tc>
          <w:tcPr>
            <w:tcW w:w="5200" w:type="dxa"/>
            <w:tcBorders>
              <w:top w:val="single" w:sz="4" w:space="0" w:color="auto"/>
              <w:bottom w:val="single" w:sz="4" w:space="0" w:color="auto"/>
            </w:tcBorders>
            <w:shd w:val="clear" w:color="000000" w:fill="FABF8F"/>
            <w:noWrap/>
            <w:vAlign w:val="center"/>
            <w:hideMark/>
          </w:tcPr>
          <w:p w:rsidR="00E94B1E" w:rsidRPr="00E94B1E" w:rsidRDefault="00E94B1E" w:rsidP="00E94B1E">
            <w:pPr>
              <w:pStyle w:val="cuadroCabe"/>
              <w:rPr>
                <w:lang w:val="es-ES" w:eastAsia="es-ES"/>
              </w:rPr>
            </w:pPr>
            <w:r w:rsidRPr="00E94B1E">
              <w:rPr>
                <w:lang w:val="es-ES" w:eastAsia="es-ES"/>
              </w:rPr>
              <w:t>Indicadores y magnitudes</w:t>
            </w:r>
          </w:p>
        </w:tc>
        <w:tc>
          <w:tcPr>
            <w:tcW w:w="1200" w:type="dxa"/>
            <w:tcBorders>
              <w:top w:val="single" w:sz="4" w:space="0" w:color="auto"/>
              <w:bottom w:val="single" w:sz="4" w:space="0" w:color="auto"/>
            </w:tcBorders>
            <w:shd w:val="clear" w:color="000000" w:fill="FABF8F"/>
            <w:noWrap/>
            <w:vAlign w:val="center"/>
            <w:hideMark/>
          </w:tcPr>
          <w:p w:rsidR="00E94B1E" w:rsidRPr="00E94B1E" w:rsidRDefault="00E94B1E" w:rsidP="00635815">
            <w:pPr>
              <w:pStyle w:val="cuadroCabe"/>
              <w:jc w:val="right"/>
              <w:rPr>
                <w:lang w:val="es-ES" w:eastAsia="es-ES"/>
              </w:rPr>
            </w:pPr>
            <w:r w:rsidRPr="00E94B1E">
              <w:rPr>
                <w:lang w:val="es-ES" w:eastAsia="es-ES"/>
              </w:rPr>
              <w:t>2014</w:t>
            </w:r>
          </w:p>
        </w:tc>
        <w:tc>
          <w:tcPr>
            <w:tcW w:w="1200" w:type="dxa"/>
            <w:tcBorders>
              <w:top w:val="single" w:sz="4" w:space="0" w:color="auto"/>
              <w:bottom w:val="single" w:sz="4" w:space="0" w:color="auto"/>
            </w:tcBorders>
            <w:shd w:val="clear" w:color="000000" w:fill="FABF8F"/>
            <w:noWrap/>
            <w:vAlign w:val="center"/>
            <w:hideMark/>
          </w:tcPr>
          <w:p w:rsidR="00E94B1E" w:rsidRPr="00E94B1E" w:rsidRDefault="00E94B1E" w:rsidP="00635815">
            <w:pPr>
              <w:pStyle w:val="cuadroCabe"/>
              <w:jc w:val="right"/>
              <w:rPr>
                <w:lang w:val="es-ES" w:eastAsia="es-ES"/>
              </w:rPr>
            </w:pPr>
            <w:r w:rsidRPr="00E94B1E">
              <w:rPr>
                <w:lang w:val="es-ES" w:eastAsia="es-ES"/>
              </w:rPr>
              <w:t>2015</w:t>
            </w:r>
          </w:p>
        </w:tc>
        <w:tc>
          <w:tcPr>
            <w:tcW w:w="1200" w:type="dxa"/>
            <w:tcBorders>
              <w:top w:val="single" w:sz="4" w:space="0" w:color="auto"/>
              <w:bottom w:val="single" w:sz="4" w:space="0" w:color="auto"/>
            </w:tcBorders>
            <w:shd w:val="clear" w:color="000000" w:fill="FABF8F"/>
            <w:vAlign w:val="center"/>
            <w:hideMark/>
          </w:tcPr>
          <w:p w:rsidR="00E94B1E" w:rsidRPr="00E94B1E" w:rsidRDefault="00E94B1E" w:rsidP="00635815">
            <w:pPr>
              <w:pStyle w:val="cuadroCabe"/>
              <w:jc w:val="right"/>
              <w:rPr>
                <w:lang w:val="es-ES" w:eastAsia="es-ES"/>
              </w:rPr>
            </w:pPr>
            <w:r w:rsidRPr="00E94B1E">
              <w:rPr>
                <w:lang w:val="es-ES" w:eastAsia="es-ES"/>
              </w:rPr>
              <w:t>% Variación 15/14</w:t>
            </w:r>
          </w:p>
        </w:tc>
      </w:tr>
      <w:tr w:rsidR="00E94B1E" w:rsidRPr="00E94B1E" w:rsidTr="00635815">
        <w:trPr>
          <w:trHeight w:val="284"/>
        </w:trPr>
        <w:tc>
          <w:tcPr>
            <w:tcW w:w="5200" w:type="dxa"/>
            <w:tcBorders>
              <w:top w:val="single" w:sz="4" w:space="0" w:color="auto"/>
              <w:bottom w:val="single" w:sz="2" w:space="0" w:color="auto"/>
            </w:tcBorders>
            <w:shd w:val="clear" w:color="000000" w:fill="FFFFFF"/>
            <w:noWrap/>
            <w:vAlign w:val="center"/>
            <w:hideMark/>
          </w:tcPr>
          <w:p w:rsidR="00E94B1E" w:rsidRPr="00E94B1E" w:rsidRDefault="00E94B1E" w:rsidP="00E94B1E">
            <w:pPr>
              <w:pStyle w:val="cuatexto"/>
            </w:pPr>
            <w:r w:rsidRPr="00E94B1E">
              <w:t>Obligaciones Reconocidas</w:t>
            </w:r>
          </w:p>
        </w:tc>
        <w:tc>
          <w:tcPr>
            <w:tcW w:w="1200" w:type="dxa"/>
            <w:tcBorders>
              <w:top w:val="single" w:sz="4"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2.815.058</w:t>
            </w:r>
          </w:p>
        </w:tc>
        <w:tc>
          <w:tcPr>
            <w:tcW w:w="1200" w:type="dxa"/>
            <w:tcBorders>
              <w:top w:val="single" w:sz="4"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2.897.554</w:t>
            </w:r>
          </w:p>
        </w:tc>
        <w:tc>
          <w:tcPr>
            <w:tcW w:w="1200" w:type="dxa"/>
            <w:tcBorders>
              <w:top w:val="single" w:sz="4" w:space="0" w:color="auto"/>
              <w:bottom w:val="single" w:sz="2" w:space="0" w:color="auto"/>
            </w:tcBorders>
            <w:shd w:val="clear" w:color="000000" w:fill="FFFFFF"/>
            <w:vAlign w:val="center"/>
          </w:tcPr>
          <w:p w:rsidR="00E94B1E" w:rsidRPr="00E94B1E" w:rsidRDefault="00E94B1E" w:rsidP="00635815">
            <w:pPr>
              <w:pStyle w:val="cuatexto"/>
              <w:ind w:right="30"/>
              <w:jc w:val="right"/>
            </w:pPr>
            <w:r>
              <w:t>3</w:t>
            </w: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94B1E" w:rsidRPr="00E94B1E" w:rsidRDefault="00E94B1E" w:rsidP="00E94B1E">
            <w:pPr>
              <w:pStyle w:val="cuatexto"/>
            </w:pPr>
            <w:r w:rsidRPr="00E94B1E">
              <w:t xml:space="preserve">Derechos </w:t>
            </w:r>
            <w:r>
              <w:t>Reconocidos</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2.731.328</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2.820.315</w:t>
            </w:r>
          </w:p>
        </w:tc>
        <w:tc>
          <w:tcPr>
            <w:tcW w:w="1200" w:type="dxa"/>
            <w:tcBorders>
              <w:top w:val="single" w:sz="2" w:space="0" w:color="auto"/>
              <w:bottom w:val="single" w:sz="2" w:space="0" w:color="auto"/>
            </w:tcBorders>
            <w:shd w:val="clear" w:color="000000" w:fill="FFFFFF"/>
            <w:vAlign w:val="center"/>
          </w:tcPr>
          <w:p w:rsidR="00E94B1E" w:rsidRPr="00E94B1E" w:rsidRDefault="00E94B1E" w:rsidP="00635815">
            <w:pPr>
              <w:pStyle w:val="cuatexto"/>
              <w:ind w:right="30"/>
              <w:jc w:val="right"/>
            </w:pPr>
            <w:r>
              <w:t>3</w:t>
            </w: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tcPr>
          <w:p w:rsidR="00E94B1E" w:rsidRPr="00E94B1E" w:rsidRDefault="00E94B1E" w:rsidP="00E94B1E">
            <w:pPr>
              <w:pStyle w:val="cuatexto"/>
            </w:pPr>
            <w:r>
              <w:t>Porcentaje de ejecución gastos</w:t>
            </w:r>
          </w:p>
        </w:tc>
        <w:tc>
          <w:tcPr>
            <w:tcW w:w="1200" w:type="dxa"/>
            <w:tcBorders>
              <w:top w:val="single" w:sz="2" w:space="0" w:color="auto"/>
              <w:bottom w:val="single" w:sz="2" w:space="0" w:color="auto"/>
            </w:tcBorders>
            <w:shd w:val="clear" w:color="000000" w:fill="FFFFFF"/>
            <w:noWrap/>
            <w:vAlign w:val="center"/>
          </w:tcPr>
          <w:p w:rsidR="00E94B1E" w:rsidRPr="00E94B1E" w:rsidRDefault="00A142A6" w:rsidP="00635815">
            <w:pPr>
              <w:pStyle w:val="cuatexto"/>
              <w:ind w:right="30"/>
              <w:jc w:val="right"/>
            </w:pPr>
            <w:r>
              <w:t>100</w:t>
            </w:r>
          </w:p>
        </w:tc>
        <w:tc>
          <w:tcPr>
            <w:tcW w:w="1200" w:type="dxa"/>
            <w:tcBorders>
              <w:top w:val="single" w:sz="2" w:space="0" w:color="auto"/>
              <w:bottom w:val="single" w:sz="2" w:space="0" w:color="auto"/>
            </w:tcBorders>
            <w:shd w:val="clear" w:color="000000" w:fill="FFFFFF"/>
            <w:noWrap/>
            <w:vAlign w:val="center"/>
          </w:tcPr>
          <w:p w:rsidR="00E94B1E" w:rsidRPr="00E94B1E" w:rsidRDefault="00A142A6" w:rsidP="00635815">
            <w:pPr>
              <w:pStyle w:val="cuatexto"/>
              <w:ind w:right="30"/>
              <w:jc w:val="right"/>
            </w:pPr>
            <w:r>
              <w:t>102</w:t>
            </w:r>
          </w:p>
        </w:tc>
        <w:tc>
          <w:tcPr>
            <w:tcW w:w="1200" w:type="dxa"/>
            <w:tcBorders>
              <w:top w:val="single" w:sz="2" w:space="0" w:color="auto"/>
              <w:bottom w:val="single" w:sz="2" w:space="0" w:color="auto"/>
            </w:tcBorders>
            <w:shd w:val="clear" w:color="000000" w:fill="FFFFFF"/>
            <w:vAlign w:val="center"/>
          </w:tcPr>
          <w:p w:rsidR="00E94B1E" w:rsidRPr="00E94B1E" w:rsidRDefault="00E94B1E" w:rsidP="00635815">
            <w:pPr>
              <w:pStyle w:val="cuatexto"/>
              <w:ind w:right="30"/>
              <w:jc w:val="right"/>
            </w:pP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tcPr>
          <w:p w:rsidR="00E94B1E" w:rsidRDefault="00E94B1E" w:rsidP="00E94B1E">
            <w:pPr>
              <w:pStyle w:val="cuatexto"/>
            </w:pPr>
            <w:r>
              <w:t>Porcentaje ejecución ingresos</w:t>
            </w:r>
          </w:p>
        </w:tc>
        <w:tc>
          <w:tcPr>
            <w:tcW w:w="1200" w:type="dxa"/>
            <w:tcBorders>
              <w:top w:val="single" w:sz="2" w:space="0" w:color="auto"/>
              <w:bottom w:val="single" w:sz="2" w:space="0" w:color="auto"/>
            </w:tcBorders>
            <w:shd w:val="clear" w:color="000000" w:fill="FFFFFF"/>
            <w:noWrap/>
            <w:vAlign w:val="center"/>
          </w:tcPr>
          <w:p w:rsidR="00E94B1E" w:rsidRPr="00E94B1E" w:rsidRDefault="00A142A6" w:rsidP="00635815">
            <w:pPr>
              <w:pStyle w:val="cuatexto"/>
              <w:ind w:right="30"/>
              <w:jc w:val="right"/>
            </w:pPr>
            <w:r>
              <w:t>97</w:t>
            </w:r>
          </w:p>
        </w:tc>
        <w:tc>
          <w:tcPr>
            <w:tcW w:w="1200" w:type="dxa"/>
            <w:tcBorders>
              <w:top w:val="single" w:sz="2" w:space="0" w:color="auto"/>
              <w:bottom w:val="single" w:sz="2" w:space="0" w:color="auto"/>
            </w:tcBorders>
            <w:shd w:val="clear" w:color="000000" w:fill="FFFFFF"/>
            <w:noWrap/>
            <w:vAlign w:val="center"/>
          </w:tcPr>
          <w:p w:rsidR="00E94B1E" w:rsidRPr="00E94B1E" w:rsidRDefault="00A142A6" w:rsidP="00635815">
            <w:pPr>
              <w:pStyle w:val="cuatexto"/>
              <w:ind w:right="30"/>
              <w:jc w:val="right"/>
            </w:pPr>
            <w:r>
              <w:t>99</w:t>
            </w:r>
          </w:p>
        </w:tc>
        <w:tc>
          <w:tcPr>
            <w:tcW w:w="1200" w:type="dxa"/>
            <w:tcBorders>
              <w:top w:val="single" w:sz="2" w:space="0" w:color="auto"/>
              <w:bottom w:val="single" w:sz="2" w:space="0" w:color="auto"/>
            </w:tcBorders>
            <w:shd w:val="clear" w:color="000000" w:fill="FFFFFF"/>
            <w:vAlign w:val="center"/>
          </w:tcPr>
          <w:p w:rsidR="00E94B1E" w:rsidRPr="00E94B1E" w:rsidRDefault="00E94B1E" w:rsidP="00635815">
            <w:pPr>
              <w:pStyle w:val="cuatexto"/>
              <w:ind w:right="30"/>
              <w:jc w:val="right"/>
            </w:pP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tcPr>
          <w:p w:rsidR="00E94B1E" w:rsidRDefault="00E94B1E" w:rsidP="00E94B1E">
            <w:pPr>
              <w:pStyle w:val="cuatexto"/>
            </w:pPr>
            <w:r>
              <w:t>Porcentaje de pagos</w:t>
            </w:r>
          </w:p>
        </w:tc>
        <w:tc>
          <w:tcPr>
            <w:tcW w:w="1200" w:type="dxa"/>
            <w:tcBorders>
              <w:top w:val="single" w:sz="2" w:space="0" w:color="auto"/>
              <w:bottom w:val="single" w:sz="2" w:space="0" w:color="auto"/>
            </w:tcBorders>
            <w:shd w:val="clear" w:color="000000" w:fill="FFFFFF"/>
            <w:noWrap/>
            <w:vAlign w:val="center"/>
          </w:tcPr>
          <w:p w:rsidR="00E94B1E" w:rsidRPr="00E94B1E" w:rsidRDefault="001E2875" w:rsidP="00635815">
            <w:pPr>
              <w:pStyle w:val="cuatexto"/>
              <w:ind w:right="30"/>
              <w:jc w:val="right"/>
            </w:pPr>
            <w:r>
              <w:t>86</w:t>
            </w:r>
          </w:p>
        </w:tc>
        <w:tc>
          <w:tcPr>
            <w:tcW w:w="1200" w:type="dxa"/>
            <w:tcBorders>
              <w:top w:val="single" w:sz="2" w:space="0" w:color="auto"/>
              <w:bottom w:val="single" w:sz="2" w:space="0" w:color="auto"/>
            </w:tcBorders>
            <w:shd w:val="clear" w:color="000000" w:fill="FFFFFF"/>
            <w:noWrap/>
            <w:vAlign w:val="center"/>
          </w:tcPr>
          <w:p w:rsidR="00E94B1E" w:rsidRPr="00E94B1E" w:rsidRDefault="00301149" w:rsidP="00635815">
            <w:pPr>
              <w:pStyle w:val="cuatexto"/>
              <w:ind w:right="30"/>
              <w:jc w:val="right"/>
            </w:pPr>
            <w:r>
              <w:t>89</w:t>
            </w:r>
          </w:p>
        </w:tc>
        <w:tc>
          <w:tcPr>
            <w:tcW w:w="1200" w:type="dxa"/>
            <w:tcBorders>
              <w:top w:val="single" w:sz="2" w:space="0" w:color="auto"/>
              <w:bottom w:val="single" w:sz="2" w:space="0" w:color="auto"/>
            </w:tcBorders>
            <w:shd w:val="clear" w:color="000000" w:fill="FFFFFF"/>
            <w:vAlign w:val="center"/>
          </w:tcPr>
          <w:p w:rsidR="00E94B1E" w:rsidRPr="00E94B1E" w:rsidRDefault="00E94B1E" w:rsidP="00635815">
            <w:pPr>
              <w:pStyle w:val="cuatexto"/>
              <w:ind w:right="30"/>
              <w:jc w:val="right"/>
            </w:pPr>
          </w:p>
        </w:tc>
      </w:tr>
      <w:tr w:rsidR="00E94B1E" w:rsidRPr="00E94B1E" w:rsidTr="00E93720">
        <w:trPr>
          <w:trHeight w:val="284"/>
        </w:trPr>
        <w:tc>
          <w:tcPr>
            <w:tcW w:w="5200" w:type="dxa"/>
            <w:tcBorders>
              <w:top w:val="single" w:sz="2" w:space="0" w:color="auto"/>
              <w:bottom w:val="single" w:sz="4" w:space="0" w:color="auto"/>
            </w:tcBorders>
            <w:shd w:val="clear" w:color="000000" w:fill="FFFFFF"/>
            <w:noWrap/>
            <w:vAlign w:val="center"/>
          </w:tcPr>
          <w:p w:rsidR="00E94B1E" w:rsidRDefault="00E94B1E" w:rsidP="00E94B1E">
            <w:pPr>
              <w:pStyle w:val="cuatexto"/>
            </w:pPr>
            <w:r>
              <w:t>Porcentaje de cobros</w:t>
            </w:r>
          </w:p>
        </w:tc>
        <w:tc>
          <w:tcPr>
            <w:tcW w:w="1200" w:type="dxa"/>
            <w:tcBorders>
              <w:top w:val="single" w:sz="2" w:space="0" w:color="auto"/>
              <w:bottom w:val="single" w:sz="4" w:space="0" w:color="auto"/>
            </w:tcBorders>
            <w:shd w:val="clear" w:color="000000" w:fill="FFFFFF"/>
            <w:noWrap/>
            <w:vAlign w:val="center"/>
          </w:tcPr>
          <w:p w:rsidR="00E94B1E" w:rsidRPr="00E94B1E" w:rsidRDefault="00B52C46" w:rsidP="00635815">
            <w:pPr>
              <w:pStyle w:val="cuatexto"/>
              <w:ind w:right="30"/>
              <w:jc w:val="right"/>
            </w:pPr>
            <w:r>
              <w:t>97</w:t>
            </w:r>
          </w:p>
        </w:tc>
        <w:tc>
          <w:tcPr>
            <w:tcW w:w="1200" w:type="dxa"/>
            <w:tcBorders>
              <w:top w:val="single" w:sz="2" w:space="0" w:color="auto"/>
              <w:bottom w:val="single" w:sz="4" w:space="0" w:color="auto"/>
            </w:tcBorders>
            <w:shd w:val="clear" w:color="000000" w:fill="FFFFFF"/>
            <w:noWrap/>
            <w:vAlign w:val="center"/>
          </w:tcPr>
          <w:p w:rsidR="00E94B1E" w:rsidRPr="00E94B1E" w:rsidRDefault="00301149" w:rsidP="00635815">
            <w:pPr>
              <w:pStyle w:val="cuatexto"/>
              <w:ind w:right="30"/>
              <w:jc w:val="right"/>
            </w:pPr>
            <w:r>
              <w:t>94</w:t>
            </w:r>
          </w:p>
        </w:tc>
        <w:tc>
          <w:tcPr>
            <w:tcW w:w="1200" w:type="dxa"/>
            <w:tcBorders>
              <w:top w:val="single" w:sz="2" w:space="0" w:color="auto"/>
              <w:bottom w:val="single" w:sz="4" w:space="0" w:color="auto"/>
            </w:tcBorders>
            <w:shd w:val="clear" w:color="000000" w:fill="FFFFFF"/>
            <w:vAlign w:val="center"/>
          </w:tcPr>
          <w:p w:rsidR="00E94B1E" w:rsidRPr="00E94B1E" w:rsidRDefault="00E94B1E" w:rsidP="00635815">
            <w:pPr>
              <w:pStyle w:val="cuatexto"/>
              <w:ind w:right="30"/>
              <w:jc w:val="right"/>
            </w:pP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94B1E" w:rsidRPr="00E94B1E" w:rsidRDefault="00E94B1E" w:rsidP="00E94B1E">
            <w:pPr>
              <w:pStyle w:val="cuatexto"/>
            </w:pPr>
            <w:r w:rsidRPr="00E94B1E">
              <w:t>Gastos corrientes (1 a 4)</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2.815.058</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2.897.554</w:t>
            </w:r>
          </w:p>
        </w:tc>
        <w:tc>
          <w:tcPr>
            <w:tcW w:w="1200" w:type="dxa"/>
            <w:tcBorders>
              <w:top w:val="single" w:sz="2" w:space="0" w:color="auto"/>
              <w:bottom w:val="single" w:sz="2" w:space="0" w:color="auto"/>
            </w:tcBorders>
            <w:shd w:val="clear" w:color="000000" w:fill="FFFFFF"/>
            <w:vAlign w:val="center"/>
          </w:tcPr>
          <w:p w:rsidR="00E94B1E" w:rsidRPr="00E94B1E" w:rsidRDefault="00FA6641" w:rsidP="00635815">
            <w:pPr>
              <w:pStyle w:val="cuatexto"/>
              <w:ind w:right="30"/>
              <w:jc w:val="right"/>
            </w:pPr>
            <w:r>
              <w:t>3</w:t>
            </w: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94B1E" w:rsidRPr="00E94B1E" w:rsidRDefault="00E94B1E" w:rsidP="00E94B1E">
            <w:pPr>
              <w:pStyle w:val="cuatexto"/>
            </w:pPr>
            <w:r w:rsidRPr="00E94B1E">
              <w:t>Gastos de funcionamiento (1,2 y 4)</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2.815.058</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2.894.643</w:t>
            </w:r>
          </w:p>
        </w:tc>
        <w:tc>
          <w:tcPr>
            <w:tcW w:w="1200" w:type="dxa"/>
            <w:tcBorders>
              <w:top w:val="single" w:sz="2" w:space="0" w:color="auto"/>
              <w:bottom w:val="single" w:sz="2" w:space="0" w:color="auto"/>
            </w:tcBorders>
            <w:shd w:val="clear" w:color="000000" w:fill="FFFFFF"/>
            <w:vAlign w:val="center"/>
          </w:tcPr>
          <w:p w:rsidR="00E94B1E" w:rsidRPr="00E94B1E" w:rsidRDefault="00FA6641" w:rsidP="00635815">
            <w:pPr>
              <w:pStyle w:val="cuatexto"/>
              <w:ind w:right="30"/>
              <w:jc w:val="right"/>
            </w:pPr>
            <w:r>
              <w:t>3</w:t>
            </w: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94B1E" w:rsidRPr="00E94B1E" w:rsidRDefault="00E94B1E" w:rsidP="00397CB9">
            <w:pPr>
              <w:pStyle w:val="cuatexto"/>
            </w:pPr>
            <w:r w:rsidRPr="00E94B1E">
              <w:t>Gastos de capital</w:t>
            </w:r>
            <w:r w:rsidR="00397CB9">
              <w:t xml:space="preserve"> y de operaciones financieras</w:t>
            </w:r>
            <w:r w:rsidRPr="00E94B1E">
              <w:t xml:space="preserve"> (6 </w:t>
            </w:r>
            <w:r w:rsidR="00397CB9">
              <w:t>al 9</w:t>
            </w:r>
            <w:r w:rsidRPr="00E94B1E">
              <w:t>)</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0</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0</w:t>
            </w:r>
          </w:p>
        </w:tc>
        <w:tc>
          <w:tcPr>
            <w:tcW w:w="1200" w:type="dxa"/>
            <w:tcBorders>
              <w:top w:val="single" w:sz="2" w:space="0" w:color="auto"/>
              <w:bottom w:val="single" w:sz="2" w:space="0" w:color="auto"/>
            </w:tcBorders>
            <w:shd w:val="clear" w:color="000000" w:fill="FFFFFF"/>
            <w:vAlign w:val="center"/>
          </w:tcPr>
          <w:p w:rsidR="00E94B1E" w:rsidRPr="00E94B1E" w:rsidRDefault="00E94B1E" w:rsidP="00635815">
            <w:pPr>
              <w:pStyle w:val="cuatexto"/>
              <w:ind w:right="30"/>
              <w:jc w:val="right"/>
            </w:pP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94B1E" w:rsidRPr="00E94B1E" w:rsidRDefault="00E94B1E" w:rsidP="00E94B1E">
            <w:pPr>
              <w:pStyle w:val="cuatexto"/>
            </w:pPr>
            <w:r w:rsidRPr="00E94B1E">
              <w:t>Ingresos corrientes (1 a 5)</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2.731.328</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2.820.315</w:t>
            </w:r>
          </w:p>
        </w:tc>
        <w:tc>
          <w:tcPr>
            <w:tcW w:w="1200" w:type="dxa"/>
            <w:tcBorders>
              <w:top w:val="single" w:sz="2" w:space="0" w:color="auto"/>
              <w:bottom w:val="single" w:sz="2" w:space="0" w:color="auto"/>
            </w:tcBorders>
            <w:shd w:val="clear" w:color="000000" w:fill="FFFFFF"/>
            <w:vAlign w:val="center"/>
          </w:tcPr>
          <w:p w:rsidR="00E94B1E" w:rsidRPr="00E94B1E" w:rsidRDefault="00FA6641" w:rsidP="00635815">
            <w:pPr>
              <w:pStyle w:val="cuatexto"/>
              <w:ind w:right="30"/>
              <w:jc w:val="right"/>
            </w:pPr>
            <w:r>
              <w:t>3</w:t>
            </w: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94B1E" w:rsidRPr="00E94B1E" w:rsidRDefault="00E94B1E" w:rsidP="00E94B1E">
            <w:pPr>
              <w:pStyle w:val="cuatexto"/>
            </w:pPr>
            <w:r w:rsidRPr="00E94B1E">
              <w:t>Ingresos tributarios (1 al 3)</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2.731.311</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2.820.314</w:t>
            </w:r>
          </w:p>
        </w:tc>
        <w:tc>
          <w:tcPr>
            <w:tcW w:w="1200" w:type="dxa"/>
            <w:tcBorders>
              <w:top w:val="single" w:sz="2" w:space="0" w:color="auto"/>
              <w:bottom w:val="single" w:sz="2" w:space="0" w:color="auto"/>
            </w:tcBorders>
            <w:shd w:val="clear" w:color="000000" w:fill="FFFFFF"/>
            <w:vAlign w:val="center"/>
          </w:tcPr>
          <w:p w:rsidR="00E94B1E" w:rsidRPr="00E94B1E" w:rsidRDefault="00FA6641" w:rsidP="00635815">
            <w:pPr>
              <w:pStyle w:val="cuatexto"/>
              <w:ind w:right="30"/>
              <w:jc w:val="right"/>
            </w:pPr>
            <w:r>
              <w:t>3</w:t>
            </w:r>
          </w:p>
        </w:tc>
      </w:tr>
      <w:tr w:rsidR="00397CB9" w:rsidRPr="00E94B1E" w:rsidTr="00635815">
        <w:trPr>
          <w:trHeight w:val="284"/>
        </w:trPr>
        <w:tc>
          <w:tcPr>
            <w:tcW w:w="5200" w:type="dxa"/>
            <w:tcBorders>
              <w:top w:val="single" w:sz="2" w:space="0" w:color="auto"/>
              <w:bottom w:val="single" w:sz="2" w:space="0" w:color="auto"/>
            </w:tcBorders>
            <w:shd w:val="clear" w:color="000000" w:fill="FFFFFF"/>
            <w:noWrap/>
            <w:vAlign w:val="center"/>
          </w:tcPr>
          <w:p w:rsidR="00397CB9" w:rsidRPr="00E94B1E" w:rsidRDefault="00397CB9" w:rsidP="006B0EB5">
            <w:pPr>
              <w:pStyle w:val="cuatexto"/>
            </w:pPr>
            <w:r>
              <w:t xml:space="preserve">    Porcentaje</w:t>
            </w:r>
            <w:r w:rsidRPr="00E94B1E">
              <w:t xml:space="preserve"> Ingresos tributarios sobre gastos corrientes</w:t>
            </w:r>
          </w:p>
        </w:tc>
        <w:tc>
          <w:tcPr>
            <w:tcW w:w="1200" w:type="dxa"/>
            <w:tcBorders>
              <w:top w:val="single" w:sz="2" w:space="0" w:color="auto"/>
              <w:bottom w:val="single" w:sz="2" w:space="0" w:color="auto"/>
            </w:tcBorders>
            <w:shd w:val="clear" w:color="000000" w:fill="FFFFFF"/>
            <w:noWrap/>
            <w:vAlign w:val="center"/>
          </w:tcPr>
          <w:p w:rsidR="00397CB9" w:rsidRPr="00E94B1E" w:rsidRDefault="00397CB9" w:rsidP="00635815">
            <w:pPr>
              <w:pStyle w:val="cuatexto"/>
              <w:ind w:right="30"/>
              <w:jc w:val="right"/>
            </w:pPr>
            <w:r>
              <w:t xml:space="preserve">        97</w:t>
            </w:r>
            <w:r w:rsidRPr="00E94B1E">
              <w:t> </w:t>
            </w:r>
          </w:p>
        </w:tc>
        <w:tc>
          <w:tcPr>
            <w:tcW w:w="1200" w:type="dxa"/>
            <w:tcBorders>
              <w:top w:val="single" w:sz="2" w:space="0" w:color="auto"/>
              <w:bottom w:val="single" w:sz="2" w:space="0" w:color="auto"/>
            </w:tcBorders>
            <w:shd w:val="clear" w:color="000000" w:fill="FFFFFF"/>
            <w:noWrap/>
            <w:vAlign w:val="center"/>
          </w:tcPr>
          <w:p w:rsidR="00397CB9" w:rsidRPr="00E94B1E" w:rsidRDefault="00397CB9" w:rsidP="00635815">
            <w:pPr>
              <w:pStyle w:val="cuatexto"/>
              <w:ind w:right="30"/>
              <w:jc w:val="right"/>
            </w:pPr>
            <w:r>
              <w:t>97</w:t>
            </w:r>
          </w:p>
        </w:tc>
        <w:tc>
          <w:tcPr>
            <w:tcW w:w="1200" w:type="dxa"/>
            <w:tcBorders>
              <w:top w:val="single" w:sz="2" w:space="0" w:color="auto"/>
              <w:bottom w:val="single" w:sz="2" w:space="0" w:color="auto"/>
            </w:tcBorders>
            <w:shd w:val="clear" w:color="000000" w:fill="FFFFFF"/>
            <w:vAlign w:val="center"/>
          </w:tcPr>
          <w:p w:rsidR="00397CB9" w:rsidRPr="00E94B1E" w:rsidRDefault="00397CB9" w:rsidP="00635815">
            <w:pPr>
              <w:pStyle w:val="cuatexto"/>
              <w:ind w:right="30"/>
              <w:jc w:val="right"/>
            </w:pPr>
          </w:p>
        </w:tc>
      </w:tr>
      <w:tr w:rsidR="00E94B1E"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94B1E" w:rsidRPr="00E94B1E" w:rsidRDefault="00E94B1E" w:rsidP="00397CB9">
            <w:pPr>
              <w:pStyle w:val="cuatexto"/>
            </w:pPr>
            <w:r w:rsidRPr="00E94B1E">
              <w:t>Ingresos de capital</w:t>
            </w:r>
            <w:r w:rsidR="00397CB9">
              <w:t xml:space="preserve"> y por operaciones financieras</w:t>
            </w:r>
            <w:r w:rsidRPr="00E94B1E">
              <w:t xml:space="preserve"> (6 </w:t>
            </w:r>
            <w:r w:rsidR="00397CB9">
              <w:t>al 9</w:t>
            </w:r>
            <w:r w:rsidRPr="00E94B1E">
              <w:t>)</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0</w:t>
            </w:r>
          </w:p>
        </w:tc>
        <w:tc>
          <w:tcPr>
            <w:tcW w:w="1200" w:type="dxa"/>
            <w:tcBorders>
              <w:top w:val="single" w:sz="2" w:space="0" w:color="auto"/>
              <w:bottom w:val="single" w:sz="2" w:space="0" w:color="auto"/>
            </w:tcBorders>
            <w:shd w:val="clear" w:color="000000" w:fill="FFFFFF"/>
            <w:noWrap/>
            <w:vAlign w:val="center"/>
            <w:hideMark/>
          </w:tcPr>
          <w:p w:rsidR="00E94B1E" w:rsidRPr="00E94B1E" w:rsidRDefault="00E94B1E" w:rsidP="00635815">
            <w:pPr>
              <w:pStyle w:val="cuatexto"/>
              <w:ind w:right="30"/>
              <w:jc w:val="right"/>
            </w:pPr>
            <w:r w:rsidRPr="00E94B1E">
              <w:t>0</w:t>
            </w:r>
          </w:p>
        </w:tc>
        <w:tc>
          <w:tcPr>
            <w:tcW w:w="1200" w:type="dxa"/>
            <w:tcBorders>
              <w:top w:val="single" w:sz="2" w:space="0" w:color="auto"/>
              <w:bottom w:val="single" w:sz="2" w:space="0" w:color="auto"/>
            </w:tcBorders>
            <w:shd w:val="clear" w:color="000000" w:fill="FFFFFF"/>
            <w:vAlign w:val="center"/>
          </w:tcPr>
          <w:p w:rsidR="00E94B1E" w:rsidRPr="00E94B1E" w:rsidRDefault="00E94B1E" w:rsidP="00635815">
            <w:pPr>
              <w:pStyle w:val="cuatexto"/>
              <w:ind w:right="30"/>
              <w:jc w:val="right"/>
            </w:pP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E22FB5" w:rsidP="00E94B1E">
            <w:pPr>
              <w:pStyle w:val="cuatexto"/>
            </w:pPr>
            <w:r w:rsidRPr="00E94B1E">
              <w:t>Saldo presupuestario no financiero</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-83.730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-77.239</w:t>
            </w:r>
          </w:p>
        </w:tc>
        <w:tc>
          <w:tcPr>
            <w:tcW w:w="1200" w:type="dxa"/>
            <w:tcBorders>
              <w:top w:val="single" w:sz="2" w:space="0" w:color="auto"/>
              <w:bottom w:val="single" w:sz="2" w:space="0" w:color="auto"/>
            </w:tcBorders>
            <w:shd w:val="clear" w:color="000000" w:fill="FFFFFF"/>
            <w:vAlign w:val="center"/>
          </w:tcPr>
          <w:p w:rsidR="00E22FB5" w:rsidRPr="00E94B1E" w:rsidRDefault="00E22FB5" w:rsidP="00635815">
            <w:pPr>
              <w:pStyle w:val="cuatexto"/>
              <w:ind w:right="30"/>
              <w:jc w:val="right"/>
            </w:pPr>
            <w:r>
              <w:t>-8</w:t>
            </w: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E22FB5" w:rsidP="00E94B1E">
            <w:pPr>
              <w:pStyle w:val="cuatexto"/>
            </w:pPr>
            <w:r w:rsidRPr="00E94B1E">
              <w:t>Resultado presupuestario ajustado</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-83.730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-77.239</w:t>
            </w:r>
          </w:p>
        </w:tc>
        <w:tc>
          <w:tcPr>
            <w:tcW w:w="1200" w:type="dxa"/>
            <w:tcBorders>
              <w:top w:val="single" w:sz="2" w:space="0" w:color="auto"/>
              <w:bottom w:val="single" w:sz="2" w:space="0" w:color="auto"/>
            </w:tcBorders>
            <w:shd w:val="clear" w:color="000000" w:fill="FFFFFF"/>
            <w:vAlign w:val="center"/>
            <w:hideMark/>
          </w:tcPr>
          <w:p w:rsidR="00E22FB5" w:rsidRPr="00E94B1E" w:rsidRDefault="00E22FB5" w:rsidP="00635815">
            <w:pPr>
              <w:pStyle w:val="cuatexto"/>
              <w:ind w:right="30"/>
              <w:jc w:val="right"/>
            </w:pPr>
            <w:r>
              <w:t>-8</w:t>
            </w: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E22FB5" w:rsidP="00E94B1E">
            <w:pPr>
              <w:pStyle w:val="cuatexto"/>
            </w:pPr>
            <w:r w:rsidRPr="00E94B1E">
              <w:t>Remanente de Tesorería gastos generales</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-158.200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-266.407</w:t>
            </w:r>
          </w:p>
        </w:tc>
        <w:tc>
          <w:tcPr>
            <w:tcW w:w="1200" w:type="dxa"/>
            <w:tcBorders>
              <w:top w:val="single" w:sz="2" w:space="0" w:color="auto"/>
              <w:bottom w:val="single" w:sz="2" w:space="0" w:color="auto"/>
            </w:tcBorders>
            <w:shd w:val="clear" w:color="000000" w:fill="FFFFFF"/>
            <w:vAlign w:val="center"/>
            <w:hideMark/>
          </w:tcPr>
          <w:p w:rsidR="00E22FB5" w:rsidRPr="00E94B1E" w:rsidRDefault="00E22FB5" w:rsidP="00635815">
            <w:pPr>
              <w:pStyle w:val="cuatexto"/>
              <w:ind w:right="30"/>
              <w:jc w:val="right"/>
            </w:pPr>
            <w:r>
              <w:t>68</w:t>
            </w:r>
          </w:p>
        </w:tc>
      </w:tr>
      <w:tr w:rsidR="00FA6A3B" w:rsidRPr="00E94B1E" w:rsidTr="00635815">
        <w:trPr>
          <w:trHeight w:val="284"/>
        </w:trPr>
        <w:tc>
          <w:tcPr>
            <w:tcW w:w="5200" w:type="dxa"/>
            <w:tcBorders>
              <w:top w:val="single" w:sz="2" w:space="0" w:color="auto"/>
              <w:bottom w:val="single" w:sz="2" w:space="0" w:color="auto"/>
            </w:tcBorders>
            <w:shd w:val="clear" w:color="000000" w:fill="FFFFFF"/>
            <w:noWrap/>
            <w:vAlign w:val="center"/>
          </w:tcPr>
          <w:p w:rsidR="00FA6A3B" w:rsidRPr="00E94B1E" w:rsidRDefault="00FA6A3B" w:rsidP="00E94B1E">
            <w:pPr>
              <w:pStyle w:val="cuatexto"/>
            </w:pPr>
            <w:r>
              <w:t>Fondo de Maniobra</w:t>
            </w:r>
          </w:p>
        </w:tc>
        <w:tc>
          <w:tcPr>
            <w:tcW w:w="1200" w:type="dxa"/>
            <w:tcBorders>
              <w:top w:val="single" w:sz="2" w:space="0" w:color="auto"/>
              <w:bottom w:val="single" w:sz="2" w:space="0" w:color="auto"/>
            </w:tcBorders>
            <w:shd w:val="clear" w:color="000000" w:fill="FFFFFF"/>
            <w:noWrap/>
            <w:vAlign w:val="center"/>
          </w:tcPr>
          <w:p w:rsidR="00FA6A3B" w:rsidRPr="00E94B1E" w:rsidRDefault="00FA6A3B" w:rsidP="00635815">
            <w:pPr>
              <w:pStyle w:val="cuatexto"/>
              <w:ind w:right="30"/>
              <w:jc w:val="right"/>
            </w:pPr>
            <w:r>
              <w:t>-158.200</w:t>
            </w:r>
          </w:p>
        </w:tc>
        <w:tc>
          <w:tcPr>
            <w:tcW w:w="1200" w:type="dxa"/>
            <w:tcBorders>
              <w:top w:val="single" w:sz="2" w:space="0" w:color="auto"/>
              <w:bottom w:val="single" w:sz="2" w:space="0" w:color="auto"/>
            </w:tcBorders>
            <w:shd w:val="clear" w:color="000000" w:fill="FFFFFF"/>
            <w:noWrap/>
            <w:vAlign w:val="center"/>
          </w:tcPr>
          <w:p w:rsidR="00FA6A3B" w:rsidRPr="00E94B1E" w:rsidRDefault="00FA6A3B" w:rsidP="00635815">
            <w:pPr>
              <w:pStyle w:val="cuatexto"/>
              <w:ind w:right="30"/>
              <w:jc w:val="right"/>
            </w:pPr>
            <w:r>
              <w:t>-235.439</w:t>
            </w:r>
          </w:p>
        </w:tc>
        <w:tc>
          <w:tcPr>
            <w:tcW w:w="1200" w:type="dxa"/>
            <w:tcBorders>
              <w:top w:val="single" w:sz="2" w:space="0" w:color="auto"/>
              <w:bottom w:val="single" w:sz="2" w:space="0" w:color="auto"/>
            </w:tcBorders>
            <w:shd w:val="clear" w:color="000000" w:fill="FFFFFF"/>
            <w:vAlign w:val="center"/>
          </w:tcPr>
          <w:p w:rsidR="00FA6A3B" w:rsidRDefault="00407D7A" w:rsidP="00635815">
            <w:pPr>
              <w:pStyle w:val="cuatexto"/>
              <w:ind w:right="30"/>
              <w:jc w:val="right"/>
            </w:pPr>
            <w:r>
              <w:t>49</w:t>
            </w: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E22FB5" w:rsidP="00E94B1E">
            <w:pPr>
              <w:pStyle w:val="cuatexto"/>
            </w:pPr>
            <w:r w:rsidRPr="00E94B1E">
              <w:t>Ahorro bruto</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-83.730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C009E2" w:rsidP="00635815">
            <w:pPr>
              <w:pStyle w:val="cuatexto"/>
              <w:ind w:right="30"/>
              <w:jc w:val="right"/>
            </w:pPr>
            <w:r>
              <w:t>-74.328</w:t>
            </w:r>
          </w:p>
        </w:tc>
        <w:tc>
          <w:tcPr>
            <w:tcW w:w="1200" w:type="dxa"/>
            <w:tcBorders>
              <w:top w:val="single" w:sz="2" w:space="0" w:color="auto"/>
              <w:bottom w:val="single" w:sz="2" w:space="0" w:color="auto"/>
            </w:tcBorders>
            <w:shd w:val="clear" w:color="000000" w:fill="FFFFFF"/>
            <w:vAlign w:val="center"/>
            <w:hideMark/>
          </w:tcPr>
          <w:p w:rsidR="00E22FB5" w:rsidRPr="00E94B1E" w:rsidRDefault="00E22FB5" w:rsidP="00C009E2">
            <w:pPr>
              <w:pStyle w:val="cuatexto"/>
              <w:ind w:right="30"/>
              <w:jc w:val="right"/>
            </w:pPr>
            <w:r>
              <w:t>-</w:t>
            </w:r>
            <w:r w:rsidR="00C009E2">
              <w:t>11</w:t>
            </w: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E22FB5" w:rsidP="00E94B1E">
            <w:pPr>
              <w:pStyle w:val="cuatexto"/>
            </w:pPr>
            <w:r w:rsidRPr="00E94B1E">
              <w:t>Carga financiera (3 y 9)</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2.911</w:t>
            </w:r>
          </w:p>
        </w:tc>
        <w:tc>
          <w:tcPr>
            <w:tcW w:w="1200" w:type="dxa"/>
            <w:tcBorders>
              <w:top w:val="single" w:sz="2" w:space="0" w:color="auto"/>
              <w:bottom w:val="single" w:sz="2" w:space="0" w:color="auto"/>
            </w:tcBorders>
            <w:shd w:val="clear" w:color="000000" w:fill="FFFFFF"/>
            <w:vAlign w:val="center"/>
            <w:hideMark/>
          </w:tcPr>
          <w:p w:rsidR="00E22FB5" w:rsidRPr="00E94B1E" w:rsidRDefault="00E22FB5" w:rsidP="00635815">
            <w:pPr>
              <w:pStyle w:val="cuatexto"/>
              <w:ind w:right="30"/>
              <w:jc w:val="right"/>
            </w:pP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E22FB5" w:rsidP="00E94B1E">
            <w:pPr>
              <w:pStyle w:val="cuatexto"/>
            </w:pPr>
            <w:r w:rsidRPr="00E94B1E">
              <w:t>Ahorro neto</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-83.730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C009E2">
            <w:pPr>
              <w:pStyle w:val="cuatexto"/>
              <w:ind w:right="30"/>
              <w:jc w:val="right"/>
            </w:pPr>
            <w:r w:rsidRPr="00E94B1E">
              <w:t>-</w:t>
            </w:r>
            <w:r w:rsidR="00C009E2">
              <w:t>77.239</w:t>
            </w:r>
          </w:p>
        </w:tc>
        <w:tc>
          <w:tcPr>
            <w:tcW w:w="1200" w:type="dxa"/>
            <w:tcBorders>
              <w:top w:val="single" w:sz="2" w:space="0" w:color="auto"/>
              <w:bottom w:val="single" w:sz="2" w:space="0" w:color="auto"/>
            </w:tcBorders>
            <w:shd w:val="clear" w:color="000000" w:fill="FFFFFF"/>
            <w:vAlign w:val="center"/>
            <w:hideMark/>
          </w:tcPr>
          <w:p w:rsidR="00E22FB5" w:rsidRPr="00E94B1E" w:rsidRDefault="00E20184" w:rsidP="00C009E2">
            <w:pPr>
              <w:pStyle w:val="cuatexto"/>
              <w:ind w:right="30"/>
              <w:jc w:val="right"/>
            </w:pPr>
            <w:r>
              <w:t>-</w:t>
            </w:r>
            <w:r w:rsidR="00C009E2">
              <w:t>8</w:t>
            </w: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362851" w:rsidP="00FD1AD4">
            <w:pPr>
              <w:pStyle w:val="cuatexto"/>
            </w:pPr>
            <w:r>
              <w:t xml:space="preserve">    </w:t>
            </w:r>
            <w:r w:rsidR="00FD1AD4">
              <w:t xml:space="preserve">Porcentaje </w:t>
            </w:r>
            <w:r w:rsidR="00E22FB5" w:rsidRPr="00E94B1E">
              <w:t>Nivel de endeudamiento</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2FB5" w:rsidP="00635815">
            <w:pPr>
              <w:pStyle w:val="cuatexto"/>
              <w:ind w:right="30"/>
              <w:jc w:val="right"/>
            </w:pPr>
            <w:r w:rsidRPr="00E94B1E">
              <w:t>0</w:t>
            </w:r>
          </w:p>
        </w:tc>
        <w:tc>
          <w:tcPr>
            <w:tcW w:w="1200" w:type="dxa"/>
            <w:tcBorders>
              <w:top w:val="single" w:sz="2" w:space="0" w:color="auto"/>
              <w:bottom w:val="single" w:sz="2" w:space="0" w:color="auto"/>
            </w:tcBorders>
            <w:shd w:val="clear" w:color="000000" w:fill="FFFFFF"/>
            <w:vAlign w:val="center"/>
          </w:tcPr>
          <w:p w:rsidR="00E22FB5" w:rsidRPr="00E94B1E" w:rsidRDefault="00E22FB5" w:rsidP="00635815">
            <w:pPr>
              <w:pStyle w:val="cuatexto"/>
              <w:ind w:right="30"/>
              <w:jc w:val="right"/>
            </w:pP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362851" w:rsidP="00E94B1E">
            <w:pPr>
              <w:pStyle w:val="cuatexto"/>
            </w:pPr>
            <w:r>
              <w:t xml:space="preserve">    </w:t>
            </w:r>
            <w:r w:rsidR="00FD1AD4">
              <w:t>Porcentaje</w:t>
            </w:r>
            <w:r>
              <w:t xml:space="preserve"> </w:t>
            </w:r>
            <w:r w:rsidR="00E22FB5" w:rsidRPr="00E94B1E">
              <w:t>Límite de endeudamiento</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FD1AD4" w:rsidP="00635815">
            <w:pPr>
              <w:pStyle w:val="cuatexto"/>
              <w:ind w:right="30"/>
              <w:jc w:val="right"/>
            </w:pPr>
            <w:r>
              <w:t>-3</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FD1AD4" w:rsidP="00635815">
            <w:pPr>
              <w:pStyle w:val="cuatexto"/>
              <w:ind w:right="30"/>
              <w:jc w:val="right"/>
            </w:pPr>
            <w:r>
              <w:t>-</w:t>
            </w:r>
            <w:r w:rsidR="007347A6">
              <w:t>3</w:t>
            </w:r>
          </w:p>
        </w:tc>
        <w:tc>
          <w:tcPr>
            <w:tcW w:w="1200" w:type="dxa"/>
            <w:tcBorders>
              <w:top w:val="single" w:sz="2" w:space="0" w:color="auto"/>
              <w:bottom w:val="single" w:sz="2" w:space="0" w:color="auto"/>
            </w:tcBorders>
            <w:shd w:val="clear" w:color="000000" w:fill="FFFFFF"/>
            <w:vAlign w:val="center"/>
          </w:tcPr>
          <w:p w:rsidR="00E22FB5" w:rsidRPr="00E94B1E" w:rsidRDefault="00E22FB5" w:rsidP="00635815">
            <w:pPr>
              <w:pStyle w:val="cuatexto"/>
              <w:ind w:right="30"/>
              <w:jc w:val="right"/>
            </w:pP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FD1AD4" w:rsidP="00E94B1E">
            <w:pPr>
              <w:pStyle w:val="cuatexto"/>
            </w:pPr>
            <w:r>
              <w:t xml:space="preserve">    Porcentaje </w:t>
            </w:r>
            <w:r w:rsidR="00E22FB5" w:rsidRPr="00E94B1E">
              <w:t>Capacidad de endeudamiento</w:t>
            </w:r>
          </w:p>
        </w:tc>
        <w:tc>
          <w:tcPr>
            <w:tcW w:w="1200" w:type="dxa"/>
            <w:tcBorders>
              <w:top w:val="single" w:sz="2" w:space="0" w:color="auto"/>
              <w:bottom w:val="single" w:sz="2" w:space="0" w:color="auto"/>
            </w:tcBorders>
            <w:shd w:val="clear" w:color="000000" w:fill="FFFFFF"/>
            <w:noWrap/>
            <w:vAlign w:val="center"/>
          </w:tcPr>
          <w:p w:rsidR="00E22FB5" w:rsidRPr="00E94B1E" w:rsidRDefault="00FD1AD4" w:rsidP="00635815">
            <w:pPr>
              <w:pStyle w:val="cuatexto"/>
              <w:ind w:right="30"/>
              <w:jc w:val="right"/>
            </w:pPr>
            <w:r>
              <w:t>-3</w:t>
            </w:r>
          </w:p>
        </w:tc>
        <w:tc>
          <w:tcPr>
            <w:tcW w:w="1200" w:type="dxa"/>
            <w:tcBorders>
              <w:top w:val="single" w:sz="2" w:space="0" w:color="auto"/>
              <w:bottom w:val="single" w:sz="2" w:space="0" w:color="auto"/>
            </w:tcBorders>
            <w:shd w:val="clear" w:color="000000" w:fill="FFFFFF"/>
            <w:noWrap/>
            <w:vAlign w:val="center"/>
          </w:tcPr>
          <w:p w:rsidR="00E22FB5" w:rsidRPr="00E94B1E" w:rsidRDefault="00FD1AD4" w:rsidP="00635815">
            <w:pPr>
              <w:pStyle w:val="cuatexto"/>
              <w:ind w:right="30"/>
              <w:jc w:val="right"/>
            </w:pPr>
            <w:r>
              <w:t>-</w:t>
            </w:r>
            <w:r w:rsidR="007347A6">
              <w:t>3</w:t>
            </w:r>
            <w:r w:rsidR="00397CB9">
              <w:t xml:space="preserve">   </w:t>
            </w:r>
          </w:p>
        </w:tc>
        <w:tc>
          <w:tcPr>
            <w:tcW w:w="1200" w:type="dxa"/>
            <w:tcBorders>
              <w:top w:val="single" w:sz="2" w:space="0" w:color="auto"/>
              <w:bottom w:val="single" w:sz="2" w:space="0" w:color="auto"/>
            </w:tcBorders>
            <w:shd w:val="clear" w:color="000000" w:fill="FFFFFF"/>
            <w:vAlign w:val="center"/>
          </w:tcPr>
          <w:p w:rsidR="00E22FB5" w:rsidRPr="00E94B1E" w:rsidRDefault="00E22FB5" w:rsidP="00635815">
            <w:pPr>
              <w:pStyle w:val="cuatexto"/>
              <w:ind w:right="30"/>
              <w:jc w:val="right"/>
            </w:pPr>
          </w:p>
        </w:tc>
      </w:tr>
      <w:tr w:rsidR="00E22FB5" w:rsidRPr="00E94B1E" w:rsidTr="00635815">
        <w:trPr>
          <w:trHeight w:val="284"/>
        </w:trPr>
        <w:tc>
          <w:tcPr>
            <w:tcW w:w="5200" w:type="dxa"/>
            <w:tcBorders>
              <w:top w:val="single" w:sz="2" w:space="0" w:color="auto"/>
              <w:bottom w:val="single" w:sz="2" w:space="0" w:color="auto"/>
            </w:tcBorders>
            <w:shd w:val="clear" w:color="000000" w:fill="FFFFFF"/>
            <w:noWrap/>
            <w:vAlign w:val="center"/>
            <w:hideMark/>
          </w:tcPr>
          <w:p w:rsidR="00E22FB5" w:rsidRPr="00E94B1E" w:rsidRDefault="00E22FB5" w:rsidP="00362851">
            <w:pPr>
              <w:pStyle w:val="cuatexto"/>
            </w:pPr>
            <w:r w:rsidRPr="00E94B1E">
              <w:t xml:space="preserve">Deuda </w:t>
            </w:r>
            <w:r w:rsidR="00362851">
              <w:t>financiera largo plazo</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0184" w:rsidP="00635815">
            <w:pPr>
              <w:pStyle w:val="cuatexto"/>
              <w:ind w:right="30"/>
              <w:jc w:val="right"/>
            </w:pPr>
            <w:r>
              <w:t>0</w:t>
            </w:r>
          </w:p>
        </w:tc>
        <w:tc>
          <w:tcPr>
            <w:tcW w:w="1200" w:type="dxa"/>
            <w:tcBorders>
              <w:top w:val="single" w:sz="2" w:space="0" w:color="auto"/>
              <w:bottom w:val="single" w:sz="2" w:space="0" w:color="auto"/>
            </w:tcBorders>
            <w:shd w:val="clear" w:color="000000" w:fill="FFFFFF"/>
            <w:noWrap/>
            <w:vAlign w:val="center"/>
            <w:hideMark/>
          </w:tcPr>
          <w:p w:rsidR="00E22FB5" w:rsidRPr="00E94B1E" w:rsidRDefault="00E20184" w:rsidP="00635815">
            <w:pPr>
              <w:pStyle w:val="cuatexto"/>
              <w:ind w:right="30"/>
              <w:jc w:val="right"/>
            </w:pPr>
            <w:r>
              <w:t>0</w:t>
            </w:r>
            <w:r w:rsidR="00E22FB5" w:rsidRPr="00E94B1E">
              <w:t> </w:t>
            </w:r>
          </w:p>
        </w:tc>
        <w:tc>
          <w:tcPr>
            <w:tcW w:w="1200" w:type="dxa"/>
            <w:tcBorders>
              <w:top w:val="single" w:sz="2" w:space="0" w:color="auto"/>
              <w:bottom w:val="single" w:sz="2" w:space="0" w:color="auto"/>
            </w:tcBorders>
            <w:shd w:val="clear" w:color="000000" w:fill="FFFFFF"/>
            <w:vAlign w:val="center"/>
          </w:tcPr>
          <w:p w:rsidR="00E22FB5" w:rsidRPr="00E94B1E" w:rsidRDefault="00E22FB5" w:rsidP="00635815">
            <w:pPr>
              <w:pStyle w:val="cuatexto"/>
              <w:ind w:right="30"/>
              <w:jc w:val="right"/>
            </w:pPr>
          </w:p>
        </w:tc>
      </w:tr>
      <w:tr w:rsidR="00E22FB5" w:rsidRPr="00E94B1E" w:rsidTr="00635815">
        <w:trPr>
          <w:trHeight w:val="284"/>
        </w:trPr>
        <w:tc>
          <w:tcPr>
            <w:tcW w:w="5200" w:type="dxa"/>
            <w:tcBorders>
              <w:top w:val="single" w:sz="2" w:space="0" w:color="auto"/>
              <w:bottom w:val="single" w:sz="4" w:space="0" w:color="auto"/>
            </w:tcBorders>
            <w:shd w:val="clear" w:color="000000" w:fill="FFFFFF"/>
            <w:noWrap/>
            <w:vAlign w:val="center"/>
            <w:hideMark/>
          </w:tcPr>
          <w:p w:rsidR="00E22FB5" w:rsidRPr="00E94B1E" w:rsidRDefault="00362851" w:rsidP="00E94B1E">
            <w:pPr>
              <w:pStyle w:val="cuatexto"/>
            </w:pPr>
            <w:r>
              <w:t>Crédito de tesorería</w:t>
            </w:r>
          </w:p>
        </w:tc>
        <w:tc>
          <w:tcPr>
            <w:tcW w:w="1200" w:type="dxa"/>
            <w:tcBorders>
              <w:top w:val="single" w:sz="2" w:space="0" w:color="auto"/>
              <w:bottom w:val="single" w:sz="4" w:space="0" w:color="auto"/>
            </w:tcBorders>
            <w:shd w:val="clear" w:color="000000" w:fill="FFFFFF"/>
            <w:noWrap/>
            <w:vAlign w:val="center"/>
            <w:hideMark/>
          </w:tcPr>
          <w:p w:rsidR="00E22FB5" w:rsidRPr="00E94B1E" w:rsidRDefault="00362851" w:rsidP="00635815">
            <w:pPr>
              <w:pStyle w:val="cuatexto"/>
              <w:ind w:right="30"/>
              <w:jc w:val="right"/>
            </w:pPr>
            <w:r>
              <w:t>0</w:t>
            </w:r>
          </w:p>
        </w:tc>
        <w:tc>
          <w:tcPr>
            <w:tcW w:w="1200" w:type="dxa"/>
            <w:tcBorders>
              <w:top w:val="single" w:sz="2" w:space="0" w:color="auto"/>
              <w:bottom w:val="single" w:sz="4" w:space="0" w:color="auto"/>
            </w:tcBorders>
            <w:shd w:val="clear" w:color="000000" w:fill="FFFFFF"/>
            <w:noWrap/>
            <w:vAlign w:val="center"/>
            <w:hideMark/>
          </w:tcPr>
          <w:p w:rsidR="00E22FB5" w:rsidRPr="00E94B1E" w:rsidRDefault="00362851" w:rsidP="00635815">
            <w:pPr>
              <w:pStyle w:val="cuatexto"/>
              <w:ind w:right="30"/>
              <w:jc w:val="right"/>
            </w:pPr>
            <w:r>
              <w:t>100.000</w:t>
            </w:r>
          </w:p>
        </w:tc>
        <w:tc>
          <w:tcPr>
            <w:tcW w:w="1200" w:type="dxa"/>
            <w:tcBorders>
              <w:top w:val="single" w:sz="2" w:space="0" w:color="auto"/>
              <w:bottom w:val="single" w:sz="4" w:space="0" w:color="auto"/>
            </w:tcBorders>
            <w:shd w:val="clear" w:color="000000" w:fill="FFFFFF"/>
            <w:vAlign w:val="center"/>
          </w:tcPr>
          <w:p w:rsidR="00E22FB5" w:rsidRPr="00E94B1E" w:rsidRDefault="00E22FB5" w:rsidP="00635815">
            <w:pPr>
              <w:pStyle w:val="cuatexto"/>
              <w:ind w:right="30"/>
              <w:jc w:val="right"/>
            </w:pPr>
          </w:p>
        </w:tc>
      </w:tr>
    </w:tbl>
    <w:p w:rsidR="00FD1AD4" w:rsidRDefault="00FD1AD4" w:rsidP="00635815">
      <w:pPr>
        <w:pStyle w:val="texto"/>
        <w:spacing w:after="0"/>
        <w:ind w:firstLine="0"/>
      </w:pPr>
    </w:p>
    <w:p w:rsidR="00BD6CE9" w:rsidRDefault="00C43F27" w:rsidP="00C43F27">
      <w:pPr>
        <w:pStyle w:val="texto"/>
      </w:pPr>
      <w:r>
        <w:t>De su análisis destacamos:</w:t>
      </w:r>
    </w:p>
    <w:p w:rsidR="004C7AA2" w:rsidRPr="00486524" w:rsidRDefault="00C43F27" w:rsidP="004865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486524">
        <w:rPr>
          <w:szCs w:val="26"/>
        </w:rPr>
        <w:t xml:space="preserve">Los gastos en 2015 se han </w:t>
      </w:r>
      <w:r w:rsidR="007B4E9B">
        <w:rPr>
          <w:szCs w:val="26"/>
        </w:rPr>
        <w:t xml:space="preserve">incrementado en un tres por ciento, es decir, en 82.496 euros. </w:t>
      </w:r>
      <w:r w:rsidR="004C7AA2" w:rsidRPr="00486524">
        <w:rPr>
          <w:szCs w:val="26"/>
        </w:rPr>
        <w:t>Est</w:t>
      </w:r>
      <w:r w:rsidR="007B4E9B">
        <w:rPr>
          <w:szCs w:val="26"/>
        </w:rPr>
        <w:t>e aumento se justifica fundamentalmente en los gastos de pe</w:t>
      </w:r>
      <w:r w:rsidR="007B4E9B">
        <w:rPr>
          <w:szCs w:val="26"/>
        </w:rPr>
        <w:t>r</w:t>
      </w:r>
      <w:r w:rsidR="007B4E9B">
        <w:rPr>
          <w:szCs w:val="26"/>
        </w:rPr>
        <w:t>sonal que han crecido un ocho por ciento –es decir, 130.200 euros</w:t>
      </w:r>
      <w:r w:rsidR="00635815">
        <w:rPr>
          <w:szCs w:val="26"/>
        </w:rPr>
        <w:t>–</w:t>
      </w:r>
      <w:r w:rsidR="007B4E9B">
        <w:rPr>
          <w:szCs w:val="26"/>
        </w:rPr>
        <w:t>, en tanto que los bienes corrientes y servicios se han reducido en un cinco por ciento</w:t>
      </w:r>
      <w:r w:rsidR="00FA6A3B">
        <w:rPr>
          <w:szCs w:val="26"/>
        </w:rPr>
        <w:t xml:space="preserve"> –esto es, 50.615 euros</w:t>
      </w:r>
      <w:r w:rsidR="00635815">
        <w:rPr>
          <w:szCs w:val="26"/>
        </w:rPr>
        <w:t>–</w:t>
      </w:r>
      <w:r w:rsidR="007B4E9B">
        <w:rPr>
          <w:szCs w:val="26"/>
        </w:rPr>
        <w:t>.</w:t>
      </w:r>
    </w:p>
    <w:p w:rsidR="004C7AA2" w:rsidRDefault="004C7AA2" w:rsidP="004865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486524">
        <w:rPr>
          <w:szCs w:val="26"/>
        </w:rPr>
        <w:t xml:space="preserve">Los ingresos de 2015 han aumentado en un </w:t>
      </w:r>
      <w:r w:rsidR="00FA6A3B">
        <w:rPr>
          <w:szCs w:val="26"/>
        </w:rPr>
        <w:t>tres</w:t>
      </w:r>
      <w:r w:rsidRPr="00486524">
        <w:rPr>
          <w:szCs w:val="26"/>
        </w:rPr>
        <w:t xml:space="preserve"> por ciento, es decir, en </w:t>
      </w:r>
      <w:r w:rsidR="00FA6A3B">
        <w:rPr>
          <w:szCs w:val="26"/>
        </w:rPr>
        <w:t>88.987 eu</w:t>
      </w:r>
      <w:r w:rsidRPr="00486524">
        <w:rPr>
          <w:szCs w:val="26"/>
        </w:rPr>
        <w:t>ros</w:t>
      </w:r>
      <w:r w:rsidR="00D6689F">
        <w:rPr>
          <w:szCs w:val="26"/>
        </w:rPr>
        <w:t>; e</w:t>
      </w:r>
      <w:r w:rsidR="00C86EBD" w:rsidRPr="00486524">
        <w:rPr>
          <w:szCs w:val="26"/>
        </w:rPr>
        <w:t>ste aumento procede de tasas</w:t>
      </w:r>
      <w:r w:rsidR="00FA6A3B">
        <w:rPr>
          <w:szCs w:val="26"/>
        </w:rPr>
        <w:t xml:space="preserve"> y precios públicos</w:t>
      </w:r>
      <w:r w:rsidR="00E551FF">
        <w:rPr>
          <w:szCs w:val="26"/>
        </w:rPr>
        <w:t xml:space="preserve"> (cobros a res</w:t>
      </w:r>
      <w:r w:rsidR="00E551FF">
        <w:rPr>
          <w:szCs w:val="26"/>
        </w:rPr>
        <w:t>i</w:t>
      </w:r>
      <w:r w:rsidR="00E551FF">
        <w:rPr>
          <w:szCs w:val="26"/>
        </w:rPr>
        <w:t>dentes)</w:t>
      </w:r>
      <w:r w:rsidR="00FA6A3B">
        <w:rPr>
          <w:szCs w:val="26"/>
        </w:rPr>
        <w:t>.</w:t>
      </w:r>
    </w:p>
    <w:p w:rsidR="00FA6A3B" w:rsidRPr="00635815" w:rsidRDefault="00FA6A3B" w:rsidP="004865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rPr>
          <w:szCs w:val="26"/>
        </w:rPr>
        <w:t xml:space="preserve">En </w:t>
      </w:r>
      <w:r w:rsidRPr="00635815">
        <w:rPr>
          <w:spacing w:val="4"/>
          <w:szCs w:val="26"/>
        </w:rPr>
        <w:t>ambos ejercicios, todos los gastos e ingresos son de naturaleza corriente.</w:t>
      </w:r>
    </w:p>
    <w:p w:rsidR="00486524" w:rsidRPr="00486524" w:rsidRDefault="00FA6A3B" w:rsidP="004865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 xml:space="preserve">En 2015, </w:t>
      </w:r>
      <w:r w:rsidR="00486524" w:rsidRPr="00486524">
        <w:rPr>
          <w:szCs w:val="26"/>
        </w:rPr>
        <w:t>el saldo pr</w:t>
      </w:r>
      <w:r w:rsidR="00DC1949">
        <w:rPr>
          <w:szCs w:val="26"/>
        </w:rPr>
        <w:t xml:space="preserve">esupuestario no financiero y </w:t>
      </w:r>
      <w:r w:rsidR="00486524" w:rsidRPr="00486524">
        <w:rPr>
          <w:szCs w:val="26"/>
        </w:rPr>
        <w:t>el resultado presupuest</w:t>
      </w:r>
      <w:r w:rsidR="00486524" w:rsidRPr="00486524">
        <w:rPr>
          <w:szCs w:val="26"/>
        </w:rPr>
        <w:t>a</w:t>
      </w:r>
      <w:r w:rsidR="00486524" w:rsidRPr="00486524">
        <w:rPr>
          <w:szCs w:val="26"/>
        </w:rPr>
        <w:t>rio ajustado</w:t>
      </w:r>
      <w:r w:rsidR="004C6B4A">
        <w:rPr>
          <w:szCs w:val="26"/>
        </w:rPr>
        <w:t>,</w:t>
      </w:r>
      <w:r>
        <w:rPr>
          <w:szCs w:val="26"/>
        </w:rPr>
        <w:t xml:space="preserve"> manteniendo </w:t>
      </w:r>
      <w:r w:rsidR="00604C9B">
        <w:rPr>
          <w:szCs w:val="26"/>
        </w:rPr>
        <w:t>importes</w:t>
      </w:r>
      <w:r>
        <w:rPr>
          <w:szCs w:val="26"/>
        </w:rPr>
        <w:t xml:space="preserve"> negativos, </w:t>
      </w:r>
      <w:r w:rsidR="00C009E2">
        <w:rPr>
          <w:szCs w:val="26"/>
        </w:rPr>
        <w:t>han mejorado los</w:t>
      </w:r>
      <w:r w:rsidR="00A641D0">
        <w:rPr>
          <w:szCs w:val="26"/>
        </w:rPr>
        <w:t xml:space="preserve"> valores del año anterior</w:t>
      </w:r>
      <w:r w:rsidR="00C009E2">
        <w:rPr>
          <w:szCs w:val="26"/>
        </w:rPr>
        <w:t>.</w:t>
      </w:r>
    </w:p>
    <w:p w:rsidR="002C6328" w:rsidRPr="002C6328" w:rsidRDefault="00486524" w:rsidP="006E35C8">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rsidRPr="00486524">
        <w:rPr>
          <w:szCs w:val="26"/>
        </w:rPr>
        <w:t>El remanente de tes</w:t>
      </w:r>
      <w:r w:rsidR="00FA6A3B">
        <w:rPr>
          <w:szCs w:val="26"/>
        </w:rPr>
        <w:t xml:space="preserve">orería para gastos generales </w:t>
      </w:r>
      <w:r w:rsidRPr="00486524">
        <w:rPr>
          <w:szCs w:val="26"/>
        </w:rPr>
        <w:t>ha incrementado</w:t>
      </w:r>
      <w:r w:rsidR="00FA6A3B">
        <w:rPr>
          <w:szCs w:val="26"/>
        </w:rPr>
        <w:t xml:space="preserve"> su valor negativo en un 68 por ciento, alcanzando en 2015 un importe negativo de 266.407 euros. </w:t>
      </w:r>
      <w:r w:rsidR="002C6328">
        <w:rPr>
          <w:szCs w:val="26"/>
        </w:rPr>
        <w:t>No se han aplicado los mecanismos previstos en el artículo 230 de la LFHL para cancelar tales remanentes negativos.</w:t>
      </w:r>
    </w:p>
    <w:p w:rsidR="00486524" w:rsidRDefault="00FA6A3B" w:rsidP="002C6328">
      <w:pPr>
        <w:pStyle w:val="texto"/>
      </w:pPr>
      <w:r w:rsidRPr="002C6328">
        <w:t>Es</w:t>
      </w:r>
      <w:r w:rsidR="002C6328">
        <w:t>os valores negativos del remanente</w:t>
      </w:r>
      <w:r w:rsidRPr="002C6328">
        <w:t xml:space="preserve"> </w:t>
      </w:r>
      <w:r w:rsidR="002C6328">
        <w:t>son</w:t>
      </w:r>
      <w:r w:rsidRPr="002C6328">
        <w:t xml:space="preserve"> reflejo de las tensiones de tesorería que afectan a la gestión de la residencia</w:t>
      </w:r>
      <w:r w:rsidR="006B186F" w:rsidRPr="002C6328">
        <w:t xml:space="preserve"> y que se </w:t>
      </w:r>
      <w:r w:rsidR="002C6328">
        <w:t>proyectan</w:t>
      </w:r>
      <w:r w:rsidR="006B186F" w:rsidRPr="002C6328">
        <w:t xml:space="preserve"> igualmente en el incremento negativo de su fondo de maniobra</w:t>
      </w:r>
      <w:r w:rsidRPr="002C6328">
        <w:t>.</w:t>
      </w:r>
      <w:r w:rsidR="006B186F" w:rsidRPr="006B186F">
        <w:t xml:space="preserve"> </w:t>
      </w:r>
      <w:r w:rsidR="006B186F">
        <w:t>Para cubrir estas necesidades de tesorería se concertó en julio de 2015 un</w:t>
      </w:r>
      <w:r w:rsidR="00551C5D">
        <w:t>a póliza de</w:t>
      </w:r>
      <w:r w:rsidR="006B186F">
        <w:t xml:space="preserve"> crédito por 100.000 euros que se ha cancelado en julio de 2016.</w:t>
      </w:r>
    </w:p>
    <w:p w:rsidR="0089331C" w:rsidRPr="006B186F" w:rsidRDefault="0089331C" w:rsidP="002C6328">
      <w:pPr>
        <w:pStyle w:val="texto"/>
      </w:pPr>
      <w:r>
        <w:t>Esa póliza se ha utilizado de forma puntual en 2015 para el pago de nóminas y de determinadas facturas.</w:t>
      </w:r>
    </w:p>
    <w:p w:rsidR="00D223E4" w:rsidRPr="001E6679" w:rsidRDefault="002C1601" w:rsidP="00D223E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0"/>
          <w:szCs w:val="26"/>
        </w:rPr>
      </w:pPr>
      <w:r w:rsidRPr="001E6679">
        <w:rPr>
          <w:spacing w:val="0"/>
          <w:szCs w:val="26"/>
        </w:rPr>
        <w:t>La carga financiera de 2015 tiene su origen</w:t>
      </w:r>
      <w:r w:rsidR="00D223E4" w:rsidRPr="001E6679">
        <w:rPr>
          <w:spacing w:val="0"/>
          <w:szCs w:val="26"/>
        </w:rPr>
        <w:t>, por un lado -307 euros- en los ga</w:t>
      </w:r>
      <w:r w:rsidR="00D223E4" w:rsidRPr="001E6679">
        <w:rPr>
          <w:spacing w:val="0"/>
          <w:szCs w:val="26"/>
        </w:rPr>
        <w:t>s</w:t>
      </w:r>
      <w:r w:rsidR="00D223E4" w:rsidRPr="001E6679">
        <w:rPr>
          <w:spacing w:val="0"/>
          <w:szCs w:val="26"/>
        </w:rPr>
        <w:t xml:space="preserve">tos del crédito de tesorería y por otro, </w:t>
      </w:r>
      <w:r w:rsidRPr="001E6679">
        <w:rPr>
          <w:spacing w:val="0"/>
          <w:szCs w:val="26"/>
        </w:rPr>
        <w:t>en el coste</w:t>
      </w:r>
      <w:r w:rsidR="00585BB8" w:rsidRPr="001E6679">
        <w:rPr>
          <w:spacing w:val="0"/>
          <w:szCs w:val="26"/>
        </w:rPr>
        <w:t xml:space="preserve"> financiero -2.604 euros- de los dos avales</w:t>
      </w:r>
      <w:r w:rsidRPr="001E6679">
        <w:rPr>
          <w:spacing w:val="0"/>
          <w:szCs w:val="26"/>
        </w:rPr>
        <w:t xml:space="preserve"> que tiene que presentar la residencia</w:t>
      </w:r>
      <w:r w:rsidR="00585BB8" w:rsidRPr="001E6679">
        <w:rPr>
          <w:spacing w:val="0"/>
          <w:szCs w:val="26"/>
        </w:rPr>
        <w:t xml:space="preserve"> como garantía</w:t>
      </w:r>
      <w:r w:rsidRPr="001E6679">
        <w:rPr>
          <w:spacing w:val="0"/>
          <w:szCs w:val="26"/>
        </w:rPr>
        <w:t xml:space="preserve"> por los</w:t>
      </w:r>
      <w:r w:rsidR="00393B80" w:rsidRPr="001E6679">
        <w:rPr>
          <w:spacing w:val="0"/>
          <w:szCs w:val="26"/>
        </w:rPr>
        <w:t xml:space="preserve"> dos</w:t>
      </w:r>
      <w:r w:rsidRPr="001E6679">
        <w:rPr>
          <w:spacing w:val="0"/>
          <w:szCs w:val="26"/>
        </w:rPr>
        <w:t xml:space="preserve"> conciertos de plazas firmados con el Gobierno de Navarra. E</w:t>
      </w:r>
      <w:r w:rsidR="00D223E4" w:rsidRPr="001E6679">
        <w:rPr>
          <w:spacing w:val="0"/>
          <w:szCs w:val="26"/>
        </w:rPr>
        <w:t xml:space="preserve">n 2014, </w:t>
      </w:r>
      <w:r w:rsidR="00585BB8" w:rsidRPr="001E6679">
        <w:rPr>
          <w:spacing w:val="0"/>
          <w:szCs w:val="26"/>
        </w:rPr>
        <w:t>este coste financiero</w:t>
      </w:r>
      <w:r w:rsidR="00D223E4" w:rsidRPr="001E6679">
        <w:rPr>
          <w:spacing w:val="0"/>
          <w:szCs w:val="26"/>
        </w:rPr>
        <w:t xml:space="preserve"> de av</w:t>
      </w:r>
      <w:r w:rsidR="00D223E4" w:rsidRPr="001E6679">
        <w:rPr>
          <w:spacing w:val="0"/>
          <w:szCs w:val="26"/>
        </w:rPr>
        <w:t>a</w:t>
      </w:r>
      <w:r w:rsidR="00D223E4" w:rsidRPr="001E6679">
        <w:rPr>
          <w:spacing w:val="0"/>
          <w:szCs w:val="26"/>
        </w:rPr>
        <w:t xml:space="preserve">les </w:t>
      </w:r>
      <w:r w:rsidRPr="001E6679">
        <w:rPr>
          <w:spacing w:val="0"/>
          <w:szCs w:val="26"/>
        </w:rPr>
        <w:t>se imputó incorrectamente en el capítulo 2</w:t>
      </w:r>
      <w:r w:rsidR="00667A45" w:rsidRPr="001E6679">
        <w:rPr>
          <w:spacing w:val="0"/>
          <w:szCs w:val="26"/>
        </w:rPr>
        <w:t xml:space="preserve"> por impor</w:t>
      </w:r>
      <w:r w:rsidR="00585BB8" w:rsidRPr="001E6679">
        <w:rPr>
          <w:spacing w:val="0"/>
          <w:szCs w:val="26"/>
        </w:rPr>
        <w:t>te de 2.623</w:t>
      </w:r>
      <w:r w:rsidR="00667A45" w:rsidRPr="001E6679">
        <w:rPr>
          <w:spacing w:val="0"/>
          <w:szCs w:val="26"/>
        </w:rPr>
        <w:t xml:space="preserve"> euros</w:t>
      </w:r>
      <w:r w:rsidRPr="001E6679">
        <w:rPr>
          <w:spacing w:val="0"/>
          <w:szCs w:val="26"/>
        </w:rPr>
        <w:t>.</w:t>
      </w:r>
    </w:p>
    <w:p w:rsidR="00486524" w:rsidRPr="00486524" w:rsidRDefault="00486524" w:rsidP="004865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486524">
        <w:rPr>
          <w:szCs w:val="26"/>
        </w:rPr>
        <w:t xml:space="preserve">Igualmente en 2015 </w:t>
      </w:r>
      <w:r w:rsidR="006B186F">
        <w:rPr>
          <w:szCs w:val="26"/>
        </w:rPr>
        <w:t xml:space="preserve">sigue presentando valores negativos en su ahorro bruto y neto, </w:t>
      </w:r>
      <w:r w:rsidR="00272882">
        <w:rPr>
          <w:szCs w:val="26"/>
        </w:rPr>
        <w:t>aunque</w:t>
      </w:r>
      <w:r w:rsidR="00C009E2">
        <w:rPr>
          <w:szCs w:val="26"/>
        </w:rPr>
        <w:t xml:space="preserve"> han reducido </w:t>
      </w:r>
      <w:r w:rsidR="006B186F">
        <w:rPr>
          <w:szCs w:val="26"/>
        </w:rPr>
        <w:t>su cuantía.</w:t>
      </w:r>
    </w:p>
    <w:p w:rsidR="006E35C8" w:rsidRDefault="00F16C90" w:rsidP="004865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Si bien no presenta endeudamiento financiero a largo plazo, la entidad muestra valores negativos en su ahorro neto y en su</w:t>
      </w:r>
      <w:r w:rsidR="006E35C8">
        <w:rPr>
          <w:szCs w:val="26"/>
        </w:rPr>
        <w:t xml:space="preserve"> capacidad económica de endeudamiento</w:t>
      </w:r>
      <w:r>
        <w:rPr>
          <w:szCs w:val="26"/>
        </w:rPr>
        <w:t>. En consecuencia no puede captar endeudamiento.</w:t>
      </w:r>
    </w:p>
    <w:p w:rsidR="00D12911" w:rsidRPr="001E6679" w:rsidRDefault="00486524" w:rsidP="00E212EA">
      <w:pPr>
        <w:pStyle w:val="texto"/>
        <w:tabs>
          <w:tab w:val="clear" w:pos="2835"/>
          <w:tab w:val="clear" w:pos="3969"/>
          <w:tab w:val="clear" w:pos="5103"/>
          <w:tab w:val="clear" w:pos="6237"/>
          <w:tab w:val="clear" w:pos="7371"/>
        </w:tabs>
        <w:rPr>
          <w:spacing w:val="2"/>
          <w:szCs w:val="26"/>
        </w:rPr>
      </w:pPr>
      <w:r w:rsidRPr="001E6679">
        <w:rPr>
          <w:spacing w:val="2"/>
          <w:szCs w:val="26"/>
        </w:rPr>
        <w:t xml:space="preserve">En </w:t>
      </w:r>
      <w:r w:rsidRPr="001E6679">
        <w:rPr>
          <w:b/>
          <w:spacing w:val="2"/>
          <w:szCs w:val="26"/>
        </w:rPr>
        <w:t>definitiva</w:t>
      </w:r>
      <w:r w:rsidRPr="001E6679">
        <w:rPr>
          <w:spacing w:val="2"/>
          <w:szCs w:val="26"/>
        </w:rPr>
        <w:t xml:space="preserve">, </w:t>
      </w:r>
      <w:r w:rsidR="00127950" w:rsidRPr="001E6679">
        <w:rPr>
          <w:spacing w:val="2"/>
          <w:szCs w:val="26"/>
        </w:rPr>
        <w:t>la Mancomunidad de Lumbier presenta una</w:t>
      </w:r>
      <w:r w:rsidR="006E173D" w:rsidRPr="001E6679">
        <w:rPr>
          <w:spacing w:val="2"/>
          <w:szCs w:val="26"/>
        </w:rPr>
        <w:t xml:space="preserve"> delicada si</w:t>
      </w:r>
      <w:r w:rsidR="00127950" w:rsidRPr="001E6679">
        <w:rPr>
          <w:spacing w:val="2"/>
          <w:szCs w:val="26"/>
        </w:rPr>
        <w:t>tuación financiera que se manif</w:t>
      </w:r>
      <w:r w:rsidR="006E173D" w:rsidRPr="001E6679">
        <w:rPr>
          <w:spacing w:val="2"/>
          <w:szCs w:val="26"/>
        </w:rPr>
        <w:t>i</w:t>
      </w:r>
      <w:r w:rsidR="00127950" w:rsidRPr="001E6679">
        <w:rPr>
          <w:spacing w:val="2"/>
          <w:szCs w:val="26"/>
        </w:rPr>
        <w:t>esta fundamentalmente en un rem</w:t>
      </w:r>
      <w:r w:rsidR="006E173D" w:rsidRPr="001E6679">
        <w:rPr>
          <w:spacing w:val="2"/>
          <w:szCs w:val="26"/>
        </w:rPr>
        <w:t>anente</w:t>
      </w:r>
      <w:r w:rsidR="00127950" w:rsidRPr="001E6679">
        <w:rPr>
          <w:spacing w:val="2"/>
          <w:szCs w:val="26"/>
        </w:rPr>
        <w:t xml:space="preserve"> de teso</w:t>
      </w:r>
      <w:r w:rsidR="006E173D" w:rsidRPr="001E6679">
        <w:rPr>
          <w:spacing w:val="2"/>
          <w:szCs w:val="26"/>
        </w:rPr>
        <w:t>r</w:t>
      </w:r>
      <w:r w:rsidR="00127950" w:rsidRPr="001E6679">
        <w:rPr>
          <w:spacing w:val="2"/>
          <w:szCs w:val="26"/>
        </w:rPr>
        <w:t>ería para gastos generales negativo, unos valores igualmente negativos de sus ahorros br</w:t>
      </w:r>
      <w:r w:rsidR="00127950" w:rsidRPr="001E6679">
        <w:rPr>
          <w:spacing w:val="2"/>
          <w:szCs w:val="26"/>
        </w:rPr>
        <w:t>u</w:t>
      </w:r>
      <w:r w:rsidR="00127950" w:rsidRPr="001E6679">
        <w:rPr>
          <w:spacing w:val="2"/>
          <w:szCs w:val="26"/>
        </w:rPr>
        <w:t>tos y netos</w:t>
      </w:r>
      <w:r w:rsidR="006E173D" w:rsidRPr="001E6679">
        <w:rPr>
          <w:spacing w:val="2"/>
          <w:szCs w:val="26"/>
        </w:rPr>
        <w:t xml:space="preserve"> y una imposibi</w:t>
      </w:r>
      <w:r w:rsidR="00F16C90" w:rsidRPr="001E6679">
        <w:rPr>
          <w:spacing w:val="2"/>
          <w:szCs w:val="26"/>
        </w:rPr>
        <w:t xml:space="preserve">lidad </w:t>
      </w:r>
      <w:r w:rsidR="006E173D" w:rsidRPr="001E6679">
        <w:rPr>
          <w:spacing w:val="2"/>
          <w:szCs w:val="26"/>
        </w:rPr>
        <w:t>de captar endeudamiento financiero a largo plazo.</w:t>
      </w:r>
    </w:p>
    <w:p w:rsidR="00351EFF" w:rsidRDefault="00351EFF" w:rsidP="00351EFF">
      <w:pPr>
        <w:pStyle w:val="atitulo2"/>
        <w:spacing w:before="240"/>
      </w:pPr>
      <w:bookmarkStart w:id="30" w:name="_Toc475093094"/>
      <w:r>
        <w:t>IV.2. Principios de estabilidad presupuestaria y sostenibilidad financiera</w:t>
      </w:r>
      <w:bookmarkEnd w:id="30"/>
      <w:r>
        <w:t xml:space="preserve"> </w:t>
      </w:r>
    </w:p>
    <w:p w:rsidR="00351EFF" w:rsidRDefault="00351EFF" w:rsidP="00351EFF">
      <w:pPr>
        <w:pStyle w:val="texto"/>
        <w:tabs>
          <w:tab w:val="clear" w:pos="2835"/>
          <w:tab w:val="clear" w:pos="3969"/>
          <w:tab w:val="clear" w:pos="5103"/>
          <w:tab w:val="clear" w:pos="6237"/>
          <w:tab w:val="clear" w:pos="7371"/>
        </w:tabs>
        <w:rPr>
          <w:szCs w:val="26"/>
        </w:rPr>
      </w:pPr>
      <w:r w:rsidRPr="00442AF7">
        <w:rPr>
          <w:szCs w:val="26"/>
        </w:rPr>
        <w:t>De acuerdo con la Ley Orgánica</w:t>
      </w:r>
      <w:r>
        <w:rPr>
          <w:szCs w:val="26"/>
        </w:rPr>
        <w:t xml:space="preserve"> 2/2012, de 27 de abril, de Estabilidad Pr</w:t>
      </w:r>
      <w:r>
        <w:rPr>
          <w:szCs w:val="26"/>
        </w:rPr>
        <w:t>e</w:t>
      </w:r>
      <w:r>
        <w:rPr>
          <w:szCs w:val="26"/>
        </w:rPr>
        <w:t>supuestaria y Sostenibilidad Financi</w:t>
      </w:r>
      <w:r w:rsidR="004C52D7">
        <w:rPr>
          <w:szCs w:val="26"/>
        </w:rPr>
        <w:t>e</w:t>
      </w:r>
      <w:r>
        <w:rPr>
          <w:szCs w:val="26"/>
        </w:rPr>
        <w:t xml:space="preserve">ra, </w:t>
      </w:r>
      <w:r w:rsidR="006E173D">
        <w:rPr>
          <w:szCs w:val="26"/>
        </w:rPr>
        <w:t>la Mancomunidad de Lumbier</w:t>
      </w:r>
      <w:r w:rsidR="00597CFE">
        <w:rPr>
          <w:szCs w:val="26"/>
        </w:rPr>
        <w:t>,</w:t>
      </w:r>
      <w:r w:rsidR="006E173D">
        <w:rPr>
          <w:szCs w:val="26"/>
        </w:rPr>
        <w:t xml:space="preserve"> como entidad pública local,</w:t>
      </w:r>
      <w:r>
        <w:rPr>
          <w:szCs w:val="26"/>
        </w:rPr>
        <w:t xml:space="preserve"> debe cumplir con las siguientes reglas fiscales:</w:t>
      </w:r>
    </w:p>
    <w:p w:rsidR="00351EFF" w:rsidRDefault="00351EFF" w:rsidP="00351EF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Estabilidad presupuestaria, o equilibrio/capacidad de financiación en el ejercicio, medidos en términos de contabilidad nacional</w:t>
      </w:r>
    </w:p>
    <w:p w:rsidR="00351EFF" w:rsidRPr="00F66D24" w:rsidRDefault="00351EFF" w:rsidP="00351EF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rPr>
          <w:szCs w:val="26"/>
        </w:rPr>
        <w:t>Regla de gasto, es decir, la variación del gasto computable</w:t>
      </w:r>
      <w:r w:rsidR="004C52D7">
        <w:rPr>
          <w:szCs w:val="26"/>
        </w:rPr>
        <w:t xml:space="preserve"> de</w:t>
      </w:r>
      <w:r w:rsidR="00597CFE">
        <w:rPr>
          <w:szCs w:val="26"/>
        </w:rPr>
        <w:t xml:space="preserve"> la manc</w:t>
      </w:r>
      <w:r w:rsidR="00597CFE">
        <w:rPr>
          <w:szCs w:val="26"/>
        </w:rPr>
        <w:t>o</w:t>
      </w:r>
      <w:r w:rsidR="00597CFE">
        <w:rPr>
          <w:szCs w:val="26"/>
        </w:rPr>
        <w:t>munidad</w:t>
      </w:r>
      <w:r>
        <w:rPr>
          <w:szCs w:val="26"/>
        </w:rPr>
        <w:t xml:space="preserve"> </w:t>
      </w:r>
      <w:r w:rsidR="004C52D7">
        <w:rPr>
          <w:szCs w:val="26"/>
        </w:rPr>
        <w:t>en 2015 sobre el gasto de 2014</w:t>
      </w:r>
      <w:r>
        <w:rPr>
          <w:szCs w:val="26"/>
        </w:rPr>
        <w:t xml:space="preserve"> </w:t>
      </w:r>
      <w:r w:rsidRPr="00F66D24">
        <w:rPr>
          <w:spacing w:val="4"/>
          <w:szCs w:val="26"/>
        </w:rPr>
        <w:t>no puede superar la tasa de referencia del crecimiento del PIB, que</w:t>
      </w:r>
      <w:r w:rsidR="004C52D7" w:rsidRPr="00F66D24">
        <w:rPr>
          <w:spacing w:val="4"/>
          <w:szCs w:val="26"/>
        </w:rPr>
        <w:t>,</w:t>
      </w:r>
      <w:r w:rsidRPr="00F66D24">
        <w:rPr>
          <w:spacing w:val="4"/>
          <w:szCs w:val="26"/>
        </w:rPr>
        <w:t xml:space="preserve"> para el </w:t>
      </w:r>
      <w:r w:rsidR="004C52D7" w:rsidRPr="00F66D24">
        <w:rPr>
          <w:spacing w:val="4"/>
          <w:szCs w:val="26"/>
        </w:rPr>
        <w:t xml:space="preserve">citado </w:t>
      </w:r>
      <w:r w:rsidRPr="00F66D24">
        <w:rPr>
          <w:spacing w:val="4"/>
          <w:szCs w:val="26"/>
        </w:rPr>
        <w:t>ejercicio</w:t>
      </w:r>
      <w:r w:rsidR="004C52D7" w:rsidRPr="00F66D24">
        <w:rPr>
          <w:spacing w:val="4"/>
          <w:szCs w:val="26"/>
        </w:rPr>
        <w:t>,</w:t>
      </w:r>
      <w:r w:rsidRPr="00F66D24">
        <w:rPr>
          <w:spacing w:val="4"/>
          <w:szCs w:val="26"/>
        </w:rPr>
        <w:t xml:space="preserve"> se fijó en el 1,3</w:t>
      </w:r>
      <w:r w:rsidR="00B613A8" w:rsidRPr="00F66D24">
        <w:rPr>
          <w:spacing w:val="4"/>
          <w:szCs w:val="26"/>
        </w:rPr>
        <w:t xml:space="preserve"> por ciento</w:t>
      </w:r>
      <w:r w:rsidRPr="00F66D24">
        <w:rPr>
          <w:spacing w:val="4"/>
          <w:szCs w:val="26"/>
        </w:rPr>
        <w:t>.</w:t>
      </w:r>
    </w:p>
    <w:p w:rsidR="00351EFF" w:rsidRDefault="00351EFF" w:rsidP="00635815">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rPr>
          <w:szCs w:val="26"/>
        </w:rPr>
        <w:t>Sostenibilidad de la deuda pública o que la deuda de</w:t>
      </w:r>
      <w:r w:rsidR="00597CFE">
        <w:rPr>
          <w:szCs w:val="26"/>
        </w:rPr>
        <w:t xml:space="preserve"> </w:t>
      </w:r>
      <w:r>
        <w:rPr>
          <w:szCs w:val="26"/>
        </w:rPr>
        <w:t>l</w:t>
      </w:r>
      <w:r w:rsidR="00597CFE">
        <w:rPr>
          <w:szCs w:val="26"/>
        </w:rPr>
        <w:t>a mancomunidad</w:t>
      </w:r>
      <w:r>
        <w:rPr>
          <w:szCs w:val="26"/>
        </w:rPr>
        <w:t>, en términos de contabilidad nacional, no puede superar el 110 por ciento de sus ingresos corrientes.</w:t>
      </w:r>
    </w:p>
    <w:p w:rsidR="00351EFF" w:rsidRPr="00876B91" w:rsidRDefault="00351EFF" w:rsidP="00F66D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rPr>
          <w:szCs w:val="26"/>
        </w:rPr>
        <w:t>Sostenibilidad de la deuda comercial, o el periodo medio de pago a pr</w:t>
      </w:r>
      <w:r>
        <w:rPr>
          <w:szCs w:val="26"/>
        </w:rPr>
        <w:t>o</w:t>
      </w:r>
      <w:r>
        <w:rPr>
          <w:szCs w:val="26"/>
        </w:rPr>
        <w:t>veedores no puede superar, en términos general, el plazo de 30 días.</w:t>
      </w:r>
    </w:p>
    <w:p w:rsidR="00351EFF" w:rsidRDefault="00B613A8" w:rsidP="001E6679">
      <w:pPr>
        <w:pStyle w:val="texto"/>
        <w:tabs>
          <w:tab w:val="clear" w:pos="2835"/>
          <w:tab w:val="clear" w:pos="3969"/>
          <w:tab w:val="clear" w:pos="5103"/>
          <w:tab w:val="clear" w:pos="6237"/>
          <w:tab w:val="clear" w:pos="7371"/>
        </w:tabs>
        <w:spacing w:after="240"/>
        <w:rPr>
          <w:szCs w:val="26"/>
        </w:rPr>
      </w:pPr>
      <w:r>
        <w:rPr>
          <w:szCs w:val="26"/>
        </w:rPr>
        <w:t>En la</w:t>
      </w:r>
      <w:r w:rsidR="00351EFF">
        <w:rPr>
          <w:szCs w:val="26"/>
        </w:rPr>
        <w:t xml:space="preserve"> cuenta general de</w:t>
      </w:r>
      <w:r w:rsidR="006D0DC4">
        <w:rPr>
          <w:szCs w:val="26"/>
        </w:rPr>
        <w:t xml:space="preserve"> la mancomunidad</w:t>
      </w:r>
      <w:r>
        <w:rPr>
          <w:szCs w:val="26"/>
        </w:rPr>
        <w:t xml:space="preserve"> de 2015</w:t>
      </w:r>
      <w:r w:rsidR="00351EFF">
        <w:rPr>
          <w:szCs w:val="26"/>
        </w:rPr>
        <w:t xml:space="preserve"> no se hace mención sobre el cumplimiento de estos objetivos ni se aporta la información correspondiente sobre su grado de cumplimiento</w:t>
      </w:r>
      <w:r>
        <w:rPr>
          <w:szCs w:val="26"/>
        </w:rPr>
        <w:t>.</w:t>
      </w:r>
      <w:r w:rsidR="00351EFF">
        <w:rPr>
          <w:szCs w:val="26"/>
        </w:rPr>
        <w:t xml:space="preserve"> No obstante, hemos efectuado una estimación </w:t>
      </w:r>
      <w:r w:rsidR="00C43957">
        <w:rPr>
          <w:szCs w:val="26"/>
        </w:rPr>
        <w:t xml:space="preserve">para 2015 </w:t>
      </w:r>
      <w:r w:rsidR="00351EFF">
        <w:rPr>
          <w:szCs w:val="26"/>
        </w:rPr>
        <w:t>sobre la situación de</w:t>
      </w:r>
      <w:r w:rsidR="006D0DC4">
        <w:rPr>
          <w:szCs w:val="26"/>
        </w:rPr>
        <w:t xml:space="preserve"> la misma</w:t>
      </w:r>
      <w:r w:rsidR="00351EFF">
        <w:rPr>
          <w:szCs w:val="26"/>
        </w:rPr>
        <w:t xml:space="preserve"> respecto a tales principios. </w:t>
      </w:r>
    </w:p>
    <w:p w:rsidR="00351EFF" w:rsidRPr="006C56A8" w:rsidRDefault="00351EFF" w:rsidP="006C56A8">
      <w:pPr>
        <w:pStyle w:val="atitulo3"/>
        <w:rPr>
          <w:spacing w:val="8"/>
        </w:rPr>
      </w:pPr>
      <w:r w:rsidRPr="006C56A8">
        <w:rPr>
          <w:spacing w:val="8"/>
        </w:rPr>
        <w:t>Equilibrio/capacidad de financiación en términos de contabilidad nacional</w:t>
      </w:r>
    </w:p>
    <w:p w:rsidR="00351EFF" w:rsidRDefault="00351EFF" w:rsidP="00351EFF">
      <w:pPr>
        <w:pStyle w:val="texto"/>
        <w:tabs>
          <w:tab w:val="clear" w:pos="2835"/>
          <w:tab w:val="clear" w:pos="3969"/>
          <w:tab w:val="clear" w:pos="5103"/>
          <w:tab w:val="clear" w:pos="6237"/>
          <w:tab w:val="clear" w:pos="7371"/>
        </w:tabs>
        <w:rPr>
          <w:szCs w:val="26"/>
        </w:rPr>
      </w:pPr>
      <w:r>
        <w:rPr>
          <w:szCs w:val="26"/>
        </w:rPr>
        <w:t>Esta Cámara ha realizado un</w:t>
      </w:r>
      <w:r w:rsidR="00B86136">
        <w:rPr>
          <w:szCs w:val="26"/>
        </w:rPr>
        <w:t xml:space="preserve"> cálculo</w:t>
      </w:r>
      <w:r>
        <w:rPr>
          <w:szCs w:val="26"/>
        </w:rPr>
        <w:t xml:space="preserve"> de tal magnitud, partiendo del saldo presupuestario no financiero (capítulos 1 al 7 de ingresos menos capítulos 1 al 7 de gastos)</w:t>
      </w:r>
      <w:r w:rsidR="000717A8">
        <w:rPr>
          <w:szCs w:val="26"/>
        </w:rPr>
        <w:t xml:space="preserve">; a este saldo, se le aplica el ajuste </w:t>
      </w:r>
      <w:r>
        <w:rPr>
          <w:szCs w:val="26"/>
        </w:rPr>
        <w:t xml:space="preserve">derivado de la diferencia entre los derechos reconocidos </w:t>
      </w:r>
      <w:r w:rsidR="00CD2981">
        <w:rPr>
          <w:szCs w:val="26"/>
        </w:rPr>
        <w:t>tributarios</w:t>
      </w:r>
      <w:r>
        <w:rPr>
          <w:szCs w:val="26"/>
        </w:rPr>
        <w:t xml:space="preserve"> me</w:t>
      </w:r>
      <w:r w:rsidR="00CD2981">
        <w:rPr>
          <w:szCs w:val="26"/>
        </w:rPr>
        <w:t xml:space="preserve">nos cobros </w:t>
      </w:r>
      <w:r>
        <w:rPr>
          <w:szCs w:val="26"/>
        </w:rPr>
        <w:t>del ejercicio corriente y de ejercicios cerrados</w:t>
      </w:r>
      <w:r w:rsidR="00B86136">
        <w:rPr>
          <w:szCs w:val="26"/>
        </w:rPr>
        <w:t xml:space="preserve">; </w:t>
      </w:r>
      <w:r w:rsidR="000717A8">
        <w:rPr>
          <w:szCs w:val="26"/>
        </w:rPr>
        <w:t>no</w:t>
      </w:r>
      <w:r w:rsidR="00B86136">
        <w:rPr>
          <w:szCs w:val="26"/>
        </w:rPr>
        <w:t xml:space="preserve"> son aplicables el resto de ajustes que señala la corre</w:t>
      </w:r>
      <w:r w:rsidR="00B86136">
        <w:rPr>
          <w:szCs w:val="26"/>
        </w:rPr>
        <w:t>s</w:t>
      </w:r>
      <w:r w:rsidR="00B86136">
        <w:rPr>
          <w:szCs w:val="26"/>
        </w:rPr>
        <w:t>pondi</w:t>
      </w:r>
      <w:r w:rsidR="00C43957">
        <w:rPr>
          <w:szCs w:val="26"/>
        </w:rPr>
        <w:t>e</w:t>
      </w:r>
      <w:r w:rsidR="00B86136">
        <w:rPr>
          <w:szCs w:val="26"/>
        </w:rPr>
        <w:t>nte normativa.</w:t>
      </w:r>
      <w:r>
        <w:rPr>
          <w:szCs w:val="26"/>
        </w:rPr>
        <w:t xml:space="preserve"> </w:t>
      </w:r>
    </w:p>
    <w:p w:rsidR="00351EFF" w:rsidRPr="00EB43D0" w:rsidRDefault="002E1188" w:rsidP="00A54EE1">
      <w:pPr>
        <w:pStyle w:val="texto"/>
        <w:tabs>
          <w:tab w:val="clear" w:pos="2835"/>
          <w:tab w:val="clear" w:pos="3969"/>
          <w:tab w:val="clear" w:pos="5103"/>
          <w:tab w:val="clear" w:pos="6237"/>
          <w:tab w:val="clear" w:pos="7371"/>
        </w:tabs>
        <w:spacing w:after="120"/>
        <w:rPr>
          <w:szCs w:val="26"/>
        </w:rPr>
      </w:pPr>
      <w:r>
        <w:rPr>
          <w:szCs w:val="26"/>
        </w:rPr>
        <w:t>Resultado de esa estimación,</w:t>
      </w:r>
      <w:r w:rsidR="00CD2981">
        <w:rPr>
          <w:szCs w:val="26"/>
        </w:rPr>
        <w:t xml:space="preserve"> </w:t>
      </w:r>
      <w:r w:rsidR="000717A8">
        <w:rPr>
          <w:szCs w:val="26"/>
        </w:rPr>
        <w:t xml:space="preserve">la mancomunidad ha obtenido en 2015 unas necesidades de financiación o déficit cuantificadas en </w:t>
      </w:r>
      <w:r w:rsidR="00E336ED" w:rsidRPr="00272882">
        <w:rPr>
          <w:szCs w:val="26"/>
        </w:rPr>
        <w:t>162.175 euros</w:t>
      </w:r>
      <w:r w:rsidR="00CD2981">
        <w:rPr>
          <w:szCs w:val="26"/>
        </w:rPr>
        <w:t xml:space="preserve">, tal como se muestra en el cuadro siguiente: </w:t>
      </w:r>
    </w:p>
    <w:tbl>
      <w:tblPr>
        <w:tblW w:w="8837" w:type="dxa"/>
        <w:jc w:val="center"/>
        <w:tblCellMar>
          <w:left w:w="70" w:type="dxa"/>
          <w:right w:w="70" w:type="dxa"/>
        </w:tblCellMar>
        <w:tblLook w:val="04A0" w:firstRow="1" w:lastRow="0" w:firstColumn="1" w:lastColumn="0" w:noHBand="0" w:noVBand="1"/>
      </w:tblPr>
      <w:tblGrid>
        <w:gridCol w:w="7799"/>
        <w:gridCol w:w="1038"/>
      </w:tblGrid>
      <w:tr w:rsidR="00CD2981" w:rsidRPr="006376F9" w:rsidTr="00635815">
        <w:trPr>
          <w:trHeight w:val="284"/>
          <w:jc w:val="center"/>
        </w:trPr>
        <w:tc>
          <w:tcPr>
            <w:tcW w:w="7799" w:type="dxa"/>
            <w:tcBorders>
              <w:top w:val="single" w:sz="4" w:space="0" w:color="auto"/>
              <w:bottom w:val="single" w:sz="4" w:space="0" w:color="auto"/>
            </w:tcBorders>
            <w:shd w:val="clear" w:color="auto" w:fill="FABF8F" w:themeFill="accent6" w:themeFillTint="99"/>
            <w:vAlign w:val="center"/>
          </w:tcPr>
          <w:p w:rsidR="00CD2981" w:rsidRPr="006376F9" w:rsidRDefault="00CD2981" w:rsidP="00EB2A15">
            <w:pPr>
              <w:pStyle w:val="cuadroCabe"/>
              <w:rPr>
                <w:lang w:val="es-ES" w:eastAsia="es-ES"/>
              </w:rPr>
            </w:pPr>
            <w:r>
              <w:rPr>
                <w:lang w:val="es-ES" w:eastAsia="es-ES"/>
              </w:rPr>
              <w:t>Concepto</w:t>
            </w:r>
          </w:p>
        </w:tc>
        <w:tc>
          <w:tcPr>
            <w:tcW w:w="1038" w:type="dxa"/>
            <w:tcBorders>
              <w:top w:val="single" w:sz="4" w:space="0" w:color="auto"/>
              <w:bottom w:val="single" w:sz="4" w:space="0" w:color="auto"/>
            </w:tcBorders>
            <w:shd w:val="clear" w:color="auto" w:fill="FABF8F" w:themeFill="accent6" w:themeFillTint="99"/>
            <w:vAlign w:val="center"/>
          </w:tcPr>
          <w:p w:rsidR="00CD2981" w:rsidRPr="006376F9" w:rsidRDefault="00CD2981" w:rsidP="00CD2981">
            <w:pPr>
              <w:pStyle w:val="cuadroCabe"/>
              <w:jc w:val="right"/>
              <w:rPr>
                <w:lang w:val="es-ES" w:eastAsia="es-ES"/>
              </w:rPr>
            </w:pPr>
            <w:r>
              <w:rPr>
                <w:lang w:val="es-ES" w:eastAsia="es-ES"/>
              </w:rPr>
              <w:t>2015</w:t>
            </w:r>
          </w:p>
        </w:tc>
      </w:tr>
      <w:tr w:rsidR="00CD2981" w:rsidRPr="00356929" w:rsidTr="00635815">
        <w:trPr>
          <w:trHeight w:val="284"/>
          <w:jc w:val="center"/>
        </w:trPr>
        <w:tc>
          <w:tcPr>
            <w:tcW w:w="7799" w:type="dxa"/>
            <w:tcBorders>
              <w:top w:val="single" w:sz="4" w:space="0" w:color="auto"/>
              <w:bottom w:val="single" w:sz="2" w:space="0" w:color="auto"/>
            </w:tcBorders>
            <w:shd w:val="clear" w:color="auto" w:fill="auto"/>
            <w:vAlign w:val="center"/>
          </w:tcPr>
          <w:p w:rsidR="00CD2981" w:rsidRPr="00356929" w:rsidRDefault="00CD2981" w:rsidP="00EB2A15">
            <w:pPr>
              <w:pStyle w:val="cuatexto"/>
            </w:pPr>
            <w:r w:rsidRPr="00356929">
              <w:t>Saldo presupuestario no financiero</w:t>
            </w:r>
          </w:p>
        </w:tc>
        <w:tc>
          <w:tcPr>
            <w:tcW w:w="1038" w:type="dxa"/>
            <w:tcBorders>
              <w:top w:val="single" w:sz="4" w:space="0" w:color="auto"/>
              <w:bottom w:val="single" w:sz="2" w:space="0" w:color="auto"/>
            </w:tcBorders>
            <w:shd w:val="clear" w:color="auto" w:fill="auto"/>
            <w:vAlign w:val="center"/>
          </w:tcPr>
          <w:p w:rsidR="00CD2981" w:rsidRPr="00356929" w:rsidRDefault="005E6487" w:rsidP="00EB2A15">
            <w:pPr>
              <w:pStyle w:val="cuatexto"/>
              <w:jc w:val="right"/>
            </w:pPr>
            <w:r>
              <w:t>-77.239</w:t>
            </w:r>
          </w:p>
        </w:tc>
      </w:tr>
      <w:tr w:rsidR="00CD2981" w:rsidRPr="00272882" w:rsidTr="00C115DD">
        <w:trPr>
          <w:trHeight w:val="284"/>
          <w:jc w:val="center"/>
        </w:trPr>
        <w:tc>
          <w:tcPr>
            <w:tcW w:w="7799" w:type="dxa"/>
            <w:tcBorders>
              <w:top w:val="single" w:sz="2" w:space="0" w:color="auto"/>
              <w:bottom w:val="single" w:sz="4" w:space="0" w:color="auto"/>
            </w:tcBorders>
            <w:shd w:val="clear" w:color="auto" w:fill="auto"/>
            <w:vAlign w:val="center"/>
          </w:tcPr>
          <w:p w:rsidR="00CD2981" w:rsidRPr="00272882" w:rsidRDefault="00CD2981" w:rsidP="00EB2A15">
            <w:pPr>
              <w:pStyle w:val="cuatexto"/>
            </w:pPr>
            <w:r w:rsidRPr="00272882">
              <w:t>Ajuste</w:t>
            </w:r>
            <w:r w:rsidR="00B86136" w:rsidRPr="00272882">
              <w:t>s</w:t>
            </w:r>
            <w:r w:rsidR="000717A8" w:rsidRPr="00272882">
              <w:t xml:space="preserve"> ingresos tributarios</w:t>
            </w:r>
          </w:p>
        </w:tc>
        <w:tc>
          <w:tcPr>
            <w:tcW w:w="1038" w:type="dxa"/>
            <w:tcBorders>
              <w:top w:val="single" w:sz="2" w:space="0" w:color="auto"/>
              <w:bottom w:val="single" w:sz="4" w:space="0" w:color="auto"/>
            </w:tcBorders>
            <w:shd w:val="clear" w:color="auto" w:fill="auto"/>
            <w:vAlign w:val="center"/>
          </w:tcPr>
          <w:p w:rsidR="00CD2981" w:rsidRPr="00272882" w:rsidRDefault="00E336ED" w:rsidP="00EB2A15">
            <w:pPr>
              <w:pStyle w:val="cuatexto"/>
              <w:jc w:val="right"/>
            </w:pPr>
            <w:r w:rsidRPr="00272882">
              <w:t>-84.936</w:t>
            </w:r>
          </w:p>
        </w:tc>
      </w:tr>
      <w:tr w:rsidR="00CD2981" w:rsidRPr="00272882" w:rsidTr="00635815">
        <w:trPr>
          <w:trHeight w:val="284"/>
          <w:jc w:val="center"/>
        </w:trPr>
        <w:tc>
          <w:tcPr>
            <w:tcW w:w="7799" w:type="dxa"/>
            <w:tcBorders>
              <w:top w:val="single" w:sz="4" w:space="0" w:color="auto"/>
              <w:bottom w:val="single" w:sz="4" w:space="0" w:color="auto"/>
            </w:tcBorders>
            <w:shd w:val="clear" w:color="auto" w:fill="FABF8F" w:themeFill="accent6" w:themeFillTint="99"/>
            <w:vAlign w:val="center"/>
          </w:tcPr>
          <w:p w:rsidR="00CD2981" w:rsidRPr="00272882" w:rsidRDefault="00E336ED" w:rsidP="00E336ED">
            <w:pPr>
              <w:pStyle w:val="cuadroCabe"/>
              <w:rPr>
                <w:lang w:val="es-ES" w:eastAsia="es-ES"/>
              </w:rPr>
            </w:pPr>
            <w:r w:rsidRPr="00272882">
              <w:rPr>
                <w:lang w:val="es-ES" w:eastAsia="es-ES"/>
              </w:rPr>
              <w:t>Necesidad de financiación</w:t>
            </w:r>
          </w:p>
        </w:tc>
        <w:tc>
          <w:tcPr>
            <w:tcW w:w="1038" w:type="dxa"/>
            <w:tcBorders>
              <w:top w:val="single" w:sz="4" w:space="0" w:color="auto"/>
              <w:bottom w:val="single" w:sz="4" w:space="0" w:color="auto"/>
            </w:tcBorders>
            <w:shd w:val="clear" w:color="auto" w:fill="FABF8F" w:themeFill="accent6" w:themeFillTint="99"/>
            <w:vAlign w:val="center"/>
          </w:tcPr>
          <w:p w:rsidR="00CD2981" w:rsidRPr="00272882" w:rsidRDefault="00E336ED" w:rsidP="00EB2A15">
            <w:pPr>
              <w:pStyle w:val="cuadroCabe"/>
              <w:jc w:val="right"/>
              <w:rPr>
                <w:lang w:val="es-ES" w:eastAsia="es-ES"/>
              </w:rPr>
            </w:pPr>
            <w:r w:rsidRPr="00272882">
              <w:rPr>
                <w:lang w:val="es-ES" w:eastAsia="es-ES"/>
              </w:rPr>
              <w:t>-162.175</w:t>
            </w:r>
          </w:p>
        </w:tc>
      </w:tr>
    </w:tbl>
    <w:p w:rsidR="00351EFF" w:rsidRDefault="00351EFF" w:rsidP="00A54EE1">
      <w:pPr>
        <w:pStyle w:val="texto"/>
        <w:tabs>
          <w:tab w:val="clear" w:pos="2835"/>
          <w:tab w:val="clear" w:pos="3969"/>
          <w:tab w:val="clear" w:pos="5103"/>
          <w:tab w:val="clear" w:pos="6237"/>
          <w:tab w:val="clear" w:pos="7371"/>
        </w:tabs>
        <w:spacing w:before="120" w:after="180"/>
        <w:rPr>
          <w:szCs w:val="26"/>
        </w:rPr>
      </w:pPr>
      <w:r w:rsidRPr="00312A92">
        <w:rPr>
          <w:szCs w:val="26"/>
        </w:rPr>
        <w:t>En conclusión</w:t>
      </w:r>
      <w:r>
        <w:rPr>
          <w:szCs w:val="26"/>
        </w:rPr>
        <w:t>,</w:t>
      </w:r>
      <w:r w:rsidR="000717A8">
        <w:rPr>
          <w:szCs w:val="26"/>
        </w:rPr>
        <w:t xml:space="preserve"> la mancomunidad ha incumplido en 2015 el</w:t>
      </w:r>
      <w:r w:rsidRPr="00312A92">
        <w:rPr>
          <w:szCs w:val="26"/>
        </w:rPr>
        <w:t xml:space="preserve"> objetivo de c</w:t>
      </w:r>
      <w:r w:rsidRPr="00312A92">
        <w:rPr>
          <w:szCs w:val="26"/>
        </w:rPr>
        <w:t>e</w:t>
      </w:r>
      <w:r w:rsidRPr="00312A92">
        <w:rPr>
          <w:szCs w:val="26"/>
        </w:rPr>
        <w:t>r</w:t>
      </w:r>
      <w:r>
        <w:rPr>
          <w:szCs w:val="26"/>
        </w:rPr>
        <w:t>r</w:t>
      </w:r>
      <w:r w:rsidRPr="00312A92">
        <w:rPr>
          <w:szCs w:val="26"/>
        </w:rPr>
        <w:t xml:space="preserve">ar sus cuentas con </w:t>
      </w:r>
      <w:r>
        <w:rPr>
          <w:szCs w:val="26"/>
        </w:rPr>
        <w:t xml:space="preserve">superávit o </w:t>
      </w:r>
      <w:r w:rsidRPr="00312A92">
        <w:rPr>
          <w:szCs w:val="26"/>
        </w:rPr>
        <w:t>capacidad de financiación</w:t>
      </w:r>
      <w:r>
        <w:rPr>
          <w:szCs w:val="26"/>
        </w:rPr>
        <w:t xml:space="preserve"> en términos de co</w:t>
      </w:r>
      <w:r>
        <w:rPr>
          <w:szCs w:val="26"/>
        </w:rPr>
        <w:t>n</w:t>
      </w:r>
      <w:r>
        <w:rPr>
          <w:szCs w:val="26"/>
        </w:rPr>
        <w:t>tabilidad nacional</w:t>
      </w:r>
      <w:r w:rsidRPr="00312A92">
        <w:rPr>
          <w:szCs w:val="26"/>
        </w:rPr>
        <w:t>.</w:t>
      </w:r>
    </w:p>
    <w:p w:rsidR="00351EFF" w:rsidRPr="00FB2DA9" w:rsidRDefault="00351EFF" w:rsidP="00A54EE1">
      <w:pPr>
        <w:pStyle w:val="atitulo3"/>
        <w:spacing w:before="120" w:after="120"/>
      </w:pPr>
      <w:r w:rsidRPr="00FB2DA9">
        <w:t>Regla de gasto</w:t>
      </w:r>
      <w:r w:rsidR="00303343">
        <w:t xml:space="preserve"> </w:t>
      </w:r>
    </w:p>
    <w:p w:rsidR="00351EFF" w:rsidRPr="00C43957" w:rsidRDefault="00351EFF" w:rsidP="00A54EE1">
      <w:pPr>
        <w:pStyle w:val="texto"/>
        <w:tabs>
          <w:tab w:val="clear" w:pos="2835"/>
          <w:tab w:val="clear" w:pos="3969"/>
          <w:tab w:val="clear" w:pos="5103"/>
          <w:tab w:val="clear" w:pos="6237"/>
          <w:tab w:val="clear" w:pos="7371"/>
        </w:tabs>
        <w:spacing w:after="120"/>
        <w:rPr>
          <w:szCs w:val="26"/>
        </w:rPr>
      </w:pPr>
      <w:r w:rsidRPr="00C43957">
        <w:rPr>
          <w:szCs w:val="26"/>
        </w:rPr>
        <w:t>De acuerdo con nuestras estimaciones</w:t>
      </w:r>
      <w:r w:rsidR="00C43957" w:rsidRPr="00C43957">
        <w:rPr>
          <w:szCs w:val="26"/>
        </w:rPr>
        <w:t xml:space="preserve"> y centrándonos en </w:t>
      </w:r>
      <w:r w:rsidR="00303343">
        <w:rPr>
          <w:szCs w:val="26"/>
        </w:rPr>
        <w:t>la liquidación pr</w:t>
      </w:r>
      <w:r w:rsidR="00303343">
        <w:rPr>
          <w:szCs w:val="26"/>
        </w:rPr>
        <w:t>e</w:t>
      </w:r>
      <w:r w:rsidR="00303343">
        <w:rPr>
          <w:szCs w:val="26"/>
        </w:rPr>
        <w:t>supuestaria de 2015</w:t>
      </w:r>
      <w:r w:rsidRPr="00C43957">
        <w:rPr>
          <w:szCs w:val="26"/>
        </w:rPr>
        <w:t>, en el cuadro siguiente mostramos los resultados de los cálculos realizados:</w:t>
      </w:r>
    </w:p>
    <w:tbl>
      <w:tblPr>
        <w:tblW w:w="8777" w:type="dxa"/>
        <w:jc w:val="center"/>
        <w:tblInd w:w="-791" w:type="dxa"/>
        <w:tblCellMar>
          <w:left w:w="70" w:type="dxa"/>
          <w:right w:w="70" w:type="dxa"/>
        </w:tblCellMar>
        <w:tblLook w:val="04A0" w:firstRow="1" w:lastRow="0" w:firstColumn="1" w:lastColumn="0" w:noHBand="0" w:noVBand="1"/>
      </w:tblPr>
      <w:tblGrid>
        <w:gridCol w:w="7076"/>
        <w:gridCol w:w="1701"/>
      </w:tblGrid>
      <w:tr w:rsidR="00C43957" w:rsidRPr="00C43957" w:rsidTr="00635815">
        <w:trPr>
          <w:trHeight w:val="284"/>
          <w:jc w:val="center"/>
        </w:trPr>
        <w:tc>
          <w:tcPr>
            <w:tcW w:w="7076" w:type="dxa"/>
            <w:tcBorders>
              <w:top w:val="single" w:sz="4" w:space="0" w:color="auto"/>
              <w:bottom w:val="single" w:sz="4" w:space="0" w:color="auto"/>
            </w:tcBorders>
            <w:shd w:val="clear" w:color="auto" w:fill="FABF8F" w:themeFill="accent6" w:themeFillTint="99"/>
            <w:vAlign w:val="center"/>
          </w:tcPr>
          <w:p w:rsidR="0022420E" w:rsidRPr="00C43957" w:rsidRDefault="0022420E" w:rsidP="00EB2A15">
            <w:pPr>
              <w:pStyle w:val="cuadroCabe"/>
              <w:rPr>
                <w:lang w:val="es-ES" w:eastAsia="es-ES"/>
              </w:rPr>
            </w:pPr>
            <w:r w:rsidRPr="00C43957">
              <w:rPr>
                <w:lang w:val="es-ES" w:eastAsia="es-ES"/>
              </w:rPr>
              <w:t>Concepto</w:t>
            </w:r>
          </w:p>
        </w:tc>
        <w:tc>
          <w:tcPr>
            <w:tcW w:w="1701" w:type="dxa"/>
            <w:tcBorders>
              <w:top w:val="single" w:sz="4" w:space="0" w:color="auto"/>
              <w:bottom w:val="single" w:sz="4" w:space="0" w:color="auto"/>
            </w:tcBorders>
            <w:shd w:val="clear" w:color="auto" w:fill="FABF8F" w:themeFill="accent6" w:themeFillTint="99"/>
            <w:vAlign w:val="center"/>
          </w:tcPr>
          <w:p w:rsidR="0022420E" w:rsidRPr="00C43957" w:rsidRDefault="0022420E" w:rsidP="00EB2A15">
            <w:pPr>
              <w:pStyle w:val="cuadroCabe"/>
              <w:jc w:val="right"/>
              <w:rPr>
                <w:lang w:val="es-ES" w:eastAsia="es-ES"/>
              </w:rPr>
            </w:pPr>
            <w:r w:rsidRPr="00C43957">
              <w:rPr>
                <w:lang w:val="es-ES" w:eastAsia="es-ES"/>
              </w:rPr>
              <w:t>Importe</w:t>
            </w:r>
          </w:p>
        </w:tc>
      </w:tr>
      <w:tr w:rsidR="00C43957" w:rsidRPr="00C43957" w:rsidTr="00635815">
        <w:trPr>
          <w:trHeight w:val="267"/>
          <w:jc w:val="center"/>
        </w:trPr>
        <w:tc>
          <w:tcPr>
            <w:tcW w:w="7076" w:type="dxa"/>
            <w:tcBorders>
              <w:top w:val="single" w:sz="4" w:space="0" w:color="auto"/>
              <w:bottom w:val="single" w:sz="2" w:space="0" w:color="auto"/>
            </w:tcBorders>
            <w:shd w:val="clear" w:color="auto" w:fill="auto"/>
            <w:vAlign w:val="center"/>
          </w:tcPr>
          <w:p w:rsidR="0022420E" w:rsidRPr="00C43957" w:rsidRDefault="005E6487" w:rsidP="0022420E">
            <w:pPr>
              <w:pStyle w:val="cuatexto"/>
            </w:pPr>
            <w:r>
              <w:t xml:space="preserve">a. </w:t>
            </w:r>
            <w:r w:rsidR="0022420E" w:rsidRPr="00C43957">
              <w:t xml:space="preserve">Gasto computable 2014 </w:t>
            </w:r>
          </w:p>
        </w:tc>
        <w:tc>
          <w:tcPr>
            <w:tcW w:w="1701" w:type="dxa"/>
            <w:tcBorders>
              <w:top w:val="single" w:sz="4" w:space="0" w:color="auto"/>
              <w:bottom w:val="single" w:sz="2" w:space="0" w:color="auto"/>
            </w:tcBorders>
            <w:vAlign w:val="center"/>
          </w:tcPr>
          <w:p w:rsidR="0022420E" w:rsidRPr="00C43957" w:rsidRDefault="005E6487" w:rsidP="00EB2A15">
            <w:pPr>
              <w:pStyle w:val="cuatexto"/>
              <w:jc w:val="right"/>
            </w:pPr>
            <w:r>
              <w:t>2.815.058</w:t>
            </w:r>
          </w:p>
        </w:tc>
      </w:tr>
      <w:tr w:rsidR="00E25EB0" w:rsidRPr="00F66D24" w:rsidTr="00635815">
        <w:trPr>
          <w:trHeight w:val="267"/>
          <w:jc w:val="center"/>
        </w:trPr>
        <w:tc>
          <w:tcPr>
            <w:tcW w:w="7076" w:type="dxa"/>
            <w:tcBorders>
              <w:top w:val="single" w:sz="4" w:space="0" w:color="auto"/>
              <w:bottom w:val="single" w:sz="2" w:space="0" w:color="auto"/>
            </w:tcBorders>
            <w:shd w:val="clear" w:color="auto" w:fill="auto"/>
            <w:vAlign w:val="center"/>
          </w:tcPr>
          <w:p w:rsidR="00E25EB0" w:rsidRPr="00F66D24" w:rsidRDefault="005E6487" w:rsidP="00E25EB0">
            <w:pPr>
              <w:pStyle w:val="cuatexto"/>
              <w:rPr>
                <w:b/>
              </w:rPr>
            </w:pPr>
            <w:r w:rsidRPr="00F66D24">
              <w:rPr>
                <w:b/>
              </w:rPr>
              <w:t xml:space="preserve">b. </w:t>
            </w:r>
            <w:r w:rsidR="00E25EB0" w:rsidRPr="00F66D24">
              <w:rPr>
                <w:b/>
              </w:rPr>
              <w:t xml:space="preserve">Gasto computable </w:t>
            </w:r>
            <w:r w:rsidR="005B42F9" w:rsidRPr="00F66D24">
              <w:rPr>
                <w:b/>
              </w:rPr>
              <w:t xml:space="preserve">máximo </w:t>
            </w:r>
            <w:r w:rsidRPr="00F66D24">
              <w:rPr>
                <w:b/>
              </w:rPr>
              <w:t xml:space="preserve">2015 (a +1,3 por ciento) </w:t>
            </w:r>
          </w:p>
        </w:tc>
        <w:tc>
          <w:tcPr>
            <w:tcW w:w="1701" w:type="dxa"/>
            <w:tcBorders>
              <w:top w:val="single" w:sz="4" w:space="0" w:color="auto"/>
              <w:bottom w:val="single" w:sz="2" w:space="0" w:color="auto"/>
            </w:tcBorders>
            <w:vAlign w:val="center"/>
          </w:tcPr>
          <w:p w:rsidR="00E25EB0" w:rsidRPr="00F66D24" w:rsidRDefault="005E6487" w:rsidP="00EB2A15">
            <w:pPr>
              <w:pStyle w:val="cuatexto"/>
              <w:jc w:val="right"/>
              <w:rPr>
                <w:b/>
              </w:rPr>
            </w:pPr>
            <w:r w:rsidRPr="00F66D24">
              <w:rPr>
                <w:b/>
              </w:rPr>
              <w:t>2.851.653</w:t>
            </w:r>
          </w:p>
        </w:tc>
      </w:tr>
      <w:tr w:rsidR="00C43957" w:rsidRPr="00F66D24" w:rsidTr="00635815">
        <w:trPr>
          <w:trHeight w:val="352"/>
          <w:jc w:val="center"/>
        </w:trPr>
        <w:tc>
          <w:tcPr>
            <w:tcW w:w="7076" w:type="dxa"/>
            <w:tcBorders>
              <w:top w:val="single" w:sz="2" w:space="0" w:color="auto"/>
              <w:bottom w:val="single" w:sz="2" w:space="0" w:color="auto"/>
            </w:tcBorders>
            <w:shd w:val="clear" w:color="auto" w:fill="auto"/>
            <w:vAlign w:val="center"/>
          </w:tcPr>
          <w:p w:rsidR="0022420E" w:rsidRPr="00F66D24" w:rsidRDefault="005E6487" w:rsidP="00E25EB0">
            <w:pPr>
              <w:pStyle w:val="cuatexto"/>
              <w:rPr>
                <w:b/>
              </w:rPr>
            </w:pPr>
            <w:r w:rsidRPr="00F66D24">
              <w:rPr>
                <w:b/>
              </w:rPr>
              <w:t xml:space="preserve">c. </w:t>
            </w:r>
            <w:r w:rsidR="0022420E" w:rsidRPr="00F66D24">
              <w:rPr>
                <w:b/>
              </w:rPr>
              <w:t>Gasto computable ejecutado 2015 (</w:t>
            </w:r>
            <w:r w:rsidR="00E25EB0" w:rsidRPr="00F66D24">
              <w:rPr>
                <w:b/>
              </w:rPr>
              <w:t>c</w:t>
            </w:r>
            <w:r w:rsidR="0022420E" w:rsidRPr="00F66D24">
              <w:rPr>
                <w:b/>
              </w:rPr>
              <w:t>)</w:t>
            </w:r>
          </w:p>
        </w:tc>
        <w:tc>
          <w:tcPr>
            <w:tcW w:w="1701" w:type="dxa"/>
            <w:tcBorders>
              <w:top w:val="single" w:sz="2" w:space="0" w:color="auto"/>
              <w:bottom w:val="single" w:sz="2" w:space="0" w:color="auto"/>
            </w:tcBorders>
            <w:vAlign w:val="center"/>
          </w:tcPr>
          <w:p w:rsidR="0022420E" w:rsidRPr="00F66D24" w:rsidRDefault="005E6487" w:rsidP="00EB2A15">
            <w:pPr>
              <w:pStyle w:val="cuatexto"/>
              <w:jc w:val="right"/>
              <w:rPr>
                <w:b/>
              </w:rPr>
            </w:pPr>
            <w:r w:rsidRPr="00F66D24">
              <w:rPr>
                <w:b/>
              </w:rPr>
              <w:t>2.817.404</w:t>
            </w:r>
          </w:p>
        </w:tc>
      </w:tr>
      <w:tr w:rsidR="00C43957" w:rsidRPr="00C43957" w:rsidTr="00635815">
        <w:trPr>
          <w:trHeight w:val="284"/>
          <w:jc w:val="center"/>
        </w:trPr>
        <w:tc>
          <w:tcPr>
            <w:tcW w:w="7076" w:type="dxa"/>
            <w:tcBorders>
              <w:top w:val="single" w:sz="4" w:space="0" w:color="auto"/>
              <w:bottom w:val="single" w:sz="4" w:space="0" w:color="auto"/>
            </w:tcBorders>
            <w:shd w:val="clear" w:color="auto" w:fill="FABF8F" w:themeFill="accent6" w:themeFillTint="99"/>
            <w:vAlign w:val="center"/>
          </w:tcPr>
          <w:p w:rsidR="0022420E" w:rsidRPr="00C43957" w:rsidRDefault="00E25EB0" w:rsidP="00303343">
            <w:pPr>
              <w:pStyle w:val="cuadroCabe"/>
              <w:rPr>
                <w:lang w:val="es-ES" w:eastAsia="es-ES"/>
              </w:rPr>
            </w:pPr>
            <w:r>
              <w:rPr>
                <w:lang w:val="es-ES" w:eastAsia="es-ES"/>
              </w:rPr>
              <w:t xml:space="preserve">Diferencia </w:t>
            </w:r>
            <w:r w:rsidR="0022420E" w:rsidRPr="00C43957">
              <w:rPr>
                <w:lang w:val="es-ES" w:eastAsia="es-ES"/>
              </w:rPr>
              <w:t>b</w:t>
            </w:r>
            <w:r>
              <w:rPr>
                <w:lang w:val="es-ES" w:eastAsia="es-ES"/>
              </w:rPr>
              <w:t>-</w:t>
            </w:r>
            <w:r w:rsidR="00303343">
              <w:rPr>
                <w:lang w:val="es-ES" w:eastAsia="es-ES"/>
              </w:rPr>
              <w:t>c</w:t>
            </w:r>
          </w:p>
        </w:tc>
        <w:tc>
          <w:tcPr>
            <w:tcW w:w="1701" w:type="dxa"/>
            <w:tcBorders>
              <w:top w:val="single" w:sz="4" w:space="0" w:color="auto"/>
              <w:bottom w:val="single" w:sz="4" w:space="0" w:color="auto"/>
            </w:tcBorders>
            <w:shd w:val="clear" w:color="auto" w:fill="FABF8F" w:themeFill="accent6" w:themeFillTint="99"/>
            <w:vAlign w:val="center"/>
          </w:tcPr>
          <w:p w:rsidR="0022420E" w:rsidRPr="00C43957" w:rsidRDefault="005E6487" w:rsidP="00EB2A15">
            <w:pPr>
              <w:pStyle w:val="cuadroCabe"/>
              <w:jc w:val="right"/>
              <w:rPr>
                <w:lang w:val="es-ES" w:eastAsia="es-ES"/>
              </w:rPr>
            </w:pPr>
            <w:r>
              <w:rPr>
                <w:lang w:val="es-ES" w:eastAsia="es-ES"/>
              </w:rPr>
              <w:t>34.249</w:t>
            </w:r>
          </w:p>
        </w:tc>
      </w:tr>
    </w:tbl>
    <w:p w:rsidR="00351EFF" w:rsidRPr="00C43957" w:rsidRDefault="00351EFF" w:rsidP="00A54EE1">
      <w:pPr>
        <w:pStyle w:val="texto"/>
        <w:tabs>
          <w:tab w:val="clear" w:pos="2835"/>
          <w:tab w:val="clear" w:pos="3969"/>
          <w:tab w:val="clear" w:pos="5103"/>
          <w:tab w:val="clear" w:pos="6237"/>
          <w:tab w:val="clear" w:pos="7371"/>
        </w:tabs>
        <w:spacing w:before="120"/>
        <w:rPr>
          <w:szCs w:val="26"/>
        </w:rPr>
      </w:pPr>
      <w:r w:rsidRPr="00C43957">
        <w:rPr>
          <w:szCs w:val="26"/>
        </w:rPr>
        <w:t xml:space="preserve">En consecuencia, </w:t>
      </w:r>
      <w:r w:rsidR="005E6487">
        <w:rPr>
          <w:szCs w:val="26"/>
        </w:rPr>
        <w:t>la mancomunidad</w:t>
      </w:r>
      <w:r w:rsidRPr="00C43957">
        <w:rPr>
          <w:szCs w:val="26"/>
        </w:rPr>
        <w:t xml:space="preserve"> ha cumplido con las estipulaciones leg</w:t>
      </w:r>
      <w:r w:rsidRPr="00C43957">
        <w:rPr>
          <w:szCs w:val="26"/>
        </w:rPr>
        <w:t>a</w:t>
      </w:r>
      <w:r w:rsidRPr="00C43957">
        <w:rPr>
          <w:szCs w:val="26"/>
        </w:rPr>
        <w:t>les en materia de la regla de gasto.</w:t>
      </w:r>
    </w:p>
    <w:p w:rsidR="00351EFF" w:rsidRPr="008E3774" w:rsidRDefault="00351EFF" w:rsidP="006C56A8">
      <w:pPr>
        <w:pStyle w:val="atitulo3"/>
      </w:pPr>
      <w:r w:rsidRPr="008E3774">
        <w:t>Sostenibilidad de la deuda pública</w:t>
      </w:r>
    </w:p>
    <w:p w:rsidR="00F66D24" w:rsidRDefault="004C52D7" w:rsidP="00604C9B">
      <w:pPr>
        <w:pStyle w:val="texto"/>
        <w:tabs>
          <w:tab w:val="clear" w:pos="2835"/>
          <w:tab w:val="clear" w:pos="3969"/>
          <w:tab w:val="clear" w:pos="5103"/>
          <w:tab w:val="clear" w:pos="6237"/>
          <w:tab w:val="clear" w:pos="7371"/>
        </w:tabs>
        <w:rPr>
          <w:szCs w:val="26"/>
        </w:rPr>
      </w:pPr>
      <w:r>
        <w:rPr>
          <w:szCs w:val="26"/>
        </w:rPr>
        <w:t xml:space="preserve">Dado que </w:t>
      </w:r>
      <w:r w:rsidR="005E6487">
        <w:rPr>
          <w:szCs w:val="26"/>
        </w:rPr>
        <w:t>la mancomunidad</w:t>
      </w:r>
      <w:r>
        <w:rPr>
          <w:szCs w:val="26"/>
        </w:rPr>
        <w:t xml:space="preserve"> no presenta endeudamiento, ha cumplido con e</w:t>
      </w:r>
      <w:r>
        <w:rPr>
          <w:szCs w:val="26"/>
        </w:rPr>
        <w:t>s</w:t>
      </w:r>
      <w:r>
        <w:rPr>
          <w:szCs w:val="26"/>
        </w:rPr>
        <w:t>te principio de sostenibilidad financiera.</w:t>
      </w:r>
    </w:p>
    <w:p w:rsidR="00351EFF" w:rsidRPr="008E3774" w:rsidRDefault="00351EFF" w:rsidP="006C56A8">
      <w:pPr>
        <w:pStyle w:val="atitulo3"/>
      </w:pPr>
      <w:r w:rsidRPr="008E3774">
        <w:t>Sostenibilidad de la deuda comercial</w:t>
      </w:r>
    </w:p>
    <w:p w:rsidR="00C24892" w:rsidRDefault="00351EFF" w:rsidP="00C24892">
      <w:pPr>
        <w:pStyle w:val="texto"/>
        <w:tabs>
          <w:tab w:val="clear" w:pos="2835"/>
          <w:tab w:val="clear" w:pos="3969"/>
          <w:tab w:val="clear" w:pos="5103"/>
          <w:tab w:val="clear" w:pos="6237"/>
          <w:tab w:val="clear" w:pos="7371"/>
        </w:tabs>
        <w:rPr>
          <w:szCs w:val="26"/>
        </w:rPr>
      </w:pPr>
      <w:r w:rsidRPr="00B613A8">
        <w:rPr>
          <w:szCs w:val="26"/>
        </w:rPr>
        <w:t xml:space="preserve">En 2015, </w:t>
      </w:r>
      <w:r w:rsidR="005E6487">
        <w:rPr>
          <w:szCs w:val="26"/>
        </w:rPr>
        <w:t>la mancomunidad</w:t>
      </w:r>
      <w:r w:rsidR="00B613A8">
        <w:rPr>
          <w:szCs w:val="26"/>
        </w:rPr>
        <w:t xml:space="preserve"> no ha implanta</w:t>
      </w:r>
      <w:r w:rsidRPr="00B613A8">
        <w:rPr>
          <w:szCs w:val="26"/>
        </w:rPr>
        <w:t>do el registro de facturas, herr</w:t>
      </w:r>
      <w:r w:rsidRPr="00B613A8">
        <w:rPr>
          <w:szCs w:val="26"/>
        </w:rPr>
        <w:t>a</w:t>
      </w:r>
      <w:r w:rsidRPr="00B613A8">
        <w:rPr>
          <w:szCs w:val="26"/>
        </w:rPr>
        <w:t xml:space="preserve">mienta imprescindible para poder calcular el </w:t>
      </w:r>
      <w:r w:rsidR="005E6487">
        <w:rPr>
          <w:szCs w:val="26"/>
        </w:rPr>
        <w:t xml:space="preserve">indicador de </w:t>
      </w:r>
      <w:r w:rsidRPr="00B613A8">
        <w:rPr>
          <w:szCs w:val="26"/>
        </w:rPr>
        <w:t>periodo medio de p</w:t>
      </w:r>
      <w:r w:rsidRPr="00B613A8">
        <w:rPr>
          <w:szCs w:val="26"/>
        </w:rPr>
        <w:t>a</w:t>
      </w:r>
      <w:r w:rsidRPr="00B613A8">
        <w:rPr>
          <w:szCs w:val="26"/>
        </w:rPr>
        <w:t xml:space="preserve">go a proveedores. </w:t>
      </w:r>
      <w:r>
        <w:rPr>
          <w:szCs w:val="26"/>
        </w:rPr>
        <w:t xml:space="preserve">En consecuencia, no podemos pronunciarnos sobre si, en </w:t>
      </w:r>
      <w:r w:rsidR="00B613A8">
        <w:rPr>
          <w:szCs w:val="26"/>
        </w:rPr>
        <w:t>el</w:t>
      </w:r>
      <w:r>
        <w:rPr>
          <w:szCs w:val="26"/>
        </w:rPr>
        <w:t xml:space="preserve"> ejer</w:t>
      </w:r>
      <w:r w:rsidR="005E6487">
        <w:rPr>
          <w:szCs w:val="26"/>
        </w:rPr>
        <w:t xml:space="preserve">cicio analizado, </w:t>
      </w:r>
      <w:r>
        <w:rPr>
          <w:szCs w:val="26"/>
        </w:rPr>
        <w:t>ha cumplido con los plazos señalados en la normativa v</w:t>
      </w:r>
      <w:r>
        <w:rPr>
          <w:szCs w:val="26"/>
        </w:rPr>
        <w:t>i</w:t>
      </w:r>
      <w:r>
        <w:rPr>
          <w:szCs w:val="26"/>
        </w:rPr>
        <w:t xml:space="preserve">gente. </w:t>
      </w:r>
    </w:p>
    <w:p w:rsidR="00351EFF" w:rsidRDefault="00351EFF" w:rsidP="00C24892">
      <w:pPr>
        <w:pStyle w:val="texto"/>
        <w:tabs>
          <w:tab w:val="clear" w:pos="2835"/>
          <w:tab w:val="clear" w:pos="3969"/>
          <w:tab w:val="clear" w:pos="5103"/>
          <w:tab w:val="clear" w:pos="6237"/>
          <w:tab w:val="clear" w:pos="7371"/>
        </w:tabs>
        <w:rPr>
          <w:szCs w:val="26"/>
        </w:rPr>
      </w:pPr>
      <w:r>
        <w:rPr>
          <w:szCs w:val="26"/>
        </w:rPr>
        <w:t>No obs</w:t>
      </w:r>
      <w:r w:rsidR="005E6487">
        <w:rPr>
          <w:szCs w:val="26"/>
        </w:rPr>
        <w:t>tante</w:t>
      </w:r>
      <w:r w:rsidR="00334401">
        <w:rPr>
          <w:szCs w:val="26"/>
        </w:rPr>
        <w:t xml:space="preserve"> señalamos</w:t>
      </w:r>
      <w:r w:rsidR="005E6487">
        <w:rPr>
          <w:szCs w:val="26"/>
        </w:rPr>
        <w:t xml:space="preserve"> que, de la revisión efectuada por esta Cámara, hemos detectados pagos comerciales  que superan ampliamente</w:t>
      </w:r>
      <w:r w:rsidR="00334401">
        <w:rPr>
          <w:szCs w:val="26"/>
        </w:rPr>
        <w:t xml:space="preserve"> </w:t>
      </w:r>
      <w:r w:rsidR="005E6487">
        <w:rPr>
          <w:szCs w:val="26"/>
        </w:rPr>
        <w:t>el plazo legal establ</w:t>
      </w:r>
      <w:r w:rsidR="005E6487">
        <w:rPr>
          <w:szCs w:val="26"/>
        </w:rPr>
        <w:t>e</w:t>
      </w:r>
      <w:r w:rsidR="00DC1949">
        <w:rPr>
          <w:szCs w:val="26"/>
        </w:rPr>
        <w:t xml:space="preserve">cido, </w:t>
      </w:r>
      <w:r w:rsidR="00334401">
        <w:rPr>
          <w:szCs w:val="26"/>
        </w:rPr>
        <w:t>no</w:t>
      </w:r>
      <w:r>
        <w:rPr>
          <w:szCs w:val="26"/>
        </w:rPr>
        <w:t xml:space="preserve"> constan</w:t>
      </w:r>
      <w:r w:rsidR="00DC1949">
        <w:rPr>
          <w:szCs w:val="26"/>
        </w:rPr>
        <w:t>do</w:t>
      </w:r>
      <w:r>
        <w:rPr>
          <w:szCs w:val="26"/>
        </w:rPr>
        <w:t xml:space="preserve"> en sus registros contables gastos</w:t>
      </w:r>
      <w:r w:rsidR="005E6487">
        <w:rPr>
          <w:szCs w:val="26"/>
        </w:rPr>
        <w:t xml:space="preserve"> por</w:t>
      </w:r>
      <w:r>
        <w:rPr>
          <w:szCs w:val="26"/>
        </w:rPr>
        <w:t xml:space="preserve"> intereses de demora</w:t>
      </w:r>
      <w:r w:rsidR="005E6487">
        <w:rPr>
          <w:szCs w:val="26"/>
        </w:rPr>
        <w:t xml:space="preserve"> derivados de estos </w:t>
      </w:r>
      <w:r>
        <w:rPr>
          <w:szCs w:val="26"/>
        </w:rPr>
        <w:t>retrasos.</w:t>
      </w:r>
    </w:p>
    <w:p w:rsidR="00393C8A" w:rsidRDefault="00393C8A" w:rsidP="00C24892">
      <w:pPr>
        <w:pStyle w:val="texto"/>
        <w:tabs>
          <w:tab w:val="clear" w:pos="2835"/>
          <w:tab w:val="clear" w:pos="3969"/>
          <w:tab w:val="clear" w:pos="5103"/>
          <w:tab w:val="clear" w:pos="6237"/>
          <w:tab w:val="clear" w:pos="7371"/>
        </w:tabs>
        <w:rPr>
          <w:szCs w:val="26"/>
        </w:rPr>
      </w:pPr>
      <w:r>
        <w:rPr>
          <w:szCs w:val="26"/>
        </w:rPr>
        <w:t>Recomendamos:</w:t>
      </w:r>
    </w:p>
    <w:p w:rsidR="000742E3" w:rsidRDefault="00393C8A" w:rsidP="00393C8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I</w:t>
      </w:r>
      <w:r w:rsidR="000742E3" w:rsidRPr="000742E3">
        <w:rPr>
          <w:i/>
          <w:szCs w:val="26"/>
        </w:rPr>
        <w:t xml:space="preserve">ncluir dentro de la documentación del presupuesto y la cuenta general </w:t>
      </w:r>
      <w:r w:rsidR="000742E3">
        <w:rPr>
          <w:i/>
          <w:szCs w:val="26"/>
        </w:rPr>
        <w:t>de</w:t>
      </w:r>
      <w:r w:rsidR="00272882">
        <w:rPr>
          <w:i/>
          <w:szCs w:val="26"/>
        </w:rPr>
        <w:t xml:space="preserve"> la</w:t>
      </w:r>
      <w:r w:rsidR="000742E3">
        <w:rPr>
          <w:i/>
          <w:szCs w:val="26"/>
        </w:rPr>
        <w:t xml:space="preserve"> </w:t>
      </w:r>
      <w:r w:rsidR="00272882">
        <w:rPr>
          <w:i/>
          <w:szCs w:val="26"/>
        </w:rPr>
        <w:t>mancomunidad</w:t>
      </w:r>
      <w:r w:rsidR="000742E3">
        <w:rPr>
          <w:i/>
          <w:szCs w:val="26"/>
        </w:rPr>
        <w:t xml:space="preserve"> </w:t>
      </w:r>
      <w:r w:rsidR="000742E3" w:rsidRPr="000742E3">
        <w:rPr>
          <w:i/>
          <w:szCs w:val="26"/>
        </w:rPr>
        <w:t>información detallada sobre el cumplimiento de los objetivos de estabilidad presupuestaria y sostenibilidad financiera.</w:t>
      </w:r>
    </w:p>
    <w:p w:rsidR="00393C8A" w:rsidRDefault="00393C8A" w:rsidP="00393C8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Implantar el registro electrónico de facturas.</w:t>
      </w:r>
    </w:p>
    <w:p w:rsidR="005872BF" w:rsidRPr="005872BF" w:rsidRDefault="005872BF" w:rsidP="005872B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1B11C2">
        <w:rPr>
          <w:i/>
        </w:rPr>
        <w:t>Elaborar un plan de tesorería de manera que permita efectuar el pago a proveedores dentro del plazo señalado en la normativa, en general, 30 días.</w:t>
      </w:r>
    </w:p>
    <w:p w:rsidR="004A2FC5" w:rsidRDefault="00D11DE7" w:rsidP="00D11DE7">
      <w:pPr>
        <w:pStyle w:val="atitulo2"/>
        <w:spacing w:before="240"/>
      </w:pPr>
      <w:bookmarkStart w:id="31" w:name="_Toc475093095"/>
      <w:r>
        <w:t xml:space="preserve">IV.3. </w:t>
      </w:r>
      <w:r w:rsidR="004A2FC5">
        <w:t>Aspectos generales</w:t>
      </w:r>
      <w:bookmarkEnd w:id="31"/>
    </w:p>
    <w:p w:rsidR="007C65EE" w:rsidRDefault="00C009E2" w:rsidP="00BF398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L</w:t>
      </w:r>
      <w:r w:rsidR="007C65EE">
        <w:t>a mancomunidad</w:t>
      </w:r>
      <w:r>
        <w:t xml:space="preserve"> no se ha dotado ni de interventor ni de depositario, fig</w:t>
      </w:r>
      <w:r>
        <w:t>u</w:t>
      </w:r>
      <w:r>
        <w:t>ras contempladas en sus estatutos</w:t>
      </w:r>
      <w:r w:rsidR="00604C9B">
        <w:t>,</w:t>
      </w:r>
      <w:r>
        <w:t xml:space="preserve"> y la dedicación de la</w:t>
      </w:r>
      <w:r w:rsidR="007C65EE">
        <w:t xml:space="preserve"> secretaria</w:t>
      </w:r>
      <w:r w:rsidR="00464403">
        <w:t>-</w:t>
      </w:r>
      <w:r w:rsidR="00E551FF">
        <w:t>interventora</w:t>
      </w:r>
      <w:r>
        <w:t xml:space="preserve"> es </w:t>
      </w:r>
      <w:r w:rsidR="007C65EE">
        <w:t xml:space="preserve">a tiempo parcial. Esta insuficiencia de recursos se traduce en un </w:t>
      </w:r>
      <w:r w:rsidR="00E212EA">
        <w:t>deficiente</w:t>
      </w:r>
      <w:r w:rsidR="007C65EE">
        <w:t xml:space="preserve"> control interno –económico y de legalidad</w:t>
      </w:r>
      <w:r w:rsidR="001E6679">
        <w:t>–</w:t>
      </w:r>
      <w:r w:rsidR="007C65EE">
        <w:t xml:space="preserve"> sobre las actividades desarrolladas por la </w:t>
      </w:r>
      <w:r>
        <w:t>misma</w:t>
      </w:r>
      <w:r w:rsidR="007C65EE">
        <w:t>.</w:t>
      </w:r>
    </w:p>
    <w:p w:rsidR="004C62F0" w:rsidRDefault="004C62F0" w:rsidP="004C62F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No están definidas y concretadas las funciones </w:t>
      </w:r>
      <w:r w:rsidR="00AE7A2C">
        <w:t>d</w:t>
      </w:r>
      <w:r>
        <w:t>el director de la residencia</w:t>
      </w:r>
      <w:r w:rsidR="00272882">
        <w:t xml:space="preserve"> y su encaje en la estructura de la mancomunidad</w:t>
      </w:r>
      <w:r>
        <w:t>.</w:t>
      </w:r>
    </w:p>
    <w:p w:rsidR="004C62F0" w:rsidRPr="00C115DD" w:rsidRDefault="004C62F0" w:rsidP="004C62F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rPr>
      </w:pPr>
      <w:r w:rsidRPr="00C115DD">
        <w:rPr>
          <w:spacing w:val="4"/>
        </w:rPr>
        <w:t>El presupuesto</w:t>
      </w:r>
      <w:r w:rsidR="00272882" w:rsidRPr="00C115DD">
        <w:rPr>
          <w:spacing w:val="4"/>
        </w:rPr>
        <w:t xml:space="preserve"> del ejercicio</w:t>
      </w:r>
      <w:r w:rsidRPr="00C115DD">
        <w:rPr>
          <w:spacing w:val="4"/>
        </w:rPr>
        <w:t xml:space="preserve"> no se acompaña de unas bases de ejecución </w:t>
      </w:r>
      <w:r w:rsidR="009B728B" w:rsidRPr="00C115DD">
        <w:rPr>
          <w:spacing w:val="4"/>
        </w:rPr>
        <w:t>al objeto de adaptar la</w:t>
      </w:r>
      <w:r w:rsidRPr="00C115DD">
        <w:rPr>
          <w:spacing w:val="4"/>
        </w:rPr>
        <w:t xml:space="preserve"> gestión presupuestaria-contable</w:t>
      </w:r>
      <w:r w:rsidR="009B728B" w:rsidRPr="00C115DD">
        <w:rPr>
          <w:spacing w:val="4"/>
        </w:rPr>
        <w:t xml:space="preserve"> a las </w:t>
      </w:r>
      <w:r w:rsidR="00272882" w:rsidRPr="00C115DD">
        <w:rPr>
          <w:spacing w:val="4"/>
        </w:rPr>
        <w:t>exigencias</w:t>
      </w:r>
      <w:r w:rsidR="009B728B" w:rsidRPr="00C115DD">
        <w:rPr>
          <w:spacing w:val="4"/>
        </w:rPr>
        <w:t xml:space="preserve"> del servicio</w:t>
      </w:r>
      <w:r w:rsidRPr="00C115DD">
        <w:rPr>
          <w:spacing w:val="4"/>
        </w:rPr>
        <w:t>.</w:t>
      </w:r>
    </w:p>
    <w:p w:rsidR="00275977" w:rsidRDefault="00DF5914" w:rsidP="00BF398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El balance de situación a 31 de diciembre de 2015 aprobado por la manc</w:t>
      </w:r>
      <w:r>
        <w:t>o</w:t>
      </w:r>
      <w:r>
        <w:t>munidad presenta duplicado el saldo de la línea de crédito de 100.000 euros que se registra tanto en deuda a largo plazo como en acreedores extrapres</w:t>
      </w:r>
      <w:r>
        <w:t>u</w:t>
      </w:r>
      <w:r>
        <w:t>puestarios a corto plazo y que ha supuesto un incremento negativo de sus fo</w:t>
      </w:r>
      <w:r>
        <w:t>n</w:t>
      </w:r>
      <w:r>
        <w:t>dos propios. El balance que acompaña a este informe se ha ajustado por ese importe.</w:t>
      </w:r>
    </w:p>
    <w:p w:rsidR="003975BA" w:rsidRDefault="003975BA" w:rsidP="003975BA">
      <w:pPr>
        <w:pStyle w:val="texto"/>
      </w:pPr>
      <w:r>
        <w:t>Recomendaciones</w:t>
      </w:r>
      <w:r w:rsidR="00C115DD">
        <w:t>:</w:t>
      </w:r>
    </w:p>
    <w:p w:rsidR="003975BA" w:rsidRDefault="003975BA" w:rsidP="003975B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Dotar a la mancomunidad de un sistema de control interno que garantice la adecuación de la actividad desarrollada a la normativa vigente.</w:t>
      </w:r>
    </w:p>
    <w:p w:rsidR="003975BA" w:rsidRPr="003975BA" w:rsidRDefault="003975BA" w:rsidP="003975B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sidRPr="003975BA">
        <w:rPr>
          <w:i/>
          <w:szCs w:val="26"/>
        </w:rPr>
        <w:t>Acompañar el presupuesto de cada ejercicio con unas bases de ejecución que contemplen las peculiaridades y exigencias de la prestación del servicio de residencia.</w:t>
      </w:r>
    </w:p>
    <w:p w:rsidR="003975BA" w:rsidRPr="003975BA" w:rsidRDefault="003975BA" w:rsidP="003975B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sidRPr="003975BA">
        <w:rPr>
          <w:i/>
          <w:szCs w:val="26"/>
        </w:rPr>
        <w:t>Definir y regular las funciones y competencias asignadas al puesto de d</w:t>
      </w:r>
      <w:r w:rsidRPr="003975BA">
        <w:rPr>
          <w:i/>
          <w:szCs w:val="26"/>
        </w:rPr>
        <w:t>i</w:t>
      </w:r>
      <w:r w:rsidRPr="003975BA">
        <w:rPr>
          <w:i/>
          <w:szCs w:val="26"/>
        </w:rPr>
        <w:t>rector de la residencia.</w:t>
      </w:r>
    </w:p>
    <w:p w:rsidR="004A2FC5" w:rsidRDefault="004A2FC5" w:rsidP="00D11DE7">
      <w:pPr>
        <w:pStyle w:val="atitulo2"/>
        <w:spacing w:before="240"/>
      </w:pPr>
      <w:bookmarkStart w:id="32" w:name="_Toc475093096"/>
      <w:r>
        <w:t>IV.4. Personal</w:t>
      </w:r>
      <w:bookmarkEnd w:id="32"/>
    </w:p>
    <w:p w:rsidR="006C02F4" w:rsidRDefault="00084AFA" w:rsidP="00084AFA">
      <w:pPr>
        <w:pStyle w:val="texto"/>
      </w:pPr>
      <w:r>
        <w:t>El gasto del capítulo 1 de personal ha supuesto, en 2015, un total de 1,83 m</w:t>
      </w:r>
      <w:r>
        <w:t>i</w:t>
      </w:r>
      <w:r>
        <w:t xml:space="preserve">llones, que representa el 63 por ciento del gasto del ejercicio. </w:t>
      </w:r>
    </w:p>
    <w:p w:rsidR="00084AFA" w:rsidRDefault="00084AFA" w:rsidP="004F5335">
      <w:pPr>
        <w:pStyle w:val="texto"/>
        <w:spacing w:after="240"/>
      </w:pPr>
      <w:r>
        <w:t>Su grado de ejecución, tal como puede observarse en el cuadro siguiente, ha sido del 10</w:t>
      </w:r>
      <w:r w:rsidR="00272882">
        <w:t>8</w:t>
      </w:r>
      <w:r>
        <w:t xml:space="preserve"> por ciento, superando por tanto el límite de crédito para gastos sin que se hayan efectuado las oportunas modificaciones presupuestarias:</w:t>
      </w:r>
    </w:p>
    <w:tbl>
      <w:tblPr>
        <w:tblW w:w="8886" w:type="dxa"/>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587"/>
        <w:gridCol w:w="1152"/>
        <w:gridCol w:w="851"/>
        <w:gridCol w:w="1085"/>
        <w:gridCol w:w="1212"/>
        <w:gridCol w:w="996"/>
        <w:gridCol w:w="1003"/>
      </w:tblGrid>
      <w:tr w:rsidR="006C02F4" w:rsidRPr="004870A2" w:rsidTr="004870A2">
        <w:trPr>
          <w:trHeight w:val="284"/>
          <w:jc w:val="center"/>
        </w:trPr>
        <w:tc>
          <w:tcPr>
            <w:tcW w:w="2587" w:type="dxa"/>
            <w:shd w:val="clear" w:color="000000" w:fill="FABF8F" w:themeFill="accent6" w:themeFillTint="99"/>
            <w:vAlign w:val="center"/>
            <w:hideMark/>
          </w:tcPr>
          <w:p w:rsidR="006C02F4" w:rsidRPr="004870A2" w:rsidRDefault="006C02F4" w:rsidP="006C02F4">
            <w:pPr>
              <w:pStyle w:val="cuadroCabe"/>
              <w:rPr>
                <w:lang w:val="es-ES" w:eastAsia="es-ES"/>
              </w:rPr>
            </w:pPr>
            <w:r w:rsidRPr="004870A2">
              <w:rPr>
                <w:lang w:val="es-ES" w:eastAsia="es-ES"/>
              </w:rPr>
              <w:t>Artículo</w:t>
            </w:r>
          </w:p>
        </w:tc>
        <w:tc>
          <w:tcPr>
            <w:tcW w:w="1152" w:type="dxa"/>
            <w:shd w:val="clear" w:color="000000" w:fill="FABF8F" w:themeFill="accent6" w:themeFillTint="99"/>
            <w:vAlign w:val="center"/>
            <w:hideMark/>
          </w:tcPr>
          <w:p w:rsidR="006C02F4" w:rsidRPr="004870A2" w:rsidRDefault="006C02F4" w:rsidP="004870A2">
            <w:pPr>
              <w:pStyle w:val="cuadroCabe"/>
              <w:jc w:val="right"/>
              <w:rPr>
                <w:lang w:val="es-ES" w:eastAsia="es-ES"/>
              </w:rPr>
            </w:pPr>
            <w:r w:rsidRPr="004870A2">
              <w:rPr>
                <w:lang w:val="es-ES" w:eastAsia="es-ES"/>
              </w:rPr>
              <w:t>Crédito</w:t>
            </w:r>
          </w:p>
          <w:p w:rsidR="006C02F4" w:rsidRPr="004870A2" w:rsidRDefault="006C02F4" w:rsidP="004870A2">
            <w:pPr>
              <w:pStyle w:val="cuadroCabe"/>
              <w:jc w:val="right"/>
              <w:rPr>
                <w:lang w:val="es-ES" w:eastAsia="es-ES"/>
              </w:rPr>
            </w:pPr>
            <w:r w:rsidRPr="004870A2">
              <w:rPr>
                <w:lang w:val="es-ES" w:eastAsia="es-ES"/>
              </w:rPr>
              <w:t>inicial</w:t>
            </w:r>
          </w:p>
        </w:tc>
        <w:tc>
          <w:tcPr>
            <w:tcW w:w="851" w:type="dxa"/>
            <w:shd w:val="clear" w:color="000000" w:fill="FABF8F" w:themeFill="accent6" w:themeFillTint="99"/>
            <w:vAlign w:val="center"/>
            <w:hideMark/>
          </w:tcPr>
          <w:p w:rsidR="006C02F4" w:rsidRPr="004870A2" w:rsidRDefault="004870A2" w:rsidP="004870A2">
            <w:pPr>
              <w:pStyle w:val="cuadroCabe"/>
              <w:jc w:val="right"/>
              <w:rPr>
                <w:lang w:val="es-ES" w:eastAsia="es-ES"/>
              </w:rPr>
            </w:pPr>
            <w:r>
              <w:rPr>
                <w:lang w:val="es-ES" w:eastAsia="es-ES"/>
              </w:rPr>
              <w:t>Modific.</w:t>
            </w:r>
          </w:p>
        </w:tc>
        <w:tc>
          <w:tcPr>
            <w:tcW w:w="1085" w:type="dxa"/>
            <w:shd w:val="clear" w:color="000000" w:fill="FABF8F" w:themeFill="accent6" w:themeFillTint="99"/>
            <w:vAlign w:val="center"/>
            <w:hideMark/>
          </w:tcPr>
          <w:p w:rsidR="006C02F4" w:rsidRPr="004870A2" w:rsidRDefault="006C02F4" w:rsidP="004870A2">
            <w:pPr>
              <w:pStyle w:val="cuadroCabe"/>
              <w:jc w:val="right"/>
              <w:rPr>
                <w:lang w:val="es-ES" w:eastAsia="es-ES"/>
              </w:rPr>
            </w:pPr>
            <w:r w:rsidRPr="004870A2">
              <w:rPr>
                <w:lang w:val="es-ES" w:eastAsia="es-ES"/>
              </w:rPr>
              <w:t>Crédito</w:t>
            </w:r>
          </w:p>
          <w:p w:rsidR="006C02F4" w:rsidRPr="004870A2" w:rsidRDefault="006C02F4" w:rsidP="004870A2">
            <w:pPr>
              <w:pStyle w:val="cuadroCabe"/>
              <w:jc w:val="right"/>
              <w:rPr>
                <w:lang w:val="es-ES" w:eastAsia="es-ES"/>
              </w:rPr>
            </w:pPr>
            <w:r w:rsidRPr="004870A2">
              <w:rPr>
                <w:lang w:val="es-ES" w:eastAsia="es-ES"/>
              </w:rPr>
              <w:t>definitivo</w:t>
            </w:r>
          </w:p>
        </w:tc>
        <w:tc>
          <w:tcPr>
            <w:tcW w:w="1212" w:type="dxa"/>
            <w:shd w:val="clear" w:color="000000" w:fill="FABF8F" w:themeFill="accent6" w:themeFillTint="99"/>
            <w:vAlign w:val="center"/>
            <w:hideMark/>
          </w:tcPr>
          <w:p w:rsidR="006C02F4" w:rsidRPr="004870A2" w:rsidRDefault="006C02F4" w:rsidP="004870A2">
            <w:pPr>
              <w:pStyle w:val="cuadroCabe"/>
              <w:jc w:val="right"/>
              <w:rPr>
                <w:lang w:val="es-ES" w:eastAsia="es-ES"/>
              </w:rPr>
            </w:pPr>
            <w:r w:rsidRPr="004870A2">
              <w:rPr>
                <w:lang w:val="es-ES" w:eastAsia="es-ES"/>
              </w:rPr>
              <w:t>Oblig</w:t>
            </w:r>
            <w:r w:rsidR="004870A2">
              <w:rPr>
                <w:lang w:val="es-ES" w:eastAsia="es-ES"/>
              </w:rPr>
              <w:t>ac.</w:t>
            </w:r>
          </w:p>
          <w:p w:rsidR="006C02F4" w:rsidRPr="004870A2" w:rsidRDefault="006C02F4" w:rsidP="004870A2">
            <w:pPr>
              <w:pStyle w:val="cuadroCabe"/>
              <w:jc w:val="right"/>
              <w:rPr>
                <w:lang w:val="es-ES" w:eastAsia="es-ES"/>
              </w:rPr>
            </w:pPr>
            <w:r w:rsidRPr="004870A2">
              <w:rPr>
                <w:lang w:val="es-ES" w:eastAsia="es-ES"/>
              </w:rPr>
              <w:t>reconocidas</w:t>
            </w:r>
          </w:p>
        </w:tc>
        <w:tc>
          <w:tcPr>
            <w:tcW w:w="996" w:type="dxa"/>
            <w:shd w:val="clear" w:color="000000" w:fill="FABF8F" w:themeFill="accent6" w:themeFillTint="99"/>
            <w:vAlign w:val="center"/>
            <w:hideMark/>
          </w:tcPr>
          <w:p w:rsidR="006C02F4" w:rsidRPr="004870A2" w:rsidRDefault="006C02F4" w:rsidP="004870A2">
            <w:pPr>
              <w:pStyle w:val="cuadroCabe"/>
              <w:jc w:val="right"/>
              <w:rPr>
                <w:lang w:val="es-ES" w:eastAsia="es-ES"/>
              </w:rPr>
            </w:pPr>
            <w:r w:rsidRPr="004870A2">
              <w:rPr>
                <w:lang w:val="es-ES" w:eastAsia="es-ES"/>
              </w:rPr>
              <w:t>%</w:t>
            </w:r>
          </w:p>
          <w:p w:rsidR="006C02F4" w:rsidRPr="004870A2" w:rsidRDefault="006C02F4" w:rsidP="004870A2">
            <w:pPr>
              <w:pStyle w:val="cuadroCabe"/>
              <w:jc w:val="right"/>
              <w:rPr>
                <w:lang w:val="es-ES" w:eastAsia="es-ES"/>
              </w:rPr>
            </w:pPr>
            <w:r w:rsidRPr="004870A2">
              <w:rPr>
                <w:lang w:val="es-ES" w:eastAsia="es-ES"/>
              </w:rPr>
              <w:t>ejecución</w:t>
            </w:r>
          </w:p>
        </w:tc>
        <w:tc>
          <w:tcPr>
            <w:tcW w:w="1003" w:type="dxa"/>
            <w:shd w:val="clear" w:color="000000" w:fill="FABF8F" w:themeFill="accent6" w:themeFillTint="99"/>
            <w:vAlign w:val="center"/>
            <w:hideMark/>
          </w:tcPr>
          <w:p w:rsidR="006C02F4" w:rsidRPr="004870A2" w:rsidRDefault="006C02F4" w:rsidP="004870A2">
            <w:pPr>
              <w:pStyle w:val="cuadroCabe"/>
              <w:jc w:val="right"/>
              <w:rPr>
                <w:lang w:val="es-ES" w:eastAsia="es-ES"/>
              </w:rPr>
            </w:pPr>
            <w:r w:rsidRPr="004870A2">
              <w:rPr>
                <w:lang w:val="es-ES" w:eastAsia="es-ES"/>
              </w:rPr>
              <w:t>Pagos</w:t>
            </w:r>
          </w:p>
        </w:tc>
      </w:tr>
      <w:tr w:rsidR="006C02F4" w:rsidRPr="006C02F4" w:rsidTr="004870A2">
        <w:trPr>
          <w:trHeight w:val="284"/>
          <w:jc w:val="center"/>
        </w:trPr>
        <w:tc>
          <w:tcPr>
            <w:tcW w:w="2587" w:type="dxa"/>
            <w:shd w:val="clear" w:color="auto" w:fill="auto"/>
            <w:noWrap/>
            <w:vAlign w:val="center"/>
            <w:hideMark/>
          </w:tcPr>
          <w:p w:rsidR="006C02F4" w:rsidRPr="006C02F4" w:rsidRDefault="009A06D1" w:rsidP="009A06D1">
            <w:pPr>
              <w:pStyle w:val="cuatexto"/>
            </w:pPr>
            <w:r>
              <w:t xml:space="preserve">Retribuciones </w:t>
            </w:r>
            <w:r w:rsidR="006C02F4" w:rsidRPr="006C02F4">
              <w:t>personal laboral</w:t>
            </w:r>
          </w:p>
        </w:tc>
        <w:tc>
          <w:tcPr>
            <w:tcW w:w="1152" w:type="dxa"/>
            <w:shd w:val="clear" w:color="auto" w:fill="auto"/>
            <w:vAlign w:val="center"/>
            <w:hideMark/>
          </w:tcPr>
          <w:p w:rsidR="006C02F4" w:rsidRPr="006C02F4" w:rsidRDefault="006C02F4" w:rsidP="004870A2">
            <w:pPr>
              <w:pStyle w:val="cuatexto"/>
              <w:jc w:val="right"/>
            </w:pPr>
            <w:r w:rsidRPr="006C02F4">
              <w:t>1.312.000</w:t>
            </w:r>
          </w:p>
        </w:tc>
        <w:tc>
          <w:tcPr>
            <w:tcW w:w="851" w:type="dxa"/>
            <w:shd w:val="clear" w:color="auto" w:fill="auto"/>
            <w:vAlign w:val="center"/>
            <w:hideMark/>
          </w:tcPr>
          <w:p w:rsidR="006C02F4" w:rsidRPr="006C02F4" w:rsidRDefault="006C02F4" w:rsidP="004870A2">
            <w:pPr>
              <w:pStyle w:val="cuatexto"/>
              <w:jc w:val="right"/>
            </w:pPr>
            <w:r w:rsidRPr="006C02F4">
              <w:t>0</w:t>
            </w:r>
          </w:p>
        </w:tc>
        <w:tc>
          <w:tcPr>
            <w:tcW w:w="1085" w:type="dxa"/>
            <w:shd w:val="clear" w:color="auto" w:fill="auto"/>
            <w:vAlign w:val="center"/>
            <w:hideMark/>
          </w:tcPr>
          <w:p w:rsidR="006C02F4" w:rsidRPr="006C02F4" w:rsidRDefault="006C02F4" w:rsidP="004870A2">
            <w:pPr>
              <w:pStyle w:val="cuatexto"/>
              <w:jc w:val="right"/>
            </w:pPr>
            <w:r w:rsidRPr="006C02F4">
              <w:t>1.312.000</w:t>
            </w:r>
          </w:p>
        </w:tc>
        <w:tc>
          <w:tcPr>
            <w:tcW w:w="1212" w:type="dxa"/>
            <w:shd w:val="clear" w:color="auto" w:fill="auto"/>
            <w:vAlign w:val="center"/>
            <w:hideMark/>
          </w:tcPr>
          <w:p w:rsidR="006C02F4" w:rsidRPr="006C02F4" w:rsidRDefault="006C02F4" w:rsidP="004870A2">
            <w:pPr>
              <w:pStyle w:val="cuatexto"/>
              <w:jc w:val="right"/>
            </w:pPr>
            <w:r w:rsidRPr="006C02F4">
              <w:t>1.380.467</w:t>
            </w:r>
          </w:p>
        </w:tc>
        <w:tc>
          <w:tcPr>
            <w:tcW w:w="996" w:type="dxa"/>
            <w:shd w:val="clear" w:color="000000" w:fill="auto"/>
            <w:vAlign w:val="center"/>
            <w:hideMark/>
          </w:tcPr>
          <w:p w:rsidR="006C02F4" w:rsidRPr="006C02F4" w:rsidRDefault="006C02F4" w:rsidP="004870A2">
            <w:pPr>
              <w:pStyle w:val="cuatexto"/>
              <w:jc w:val="right"/>
            </w:pPr>
            <w:r w:rsidRPr="006C02F4">
              <w:t>105</w:t>
            </w:r>
          </w:p>
        </w:tc>
        <w:tc>
          <w:tcPr>
            <w:tcW w:w="1003" w:type="dxa"/>
            <w:shd w:val="clear" w:color="auto" w:fill="auto"/>
            <w:vAlign w:val="center"/>
            <w:hideMark/>
          </w:tcPr>
          <w:p w:rsidR="006C02F4" w:rsidRPr="006C02F4" w:rsidRDefault="006C02F4" w:rsidP="004870A2">
            <w:pPr>
              <w:pStyle w:val="cuatexto"/>
              <w:jc w:val="right"/>
            </w:pPr>
            <w:r w:rsidRPr="006C02F4">
              <w:t>1.380.313</w:t>
            </w:r>
          </w:p>
        </w:tc>
      </w:tr>
      <w:tr w:rsidR="006C02F4" w:rsidRPr="006C02F4" w:rsidTr="004F5335">
        <w:trPr>
          <w:trHeight w:val="284"/>
          <w:jc w:val="center"/>
        </w:trPr>
        <w:tc>
          <w:tcPr>
            <w:tcW w:w="2587" w:type="dxa"/>
            <w:tcBorders>
              <w:bottom w:val="single" w:sz="4" w:space="0" w:color="auto"/>
            </w:tcBorders>
            <w:shd w:val="clear" w:color="auto" w:fill="auto"/>
            <w:noWrap/>
            <w:vAlign w:val="center"/>
            <w:hideMark/>
          </w:tcPr>
          <w:p w:rsidR="006C02F4" w:rsidRPr="006C02F4" w:rsidRDefault="006C02F4" w:rsidP="009A06D1">
            <w:pPr>
              <w:pStyle w:val="cuatexto"/>
            </w:pPr>
            <w:r w:rsidRPr="006C02F4">
              <w:t>Seguridad Social</w:t>
            </w:r>
          </w:p>
        </w:tc>
        <w:tc>
          <w:tcPr>
            <w:tcW w:w="1152" w:type="dxa"/>
            <w:tcBorders>
              <w:bottom w:val="single" w:sz="4" w:space="0" w:color="auto"/>
            </w:tcBorders>
            <w:shd w:val="clear" w:color="auto" w:fill="auto"/>
            <w:vAlign w:val="center"/>
            <w:hideMark/>
          </w:tcPr>
          <w:p w:rsidR="006C02F4" w:rsidRPr="006C02F4" w:rsidRDefault="006C02F4" w:rsidP="004870A2">
            <w:pPr>
              <w:pStyle w:val="cuatexto"/>
              <w:jc w:val="right"/>
            </w:pPr>
            <w:r w:rsidRPr="006C02F4">
              <w:t>373.000</w:t>
            </w:r>
          </w:p>
        </w:tc>
        <w:tc>
          <w:tcPr>
            <w:tcW w:w="851" w:type="dxa"/>
            <w:tcBorders>
              <w:bottom w:val="single" w:sz="4" w:space="0" w:color="auto"/>
            </w:tcBorders>
            <w:shd w:val="clear" w:color="auto" w:fill="auto"/>
            <w:vAlign w:val="center"/>
            <w:hideMark/>
          </w:tcPr>
          <w:p w:rsidR="006C02F4" w:rsidRPr="006C02F4" w:rsidRDefault="006C02F4" w:rsidP="004870A2">
            <w:pPr>
              <w:pStyle w:val="cuatexto"/>
              <w:jc w:val="right"/>
            </w:pPr>
            <w:r w:rsidRPr="006C02F4">
              <w:t>0</w:t>
            </w:r>
          </w:p>
        </w:tc>
        <w:tc>
          <w:tcPr>
            <w:tcW w:w="1085" w:type="dxa"/>
            <w:tcBorders>
              <w:bottom w:val="single" w:sz="4" w:space="0" w:color="auto"/>
            </w:tcBorders>
            <w:shd w:val="clear" w:color="auto" w:fill="auto"/>
            <w:vAlign w:val="center"/>
            <w:hideMark/>
          </w:tcPr>
          <w:p w:rsidR="006C02F4" w:rsidRPr="006C02F4" w:rsidRDefault="006C02F4" w:rsidP="004870A2">
            <w:pPr>
              <w:pStyle w:val="cuatexto"/>
              <w:jc w:val="right"/>
            </w:pPr>
            <w:r w:rsidRPr="006C02F4">
              <w:t>373.000</w:t>
            </w:r>
          </w:p>
        </w:tc>
        <w:tc>
          <w:tcPr>
            <w:tcW w:w="1212" w:type="dxa"/>
            <w:tcBorders>
              <w:bottom w:val="single" w:sz="4" w:space="0" w:color="auto"/>
            </w:tcBorders>
            <w:shd w:val="clear" w:color="auto" w:fill="auto"/>
            <w:vAlign w:val="center"/>
            <w:hideMark/>
          </w:tcPr>
          <w:p w:rsidR="006C02F4" w:rsidRPr="006C02F4" w:rsidRDefault="006C02F4" w:rsidP="004870A2">
            <w:pPr>
              <w:pStyle w:val="cuatexto"/>
              <w:jc w:val="right"/>
            </w:pPr>
            <w:r w:rsidRPr="006C02F4">
              <w:t>447.891</w:t>
            </w:r>
          </w:p>
        </w:tc>
        <w:tc>
          <w:tcPr>
            <w:tcW w:w="996" w:type="dxa"/>
            <w:tcBorders>
              <w:bottom w:val="single" w:sz="4" w:space="0" w:color="auto"/>
            </w:tcBorders>
            <w:shd w:val="clear" w:color="000000" w:fill="auto"/>
            <w:vAlign w:val="center"/>
            <w:hideMark/>
          </w:tcPr>
          <w:p w:rsidR="006C02F4" w:rsidRPr="006C02F4" w:rsidRDefault="006C02F4" w:rsidP="004870A2">
            <w:pPr>
              <w:pStyle w:val="cuatexto"/>
              <w:jc w:val="right"/>
            </w:pPr>
            <w:r w:rsidRPr="006C02F4">
              <w:t>120</w:t>
            </w:r>
          </w:p>
        </w:tc>
        <w:tc>
          <w:tcPr>
            <w:tcW w:w="1003" w:type="dxa"/>
            <w:tcBorders>
              <w:bottom w:val="single" w:sz="4" w:space="0" w:color="auto"/>
            </w:tcBorders>
            <w:shd w:val="clear" w:color="auto" w:fill="auto"/>
            <w:vAlign w:val="center"/>
            <w:hideMark/>
          </w:tcPr>
          <w:p w:rsidR="006C02F4" w:rsidRPr="006C02F4" w:rsidRDefault="006C02F4" w:rsidP="004870A2">
            <w:pPr>
              <w:pStyle w:val="cuatexto"/>
              <w:jc w:val="right"/>
            </w:pPr>
            <w:r w:rsidRPr="006C02F4">
              <w:t>411.704</w:t>
            </w:r>
          </w:p>
        </w:tc>
      </w:tr>
      <w:tr w:rsidR="006C02F4" w:rsidRPr="006C02F4" w:rsidTr="004F5335">
        <w:trPr>
          <w:trHeight w:val="284"/>
          <w:jc w:val="center"/>
        </w:trPr>
        <w:tc>
          <w:tcPr>
            <w:tcW w:w="2587" w:type="dxa"/>
            <w:tcBorders>
              <w:top w:val="single" w:sz="4" w:space="0" w:color="auto"/>
              <w:bottom w:val="single" w:sz="4" w:space="0" w:color="auto"/>
            </w:tcBorders>
            <w:shd w:val="clear" w:color="auto" w:fill="FABF8F" w:themeFill="accent6" w:themeFillTint="99"/>
            <w:noWrap/>
            <w:vAlign w:val="center"/>
            <w:hideMark/>
          </w:tcPr>
          <w:p w:rsidR="006C02F4" w:rsidRPr="006C02F4" w:rsidRDefault="006C02F4" w:rsidP="004870A2">
            <w:pPr>
              <w:pStyle w:val="cuadroCabe"/>
              <w:rPr>
                <w:b/>
                <w:lang w:val="es-ES" w:eastAsia="es-ES"/>
              </w:rPr>
            </w:pPr>
            <w:r w:rsidRPr="006C02F4">
              <w:rPr>
                <w:lang w:val="es-ES" w:eastAsia="es-ES"/>
              </w:rPr>
              <w:t>Total gastos personal</w:t>
            </w:r>
          </w:p>
        </w:tc>
        <w:tc>
          <w:tcPr>
            <w:tcW w:w="1152" w:type="dxa"/>
            <w:tcBorders>
              <w:top w:val="single" w:sz="4" w:space="0" w:color="auto"/>
              <w:bottom w:val="single" w:sz="4" w:space="0" w:color="auto"/>
            </w:tcBorders>
            <w:shd w:val="clear" w:color="auto" w:fill="FABF8F" w:themeFill="accent6" w:themeFillTint="99"/>
            <w:noWrap/>
            <w:vAlign w:val="center"/>
            <w:hideMark/>
          </w:tcPr>
          <w:p w:rsidR="006C02F4" w:rsidRPr="006C02F4" w:rsidRDefault="006C02F4" w:rsidP="004870A2">
            <w:pPr>
              <w:pStyle w:val="cuadroCabe"/>
              <w:jc w:val="right"/>
              <w:rPr>
                <w:lang w:val="es-ES" w:eastAsia="es-ES"/>
              </w:rPr>
            </w:pPr>
            <w:r w:rsidRPr="006C02F4">
              <w:rPr>
                <w:lang w:val="es-ES" w:eastAsia="es-ES"/>
              </w:rPr>
              <w:t>1.685.000</w:t>
            </w:r>
          </w:p>
        </w:tc>
        <w:tc>
          <w:tcPr>
            <w:tcW w:w="851" w:type="dxa"/>
            <w:tcBorders>
              <w:top w:val="single" w:sz="4" w:space="0" w:color="auto"/>
              <w:bottom w:val="single" w:sz="4" w:space="0" w:color="auto"/>
            </w:tcBorders>
            <w:shd w:val="clear" w:color="auto" w:fill="FABF8F" w:themeFill="accent6" w:themeFillTint="99"/>
            <w:noWrap/>
            <w:vAlign w:val="center"/>
            <w:hideMark/>
          </w:tcPr>
          <w:p w:rsidR="006C02F4" w:rsidRPr="006C02F4" w:rsidRDefault="006C02F4" w:rsidP="004870A2">
            <w:pPr>
              <w:pStyle w:val="cuadroCabe"/>
              <w:jc w:val="right"/>
              <w:rPr>
                <w:lang w:val="es-ES" w:eastAsia="es-ES"/>
              </w:rPr>
            </w:pPr>
            <w:r w:rsidRPr="006C02F4">
              <w:rPr>
                <w:lang w:val="es-ES" w:eastAsia="es-ES"/>
              </w:rPr>
              <w:t>0</w:t>
            </w:r>
          </w:p>
        </w:tc>
        <w:tc>
          <w:tcPr>
            <w:tcW w:w="1085" w:type="dxa"/>
            <w:tcBorders>
              <w:top w:val="single" w:sz="4" w:space="0" w:color="auto"/>
              <w:bottom w:val="single" w:sz="4" w:space="0" w:color="auto"/>
            </w:tcBorders>
            <w:shd w:val="clear" w:color="auto" w:fill="FABF8F" w:themeFill="accent6" w:themeFillTint="99"/>
            <w:noWrap/>
            <w:vAlign w:val="center"/>
            <w:hideMark/>
          </w:tcPr>
          <w:p w:rsidR="006C02F4" w:rsidRPr="006C02F4" w:rsidRDefault="006C02F4" w:rsidP="004870A2">
            <w:pPr>
              <w:pStyle w:val="cuadroCabe"/>
              <w:jc w:val="right"/>
              <w:rPr>
                <w:lang w:val="es-ES" w:eastAsia="es-ES"/>
              </w:rPr>
            </w:pPr>
            <w:r w:rsidRPr="006C02F4">
              <w:rPr>
                <w:lang w:val="es-ES" w:eastAsia="es-ES"/>
              </w:rPr>
              <w:t>1.685.000</w:t>
            </w:r>
          </w:p>
        </w:tc>
        <w:tc>
          <w:tcPr>
            <w:tcW w:w="1212" w:type="dxa"/>
            <w:tcBorders>
              <w:top w:val="single" w:sz="4" w:space="0" w:color="auto"/>
              <w:bottom w:val="single" w:sz="4" w:space="0" w:color="auto"/>
            </w:tcBorders>
            <w:shd w:val="clear" w:color="auto" w:fill="FABF8F" w:themeFill="accent6" w:themeFillTint="99"/>
            <w:noWrap/>
            <w:vAlign w:val="center"/>
            <w:hideMark/>
          </w:tcPr>
          <w:p w:rsidR="006C02F4" w:rsidRPr="006C02F4" w:rsidRDefault="006C02F4" w:rsidP="004870A2">
            <w:pPr>
              <w:pStyle w:val="cuadroCabe"/>
              <w:jc w:val="right"/>
              <w:rPr>
                <w:lang w:val="es-ES" w:eastAsia="es-ES"/>
              </w:rPr>
            </w:pPr>
            <w:r w:rsidRPr="006C02F4">
              <w:rPr>
                <w:lang w:val="es-ES" w:eastAsia="es-ES"/>
              </w:rPr>
              <w:t>1.828.357</w:t>
            </w:r>
          </w:p>
        </w:tc>
        <w:tc>
          <w:tcPr>
            <w:tcW w:w="996" w:type="dxa"/>
            <w:tcBorders>
              <w:top w:val="single" w:sz="4" w:space="0" w:color="auto"/>
              <w:bottom w:val="single" w:sz="4" w:space="0" w:color="auto"/>
            </w:tcBorders>
            <w:shd w:val="clear" w:color="auto" w:fill="FABF8F" w:themeFill="accent6" w:themeFillTint="99"/>
            <w:vAlign w:val="center"/>
            <w:hideMark/>
          </w:tcPr>
          <w:p w:rsidR="006C02F4" w:rsidRPr="006C02F4" w:rsidRDefault="006C02F4" w:rsidP="004870A2">
            <w:pPr>
              <w:pStyle w:val="cuadroCabe"/>
              <w:jc w:val="right"/>
              <w:rPr>
                <w:lang w:val="es-ES" w:eastAsia="es-ES"/>
              </w:rPr>
            </w:pPr>
            <w:r w:rsidRPr="006C02F4">
              <w:rPr>
                <w:lang w:val="es-ES" w:eastAsia="es-ES"/>
              </w:rPr>
              <w:t>10</w:t>
            </w:r>
            <w:r w:rsidR="00272882">
              <w:rPr>
                <w:lang w:val="es-ES" w:eastAsia="es-ES"/>
              </w:rPr>
              <w:t>8</w:t>
            </w:r>
          </w:p>
        </w:tc>
        <w:tc>
          <w:tcPr>
            <w:tcW w:w="1003" w:type="dxa"/>
            <w:tcBorders>
              <w:top w:val="single" w:sz="4" w:space="0" w:color="auto"/>
              <w:bottom w:val="single" w:sz="4" w:space="0" w:color="auto"/>
            </w:tcBorders>
            <w:shd w:val="clear" w:color="auto" w:fill="FABF8F" w:themeFill="accent6" w:themeFillTint="99"/>
            <w:noWrap/>
            <w:vAlign w:val="center"/>
            <w:hideMark/>
          </w:tcPr>
          <w:p w:rsidR="006C02F4" w:rsidRPr="006C02F4" w:rsidRDefault="006C02F4" w:rsidP="004870A2">
            <w:pPr>
              <w:pStyle w:val="cuadroCabe"/>
              <w:jc w:val="right"/>
              <w:rPr>
                <w:lang w:val="es-ES" w:eastAsia="es-ES"/>
              </w:rPr>
            </w:pPr>
            <w:r w:rsidRPr="006C02F4">
              <w:rPr>
                <w:lang w:val="es-ES" w:eastAsia="es-ES"/>
              </w:rPr>
              <w:t>1.792.017</w:t>
            </w:r>
          </w:p>
        </w:tc>
      </w:tr>
    </w:tbl>
    <w:p w:rsidR="006C02F4" w:rsidRDefault="006C02F4" w:rsidP="004F5335">
      <w:pPr>
        <w:pStyle w:val="texto"/>
        <w:spacing w:after="0"/>
      </w:pPr>
    </w:p>
    <w:p w:rsidR="00666C5C" w:rsidRDefault="006C02F4" w:rsidP="00084AFA">
      <w:pPr>
        <w:pStyle w:val="texto"/>
      </w:pPr>
      <w:r>
        <w:t>Sobre 2014, el gasto de personal se ha incrementado en un ocho por ciento. Este incremento se justifica</w:t>
      </w:r>
      <w:r w:rsidR="009A06D1">
        <w:t xml:space="preserve"> en</w:t>
      </w:r>
      <w:r w:rsidR="00666C5C">
        <w:t>:</w:t>
      </w:r>
    </w:p>
    <w:p w:rsidR="006C02F4" w:rsidRDefault="009A06D1" w:rsidP="00666C5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 </w:t>
      </w:r>
      <w:r w:rsidR="00666C5C">
        <w:t>L</w:t>
      </w:r>
      <w:r>
        <w:t>a devolución</w:t>
      </w:r>
      <w:r w:rsidR="006335A8">
        <w:t xml:space="preserve"> en</w:t>
      </w:r>
      <w:r w:rsidR="00044F8B">
        <w:t xml:space="preserve"> diciembre</w:t>
      </w:r>
      <w:r w:rsidR="006335A8">
        <w:t xml:space="preserve"> </w:t>
      </w:r>
      <w:r w:rsidR="00AE7A2C">
        <w:t xml:space="preserve">de </w:t>
      </w:r>
      <w:r w:rsidR="006335A8">
        <w:t>2015</w:t>
      </w:r>
      <w:r>
        <w:t xml:space="preserve"> del 50 por ciento de la paga extra</w:t>
      </w:r>
      <w:r w:rsidR="00831374">
        <w:t>,</w:t>
      </w:r>
      <w:r>
        <w:t xml:space="preserve"> suprimida en 2012</w:t>
      </w:r>
      <w:r w:rsidR="00831374">
        <w:t>,</w:t>
      </w:r>
      <w:r>
        <w:t xml:space="preserve"> por importe de 33.8</w:t>
      </w:r>
      <w:r w:rsidR="000443E5">
        <w:t>01</w:t>
      </w:r>
      <w:r>
        <w:t xml:space="preserve"> euros</w:t>
      </w:r>
      <w:r w:rsidR="00044F8B">
        <w:t>; e</w:t>
      </w:r>
      <w:r w:rsidR="00563BAE">
        <w:t>l otro 50 por ciento</w:t>
      </w:r>
      <w:r w:rsidR="00272882">
        <w:t>,</w:t>
      </w:r>
      <w:r w:rsidR="00563BAE">
        <w:t xml:space="preserve"> se abona en enero de 2016</w:t>
      </w:r>
      <w:r w:rsidR="004E4367">
        <w:t xml:space="preserve"> por 34.200 euros.</w:t>
      </w:r>
      <w:r w:rsidR="00044F8B">
        <w:t xml:space="preserve"> </w:t>
      </w:r>
    </w:p>
    <w:p w:rsidR="00666C5C" w:rsidRDefault="00666C5C" w:rsidP="00666C5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El gasto de seguridad social</w:t>
      </w:r>
      <w:r w:rsidR="006335A8">
        <w:t xml:space="preserve"> de 2015</w:t>
      </w:r>
      <w:r>
        <w:t xml:space="preserve"> incluye 13 meses, ya que se imputa el mes de diciembre de 2014 por 3</w:t>
      </w:r>
      <w:r w:rsidR="00EF0547">
        <w:t>4</w:t>
      </w:r>
      <w:r>
        <w:t>.521 euros.</w:t>
      </w:r>
    </w:p>
    <w:p w:rsidR="00D755B3" w:rsidRDefault="00D755B3" w:rsidP="00084AFA">
      <w:pPr>
        <w:pStyle w:val="texto"/>
      </w:pPr>
      <w:r>
        <w:t>Todo el personal de la mancomunidad, de acuerdo con sus estatutos, tiene el carácter de laboral.</w:t>
      </w:r>
      <w:r w:rsidRPr="00EF025D">
        <w:t xml:space="preserve"> </w:t>
      </w:r>
    </w:p>
    <w:p w:rsidR="00D755B3" w:rsidRDefault="009A06D1" w:rsidP="00D755B3">
      <w:pPr>
        <w:pStyle w:val="texto"/>
      </w:pPr>
      <w:r>
        <w:t xml:space="preserve">La asamblea de la mancomunidad aprueba la plantilla orgánica de 2015 en diciembre de 2014. Esta plantilla, que es idéntica a la del ejercicio anterior, </w:t>
      </w:r>
      <w:r w:rsidR="00EF0547">
        <w:t>s</w:t>
      </w:r>
      <w:r w:rsidR="00EF0547">
        <w:t>o</w:t>
      </w:r>
      <w:r w:rsidR="00EF0547">
        <w:t>lo contempla la</w:t>
      </w:r>
      <w:r w:rsidR="00A213E3">
        <w:t xml:space="preserve"> </w:t>
      </w:r>
      <w:r>
        <w:t xml:space="preserve">relación nominal de empleados </w:t>
      </w:r>
      <w:r w:rsidR="00EF0547">
        <w:t xml:space="preserve">con un total de 51 empleados </w:t>
      </w:r>
      <w:r w:rsidR="004F5335">
        <w:t>–</w:t>
      </w:r>
      <w:r w:rsidR="00EF0547">
        <w:t xml:space="preserve">entre </w:t>
      </w:r>
      <w:r w:rsidR="00D755B3">
        <w:t>fijos</w:t>
      </w:r>
      <w:r>
        <w:t xml:space="preserve"> y temporales</w:t>
      </w:r>
      <w:r w:rsidR="004F5335">
        <w:t>–</w:t>
      </w:r>
      <w:r w:rsidR="00EF0547">
        <w:t>,</w:t>
      </w:r>
      <w:r>
        <w:t xml:space="preserve"> su categoría profesional, nivel y fecha de alta. No contiene el resto de exigencias que señala </w:t>
      </w:r>
      <w:r w:rsidR="001A5110">
        <w:t>la legislación vigente relativa</w:t>
      </w:r>
      <w:r>
        <w:t xml:space="preserve"> a rel</w:t>
      </w:r>
      <w:r>
        <w:t>a</w:t>
      </w:r>
      <w:r>
        <w:t xml:space="preserve">ción de puestos de trabajo, </w:t>
      </w:r>
      <w:r w:rsidR="00FE2397">
        <w:t xml:space="preserve">nivel, requisitos específicos de acceso, </w:t>
      </w:r>
      <w:r>
        <w:t>número de plazas, complementos retributivos y jornada.</w:t>
      </w:r>
    </w:p>
    <w:p w:rsidR="009A06D1" w:rsidRDefault="009A06D1" w:rsidP="00D755B3">
      <w:pPr>
        <w:pStyle w:val="texto"/>
        <w:tabs>
          <w:tab w:val="num" w:pos="284"/>
          <w:tab w:val="num" w:pos="720"/>
        </w:tabs>
      </w:pPr>
      <w:r>
        <w:t>La plantilla de 2016</w:t>
      </w:r>
      <w:r w:rsidR="00D220EB">
        <w:t xml:space="preserve"> –</w:t>
      </w:r>
      <w:r w:rsidR="00D755B3">
        <w:t xml:space="preserve">aprobada </w:t>
      </w:r>
      <w:r w:rsidR="00D220EB">
        <w:t>por la asamblea el 17 de diciembre de 2015</w:t>
      </w:r>
      <w:r w:rsidR="004F5335">
        <w:t>–</w:t>
      </w:r>
      <w:r>
        <w:t>, varía significativamente</w:t>
      </w:r>
      <w:r w:rsidR="00EF0547">
        <w:t xml:space="preserve"> su presentación</w:t>
      </w:r>
      <w:r>
        <w:t xml:space="preserve"> sobre la de los dos ejercicios anteri</w:t>
      </w:r>
      <w:r>
        <w:t>o</w:t>
      </w:r>
      <w:r>
        <w:t>res, ya que se adjunta, además de la relación nominal, una relación de puestos de trabajo</w:t>
      </w:r>
      <w:r w:rsidR="005F0F50">
        <w:t xml:space="preserve">, </w:t>
      </w:r>
      <w:r>
        <w:t>con su núme</w:t>
      </w:r>
      <w:r w:rsidR="005F0F50">
        <w:t>ro, complemento</w:t>
      </w:r>
      <w:r w:rsidR="00FE2397">
        <w:t>s retributivos</w:t>
      </w:r>
      <w:r w:rsidR="005F0F50">
        <w:t xml:space="preserve"> y jornada</w:t>
      </w:r>
      <w:r>
        <w:t>.</w:t>
      </w:r>
      <w:r w:rsidR="00D755B3" w:rsidRPr="00D755B3">
        <w:t xml:space="preserve"> </w:t>
      </w:r>
    </w:p>
    <w:p w:rsidR="00A42C85" w:rsidRPr="00F66D24" w:rsidRDefault="009A06D1" w:rsidP="006E1BAE">
      <w:pPr>
        <w:pStyle w:val="texto"/>
        <w:spacing w:after="240"/>
        <w:rPr>
          <w:spacing w:val="2"/>
        </w:rPr>
      </w:pPr>
      <w:r w:rsidRPr="00F66D24">
        <w:rPr>
          <w:spacing w:val="2"/>
        </w:rPr>
        <w:t>De acuerdo con esta plantilla, a diciembre de 2015</w:t>
      </w:r>
      <w:r w:rsidR="00AE7A2C">
        <w:rPr>
          <w:spacing w:val="2"/>
        </w:rPr>
        <w:t>, hay</w:t>
      </w:r>
      <w:r w:rsidR="00A42C85" w:rsidRPr="00F66D24">
        <w:rPr>
          <w:spacing w:val="2"/>
        </w:rPr>
        <w:t xml:space="preserve"> 5</w:t>
      </w:r>
      <w:r w:rsidR="00EF0547" w:rsidRPr="00F66D24">
        <w:rPr>
          <w:spacing w:val="2"/>
        </w:rPr>
        <w:t>3</w:t>
      </w:r>
      <w:r w:rsidR="00A42C85" w:rsidRPr="00F66D24">
        <w:rPr>
          <w:spacing w:val="2"/>
        </w:rPr>
        <w:t xml:space="preserve"> p</w:t>
      </w:r>
      <w:r w:rsidR="00B23480" w:rsidRPr="00F66D24">
        <w:rPr>
          <w:spacing w:val="2"/>
        </w:rPr>
        <w:t>uestos</w:t>
      </w:r>
      <w:r w:rsidR="00A42C85" w:rsidRPr="00F66D24">
        <w:rPr>
          <w:spacing w:val="2"/>
        </w:rPr>
        <w:t>, de l</w:t>
      </w:r>
      <w:r w:rsidR="00831374">
        <w:rPr>
          <w:spacing w:val="2"/>
        </w:rPr>
        <w:t>o</w:t>
      </w:r>
      <w:r w:rsidR="00A42C85" w:rsidRPr="00F66D24">
        <w:rPr>
          <w:spacing w:val="2"/>
        </w:rPr>
        <w:t>s que 1</w:t>
      </w:r>
      <w:r w:rsidR="00EF0547" w:rsidRPr="00F66D24">
        <w:rPr>
          <w:spacing w:val="2"/>
        </w:rPr>
        <w:t>7</w:t>
      </w:r>
      <w:r w:rsidR="00A42C85" w:rsidRPr="00F66D24">
        <w:rPr>
          <w:spacing w:val="2"/>
        </w:rPr>
        <w:t xml:space="preserve"> tienen una vinculación</w:t>
      </w:r>
      <w:r w:rsidR="00272882" w:rsidRPr="00F66D24">
        <w:rPr>
          <w:spacing w:val="2"/>
        </w:rPr>
        <w:t xml:space="preserve"> laboral</w:t>
      </w:r>
      <w:r w:rsidR="00A42C85" w:rsidRPr="00F66D24">
        <w:rPr>
          <w:spacing w:val="2"/>
        </w:rPr>
        <w:t xml:space="preserve"> </w:t>
      </w:r>
      <w:r w:rsidR="007B238F" w:rsidRPr="00F66D24">
        <w:rPr>
          <w:spacing w:val="2"/>
        </w:rPr>
        <w:t>fija</w:t>
      </w:r>
      <w:r w:rsidR="00A42C85" w:rsidRPr="00F66D24">
        <w:rPr>
          <w:spacing w:val="2"/>
        </w:rPr>
        <w:t xml:space="preserve"> y 3</w:t>
      </w:r>
      <w:r w:rsidR="00EF0547" w:rsidRPr="00F66D24">
        <w:rPr>
          <w:spacing w:val="2"/>
        </w:rPr>
        <w:t>6</w:t>
      </w:r>
      <w:r w:rsidR="00A42C85" w:rsidRPr="00F66D24">
        <w:rPr>
          <w:spacing w:val="2"/>
        </w:rPr>
        <w:t xml:space="preserve"> son temporales cubriendo las vacantes de la plantilla. Su detalle se refleja en el cuadro siguiente:</w:t>
      </w:r>
    </w:p>
    <w:tbl>
      <w:tblPr>
        <w:tblW w:w="8682" w:type="dxa"/>
        <w:jc w:val="center"/>
        <w:tblCellMar>
          <w:left w:w="70" w:type="dxa"/>
          <w:right w:w="70" w:type="dxa"/>
        </w:tblCellMar>
        <w:tblLook w:val="04A0" w:firstRow="1" w:lastRow="0" w:firstColumn="1" w:lastColumn="0" w:noHBand="0" w:noVBand="1"/>
      </w:tblPr>
      <w:tblGrid>
        <w:gridCol w:w="2540"/>
        <w:gridCol w:w="2520"/>
        <w:gridCol w:w="2385"/>
        <w:gridCol w:w="1237"/>
      </w:tblGrid>
      <w:tr w:rsidR="00A42C85" w:rsidRPr="00A42C85" w:rsidTr="006E1BAE">
        <w:trPr>
          <w:trHeight w:val="300"/>
          <w:jc w:val="center"/>
        </w:trPr>
        <w:tc>
          <w:tcPr>
            <w:tcW w:w="2540" w:type="dxa"/>
            <w:tcBorders>
              <w:top w:val="single" w:sz="4" w:space="0" w:color="auto"/>
              <w:bottom w:val="single" w:sz="4" w:space="0" w:color="auto"/>
            </w:tcBorders>
            <w:shd w:val="clear" w:color="auto" w:fill="FABF8F" w:themeFill="accent6" w:themeFillTint="99"/>
            <w:noWrap/>
            <w:vAlign w:val="center"/>
            <w:hideMark/>
          </w:tcPr>
          <w:p w:rsidR="00A42C85" w:rsidRPr="00A42C85" w:rsidRDefault="00A42C85" w:rsidP="006E1BAE">
            <w:pPr>
              <w:pStyle w:val="cuadroCabe"/>
              <w:rPr>
                <w:lang w:val="es-ES" w:eastAsia="es-ES"/>
              </w:rPr>
            </w:pPr>
            <w:r w:rsidRPr="00A42C85">
              <w:rPr>
                <w:lang w:val="es-ES" w:eastAsia="es-ES"/>
              </w:rPr>
              <w:t>Tipo de vinculación</w:t>
            </w:r>
          </w:p>
        </w:tc>
        <w:tc>
          <w:tcPr>
            <w:tcW w:w="2520" w:type="dxa"/>
            <w:tcBorders>
              <w:top w:val="single" w:sz="4" w:space="0" w:color="auto"/>
              <w:bottom w:val="single" w:sz="4" w:space="0" w:color="auto"/>
            </w:tcBorders>
            <w:shd w:val="clear" w:color="auto" w:fill="FABF8F" w:themeFill="accent6" w:themeFillTint="99"/>
            <w:noWrap/>
            <w:vAlign w:val="center"/>
            <w:hideMark/>
          </w:tcPr>
          <w:p w:rsidR="00A42C85" w:rsidRPr="00A42C85" w:rsidRDefault="00A42C85" w:rsidP="006E1BAE">
            <w:pPr>
              <w:pStyle w:val="cuadroCabe"/>
              <w:rPr>
                <w:lang w:val="es-ES" w:eastAsia="es-ES"/>
              </w:rPr>
            </w:pPr>
            <w:r w:rsidRPr="00A42C85">
              <w:rPr>
                <w:lang w:val="es-ES" w:eastAsia="es-ES"/>
              </w:rPr>
              <w:t>Puesto de trabajo</w:t>
            </w:r>
          </w:p>
        </w:tc>
        <w:tc>
          <w:tcPr>
            <w:tcW w:w="2385" w:type="dxa"/>
            <w:tcBorders>
              <w:top w:val="single" w:sz="4" w:space="0" w:color="auto"/>
              <w:bottom w:val="single" w:sz="4" w:space="0" w:color="auto"/>
            </w:tcBorders>
            <w:shd w:val="clear" w:color="auto" w:fill="FABF8F" w:themeFill="accent6" w:themeFillTint="99"/>
            <w:noWrap/>
            <w:vAlign w:val="center"/>
            <w:hideMark/>
          </w:tcPr>
          <w:p w:rsidR="00A42C85" w:rsidRPr="00A42C85" w:rsidRDefault="00A42C85" w:rsidP="006E1BAE">
            <w:pPr>
              <w:pStyle w:val="cuadroCabe"/>
              <w:jc w:val="right"/>
              <w:rPr>
                <w:lang w:val="es-ES" w:eastAsia="es-ES"/>
              </w:rPr>
            </w:pPr>
            <w:r w:rsidRPr="00A42C85">
              <w:rPr>
                <w:lang w:val="es-ES" w:eastAsia="es-ES"/>
              </w:rPr>
              <w:t>Nivel</w:t>
            </w:r>
          </w:p>
        </w:tc>
        <w:tc>
          <w:tcPr>
            <w:tcW w:w="1237" w:type="dxa"/>
            <w:tcBorders>
              <w:top w:val="single" w:sz="4" w:space="0" w:color="auto"/>
              <w:bottom w:val="single" w:sz="4" w:space="0" w:color="auto"/>
            </w:tcBorders>
            <w:shd w:val="clear" w:color="auto" w:fill="FABF8F" w:themeFill="accent6" w:themeFillTint="99"/>
            <w:noWrap/>
            <w:vAlign w:val="center"/>
            <w:hideMark/>
          </w:tcPr>
          <w:p w:rsidR="00A42C85" w:rsidRPr="00A42C85" w:rsidRDefault="00A42C85" w:rsidP="006E1BAE">
            <w:pPr>
              <w:pStyle w:val="cuadroCabe"/>
              <w:jc w:val="right"/>
              <w:rPr>
                <w:lang w:val="es-ES" w:eastAsia="es-ES"/>
              </w:rPr>
            </w:pPr>
            <w:r w:rsidRPr="00A42C85">
              <w:rPr>
                <w:lang w:val="es-ES" w:eastAsia="es-ES"/>
              </w:rPr>
              <w:t>Total</w:t>
            </w:r>
          </w:p>
        </w:tc>
      </w:tr>
      <w:tr w:rsidR="00A42C85" w:rsidRPr="00A42C85" w:rsidTr="006E1BAE">
        <w:trPr>
          <w:trHeight w:val="300"/>
          <w:jc w:val="center"/>
        </w:trPr>
        <w:tc>
          <w:tcPr>
            <w:tcW w:w="2540" w:type="dxa"/>
            <w:tcBorders>
              <w:top w:val="single" w:sz="4" w:space="0" w:color="auto"/>
              <w:bottom w:val="single" w:sz="2" w:space="0" w:color="auto"/>
            </w:tcBorders>
            <w:noWrap/>
            <w:vAlign w:val="center"/>
            <w:hideMark/>
          </w:tcPr>
          <w:p w:rsidR="00A42C85" w:rsidRPr="00A42C85" w:rsidRDefault="00A42C85" w:rsidP="006E1BAE">
            <w:pPr>
              <w:pStyle w:val="cuatexto"/>
            </w:pPr>
            <w:r w:rsidRPr="00A42C85">
              <w:t xml:space="preserve">Laboral </w:t>
            </w:r>
            <w:r w:rsidR="00756F71">
              <w:t>fijo</w:t>
            </w:r>
          </w:p>
        </w:tc>
        <w:tc>
          <w:tcPr>
            <w:tcW w:w="2520" w:type="dxa"/>
            <w:tcBorders>
              <w:top w:val="single" w:sz="4" w:space="0" w:color="auto"/>
              <w:bottom w:val="single" w:sz="2" w:space="0" w:color="auto"/>
            </w:tcBorders>
            <w:noWrap/>
            <w:vAlign w:val="center"/>
            <w:hideMark/>
          </w:tcPr>
          <w:p w:rsidR="00A42C85" w:rsidRPr="00A42C85" w:rsidRDefault="00A42C85" w:rsidP="006E1BAE">
            <w:pPr>
              <w:pStyle w:val="cuatexto"/>
            </w:pPr>
            <w:r w:rsidRPr="00A42C85">
              <w:t>Director</w:t>
            </w:r>
          </w:p>
        </w:tc>
        <w:tc>
          <w:tcPr>
            <w:tcW w:w="2385" w:type="dxa"/>
            <w:tcBorders>
              <w:top w:val="single" w:sz="4" w:space="0" w:color="auto"/>
              <w:bottom w:val="single" w:sz="2" w:space="0" w:color="auto"/>
            </w:tcBorders>
            <w:noWrap/>
            <w:vAlign w:val="center"/>
            <w:hideMark/>
          </w:tcPr>
          <w:p w:rsidR="00A42C85" w:rsidRPr="00A42C85" w:rsidRDefault="00A42C85" w:rsidP="006E1BAE">
            <w:pPr>
              <w:pStyle w:val="cuatexto"/>
              <w:jc w:val="right"/>
            </w:pPr>
            <w:r w:rsidRPr="00A42C85">
              <w:t>A</w:t>
            </w:r>
          </w:p>
        </w:tc>
        <w:tc>
          <w:tcPr>
            <w:tcW w:w="1237" w:type="dxa"/>
            <w:tcBorders>
              <w:top w:val="single" w:sz="4" w:space="0" w:color="auto"/>
              <w:bottom w:val="single" w:sz="2" w:space="0" w:color="auto"/>
            </w:tcBorders>
            <w:noWrap/>
            <w:vAlign w:val="center"/>
            <w:hideMark/>
          </w:tcPr>
          <w:p w:rsidR="00A42C85" w:rsidRPr="00A42C85" w:rsidRDefault="00A42C85" w:rsidP="006E1BAE">
            <w:pPr>
              <w:pStyle w:val="cuatexto"/>
              <w:jc w:val="right"/>
            </w:pPr>
            <w:r w:rsidRPr="00A42C85">
              <w:t>1</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ATS/enfermer</w:t>
            </w:r>
            <w:r w:rsidR="00272882">
              <w:t>o</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B</w:t>
            </w:r>
          </w:p>
        </w:tc>
        <w:tc>
          <w:tcPr>
            <w:tcW w:w="1237"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2</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Oficial Administrativo</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C</w:t>
            </w:r>
          </w:p>
        </w:tc>
        <w:tc>
          <w:tcPr>
            <w:tcW w:w="1237"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1</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Oficial de mantenimiento</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C</w:t>
            </w:r>
          </w:p>
        </w:tc>
        <w:tc>
          <w:tcPr>
            <w:tcW w:w="1237"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1</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Servicios Generales</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D</w:t>
            </w:r>
          </w:p>
        </w:tc>
        <w:tc>
          <w:tcPr>
            <w:tcW w:w="1237" w:type="dxa"/>
            <w:tcBorders>
              <w:top w:val="single" w:sz="2" w:space="0" w:color="auto"/>
              <w:bottom w:val="single" w:sz="2" w:space="0" w:color="auto"/>
            </w:tcBorders>
            <w:noWrap/>
            <w:vAlign w:val="center"/>
            <w:hideMark/>
          </w:tcPr>
          <w:p w:rsidR="00A42C85" w:rsidRPr="00A42C85" w:rsidRDefault="00EF0547" w:rsidP="006E1BAE">
            <w:pPr>
              <w:pStyle w:val="cuatexto"/>
              <w:jc w:val="right"/>
            </w:pPr>
            <w:r>
              <w:t>12</w:t>
            </w:r>
          </w:p>
        </w:tc>
      </w:tr>
      <w:tr w:rsidR="00A42C85" w:rsidRPr="006E1BAE" w:rsidTr="006E1BAE">
        <w:trPr>
          <w:trHeight w:val="300"/>
          <w:jc w:val="center"/>
        </w:trPr>
        <w:tc>
          <w:tcPr>
            <w:tcW w:w="2540" w:type="dxa"/>
            <w:tcBorders>
              <w:top w:val="single" w:sz="2" w:space="0" w:color="auto"/>
              <w:bottom w:val="single" w:sz="2" w:space="0" w:color="auto"/>
            </w:tcBorders>
            <w:noWrap/>
            <w:vAlign w:val="center"/>
            <w:hideMark/>
          </w:tcPr>
          <w:p w:rsidR="00A42C85" w:rsidRPr="006E1BAE" w:rsidRDefault="00A42C85" w:rsidP="006E1BAE">
            <w:pPr>
              <w:pStyle w:val="cuatexto"/>
              <w:rPr>
                <w:b/>
              </w:rPr>
            </w:pPr>
            <w:r w:rsidRPr="006E1BAE">
              <w:rPr>
                <w:b/>
              </w:rPr>
              <w:t xml:space="preserve">Total </w:t>
            </w:r>
            <w:r w:rsidR="00756F71" w:rsidRPr="006E1BAE">
              <w:rPr>
                <w:b/>
              </w:rPr>
              <w:t>l</w:t>
            </w:r>
            <w:r w:rsidRPr="006E1BAE">
              <w:rPr>
                <w:b/>
              </w:rPr>
              <w:t xml:space="preserve">aboral </w:t>
            </w:r>
            <w:r w:rsidR="00756F71" w:rsidRPr="006E1BAE">
              <w:rPr>
                <w:b/>
              </w:rPr>
              <w:t>fijo</w:t>
            </w:r>
          </w:p>
        </w:tc>
        <w:tc>
          <w:tcPr>
            <w:tcW w:w="2520" w:type="dxa"/>
            <w:tcBorders>
              <w:top w:val="single" w:sz="2" w:space="0" w:color="auto"/>
              <w:bottom w:val="single" w:sz="2" w:space="0" w:color="auto"/>
            </w:tcBorders>
            <w:noWrap/>
            <w:vAlign w:val="center"/>
            <w:hideMark/>
          </w:tcPr>
          <w:p w:rsidR="00A42C85" w:rsidRPr="006E1BAE" w:rsidRDefault="00A42C85" w:rsidP="006E1BAE">
            <w:pPr>
              <w:pStyle w:val="cuatexto"/>
              <w:rPr>
                <w:b/>
              </w:rPr>
            </w:pPr>
          </w:p>
        </w:tc>
        <w:tc>
          <w:tcPr>
            <w:tcW w:w="2385" w:type="dxa"/>
            <w:tcBorders>
              <w:top w:val="single" w:sz="2" w:space="0" w:color="auto"/>
              <w:bottom w:val="single" w:sz="2" w:space="0" w:color="auto"/>
            </w:tcBorders>
            <w:noWrap/>
            <w:vAlign w:val="center"/>
            <w:hideMark/>
          </w:tcPr>
          <w:p w:rsidR="00A42C85" w:rsidRPr="006E1BAE" w:rsidRDefault="00A42C85" w:rsidP="006E1BAE">
            <w:pPr>
              <w:pStyle w:val="cuatexto"/>
              <w:jc w:val="right"/>
              <w:rPr>
                <w:b/>
              </w:rPr>
            </w:pPr>
          </w:p>
        </w:tc>
        <w:tc>
          <w:tcPr>
            <w:tcW w:w="1237" w:type="dxa"/>
            <w:tcBorders>
              <w:top w:val="single" w:sz="2" w:space="0" w:color="auto"/>
              <w:bottom w:val="single" w:sz="2" w:space="0" w:color="auto"/>
            </w:tcBorders>
            <w:noWrap/>
            <w:vAlign w:val="center"/>
            <w:hideMark/>
          </w:tcPr>
          <w:p w:rsidR="00A42C85" w:rsidRPr="006E1BAE" w:rsidRDefault="00A42C85" w:rsidP="006E1BAE">
            <w:pPr>
              <w:pStyle w:val="cuatexto"/>
              <w:jc w:val="right"/>
              <w:rPr>
                <w:b/>
              </w:rPr>
            </w:pPr>
            <w:r w:rsidRPr="006E1BAE">
              <w:rPr>
                <w:b/>
              </w:rPr>
              <w:t>1</w:t>
            </w:r>
            <w:r w:rsidR="00EF0547" w:rsidRPr="006E1BAE">
              <w:rPr>
                <w:b/>
              </w:rPr>
              <w:t>7</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Laboral temporal</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ATS/Enfermer</w:t>
            </w:r>
            <w:r w:rsidR="00272882">
              <w:t>o</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B</w:t>
            </w:r>
          </w:p>
        </w:tc>
        <w:tc>
          <w:tcPr>
            <w:tcW w:w="1237"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6</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xml:space="preserve">Oficial </w:t>
            </w:r>
            <w:r w:rsidR="00563BAE">
              <w:t>a</w:t>
            </w:r>
            <w:r w:rsidRPr="00A42C85">
              <w:t>dministrativo</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C</w:t>
            </w:r>
          </w:p>
        </w:tc>
        <w:tc>
          <w:tcPr>
            <w:tcW w:w="1237"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1</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Servicios Generales</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D</w:t>
            </w:r>
          </w:p>
        </w:tc>
        <w:tc>
          <w:tcPr>
            <w:tcW w:w="1237" w:type="dxa"/>
            <w:tcBorders>
              <w:top w:val="single" w:sz="2" w:space="0" w:color="auto"/>
              <w:bottom w:val="single" w:sz="2" w:space="0" w:color="auto"/>
            </w:tcBorders>
            <w:noWrap/>
            <w:vAlign w:val="center"/>
            <w:hideMark/>
          </w:tcPr>
          <w:p w:rsidR="00A42C85" w:rsidRPr="00A42C85" w:rsidRDefault="00EF0547" w:rsidP="006E1BAE">
            <w:pPr>
              <w:pStyle w:val="cuatexto"/>
              <w:jc w:val="right"/>
            </w:pPr>
            <w:r>
              <w:t>28</w:t>
            </w:r>
          </w:p>
        </w:tc>
      </w:tr>
      <w:tr w:rsidR="00A42C85" w:rsidRPr="00A42C85" w:rsidTr="006E1BAE">
        <w:trPr>
          <w:trHeight w:val="300"/>
          <w:jc w:val="center"/>
        </w:trPr>
        <w:tc>
          <w:tcPr>
            <w:tcW w:w="254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 </w:t>
            </w:r>
          </w:p>
        </w:tc>
        <w:tc>
          <w:tcPr>
            <w:tcW w:w="2520" w:type="dxa"/>
            <w:tcBorders>
              <w:top w:val="single" w:sz="2" w:space="0" w:color="auto"/>
              <w:bottom w:val="single" w:sz="2" w:space="0" w:color="auto"/>
            </w:tcBorders>
            <w:noWrap/>
            <w:vAlign w:val="center"/>
            <w:hideMark/>
          </w:tcPr>
          <w:p w:rsidR="00A42C85" w:rsidRPr="00A42C85" w:rsidRDefault="00A42C85" w:rsidP="006E1BAE">
            <w:pPr>
              <w:pStyle w:val="cuatexto"/>
            </w:pPr>
            <w:r w:rsidRPr="00A42C85">
              <w:t>Trabajadora social</w:t>
            </w:r>
          </w:p>
        </w:tc>
        <w:tc>
          <w:tcPr>
            <w:tcW w:w="2385"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B</w:t>
            </w:r>
          </w:p>
        </w:tc>
        <w:tc>
          <w:tcPr>
            <w:tcW w:w="1237" w:type="dxa"/>
            <w:tcBorders>
              <w:top w:val="single" w:sz="2" w:space="0" w:color="auto"/>
              <w:bottom w:val="single" w:sz="2" w:space="0" w:color="auto"/>
            </w:tcBorders>
            <w:noWrap/>
            <w:vAlign w:val="center"/>
            <w:hideMark/>
          </w:tcPr>
          <w:p w:rsidR="00A42C85" w:rsidRPr="00A42C85" w:rsidRDefault="00A42C85" w:rsidP="006E1BAE">
            <w:pPr>
              <w:pStyle w:val="cuatexto"/>
              <w:jc w:val="right"/>
            </w:pPr>
            <w:r w:rsidRPr="00A42C85">
              <w:t>1</w:t>
            </w:r>
          </w:p>
        </w:tc>
      </w:tr>
      <w:tr w:rsidR="00A42C85" w:rsidRPr="006E1BAE" w:rsidTr="006E1BAE">
        <w:trPr>
          <w:trHeight w:val="300"/>
          <w:jc w:val="center"/>
        </w:trPr>
        <w:tc>
          <w:tcPr>
            <w:tcW w:w="2540" w:type="dxa"/>
            <w:tcBorders>
              <w:top w:val="single" w:sz="2" w:space="0" w:color="auto"/>
              <w:bottom w:val="single" w:sz="4" w:space="0" w:color="auto"/>
            </w:tcBorders>
            <w:noWrap/>
            <w:vAlign w:val="center"/>
            <w:hideMark/>
          </w:tcPr>
          <w:p w:rsidR="00A42C85" w:rsidRPr="006E1BAE" w:rsidRDefault="00A42C85" w:rsidP="006E1BAE">
            <w:pPr>
              <w:pStyle w:val="cuatexto"/>
              <w:rPr>
                <w:b/>
              </w:rPr>
            </w:pPr>
            <w:r w:rsidRPr="006E1BAE">
              <w:rPr>
                <w:b/>
              </w:rPr>
              <w:t xml:space="preserve">Total </w:t>
            </w:r>
            <w:r w:rsidR="00756F71" w:rsidRPr="006E1BAE">
              <w:rPr>
                <w:b/>
              </w:rPr>
              <w:t>l</w:t>
            </w:r>
            <w:r w:rsidRPr="006E1BAE">
              <w:rPr>
                <w:b/>
              </w:rPr>
              <w:t>aboral temporal</w:t>
            </w:r>
          </w:p>
        </w:tc>
        <w:tc>
          <w:tcPr>
            <w:tcW w:w="2520" w:type="dxa"/>
            <w:tcBorders>
              <w:top w:val="single" w:sz="2" w:space="0" w:color="auto"/>
              <w:bottom w:val="single" w:sz="4" w:space="0" w:color="auto"/>
            </w:tcBorders>
            <w:noWrap/>
            <w:vAlign w:val="center"/>
            <w:hideMark/>
          </w:tcPr>
          <w:p w:rsidR="00A42C85" w:rsidRPr="006E1BAE" w:rsidRDefault="00A42C85" w:rsidP="006E1BAE">
            <w:pPr>
              <w:pStyle w:val="cuatexto"/>
              <w:rPr>
                <w:b/>
              </w:rPr>
            </w:pPr>
            <w:r w:rsidRPr="006E1BAE">
              <w:rPr>
                <w:b/>
              </w:rPr>
              <w:t> </w:t>
            </w:r>
          </w:p>
        </w:tc>
        <w:tc>
          <w:tcPr>
            <w:tcW w:w="2385" w:type="dxa"/>
            <w:tcBorders>
              <w:top w:val="single" w:sz="2" w:space="0" w:color="auto"/>
              <w:bottom w:val="single" w:sz="4" w:space="0" w:color="auto"/>
            </w:tcBorders>
            <w:noWrap/>
            <w:vAlign w:val="center"/>
            <w:hideMark/>
          </w:tcPr>
          <w:p w:rsidR="00A42C85" w:rsidRPr="006E1BAE" w:rsidRDefault="00A42C85" w:rsidP="006E1BAE">
            <w:pPr>
              <w:pStyle w:val="cuatexto"/>
              <w:rPr>
                <w:b/>
              </w:rPr>
            </w:pPr>
            <w:r w:rsidRPr="006E1BAE">
              <w:rPr>
                <w:b/>
              </w:rPr>
              <w:t> </w:t>
            </w:r>
          </w:p>
        </w:tc>
        <w:tc>
          <w:tcPr>
            <w:tcW w:w="1237" w:type="dxa"/>
            <w:tcBorders>
              <w:top w:val="single" w:sz="2" w:space="0" w:color="auto"/>
              <w:bottom w:val="single" w:sz="4" w:space="0" w:color="auto"/>
            </w:tcBorders>
            <w:noWrap/>
            <w:vAlign w:val="center"/>
            <w:hideMark/>
          </w:tcPr>
          <w:p w:rsidR="00A42C85" w:rsidRPr="006E1BAE" w:rsidRDefault="00A42C85" w:rsidP="006E1BAE">
            <w:pPr>
              <w:pStyle w:val="cuatexto"/>
              <w:jc w:val="right"/>
              <w:rPr>
                <w:b/>
              </w:rPr>
            </w:pPr>
            <w:r w:rsidRPr="006E1BAE">
              <w:rPr>
                <w:b/>
              </w:rPr>
              <w:t>3</w:t>
            </w:r>
            <w:r w:rsidR="00EF0547" w:rsidRPr="006E1BAE">
              <w:rPr>
                <w:b/>
              </w:rPr>
              <w:t>6</w:t>
            </w:r>
          </w:p>
        </w:tc>
      </w:tr>
      <w:tr w:rsidR="005F0F50" w:rsidRPr="00A42C85" w:rsidTr="006E1BAE">
        <w:trPr>
          <w:trHeight w:val="300"/>
          <w:jc w:val="center"/>
        </w:trPr>
        <w:tc>
          <w:tcPr>
            <w:tcW w:w="7445" w:type="dxa"/>
            <w:gridSpan w:val="3"/>
            <w:tcBorders>
              <w:top w:val="single" w:sz="4" w:space="0" w:color="auto"/>
              <w:bottom w:val="single" w:sz="4" w:space="0" w:color="auto"/>
            </w:tcBorders>
            <w:shd w:val="clear" w:color="auto" w:fill="FABF8F" w:themeFill="accent6" w:themeFillTint="99"/>
            <w:noWrap/>
            <w:vAlign w:val="center"/>
          </w:tcPr>
          <w:p w:rsidR="005F0F50" w:rsidRPr="00A42C85" w:rsidRDefault="005F0F50" w:rsidP="006E1BAE">
            <w:pPr>
              <w:pStyle w:val="cuadroCabe"/>
              <w:rPr>
                <w:lang w:val="es-ES" w:eastAsia="es-ES"/>
              </w:rPr>
            </w:pPr>
            <w:r w:rsidRPr="00A42C85">
              <w:rPr>
                <w:lang w:val="es-ES" w:eastAsia="es-ES"/>
              </w:rPr>
              <w:t>Total P</w:t>
            </w:r>
            <w:r w:rsidR="00B23480">
              <w:rPr>
                <w:lang w:val="es-ES" w:eastAsia="es-ES"/>
              </w:rPr>
              <w:t>uestos de trabajo</w:t>
            </w:r>
          </w:p>
        </w:tc>
        <w:tc>
          <w:tcPr>
            <w:tcW w:w="1237" w:type="dxa"/>
            <w:tcBorders>
              <w:top w:val="single" w:sz="4" w:space="0" w:color="auto"/>
              <w:bottom w:val="single" w:sz="4" w:space="0" w:color="auto"/>
            </w:tcBorders>
            <w:shd w:val="clear" w:color="auto" w:fill="FABF8F" w:themeFill="accent6" w:themeFillTint="99"/>
            <w:noWrap/>
            <w:vAlign w:val="center"/>
          </w:tcPr>
          <w:p w:rsidR="005F0F50" w:rsidRPr="00A42C85" w:rsidRDefault="00EF0547" w:rsidP="006E1BAE">
            <w:pPr>
              <w:pStyle w:val="cuadroCabe"/>
              <w:jc w:val="right"/>
              <w:rPr>
                <w:lang w:val="es-ES" w:eastAsia="es-ES"/>
              </w:rPr>
            </w:pPr>
            <w:r>
              <w:rPr>
                <w:lang w:val="es-ES" w:eastAsia="es-ES"/>
              </w:rPr>
              <w:t>53</w:t>
            </w:r>
          </w:p>
        </w:tc>
      </w:tr>
    </w:tbl>
    <w:p w:rsidR="009A06D1" w:rsidRDefault="009A06D1" w:rsidP="006E1BAE">
      <w:pPr>
        <w:pStyle w:val="texto"/>
        <w:spacing w:after="0"/>
      </w:pPr>
    </w:p>
    <w:p w:rsidR="005F0F50" w:rsidRDefault="005F0F50" w:rsidP="006E1BAE">
      <w:pPr>
        <w:pStyle w:val="texto"/>
        <w:spacing w:after="240"/>
      </w:pPr>
      <w:r>
        <w:t>Atendiendo a la categoría profesional</w:t>
      </w:r>
      <w:r w:rsidR="00BF67DC">
        <w:t xml:space="preserve"> y al centro de trabajo</w:t>
      </w:r>
      <w:r>
        <w:t>, los puestos ant</w:t>
      </w:r>
      <w:r>
        <w:t>e</w:t>
      </w:r>
      <w:r>
        <w:t>riores se desglosan en:</w:t>
      </w:r>
    </w:p>
    <w:tbl>
      <w:tblPr>
        <w:tblW w:w="8766" w:type="dxa"/>
        <w:jc w:val="center"/>
        <w:tblInd w:w="3" w:type="dxa"/>
        <w:tblCellMar>
          <w:left w:w="70" w:type="dxa"/>
          <w:right w:w="70" w:type="dxa"/>
        </w:tblCellMar>
        <w:tblLook w:val="04A0" w:firstRow="1" w:lastRow="0" w:firstColumn="1" w:lastColumn="0" w:noHBand="0" w:noVBand="1"/>
      </w:tblPr>
      <w:tblGrid>
        <w:gridCol w:w="3276"/>
        <w:gridCol w:w="1708"/>
        <w:gridCol w:w="1205"/>
        <w:gridCol w:w="1662"/>
        <w:gridCol w:w="915"/>
      </w:tblGrid>
      <w:tr w:rsidR="00BF67DC" w:rsidRPr="006E1BAE" w:rsidTr="006E1BAE">
        <w:trPr>
          <w:trHeight w:val="300"/>
          <w:jc w:val="center"/>
        </w:trPr>
        <w:tc>
          <w:tcPr>
            <w:tcW w:w="3276" w:type="dxa"/>
            <w:tcBorders>
              <w:top w:val="single" w:sz="4" w:space="0" w:color="auto"/>
              <w:bottom w:val="single" w:sz="4" w:space="0" w:color="auto"/>
            </w:tcBorders>
            <w:shd w:val="clear" w:color="auto" w:fill="FABF8F" w:themeFill="accent6" w:themeFillTint="99"/>
            <w:noWrap/>
            <w:vAlign w:val="center"/>
            <w:hideMark/>
          </w:tcPr>
          <w:p w:rsidR="00BF67DC" w:rsidRPr="006E1BAE" w:rsidRDefault="00BF67DC" w:rsidP="006E1BAE">
            <w:pPr>
              <w:spacing w:after="0"/>
              <w:ind w:firstLine="0"/>
              <w:jc w:val="lef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Puesto de trabajo</w:t>
            </w:r>
          </w:p>
        </w:tc>
        <w:tc>
          <w:tcPr>
            <w:tcW w:w="1708" w:type="dxa"/>
            <w:tcBorders>
              <w:top w:val="single" w:sz="4" w:space="0" w:color="auto"/>
              <w:bottom w:val="single" w:sz="4" w:space="0" w:color="auto"/>
            </w:tcBorders>
            <w:shd w:val="clear" w:color="auto" w:fill="FABF8F" w:themeFill="accent6" w:themeFillTint="99"/>
            <w:noWrap/>
            <w:vAlign w:val="center"/>
            <w:hideMark/>
          </w:tcPr>
          <w:p w:rsidR="00BF67DC" w:rsidRPr="006E1BAE" w:rsidRDefault="00BF67DC" w:rsidP="006E1BAE">
            <w:pPr>
              <w:spacing w:after="0"/>
              <w:jc w:val="righ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Nivel</w:t>
            </w:r>
          </w:p>
        </w:tc>
        <w:tc>
          <w:tcPr>
            <w:tcW w:w="1205" w:type="dxa"/>
            <w:tcBorders>
              <w:top w:val="single" w:sz="4" w:space="0" w:color="auto"/>
              <w:bottom w:val="single" w:sz="4" w:space="0" w:color="auto"/>
            </w:tcBorders>
            <w:shd w:val="clear" w:color="auto" w:fill="FABF8F" w:themeFill="accent6" w:themeFillTint="99"/>
            <w:vAlign w:val="center"/>
          </w:tcPr>
          <w:p w:rsidR="00BF67DC" w:rsidRPr="006E1BAE" w:rsidRDefault="00BF67DC" w:rsidP="006E1BAE">
            <w:pPr>
              <w:spacing w:after="0"/>
              <w:ind w:firstLine="0"/>
              <w:jc w:val="righ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Residencia</w:t>
            </w:r>
          </w:p>
        </w:tc>
        <w:tc>
          <w:tcPr>
            <w:tcW w:w="1662" w:type="dxa"/>
            <w:tcBorders>
              <w:top w:val="single" w:sz="4" w:space="0" w:color="auto"/>
              <w:bottom w:val="single" w:sz="4" w:space="0" w:color="auto"/>
            </w:tcBorders>
            <w:shd w:val="clear" w:color="auto" w:fill="FABF8F" w:themeFill="accent6" w:themeFillTint="99"/>
            <w:vAlign w:val="center"/>
          </w:tcPr>
          <w:p w:rsidR="00BF67DC" w:rsidRPr="006E1BAE" w:rsidRDefault="00BF67DC" w:rsidP="006E1BAE">
            <w:pPr>
              <w:spacing w:after="0"/>
              <w:ind w:firstLine="0"/>
              <w:jc w:val="righ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Psicogeriátrico</w:t>
            </w:r>
          </w:p>
        </w:tc>
        <w:tc>
          <w:tcPr>
            <w:tcW w:w="915" w:type="dxa"/>
            <w:tcBorders>
              <w:top w:val="single" w:sz="4" w:space="0" w:color="auto"/>
              <w:bottom w:val="single" w:sz="4" w:space="0" w:color="auto"/>
            </w:tcBorders>
            <w:shd w:val="clear" w:color="auto" w:fill="FABF8F" w:themeFill="accent6" w:themeFillTint="99"/>
            <w:noWrap/>
            <w:vAlign w:val="center"/>
            <w:hideMark/>
          </w:tcPr>
          <w:p w:rsidR="00BF67DC" w:rsidRPr="006E1BAE" w:rsidRDefault="00BF67DC" w:rsidP="006E1BAE">
            <w:pPr>
              <w:spacing w:after="0"/>
              <w:ind w:firstLine="0"/>
              <w:jc w:val="righ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Total</w:t>
            </w:r>
          </w:p>
        </w:tc>
      </w:tr>
      <w:tr w:rsidR="00BF67DC" w:rsidTr="00CF63B3">
        <w:trPr>
          <w:trHeight w:val="300"/>
          <w:jc w:val="center"/>
        </w:trPr>
        <w:tc>
          <w:tcPr>
            <w:tcW w:w="3276" w:type="dxa"/>
            <w:tcBorders>
              <w:top w:val="single" w:sz="4" w:space="0" w:color="auto"/>
              <w:bottom w:val="single" w:sz="2" w:space="0" w:color="auto"/>
            </w:tcBorders>
            <w:noWrap/>
            <w:vAlign w:val="center"/>
            <w:hideMark/>
          </w:tcPr>
          <w:p w:rsidR="00BF67DC" w:rsidRPr="005F0F50" w:rsidRDefault="00BF67DC" w:rsidP="005F0F50">
            <w:pPr>
              <w:pStyle w:val="cuatexto"/>
            </w:pPr>
            <w:r w:rsidRPr="005F0F50">
              <w:t>Director</w:t>
            </w:r>
            <w:r w:rsidR="00120EAC">
              <w:t xml:space="preserve"> (*)</w:t>
            </w:r>
          </w:p>
        </w:tc>
        <w:tc>
          <w:tcPr>
            <w:tcW w:w="1708" w:type="dxa"/>
            <w:tcBorders>
              <w:top w:val="single" w:sz="4" w:space="0" w:color="auto"/>
              <w:bottom w:val="single" w:sz="2" w:space="0" w:color="auto"/>
            </w:tcBorders>
            <w:noWrap/>
            <w:vAlign w:val="center"/>
            <w:hideMark/>
          </w:tcPr>
          <w:p w:rsidR="00BF67DC" w:rsidRPr="005F0F50" w:rsidRDefault="00BF67DC" w:rsidP="005F0F50">
            <w:pPr>
              <w:pStyle w:val="cuatexto"/>
              <w:jc w:val="right"/>
            </w:pPr>
            <w:r w:rsidRPr="005F0F50">
              <w:t>A</w:t>
            </w:r>
          </w:p>
        </w:tc>
        <w:tc>
          <w:tcPr>
            <w:tcW w:w="1205" w:type="dxa"/>
            <w:tcBorders>
              <w:top w:val="single" w:sz="4" w:space="0" w:color="auto"/>
              <w:bottom w:val="single" w:sz="2" w:space="0" w:color="auto"/>
            </w:tcBorders>
            <w:vAlign w:val="center"/>
          </w:tcPr>
          <w:p w:rsidR="00BF67DC" w:rsidRPr="005F0F50" w:rsidRDefault="00BF67DC" w:rsidP="00BF67DC">
            <w:pPr>
              <w:pStyle w:val="cuatexto"/>
              <w:jc w:val="right"/>
            </w:pPr>
            <w:r>
              <w:t>1</w:t>
            </w:r>
          </w:p>
        </w:tc>
        <w:tc>
          <w:tcPr>
            <w:tcW w:w="1662" w:type="dxa"/>
            <w:tcBorders>
              <w:top w:val="single" w:sz="4" w:space="0" w:color="auto"/>
              <w:bottom w:val="single" w:sz="2" w:space="0" w:color="auto"/>
            </w:tcBorders>
            <w:vAlign w:val="center"/>
          </w:tcPr>
          <w:p w:rsidR="00BF67DC" w:rsidRPr="005F0F50" w:rsidRDefault="00BF67DC" w:rsidP="005F0F50">
            <w:pPr>
              <w:pStyle w:val="cuatexto"/>
              <w:jc w:val="right"/>
            </w:pPr>
          </w:p>
        </w:tc>
        <w:tc>
          <w:tcPr>
            <w:tcW w:w="915" w:type="dxa"/>
            <w:tcBorders>
              <w:top w:val="single" w:sz="4" w:space="0" w:color="auto"/>
              <w:bottom w:val="single" w:sz="2" w:space="0" w:color="auto"/>
            </w:tcBorders>
            <w:noWrap/>
            <w:vAlign w:val="center"/>
            <w:hideMark/>
          </w:tcPr>
          <w:p w:rsidR="00BF67DC" w:rsidRPr="005F0F50" w:rsidRDefault="00BF67DC" w:rsidP="005F0F50">
            <w:pPr>
              <w:pStyle w:val="cuatexto"/>
              <w:jc w:val="right"/>
            </w:pPr>
            <w:r w:rsidRPr="005F0F50">
              <w:t>1</w:t>
            </w:r>
          </w:p>
        </w:tc>
      </w:tr>
      <w:tr w:rsidR="00BF67DC" w:rsidTr="00CF63B3">
        <w:trPr>
          <w:trHeight w:val="300"/>
          <w:jc w:val="center"/>
        </w:trPr>
        <w:tc>
          <w:tcPr>
            <w:tcW w:w="3276" w:type="dxa"/>
            <w:tcBorders>
              <w:top w:val="single" w:sz="2" w:space="0" w:color="auto"/>
              <w:bottom w:val="single" w:sz="2" w:space="0" w:color="auto"/>
            </w:tcBorders>
            <w:noWrap/>
            <w:vAlign w:val="center"/>
            <w:hideMark/>
          </w:tcPr>
          <w:p w:rsidR="00BF67DC" w:rsidRPr="005F0F50" w:rsidRDefault="00BF67DC" w:rsidP="005F0F50">
            <w:pPr>
              <w:pStyle w:val="cuatexto"/>
            </w:pPr>
            <w:r w:rsidRPr="005F0F50">
              <w:t>ATS/Enfermera</w:t>
            </w:r>
          </w:p>
        </w:tc>
        <w:tc>
          <w:tcPr>
            <w:tcW w:w="1708"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B</w:t>
            </w:r>
          </w:p>
        </w:tc>
        <w:tc>
          <w:tcPr>
            <w:tcW w:w="1205" w:type="dxa"/>
            <w:tcBorders>
              <w:top w:val="single" w:sz="2" w:space="0" w:color="auto"/>
              <w:bottom w:val="single" w:sz="2" w:space="0" w:color="auto"/>
            </w:tcBorders>
            <w:vAlign w:val="center"/>
          </w:tcPr>
          <w:p w:rsidR="00BF67DC" w:rsidRPr="005F0F50" w:rsidRDefault="00BF67DC" w:rsidP="00BF67DC">
            <w:pPr>
              <w:pStyle w:val="cuatexto"/>
              <w:jc w:val="right"/>
            </w:pPr>
            <w:r>
              <w:t>3</w:t>
            </w:r>
          </w:p>
        </w:tc>
        <w:tc>
          <w:tcPr>
            <w:tcW w:w="1662" w:type="dxa"/>
            <w:tcBorders>
              <w:top w:val="single" w:sz="2" w:space="0" w:color="auto"/>
              <w:bottom w:val="single" w:sz="2" w:space="0" w:color="auto"/>
            </w:tcBorders>
            <w:vAlign w:val="center"/>
          </w:tcPr>
          <w:p w:rsidR="00BF67DC" w:rsidRPr="005F0F50" w:rsidRDefault="00BF67DC" w:rsidP="005F0F50">
            <w:pPr>
              <w:pStyle w:val="cuatexto"/>
              <w:jc w:val="right"/>
            </w:pPr>
            <w:r>
              <w:t>5</w:t>
            </w:r>
          </w:p>
        </w:tc>
        <w:tc>
          <w:tcPr>
            <w:tcW w:w="915"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8</w:t>
            </w:r>
          </w:p>
        </w:tc>
      </w:tr>
      <w:tr w:rsidR="00BF67DC" w:rsidTr="00CF63B3">
        <w:trPr>
          <w:trHeight w:val="300"/>
          <w:jc w:val="center"/>
        </w:trPr>
        <w:tc>
          <w:tcPr>
            <w:tcW w:w="3276" w:type="dxa"/>
            <w:tcBorders>
              <w:top w:val="single" w:sz="2" w:space="0" w:color="auto"/>
              <w:bottom w:val="single" w:sz="2" w:space="0" w:color="auto"/>
            </w:tcBorders>
            <w:noWrap/>
            <w:vAlign w:val="center"/>
            <w:hideMark/>
          </w:tcPr>
          <w:p w:rsidR="00BF67DC" w:rsidRPr="005F0F50" w:rsidRDefault="00BF67DC" w:rsidP="005F0F50">
            <w:pPr>
              <w:pStyle w:val="cuatexto"/>
            </w:pPr>
            <w:r w:rsidRPr="005F0F50">
              <w:t>Trabajadora social</w:t>
            </w:r>
          </w:p>
        </w:tc>
        <w:tc>
          <w:tcPr>
            <w:tcW w:w="1708"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B</w:t>
            </w:r>
          </w:p>
        </w:tc>
        <w:tc>
          <w:tcPr>
            <w:tcW w:w="1205" w:type="dxa"/>
            <w:tcBorders>
              <w:top w:val="single" w:sz="2" w:space="0" w:color="auto"/>
              <w:bottom w:val="single" w:sz="2" w:space="0" w:color="auto"/>
            </w:tcBorders>
            <w:vAlign w:val="center"/>
          </w:tcPr>
          <w:p w:rsidR="00BF67DC" w:rsidRPr="005F0F50" w:rsidRDefault="00BF67DC" w:rsidP="00BF67DC">
            <w:pPr>
              <w:pStyle w:val="cuatexto"/>
              <w:jc w:val="right"/>
            </w:pPr>
            <w:r>
              <w:t>1</w:t>
            </w:r>
          </w:p>
        </w:tc>
        <w:tc>
          <w:tcPr>
            <w:tcW w:w="1662" w:type="dxa"/>
            <w:tcBorders>
              <w:top w:val="single" w:sz="2" w:space="0" w:color="auto"/>
              <w:bottom w:val="single" w:sz="2" w:space="0" w:color="auto"/>
            </w:tcBorders>
            <w:vAlign w:val="center"/>
          </w:tcPr>
          <w:p w:rsidR="00BF67DC" w:rsidRPr="005F0F50" w:rsidRDefault="00BF67DC" w:rsidP="005F0F50">
            <w:pPr>
              <w:pStyle w:val="cuatexto"/>
              <w:jc w:val="right"/>
            </w:pPr>
          </w:p>
        </w:tc>
        <w:tc>
          <w:tcPr>
            <w:tcW w:w="915"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1</w:t>
            </w:r>
          </w:p>
        </w:tc>
      </w:tr>
      <w:tr w:rsidR="00BF67DC" w:rsidTr="00CF63B3">
        <w:trPr>
          <w:trHeight w:val="300"/>
          <w:jc w:val="center"/>
        </w:trPr>
        <w:tc>
          <w:tcPr>
            <w:tcW w:w="3276" w:type="dxa"/>
            <w:tcBorders>
              <w:top w:val="single" w:sz="2" w:space="0" w:color="auto"/>
              <w:bottom w:val="single" w:sz="2" w:space="0" w:color="auto"/>
            </w:tcBorders>
            <w:noWrap/>
            <w:vAlign w:val="center"/>
            <w:hideMark/>
          </w:tcPr>
          <w:p w:rsidR="00BF67DC" w:rsidRPr="005F0F50" w:rsidRDefault="00BF67DC" w:rsidP="00563BAE">
            <w:pPr>
              <w:pStyle w:val="cuatexto"/>
            </w:pPr>
            <w:r w:rsidRPr="005F0F50">
              <w:t xml:space="preserve">Oficial </w:t>
            </w:r>
            <w:r>
              <w:t>a</w:t>
            </w:r>
            <w:r w:rsidRPr="005F0F50">
              <w:t>dministrativo</w:t>
            </w:r>
            <w:r w:rsidR="00120EAC">
              <w:t xml:space="preserve"> (*)</w:t>
            </w:r>
          </w:p>
        </w:tc>
        <w:tc>
          <w:tcPr>
            <w:tcW w:w="1708"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C</w:t>
            </w:r>
          </w:p>
        </w:tc>
        <w:tc>
          <w:tcPr>
            <w:tcW w:w="1205" w:type="dxa"/>
            <w:tcBorders>
              <w:top w:val="single" w:sz="2" w:space="0" w:color="auto"/>
              <w:bottom w:val="single" w:sz="2" w:space="0" w:color="auto"/>
            </w:tcBorders>
            <w:vAlign w:val="center"/>
          </w:tcPr>
          <w:p w:rsidR="00BF67DC" w:rsidRPr="005F0F50" w:rsidRDefault="00BF67DC" w:rsidP="00BF67DC">
            <w:pPr>
              <w:pStyle w:val="cuatexto"/>
              <w:jc w:val="right"/>
            </w:pPr>
            <w:r>
              <w:t>2</w:t>
            </w:r>
          </w:p>
        </w:tc>
        <w:tc>
          <w:tcPr>
            <w:tcW w:w="1662" w:type="dxa"/>
            <w:tcBorders>
              <w:top w:val="single" w:sz="2" w:space="0" w:color="auto"/>
              <w:bottom w:val="single" w:sz="2" w:space="0" w:color="auto"/>
            </w:tcBorders>
            <w:vAlign w:val="center"/>
          </w:tcPr>
          <w:p w:rsidR="00BF67DC" w:rsidRPr="005F0F50" w:rsidRDefault="00BF67DC" w:rsidP="005F0F50">
            <w:pPr>
              <w:pStyle w:val="cuatexto"/>
              <w:jc w:val="right"/>
            </w:pPr>
          </w:p>
        </w:tc>
        <w:tc>
          <w:tcPr>
            <w:tcW w:w="915"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2</w:t>
            </w:r>
          </w:p>
        </w:tc>
      </w:tr>
      <w:tr w:rsidR="00BF67DC" w:rsidTr="00CF63B3">
        <w:trPr>
          <w:trHeight w:val="300"/>
          <w:jc w:val="center"/>
        </w:trPr>
        <w:tc>
          <w:tcPr>
            <w:tcW w:w="3276" w:type="dxa"/>
            <w:tcBorders>
              <w:top w:val="single" w:sz="2" w:space="0" w:color="auto"/>
              <w:bottom w:val="single" w:sz="2" w:space="0" w:color="auto"/>
            </w:tcBorders>
            <w:noWrap/>
            <w:vAlign w:val="center"/>
            <w:hideMark/>
          </w:tcPr>
          <w:p w:rsidR="00BF67DC" w:rsidRPr="005F0F50" w:rsidRDefault="00BF67DC" w:rsidP="005F0F50">
            <w:pPr>
              <w:pStyle w:val="cuatexto"/>
            </w:pPr>
            <w:r w:rsidRPr="005F0F50">
              <w:t>Oficial de mantenimiento</w:t>
            </w:r>
            <w:r w:rsidR="00120EAC">
              <w:t xml:space="preserve"> (*)</w:t>
            </w:r>
          </w:p>
        </w:tc>
        <w:tc>
          <w:tcPr>
            <w:tcW w:w="1708"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C</w:t>
            </w:r>
          </w:p>
        </w:tc>
        <w:tc>
          <w:tcPr>
            <w:tcW w:w="1205" w:type="dxa"/>
            <w:tcBorders>
              <w:top w:val="single" w:sz="2" w:space="0" w:color="auto"/>
              <w:bottom w:val="single" w:sz="2" w:space="0" w:color="auto"/>
            </w:tcBorders>
            <w:vAlign w:val="center"/>
          </w:tcPr>
          <w:p w:rsidR="00BF67DC" w:rsidRPr="005F0F50" w:rsidRDefault="00BF67DC" w:rsidP="00BF67DC">
            <w:pPr>
              <w:pStyle w:val="cuatexto"/>
              <w:jc w:val="right"/>
            </w:pPr>
            <w:r>
              <w:t>1</w:t>
            </w:r>
          </w:p>
        </w:tc>
        <w:tc>
          <w:tcPr>
            <w:tcW w:w="1662" w:type="dxa"/>
            <w:tcBorders>
              <w:top w:val="single" w:sz="2" w:space="0" w:color="auto"/>
              <w:bottom w:val="single" w:sz="2" w:space="0" w:color="auto"/>
            </w:tcBorders>
            <w:vAlign w:val="center"/>
          </w:tcPr>
          <w:p w:rsidR="00BF67DC" w:rsidRPr="005F0F50" w:rsidRDefault="00BF67DC" w:rsidP="005F0F50">
            <w:pPr>
              <w:pStyle w:val="cuatexto"/>
              <w:jc w:val="right"/>
            </w:pPr>
          </w:p>
        </w:tc>
        <w:tc>
          <w:tcPr>
            <w:tcW w:w="915" w:type="dxa"/>
            <w:tcBorders>
              <w:top w:val="single" w:sz="2" w:space="0" w:color="auto"/>
              <w:bottom w:val="single" w:sz="2" w:space="0" w:color="auto"/>
            </w:tcBorders>
            <w:noWrap/>
            <w:vAlign w:val="center"/>
            <w:hideMark/>
          </w:tcPr>
          <w:p w:rsidR="00BF67DC" w:rsidRPr="005F0F50" w:rsidRDefault="00BF67DC" w:rsidP="005F0F50">
            <w:pPr>
              <w:pStyle w:val="cuatexto"/>
              <w:jc w:val="right"/>
            </w:pPr>
            <w:r w:rsidRPr="005F0F50">
              <w:t>1</w:t>
            </w:r>
          </w:p>
        </w:tc>
      </w:tr>
      <w:tr w:rsidR="00BF67DC" w:rsidTr="00CF63B3">
        <w:trPr>
          <w:trHeight w:val="300"/>
          <w:jc w:val="center"/>
        </w:trPr>
        <w:tc>
          <w:tcPr>
            <w:tcW w:w="3276" w:type="dxa"/>
            <w:tcBorders>
              <w:top w:val="single" w:sz="2" w:space="0" w:color="auto"/>
              <w:bottom w:val="single" w:sz="4" w:space="0" w:color="auto"/>
            </w:tcBorders>
            <w:noWrap/>
            <w:vAlign w:val="center"/>
            <w:hideMark/>
          </w:tcPr>
          <w:p w:rsidR="00BF67DC" w:rsidRPr="005F0F50" w:rsidRDefault="00BF67DC" w:rsidP="005F0F50">
            <w:pPr>
              <w:pStyle w:val="cuatexto"/>
            </w:pPr>
            <w:r w:rsidRPr="005F0F50">
              <w:t>Servicios Generales</w:t>
            </w:r>
          </w:p>
        </w:tc>
        <w:tc>
          <w:tcPr>
            <w:tcW w:w="1708" w:type="dxa"/>
            <w:tcBorders>
              <w:top w:val="single" w:sz="2" w:space="0" w:color="auto"/>
              <w:bottom w:val="single" w:sz="4" w:space="0" w:color="auto"/>
            </w:tcBorders>
            <w:noWrap/>
            <w:vAlign w:val="center"/>
            <w:hideMark/>
          </w:tcPr>
          <w:p w:rsidR="00BF67DC" w:rsidRPr="005F0F50" w:rsidRDefault="00BF67DC" w:rsidP="005F0F50">
            <w:pPr>
              <w:pStyle w:val="cuatexto"/>
              <w:jc w:val="right"/>
            </w:pPr>
            <w:r w:rsidRPr="005F0F50">
              <w:t>D</w:t>
            </w:r>
          </w:p>
        </w:tc>
        <w:tc>
          <w:tcPr>
            <w:tcW w:w="1205" w:type="dxa"/>
            <w:tcBorders>
              <w:top w:val="single" w:sz="2" w:space="0" w:color="auto"/>
              <w:bottom w:val="single" w:sz="4" w:space="0" w:color="auto"/>
            </w:tcBorders>
            <w:vAlign w:val="center"/>
          </w:tcPr>
          <w:p w:rsidR="00BF67DC" w:rsidRDefault="00BF67DC" w:rsidP="00BF67DC">
            <w:pPr>
              <w:pStyle w:val="cuatexto"/>
              <w:jc w:val="right"/>
            </w:pPr>
            <w:r>
              <w:t>25</w:t>
            </w:r>
          </w:p>
        </w:tc>
        <w:tc>
          <w:tcPr>
            <w:tcW w:w="1662" w:type="dxa"/>
            <w:tcBorders>
              <w:top w:val="single" w:sz="2" w:space="0" w:color="auto"/>
              <w:bottom w:val="single" w:sz="4" w:space="0" w:color="auto"/>
            </w:tcBorders>
            <w:vAlign w:val="center"/>
          </w:tcPr>
          <w:p w:rsidR="00BF67DC" w:rsidRDefault="00BF67DC" w:rsidP="005F0F50">
            <w:pPr>
              <w:pStyle w:val="cuatexto"/>
              <w:jc w:val="right"/>
            </w:pPr>
            <w:r>
              <w:t>15</w:t>
            </w:r>
          </w:p>
        </w:tc>
        <w:tc>
          <w:tcPr>
            <w:tcW w:w="915" w:type="dxa"/>
            <w:tcBorders>
              <w:top w:val="single" w:sz="2" w:space="0" w:color="auto"/>
              <w:bottom w:val="single" w:sz="4" w:space="0" w:color="auto"/>
            </w:tcBorders>
            <w:noWrap/>
            <w:vAlign w:val="center"/>
            <w:hideMark/>
          </w:tcPr>
          <w:p w:rsidR="00BF67DC" w:rsidRPr="005F0F50" w:rsidRDefault="00BF67DC" w:rsidP="005F0F50">
            <w:pPr>
              <w:pStyle w:val="cuatexto"/>
              <w:jc w:val="right"/>
            </w:pPr>
            <w:r>
              <w:t>40</w:t>
            </w:r>
          </w:p>
        </w:tc>
      </w:tr>
      <w:tr w:rsidR="00BF67DC" w:rsidRPr="006E1BAE" w:rsidTr="006E1BAE">
        <w:trPr>
          <w:trHeight w:val="300"/>
          <w:jc w:val="center"/>
        </w:trPr>
        <w:tc>
          <w:tcPr>
            <w:tcW w:w="3276" w:type="dxa"/>
            <w:tcBorders>
              <w:top w:val="single" w:sz="4" w:space="0" w:color="auto"/>
              <w:bottom w:val="single" w:sz="4" w:space="0" w:color="auto"/>
            </w:tcBorders>
            <w:shd w:val="clear" w:color="auto" w:fill="FABF8F" w:themeFill="accent6" w:themeFillTint="99"/>
            <w:noWrap/>
            <w:vAlign w:val="center"/>
          </w:tcPr>
          <w:p w:rsidR="00BF67DC" w:rsidRPr="006E1BAE" w:rsidRDefault="00BF67DC" w:rsidP="006E1BAE">
            <w:pPr>
              <w:spacing w:after="0"/>
              <w:ind w:firstLine="61"/>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Total</w:t>
            </w:r>
          </w:p>
        </w:tc>
        <w:tc>
          <w:tcPr>
            <w:tcW w:w="1708" w:type="dxa"/>
            <w:tcBorders>
              <w:top w:val="single" w:sz="4" w:space="0" w:color="auto"/>
              <w:bottom w:val="single" w:sz="4" w:space="0" w:color="auto"/>
            </w:tcBorders>
            <w:shd w:val="clear" w:color="auto" w:fill="FABF8F" w:themeFill="accent6" w:themeFillTint="99"/>
            <w:noWrap/>
            <w:vAlign w:val="center"/>
          </w:tcPr>
          <w:p w:rsidR="00BF67DC" w:rsidRPr="006E1BAE" w:rsidRDefault="00BF67DC" w:rsidP="00BF67DC">
            <w:pPr>
              <w:spacing w:after="0"/>
              <w:rPr>
                <w:rFonts w:ascii="Arial" w:hAnsi="Arial" w:cs="Arial"/>
                <w:bCs/>
                <w:color w:val="000000"/>
                <w:sz w:val="18"/>
                <w:szCs w:val="18"/>
                <w:lang w:val="es-ES" w:eastAsia="es-ES"/>
              </w:rPr>
            </w:pPr>
          </w:p>
        </w:tc>
        <w:tc>
          <w:tcPr>
            <w:tcW w:w="1205" w:type="dxa"/>
            <w:tcBorders>
              <w:top w:val="single" w:sz="4" w:space="0" w:color="auto"/>
              <w:bottom w:val="single" w:sz="4" w:space="0" w:color="auto"/>
            </w:tcBorders>
            <w:shd w:val="clear" w:color="auto" w:fill="FABF8F" w:themeFill="accent6" w:themeFillTint="99"/>
            <w:vAlign w:val="center"/>
          </w:tcPr>
          <w:p w:rsidR="00BF67DC" w:rsidRPr="006E1BAE" w:rsidRDefault="00BF67DC" w:rsidP="00BF67DC">
            <w:pPr>
              <w:spacing w:after="0"/>
              <w:jc w:val="righ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33</w:t>
            </w:r>
          </w:p>
        </w:tc>
        <w:tc>
          <w:tcPr>
            <w:tcW w:w="1662" w:type="dxa"/>
            <w:tcBorders>
              <w:top w:val="single" w:sz="4" w:space="0" w:color="auto"/>
              <w:bottom w:val="single" w:sz="4" w:space="0" w:color="auto"/>
            </w:tcBorders>
            <w:shd w:val="clear" w:color="auto" w:fill="FABF8F" w:themeFill="accent6" w:themeFillTint="99"/>
            <w:vAlign w:val="center"/>
          </w:tcPr>
          <w:p w:rsidR="00BF67DC" w:rsidRPr="006E1BAE" w:rsidRDefault="00BF67DC" w:rsidP="00BF67DC">
            <w:pPr>
              <w:spacing w:after="0"/>
              <w:jc w:val="righ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20</w:t>
            </w:r>
          </w:p>
        </w:tc>
        <w:tc>
          <w:tcPr>
            <w:tcW w:w="915" w:type="dxa"/>
            <w:tcBorders>
              <w:top w:val="single" w:sz="4" w:space="0" w:color="auto"/>
              <w:bottom w:val="single" w:sz="4" w:space="0" w:color="auto"/>
            </w:tcBorders>
            <w:shd w:val="clear" w:color="auto" w:fill="FABF8F" w:themeFill="accent6" w:themeFillTint="99"/>
            <w:noWrap/>
            <w:vAlign w:val="center"/>
          </w:tcPr>
          <w:p w:rsidR="00BF67DC" w:rsidRPr="006E1BAE" w:rsidRDefault="00BF67DC" w:rsidP="00BF67DC">
            <w:pPr>
              <w:spacing w:after="0"/>
              <w:jc w:val="right"/>
              <w:rPr>
                <w:rFonts w:ascii="Arial" w:hAnsi="Arial" w:cs="Arial"/>
                <w:bCs/>
                <w:color w:val="000000"/>
                <w:sz w:val="18"/>
                <w:szCs w:val="18"/>
                <w:lang w:val="es-ES" w:eastAsia="es-ES"/>
              </w:rPr>
            </w:pPr>
            <w:r w:rsidRPr="006E1BAE">
              <w:rPr>
                <w:rFonts w:ascii="Arial" w:hAnsi="Arial" w:cs="Arial"/>
                <w:bCs/>
                <w:color w:val="000000"/>
                <w:sz w:val="18"/>
                <w:szCs w:val="18"/>
                <w:lang w:val="es-ES" w:eastAsia="es-ES"/>
              </w:rPr>
              <w:t>53</w:t>
            </w:r>
          </w:p>
        </w:tc>
      </w:tr>
    </w:tbl>
    <w:p w:rsidR="00FE178F" w:rsidRPr="00CF63B3" w:rsidRDefault="00120EAC" w:rsidP="00CF63B3">
      <w:pPr>
        <w:pStyle w:val="texto"/>
        <w:spacing w:before="60"/>
        <w:ind w:firstLine="0"/>
        <w:rPr>
          <w:sz w:val="18"/>
          <w:szCs w:val="18"/>
        </w:rPr>
      </w:pPr>
      <w:r w:rsidRPr="00CF63B3">
        <w:rPr>
          <w:sz w:val="18"/>
          <w:szCs w:val="18"/>
        </w:rPr>
        <w:t>(*) Compartidos entre ambos centros</w:t>
      </w:r>
    </w:p>
    <w:p w:rsidR="005F0F50" w:rsidRDefault="00B23480" w:rsidP="006E1BAE">
      <w:pPr>
        <w:pStyle w:val="texto"/>
        <w:spacing w:before="120"/>
      </w:pPr>
      <w:r>
        <w:t>Ahora bien, el número</w:t>
      </w:r>
      <w:r w:rsidR="00EF025D">
        <w:t xml:space="preserve"> efectivo</w:t>
      </w:r>
      <w:r>
        <w:t xml:space="preserve"> de</w:t>
      </w:r>
      <w:r w:rsidR="005F0F50">
        <w:t xml:space="preserve"> empleados asciende a 58 personas</w:t>
      </w:r>
      <w:r w:rsidR="00EF025D">
        <w:t>, dado que</w:t>
      </w:r>
      <w:r w:rsidR="005F0F50">
        <w:t xml:space="preserve"> hay puestos de trabajo que presentan una jornada laboral inferior al 100 por ciento; en concreto, </w:t>
      </w:r>
      <w:r w:rsidR="000443E5">
        <w:t>nueve</w:t>
      </w:r>
      <w:r w:rsidR="005F0F50">
        <w:t xml:space="preserve"> puestos están ocupados por dos </w:t>
      </w:r>
      <w:r w:rsidR="000443E5">
        <w:t>o</w:t>
      </w:r>
      <w:r w:rsidR="005F0F50">
        <w:t xml:space="preserve"> tres personas.</w:t>
      </w:r>
      <w:r w:rsidR="00666C5C">
        <w:t xml:space="preserve"> Si estimamos el número de personas equivalentes a jornada completa, su número ascendería a 4</w:t>
      </w:r>
      <w:r w:rsidR="00D76880">
        <w:t>5</w:t>
      </w:r>
      <w:r w:rsidR="007F1F26">
        <w:t>,3</w:t>
      </w:r>
      <w:r w:rsidR="00666C5C">
        <w:t xml:space="preserve"> empleados</w:t>
      </w:r>
      <w:r w:rsidR="00AE7A2C">
        <w:t>, 28</w:t>
      </w:r>
      <w:r w:rsidR="007F1F26">
        <w:t>,2</w:t>
      </w:r>
      <w:r w:rsidR="00120EAC">
        <w:t xml:space="preserve"> en la residencia y 17</w:t>
      </w:r>
      <w:r w:rsidR="007F1F26">
        <w:t>,1</w:t>
      </w:r>
      <w:r w:rsidR="00120EAC">
        <w:t xml:space="preserve"> en el psicogeriátrico.</w:t>
      </w:r>
    </w:p>
    <w:p w:rsidR="00A54EE1" w:rsidRDefault="00A54EE1" w:rsidP="00F66D24">
      <w:pPr>
        <w:pStyle w:val="texto"/>
        <w:spacing w:after="240"/>
      </w:pPr>
    </w:p>
    <w:p w:rsidR="005B2D90" w:rsidRDefault="007A4440" w:rsidP="00F66D24">
      <w:pPr>
        <w:pStyle w:val="texto"/>
        <w:spacing w:after="240"/>
      </w:pPr>
      <w:r>
        <w:t>Como media anual, en 2015 han trabaj</w:t>
      </w:r>
      <w:r w:rsidR="00831374">
        <w:t xml:space="preserve">ado </w:t>
      </w:r>
      <w:r>
        <w:t>en la res</w:t>
      </w:r>
      <w:r w:rsidR="00B23480">
        <w:t>id</w:t>
      </w:r>
      <w:r>
        <w:t>encia 68 p</w:t>
      </w:r>
      <w:r w:rsidR="00B23480">
        <w:t>ersonas</w:t>
      </w:r>
      <w:r w:rsidR="005B2D90">
        <w:t>, de acuerdo con la siguiente distribuci</w:t>
      </w:r>
      <w:r w:rsidR="00EF025D">
        <w:t>ón:</w:t>
      </w:r>
    </w:p>
    <w:tbl>
      <w:tblPr>
        <w:tblW w:w="873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208"/>
        <w:gridCol w:w="1524"/>
      </w:tblGrid>
      <w:tr w:rsidR="005B2D90" w:rsidRPr="00CF63B3" w:rsidTr="00CF63B3">
        <w:trPr>
          <w:trHeight w:val="300"/>
          <w:jc w:val="center"/>
        </w:trPr>
        <w:tc>
          <w:tcPr>
            <w:tcW w:w="7208" w:type="dxa"/>
            <w:shd w:val="clear" w:color="auto" w:fill="FABF8F" w:themeFill="accent6" w:themeFillTint="99"/>
            <w:noWrap/>
            <w:vAlign w:val="center"/>
            <w:hideMark/>
          </w:tcPr>
          <w:p w:rsidR="005B2D90" w:rsidRPr="00CF63B3" w:rsidRDefault="005B2D90" w:rsidP="00CF63B3">
            <w:pPr>
              <w:spacing w:after="0"/>
              <w:ind w:firstLine="44"/>
              <w:jc w:val="left"/>
              <w:rPr>
                <w:rFonts w:ascii="Arial" w:hAnsi="Arial" w:cs="Arial"/>
                <w:bCs/>
                <w:color w:val="000000"/>
                <w:sz w:val="18"/>
                <w:szCs w:val="18"/>
                <w:lang w:val="es-ES" w:eastAsia="es-ES"/>
              </w:rPr>
            </w:pPr>
            <w:r w:rsidRPr="00CF63B3">
              <w:rPr>
                <w:rFonts w:ascii="Arial" w:hAnsi="Arial" w:cs="Arial"/>
                <w:bCs/>
                <w:color w:val="000000"/>
                <w:sz w:val="18"/>
                <w:szCs w:val="18"/>
                <w:lang w:val="es-ES" w:eastAsia="es-ES"/>
              </w:rPr>
              <w:t>Centro de trabajo</w:t>
            </w:r>
          </w:p>
        </w:tc>
        <w:tc>
          <w:tcPr>
            <w:tcW w:w="1524" w:type="dxa"/>
            <w:shd w:val="clear" w:color="auto" w:fill="FABF8F" w:themeFill="accent6" w:themeFillTint="99"/>
            <w:noWrap/>
            <w:vAlign w:val="center"/>
            <w:hideMark/>
          </w:tcPr>
          <w:p w:rsidR="005B2D90" w:rsidRPr="00CF63B3" w:rsidRDefault="005B2D90" w:rsidP="00CF63B3">
            <w:pPr>
              <w:spacing w:after="0"/>
              <w:ind w:firstLine="0"/>
              <w:jc w:val="right"/>
              <w:rPr>
                <w:rFonts w:ascii="Arial" w:hAnsi="Arial" w:cs="Arial"/>
                <w:bCs/>
                <w:color w:val="000000"/>
                <w:sz w:val="18"/>
                <w:szCs w:val="18"/>
                <w:lang w:val="es-ES" w:eastAsia="es-ES"/>
              </w:rPr>
            </w:pPr>
            <w:r w:rsidRPr="00CF63B3">
              <w:rPr>
                <w:rFonts w:ascii="Arial" w:hAnsi="Arial" w:cs="Arial"/>
                <w:bCs/>
                <w:color w:val="000000"/>
                <w:sz w:val="18"/>
                <w:szCs w:val="18"/>
                <w:lang w:val="es-ES" w:eastAsia="es-ES"/>
              </w:rPr>
              <w:t>Número</w:t>
            </w:r>
          </w:p>
        </w:tc>
      </w:tr>
      <w:tr w:rsidR="005B2D90" w:rsidRPr="005F0F50" w:rsidTr="00CF63B3">
        <w:trPr>
          <w:trHeight w:val="300"/>
          <w:jc w:val="center"/>
        </w:trPr>
        <w:tc>
          <w:tcPr>
            <w:tcW w:w="7208" w:type="dxa"/>
            <w:noWrap/>
            <w:vAlign w:val="center"/>
            <w:hideMark/>
          </w:tcPr>
          <w:p w:rsidR="005B2D90" w:rsidRPr="005F0F50" w:rsidRDefault="005B2D90" w:rsidP="009B728B">
            <w:pPr>
              <w:pStyle w:val="cuatexto"/>
            </w:pPr>
            <w:r>
              <w:t>Residencia</w:t>
            </w:r>
          </w:p>
        </w:tc>
        <w:tc>
          <w:tcPr>
            <w:tcW w:w="1524" w:type="dxa"/>
            <w:noWrap/>
            <w:vAlign w:val="center"/>
          </w:tcPr>
          <w:p w:rsidR="005B2D90" w:rsidRPr="005F0F50" w:rsidRDefault="005B2D90" w:rsidP="009B728B">
            <w:pPr>
              <w:pStyle w:val="cuatexto"/>
              <w:jc w:val="right"/>
            </w:pPr>
            <w:r>
              <w:t>44</w:t>
            </w:r>
          </w:p>
        </w:tc>
      </w:tr>
      <w:tr w:rsidR="005B2D90" w:rsidRPr="005F0F50" w:rsidTr="00CF63B3">
        <w:trPr>
          <w:trHeight w:val="300"/>
          <w:jc w:val="center"/>
        </w:trPr>
        <w:tc>
          <w:tcPr>
            <w:tcW w:w="7208" w:type="dxa"/>
            <w:noWrap/>
            <w:vAlign w:val="center"/>
            <w:hideMark/>
          </w:tcPr>
          <w:p w:rsidR="005B2D90" w:rsidRPr="005F0F50" w:rsidRDefault="005B2D90" w:rsidP="005B2D90">
            <w:pPr>
              <w:pStyle w:val="cuatexto"/>
            </w:pPr>
            <w:r>
              <w:t>Psicogeriatría</w:t>
            </w:r>
          </w:p>
        </w:tc>
        <w:tc>
          <w:tcPr>
            <w:tcW w:w="1524" w:type="dxa"/>
            <w:noWrap/>
            <w:vAlign w:val="center"/>
          </w:tcPr>
          <w:p w:rsidR="005B2D90" w:rsidRPr="005F0F50" w:rsidRDefault="005B2D90" w:rsidP="009B728B">
            <w:pPr>
              <w:pStyle w:val="cuatexto"/>
              <w:jc w:val="right"/>
            </w:pPr>
            <w:r>
              <w:t>24</w:t>
            </w:r>
          </w:p>
        </w:tc>
      </w:tr>
      <w:tr w:rsidR="005B2D90" w:rsidRPr="005F0F50" w:rsidTr="00CF63B3">
        <w:trPr>
          <w:trHeight w:val="300"/>
          <w:jc w:val="center"/>
        </w:trPr>
        <w:tc>
          <w:tcPr>
            <w:tcW w:w="7208" w:type="dxa"/>
            <w:shd w:val="clear" w:color="auto" w:fill="FABF8F" w:themeFill="accent6" w:themeFillTint="99"/>
            <w:noWrap/>
            <w:vAlign w:val="center"/>
            <w:hideMark/>
          </w:tcPr>
          <w:p w:rsidR="005B2D90" w:rsidRPr="005F0F50" w:rsidRDefault="005B2D90" w:rsidP="00CF63B3">
            <w:pPr>
              <w:pStyle w:val="cuadroCabe"/>
              <w:rPr>
                <w:lang w:val="es-ES" w:eastAsia="es-ES"/>
              </w:rPr>
            </w:pPr>
            <w:r w:rsidRPr="005F0F50">
              <w:rPr>
                <w:lang w:val="es-ES" w:eastAsia="es-ES"/>
              </w:rPr>
              <w:t>T</w:t>
            </w:r>
            <w:r>
              <w:rPr>
                <w:lang w:val="es-ES" w:eastAsia="es-ES"/>
              </w:rPr>
              <w:t xml:space="preserve">otal </w:t>
            </w:r>
          </w:p>
        </w:tc>
        <w:tc>
          <w:tcPr>
            <w:tcW w:w="1524" w:type="dxa"/>
            <w:shd w:val="clear" w:color="auto" w:fill="FABF8F" w:themeFill="accent6" w:themeFillTint="99"/>
            <w:vAlign w:val="center"/>
          </w:tcPr>
          <w:p w:rsidR="005B2D90" w:rsidRPr="005F0F50" w:rsidRDefault="005B2D90" w:rsidP="005B2D90">
            <w:pPr>
              <w:pStyle w:val="cuadroCabe"/>
              <w:jc w:val="right"/>
              <w:rPr>
                <w:lang w:val="es-ES" w:eastAsia="es-ES"/>
              </w:rPr>
            </w:pPr>
            <w:r>
              <w:rPr>
                <w:lang w:val="es-ES" w:eastAsia="es-ES"/>
              </w:rPr>
              <w:t>68</w:t>
            </w:r>
          </w:p>
        </w:tc>
      </w:tr>
    </w:tbl>
    <w:p w:rsidR="00A213E3" w:rsidRDefault="00A213E3" w:rsidP="00AE2266">
      <w:pPr>
        <w:pStyle w:val="texto"/>
        <w:spacing w:before="240"/>
      </w:pPr>
      <w:r>
        <w:t>De la revisión efectuada y del muestreo sobre las nóminas de nueve emple</w:t>
      </w:r>
      <w:r>
        <w:t>a</w:t>
      </w:r>
      <w:r>
        <w:t xml:space="preserve">dos, </w:t>
      </w:r>
      <w:r w:rsidR="00852B1B">
        <w:t>concluimos que con carácter general los gastos de personal están corre</w:t>
      </w:r>
      <w:r w:rsidR="00852B1B">
        <w:t>c</w:t>
      </w:r>
      <w:r w:rsidR="00852B1B">
        <w:t xml:space="preserve">tamente </w:t>
      </w:r>
      <w:r w:rsidR="00C70FA4">
        <w:t>justificados</w:t>
      </w:r>
      <w:r w:rsidR="00852B1B">
        <w:t>, contabilizados y pagados. No obstante, señalamos los s</w:t>
      </w:r>
      <w:r w:rsidR="00852B1B">
        <w:t>i</w:t>
      </w:r>
      <w:r w:rsidR="00852B1B">
        <w:t>guientes aspectos sobre la gestión de personal:</w:t>
      </w:r>
    </w:p>
    <w:p w:rsidR="008C1E01" w:rsidRDefault="008C1E01" w:rsidP="008C1E01">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La imputación presupuestaria al capítulo es correcta con la excepción del gasto del psiquiatra cuya vinculación es profesional y no laboral. No consta contrato firmado para la prestación de este servicio y su gasto, por importe de 10.606 euros, debería registrarse en el capítulo 2.</w:t>
      </w:r>
    </w:p>
    <w:p w:rsidR="008C1E01" w:rsidRDefault="008C1E01" w:rsidP="008C1E01">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Para regular las condiciones laborales, jornada y retribuciones del personal de la residencia se aplica el convenio colectivo del personal laboral de la A</w:t>
      </w:r>
      <w:r>
        <w:t>d</w:t>
      </w:r>
      <w:r>
        <w:t>ministración de la Comunidad Foral. Observamos la existencia de compleme</w:t>
      </w:r>
      <w:r>
        <w:t>n</w:t>
      </w:r>
      <w:r>
        <w:t>tos retributivos di</w:t>
      </w:r>
      <w:r w:rsidR="00831374">
        <w:t>ferentes</w:t>
      </w:r>
      <w:r>
        <w:t xml:space="preserve"> en puestos de trabajo idénticos, sin que nos conste justificación del tal circunstancia.</w:t>
      </w:r>
    </w:p>
    <w:p w:rsidR="008C1E01" w:rsidRPr="008C1E01" w:rsidRDefault="008C1E01" w:rsidP="008C1E01">
      <w:pPr>
        <w:pStyle w:val="texto"/>
        <w:rPr>
          <w:color w:val="000000" w:themeColor="text1"/>
        </w:rPr>
      </w:pPr>
      <w:r w:rsidRPr="008C1E01">
        <w:rPr>
          <w:color w:val="000000" w:themeColor="text1"/>
        </w:rPr>
        <w:t>Sobre la jornada de trabajo, la mayoría de los empleados de la residencia h</w:t>
      </w:r>
      <w:r w:rsidRPr="008C1E01">
        <w:rPr>
          <w:color w:val="000000" w:themeColor="text1"/>
        </w:rPr>
        <w:t>a</w:t>
      </w:r>
      <w:r w:rsidRPr="008C1E01">
        <w:rPr>
          <w:color w:val="000000" w:themeColor="text1"/>
        </w:rPr>
        <w:t xml:space="preserve">cen un total de 1.554 horas/año. </w:t>
      </w:r>
    </w:p>
    <w:p w:rsidR="00216F1E" w:rsidRPr="00A54EE1" w:rsidRDefault="00216F1E" w:rsidP="00563BAE">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2"/>
        </w:rPr>
      </w:pPr>
      <w:r w:rsidRPr="00A54EE1">
        <w:rPr>
          <w:spacing w:val="2"/>
        </w:rPr>
        <w:t>Desde el inicio de su actividad</w:t>
      </w:r>
      <w:r w:rsidR="00AD2452" w:rsidRPr="00A54EE1">
        <w:rPr>
          <w:spacing w:val="2"/>
        </w:rPr>
        <w:t>, la</w:t>
      </w:r>
      <w:r w:rsidRPr="00A54EE1">
        <w:rPr>
          <w:spacing w:val="2"/>
        </w:rPr>
        <w:t xml:space="preserve"> mancom</w:t>
      </w:r>
      <w:r w:rsidR="00AD2452" w:rsidRPr="00A54EE1">
        <w:rPr>
          <w:spacing w:val="2"/>
        </w:rPr>
        <w:t>unidad</w:t>
      </w:r>
      <w:r w:rsidRPr="00A54EE1">
        <w:rPr>
          <w:spacing w:val="2"/>
        </w:rPr>
        <w:t xml:space="preserve"> no ha </w:t>
      </w:r>
      <w:r w:rsidR="00AD2452" w:rsidRPr="00A54EE1">
        <w:rPr>
          <w:spacing w:val="2"/>
        </w:rPr>
        <w:t>efectuado convocat</w:t>
      </w:r>
      <w:r w:rsidR="00AD2452" w:rsidRPr="00A54EE1">
        <w:rPr>
          <w:spacing w:val="2"/>
        </w:rPr>
        <w:t>o</w:t>
      </w:r>
      <w:r w:rsidR="00AD2452" w:rsidRPr="00A54EE1">
        <w:rPr>
          <w:spacing w:val="2"/>
        </w:rPr>
        <w:t>rias públicas para el acceso al empleo público de las plazas de la plantilla orgán</w:t>
      </w:r>
      <w:r w:rsidR="00AD2452" w:rsidRPr="00A54EE1">
        <w:rPr>
          <w:spacing w:val="2"/>
        </w:rPr>
        <w:t>i</w:t>
      </w:r>
      <w:r w:rsidR="00AD2452" w:rsidRPr="00A54EE1">
        <w:rPr>
          <w:spacing w:val="2"/>
        </w:rPr>
        <w:t>ca</w:t>
      </w:r>
      <w:r w:rsidR="00AE7A2C" w:rsidRPr="00A54EE1">
        <w:rPr>
          <w:spacing w:val="2"/>
        </w:rPr>
        <w:t>,</w:t>
      </w:r>
      <w:r w:rsidR="00AD2452" w:rsidRPr="00A54EE1">
        <w:rPr>
          <w:spacing w:val="2"/>
        </w:rPr>
        <w:t xml:space="preserve"> </w:t>
      </w:r>
      <w:r w:rsidR="00831374" w:rsidRPr="00A54EE1">
        <w:rPr>
          <w:spacing w:val="2"/>
        </w:rPr>
        <w:t>contrariamente a lo señalado en</w:t>
      </w:r>
      <w:r w:rsidR="00AD2452" w:rsidRPr="00A54EE1">
        <w:rPr>
          <w:spacing w:val="2"/>
        </w:rPr>
        <w:t xml:space="preserve"> la normativa de las entidades locales de Nav</w:t>
      </w:r>
      <w:r w:rsidR="00AD2452" w:rsidRPr="00A54EE1">
        <w:rPr>
          <w:spacing w:val="2"/>
        </w:rPr>
        <w:t>a</w:t>
      </w:r>
      <w:r w:rsidR="00AD2452" w:rsidRPr="00A54EE1">
        <w:rPr>
          <w:spacing w:val="2"/>
        </w:rPr>
        <w:t xml:space="preserve">rra y </w:t>
      </w:r>
      <w:r w:rsidR="002E4A72" w:rsidRPr="00A54EE1">
        <w:rPr>
          <w:spacing w:val="2"/>
        </w:rPr>
        <w:t>no se han aplicado, en términos generales,</w:t>
      </w:r>
      <w:r w:rsidR="00AD2452" w:rsidRPr="00A54EE1">
        <w:rPr>
          <w:spacing w:val="2"/>
        </w:rPr>
        <w:t xml:space="preserve"> los principios de mérito, capac</w:t>
      </w:r>
      <w:r w:rsidR="00AD2452" w:rsidRPr="00A54EE1">
        <w:rPr>
          <w:spacing w:val="2"/>
        </w:rPr>
        <w:t>i</w:t>
      </w:r>
      <w:r w:rsidR="00AD2452" w:rsidRPr="00A54EE1">
        <w:rPr>
          <w:spacing w:val="2"/>
        </w:rPr>
        <w:t xml:space="preserve">dad, igualdad y publicidad. </w:t>
      </w:r>
      <w:r w:rsidR="00C70FA4" w:rsidRPr="00A54EE1">
        <w:rPr>
          <w:spacing w:val="2"/>
        </w:rPr>
        <w:t>Tampoco han</w:t>
      </w:r>
      <w:r w:rsidR="00AD2452" w:rsidRPr="00A54EE1">
        <w:rPr>
          <w:spacing w:val="2"/>
        </w:rPr>
        <w:t xml:space="preserve"> exist</w:t>
      </w:r>
      <w:r w:rsidR="00C70FA4" w:rsidRPr="00A54EE1">
        <w:rPr>
          <w:spacing w:val="2"/>
        </w:rPr>
        <w:t>ido</w:t>
      </w:r>
      <w:r w:rsidR="00AD2452" w:rsidRPr="00A54EE1">
        <w:rPr>
          <w:spacing w:val="2"/>
        </w:rPr>
        <w:t xml:space="preserve"> ofertas públicas de empleo.</w:t>
      </w:r>
      <w:r w:rsidRPr="00A54EE1">
        <w:rPr>
          <w:spacing w:val="2"/>
        </w:rPr>
        <w:t xml:space="preserve"> </w:t>
      </w:r>
    </w:p>
    <w:p w:rsidR="00EF025D" w:rsidRDefault="00EF025D" w:rsidP="00563BAE">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Con carácter general, no consta la realización de pruebas selectivas para la contratación del personal.</w:t>
      </w:r>
    </w:p>
    <w:p w:rsidR="00591C8E" w:rsidRPr="00591C8E" w:rsidRDefault="000F1E20" w:rsidP="00563BAE">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rsidRPr="00591C8E">
        <w:t>A</w:t>
      </w:r>
      <w:r w:rsidR="00E40FA2" w:rsidRPr="00591C8E">
        <w:t>cceso a la condición de fijo</w:t>
      </w:r>
      <w:r w:rsidR="00EA065A">
        <w:t xml:space="preserve"> de empleados</w:t>
      </w:r>
      <w:r w:rsidR="00341E2C" w:rsidRPr="00EF0547">
        <w:rPr>
          <w:color w:val="FF0000"/>
        </w:rPr>
        <w:t xml:space="preserve"> </w:t>
      </w:r>
      <w:r w:rsidR="00341E2C">
        <w:t>de la residencia de ancianos</w:t>
      </w:r>
      <w:r w:rsidR="00272882">
        <w:t>:</w:t>
      </w:r>
      <w:r w:rsidRPr="00591C8E">
        <w:t xml:space="preserve"> </w:t>
      </w:r>
    </w:p>
    <w:p w:rsidR="00EA065A" w:rsidRDefault="00591C8E" w:rsidP="00591C8E">
      <w:pPr>
        <w:pStyle w:val="texto"/>
      </w:pPr>
      <w:r>
        <w:t>En 1992, dos trabajador</w:t>
      </w:r>
      <w:r w:rsidR="00EF0547">
        <w:t>e</w:t>
      </w:r>
      <w:r>
        <w:t>s de la residencia presentan una demanda por la que reclaman el reconocimiento de la condición de fijo. En el fallo correspondiente, se declara que la relación mantenida con la mancomunidad es de carácter lab</w:t>
      </w:r>
      <w:r>
        <w:t>o</w:t>
      </w:r>
      <w:r>
        <w:t xml:space="preserve">ral y con carácter fijo. </w:t>
      </w:r>
    </w:p>
    <w:p w:rsidR="00591C8E" w:rsidRPr="00591C8E" w:rsidRDefault="00591C8E" w:rsidP="00591C8E">
      <w:pPr>
        <w:pStyle w:val="texto"/>
      </w:pPr>
      <w:r>
        <w:t>El 11 de febrero de 1993 por acuerdo de la asamblea, se reconoce la cond</w:t>
      </w:r>
      <w:r>
        <w:t>i</w:t>
      </w:r>
      <w:r>
        <w:t xml:space="preserve">ción de fijo a los dos </w:t>
      </w:r>
      <w:r w:rsidR="005E37B7">
        <w:t xml:space="preserve">trabajadores anteriores </w:t>
      </w:r>
      <w:r>
        <w:t>y se hace extensiva la condición de fijo a los trabajadores existentes en la mancomunidad que así lo solicitan y  cuya duración de los contratos excede de tres años; en total esta extensión afe</w:t>
      </w:r>
      <w:r>
        <w:t>c</w:t>
      </w:r>
      <w:r>
        <w:t>tó a 10 empleados.</w:t>
      </w:r>
    </w:p>
    <w:p w:rsidR="00CF63B3" w:rsidRDefault="005E67BD" w:rsidP="007321B3">
      <w:pPr>
        <w:pStyle w:val="texto"/>
      </w:pPr>
      <w:r>
        <w:t>En la asamblea de la mancomunidad de diciembre de 1996, la secretaria de la misma informó</w:t>
      </w:r>
      <w:r w:rsidR="00AD2452">
        <w:t>,</w:t>
      </w:r>
      <w:r>
        <w:t xml:space="preserve"> y así consta en el acta oportuna</w:t>
      </w:r>
      <w:r w:rsidR="00AD2452">
        <w:t>,</w:t>
      </w:r>
      <w:r>
        <w:t xml:space="preserve"> que consideraba ilegal la forma en que se pretendía proveer los puestos de trabajo.</w:t>
      </w:r>
    </w:p>
    <w:p w:rsidR="00591C8E" w:rsidRDefault="007321B3" w:rsidP="00591C8E">
      <w:pPr>
        <w:pStyle w:val="texto"/>
      </w:pPr>
      <w:r>
        <w:t>Después de esa fecha</w:t>
      </w:r>
      <w:r w:rsidR="00591C8E">
        <w:t>:</w:t>
      </w:r>
    </w:p>
    <w:p w:rsidR="00591C8E" w:rsidRDefault="00341E2C" w:rsidP="00591C8E">
      <w:pPr>
        <w:pStyle w:val="texto"/>
      </w:pPr>
      <w:r>
        <w:t>a)</w:t>
      </w:r>
      <w:r w:rsidR="00591C8E">
        <w:t xml:space="preserve"> Por el transcurso de la duración máxima</w:t>
      </w:r>
      <w:r w:rsidR="003D58B0">
        <w:t xml:space="preserve"> temporal</w:t>
      </w:r>
      <w:r w:rsidR="00591C8E">
        <w:t xml:space="preserve"> de los contratos, se r</w:t>
      </w:r>
      <w:r w:rsidR="00591C8E">
        <w:t>e</w:t>
      </w:r>
      <w:r w:rsidR="00591C8E">
        <w:t>conoce la condición de fijos a otros cinco empleados con la aprobación de la plantilla orgánica</w:t>
      </w:r>
      <w:r>
        <w:t xml:space="preserve"> de cada ejercicio</w:t>
      </w:r>
      <w:r w:rsidR="00591C8E">
        <w:t>.</w:t>
      </w:r>
      <w:r>
        <w:t xml:space="preserve"> El último supuesto se materializa en 2005.</w:t>
      </w:r>
      <w:r w:rsidR="00591C8E">
        <w:t xml:space="preserve"> </w:t>
      </w:r>
    </w:p>
    <w:p w:rsidR="00591C8E" w:rsidRDefault="00591C8E" w:rsidP="00591C8E">
      <w:pPr>
        <w:pStyle w:val="texto"/>
      </w:pPr>
      <w:r>
        <w:t>b) Por demanda de dos trabajadores</w:t>
      </w:r>
      <w:r w:rsidR="00341E2C">
        <w:t xml:space="preserve"> –presentadas en 2006 y 2007</w:t>
      </w:r>
      <w:r w:rsidR="00CF63B3">
        <w:t>–</w:t>
      </w:r>
      <w:r>
        <w:t>, que en virtud de sentencia favorable pasan a ser fijas</w:t>
      </w:r>
      <w:r w:rsidR="004B73E0">
        <w:t>.</w:t>
      </w:r>
    </w:p>
    <w:p w:rsidR="00EF0547" w:rsidRPr="00EA065A" w:rsidRDefault="00EA065A" w:rsidP="00EF025D">
      <w:pPr>
        <w:pStyle w:val="texto"/>
      </w:pPr>
      <w:r w:rsidRPr="00EA065A">
        <w:t>De los anteriores empleados, a</w:t>
      </w:r>
      <w:r w:rsidR="00EF0547" w:rsidRPr="00EA065A">
        <w:t xml:space="preserve"> 31 de diciembre </w:t>
      </w:r>
      <w:r w:rsidR="00F42EEF">
        <w:t>de 2015</w:t>
      </w:r>
      <w:r w:rsidR="003D58B0">
        <w:t>,</w:t>
      </w:r>
      <w:r w:rsidR="00F42EEF">
        <w:t xml:space="preserve"> </w:t>
      </w:r>
      <w:r w:rsidR="00EF0547" w:rsidRPr="00EA065A">
        <w:t>quedan</w:t>
      </w:r>
      <w:r w:rsidR="00F42EEF">
        <w:t xml:space="preserve"> en activo</w:t>
      </w:r>
      <w:r w:rsidR="00EF0547" w:rsidRPr="00EA065A">
        <w:t xml:space="preserve"> </w:t>
      </w:r>
      <w:r w:rsidRPr="00EA065A">
        <w:t xml:space="preserve">un total de </w:t>
      </w:r>
      <w:r w:rsidR="00EF0547" w:rsidRPr="00EA065A">
        <w:t>17</w:t>
      </w:r>
      <w:r w:rsidRPr="00EA065A">
        <w:t xml:space="preserve"> trabajadores.</w:t>
      </w:r>
    </w:p>
    <w:p w:rsidR="00341E2C" w:rsidRDefault="00BA5073" w:rsidP="00EF025D">
      <w:pPr>
        <w:pStyle w:val="texto"/>
      </w:pPr>
      <w:r>
        <w:t xml:space="preserve">En definitiva, el conjunto de los </w:t>
      </w:r>
      <w:r w:rsidR="003D58B0">
        <w:t>citados</w:t>
      </w:r>
      <w:r>
        <w:t xml:space="preserve"> trabajadores ha adquirido</w:t>
      </w:r>
      <w:r w:rsidR="009C5F4C">
        <w:t xml:space="preserve"> la cond</w:t>
      </w:r>
      <w:r w:rsidR="009C5F4C">
        <w:t>i</w:t>
      </w:r>
      <w:r w:rsidR="009C5F4C">
        <w:t>ción de fijo</w:t>
      </w:r>
      <w:r>
        <w:t xml:space="preserve"> en el empleo de la mancomunidad sin seguir los procedimientos de acceso previsto en el Estatuto de la Función Pública.</w:t>
      </w:r>
      <w:r w:rsidR="005834AA">
        <w:t xml:space="preserve"> Esta condición se ha a</w:t>
      </w:r>
      <w:r w:rsidR="005834AA">
        <w:t>d</w:t>
      </w:r>
      <w:r w:rsidR="005834AA">
        <w:t>quirido por aplicación de sentencias judiciales y por extensión de las mismas a trabajadores en situaciones análogas.</w:t>
      </w:r>
    </w:p>
    <w:p w:rsidR="00103AE3" w:rsidRDefault="00341E2C" w:rsidP="00563BAE">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Contratación temporal </w:t>
      </w:r>
    </w:p>
    <w:p w:rsidR="00103AE3" w:rsidRDefault="00103AE3" w:rsidP="00103AE3">
      <w:pPr>
        <w:pStyle w:val="texto"/>
      </w:pPr>
      <w:r>
        <w:t>a) Con la puesta en funcionamiento del psicogeriátrico en 2008, y aludiendo urgencia en el inicio de la actividad, se cubrieron todas las plazas de forma temporal</w:t>
      </w:r>
      <w:r w:rsidR="00216F1E">
        <w:t xml:space="preserve"> con contrato de interinidad</w:t>
      </w:r>
      <w:r>
        <w:t xml:space="preserve"> en tanto no se </w:t>
      </w:r>
      <w:r w:rsidR="00D755B3">
        <w:t>oferten</w:t>
      </w:r>
      <w:r>
        <w:t xml:space="preserve"> de forma definitiva dichas plazas</w:t>
      </w:r>
      <w:r w:rsidR="00216F1E">
        <w:t>.</w:t>
      </w:r>
      <w:r>
        <w:t xml:space="preserve"> Situación que no se ha dado hasta la actualidad.</w:t>
      </w:r>
    </w:p>
    <w:p w:rsidR="00341E2C" w:rsidRDefault="00103AE3" w:rsidP="00103AE3">
      <w:pPr>
        <w:pStyle w:val="texto"/>
      </w:pPr>
      <w:r>
        <w:t>b) P</w:t>
      </w:r>
      <w:r w:rsidR="00341E2C">
        <w:t xml:space="preserve">ara sustituciones, bajas, etc. </w:t>
      </w:r>
      <w:r w:rsidR="005B2D90">
        <w:t>A</w:t>
      </w:r>
      <w:r w:rsidR="00341E2C">
        <w:t>nualmente</w:t>
      </w:r>
      <w:r w:rsidR="005B2D90">
        <w:t xml:space="preserve"> y</w:t>
      </w:r>
      <w:r w:rsidR="00341E2C">
        <w:t xml:space="preserve"> mediante petición a la oficina de empleo de Aoiz, </w:t>
      </w:r>
      <w:r w:rsidR="005B2D90">
        <w:t>se solicita una relación o lista</w:t>
      </w:r>
      <w:r w:rsidR="00341E2C">
        <w:t xml:space="preserve"> de personas susceptibles de ser contratadas dentro del ámbito geográfico de dicha oficina</w:t>
      </w:r>
      <w:r w:rsidR="00464403">
        <w:t>.</w:t>
      </w:r>
      <w:r w:rsidR="00341E2C">
        <w:t xml:space="preserve"> Según nos ind</w:t>
      </w:r>
      <w:r w:rsidR="00341E2C">
        <w:t>i</w:t>
      </w:r>
      <w:r w:rsidR="00341E2C">
        <w:t>can, las personas incluidas en esas listas se suelen repetir</w:t>
      </w:r>
      <w:r w:rsidR="005B2D90">
        <w:t xml:space="preserve"> cada año</w:t>
      </w:r>
      <w:r w:rsidR="00341E2C">
        <w:t xml:space="preserve"> y genera</w:t>
      </w:r>
      <w:r w:rsidR="00341E2C">
        <w:t>l</w:t>
      </w:r>
      <w:r w:rsidR="00341E2C">
        <w:t>mente renuncian a ser contratadas por la</w:t>
      </w:r>
      <w:r w:rsidR="005B2D90">
        <w:t>s condiciones ofertadas.</w:t>
      </w:r>
      <w:r w:rsidR="0021458F">
        <w:t xml:space="preserve"> Resultado de ello, se contrata</w:t>
      </w:r>
      <w:r w:rsidR="00D73BBD">
        <w:t xml:space="preserve"> habitualmente</w:t>
      </w:r>
      <w:r w:rsidR="0021458F">
        <w:t xml:space="preserve"> a personas que ya habían trabajo con anterior</w:t>
      </w:r>
      <w:r w:rsidR="0021458F">
        <w:t>i</w:t>
      </w:r>
      <w:r w:rsidR="0021458F">
        <w:t>dad</w:t>
      </w:r>
      <w:r w:rsidR="00D73BBD">
        <w:t xml:space="preserve"> en el centro</w:t>
      </w:r>
      <w:r w:rsidR="0021458F">
        <w:t>.</w:t>
      </w:r>
    </w:p>
    <w:p w:rsidR="00464403" w:rsidRPr="00646EE3" w:rsidRDefault="00464403" w:rsidP="00103AE3">
      <w:pPr>
        <w:pStyle w:val="texto"/>
      </w:pPr>
      <w:r w:rsidRPr="00646EE3">
        <w:t>Las condiciones ofertadas y la ubicación geográfica de la residencia dificu</w:t>
      </w:r>
      <w:r w:rsidRPr="00646EE3">
        <w:t>l</w:t>
      </w:r>
      <w:r w:rsidRPr="00646EE3">
        <w:t xml:space="preserve">tan </w:t>
      </w:r>
      <w:r w:rsidR="00C86F0B" w:rsidRPr="00646EE3">
        <w:t xml:space="preserve">en gran medida </w:t>
      </w:r>
      <w:r w:rsidRPr="00646EE3">
        <w:t>esta contratación temporal.</w:t>
      </w:r>
    </w:p>
    <w:p w:rsidR="00044F8B" w:rsidRDefault="00044F8B" w:rsidP="00563BAE">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Pagas extras. Sobre esta cuestión, destacamos:</w:t>
      </w:r>
    </w:p>
    <w:p w:rsidR="00044F8B" w:rsidRDefault="00044F8B" w:rsidP="00044F8B">
      <w:pPr>
        <w:pStyle w:val="texto"/>
      </w:pPr>
      <w:r>
        <w:t xml:space="preserve">a) En 2015, la mancomunidad ha </w:t>
      </w:r>
      <w:r w:rsidR="003D58B0">
        <w:t xml:space="preserve">anticipado el pago de las </w:t>
      </w:r>
      <w:r>
        <w:t>extras de su pe</w:t>
      </w:r>
      <w:r>
        <w:t>r</w:t>
      </w:r>
      <w:r>
        <w:t>sonal a enero –la de junio</w:t>
      </w:r>
      <w:r w:rsidR="00CF63B3">
        <w:t>–</w:t>
      </w:r>
      <w:r>
        <w:t xml:space="preserve"> y a junio –la de diciembre</w:t>
      </w:r>
      <w:r w:rsidR="00CF63B3">
        <w:t>–</w:t>
      </w:r>
      <w:r>
        <w:t>.</w:t>
      </w:r>
    </w:p>
    <w:p w:rsidR="006C56A8" w:rsidRDefault="00044F8B" w:rsidP="005542D8">
      <w:pPr>
        <w:pStyle w:val="texto"/>
      </w:pPr>
      <w:r>
        <w:t>b) Así mismo</w:t>
      </w:r>
      <w:r w:rsidR="003D58B0">
        <w:t>,</w:t>
      </w:r>
      <w:r>
        <w:t xml:space="preserve"> en diciembre de 2015</w:t>
      </w:r>
      <w:r w:rsidR="003D58B0">
        <w:t>,</w:t>
      </w:r>
      <w:r>
        <w:t xml:space="preserve"> </w:t>
      </w:r>
      <w:r w:rsidR="00AE7A2C">
        <w:t>devolvió</w:t>
      </w:r>
      <w:r>
        <w:t xml:space="preserve"> el 50 por ciento de la paga e</w:t>
      </w:r>
      <w:r>
        <w:t>x</w:t>
      </w:r>
      <w:r>
        <w:t>tra suprimida en diciembre de 2012. De acuerdo con la disposición adicional décima segunda de la Ley de Presupuestos del Estado para 2015, tal recuper</w:t>
      </w:r>
      <w:r>
        <w:t>a</w:t>
      </w:r>
      <w:r>
        <w:t>ción está condicionada al cumpl</w:t>
      </w:r>
      <w:r w:rsidR="007C34F0">
        <w:t>i</w:t>
      </w:r>
      <w:r>
        <w:t>miento de los criterios y p</w:t>
      </w:r>
      <w:r w:rsidR="007C34F0">
        <w:t>ro</w:t>
      </w:r>
      <w:r>
        <w:t>cedimientos est</w:t>
      </w:r>
      <w:r w:rsidR="007C34F0">
        <w:t>a</w:t>
      </w:r>
      <w:r>
        <w:t>blecidos en la LOEPySF</w:t>
      </w:r>
      <w:r w:rsidR="007C34F0">
        <w:t xml:space="preserve">. </w:t>
      </w:r>
    </w:p>
    <w:p w:rsidR="00B93F1F" w:rsidRDefault="00AE7A2C" w:rsidP="00604C9B">
      <w:pPr>
        <w:pStyle w:val="texto"/>
      </w:pPr>
      <w:r>
        <w:t>c) En enero de 2016</w:t>
      </w:r>
      <w:r w:rsidR="007C34F0">
        <w:t xml:space="preserve"> pag</w:t>
      </w:r>
      <w:r>
        <w:t xml:space="preserve">ó </w:t>
      </w:r>
      <w:r w:rsidR="007C34F0">
        <w:t>el 50 por ciento restante de la paga extra de 2012. De acuerdo con la disposición adicional décima segunda de la Ley de Pres</w:t>
      </w:r>
      <w:r w:rsidR="007C34F0">
        <w:t>u</w:t>
      </w:r>
      <w:r w:rsidR="007C34F0">
        <w:t xml:space="preserve">puestos del Estado para 2016, tal recuperación </w:t>
      </w:r>
      <w:r w:rsidR="00F45977">
        <w:t>debe tener en cuenta la</w:t>
      </w:r>
      <w:r w:rsidR="007C34F0">
        <w:t xml:space="preserve"> situación económico-financiera</w:t>
      </w:r>
      <w:r w:rsidR="00F45977">
        <w:t xml:space="preserve"> de la entidad</w:t>
      </w:r>
      <w:r w:rsidR="007C34F0">
        <w:t xml:space="preserve">. </w:t>
      </w:r>
    </w:p>
    <w:p w:rsidR="00EF025D" w:rsidRDefault="00EF025D" w:rsidP="00EF025D">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Retribuciones de la secretaria de la mancomunidad. En 2015 han ascendido a 2.527 euros, sobre las que no se practica la preceptiva retención de IRPF ni se incluyen en la declaración anual de retribuciones.</w:t>
      </w:r>
    </w:p>
    <w:p w:rsidR="005676A9" w:rsidRPr="002B58EF" w:rsidRDefault="005676A9" w:rsidP="005676A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rsidRPr="002B58EF">
        <w:t>Compatibilidad de la presidenta de la mancomunidad con su condición de empleada fija de la residencia</w:t>
      </w:r>
      <w:r w:rsidR="003D58B0" w:rsidRPr="002B58EF">
        <w:t>:</w:t>
      </w:r>
    </w:p>
    <w:p w:rsidR="005676A9" w:rsidRDefault="00093804" w:rsidP="005676A9">
      <w:pPr>
        <w:pStyle w:val="texto"/>
      </w:pPr>
      <w:r>
        <w:t>Según los</w:t>
      </w:r>
      <w:r w:rsidR="005676A9">
        <w:t xml:space="preserve"> estatutos</w:t>
      </w:r>
      <w:r w:rsidR="00464403">
        <w:t xml:space="preserve"> </w:t>
      </w:r>
      <w:r w:rsidR="005676A9">
        <w:t>de la mancomunidad</w:t>
      </w:r>
      <w:r w:rsidR="00464403">
        <w:t xml:space="preserve"> –vigentes hasta diciembre de 2016-</w:t>
      </w:r>
      <w:r w:rsidR="005676A9">
        <w:t xml:space="preserve">, el alcalde de Lumbier es a su vez presidente de la mancomunidad. De acuerdo con estas previsiones, la alcaldesa del citado ayuntamiento asumió en junio de 2015 </w:t>
      </w:r>
      <w:r>
        <w:t>esa</w:t>
      </w:r>
      <w:r w:rsidR="005676A9">
        <w:t xml:space="preserve"> presidencia, dándose la circunstancia de que es empleada fija de la r</w:t>
      </w:r>
      <w:r w:rsidR="005676A9">
        <w:t>e</w:t>
      </w:r>
      <w:r w:rsidR="005676A9">
        <w:t>sidencia.</w:t>
      </w:r>
      <w:r>
        <w:t xml:space="preserve"> En esa fecha solicita</w:t>
      </w:r>
      <w:r w:rsidR="000F1E20">
        <w:t>,</w:t>
      </w:r>
      <w:r>
        <w:t xml:space="preserve"> y se le concede</w:t>
      </w:r>
      <w:r w:rsidR="000F1E20">
        <w:t>,</w:t>
      </w:r>
      <w:r>
        <w:t xml:space="preserve"> una reducción de jornada –del 100 al 57 por ciento</w:t>
      </w:r>
      <w:r w:rsidR="00CF63B3">
        <w:t>–</w:t>
      </w:r>
      <w:r>
        <w:t xml:space="preserve"> para atender sus responsabilidades en el ayuntamiento.</w:t>
      </w:r>
    </w:p>
    <w:p w:rsidR="00464403" w:rsidRDefault="002B58EF" w:rsidP="002B58EF">
      <w:pPr>
        <w:pStyle w:val="texto"/>
      </w:pPr>
      <w:r>
        <w:t>A la vista de la normativa vigente, podría apreciarse la existencia de una p</w:t>
      </w:r>
      <w:r>
        <w:t>o</w:t>
      </w:r>
      <w:r>
        <w:t>sible causa de incompatibilidad entre su cargo de presidenta de la mancomun</w:t>
      </w:r>
      <w:r>
        <w:t>i</w:t>
      </w:r>
      <w:r>
        <w:t>dad y ser trabajadora en activo de la misma. En este sentido, la junta general o asamblea de la mancomunidad, debiera analizar esta situación y, tras la instru</w:t>
      </w:r>
      <w:r>
        <w:t>c</w:t>
      </w:r>
      <w:r>
        <w:t>ción del oportuno expediente, adoptar el acuerdo correspondiente declarando su compatibilidad o incompatibilidad.</w:t>
      </w:r>
    </w:p>
    <w:p w:rsidR="002B58EF" w:rsidRPr="00646EE3" w:rsidRDefault="005542D8" w:rsidP="002B58EF">
      <w:pPr>
        <w:pStyle w:val="texto"/>
      </w:pPr>
      <w:r w:rsidRPr="00646EE3">
        <w:t xml:space="preserve">De acuerdo con lo contemplado en los nuevos estatutos y en </w:t>
      </w:r>
      <w:r w:rsidR="00464403" w:rsidRPr="00646EE3">
        <w:t>la fase de tram</w:t>
      </w:r>
      <w:r w:rsidR="00464403" w:rsidRPr="00646EE3">
        <w:t>i</w:t>
      </w:r>
      <w:r w:rsidR="00464403" w:rsidRPr="00646EE3">
        <w:t>tación de este informe, en concreto en enero de 2017, la presidenta de la ma</w:t>
      </w:r>
      <w:r w:rsidR="00464403" w:rsidRPr="00646EE3">
        <w:t>n</w:t>
      </w:r>
      <w:r w:rsidR="00464403" w:rsidRPr="00646EE3">
        <w:t>comunidad dimite de su cargo, siendo sustituida por el teniente-alcalde del Ayuntamiento de Lumbier</w:t>
      </w:r>
      <w:r w:rsidRPr="00646EE3">
        <w:t xml:space="preserve">, solventándose, en consecuencia, </w:t>
      </w:r>
      <w:r w:rsidR="00E368E7" w:rsidRPr="00646EE3">
        <w:t>la</w:t>
      </w:r>
      <w:r w:rsidRPr="00646EE3">
        <w:t xml:space="preserve"> </w:t>
      </w:r>
      <w:r w:rsidR="009A60DC" w:rsidRPr="00646EE3">
        <w:t>posible inco</w:t>
      </w:r>
      <w:r w:rsidR="009A60DC" w:rsidRPr="00646EE3">
        <w:t>m</w:t>
      </w:r>
      <w:r w:rsidR="009A60DC" w:rsidRPr="00646EE3">
        <w:t>patibilidad</w:t>
      </w:r>
      <w:r w:rsidR="00464403" w:rsidRPr="00646EE3">
        <w:t>.</w:t>
      </w:r>
      <w:r w:rsidR="002B58EF" w:rsidRPr="00646EE3">
        <w:t xml:space="preserve"> </w:t>
      </w:r>
    </w:p>
    <w:p w:rsidR="000F1E20" w:rsidRDefault="000F1E20" w:rsidP="000F1E20">
      <w:pPr>
        <w:pStyle w:val="texto"/>
      </w:pPr>
      <w:r>
        <w:t>Recomendaciones</w:t>
      </w:r>
      <w:r w:rsidR="007B49FB">
        <w:t>:</w:t>
      </w:r>
    </w:p>
    <w:p w:rsidR="00EF025D" w:rsidRPr="00D755B3" w:rsidRDefault="00EF025D" w:rsidP="00D755B3">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D755B3">
        <w:rPr>
          <w:i/>
        </w:rPr>
        <w:t>Analizar la actual situación del personal de la residencia y proceder pr</w:t>
      </w:r>
      <w:r w:rsidRPr="00D755B3">
        <w:rPr>
          <w:i/>
        </w:rPr>
        <w:t>o</w:t>
      </w:r>
      <w:r w:rsidRPr="00D755B3">
        <w:rPr>
          <w:i/>
        </w:rPr>
        <w:t>gresivamente a efectuar ofertas públicas de empleo que mediante la</w:t>
      </w:r>
      <w:r w:rsidR="00D755B3" w:rsidRPr="00D755B3">
        <w:rPr>
          <w:i/>
        </w:rPr>
        <w:t>s</w:t>
      </w:r>
      <w:r w:rsidRPr="00D755B3">
        <w:rPr>
          <w:i/>
        </w:rPr>
        <w:t xml:space="preserve"> oportunas convocatorias públicas</w:t>
      </w:r>
      <w:r w:rsidR="00D755B3" w:rsidRPr="00D755B3">
        <w:rPr>
          <w:i/>
        </w:rPr>
        <w:t xml:space="preserve"> y pruebas selectivas</w:t>
      </w:r>
      <w:r w:rsidRPr="00D755B3">
        <w:rPr>
          <w:i/>
        </w:rPr>
        <w:t xml:space="preserve"> garanticen el acceso al empleo de acuerdo con los princ</w:t>
      </w:r>
      <w:r w:rsidR="00D755B3" w:rsidRPr="00D755B3">
        <w:rPr>
          <w:i/>
        </w:rPr>
        <w:t>ipios</w:t>
      </w:r>
      <w:r w:rsidRPr="00D755B3">
        <w:rPr>
          <w:i/>
        </w:rPr>
        <w:t xml:space="preserve"> de igualda</w:t>
      </w:r>
      <w:r w:rsidR="00D755B3" w:rsidRPr="00D755B3">
        <w:rPr>
          <w:i/>
        </w:rPr>
        <w:t>d</w:t>
      </w:r>
      <w:r w:rsidRPr="00D755B3">
        <w:rPr>
          <w:i/>
        </w:rPr>
        <w:t>, mérito</w:t>
      </w:r>
      <w:r w:rsidR="00D755B3">
        <w:rPr>
          <w:i/>
        </w:rPr>
        <w:t>,</w:t>
      </w:r>
      <w:r w:rsidRPr="00D755B3">
        <w:rPr>
          <w:i/>
        </w:rPr>
        <w:t xml:space="preserve"> capacidad</w:t>
      </w:r>
      <w:r w:rsidR="00D755B3">
        <w:rPr>
          <w:i/>
        </w:rPr>
        <w:t xml:space="preserve"> y publicidad</w:t>
      </w:r>
      <w:r w:rsidRPr="00D755B3">
        <w:rPr>
          <w:i/>
        </w:rPr>
        <w:t>.</w:t>
      </w:r>
    </w:p>
    <w:p w:rsidR="00EF025D" w:rsidRPr="00D755B3" w:rsidRDefault="00EF025D" w:rsidP="00D755B3">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D755B3">
        <w:rPr>
          <w:i/>
        </w:rPr>
        <w:t>Aplicar la normativa fiscal a todas las retribuciones abonadas.</w:t>
      </w:r>
    </w:p>
    <w:p w:rsidR="007B49FB" w:rsidRDefault="007B49FB" w:rsidP="007B49FB">
      <w:pPr>
        <w:pStyle w:val="texto"/>
        <w:tabs>
          <w:tab w:val="clear" w:pos="2835"/>
          <w:tab w:val="clear" w:pos="3969"/>
          <w:tab w:val="clear" w:pos="5103"/>
          <w:tab w:val="clear" w:pos="6237"/>
          <w:tab w:val="clear" w:pos="7371"/>
          <w:tab w:val="left" w:pos="480"/>
          <w:tab w:val="num" w:pos="928"/>
          <w:tab w:val="num" w:pos="6597"/>
        </w:tabs>
        <w:rPr>
          <w:i/>
        </w:rPr>
      </w:pPr>
    </w:p>
    <w:p w:rsidR="007B49FB" w:rsidRDefault="007B49FB" w:rsidP="007B49FB">
      <w:pPr>
        <w:pStyle w:val="texto"/>
        <w:tabs>
          <w:tab w:val="clear" w:pos="2835"/>
          <w:tab w:val="clear" w:pos="3969"/>
          <w:tab w:val="clear" w:pos="5103"/>
          <w:tab w:val="clear" w:pos="6237"/>
          <w:tab w:val="clear" w:pos="7371"/>
          <w:tab w:val="left" w:pos="480"/>
          <w:tab w:val="num" w:pos="928"/>
          <w:tab w:val="num" w:pos="6597"/>
        </w:tabs>
        <w:rPr>
          <w:i/>
        </w:rPr>
      </w:pPr>
    </w:p>
    <w:p w:rsidR="007B49FB" w:rsidRPr="00E84579" w:rsidRDefault="007B49FB" w:rsidP="007B49FB">
      <w:pPr>
        <w:pStyle w:val="texto"/>
        <w:tabs>
          <w:tab w:val="clear" w:pos="2835"/>
          <w:tab w:val="clear" w:pos="3969"/>
          <w:tab w:val="clear" w:pos="5103"/>
          <w:tab w:val="clear" w:pos="6237"/>
          <w:tab w:val="clear" w:pos="7371"/>
          <w:tab w:val="left" w:pos="480"/>
          <w:tab w:val="num" w:pos="928"/>
          <w:tab w:val="num" w:pos="6597"/>
        </w:tabs>
        <w:rPr>
          <w:i/>
        </w:rPr>
      </w:pPr>
    </w:p>
    <w:p w:rsidR="00D11DE7" w:rsidRPr="00044F8B" w:rsidRDefault="004A2FC5" w:rsidP="00D11DE7">
      <w:pPr>
        <w:pStyle w:val="atitulo2"/>
        <w:spacing w:before="240"/>
        <w:rPr>
          <w:color w:val="auto"/>
        </w:rPr>
      </w:pPr>
      <w:bookmarkStart w:id="33" w:name="_Toc475093097"/>
      <w:r w:rsidRPr="00044F8B">
        <w:rPr>
          <w:color w:val="auto"/>
        </w:rPr>
        <w:t>IV.5. Bienes corrientes y servicios</w:t>
      </w:r>
      <w:bookmarkEnd w:id="33"/>
      <w:r w:rsidR="00D11DE7" w:rsidRPr="00044F8B">
        <w:rPr>
          <w:color w:val="auto"/>
        </w:rPr>
        <w:t xml:space="preserve"> </w:t>
      </w:r>
    </w:p>
    <w:p w:rsidR="004A2FC5" w:rsidRDefault="004A2FC5" w:rsidP="00B72879">
      <w:pPr>
        <w:pStyle w:val="texto"/>
      </w:pPr>
      <w:r>
        <w:t>El capítulo 2 de gastos de la mancomunidad asciende a 1,06 millones, que representan el 37 por ciento del gasto total de 2015.</w:t>
      </w:r>
    </w:p>
    <w:p w:rsidR="00252EEB" w:rsidRDefault="00604318" w:rsidP="00AE2266">
      <w:pPr>
        <w:pStyle w:val="texto"/>
        <w:spacing w:after="180"/>
      </w:pPr>
      <w:r>
        <w:t>Se han revisado</w:t>
      </w:r>
      <w:r w:rsidR="00055415">
        <w:t xml:space="preserve"> </w:t>
      </w:r>
      <w:r>
        <w:t>las siguientes partidas que representan el 79 por ciento del gasto del capítulo:</w:t>
      </w:r>
    </w:p>
    <w:tbl>
      <w:tblPr>
        <w:tblW w:w="8867" w:type="dxa"/>
        <w:jc w:val="center"/>
        <w:tblCellMar>
          <w:left w:w="70" w:type="dxa"/>
          <w:right w:w="70" w:type="dxa"/>
        </w:tblCellMar>
        <w:tblLook w:val="04A0" w:firstRow="1" w:lastRow="0" w:firstColumn="1" w:lastColumn="0" w:noHBand="0" w:noVBand="1"/>
      </w:tblPr>
      <w:tblGrid>
        <w:gridCol w:w="7244"/>
        <w:gridCol w:w="1623"/>
      </w:tblGrid>
      <w:tr w:rsidR="00604318" w:rsidRPr="00C43957" w:rsidTr="00AE2266">
        <w:trPr>
          <w:trHeight w:val="255"/>
          <w:jc w:val="center"/>
        </w:trPr>
        <w:tc>
          <w:tcPr>
            <w:tcW w:w="7244" w:type="dxa"/>
            <w:tcBorders>
              <w:top w:val="single" w:sz="4" w:space="0" w:color="auto"/>
              <w:bottom w:val="single" w:sz="4" w:space="0" w:color="auto"/>
            </w:tcBorders>
            <w:shd w:val="clear" w:color="auto" w:fill="FABF8F" w:themeFill="accent6" w:themeFillTint="99"/>
            <w:vAlign w:val="center"/>
          </w:tcPr>
          <w:p w:rsidR="00604318" w:rsidRPr="00C43957" w:rsidRDefault="00604318" w:rsidP="000D2C76">
            <w:pPr>
              <w:pStyle w:val="cuadroCabe"/>
              <w:rPr>
                <w:lang w:val="es-ES" w:eastAsia="es-ES"/>
              </w:rPr>
            </w:pPr>
            <w:r>
              <w:rPr>
                <w:lang w:val="es-ES" w:eastAsia="es-ES"/>
              </w:rPr>
              <w:t>Partidas</w:t>
            </w:r>
          </w:p>
        </w:tc>
        <w:tc>
          <w:tcPr>
            <w:tcW w:w="1623" w:type="dxa"/>
            <w:tcBorders>
              <w:top w:val="single" w:sz="4" w:space="0" w:color="auto"/>
              <w:bottom w:val="single" w:sz="4" w:space="0" w:color="auto"/>
            </w:tcBorders>
            <w:shd w:val="clear" w:color="auto" w:fill="FABF8F" w:themeFill="accent6" w:themeFillTint="99"/>
            <w:vAlign w:val="center"/>
          </w:tcPr>
          <w:p w:rsidR="00604318" w:rsidRPr="00C43957" w:rsidRDefault="00604318" w:rsidP="000D2C76">
            <w:pPr>
              <w:pStyle w:val="cuadroCabe"/>
              <w:jc w:val="right"/>
              <w:rPr>
                <w:lang w:val="es-ES" w:eastAsia="es-ES"/>
              </w:rPr>
            </w:pPr>
            <w:r w:rsidRPr="00C43957">
              <w:rPr>
                <w:lang w:val="es-ES" w:eastAsia="es-ES"/>
              </w:rPr>
              <w:t>Importe</w:t>
            </w:r>
          </w:p>
        </w:tc>
      </w:tr>
      <w:tr w:rsidR="00604318" w:rsidRPr="00C43957" w:rsidTr="00AE2266">
        <w:trPr>
          <w:trHeight w:val="255"/>
          <w:jc w:val="center"/>
        </w:trPr>
        <w:tc>
          <w:tcPr>
            <w:tcW w:w="7244" w:type="dxa"/>
            <w:tcBorders>
              <w:top w:val="single" w:sz="4" w:space="0" w:color="auto"/>
              <w:bottom w:val="single" w:sz="2" w:space="0" w:color="auto"/>
            </w:tcBorders>
            <w:shd w:val="clear" w:color="auto" w:fill="auto"/>
            <w:vAlign w:val="center"/>
          </w:tcPr>
          <w:p w:rsidR="00604318" w:rsidRPr="00C43957" w:rsidRDefault="00604318" w:rsidP="000D2C76">
            <w:pPr>
              <w:pStyle w:val="cuatexto"/>
            </w:pPr>
            <w:r>
              <w:t>Asesoramiento económico</w:t>
            </w:r>
          </w:p>
        </w:tc>
        <w:tc>
          <w:tcPr>
            <w:tcW w:w="1623" w:type="dxa"/>
            <w:tcBorders>
              <w:top w:val="single" w:sz="4" w:space="0" w:color="auto"/>
              <w:bottom w:val="single" w:sz="2" w:space="0" w:color="auto"/>
            </w:tcBorders>
            <w:vAlign w:val="center"/>
          </w:tcPr>
          <w:p w:rsidR="00604318" w:rsidRPr="00C43957" w:rsidRDefault="00604318" w:rsidP="000D2C76">
            <w:pPr>
              <w:pStyle w:val="cuatexto"/>
              <w:jc w:val="right"/>
            </w:pPr>
            <w:r>
              <w:t>31.882</w:t>
            </w:r>
          </w:p>
        </w:tc>
      </w:tr>
      <w:tr w:rsidR="001405DD" w:rsidRPr="00C43957" w:rsidTr="00AE2266">
        <w:trPr>
          <w:trHeight w:val="255"/>
          <w:jc w:val="center"/>
        </w:trPr>
        <w:tc>
          <w:tcPr>
            <w:tcW w:w="7244" w:type="dxa"/>
            <w:tcBorders>
              <w:top w:val="single" w:sz="4" w:space="0" w:color="auto"/>
              <w:bottom w:val="single" w:sz="2" w:space="0" w:color="auto"/>
            </w:tcBorders>
            <w:shd w:val="clear" w:color="auto" w:fill="auto"/>
            <w:vAlign w:val="center"/>
          </w:tcPr>
          <w:p w:rsidR="001405DD" w:rsidRPr="00604318" w:rsidRDefault="001405DD" w:rsidP="000D2C76">
            <w:pPr>
              <w:pStyle w:val="cuatexto"/>
            </w:pPr>
            <w:r>
              <w:t>Comedor</w:t>
            </w:r>
          </w:p>
        </w:tc>
        <w:tc>
          <w:tcPr>
            <w:tcW w:w="1623" w:type="dxa"/>
            <w:tcBorders>
              <w:top w:val="single" w:sz="4" w:space="0" w:color="auto"/>
              <w:bottom w:val="single" w:sz="2" w:space="0" w:color="auto"/>
            </w:tcBorders>
            <w:vAlign w:val="center"/>
          </w:tcPr>
          <w:p w:rsidR="001405DD" w:rsidRPr="00604318" w:rsidRDefault="001405DD" w:rsidP="000D2C76">
            <w:pPr>
              <w:pStyle w:val="cuatexto"/>
              <w:jc w:val="right"/>
            </w:pPr>
            <w:r>
              <w:t>392.431</w:t>
            </w:r>
          </w:p>
        </w:tc>
      </w:tr>
      <w:tr w:rsidR="001405DD" w:rsidRPr="00C43957" w:rsidTr="00AE2266">
        <w:trPr>
          <w:trHeight w:val="255"/>
          <w:jc w:val="center"/>
        </w:trPr>
        <w:tc>
          <w:tcPr>
            <w:tcW w:w="7244" w:type="dxa"/>
            <w:tcBorders>
              <w:top w:val="single" w:sz="4" w:space="0" w:color="auto"/>
              <w:bottom w:val="single" w:sz="2" w:space="0" w:color="auto"/>
            </w:tcBorders>
            <w:shd w:val="clear" w:color="auto" w:fill="auto"/>
            <w:vAlign w:val="center"/>
          </w:tcPr>
          <w:p w:rsidR="001405DD" w:rsidRPr="00C43957" w:rsidRDefault="001405DD" w:rsidP="000D2C76">
            <w:pPr>
              <w:pStyle w:val="cuatexto"/>
            </w:pPr>
            <w:r>
              <w:t>Limpieza</w:t>
            </w:r>
          </w:p>
        </w:tc>
        <w:tc>
          <w:tcPr>
            <w:tcW w:w="1623" w:type="dxa"/>
            <w:tcBorders>
              <w:top w:val="single" w:sz="4" w:space="0" w:color="auto"/>
              <w:bottom w:val="single" w:sz="2" w:space="0" w:color="auto"/>
            </w:tcBorders>
            <w:vAlign w:val="center"/>
          </w:tcPr>
          <w:p w:rsidR="001405DD" w:rsidRPr="00C43957" w:rsidRDefault="001405DD" w:rsidP="000D2C76">
            <w:pPr>
              <w:pStyle w:val="cuatexto"/>
              <w:jc w:val="right"/>
            </w:pPr>
            <w:r>
              <w:t>375.315</w:t>
            </w:r>
          </w:p>
        </w:tc>
      </w:tr>
      <w:tr w:rsidR="001405DD" w:rsidRPr="00303343" w:rsidTr="00AE2266">
        <w:trPr>
          <w:trHeight w:val="255"/>
          <w:jc w:val="center"/>
        </w:trPr>
        <w:tc>
          <w:tcPr>
            <w:tcW w:w="7244" w:type="dxa"/>
            <w:tcBorders>
              <w:top w:val="single" w:sz="2" w:space="0" w:color="auto"/>
              <w:bottom w:val="single" w:sz="4" w:space="0" w:color="auto"/>
            </w:tcBorders>
            <w:shd w:val="clear" w:color="auto" w:fill="auto"/>
            <w:vAlign w:val="center"/>
          </w:tcPr>
          <w:p w:rsidR="001405DD" w:rsidRPr="00604318" w:rsidRDefault="001405DD" w:rsidP="000D2C76">
            <w:pPr>
              <w:pStyle w:val="cuatexto"/>
            </w:pPr>
            <w:r>
              <w:t>Fisioterapeuta</w:t>
            </w:r>
            <w:r w:rsidR="00464403">
              <w:t xml:space="preserve"> y terapia ocupacional</w:t>
            </w:r>
          </w:p>
        </w:tc>
        <w:tc>
          <w:tcPr>
            <w:tcW w:w="1623" w:type="dxa"/>
            <w:tcBorders>
              <w:top w:val="single" w:sz="2" w:space="0" w:color="auto"/>
              <w:bottom w:val="single" w:sz="4" w:space="0" w:color="auto"/>
            </w:tcBorders>
            <w:vAlign w:val="center"/>
          </w:tcPr>
          <w:p w:rsidR="001405DD" w:rsidRPr="00604318" w:rsidRDefault="001405DD" w:rsidP="000D2C76">
            <w:pPr>
              <w:pStyle w:val="cuatexto"/>
              <w:jc w:val="right"/>
            </w:pPr>
            <w:r>
              <w:t>39.010</w:t>
            </w:r>
          </w:p>
        </w:tc>
      </w:tr>
      <w:tr w:rsidR="001405DD" w:rsidRPr="00C43957" w:rsidTr="00AE2266">
        <w:trPr>
          <w:trHeight w:val="255"/>
          <w:jc w:val="center"/>
        </w:trPr>
        <w:tc>
          <w:tcPr>
            <w:tcW w:w="7244" w:type="dxa"/>
            <w:tcBorders>
              <w:top w:val="single" w:sz="4" w:space="0" w:color="auto"/>
              <w:bottom w:val="single" w:sz="4" w:space="0" w:color="auto"/>
            </w:tcBorders>
            <w:shd w:val="clear" w:color="auto" w:fill="FABF8F" w:themeFill="accent6" w:themeFillTint="99"/>
            <w:vAlign w:val="center"/>
          </w:tcPr>
          <w:p w:rsidR="001405DD" w:rsidRPr="00C43957" w:rsidRDefault="001405DD" w:rsidP="000D2C76">
            <w:pPr>
              <w:pStyle w:val="cuadroCabe"/>
              <w:rPr>
                <w:lang w:val="es-ES" w:eastAsia="es-ES"/>
              </w:rPr>
            </w:pPr>
            <w:r>
              <w:rPr>
                <w:lang w:val="es-ES" w:eastAsia="es-ES"/>
              </w:rPr>
              <w:t>Total revisado del capítulo 2</w:t>
            </w:r>
          </w:p>
        </w:tc>
        <w:tc>
          <w:tcPr>
            <w:tcW w:w="1623" w:type="dxa"/>
            <w:tcBorders>
              <w:top w:val="single" w:sz="4" w:space="0" w:color="auto"/>
              <w:bottom w:val="single" w:sz="4" w:space="0" w:color="auto"/>
            </w:tcBorders>
            <w:shd w:val="clear" w:color="auto" w:fill="FABF8F" w:themeFill="accent6" w:themeFillTint="99"/>
            <w:vAlign w:val="center"/>
          </w:tcPr>
          <w:p w:rsidR="001405DD" w:rsidRPr="00C43957" w:rsidRDefault="001405DD" w:rsidP="000D2C76">
            <w:pPr>
              <w:pStyle w:val="cuadroCabe"/>
              <w:jc w:val="right"/>
              <w:rPr>
                <w:lang w:val="es-ES" w:eastAsia="es-ES"/>
              </w:rPr>
            </w:pPr>
            <w:r>
              <w:rPr>
                <w:lang w:val="es-ES" w:eastAsia="es-ES"/>
              </w:rPr>
              <w:t>838.637</w:t>
            </w:r>
          </w:p>
        </w:tc>
      </w:tr>
    </w:tbl>
    <w:p w:rsidR="006C56A8" w:rsidRDefault="006C56A8" w:rsidP="006C56A8">
      <w:pPr>
        <w:pStyle w:val="texto"/>
        <w:spacing w:after="0"/>
      </w:pPr>
    </w:p>
    <w:p w:rsidR="004A2FC5" w:rsidRDefault="00604318" w:rsidP="00B72879">
      <w:pPr>
        <w:pStyle w:val="texto"/>
      </w:pPr>
      <w:r>
        <w:t>De la revisión efectuada y del análisis general sobre la ejecución del capítulo destacamos:</w:t>
      </w:r>
    </w:p>
    <w:p w:rsidR="00BF3980" w:rsidRDefault="00BF3980" w:rsidP="001847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Se excede el crédito para gastos en dos de las cinco bolsas de vinculación</w:t>
      </w:r>
      <w:r w:rsidR="00461DC7">
        <w:t xml:space="preserve"> del capítulo</w:t>
      </w:r>
      <w:r>
        <w:t>, sin que se aprueben las correspondientes modificaciones pres</w:t>
      </w:r>
      <w:r>
        <w:t>u</w:t>
      </w:r>
      <w:r>
        <w:t xml:space="preserve">puestarias. </w:t>
      </w:r>
    </w:p>
    <w:p w:rsidR="00CB6ECB" w:rsidRDefault="00CB6ECB" w:rsidP="00CB6ECB">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No se gestiona un registro de facturas y éstas no</w:t>
      </w:r>
      <w:r w:rsidR="00606ED4">
        <w:t xml:space="preserve"> siempre</w:t>
      </w:r>
      <w:r>
        <w:t xml:space="preserve"> llevan conform</w:t>
      </w:r>
      <w:r>
        <w:t>i</w:t>
      </w:r>
      <w:r>
        <w:t>dad de la prestación realizada.</w:t>
      </w:r>
    </w:p>
    <w:p w:rsidR="005872BF" w:rsidRDefault="005872BF" w:rsidP="001847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No existe diferenciación entre gastos corrientes e inversión, contabilizá</w:t>
      </w:r>
      <w:r>
        <w:t>n</w:t>
      </w:r>
      <w:r>
        <w:t>dose la totalidad de actuaciones en este capítulo 2.</w:t>
      </w:r>
    </w:p>
    <w:p w:rsidR="000955BA" w:rsidRDefault="00C9762F" w:rsidP="001847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En 2015 no se han </w:t>
      </w:r>
      <w:r w:rsidR="000C632A">
        <w:t xml:space="preserve">efectuado </w:t>
      </w:r>
      <w:r>
        <w:t>adjudicaciones</w:t>
      </w:r>
      <w:r w:rsidR="004C62F0">
        <w:t xml:space="preserve"> de</w:t>
      </w:r>
      <w:r>
        <w:t xml:space="preserve"> nuevas contrataciones. </w:t>
      </w:r>
      <w:r w:rsidR="00FE5DDE">
        <w:t xml:space="preserve">Con carácter general se sobrepasa </w:t>
      </w:r>
      <w:r w:rsidR="000955BA">
        <w:t>el plazo máximo de vigencia</w:t>
      </w:r>
      <w:r w:rsidR="00352678">
        <w:t xml:space="preserve"> para los contratos de asistencia y de suministros</w:t>
      </w:r>
      <w:r w:rsidR="000955BA">
        <w:t xml:space="preserve"> previsto</w:t>
      </w:r>
      <w:r w:rsidR="00CB6ECB">
        <w:t>s</w:t>
      </w:r>
      <w:r w:rsidR="000955BA">
        <w:t xml:space="preserve"> en la legislación vigente en materia de contratación</w:t>
      </w:r>
      <w:r w:rsidR="000C632A">
        <w:t>; d</w:t>
      </w:r>
      <w:r w:rsidR="00EC48BE">
        <w:t>os contratos tiene fecha de 1989; en otros supuestos, no consta la existencia del propio contrato.</w:t>
      </w:r>
    </w:p>
    <w:p w:rsidR="00EC48BE" w:rsidRDefault="000955BA" w:rsidP="00EC48BE">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E</w:t>
      </w:r>
      <w:r w:rsidR="00FE5DDE">
        <w:t xml:space="preserve">l plazo </w:t>
      </w:r>
      <w:r>
        <w:t xml:space="preserve">legal </w:t>
      </w:r>
      <w:r w:rsidR="00FE5DDE">
        <w:t>de pago a proveedores</w:t>
      </w:r>
      <w:r>
        <w:t xml:space="preserve"> supera ampliamente los 30 días pr</w:t>
      </w:r>
      <w:r>
        <w:t>e</w:t>
      </w:r>
      <w:r>
        <w:t>vistos en</w:t>
      </w:r>
      <w:r w:rsidR="00FE5DDE">
        <w:t xml:space="preserve"> la vigente normativa.</w:t>
      </w:r>
      <w:r w:rsidR="00EC48BE" w:rsidRPr="00EC48BE">
        <w:t xml:space="preserve"> </w:t>
      </w:r>
    </w:p>
    <w:p w:rsidR="00FE5DDE" w:rsidRDefault="00EC48BE" w:rsidP="00EC48BE">
      <w:pPr>
        <w:pStyle w:val="texto"/>
        <w:tabs>
          <w:tab w:val="num" w:pos="284"/>
          <w:tab w:val="num" w:pos="720"/>
        </w:tabs>
      </w:pPr>
      <w:r>
        <w:t>Las dificultades de tesorería de la residencia se han ido solventando</w:t>
      </w:r>
      <w:r w:rsidR="009A4D30">
        <w:t>, en gran medida,</w:t>
      </w:r>
      <w:r>
        <w:t xml:space="preserve"> con un retraso acordado en el pago a los principales proveedores, no constando intereses de demora por tal retraso.</w:t>
      </w:r>
    </w:p>
    <w:p w:rsidR="006651C4" w:rsidRPr="00AE2266" w:rsidRDefault="00AB42C3" w:rsidP="00FD279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2"/>
        </w:rPr>
      </w:pPr>
      <w:r>
        <w:t>C</w:t>
      </w:r>
      <w:r w:rsidR="000955BA">
        <w:t>omedor. El contrato de servicios de comedor se suscribe el 31 de dicie</w:t>
      </w:r>
      <w:r w:rsidR="000955BA">
        <w:t>m</w:t>
      </w:r>
      <w:r w:rsidR="000955BA">
        <w:t xml:space="preserve">bre de 1992, siendo prorrogado anualmente con la actualización del IPC; </w:t>
      </w:r>
      <w:r w:rsidR="006651C4">
        <w:t xml:space="preserve">el menú completo (desayuno, comida, merienda y cena) en 2015 asciende a 7,43 euros/menú diario. </w:t>
      </w:r>
      <w:r w:rsidR="006651C4" w:rsidRPr="00AE2266">
        <w:rPr>
          <w:spacing w:val="2"/>
        </w:rPr>
        <w:t>En dicho contrato se establece que el pago se realizará a los 90 días</w:t>
      </w:r>
      <w:r w:rsidR="00EC4973">
        <w:rPr>
          <w:spacing w:val="2"/>
        </w:rPr>
        <w:t xml:space="preserve">, aunque en 2015 el plazo </w:t>
      </w:r>
      <w:r w:rsidR="00FD2794" w:rsidRPr="00AE2266">
        <w:rPr>
          <w:spacing w:val="2"/>
        </w:rPr>
        <w:t>de pago comprobado</w:t>
      </w:r>
      <w:r w:rsidR="00EC4973">
        <w:rPr>
          <w:spacing w:val="2"/>
        </w:rPr>
        <w:t xml:space="preserve"> de alguna de ellas</w:t>
      </w:r>
      <w:r w:rsidR="00FD2794" w:rsidRPr="00AE2266">
        <w:rPr>
          <w:spacing w:val="2"/>
        </w:rPr>
        <w:t xml:space="preserve"> ha sido de 120 días. </w:t>
      </w:r>
    </w:p>
    <w:p w:rsidR="006651C4" w:rsidRDefault="006651C4" w:rsidP="006651C4">
      <w:pPr>
        <w:pStyle w:val="texto"/>
      </w:pPr>
      <w:r>
        <w:t>En 2015, este contrato ha supuesto un gasto de 391.489 euros correspo</w:t>
      </w:r>
      <w:r>
        <w:t>n</w:t>
      </w:r>
      <w:r>
        <w:t>diendo a 12 facturas mensuales; a final del ejercicio, quedan pendientes de p</w:t>
      </w:r>
      <w:r>
        <w:t>a</w:t>
      </w:r>
      <w:r>
        <w:t>go las facturas de septiembre a diciembre por cuantía de 133.710 euros.</w:t>
      </w:r>
      <w:r w:rsidRPr="006651C4">
        <w:t xml:space="preserve"> </w:t>
      </w:r>
    </w:p>
    <w:p w:rsidR="000955BA" w:rsidRDefault="006651C4" w:rsidP="006651C4">
      <w:pPr>
        <w:pStyle w:val="texto"/>
      </w:pPr>
      <w:r>
        <w:t>E</w:t>
      </w:r>
      <w:r w:rsidR="000955BA">
        <w:t xml:space="preserve">n 2002 se </w:t>
      </w:r>
      <w:r w:rsidR="00AB42C3">
        <w:t>concierta</w:t>
      </w:r>
      <w:r w:rsidR="000955BA">
        <w:t xml:space="preserve"> el uso de las instalaciones de la cocina de la residencia para la elaboración de comidas </w:t>
      </w:r>
      <w:r w:rsidR="00AB42C3">
        <w:t>de</w:t>
      </w:r>
      <w:r w:rsidR="000955BA">
        <w:t xml:space="preserve"> la Escuela Infantil de Lumbier.</w:t>
      </w:r>
      <w:r w:rsidRPr="006651C4">
        <w:t xml:space="preserve"> </w:t>
      </w:r>
      <w:r w:rsidR="007140EF">
        <w:t xml:space="preserve">Este contrato está firmado por el Instituto Navarro de Bienestar Social, el Ayuntamiento de Lumbier, la </w:t>
      </w:r>
      <w:r w:rsidR="003D58B0">
        <w:t>r</w:t>
      </w:r>
      <w:r w:rsidR="007140EF">
        <w:t>esidencia y la empresa suministradora y no se contempla ninguna contraprestación.</w:t>
      </w:r>
    </w:p>
    <w:p w:rsidR="006651C4" w:rsidRDefault="006651C4" w:rsidP="006651C4">
      <w:pPr>
        <w:pStyle w:val="texto"/>
      </w:pPr>
      <w:r>
        <w:t xml:space="preserve">Dentro de la partida de comedor se incluye incorrectamente una factura de 942 euros que corresponde a servicios de </w:t>
      </w:r>
      <w:r w:rsidR="00CB6ECB">
        <w:t>fisioterap</w:t>
      </w:r>
      <w:r w:rsidR="00B61DC2">
        <w:t>i</w:t>
      </w:r>
      <w:r w:rsidR="00CB6ECB">
        <w:t>a</w:t>
      </w:r>
      <w:r>
        <w:t>.</w:t>
      </w:r>
    </w:p>
    <w:p w:rsidR="001B1CE0" w:rsidRDefault="001B1CE0" w:rsidP="001405DD">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Limpie</w:t>
      </w:r>
      <w:r w:rsidR="00BB3D34">
        <w:t>za. El contrato d</w:t>
      </w:r>
      <w:r>
        <w:t>e</w:t>
      </w:r>
      <w:r w:rsidR="00BB3D34">
        <w:t xml:space="preserve"> </w:t>
      </w:r>
      <w:r>
        <w:t>limpiez</w:t>
      </w:r>
      <w:r w:rsidR="00BB3D34">
        <w:t>a</w:t>
      </w:r>
      <w:r>
        <w:t xml:space="preserve"> se firma el 31 de diciembre de 2011</w:t>
      </w:r>
      <w:r w:rsidR="00BB3D34">
        <w:t>, e</w:t>
      </w:r>
      <w:r w:rsidR="00BB3D34">
        <w:t>s</w:t>
      </w:r>
      <w:r w:rsidR="00BB3D34">
        <w:t>tableciéndose su vigencia durante el ejercicio de 2012, prorrogable anualmente salvo denuncia de alguna de las partes con una antelación mínima de 30 días. El pago se conviene a los 90 días de la fecha de emisión de la factura.</w:t>
      </w:r>
    </w:p>
    <w:p w:rsidR="0005430B" w:rsidRDefault="0005430B" w:rsidP="0005430B">
      <w:pPr>
        <w:pStyle w:val="texto"/>
      </w:pPr>
      <w:r>
        <w:t xml:space="preserve">El </w:t>
      </w:r>
      <w:r w:rsidR="009C336E">
        <w:t>objeto del contrato</w:t>
      </w:r>
      <w:r>
        <w:t xml:space="preserve"> hace referencia tanto a la limpieza general de </w:t>
      </w:r>
      <w:r w:rsidR="009C336E">
        <w:t>los dos centros de la residencia</w:t>
      </w:r>
      <w:r>
        <w:t xml:space="preserve"> como a la lavandería</w:t>
      </w:r>
      <w:r w:rsidR="009C336E">
        <w:t xml:space="preserve"> y servicio de camas</w:t>
      </w:r>
      <w:r>
        <w:t>.</w:t>
      </w:r>
    </w:p>
    <w:p w:rsidR="001405DD" w:rsidRPr="001405DD" w:rsidRDefault="001405DD" w:rsidP="001405DD">
      <w:pPr>
        <w:pStyle w:val="texto"/>
      </w:pPr>
      <w:r>
        <w:t>El gasto de 2015 refleja 12 facturas mensuales</w:t>
      </w:r>
      <w:r w:rsidR="0014557C">
        <w:t>, quedando</w:t>
      </w:r>
      <w:r>
        <w:t xml:space="preserve"> pendiente de pago un total de </w:t>
      </w:r>
      <w:r w:rsidRPr="001405DD">
        <w:t>93.792</w:t>
      </w:r>
      <w:r>
        <w:t xml:space="preserve"> euros correspondientes a las facturas de septiembre a d</w:t>
      </w:r>
      <w:r>
        <w:t>i</w:t>
      </w:r>
      <w:r>
        <w:t>ciembre.</w:t>
      </w:r>
    </w:p>
    <w:p w:rsidR="00CF63B3" w:rsidRDefault="001405DD" w:rsidP="007E4FB6">
      <w:pPr>
        <w:pStyle w:val="texto"/>
      </w:pPr>
      <w:r w:rsidRPr="001405DD">
        <w:t>Sobre</w:t>
      </w:r>
      <w:r>
        <w:t xml:space="preserve"> este contrato señalamos que </w:t>
      </w:r>
      <w:r w:rsidRPr="001405DD">
        <w:t xml:space="preserve">la </w:t>
      </w:r>
      <w:r w:rsidR="00AE7A2C">
        <w:t>Junta G</w:t>
      </w:r>
      <w:r w:rsidRPr="001405DD">
        <w:t xml:space="preserve">eneral de la Mancomunidad </w:t>
      </w:r>
      <w:r>
        <w:t>c</w:t>
      </w:r>
      <w:r>
        <w:t>e</w:t>
      </w:r>
      <w:r>
        <w:t>lebrada e</w:t>
      </w:r>
      <w:r w:rsidR="00352678">
        <w:t>l siete de</w:t>
      </w:r>
      <w:r w:rsidRPr="001405DD">
        <w:t xml:space="preserve"> noviembre de 2012</w:t>
      </w:r>
      <w:r>
        <w:t xml:space="preserve"> adoptó</w:t>
      </w:r>
      <w:r w:rsidRPr="001405DD">
        <w:t xml:space="preserve"> el siguiente acuerdo: </w:t>
      </w:r>
      <w:r>
        <w:t>“</w:t>
      </w:r>
      <w:r w:rsidRPr="001405DD">
        <w:rPr>
          <w:i/>
        </w:rPr>
        <w:t>Notificar a la empresa de limpiezas que no continúe prestando sus servicios en la Reside</w:t>
      </w:r>
      <w:r w:rsidRPr="001405DD">
        <w:rPr>
          <w:i/>
        </w:rPr>
        <w:t>n</w:t>
      </w:r>
      <w:r w:rsidRPr="001405DD">
        <w:rPr>
          <w:i/>
        </w:rPr>
        <w:t>cia San Isidro de Lumbier</w:t>
      </w:r>
      <w:r w:rsidRPr="001405DD">
        <w:t>”</w:t>
      </w:r>
      <w:r>
        <w:t xml:space="preserve">. </w:t>
      </w:r>
      <w:r w:rsidR="004B3097">
        <w:t>Sin embargo</w:t>
      </w:r>
      <w:r>
        <w:t>, la empresa sigue prestando sus serv</w:t>
      </w:r>
      <w:r>
        <w:t>i</w:t>
      </w:r>
      <w:r>
        <w:t>cios</w:t>
      </w:r>
      <w:r w:rsidR="004B3097">
        <w:t xml:space="preserve"> hasta la actualidad</w:t>
      </w:r>
      <w:r>
        <w:t>, no constando ningún acuerdo posterior de la Junta que anule el precitado</w:t>
      </w:r>
      <w:r w:rsidR="007E4FB6">
        <w:t xml:space="preserve"> acuerdo</w:t>
      </w:r>
      <w:r>
        <w:t>.</w:t>
      </w:r>
    </w:p>
    <w:p w:rsidR="00996CD5" w:rsidRDefault="00996CD5" w:rsidP="001405DD">
      <w:pPr>
        <w:pStyle w:val="texto"/>
      </w:pPr>
      <w:r>
        <w:t>Recomendaciones</w:t>
      </w:r>
      <w:r w:rsidR="007B49FB">
        <w:t>:</w:t>
      </w:r>
    </w:p>
    <w:p w:rsidR="00996CD5" w:rsidRDefault="001B11C2" w:rsidP="00B500D3">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1B11C2">
        <w:rPr>
          <w:i/>
        </w:rPr>
        <w:t>Proceder a la licitación de todos los contratos que hayan superado el pl</w:t>
      </w:r>
      <w:r w:rsidRPr="001B11C2">
        <w:rPr>
          <w:i/>
        </w:rPr>
        <w:t>a</w:t>
      </w:r>
      <w:r w:rsidRPr="001B11C2">
        <w:rPr>
          <w:i/>
        </w:rPr>
        <w:t>zo de vigencia m</w:t>
      </w:r>
      <w:r w:rsidR="00B500D3">
        <w:rPr>
          <w:i/>
        </w:rPr>
        <w:t>áximo</w:t>
      </w:r>
      <w:r w:rsidRPr="00B500D3">
        <w:rPr>
          <w:i/>
        </w:rPr>
        <w:t xml:space="preserve"> establecido en la legislación vigente.</w:t>
      </w:r>
    </w:p>
    <w:p w:rsidR="004C62F0" w:rsidRPr="00B500D3" w:rsidRDefault="004C62F0" w:rsidP="00B500D3">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Pr>
          <w:i/>
        </w:rPr>
        <w:t>Formalizar con el oportuno contrato todas las relaciones contractuales.</w:t>
      </w:r>
    </w:p>
    <w:p w:rsidR="005872BF" w:rsidRDefault="005872BF" w:rsidP="001B11C2">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Pr>
          <w:i/>
        </w:rPr>
        <w:t xml:space="preserve">Diferenciar en la imputación al presupuesto </w:t>
      </w:r>
      <w:r w:rsidR="00AE7A2C">
        <w:rPr>
          <w:i/>
        </w:rPr>
        <w:t>los</w:t>
      </w:r>
      <w:r>
        <w:rPr>
          <w:i/>
        </w:rPr>
        <w:t xml:space="preserve"> gastos corrientes (de fu</w:t>
      </w:r>
      <w:r>
        <w:rPr>
          <w:i/>
        </w:rPr>
        <w:t>n</w:t>
      </w:r>
      <w:r>
        <w:rPr>
          <w:i/>
        </w:rPr>
        <w:t xml:space="preserve">cionamiento y mantenimiento) de </w:t>
      </w:r>
      <w:r w:rsidR="00AE7A2C">
        <w:rPr>
          <w:i/>
        </w:rPr>
        <w:t>las</w:t>
      </w:r>
      <w:r>
        <w:rPr>
          <w:i/>
        </w:rPr>
        <w:t xml:space="preserve"> inversiones</w:t>
      </w:r>
      <w:r w:rsidR="00AE7A2C">
        <w:rPr>
          <w:i/>
        </w:rPr>
        <w:t>,</w:t>
      </w:r>
      <w:r>
        <w:rPr>
          <w:i/>
        </w:rPr>
        <w:t xml:space="preserve"> que se </w:t>
      </w:r>
      <w:r w:rsidR="00AE7A2C">
        <w:rPr>
          <w:i/>
        </w:rPr>
        <w:t xml:space="preserve">deben </w:t>
      </w:r>
      <w:r>
        <w:rPr>
          <w:i/>
        </w:rPr>
        <w:t>imputar al cap</w:t>
      </w:r>
      <w:r>
        <w:rPr>
          <w:i/>
        </w:rPr>
        <w:t>í</w:t>
      </w:r>
      <w:r>
        <w:rPr>
          <w:i/>
        </w:rPr>
        <w:t xml:space="preserve">tulo 6. </w:t>
      </w:r>
    </w:p>
    <w:p w:rsidR="001B11C2" w:rsidRDefault="001B11C2" w:rsidP="00F66D2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i/>
          <w:spacing w:val="2"/>
        </w:rPr>
      </w:pPr>
      <w:r w:rsidRPr="00F66D24">
        <w:rPr>
          <w:i/>
          <w:spacing w:val="2"/>
        </w:rPr>
        <w:t>Las facturas deben llevar el visto bueno o conformidad del servicio recibido.</w:t>
      </w:r>
    </w:p>
    <w:p w:rsidR="007B49FB" w:rsidRDefault="007B49FB" w:rsidP="007B49FB">
      <w:pPr>
        <w:pStyle w:val="texto"/>
        <w:tabs>
          <w:tab w:val="clear" w:pos="2835"/>
          <w:tab w:val="clear" w:pos="3969"/>
          <w:tab w:val="clear" w:pos="5103"/>
          <w:tab w:val="clear" w:pos="6237"/>
          <w:tab w:val="clear" w:pos="7371"/>
          <w:tab w:val="left" w:pos="480"/>
          <w:tab w:val="num" w:pos="928"/>
          <w:tab w:val="num" w:pos="6597"/>
        </w:tabs>
        <w:spacing w:after="240"/>
        <w:rPr>
          <w:i/>
          <w:spacing w:val="2"/>
        </w:rPr>
      </w:pPr>
    </w:p>
    <w:p w:rsidR="007B49FB" w:rsidRPr="00F66D24" w:rsidRDefault="007B49FB" w:rsidP="007B49FB">
      <w:pPr>
        <w:pStyle w:val="texto"/>
        <w:tabs>
          <w:tab w:val="clear" w:pos="2835"/>
          <w:tab w:val="clear" w:pos="3969"/>
          <w:tab w:val="clear" w:pos="5103"/>
          <w:tab w:val="clear" w:pos="6237"/>
          <w:tab w:val="clear" w:pos="7371"/>
          <w:tab w:val="left" w:pos="480"/>
          <w:tab w:val="num" w:pos="928"/>
          <w:tab w:val="num" w:pos="6597"/>
        </w:tabs>
        <w:spacing w:after="240"/>
        <w:rPr>
          <w:i/>
          <w:spacing w:val="2"/>
        </w:rPr>
      </w:pPr>
    </w:p>
    <w:p w:rsidR="001B11C2" w:rsidRDefault="00D57945" w:rsidP="00D57945">
      <w:pPr>
        <w:pStyle w:val="atitulo2"/>
        <w:spacing w:before="240"/>
      </w:pPr>
      <w:bookmarkStart w:id="34" w:name="_Toc475093098"/>
      <w:r>
        <w:t xml:space="preserve">IV.6. </w:t>
      </w:r>
      <w:r w:rsidR="000A37E0">
        <w:t>Ingresos</w:t>
      </w:r>
      <w:bookmarkEnd w:id="34"/>
    </w:p>
    <w:p w:rsidR="00C00AE6" w:rsidRDefault="006223BA" w:rsidP="00CF63B3">
      <w:pPr>
        <w:pStyle w:val="texto"/>
        <w:spacing w:after="240"/>
      </w:pPr>
      <w:r>
        <w:t>Los ingresos de la mancomunidad de 2015 presentan</w:t>
      </w:r>
      <w:r w:rsidR="005158E2">
        <w:t xml:space="preserve"> la siguiente ejecución</w:t>
      </w:r>
      <w:r>
        <w:t>:</w:t>
      </w:r>
    </w:p>
    <w:tbl>
      <w:tblPr>
        <w:tblW w:w="9150" w:type="dxa"/>
        <w:jc w:val="center"/>
        <w:tblLayout w:type="fixed"/>
        <w:tblCellMar>
          <w:left w:w="70" w:type="dxa"/>
          <w:right w:w="70" w:type="dxa"/>
        </w:tblCellMar>
        <w:tblLook w:val="04A0" w:firstRow="1" w:lastRow="0" w:firstColumn="1" w:lastColumn="0" w:noHBand="0" w:noVBand="1"/>
      </w:tblPr>
      <w:tblGrid>
        <w:gridCol w:w="2762"/>
        <w:gridCol w:w="1004"/>
        <w:gridCol w:w="836"/>
        <w:gridCol w:w="1017"/>
        <w:gridCol w:w="973"/>
        <w:gridCol w:w="752"/>
        <w:gridCol w:w="951"/>
        <w:gridCol w:w="855"/>
      </w:tblGrid>
      <w:tr w:rsidR="00C00AE6" w:rsidRPr="00EB08F2" w:rsidTr="006C56A8">
        <w:trPr>
          <w:trHeight w:val="170"/>
          <w:jc w:val="center"/>
        </w:trPr>
        <w:tc>
          <w:tcPr>
            <w:tcW w:w="2762" w:type="dxa"/>
            <w:tcBorders>
              <w:top w:val="single" w:sz="4" w:space="0" w:color="auto"/>
              <w:bottom w:val="single" w:sz="4" w:space="0" w:color="auto"/>
            </w:tcBorders>
            <w:shd w:val="clear" w:color="auto" w:fill="FABF8F" w:themeFill="accent6" w:themeFillTint="99"/>
            <w:vAlign w:val="center"/>
            <w:hideMark/>
          </w:tcPr>
          <w:p w:rsidR="00C00AE6" w:rsidRPr="00EB08F2" w:rsidRDefault="00C00AE6" w:rsidP="00DF414B">
            <w:pPr>
              <w:pStyle w:val="cuadroCabe"/>
              <w:rPr>
                <w:sz w:val="17"/>
                <w:szCs w:val="17"/>
                <w:lang w:val="es-ES" w:eastAsia="es-ES"/>
              </w:rPr>
            </w:pPr>
            <w:r w:rsidRPr="00EB08F2">
              <w:rPr>
                <w:sz w:val="17"/>
                <w:szCs w:val="17"/>
              </w:rPr>
              <w:t xml:space="preserve"> </w:t>
            </w:r>
            <w:r w:rsidRPr="00EB08F2">
              <w:rPr>
                <w:sz w:val="17"/>
                <w:szCs w:val="17"/>
                <w:lang w:val="es-ES" w:eastAsia="es-ES"/>
              </w:rPr>
              <w:t>Ingresos</w:t>
            </w:r>
          </w:p>
        </w:tc>
        <w:tc>
          <w:tcPr>
            <w:tcW w:w="1004" w:type="dxa"/>
            <w:tcBorders>
              <w:top w:val="single" w:sz="4" w:space="0" w:color="auto"/>
              <w:bottom w:val="single" w:sz="4" w:space="0" w:color="auto"/>
            </w:tcBorders>
            <w:shd w:val="clear" w:color="auto" w:fill="FABF8F" w:themeFill="accent6" w:themeFillTint="99"/>
            <w:vAlign w:val="center"/>
            <w:hideMark/>
          </w:tcPr>
          <w:p w:rsidR="00C00AE6" w:rsidRPr="00EB08F2" w:rsidRDefault="00C00AE6" w:rsidP="00DF414B">
            <w:pPr>
              <w:pStyle w:val="cuadroCabe"/>
              <w:jc w:val="center"/>
              <w:rPr>
                <w:sz w:val="17"/>
                <w:szCs w:val="17"/>
                <w:lang w:val="es-ES" w:eastAsia="es-ES"/>
              </w:rPr>
            </w:pPr>
            <w:r w:rsidRPr="00EB08F2">
              <w:rPr>
                <w:sz w:val="17"/>
                <w:szCs w:val="17"/>
                <w:lang w:val="es-ES" w:eastAsia="es-ES"/>
              </w:rPr>
              <w:t>Crédito</w:t>
            </w:r>
          </w:p>
          <w:p w:rsidR="00C00AE6" w:rsidRPr="00EB08F2" w:rsidRDefault="00C00AE6" w:rsidP="00DF414B">
            <w:pPr>
              <w:pStyle w:val="cuadroCabe"/>
              <w:jc w:val="center"/>
              <w:rPr>
                <w:sz w:val="17"/>
                <w:szCs w:val="17"/>
                <w:lang w:val="es-ES" w:eastAsia="es-ES"/>
              </w:rPr>
            </w:pPr>
            <w:r w:rsidRPr="00EB08F2">
              <w:rPr>
                <w:sz w:val="17"/>
                <w:szCs w:val="17"/>
                <w:lang w:val="es-ES" w:eastAsia="es-ES"/>
              </w:rPr>
              <w:t>inicial</w:t>
            </w:r>
          </w:p>
        </w:tc>
        <w:tc>
          <w:tcPr>
            <w:tcW w:w="836" w:type="dxa"/>
            <w:tcBorders>
              <w:top w:val="single" w:sz="4" w:space="0" w:color="auto"/>
              <w:bottom w:val="single" w:sz="4" w:space="0" w:color="auto"/>
            </w:tcBorders>
            <w:shd w:val="clear" w:color="auto" w:fill="FABF8F" w:themeFill="accent6" w:themeFillTint="99"/>
            <w:vAlign w:val="center"/>
            <w:hideMark/>
          </w:tcPr>
          <w:p w:rsidR="00C00AE6" w:rsidRPr="00EB08F2" w:rsidRDefault="00C00AE6" w:rsidP="00DF414B">
            <w:pPr>
              <w:pStyle w:val="cuadroCabe"/>
              <w:jc w:val="center"/>
              <w:rPr>
                <w:sz w:val="17"/>
                <w:szCs w:val="17"/>
                <w:lang w:val="es-ES" w:eastAsia="es-ES"/>
              </w:rPr>
            </w:pPr>
            <w:r w:rsidRPr="00EB08F2">
              <w:rPr>
                <w:sz w:val="17"/>
                <w:szCs w:val="17"/>
                <w:lang w:val="es-ES" w:eastAsia="es-ES"/>
              </w:rPr>
              <w:t>Modif</w:t>
            </w:r>
            <w:r w:rsidR="00EB08F2" w:rsidRPr="00EB08F2">
              <w:rPr>
                <w:sz w:val="17"/>
                <w:szCs w:val="17"/>
                <w:lang w:val="es-ES" w:eastAsia="es-ES"/>
              </w:rPr>
              <w:t>.</w:t>
            </w:r>
          </w:p>
        </w:tc>
        <w:tc>
          <w:tcPr>
            <w:tcW w:w="1017" w:type="dxa"/>
            <w:tcBorders>
              <w:top w:val="single" w:sz="4" w:space="0" w:color="auto"/>
              <w:bottom w:val="single" w:sz="4" w:space="0" w:color="auto"/>
            </w:tcBorders>
            <w:shd w:val="clear" w:color="auto" w:fill="FABF8F" w:themeFill="accent6" w:themeFillTint="99"/>
            <w:vAlign w:val="center"/>
            <w:hideMark/>
          </w:tcPr>
          <w:p w:rsidR="00C00AE6" w:rsidRPr="00EB08F2" w:rsidRDefault="00C00AE6" w:rsidP="00DF414B">
            <w:pPr>
              <w:pStyle w:val="cuadroCabe"/>
              <w:jc w:val="center"/>
              <w:rPr>
                <w:sz w:val="17"/>
                <w:szCs w:val="17"/>
                <w:lang w:val="es-ES" w:eastAsia="es-ES"/>
              </w:rPr>
            </w:pPr>
            <w:r w:rsidRPr="00EB08F2">
              <w:rPr>
                <w:sz w:val="17"/>
                <w:szCs w:val="17"/>
                <w:lang w:val="es-ES" w:eastAsia="es-ES"/>
              </w:rPr>
              <w:t>Crédito</w:t>
            </w:r>
          </w:p>
          <w:p w:rsidR="00C00AE6" w:rsidRPr="00EB08F2" w:rsidRDefault="00C00AE6" w:rsidP="00DF414B">
            <w:pPr>
              <w:pStyle w:val="cuadroCabe"/>
              <w:jc w:val="center"/>
              <w:rPr>
                <w:sz w:val="17"/>
                <w:szCs w:val="17"/>
                <w:lang w:val="es-ES" w:eastAsia="es-ES"/>
              </w:rPr>
            </w:pPr>
            <w:r w:rsidRPr="00EB08F2">
              <w:rPr>
                <w:sz w:val="17"/>
                <w:szCs w:val="17"/>
                <w:lang w:val="es-ES" w:eastAsia="es-ES"/>
              </w:rPr>
              <w:t>definitivo</w:t>
            </w:r>
          </w:p>
        </w:tc>
        <w:tc>
          <w:tcPr>
            <w:tcW w:w="973" w:type="dxa"/>
            <w:tcBorders>
              <w:top w:val="single" w:sz="4" w:space="0" w:color="auto"/>
              <w:bottom w:val="single" w:sz="4" w:space="0" w:color="auto"/>
            </w:tcBorders>
            <w:shd w:val="clear" w:color="auto" w:fill="FABF8F" w:themeFill="accent6" w:themeFillTint="99"/>
            <w:vAlign w:val="center"/>
            <w:hideMark/>
          </w:tcPr>
          <w:p w:rsidR="00C00AE6" w:rsidRPr="00EB08F2" w:rsidRDefault="00C00AE6" w:rsidP="006C56A8">
            <w:pPr>
              <w:pStyle w:val="cuadroCabe"/>
              <w:jc w:val="center"/>
              <w:rPr>
                <w:sz w:val="17"/>
                <w:szCs w:val="17"/>
                <w:lang w:val="es-ES" w:eastAsia="es-ES"/>
              </w:rPr>
            </w:pPr>
            <w:r w:rsidRPr="00EB08F2">
              <w:rPr>
                <w:sz w:val="17"/>
                <w:szCs w:val="17"/>
                <w:lang w:val="es-ES" w:eastAsia="es-ES"/>
              </w:rPr>
              <w:t>Derechos</w:t>
            </w:r>
          </w:p>
          <w:p w:rsidR="00C00AE6" w:rsidRPr="00EB08F2" w:rsidRDefault="00075504" w:rsidP="006C56A8">
            <w:pPr>
              <w:pStyle w:val="cuadroCabe"/>
              <w:jc w:val="center"/>
              <w:rPr>
                <w:sz w:val="17"/>
                <w:szCs w:val="17"/>
                <w:lang w:val="es-ES" w:eastAsia="es-ES"/>
              </w:rPr>
            </w:pPr>
            <w:r w:rsidRPr="00EB08F2">
              <w:rPr>
                <w:sz w:val="17"/>
                <w:szCs w:val="17"/>
                <w:lang w:val="es-ES" w:eastAsia="es-ES"/>
              </w:rPr>
              <w:t>r</w:t>
            </w:r>
            <w:r w:rsidR="00EB08F2">
              <w:rPr>
                <w:sz w:val="17"/>
                <w:szCs w:val="17"/>
                <w:lang w:val="es-ES" w:eastAsia="es-ES"/>
              </w:rPr>
              <w:t>econ.</w:t>
            </w:r>
            <w:r w:rsidR="00822C0B">
              <w:rPr>
                <w:sz w:val="17"/>
                <w:szCs w:val="17"/>
                <w:lang w:val="es-ES" w:eastAsia="es-ES"/>
              </w:rPr>
              <w:t xml:space="preserve"> </w:t>
            </w:r>
            <w:r w:rsidRPr="00EB08F2">
              <w:rPr>
                <w:sz w:val="17"/>
                <w:szCs w:val="17"/>
                <w:lang w:val="es-ES" w:eastAsia="es-ES"/>
              </w:rPr>
              <w:t>netos</w:t>
            </w:r>
          </w:p>
        </w:tc>
        <w:tc>
          <w:tcPr>
            <w:tcW w:w="752" w:type="dxa"/>
            <w:tcBorders>
              <w:top w:val="single" w:sz="4" w:space="0" w:color="auto"/>
              <w:bottom w:val="single" w:sz="4" w:space="0" w:color="auto"/>
            </w:tcBorders>
            <w:shd w:val="clear" w:color="auto" w:fill="FABF8F" w:themeFill="accent6" w:themeFillTint="99"/>
            <w:vAlign w:val="center"/>
            <w:hideMark/>
          </w:tcPr>
          <w:p w:rsidR="00C00AE6" w:rsidRPr="00EB08F2" w:rsidRDefault="00C00AE6" w:rsidP="00DF414B">
            <w:pPr>
              <w:pStyle w:val="cuadroCabe"/>
              <w:jc w:val="center"/>
              <w:rPr>
                <w:sz w:val="17"/>
                <w:szCs w:val="17"/>
                <w:lang w:val="es-ES" w:eastAsia="es-ES"/>
              </w:rPr>
            </w:pPr>
            <w:r w:rsidRPr="00EB08F2">
              <w:rPr>
                <w:sz w:val="17"/>
                <w:szCs w:val="17"/>
                <w:lang w:val="es-ES" w:eastAsia="es-ES"/>
              </w:rPr>
              <w:t>%</w:t>
            </w:r>
          </w:p>
          <w:p w:rsidR="00C00AE6" w:rsidRPr="00EB08F2" w:rsidRDefault="00EB08F2" w:rsidP="00DF414B">
            <w:pPr>
              <w:pStyle w:val="cuadroCabe"/>
              <w:jc w:val="center"/>
              <w:rPr>
                <w:sz w:val="17"/>
                <w:szCs w:val="17"/>
                <w:lang w:val="es-ES" w:eastAsia="es-ES"/>
              </w:rPr>
            </w:pPr>
            <w:r w:rsidRPr="00EB08F2">
              <w:rPr>
                <w:sz w:val="17"/>
                <w:szCs w:val="17"/>
                <w:lang w:val="es-ES" w:eastAsia="es-ES"/>
              </w:rPr>
              <w:t>E</w:t>
            </w:r>
            <w:r w:rsidR="00C00AE6" w:rsidRPr="00EB08F2">
              <w:rPr>
                <w:sz w:val="17"/>
                <w:szCs w:val="17"/>
                <w:lang w:val="es-ES" w:eastAsia="es-ES"/>
              </w:rPr>
              <w:t>jec</w:t>
            </w:r>
            <w:r>
              <w:rPr>
                <w:sz w:val="17"/>
                <w:szCs w:val="17"/>
                <w:lang w:val="es-ES" w:eastAsia="es-ES"/>
              </w:rPr>
              <w:t>.</w:t>
            </w:r>
          </w:p>
        </w:tc>
        <w:tc>
          <w:tcPr>
            <w:tcW w:w="951" w:type="dxa"/>
            <w:tcBorders>
              <w:top w:val="single" w:sz="4" w:space="0" w:color="auto"/>
              <w:bottom w:val="single" w:sz="4" w:space="0" w:color="auto"/>
            </w:tcBorders>
            <w:shd w:val="clear" w:color="auto" w:fill="FABF8F" w:themeFill="accent6" w:themeFillTint="99"/>
            <w:vAlign w:val="center"/>
            <w:hideMark/>
          </w:tcPr>
          <w:p w:rsidR="00C00AE6" w:rsidRPr="00EB08F2" w:rsidRDefault="00C00AE6" w:rsidP="00DF414B">
            <w:pPr>
              <w:pStyle w:val="cuadroCabe"/>
              <w:jc w:val="center"/>
              <w:rPr>
                <w:sz w:val="17"/>
                <w:szCs w:val="17"/>
                <w:lang w:val="es-ES" w:eastAsia="es-ES"/>
              </w:rPr>
            </w:pPr>
            <w:r w:rsidRPr="00EB08F2">
              <w:rPr>
                <w:sz w:val="17"/>
                <w:szCs w:val="17"/>
                <w:lang w:val="es-ES" w:eastAsia="es-ES"/>
              </w:rPr>
              <w:t>Cobros</w:t>
            </w:r>
          </w:p>
        </w:tc>
        <w:tc>
          <w:tcPr>
            <w:tcW w:w="855" w:type="dxa"/>
            <w:tcBorders>
              <w:top w:val="single" w:sz="4" w:space="0" w:color="auto"/>
              <w:bottom w:val="single" w:sz="4" w:space="0" w:color="auto"/>
            </w:tcBorders>
            <w:shd w:val="clear" w:color="auto" w:fill="FABF8F" w:themeFill="accent6" w:themeFillTint="99"/>
            <w:vAlign w:val="center"/>
          </w:tcPr>
          <w:p w:rsidR="00C00AE6" w:rsidRPr="00EB08F2" w:rsidRDefault="00C00AE6" w:rsidP="006C56A8">
            <w:pPr>
              <w:pStyle w:val="cuadroCabe"/>
              <w:jc w:val="center"/>
              <w:rPr>
                <w:sz w:val="17"/>
                <w:szCs w:val="17"/>
                <w:lang w:val="es-ES" w:eastAsia="es-ES"/>
              </w:rPr>
            </w:pPr>
            <w:r w:rsidRPr="00EB08F2">
              <w:rPr>
                <w:sz w:val="17"/>
                <w:szCs w:val="17"/>
                <w:lang w:val="es-ES" w:eastAsia="es-ES"/>
              </w:rPr>
              <w:t>Pen</w:t>
            </w:r>
            <w:r w:rsidR="006C56A8">
              <w:rPr>
                <w:sz w:val="17"/>
                <w:szCs w:val="17"/>
                <w:lang w:val="es-ES" w:eastAsia="es-ES"/>
              </w:rPr>
              <w:t xml:space="preserve">te. </w:t>
            </w:r>
            <w:r w:rsidRPr="00EB08F2">
              <w:rPr>
                <w:sz w:val="17"/>
                <w:szCs w:val="17"/>
                <w:lang w:val="es-ES" w:eastAsia="es-ES"/>
              </w:rPr>
              <w:t>obro</w:t>
            </w:r>
          </w:p>
        </w:tc>
      </w:tr>
      <w:tr w:rsidR="00C00AE6" w:rsidRPr="00EB08F2" w:rsidTr="00DF414B">
        <w:trPr>
          <w:trHeight w:val="284"/>
          <w:jc w:val="center"/>
        </w:trPr>
        <w:tc>
          <w:tcPr>
            <w:tcW w:w="2762" w:type="dxa"/>
            <w:tcBorders>
              <w:top w:val="single" w:sz="4" w:space="0" w:color="auto"/>
              <w:bottom w:val="single" w:sz="2" w:space="0" w:color="auto"/>
            </w:tcBorders>
            <w:shd w:val="clear" w:color="auto" w:fill="auto"/>
            <w:noWrap/>
            <w:vAlign w:val="center"/>
          </w:tcPr>
          <w:p w:rsidR="00EB08F2" w:rsidRDefault="00A54EE1" w:rsidP="00DF414B">
            <w:pPr>
              <w:pStyle w:val="cuatexto"/>
              <w:rPr>
                <w:sz w:val="18"/>
                <w:szCs w:val="18"/>
              </w:rPr>
            </w:pPr>
            <w:r>
              <w:rPr>
                <w:sz w:val="18"/>
                <w:szCs w:val="18"/>
              </w:rPr>
              <w:t>33010</w:t>
            </w:r>
            <w:r w:rsidR="00C00AE6" w:rsidRPr="00EB08F2">
              <w:rPr>
                <w:sz w:val="18"/>
                <w:szCs w:val="18"/>
              </w:rPr>
              <w:t xml:space="preserve"> Residencia de ancianos y</w:t>
            </w:r>
          </w:p>
          <w:p w:rsidR="00C00AE6" w:rsidRPr="00EB08F2" w:rsidRDefault="00EB08F2" w:rsidP="00DF414B">
            <w:pPr>
              <w:pStyle w:val="cuatexto"/>
              <w:rPr>
                <w:sz w:val="18"/>
                <w:szCs w:val="18"/>
              </w:rPr>
            </w:pPr>
            <w:r>
              <w:rPr>
                <w:sz w:val="18"/>
                <w:szCs w:val="18"/>
              </w:rPr>
              <w:t xml:space="preserve">           </w:t>
            </w:r>
            <w:r w:rsidR="00C00AE6" w:rsidRPr="00EB08F2">
              <w:rPr>
                <w:sz w:val="18"/>
                <w:szCs w:val="18"/>
              </w:rPr>
              <w:t xml:space="preserve"> asimilados</w:t>
            </w:r>
          </w:p>
        </w:tc>
        <w:tc>
          <w:tcPr>
            <w:tcW w:w="1004" w:type="dxa"/>
            <w:tcBorders>
              <w:top w:val="single" w:sz="4"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2.829.000</w:t>
            </w:r>
          </w:p>
        </w:tc>
        <w:tc>
          <w:tcPr>
            <w:tcW w:w="836" w:type="dxa"/>
            <w:tcBorders>
              <w:top w:val="single" w:sz="4"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0</w:t>
            </w:r>
          </w:p>
        </w:tc>
        <w:tc>
          <w:tcPr>
            <w:tcW w:w="1017" w:type="dxa"/>
            <w:tcBorders>
              <w:top w:val="single" w:sz="4"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2.829.000</w:t>
            </w:r>
          </w:p>
        </w:tc>
        <w:tc>
          <w:tcPr>
            <w:tcW w:w="973" w:type="dxa"/>
            <w:tcBorders>
              <w:top w:val="single" w:sz="4"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2.811.438</w:t>
            </w:r>
          </w:p>
        </w:tc>
        <w:tc>
          <w:tcPr>
            <w:tcW w:w="752" w:type="dxa"/>
            <w:tcBorders>
              <w:top w:val="single" w:sz="4" w:space="0" w:color="auto"/>
              <w:bottom w:val="single" w:sz="2" w:space="0" w:color="auto"/>
            </w:tcBorders>
            <w:shd w:val="clear" w:color="000000" w:fill="auto"/>
            <w:vAlign w:val="center"/>
          </w:tcPr>
          <w:p w:rsidR="00C00AE6" w:rsidRPr="00EB08F2" w:rsidRDefault="00C00AE6" w:rsidP="00DF414B">
            <w:pPr>
              <w:pStyle w:val="cuatexto"/>
              <w:jc w:val="right"/>
              <w:rPr>
                <w:szCs w:val="20"/>
              </w:rPr>
            </w:pPr>
            <w:r w:rsidRPr="00EB08F2">
              <w:rPr>
                <w:szCs w:val="20"/>
              </w:rPr>
              <w:t>99</w:t>
            </w:r>
          </w:p>
        </w:tc>
        <w:tc>
          <w:tcPr>
            <w:tcW w:w="951" w:type="dxa"/>
            <w:tcBorders>
              <w:top w:val="single" w:sz="4"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2.654.483</w:t>
            </w:r>
          </w:p>
        </w:tc>
        <w:tc>
          <w:tcPr>
            <w:tcW w:w="855" w:type="dxa"/>
            <w:tcBorders>
              <w:top w:val="single" w:sz="4" w:space="0" w:color="auto"/>
              <w:bottom w:val="single" w:sz="2" w:space="0" w:color="auto"/>
            </w:tcBorders>
            <w:vAlign w:val="center"/>
          </w:tcPr>
          <w:p w:rsidR="00C00AE6" w:rsidRPr="00EB08F2" w:rsidRDefault="00C00AE6" w:rsidP="00DF414B">
            <w:pPr>
              <w:pStyle w:val="cuatexto"/>
              <w:jc w:val="right"/>
              <w:rPr>
                <w:szCs w:val="20"/>
              </w:rPr>
            </w:pPr>
            <w:r w:rsidRPr="00EB08F2">
              <w:rPr>
                <w:szCs w:val="20"/>
              </w:rPr>
              <w:t>156.954</w:t>
            </w:r>
          </w:p>
        </w:tc>
      </w:tr>
      <w:tr w:rsidR="00C00AE6" w:rsidRPr="00EB08F2" w:rsidTr="00DF414B">
        <w:trPr>
          <w:trHeight w:val="284"/>
          <w:jc w:val="center"/>
        </w:trPr>
        <w:tc>
          <w:tcPr>
            <w:tcW w:w="2762" w:type="dxa"/>
            <w:tcBorders>
              <w:top w:val="single" w:sz="2" w:space="0" w:color="auto"/>
              <w:bottom w:val="single" w:sz="2" w:space="0" w:color="auto"/>
            </w:tcBorders>
            <w:shd w:val="clear" w:color="auto" w:fill="auto"/>
            <w:noWrap/>
            <w:vAlign w:val="center"/>
          </w:tcPr>
          <w:p w:rsidR="00C00AE6" w:rsidRPr="00EB08F2" w:rsidRDefault="00C00AE6" w:rsidP="00A54EE1">
            <w:pPr>
              <w:pStyle w:val="cuatexto"/>
              <w:rPr>
                <w:sz w:val="18"/>
                <w:szCs w:val="18"/>
              </w:rPr>
            </w:pPr>
            <w:r w:rsidRPr="00EB08F2">
              <w:rPr>
                <w:sz w:val="18"/>
                <w:szCs w:val="18"/>
              </w:rPr>
              <w:t>39901 Otros ingresos diversos</w:t>
            </w:r>
          </w:p>
        </w:tc>
        <w:tc>
          <w:tcPr>
            <w:tcW w:w="1004"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2.000</w:t>
            </w:r>
          </w:p>
        </w:tc>
        <w:tc>
          <w:tcPr>
            <w:tcW w:w="836"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0</w:t>
            </w:r>
          </w:p>
        </w:tc>
        <w:tc>
          <w:tcPr>
            <w:tcW w:w="1017"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2.000</w:t>
            </w:r>
          </w:p>
        </w:tc>
        <w:tc>
          <w:tcPr>
            <w:tcW w:w="973"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8.876</w:t>
            </w:r>
          </w:p>
        </w:tc>
        <w:tc>
          <w:tcPr>
            <w:tcW w:w="752" w:type="dxa"/>
            <w:tcBorders>
              <w:top w:val="single" w:sz="2" w:space="0" w:color="auto"/>
              <w:bottom w:val="single" w:sz="2" w:space="0" w:color="auto"/>
            </w:tcBorders>
            <w:shd w:val="clear" w:color="000000" w:fill="auto"/>
            <w:vAlign w:val="center"/>
          </w:tcPr>
          <w:p w:rsidR="00C00AE6" w:rsidRPr="00EB08F2" w:rsidRDefault="00C00AE6" w:rsidP="00DF414B">
            <w:pPr>
              <w:pStyle w:val="cuatexto"/>
              <w:jc w:val="right"/>
              <w:rPr>
                <w:szCs w:val="20"/>
              </w:rPr>
            </w:pPr>
            <w:r w:rsidRPr="00EB08F2">
              <w:rPr>
                <w:szCs w:val="20"/>
              </w:rPr>
              <w:t>444</w:t>
            </w:r>
          </w:p>
        </w:tc>
        <w:tc>
          <w:tcPr>
            <w:tcW w:w="951"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8.876</w:t>
            </w:r>
          </w:p>
        </w:tc>
        <w:tc>
          <w:tcPr>
            <w:tcW w:w="855" w:type="dxa"/>
            <w:tcBorders>
              <w:top w:val="single" w:sz="2" w:space="0" w:color="auto"/>
              <w:bottom w:val="single" w:sz="2" w:space="0" w:color="auto"/>
            </w:tcBorders>
            <w:vAlign w:val="center"/>
          </w:tcPr>
          <w:p w:rsidR="00C00AE6" w:rsidRPr="00EB08F2" w:rsidRDefault="00C00AE6" w:rsidP="00DF414B">
            <w:pPr>
              <w:pStyle w:val="cuatexto"/>
              <w:jc w:val="right"/>
              <w:rPr>
                <w:szCs w:val="20"/>
              </w:rPr>
            </w:pPr>
            <w:r w:rsidRPr="00EB08F2">
              <w:rPr>
                <w:szCs w:val="20"/>
              </w:rPr>
              <w:t>0</w:t>
            </w:r>
          </w:p>
        </w:tc>
      </w:tr>
      <w:tr w:rsidR="00C00AE6" w:rsidRPr="00EB08F2" w:rsidTr="00DF414B">
        <w:trPr>
          <w:trHeight w:val="284"/>
          <w:jc w:val="center"/>
        </w:trPr>
        <w:tc>
          <w:tcPr>
            <w:tcW w:w="2762" w:type="dxa"/>
            <w:tcBorders>
              <w:top w:val="single" w:sz="2" w:space="0" w:color="auto"/>
              <w:bottom w:val="single" w:sz="2" w:space="0" w:color="auto"/>
            </w:tcBorders>
            <w:shd w:val="clear" w:color="auto" w:fill="auto"/>
            <w:noWrap/>
            <w:vAlign w:val="center"/>
          </w:tcPr>
          <w:p w:rsidR="00C00AE6" w:rsidRPr="00EB08F2" w:rsidRDefault="00A54EE1" w:rsidP="00DF414B">
            <w:pPr>
              <w:pStyle w:val="cuatexto"/>
              <w:rPr>
                <w:sz w:val="18"/>
                <w:szCs w:val="18"/>
              </w:rPr>
            </w:pPr>
            <w:r>
              <w:rPr>
                <w:sz w:val="18"/>
                <w:szCs w:val="18"/>
              </w:rPr>
              <w:t xml:space="preserve">   462</w:t>
            </w:r>
            <w:r w:rsidR="00C00AE6" w:rsidRPr="00EB08F2">
              <w:rPr>
                <w:sz w:val="18"/>
                <w:szCs w:val="18"/>
              </w:rPr>
              <w:t xml:space="preserve"> Transferencias de municipios</w:t>
            </w:r>
          </w:p>
        </w:tc>
        <w:tc>
          <w:tcPr>
            <w:tcW w:w="1004"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2.000</w:t>
            </w:r>
          </w:p>
        </w:tc>
        <w:tc>
          <w:tcPr>
            <w:tcW w:w="836"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0</w:t>
            </w:r>
          </w:p>
        </w:tc>
        <w:tc>
          <w:tcPr>
            <w:tcW w:w="1017"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2.000</w:t>
            </w:r>
          </w:p>
        </w:tc>
        <w:tc>
          <w:tcPr>
            <w:tcW w:w="973"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0</w:t>
            </w:r>
          </w:p>
        </w:tc>
        <w:tc>
          <w:tcPr>
            <w:tcW w:w="752" w:type="dxa"/>
            <w:tcBorders>
              <w:top w:val="single" w:sz="2" w:space="0" w:color="auto"/>
              <w:bottom w:val="single" w:sz="2" w:space="0" w:color="auto"/>
            </w:tcBorders>
            <w:shd w:val="clear" w:color="000000" w:fill="auto"/>
            <w:vAlign w:val="center"/>
          </w:tcPr>
          <w:p w:rsidR="00C00AE6" w:rsidRPr="00EB08F2" w:rsidRDefault="00C00AE6" w:rsidP="00DF414B">
            <w:pPr>
              <w:pStyle w:val="cuatexto"/>
              <w:jc w:val="right"/>
              <w:rPr>
                <w:szCs w:val="20"/>
              </w:rPr>
            </w:pPr>
            <w:r w:rsidRPr="00EB08F2">
              <w:rPr>
                <w:szCs w:val="20"/>
              </w:rPr>
              <w:t>0</w:t>
            </w:r>
          </w:p>
        </w:tc>
        <w:tc>
          <w:tcPr>
            <w:tcW w:w="951" w:type="dxa"/>
            <w:tcBorders>
              <w:top w:val="single" w:sz="2" w:space="0" w:color="auto"/>
              <w:bottom w:val="single" w:sz="2" w:space="0" w:color="auto"/>
            </w:tcBorders>
            <w:shd w:val="clear" w:color="auto" w:fill="auto"/>
            <w:vAlign w:val="center"/>
          </w:tcPr>
          <w:p w:rsidR="00C00AE6" w:rsidRPr="00EB08F2" w:rsidRDefault="00C00AE6" w:rsidP="00DF414B">
            <w:pPr>
              <w:pStyle w:val="cuatexto"/>
              <w:jc w:val="right"/>
              <w:rPr>
                <w:szCs w:val="20"/>
              </w:rPr>
            </w:pPr>
            <w:r w:rsidRPr="00EB08F2">
              <w:rPr>
                <w:szCs w:val="20"/>
              </w:rPr>
              <w:t>0</w:t>
            </w:r>
          </w:p>
        </w:tc>
        <w:tc>
          <w:tcPr>
            <w:tcW w:w="855" w:type="dxa"/>
            <w:tcBorders>
              <w:top w:val="single" w:sz="2" w:space="0" w:color="auto"/>
              <w:bottom w:val="single" w:sz="2" w:space="0" w:color="auto"/>
            </w:tcBorders>
            <w:vAlign w:val="center"/>
          </w:tcPr>
          <w:p w:rsidR="00C00AE6" w:rsidRPr="00EB08F2" w:rsidRDefault="00C00AE6" w:rsidP="00DF414B">
            <w:pPr>
              <w:pStyle w:val="cuatexto"/>
              <w:jc w:val="right"/>
              <w:rPr>
                <w:szCs w:val="20"/>
              </w:rPr>
            </w:pPr>
            <w:r w:rsidRPr="00EB08F2">
              <w:rPr>
                <w:szCs w:val="20"/>
              </w:rPr>
              <w:t>0</w:t>
            </w:r>
          </w:p>
        </w:tc>
      </w:tr>
      <w:tr w:rsidR="00C00AE6" w:rsidRPr="00EB08F2" w:rsidTr="00DF414B">
        <w:trPr>
          <w:trHeight w:val="284"/>
          <w:jc w:val="center"/>
        </w:trPr>
        <w:tc>
          <w:tcPr>
            <w:tcW w:w="2762" w:type="dxa"/>
            <w:tcBorders>
              <w:top w:val="single" w:sz="2" w:space="0" w:color="auto"/>
              <w:bottom w:val="single" w:sz="4" w:space="0" w:color="auto"/>
            </w:tcBorders>
            <w:shd w:val="clear" w:color="auto" w:fill="auto"/>
            <w:noWrap/>
            <w:vAlign w:val="center"/>
          </w:tcPr>
          <w:p w:rsidR="00C00AE6" w:rsidRPr="00EB08F2" w:rsidRDefault="00A54EE1" w:rsidP="00A54EE1">
            <w:pPr>
              <w:pStyle w:val="cuatexto"/>
              <w:rPr>
                <w:sz w:val="18"/>
                <w:szCs w:val="18"/>
              </w:rPr>
            </w:pPr>
            <w:r>
              <w:rPr>
                <w:sz w:val="18"/>
                <w:szCs w:val="18"/>
              </w:rPr>
              <w:t xml:space="preserve">   520 Intereses </w:t>
            </w:r>
            <w:r w:rsidR="00C00AE6" w:rsidRPr="00EB08F2">
              <w:rPr>
                <w:sz w:val="18"/>
                <w:szCs w:val="18"/>
              </w:rPr>
              <w:t>cuentas bancarias</w:t>
            </w:r>
          </w:p>
        </w:tc>
        <w:tc>
          <w:tcPr>
            <w:tcW w:w="1004" w:type="dxa"/>
            <w:tcBorders>
              <w:top w:val="single" w:sz="2" w:space="0" w:color="auto"/>
              <w:bottom w:val="single" w:sz="4" w:space="0" w:color="auto"/>
            </w:tcBorders>
            <w:shd w:val="clear" w:color="auto" w:fill="auto"/>
            <w:vAlign w:val="center"/>
          </w:tcPr>
          <w:p w:rsidR="00C00AE6" w:rsidRPr="00EB08F2" w:rsidRDefault="00C00AE6" w:rsidP="00DF414B">
            <w:pPr>
              <w:pStyle w:val="cuatexto"/>
              <w:jc w:val="right"/>
              <w:rPr>
                <w:szCs w:val="20"/>
              </w:rPr>
            </w:pPr>
            <w:r w:rsidRPr="00EB08F2">
              <w:rPr>
                <w:szCs w:val="20"/>
              </w:rPr>
              <w:t>100</w:t>
            </w:r>
          </w:p>
        </w:tc>
        <w:tc>
          <w:tcPr>
            <w:tcW w:w="836" w:type="dxa"/>
            <w:tcBorders>
              <w:top w:val="single" w:sz="2" w:space="0" w:color="auto"/>
              <w:bottom w:val="single" w:sz="4" w:space="0" w:color="auto"/>
            </w:tcBorders>
            <w:shd w:val="clear" w:color="auto" w:fill="auto"/>
            <w:vAlign w:val="center"/>
          </w:tcPr>
          <w:p w:rsidR="00C00AE6" w:rsidRPr="00EB08F2" w:rsidRDefault="00C00AE6" w:rsidP="00DF414B">
            <w:pPr>
              <w:pStyle w:val="cuatexto"/>
              <w:jc w:val="right"/>
              <w:rPr>
                <w:szCs w:val="20"/>
              </w:rPr>
            </w:pPr>
            <w:r w:rsidRPr="00EB08F2">
              <w:rPr>
                <w:szCs w:val="20"/>
              </w:rPr>
              <w:t>0</w:t>
            </w:r>
          </w:p>
        </w:tc>
        <w:tc>
          <w:tcPr>
            <w:tcW w:w="1017" w:type="dxa"/>
            <w:tcBorders>
              <w:top w:val="single" w:sz="2" w:space="0" w:color="auto"/>
              <w:bottom w:val="single" w:sz="4" w:space="0" w:color="auto"/>
            </w:tcBorders>
            <w:shd w:val="clear" w:color="auto" w:fill="auto"/>
            <w:vAlign w:val="center"/>
          </w:tcPr>
          <w:p w:rsidR="00C00AE6" w:rsidRPr="00EB08F2" w:rsidRDefault="00C00AE6" w:rsidP="00DF414B">
            <w:pPr>
              <w:pStyle w:val="cuatexto"/>
              <w:jc w:val="right"/>
              <w:rPr>
                <w:szCs w:val="20"/>
              </w:rPr>
            </w:pPr>
            <w:r w:rsidRPr="00EB08F2">
              <w:rPr>
                <w:szCs w:val="20"/>
              </w:rPr>
              <w:t>100</w:t>
            </w:r>
          </w:p>
        </w:tc>
        <w:tc>
          <w:tcPr>
            <w:tcW w:w="973" w:type="dxa"/>
            <w:tcBorders>
              <w:top w:val="single" w:sz="2" w:space="0" w:color="auto"/>
              <w:bottom w:val="single" w:sz="4" w:space="0" w:color="auto"/>
            </w:tcBorders>
            <w:shd w:val="clear" w:color="auto" w:fill="auto"/>
            <w:vAlign w:val="center"/>
          </w:tcPr>
          <w:p w:rsidR="00C00AE6" w:rsidRPr="00EB08F2" w:rsidRDefault="00C00AE6" w:rsidP="00DF414B">
            <w:pPr>
              <w:pStyle w:val="cuatexto"/>
              <w:jc w:val="right"/>
              <w:rPr>
                <w:szCs w:val="20"/>
              </w:rPr>
            </w:pPr>
            <w:r w:rsidRPr="00EB08F2">
              <w:rPr>
                <w:szCs w:val="20"/>
              </w:rPr>
              <w:t>1</w:t>
            </w:r>
          </w:p>
        </w:tc>
        <w:tc>
          <w:tcPr>
            <w:tcW w:w="752" w:type="dxa"/>
            <w:tcBorders>
              <w:top w:val="single" w:sz="2" w:space="0" w:color="auto"/>
              <w:bottom w:val="single" w:sz="4" w:space="0" w:color="auto"/>
            </w:tcBorders>
            <w:shd w:val="clear" w:color="000000" w:fill="auto"/>
            <w:vAlign w:val="center"/>
          </w:tcPr>
          <w:p w:rsidR="00C00AE6" w:rsidRPr="00EB08F2" w:rsidRDefault="00C00AE6" w:rsidP="00DF414B">
            <w:pPr>
              <w:pStyle w:val="cuatexto"/>
              <w:jc w:val="right"/>
              <w:rPr>
                <w:szCs w:val="20"/>
              </w:rPr>
            </w:pPr>
            <w:r w:rsidRPr="00EB08F2">
              <w:rPr>
                <w:szCs w:val="20"/>
              </w:rPr>
              <w:t>1</w:t>
            </w:r>
          </w:p>
        </w:tc>
        <w:tc>
          <w:tcPr>
            <w:tcW w:w="951" w:type="dxa"/>
            <w:tcBorders>
              <w:top w:val="single" w:sz="2" w:space="0" w:color="auto"/>
              <w:bottom w:val="single" w:sz="4" w:space="0" w:color="auto"/>
            </w:tcBorders>
            <w:shd w:val="clear" w:color="auto" w:fill="auto"/>
            <w:vAlign w:val="center"/>
          </w:tcPr>
          <w:p w:rsidR="00C00AE6" w:rsidRPr="00EB08F2" w:rsidRDefault="00C00AE6" w:rsidP="00DF414B">
            <w:pPr>
              <w:pStyle w:val="cuatexto"/>
              <w:jc w:val="right"/>
              <w:rPr>
                <w:szCs w:val="20"/>
              </w:rPr>
            </w:pPr>
            <w:r w:rsidRPr="00EB08F2">
              <w:rPr>
                <w:szCs w:val="20"/>
              </w:rPr>
              <w:t>1</w:t>
            </w:r>
          </w:p>
        </w:tc>
        <w:tc>
          <w:tcPr>
            <w:tcW w:w="855" w:type="dxa"/>
            <w:tcBorders>
              <w:top w:val="single" w:sz="2" w:space="0" w:color="auto"/>
              <w:bottom w:val="single" w:sz="4" w:space="0" w:color="auto"/>
            </w:tcBorders>
            <w:vAlign w:val="center"/>
          </w:tcPr>
          <w:p w:rsidR="00C00AE6" w:rsidRPr="00EB08F2" w:rsidRDefault="00C00AE6" w:rsidP="00DF414B">
            <w:pPr>
              <w:pStyle w:val="cuatexto"/>
              <w:jc w:val="right"/>
              <w:rPr>
                <w:szCs w:val="20"/>
              </w:rPr>
            </w:pPr>
            <w:r w:rsidRPr="00EB08F2">
              <w:rPr>
                <w:szCs w:val="20"/>
              </w:rPr>
              <w:t>0</w:t>
            </w:r>
          </w:p>
        </w:tc>
      </w:tr>
      <w:tr w:rsidR="00C00AE6" w:rsidRPr="00DF414B" w:rsidTr="00822C0B">
        <w:trPr>
          <w:trHeight w:val="284"/>
          <w:jc w:val="center"/>
        </w:trPr>
        <w:tc>
          <w:tcPr>
            <w:tcW w:w="2762" w:type="dxa"/>
            <w:tcBorders>
              <w:top w:val="single" w:sz="4" w:space="0" w:color="auto"/>
              <w:bottom w:val="single" w:sz="4" w:space="0" w:color="auto"/>
            </w:tcBorders>
            <w:shd w:val="clear" w:color="auto" w:fill="FABF8F" w:themeFill="accent6" w:themeFillTint="99"/>
            <w:noWrap/>
            <w:vAlign w:val="center"/>
            <w:hideMark/>
          </w:tcPr>
          <w:p w:rsidR="00C00AE6" w:rsidRPr="00DF414B" w:rsidRDefault="00C00AE6" w:rsidP="00DF414B">
            <w:pPr>
              <w:pStyle w:val="cuadroCabe"/>
              <w:rPr>
                <w:sz w:val="17"/>
                <w:szCs w:val="17"/>
                <w:lang w:val="es-ES" w:eastAsia="es-ES"/>
              </w:rPr>
            </w:pPr>
            <w:r w:rsidRPr="00DF414B">
              <w:rPr>
                <w:sz w:val="17"/>
                <w:szCs w:val="17"/>
                <w:lang w:val="es-ES" w:eastAsia="es-ES"/>
              </w:rPr>
              <w:t>Total Ingresos</w:t>
            </w:r>
          </w:p>
        </w:tc>
        <w:tc>
          <w:tcPr>
            <w:tcW w:w="1004" w:type="dxa"/>
            <w:tcBorders>
              <w:top w:val="single" w:sz="4" w:space="0" w:color="auto"/>
              <w:bottom w:val="single" w:sz="4" w:space="0" w:color="auto"/>
            </w:tcBorders>
            <w:shd w:val="clear" w:color="auto" w:fill="FABF8F" w:themeFill="accent6" w:themeFillTint="99"/>
            <w:noWrap/>
            <w:vAlign w:val="center"/>
          </w:tcPr>
          <w:p w:rsidR="00C00AE6" w:rsidRPr="00DF414B" w:rsidRDefault="00C00AE6" w:rsidP="00DF414B">
            <w:pPr>
              <w:pStyle w:val="cuadroCabe"/>
              <w:jc w:val="right"/>
              <w:rPr>
                <w:sz w:val="17"/>
                <w:szCs w:val="17"/>
                <w:lang w:val="es-ES" w:eastAsia="es-ES"/>
              </w:rPr>
            </w:pPr>
            <w:r w:rsidRPr="00DF414B">
              <w:rPr>
                <w:sz w:val="17"/>
                <w:szCs w:val="17"/>
                <w:lang w:val="es-ES" w:eastAsia="es-ES"/>
              </w:rPr>
              <w:t>2.833.100</w:t>
            </w:r>
          </w:p>
        </w:tc>
        <w:tc>
          <w:tcPr>
            <w:tcW w:w="836" w:type="dxa"/>
            <w:tcBorders>
              <w:top w:val="single" w:sz="4" w:space="0" w:color="auto"/>
              <w:bottom w:val="single" w:sz="4" w:space="0" w:color="auto"/>
            </w:tcBorders>
            <w:shd w:val="clear" w:color="auto" w:fill="FABF8F" w:themeFill="accent6" w:themeFillTint="99"/>
            <w:noWrap/>
            <w:vAlign w:val="center"/>
          </w:tcPr>
          <w:p w:rsidR="00C00AE6" w:rsidRPr="00DF414B" w:rsidRDefault="00C00AE6" w:rsidP="00DF414B">
            <w:pPr>
              <w:pStyle w:val="cuadroCabe"/>
              <w:jc w:val="right"/>
              <w:rPr>
                <w:sz w:val="17"/>
                <w:szCs w:val="17"/>
                <w:lang w:val="es-ES" w:eastAsia="es-ES"/>
              </w:rPr>
            </w:pPr>
            <w:r w:rsidRPr="00DF414B">
              <w:rPr>
                <w:sz w:val="17"/>
                <w:szCs w:val="17"/>
                <w:lang w:val="es-ES" w:eastAsia="es-ES"/>
              </w:rPr>
              <w:t>0</w:t>
            </w:r>
          </w:p>
        </w:tc>
        <w:tc>
          <w:tcPr>
            <w:tcW w:w="1017" w:type="dxa"/>
            <w:tcBorders>
              <w:top w:val="single" w:sz="4" w:space="0" w:color="auto"/>
              <w:bottom w:val="single" w:sz="4" w:space="0" w:color="auto"/>
            </w:tcBorders>
            <w:shd w:val="clear" w:color="auto" w:fill="FABF8F" w:themeFill="accent6" w:themeFillTint="99"/>
            <w:noWrap/>
            <w:vAlign w:val="center"/>
          </w:tcPr>
          <w:p w:rsidR="00C00AE6" w:rsidRPr="00DF414B" w:rsidRDefault="00C00AE6" w:rsidP="00DF414B">
            <w:pPr>
              <w:pStyle w:val="cuadroCabe"/>
              <w:jc w:val="right"/>
              <w:rPr>
                <w:sz w:val="17"/>
                <w:szCs w:val="17"/>
                <w:lang w:val="es-ES" w:eastAsia="es-ES"/>
              </w:rPr>
            </w:pPr>
            <w:r w:rsidRPr="00DF414B">
              <w:rPr>
                <w:sz w:val="17"/>
                <w:szCs w:val="17"/>
                <w:lang w:val="es-ES" w:eastAsia="es-ES"/>
              </w:rPr>
              <w:t>2.833.100</w:t>
            </w:r>
          </w:p>
        </w:tc>
        <w:tc>
          <w:tcPr>
            <w:tcW w:w="973" w:type="dxa"/>
            <w:tcBorders>
              <w:top w:val="single" w:sz="4" w:space="0" w:color="auto"/>
              <w:bottom w:val="single" w:sz="4" w:space="0" w:color="auto"/>
            </w:tcBorders>
            <w:shd w:val="clear" w:color="auto" w:fill="FABF8F" w:themeFill="accent6" w:themeFillTint="99"/>
            <w:noWrap/>
            <w:vAlign w:val="center"/>
          </w:tcPr>
          <w:p w:rsidR="00C00AE6" w:rsidRPr="00DF414B" w:rsidRDefault="00C00AE6" w:rsidP="00DF414B">
            <w:pPr>
              <w:pStyle w:val="cuadroCabe"/>
              <w:jc w:val="right"/>
              <w:rPr>
                <w:sz w:val="17"/>
                <w:szCs w:val="17"/>
                <w:lang w:val="es-ES" w:eastAsia="es-ES"/>
              </w:rPr>
            </w:pPr>
            <w:r w:rsidRPr="00DF414B">
              <w:rPr>
                <w:sz w:val="17"/>
                <w:szCs w:val="17"/>
                <w:lang w:val="es-ES" w:eastAsia="es-ES"/>
              </w:rPr>
              <w:t>2.820.315</w:t>
            </w:r>
          </w:p>
        </w:tc>
        <w:tc>
          <w:tcPr>
            <w:tcW w:w="752" w:type="dxa"/>
            <w:tcBorders>
              <w:top w:val="single" w:sz="4" w:space="0" w:color="auto"/>
              <w:bottom w:val="single" w:sz="4" w:space="0" w:color="auto"/>
            </w:tcBorders>
            <w:shd w:val="clear" w:color="auto" w:fill="FABF8F" w:themeFill="accent6" w:themeFillTint="99"/>
            <w:vAlign w:val="center"/>
          </w:tcPr>
          <w:p w:rsidR="00C00AE6" w:rsidRPr="00DF414B" w:rsidRDefault="007C0A38" w:rsidP="00DF414B">
            <w:pPr>
              <w:pStyle w:val="cuadroCabe"/>
              <w:jc w:val="right"/>
              <w:rPr>
                <w:sz w:val="17"/>
                <w:szCs w:val="17"/>
                <w:lang w:val="es-ES" w:eastAsia="es-ES"/>
              </w:rPr>
            </w:pPr>
            <w:r w:rsidRPr="00DF414B">
              <w:rPr>
                <w:sz w:val="17"/>
                <w:szCs w:val="17"/>
                <w:lang w:val="es-ES" w:eastAsia="es-ES"/>
              </w:rPr>
              <w:t>99</w:t>
            </w:r>
          </w:p>
        </w:tc>
        <w:tc>
          <w:tcPr>
            <w:tcW w:w="951" w:type="dxa"/>
            <w:tcBorders>
              <w:top w:val="single" w:sz="4" w:space="0" w:color="auto"/>
              <w:bottom w:val="single" w:sz="4" w:space="0" w:color="auto"/>
            </w:tcBorders>
            <w:shd w:val="clear" w:color="auto" w:fill="FABF8F" w:themeFill="accent6" w:themeFillTint="99"/>
            <w:noWrap/>
            <w:vAlign w:val="center"/>
          </w:tcPr>
          <w:p w:rsidR="00C00AE6" w:rsidRPr="00DF414B" w:rsidRDefault="00C00AE6" w:rsidP="00DF414B">
            <w:pPr>
              <w:pStyle w:val="cuadroCabe"/>
              <w:jc w:val="right"/>
              <w:rPr>
                <w:sz w:val="17"/>
                <w:szCs w:val="17"/>
                <w:lang w:val="es-ES" w:eastAsia="es-ES"/>
              </w:rPr>
            </w:pPr>
            <w:r w:rsidRPr="00DF414B">
              <w:rPr>
                <w:sz w:val="17"/>
                <w:szCs w:val="17"/>
                <w:lang w:val="es-ES" w:eastAsia="es-ES"/>
              </w:rPr>
              <w:t>2.663.361</w:t>
            </w:r>
          </w:p>
        </w:tc>
        <w:tc>
          <w:tcPr>
            <w:tcW w:w="855" w:type="dxa"/>
            <w:tcBorders>
              <w:top w:val="single" w:sz="4" w:space="0" w:color="auto"/>
              <w:bottom w:val="single" w:sz="4" w:space="0" w:color="auto"/>
            </w:tcBorders>
            <w:shd w:val="clear" w:color="auto" w:fill="FABF8F" w:themeFill="accent6" w:themeFillTint="99"/>
            <w:vAlign w:val="center"/>
          </w:tcPr>
          <w:p w:rsidR="00C00AE6" w:rsidRPr="00DF414B" w:rsidRDefault="00C00AE6" w:rsidP="00DF414B">
            <w:pPr>
              <w:pStyle w:val="cuadroCabe"/>
              <w:jc w:val="right"/>
              <w:rPr>
                <w:sz w:val="17"/>
                <w:szCs w:val="17"/>
                <w:lang w:val="es-ES" w:eastAsia="es-ES"/>
              </w:rPr>
            </w:pPr>
            <w:r w:rsidRPr="00DF414B">
              <w:rPr>
                <w:sz w:val="17"/>
                <w:szCs w:val="17"/>
                <w:lang w:val="es-ES" w:eastAsia="es-ES"/>
              </w:rPr>
              <w:t>156.954</w:t>
            </w:r>
          </w:p>
        </w:tc>
      </w:tr>
    </w:tbl>
    <w:p w:rsidR="00EC4973" w:rsidRDefault="00EC4973" w:rsidP="004D71D6">
      <w:pPr>
        <w:pStyle w:val="texto"/>
      </w:pPr>
    </w:p>
    <w:p w:rsidR="00AE2266" w:rsidRDefault="007C0A38" w:rsidP="004D71D6">
      <w:pPr>
        <w:pStyle w:val="texto"/>
      </w:pPr>
      <w:r>
        <w:t>Respecto a 2014, los ingresos se han incrementado en un tres por ciento, es decir, en 88.987 euros que proceden fundamentalmente de</w:t>
      </w:r>
      <w:r w:rsidR="000D430F">
        <w:t xml:space="preserve"> los percibidos por</w:t>
      </w:r>
      <w:r>
        <w:t xml:space="preserve"> estancias.</w:t>
      </w:r>
    </w:p>
    <w:p w:rsidR="00E66C0F" w:rsidRDefault="00B26EDD" w:rsidP="00E212EA">
      <w:pPr>
        <w:pStyle w:val="texto"/>
        <w:spacing w:after="240"/>
      </w:pPr>
      <w:r>
        <w:t xml:space="preserve">A) </w:t>
      </w:r>
      <w:r w:rsidR="00EF4B5D">
        <w:t xml:space="preserve">Los </w:t>
      </w:r>
      <w:r w:rsidR="0036412A">
        <w:t xml:space="preserve">derechos reconocidos </w:t>
      </w:r>
      <w:r w:rsidR="008C5747">
        <w:t xml:space="preserve">por </w:t>
      </w:r>
      <w:r w:rsidR="005A1D35">
        <w:t>precios públicos</w:t>
      </w:r>
      <w:r w:rsidR="008C5747">
        <w:t xml:space="preserve"> y conciertos de</w:t>
      </w:r>
      <w:r w:rsidR="0036412A">
        <w:t xml:space="preserve"> la</w:t>
      </w:r>
      <w:r w:rsidR="000946DD">
        <w:t xml:space="preserve"> reside</w:t>
      </w:r>
      <w:r w:rsidR="000946DD">
        <w:t>n</w:t>
      </w:r>
      <w:r w:rsidR="000946DD">
        <w:t>cia</w:t>
      </w:r>
      <w:r w:rsidR="0036412A">
        <w:t xml:space="preserve"> de</w:t>
      </w:r>
      <w:r w:rsidR="002E3653">
        <w:t xml:space="preserve"> 2,81 millo</w:t>
      </w:r>
      <w:r w:rsidR="00CA0390">
        <w:t>nes</w:t>
      </w:r>
      <w:r w:rsidR="002E3653">
        <w:t xml:space="preserve"> se</w:t>
      </w:r>
      <w:r w:rsidR="00EF4B5D">
        <w:t xml:space="preserve"> desglosan en</w:t>
      </w:r>
      <w:r>
        <w:t>:</w:t>
      </w:r>
    </w:p>
    <w:tbl>
      <w:tblPr>
        <w:tblW w:w="8698" w:type="dxa"/>
        <w:jc w:val="center"/>
        <w:tblCellMar>
          <w:left w:w="70" w:type="dxa"/>
          <w:right w:w="70" w:type="dxa"/>
        </w:tblCellMar>
        <w:tblLook w:val="04A0" w:firstRow="1" w:lastRow="0" w:firstColumn="1" w:lastColumn="0" w:noHBand="0" w:noVBand="1"/>
      </w:tblPr>
      <w:tblGrid>
        <w:gridCol w:w="7600"/>
        <w:gridCol w:w="1098"/>
      </w:tblGrid>
      <w:tr w:rsidR="00FC7948" w:rsidRPr="00DF414B" w:rsidTr="00822C0B">
        <w:trPr>
          <w:trHeight w:val="284"/>
          <w:jc w:val="center"/>
        </w:trPr>
        <w:tc>
          <w:tcPr>
            <w:tcW w:w="7600" w:type="dxa"/>
            <w:tcBorders>
              <w:top w:val="single" w:sz="4" w:space="0" w:color="auto"/>
              <w:left w:val="nil"/>
              <w:bottom w:val="single" w:sz="4" w:space="0" w:color="auto"/>
              <w:right w:val="nil"/>
            </w:tcBorders>
            <w:shd w:val="clear" w:color="auto" w:fill="FABF8F" w:themeFill="accent6" w:themeFillTint="99"/>
            <w:noWrap/>
            <w:vAlign w:val="center"/>
          </w:tcPr>
          <w:p w:rsidR="00FC7948" w:rsidRPr="00DF414B" w:rsidRDefault="00FC7948" w:rsidP="00FC7948">
            <w:pPr>
              <w:pStyle w:val="cuadroCabe"/>
              <w:rPr>
                <w:lang w:val="es-ES" w:eastAsia="es-ES"/>
              </w:rPr>
            </w:pPr>
            <w:r w:rsidRPr="00DF414B">
              <w:rPr>
                <w:lang w:val="es-ES" w:eastAsia="es-ES"/>
              </w:rPr>
              <w:t>Ingresos residencia</w:t>
            </w:r>
          </w:p>
        </w:tc>
        <w:tc>
          <w:tcPr>
            <w:tcW w:w="1098" w:type="dxa"/>
            <w:tcBorders>
              <w:top w:val="single" w:sz="4" w:space="0" w:color="auto"/>
              <w:left w:val="nil"/>
              <w:bottom w:val="single" w:sz="4" w:space="0" w:color="auto"/>
              <w:right w:val="nil"/>
            </w:tcBorders>
            <w:shd w:val="clear" w:color="auto" w:fill="FABF8F" w:themeFill="accent6" w:themeFillTint="99"/>
            <w:noWrap/>
            <w:vAlign w:val="center"/>
          </w:tcPr>
          <w:p w:rsidR="00FC7948" w:rsidRPr="00DF414B" w:rsidRDefault="00FC7948" w:rsidP="00DF414B">
            <w:pPr>
              <w:pStyle w:val="cuadroCabe"/>
              <w:jc w:val="right"/>
              <w:rPr>
                <w:lang w:val="es-ES" w:eastAsia="es-ES"/>
              </w:rPr>
            </w:pPr>
            <w:r w:rsidRPr="00DF414B">
              <w:rPr>
                <w:lang w:val="es-ES" w:eastAsia="es-ES"/>
              </w:rPr>
              <w:t>Importe</w:t>
            </w:r>
          </w:p>
        </w:tc>
      </w:tr>
      <w:tr w:rsidR="005A1D35" w:rsidRPr="00FC7948" w:rsidTr="00DF414B">
        <w:trPr>
          <w:trHeight w:val="284"/>
          <w:jc w:val="center"/>
        </w:trPr>
        <w:tc>
          <w:tcPr>
            <w:tcW w:w="7600" w:type="dxa"/>
            <w:tcBorders>
              <w:top w:val="single" w:sz="4" w:space="0" w:color="auto"/>
              <w:left w:val="nil"/>
              <w:bottom w:val="single" w:sz="2" w:space="0" w:color="auto"/>
              <w:right w:val="nil"/>
            </w:tcBorders>
            <w:shd w:val="clear" w:color="auto" w:fill="auto"/>
            <w:noWrap/>
            <w:vAlign w:val="center"/>
          </w:tcPr>
          <w:p w:rsidR="005A1D35" w:rsidRPr="00FC7948" w:rsidRDefault="005A1D35" w:rsidP="00A270D4">
            <w:pPr>
              <w:pStyle w:val="cuatexto"/>
            </w:pPr>
            <w:r w:rsidRPr="00FC7948">
              <w:t>Cuotas residencia ancianos</w:t>
            </w:r>
          </w:p>
        </w:tc>
        <w:tc>
          <w:tcPr>
            <w:tcW w:w="1098" w:type="dxa"/>
            <w:tcBorders>
              <w:top w:val="single" w:sz="4" w:space="0" w:color="auto"/>
              <w:left w:val="nil"/>
              <w:bottom w:val="single" w:sz="2" w:space="0" w:color="auto"/>
              <w:right w:val="nil"/>
            </w:tcBorders>
            <w:shd w:val="clear" w:color="auto" w:fill="auto"/>
            <w:noWrap/>
            <w:vAlign w:val="center"/>
          </w:tcPr>
          <w:p w:rsidR="005A1D35" w:rsidRPr="00FC7948" w:rsidRDefault="005A1D35" w:rsidP="00DF414B">
            <w:pPr>
              <w:pStyle w:val="cuatexto"/>
              <w:jc w:val="right"/>
            </w:pPr>
            <w:r w:rsidRPr="00FC7948">
              <w:t>1.968.262</w:t>
            </w:r>
          </w:p>
        </w:tc>
      </w:tr>
      <w:tr w:rsidR="005A1D35" w:rsidRPr="00FC7948" w:rsidTr="00DF414B">
        <w:trPr>
          <w:trHeight w:val="284"/>
          <w:jc w:val="center"/>
        </w:trPr>
        <w:tc>
          <w:tcPr>
            <w:tcW w:w="7600" w:type="dxa"/>
            <w:tcBorders>
              <w:top w:val="single" w:sz="2" w:space="0" w:color="auto"/>
              <w:left w:val="nil"/>
              <w:bottom w:val="single" w:sz="2" w:space="0" w:color="auto"/>
              <w:right w:val="nil"/>
            </w:tcBorders>
            <w:shd w:val="clear" w:color="auto" w:fill="auto"/>
            <w:noWrap/>
            <w:vAlign w:val="center"/>
            <w:hideMark/>
          </w:tcPr>
          <w:p w:rsidR="005A1D35" w:rsidRPr="00FC7948" w:rsidRDefault="005A1D35" w:rsidP="00CA0390">
            <w:pPr>
              <w:pStyle w:val="cuatexto"/>
            </w:pPr>
            <w:r w:rsidRPr="00FC7948">
              <w:t>Gobierno de Navarra</w:t>
            </w:r>
            <w:r>
              <w:t>-</w:t>
            </w:r>
            <w:r w:rsidRPr="00FC7948">
              <w:t xml:space="preserve"> </w:t>
            </w:r>
            <w:r>
              <w:t>R</w:t>
            </w:r>
            <w:r w:rsidRPr="00FC7948">
              <w:t xml:space="preserve">esidencia </w:t>
            </w:r>
            <w:r>
              <w:t>m</w:t>
            </w:r>
            <w:r w:rsidRPr="00FC7948">
              <w:t>ayores</w:t>
            </w:r>
          </w:p>
        </w:tc>
        <w:tc>
          <w:tcPr>
            <w:tcW w:w="1098" w:type="dxa"/>
            <w:tcBorders>
              <w:top w:val="single" w:sz="2" w:space="0" w:color="auto"/>
              <w:left w:val="nil"/>
              <w:bottom w:val="single" w:sz="2" w:space="0" w:color="auto"/>
              <w:right w:val="nil"/>
            </w:tcBorders>
            <w:shd w:val="clear" w:color="auto" w:fill="auto"/>
            <w:noWrap/>
            <w:vAlign w:val="center"/>
          </w:tcPr>
          <w:p w:rsidR="005A1D35" w:rsidRPr="00FC7948" w:rsidRDefault="005A1D35" w:rsidP="00DF414B">
            <w:pPr>
              <w:pStyle w:val="cuatexto"/>
              <w:jc w:val="right"/>
            </w:pPr>
            <w:r w:rsidRPr="00FC7948">
              <w:t>113.322</w:t>
            </w:r>
          </w:p>
        </w:tc>
      </w:tr>
      <w:tr w:rsidR="005A1D35" w:rsidRPr="00FC7948" w:rsidTr="00DF414B">
        <w:trPr>
          <w:trHeight w:val="284"/>
          <w:jc w:val="center"/>
        </w:trPr>
        <w:tc>
          <w:tcPr>
            <w:tcW w:w="7600" w:type="dxa"/>
            <w:tcBorders>
              <w:top w:val="single" w:sz="2" w:space="0" w:color="auto"/>
              <w:left w:val="nil"/>
              <w:bottom w:val="single" w:sz="2" w:space="0" w:color="auto"/>
              <w:right w:val="nil"/>
            </w:tcBorders>
            <w:shd w:val="clear" w:color="auto" w:fill="auto"/>
            <w:noWrap/>
            <w:vAlign w:val="center"/>
            <w:hideMark/>
          </w:tcPr>
          <w:p w:rsidR="005A1D35" w:rsidRPr="00FC7948" w:rsidRDefault="005A1D35" w:rsidP="00FC7948">
            <w:pPr>
              <w:pStyle w:val="cuatexto"/>
            </w:pPr>
            <w:r w:rsidRPr="00FC7948">
              <w:t>Gobierno de Navarra</w:t>
            </w:r>
            <w:r>
              <w:t>-</w:t>
            </w:r>
            <w:r w:rsidRPr="00FC7948">
              <w:t xml:space="preserve"> Psicogeriátrico</w:t>
            </w:r>
          </w:p>
        </w:tc>
        <w:tc>
          <w:tcPr>
            <w:tcW w:w="1098" w:type="dxa"/>
            <w:tcBorders>
              <w:top w:val="single" w:sz="2" w:space="0" w:color="auto"/>
              <w:left w:val="nil"/>
              <w:bottom w:val="single" w:sz="2" w:space="0" w:color="auto"/>
              <w:right w:val="nil"/>
            </w:tcBorders>
            <w:shd w:val="clear" w:color="auto" w:fill="auto"/>
            <w:noWrap/>
            <w:vAlign w:val="center"/>
          </w:tcPr>
          <w:p w:rsidR="005A1D35" w:rsidRPr="00FC7948" w:rsidRDefault="005A1D35" w:rsidP="00DF414B">
            <w:pPr>
              <w:pStyle w:val="cuatexto"/>
              <w:jc w:val="right"/>
            </w:pPr>
            <w:r w:rsidRPr="00FC7948">
              <w:t>683.612</w:t>
            </w:r>
          </w:p>
        </w:tc>
      </w:tr>
      <w:tr w:rsidR="005A1D35" w:rsidRPr="00FC7948" w:rsidTr="00DF414B">
        <w:trPr>
          <w:trHeight w:val="284"/>
          <w:jc w:val="center"/>
        </w:trPr>
        <w:tc>
          <w:tcPr>
            <w:tcW w:w="7600" w:type="dxa"/>
            <w:tcBorders>
              <w:top w:val="single" w:sz="2" w:space="0" w:color="auto"/>
              <w:left w:val="nil"/>
              <w:bottom w:val="single" w:sz="2" w:space="0" w:color="auto"/>
              <w:right w:val="nil"/>
            </w:tcBorders>
            <w:shd w:val="clear" w:color="auto" w:fill="auto"/>
            <w:noWrap/>
            <w:vAlign w:val="center"/>
            <w:hideMark/>
          </w:tcPr>
          <w:p w:rsidR="005A1D35" w:rsidRPr="00FC7948" w:rsidRDefault="005A1D35" w:rsidP="00FC7948">
            <w:pPr>
              <w:pStyle w:val="cuatexto"/>
            </w:pPr>
            <w:r w:rsidRPr="00FC7948">
              <w:t>Subvención G</w:t>
            </w:r>
            <w:r>
              <w:t>obierno de Navarra terapia ocupacional</w:t>
            </w:r>
            <w:r w:rsidRPr="00FC7948">
              <w:t xml:space="preserve"> </w:t>
            </w:r>
          </w:p>
        </w:tc>
        <w:tc>
          <w:tcPr>
            <w:tcW w:w="1098" w:type="dxa"/>
            <w:tcBorders>
              <w:top w:val="single" w:sz="2" w:space="0" w:color="auto"/>
              <w:left w:val="nil"/>
              <w:bottom w:val="single" w:sz="2" w:space="0" w:color="auto"/>
              <w:right w:val="nil"/>
            </w:tcBorders>
            <w:shd w:val="clear" w:color="auto" w:fill="auto"/>
            <w:noWrap/>
            <w:vAlign w:val="center"/>
            <w:hideMark/>
          </w:tcPr>
          <w:p w:rsidR="005A1D35" w:rsidRPr="00FC7948" w:rsidRDefault="005A1D35" w:rsidP="00DF414B">
            <w:pPr>
              <w:pStyle w:val="cuatexto"/>
              <w:jc w:val="right"/>
            </w:pPr>
            <w:r w:rsidRPr="00FC7948">
              <w:t>2.046</w:t>
            </w:r>
          </w:p>
        </w:tc>
      </w:tr>
      <w:tr w:rsidR="005A1D35" w:rsidRPr="00FC7948" w:rsidTr="00DF414B">
        <w:trPr>
          <w:trHeight w:val="284"/>
          <w:jc w:val="center"/>
        </w:trPr>
        <w:tc>
          <w:tcPr>
            <w:tcW w:w="7600" w:type="dxa"/>
            <w:tcBorders>
              <w:top w:val="single" w:sz="2" w:space="0" w:color="auto"/>
              <w:left w:val="nil"/>
              <w:bottom w:val="single" w:sz="2" w:space="0" w:color="auto"/>
              <w:right w:val="nil"/>
            </w:tcBorders>
            <w:shd w:val="clear" w:color="auto" w:fill="auto"/>
            <w:noWrap/>
            <w:vAlign w:val="center"/>
            <w:hideMark/>
          </w:tcPr>
          <w:p w:rsidR="005A1D35" w:rsidRPr="00FC7948" w:rsidRDefault="005A1D35" w:rsidP="00FC7948">
            <w:pPr>
              <w:pStyle w:val="cuatexto"/>
            </w:pPr>
            <w:r w:rsidRPr="00FC7948">
              <w:t>Herencias</w:t>
            </w:r>
            <w:r>
              <w:t xml:space="preserve"> recibidas</w:t>
            </w:r>
          </w:p>
        </w:tc>
        <w:tc>
          <w:tcPr>
            <w:tcW w:w="1098" w:type="dxa"/>
            <w:tcBorders>
              <w:top w:val="single" w:sz="2" w:space="0" w:color="auto"/>
              <w:left w:val="nil"/>
              <w:bottom w:val="single" w:sz="2" w:space="0" w:color="auto"/>
              <w:right w:val="nil"/>
            </w:tcBorders>
            <w:shd w:val="clear" w:color="auto" w:fill="auto"/>
            <w:noWrap/>
            <w:vAlign w:val="center"/>
            <w:hideMark/>
          </w:tcPr>
          <w:p w:rsidR="005A1D35" w:rsidRPr="00FC7948" w:rsidRDefault="005A1D35" w:rsidP="00DF414B">
            <w:pPr>
              <w:pStyle w:val="cuatexto"/>
              <w:jc w:val="right"/>
            </w:pPr>
            <w:r w:rsidRPr="00FC7948">
              <w:t>45.789</w:t>
            </w:r>
          </w:p>
        </w:tc>
      </w:tr>
      <w:tr w:rsidR="005A1D35" w:rsidRPr="00FC7948" w:rsidTr="00DF414B">
        <w:trPr>
          <w:trHeight w:val="284"/>
          <w:jc w:val="center"/>
        </w:trPr>
        <w:tc>
          <w:tcPr>
            <w:tcW w:w="7600" w:type="dxa"/>
            <w:tcBorders>
              <w:top w:val="single" w:sz="2" w:space="0" w:color="auto"/>
              <w:left w:val="nil"/>
              <w:bottom w:val="single" w:sz="4" w:space="0" w:color="auto"/>
              <w:right w:val="nil"/>
            </w:tcBorders>
            <w:shd w:val="clear" w:color="auto" w:fill="auto"/>
            <w:noWrap/>
            <w:vAlign w:val="center"/>
            <w:hideMark/>
          </w:tcPr>
          <w:p w:rsidR="005A1D35" w:rsidRPr="00FC7948" w:rsidRDefault="005A1D35" w:rsidP="00FC7948">
            <w:pPr>
              <w:pStyle w:val="cuatexto"/>
            </w:pPr>
            <w:r w:rsidRPr="00FC7948">
              <w:t>Devolución fianzas</w:t>
            </w:r>
          </w:p>
        </w:tc>
        <w:tc>
          <w:tcPr>
            <w:tcW w:w="1098" w:type="dxa"/>
            <w:tcBorders>
              <w:top w:val="single" w:sz="2" w:space="0" w:color="auto"/>
              <w:left w:val="nil"/>
              <w:bottom w:val="single" w:sz="4" w:space="0" w:color="auto"/>
              <w:right w:val="nil"/>
            </w:tcBorders>
            <w:shd w:val="clear" w:color="auto" w:fill="auto"/>
            <w:noWrap/>
            <w:vAlign w:val="center"/>
            <w:hideMark/>
          </w:tcPr>
          <w:p w:rsidR="005A1D35" w:rsidRPr="00FC7948" w:rsidRDefault="005A1D35" w:rsidP="00DF414B">
            <w:pPr>
              <w:pStyle w:val="cuatexto"/>
              <w:jc w:val="right"/>
            </w:pPr>
            <w:r w:rsidRPr="00FC7948">
              <w:t>-1.593</w:t>
            </w:r>
          </w:p>
        </w:tc>
      </w:tr>
      <w:tr w:rsidR="005A1D35" w:rsidRPr="00FC7948" w:rsidTr="00822C0B">
        <w:trPr>
          <w:trHeight w:val="284"/>
          <w:jc w:val="center"/>
        </w:trPr>
        <w:tc>
          <w:tcPr>
            <w:tcW w:w="7600" w:type="dxa"/>
            <w:tcBorders>
              <w:top w:val="single" w:sz="4" w:space="0" w:color="auto"/>
              <w:left w:val="nil"/>
              <w:bottom w:val="single" w:sz="4" w:space="0" w:color="auto"/>
              <w:right w:val="nil"/>
            </w:tcBorders>
            <w:shd w:val="clear" w:color="auto" w:fill="FABF8F" w:themeFill="accent6" w:themeFillTint="99"/>
            <w:noWrap/>
            <w:vAlign w:val="center"/>
            <w:hideMark/>
          </w:tcPr>
          <w:p w:rsidR="005A1D35" w:rsidRPr="00FC7948" w:rsidRDefault="005A1D35" w:rsidP="00FC7948">
            <w:pPr>
              <w:pStyle w:val="cuadroCabe"/>
              <w:rPr>
                <w:rFonts w:ascii="Calibri" w:hAnsi="Calibri"/>
                <w:color w:val="000000"/>
                <w:sz w:val="22"/>
                <w:szCs w:val="22"/>
                <w:lang w:val="es-ES" w:eastAsia="es-ES"/>
              </w:rPr>
            </w:pPr>
            <w:r w:rsidRPr="00FC7948">
              <w:rPr>
                <w:lang w:val="es-ES" w:eastAsia="es-ES"/>
              </w:rPr>
              <w:t xml:space="preserve">Total </w:t>
            </w:r>
          </w:p>
        </w:tc>
        <w:tc>
          <w:tcPr>
            <w:tcW w:w="1098" w:type="dxa"/>
            <w:tcBorders>
              <w:top w:val="single" w:sz="4" w:space="0" w:color="auto"/>
              <w:left w:val="nil"/>
              <w:bottom w:val="single" w:sz="4" w:space="0" w:color="auto"/>
              <w:right w:val="nil"/>
            </w:tcBorders>
            <w:shd w:val="clear" w:color="auto" w:fill="FABF8F" w:themeFill="accent6" w:themeFillTint="99"/>
            <w:noWrap/>
            <w:vAlign w:val="center"/>
            <w:hideMark/>
          </w:tcPr>
          <w:p w:rsidR="005A1D35" w:rsidRPr="00FC7948" w:rsidRDefault="005A1D35" w:rsidP="00DF414B">
            <w:pPr>
              <w:pStyle w:val="cuadroCabe"/>
              <w:jc w:val="right"/>
              <w:rPr>
                <w:lang w:val="es-ES" w:eastAsia="es-ES"/>
              </w:rPr>
            </w:pPr>
            <w:r w:rsidRPr="00FC7948">
              <w:rPr>
                <w:lang w:val="es-ES" w:eastAsia="es-ES"/>
              </w:rPr>
              <w:t>2.811.438</w:t>
            </w:r>
          </w:p>
        </w:tc>
      </w:tr>
    </w:tbl>
    <w:p w:rsidR="002B02EF" w:rsidRDefault="002B02EF" w:rsidP="00DF414B">
      <w:pPr>
        <w:pStyle w:val="texto"/>
        <w:spacing w:after="0"/>
        <w:ind w:firstLine="0"/>
      </w:pPr>
    </w:p>
    <w:p w:rsidR="002E3653" w:rsidRDefault="0036412A" w:rsidP="0036412A">
      <w:pPr>
        <w:pStyle w:val="texto"/>
      </w:pPr>
      <w:r>
        <w:t>Del trabajo y revisión efectuada, señalamos:</w:t>
      </w:r>
    </w:p>
    <w:p w:rsidR="005D6F11" w:rsidRDefault="005D6F11" w:rsidP="00B26EDD">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La financiación de la residencia se realiza fundamentalmente a través de los precios públicos cobra</w:t>
      </w:r>
      <w:r w:rsidR="00AE7A2C">
        <w:t>dos</w:t>
      </w:r>
      <w:r>
        <w:t xml:space="preserve"> a los residentes y de los ingresos generados por los dos conciertos con el Gobierno de Navarra</w:t>
      </w:r>
      <w:r w:rsidR="00B27DCA">
        <w:t xml:space="preserve"> –residencial y psicogeriátrico</w:t>
      </w:r>
      <w:r w:rsidR="00DF414B">
        <w:t>–</w:t>
      </w:r>
      <w:r>
        <w:t>.</w:t>
      </w:r>
      <w:r w:rsidR="00C76ED6">
        <w:t xml:space="preserve"> No constan aportaciones de las entidades mancomunadas.</w:t>
      </w:r>
    </w:p>
    <w:p w:rsidR="005D6F11" w:rsidRDefault="005D6F11" w:rsidP="00C76ED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Las cuotas </w:t>
      </w:r>
      <w:r w:rsidR="00AE7A2C">
        <w:t>de los residentes están regulada</w:t>
      </w:r>
      <w:r>
        <w:t>s en la oportuna ordenanza fi</w:t>
      </w:r>
      <w:r>
        <w:t>s</w:t>
      </w:r>
      <w:r>
        <w:t>cal aprobada por la mancomunidad que fija los siguientes precios para 2015, cuantías idénticas a las de 2014:</w:t>
      </w:r>
    </w:p>
    <w:p w:rsidR="005D6F11" w:rsidRDefault="005D6F11" w:rsidP="001D0828">
      <w:pPr>
        <w:pStyle w:val="texto"/>
      </w:pPr>
      <w:r>
        <w:t>a) Residentes asistidos o dependientes: 1.860 euros/mes</w:t>
      </w:r>
    </w:p>
    <w:p w:rsidR="005D6F11" w:rsidRDefault="005D6F11" w:rsidP="001D0828">
      <w:pPr>
        <w:pStyle w:val="texto"/>
      </w:pPr>
      <w:r>
        <w:t>b) Residentes validos o no dependientes: 1.350 euros/mes.</w:t>
      </w:r>
    </w:p>
    <w:p w:rsidR="005D6F11" w:rsidRPr="00D816BE" w:rsidRDefault="005D6F11" w:rsidP="005D6F11">
      <w:pPr>
        <w:pStyle w:val="texto"/>
        <w:tabs>
          <w:tab w:val="clear" w:pos="2835"/>
          <w:tab w:val="clear" w:pos="3969"/>
          <w:tab w:val="clear" w:pos="5103"/>
          <w:tab w:val="clear" w:pos="6237"/>
          <w:tab w:val="clear" w:pos="7371"/>
          <w:tab w:val="left" w:pos="480"/>
          <w:tab w:val="num" w:pos="928"/>
          <w:tab w:val="num" w:pos="6597"/>
        </w:tabs>
        <w:ind w:left="290" w:firstLine="0"/>
      </w:pPr>
      <w:r w:rsidRPr="00D816BE">
        <w:t>No constan estudios</w:t>
      </w:r>
      <w:r w:rsidR="00A47F7D" w:rsidRPr="00D816BE">
        <w:t xml:space="preserve"> técnicos</w:t>
      </w:r>
      <w:r w:rsidRPr="00D816BE">
        <w:t xml:space="preserve"> que soporten los importes anteriores.</w:t>
      </w:r>
    </w:p>
    <w:p w:rsidR="00CA5D98" w:rsidRDefault="001D0828" w:rsidP="008F6E54">
      <w:pPr>
        <w:pStyle w:val="texto"/>
      </w:pPr>
      <w:r>
        <w:t>En dicha ordenanza se establece básicamente el hecho imponible derivado de la prestación del servicio, el nacimiento de la obligación, el sujeto pasivo y el devengo del precio a pagar (prepagable el día primero de cada mes).</w:t>
      </w:r>
      <w:r w:rsidR="00432E07">
        <w:t xml:space="preserve"> Así mismo contempla la posibilidad de requerir fianzas con el fin de garantizar bajas y p</w:t>
      </w:r>
      <w:r w:rsidR="00432E07">
        <w:t>o</w:t>
      </w:r>
      <w:r w:rsidR="00432E07">
        <w:t>sibles impagos, si bien en la actualidad no se exigen.</w:t>
      </w:r>
    </w:p>
    <w:p w:rsidR="00CA0390" w:rsidRDefault="005D6F11" w:rsidP="00C76ED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Los ingresos percibidos del Gobierno de Navarra </w:t>
      </w:r>
      <w:r w:rsidR="00CA0390">
        <w:t>proceden de:</w:t>
      </w:r>
    </w:p>
    <w:p w:rsidR="00CA0390" w:rsidRDefault="00C76ED6" w:rsidP="005D6F11">
      <w:pPr>
        <w:pStyle w:val="texto"/>
      </w:pPr>
      <w:r>
        <w:t xml:space="preserve">a) </w:t>
      </w:r>
      <w:r w:rsidR="00BA4BED">
        <w:t xml:space="preserve">Residencia de </w:t>
      </w:r>
      <w:r w:rsidR="00CA4CD3">
        <w:t>m</w:t>
      </w:r>
      <w:r w:rsidR="00BA4BED">
        <w:t xml:space="preserve">ayores. </w:t>
      </w:r>
      <w:r w:rsidR="00CA0390">
        <w:t>Contrato “ResideN” para la residencia de anci</w:t>
      </w:r>
      <w:r w:rsidR="00CA0390">
        <w:t>a</w:t>
      </w:r>
      <w:r w:rsidR="00CA0390">
        <w:t>nos firmado</w:t>
      </w:r>
      <w:r w:rsidR="005A1D35" w:rsidRPr="005A1D35">
        <w:t xml:space="preserve"> </w:t>
      </w:r>
      <w:r w:rsidR="005A1D35">
        <w:t xml:space="preserve">en julio de 2015 </w:t>
      </w:r>
      <w:r w:rsidR="00BA4BED">
        <w:t>entre la Agencia Navarra para la Autonomía de las Personas (ANAP) y la mancomunidad</w:t>
      </w:r>
      <w:r w:rsidR="00CA0390">
        <w:t xml:space="preserve"> por el que se conciertan un total de 20 plazas</w:t>
      </w:r>
      <w:r w:rsidR="00F754DB">
        <w:t xml:space="preserve"> desde agosto de dicho año</w:t>
      </w:r>
      <w:r w:rsidR="00CA0390">
        <w:t xml:space="preserve"> </w:t>
      </w:r>
      <w:r w:rsidR="00CA0390" w:rsidRPr="00F754DB">
        <w:t>a un precio o m</w:t>
      </w:r>
      <w:r w:rsidR="00BA4BED" w:rsidRPr="00F754DB">
        <w:t>ó</w:t>
      </w:r>
      <w:r w:rsidR="00CA0390" w:rsidRPr="00F754DB">
        <w:t>dulo de</w:t>
      </w:r>
      <w:r w:rsidR="00BA4BED" w:rsidRPr="00F754DB">
        <w:t xml:space="preserve"> </w:t>
      </w:r>
      <w:r w:rsidR="00CA0390" w:rsidRPr="00F754DB">
        <w:t>1.894 euros/mes para dependiente y 1.325 euros/mes para no dependiente.</w:t>
      </w:r>
      <w:r w:rsidR="00D816BE">
        <w:t xml:space="preserve"> Como pu</w:t>
      </w:r>
      <w:r w:rsidR="009C336E">
        <w:t>e</w:t>
      </w:r>
      <w:r w:rsidR="00D816BE">
        <w:t>de observ</w:t>
      </w:r>
      <w:r w:rsidR="00D816BE">
        <w:t>a</w:t>
      </w:r>
      <w:r w:rsidR="00D816BE">
        <w:t>s</w:t>
      </w:r>
      <w:r w:rsidR="00AE7A2C">
        <w:t>e, el importe de estos módulos es</w:t>
      </w:r>
      <w:r w:rsidR="00D816BE">
        <w:t xml:space="preserve"> muy semejante a las tarifas</w:t>
      </w:r>
      <w:r w:rsidR="00CA0F70">
        <w:t xml:space="preserve"> establecidas por la</w:t>
      </w:r>
      <w:r w:rsidR="00D816BE">
        <w:t xml:space="preserve"> mancomunidad.</w:t>
      </w:r>
    </w:p>
    <w:p w:rsidR="00CA0390" w:rsidRDefault="00C76ED6" w:rsidP="00C76ED6">
      <w:pPr>
        <w:pStyle w:val="texto"/>
      </w:pPr>
      <w:r>
        <w:t xml:space="preserve">b) </w:t>
      </w:r>
      <w:r w:rsidR="00BA4BED">
        <w:t>Psicogeriátrico. Contrato firmado con la entonces Agencia Navarra para la Dependencia y la mancomunidad en mayo de 2013 para la gestión de 30 plazas</w:t>
      </w:r>
      <w:r w:rsidR="00A62D0B">
        <w:t xml:space="preserve">, fijándose un precio por plaza ocupada de </w:t>
      </w:r>
      <w:r w:rsidR="00A62D0B" w:rsidRPr="00F754DB">
        <w:t>2.051 euros/mes</w:t>
      </w:r>
      <w:r w:rsidR="004D102C" w:rsidRPr="00F754DB">
        <w:t xml:space="preserve">; la Agencia abona a la residencia la parte neta, es decir, </w:t>
      </w:r>
      <w:r w:rsidR="00CA0F70">
        <w:t>una vez descontado</w:t>
      </w:r>
      <w:r w:rsidR="004D102C" w:rsidRPr="00F754DB">
        <w:t xml:space="preserve"> lo que abona el propio usuario directamente</w:t>
      </w:r>
      <w:r w:rsidR="007F03ED" w:rsidRPr="00F754DB">
        <w:t xml:space="preserve"> a la </w:t>
      </w:r>
      <w:r w:rsidR="00CA4CD3" w:rsidRPr="00F754DB">
        <w:t>citada residencia.</w:t>
      </w:r>
      <w:r w:rsidR="00A62D0B" w:rsidRPr="00F754DB">
        <w:t xml:space="preserve"> </w:t>
      </w:r>
      <w:r w:rsidR="0014187E">
        <w:t>Por otra parte, se firma un acuerdo marco con el SNS-O para la realización de la prestación sanitaria psicogeriátr</w:t>
      </w:r>
      <w:r w:rsidR="0014187E">
        <w:t>i</w:t>
      </w:r>
      <w:r w:rsidR="0014187E">
        <w:t>ca en régimen de residencia, fijándose un pre</w:t>
      </w:r>
      <w:r w:rsidR="00CA0F70">
        <w:t xml:space="preserve">cio </w:t>
      </w:r>
      <w:r w:rsidR="0014187E">
        <w:t>de estancia de 20,85 euros</w:t>
      </w:r>
      <w:r w:rsidR="00CA0F70">
        <w:t>/día</w:t>
      </w:r>
      <w:r w:rsidR="0014187E">
        <w:t>.</w:t>
      </w:r>
      <w:r w:rsidR="00BA4BED">
        <w:t xml:space="preserve"> </w:t>
      </w:r>
    </w:p>
    <w:p w:rsidR="005D6F11" w:rsidRDefault="00CA0390" w:rsidP="005D6F11">
      <w:pPr>
        <w:pStyle w:val="texto"/>
      </w:pPr>
      <w:r>
        <w:t>Estos servicios se facturan</w:t>
      </w:r>
      <w:r w:rsidR="00A47F7D">
        <w:t xml:space="preserve"> a mes vencido y hemos observado que como m</w:t>
      </w:r>
      <w:r w:rsidR="00A47F7D">
        <w:t>e</w:t>
      </w:r>
      <w:r w:rsidR="00A47F7D">
        <w:t>dia esos ingresos se perciben:</w:t>
      </w:r>
      <w:r w:rsidR="005D6F11">
        <w:t xml:space="preserve"> </w:t>
      </w:r>
    </w:p>
    <w:p w:rsidR="00B27DCA" w:rsidRDefault="00B27DCA" w:rsidP="001D0828">
      <w:pPr>
        <w:pStyle w:val="texto"/>
      </w:pPr>
      <w:r>
        <w:t xml:space="preserve">a) Residencia de mayores, </w:t>
      </w:r>
      <w:r w:rsidR="00F754DB">
        <w:t xml:space="preserve">Asuntos Sociales paga </w:t>
      </w:r>
      <w:r>
        <w:t>con una media de 41,6 días des</w:t>
      </w:r>
      <w:r w:rsidR="00F754DB">
        <w:t>de la finalización del mes facturado.</w:t>
      </w:r>
    </w:p>
    <w:p w:rsidR="00B27DCA" w:rsidRDefault="00B27DCA" w:rsidP="001D0828">
      <w:pPr>
        <w:pStyle w:val="texto"/>
      </w:pPr>
      <w:r>
        <w:t xml:space="preserve">b) Psicogeriátrico: El SNS-O abona como media a los </w:t>
      </w:r>
      <w:r w:rsidR="007E4FB6">
        <w:t>19,33</w:t>
      </w:r>
      <w:r>
        <w:t xml:space="preserve"> días después y Asuntos Sociales a 30,17 días.</w:t>
      </w:r>
    </w:p>
    <w:p w:rsidR="00DF414B" w:rsidRDefault="00B27DCA" w:rsidP="007E4FB6">
      <w:pPr>
        <w:pStyle w:val="texto"/>
      </w:pPr>
      <w:r>
        <w:t xml:space="preserve">Estos retrasos </w:t>
      </w:r>
      <w:r w:rsidR="00F754DB">
        <w:t>no favorecen la gestión de</w:t>
      </w:r>
      <w:r>
        <w:t xml:space="preserve"> tesorería de la residencia.</w:t>
      </w:r>
    </w:p>
    <w:p w:rsidR="006144FF" w:rsidRDefault="006144FF" w:rsidP="00B26EDD">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De la revisión efectuada, señalamos:</w:t>
      </w:r>
    </w:p>
    <w:p w:rsidR="001D0828" w:rsidRDefault="007F257C" w:rsidP="006144FF">
      <w:pPr>
        <w:pStyle w:val="texto"/>
      </w:pPr>
      <w:r>
        <w:t>a)</w:t>
      </w:r>
      <w:r w:rsidR="006144FF">
        <w:t xml:space="preserve"> Se ha</w:t>
      </w:r>
      <w:r w:rsidR="007E4FB6">
        <w:t>n</w:t>
      </w:r>
      <w:r w:rsidR="006144FF">
        <w:t xml:space="preserve"> contrastado los ingresos registrados por la residencia</w:t>
      </w:r>
      <w:r w:rsidR="0092155E">
        <w:t xml:space="preserve"> por concie</w:t>
      </w:r>
      <w:r w:rsidR="0092155E">
        <w:t>r</w:t>
      </w:r>
      <w:r w:rsidR="0092155E">
        <w:t>tos</w:t>
      </w:r>
      <w:r w:rsidR="006144FF">
        <w:t xml:space="preserve"> </w:t>
      </w:r>
      <w:r w:rsidR="0092155E">
        <w:t xml:space="preserve">con los </w:t>
      </w:r>
      <w:r w:rsidR="007E4FB6">
        <w:t xml:space="preserve">gastos </w:t>
      </w:r>
      <w:r w:rsidR="006144FF">
        <w:t>reflejados por el Gobierno de Navarra, no encontrándose i</w:t>
      </w:r>
      <w:r w:rsidR="006144FF">
        <w:t>n</w:t>
      </w:r>
      <w:r w:rsidR="006144FF">
        <w:t>cidencias relevantes.</w:t>
      </w:r>
    </w:p>
    <w:p w:rsidR="006144FF" w:rsidRDefault="006144FF" w:rsidP="006144FF">
      <w:pPr>
        <w:pStyle w:val="texto"/>
      </w:pPr>
      <w:r>
        <w:t>b) Se ha</w:t>
      </w:r>
      <w:r w:rsidR="007E4FB6">
        <w:t>n</w:t>
      </w:r>
      <w:r>
        <w:t xml:space="preserve"> </w:t>
      </w:r>
      <w:r w:rsidR="00AB47BA">
        <w:t>analizado</w:t>
      </w:r>
      <w:r>
        <w:t>, mes a mes, los ingresos percibidos de los residentes con l</w:t>
      </w:r>
      <w:r w:rsidR="00AB47BA">
        <w:t>os roldes</w:t>
      </w:r>
      <w:r>
        <w:t>, contabilidad y los extractos bancarios, señalando los siguientes a</w:t>
      </w:r>
      <w:r>
        <w:t>s</w:t>
      </w:r>
      <w:r>
        <w:t>pectos:</w:t>
      </w:r>
    </w:p>
    <w:p w:rsidR="006144FF" w:rsidRPr="007E4FB6" w:rsidRDefault="009526BE" w:rsidP="006144FF">
      <w:pPr>
        <w:pStyle w:val="texto"/>
      </w:pPr>
      <w:r>
        <w:t>1.</w:t>
      </w:r>
      <w:r w:rsidR="00DF414B" w:rsidRPr="007E4FB6">
        <w:t>º</w:t>
      </w:r>
      <w:r w:rsidR="006144FF" w:rsidRPr="007E4FB6">
        <w:t xml:space="preserve"> Se imputa a la liquidación los cobros recibidos con independencia del ejercicio presupuestario a que corresponda.</w:t>
      </w:r>
    </w:p>
    <w:p w:rsidR="006144FF" w:rsidRPr="007E4FB6" w:rsidRDefault="00DF414B" w:rsidP="006144FF">
      <w:pPr>
        <w:pStyle w:val="texto"/>
      </w:pPr>
      <w:r w:rsidRPr="007E4FB6">
        <w:t>2.</w:t>
      </w:r>
      <w:r w:rsidRPr="007E4FB6">
        <w:tab/>
        <w:t>º</w:t>
      </w:r>
      <w:r w:rsidR="006144FF" w:rsidRPr="007E4FB6">
        <w:t xml:space="preserve"> </w:t>
      </w:r>
      <w:r w:rsidR="0092155E" w:rsidRPr="007E4FB6">
        <w:t>Se observa una diferencia neta de 12.</w:t>
      </w:r>
      <w:r w:rsidR="001E2BC1" w:rsidRPr="007E4FB6">
        <w:t>961</w:t>
      </w:r>
      <w:r w:rsidR="0092155E" w:rsidRPr="007E4FB6">
        <w:t xml:space="preserve"> euros de mayores ingresos </w:t>
      </w:r>
      <w:r w:rsidR="00CA0F70" w:rsidRPr="007E4FB6">
        <w:t>r</w:t>
      </w:r>
      <w:r w:rsidR="00CA0F70" w:rsidRPr="007E4FB6">
        <w:t>e</w:t>
      </w:r>
      <w:r w:rsidR="00CA0F70" w:rsidRPr="007E4FB6">
        <w:t>gistrados en</w:t>
      </w:r>
      <w:r w:rsidR="0092155E" w:rsidRPr="007E4FB6">
        <w:t xml:space="preserve"> contabilidad </w:t>
      </w:r>
      <w:r w:rsidR="001E2BC1" w:rsidRPr="007E4FB6">
        <w:t>sobre</w:t>
      </w:r>
      <w:r w:rsidR="0092155E" w:rsidRPr="007E4FB6">
        <w:t xml:space="preserve"> los ingresos cobrados seg</w:t>
      </w:r>
      <w:r w:rsidR="00B37E91" w:rsidRPr="007E4FB6">
        <w:t>ún</w:t>
      </w:r>
      <w:r w:rsidR="0092155E" w:rsidRPr="007E4FB6">
        <w:t xml:space="preserve"> los extractos ba</w:t>
      </w:r>
      <w:r w:rsidR="0092155E" w:rsidRPr="007E4FB6">
        <w:t>n</w:t>
      </w:r>
      <w:r w:rsidR="0092155E" w:rsidRPr="007E4FB6">
        <w:t>carios</w:t>
      </w:r>
      <w:r w:rsidR="00A641D0">
        <w:t>,</w:t>
      </w:r>
      <w:r w:rsidR="007F63F2" w:rsidRPr="007E4FB6">
        <w:t xml:space="preserve"> n</w:t>
      </w:r>
      <w:r w:rsidR="0092155E" w:rsidRPr="007E4FB6">
        <w:t>o consta justificación de esta di</w:t>
      </w:r>
      <w:r w:rsidR="00CA0F70" w:rsidRPr="007E4FB6">
        <w:t>vergencia</w:t>
      </w:r>
      <w:r w:rsidR="0092155E" w:rsidRPr="007E4FB6">
        <w:t>.</w:t>
      </w:r>
      <w:r w:rsidR="00CE115F" w:rsidRPr="007E4FB6">
        <w:t xml:space="preserve"> </w:t>
      </w:r>
      <w:r w:rsidR="007F63F2" w:rsidRPr="007E4FB6">
        <w:t>Destaca la diferencia obse</w:t>
      </w:r>
      <w:r w:rsidR="007F63F2" w:rsidRPr="007E4FB6">
        <w:t>r</w:t>
      </w:r>
      <w:r w:rsidR="007F63F2" w:rsidRPr="007E4FB6">
        <w:t>vada en el mes de diciembre, 28.894 euros de mayores ingresos en contabil</w:t>
      </w:r>
      <w:r w:rsidR="007F63F2" w:rsidRPr="007E4FB6">
        <w:t>i</w:t>
      </w:r>
      <w:r w:rsidR="007F63F2" w:rsidRPr="007E4FB6">
        <w:t>dad, de los que hemos detectado que</w:t>
      </w:r>
      <w:r w:rsidR="00CE115F" w:rsidRPr="007E4FB6">
        <w:t xml:space="preserve"> 5.498 euros corresponden a ingresos a d</w:t>
      </w:r>
      <w:r w:rsidR="00CE115F" w:rsidRPr="007E4FB6">
        <w:t>e</w:t>
      </w:r>
      <w:r w:rsidR="00CE115F" w:rsidRPr="007E4FB6">
        <w:t>vengar en 2016 que se imputan a</w:t>
      </w:r>
      <w:r w:rsidR="007F63F2" w:rsidRPr="007E4FB6">
        <w:t>l presupuesto de</w:t>
      </w:r>
      <w:r w:rsidR="00CE115F" w:rsidRPr="007E4FB6">
        <w:t xml:space="preserve"> 2015.</w:t>
      </w:r>
    </w:p>
    <w:p w:rsidR="0092155E" w:rsidRPr="007E4FB6" w:rsidRDefault="00DF414B" w:rsidP="006144FF">
      <w:pPr>
        <w:pStyle w:val="texto"/>
      </w:pPr>
      <w:r w:rsidRPr="007E4FB6">
        <w:t>3.º</w:t>
      </w:r>
      <w:r w:rsidR="0092155E" w:rsidRPr="007E4FB6">
        <w:t xml:space="preserve"> En </w:t>
      </w:r>
      <w:r w:rsidR="009C65EF" w:rsidRPr="007E4FB6">
        <w:t>balance y dentro de acreedores extrapresupuestarios a corto plazo se incluye una partida de “ingresos pendientes de aplicar” por importe de 124.735 euros</w:t>
      </w:r>
      <w:r w:rsidR="009526BE">
        <w:t xml:space="preserve"> que se corresponde con la remesa de recibos de enero de 2016 que se pr</w:t>
      </w:r>
      <w:r w:rsidR="009526BE">
        <w:t>e</w:t>
      </w:r>
      <w:r w:rsidR="009526BE">
        <w:t>senta a su cobro</w:t>
      </w:r>
      <w:r w:rsidR="00055415">
        <w:t xml:space="preserve"> al banco</w:t>
      </w:r>
      <w:r w:rsidR="009526BE">
        <w:t xml:space="preserve"> el 30 de diciembre de 2015.</w:t>
      </w:r>
    </w:p>
    <w:p w:rsidR="00E93720" w:rsidRDefault="00C46AC4" w:rsidP="006144FF">
      <w:pPr>
        <w:pStyle w:val="texto"/>
      </w:pPr>
      <w:r>
        <w:t>c)</w:t>
      </w:r>
      <w:r w:rsidR="006144FF">
        <w:t xml:space="preserve"> </w:t>
      </w:r>
      <w:r w:rsidR="00B26EDD">
        <w:t xml:space="preserve">Se </w:t>
      </w:r>
      <w:r w:rsidR="000946DD">
        <w:t>imputan</w:t>
      </w:r>
      <w:r w:rsidR="00B26EDD">
        <w:t xml:space="preserve"> incorrectamente</w:t>
      </w:r>
      <w:r w:rsidR="00CC473F">
        <w:t xml:space="preserve"> en la partida</w:t>
      </w:r>
      <w:r w:rsidR="00B26EDD">
        <w:t xml:space="preserve"> </w:t>
      </w:r>
      <w:r w:rsidR="00FC7948">
        <w:t xml:space="preserve">tanto </w:t>
      </w:r>
      <w:r w:rsidR="00B26EDD">
        <w:t xml:space="preserve">los ingresos por herencias, que de acuerdo con la normativa contable deberían </w:t>
      </w:r>
      <w:r w:rsidR="000946DD">
        <w:t>registrarse en el</w:t>
      </w:r>
      <w:r w:rsidR="00B26EDD">
        <w:t xml:space="preserve"> capítulo de transferencias corrientes</w:t>
      </w:r>
      <w:r w:rsidR="00FC7948">
        <w:t xml:space="preserve"> como la subvención del Gobierno de Navarra </w:t>
      </w:r>
      <w:r w:rsidR="00CC473F">
        <w:t>para a</w:t>
      </w:r>
      <w:r w:rsidR="00CC473F">
        <w:t>c</w:t>
      </w:r>
      <w:r w:rsidR="00CC473F">
        <w:t>tividades de terapia ocupacional y fisioterapia y las devoluciones de fianzas</w:t>
      </w:r>
      <w:r w:rsidR="00B26EDD">
        <w:t>.</w:t>
      </w:r>
    </w:p>
    <w:p w:rsidR="00B26EDD" w:rsidRDefault="002B02EF" w:rsidP="00DF414B">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pPr>
      <w:r>
        <w:t>Del presupuesto corriente de 2015 está pendiente de cobro un total de 156.954 euros que corresponden a:</w:t>
      </w:r>
    </w:p>
    <w:tbl>
      <w:tblPr>
        <w:tblW w:w="871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017"/>
        <w:gridCol w:w="2693"/>
      </w:tblGrid>
      <w:tr w:rsidR="002B02EF" w:rsidRPr="00DF414B" w:rsidTr="00DF414B">
        <w:trPr>
          <w:trHeight w:val="284"/>
          <w:jc w:val="center"/>
        </w:trPr>
        <w:tc>
          <w:tcPr>
            <w:tcW w:w="6017" w:type="dxa"/>
            <w:shd w:val="clear" w:color="auto" w:fill="FABF8F" w:themeFill="accent6" w:themeFillTint="99"/>
            <w:vAlign w:val="center"/>
            <w:hideMark/>
          </w:tcPr>
          <w:p w:rsidR="002B02EF" w:rsidRPr="00DF414B" w:rsidRDefault="002B02EF" w:rsidP="00215223">
            <w:pPr>
              <w:pStyle w:val="cuadroCabe"/>
              <w:rPr>
                <w:lang w:val="es-ES" w:eastAsia="es-ES"/>
              </w:rPr>
            </w:pPr>
            <w:r w:rsidRPr="00DF414B">
              <w:rPr>
                <w:lang w:val="es-ES" w:eastAsia="es-ES"/>
              </w:rPr>
              <w:t xml:space="preserve">Ingresos </w:t>
            </w:r>
            <w:r w:rsidR="00215223" w:rsidRPr="00DF414B">
              <w:rPr>
                <w:lang w:val="es-ES" w:eastAsia="es-ES"/>
              </w:rPr>
              <w:t>pendiente cobro ejercicio corriente</w:t>
            </w:r>
          </w:p>
        </w:tc>
        <w:tc>
          <w:tcPr>
            <w:tcW w:w="2693" w:type="dxa"/>
            <w:shd w:val="clear" w:color="auto" w:fill="FABF8F" w:themeFill="accent6" w:themeFillTint="99"/>
            <w:vAlign w:val="center"/>
            <w:hideMark/>
          </w:tcPr>
          <w:p w:rsidR="002B02EF" w:rsidRPr="00DF414B" w:rsidRDefault="002B02EF" w:rsidP="00DF414B">
            <w:pPr>
              <w:pStyle w:val="cuadroCabe"/>
              <w:jc w:val="right"/>
              <w:rPr>
                <w:lang w:val="es-ES" w:eastAsia="es-ES"/>
              </w:rPr>
            </w:pPr>
            <w:r w:rsidRPr="00DF414B">
              <w:rPr>
                <w:lang w:val="es-ES" w:eastAsia="es-ES"/>
              </w:rPr>
              <w:t>Pendiente de cobro</w:t>
            </w:r>
          </w:p>
        </w:tc>
      </w:tr>
      <w:tr w:rsidR="002B02EF" w:rsidRPr="00C00AE6" w:rsidTr="00DF414B">
        <w:trPr>
          <w:trHeight w:val="284"/>
          <w:jc w:val="center"/>
        </w:trPr>
        <w:tc>
          <w:tcPr>
            <w:tcW w:w="6017" w:type="dxa"/>
            <w:shd w:val="clear" w:color="auto" w:fill="auto"/>
            <w:noWrap/>
            <w:vAlign w:val="center"/>
          </w:tcPr>
          <w:p w:rsidR="002B02EF" w:rsidRPr="00C00AE6" w:rsidRDefault="002B02EF" w:rsidP="00214A1B">
            <w:pPr>
              <w:pStyle w:val="cuatexto"/>
            </w:pPr>
            <w:r>
              <w:t>Conciertos Gobierno de Navarra</w:t>
            </w:r>
          </w:p>
        </w:tc>
        <w:tc>
          <w:tcPr>
            <w:tcW w:w="2693" w:type="dxa"/>
            <w:shd w:val="clear" w:color="auto" w:fill="auto"/>
            <w:vAlign w:val="center"/>
          </w:tcPr>
          <w:p w:rsidR="002B02EF" w:rsidRPr="00075504" w:rsidRDefault="002B02EF" w:rsidP="00214A1B">
            <w:pPr>
              <w:pStyle w:val="cuatexto"/>
              <w:jc w:val="right"/>
            </w:pPr>
            <w:r w:rsidRPr="00075504">
              <w:t xml:space="preserve">133.282 </w:t>
            </w:r>
          </w:p>
        </w:tc>
      </w:tr>
      <w:tr w:rsidR="002B02EF" w:rsidRPr="00C00AE6" w:rsidTr="00DF414B">
        <w:trPr>
          <w:trHeight w:val="284"/>
          <w:jc w:val="center"/>
        </w:trPr>
        <w:tc>
          <w:tcPr>
            <w:tcW w:w="6017" w:type="dxa"/>
            <w:shd w:val="clear" w:color="auto" w:fill="auto"/>
            <w:noWrap/>
            <w:vAlign w:val="center"/>
          </w:tcPr>
          <w:p w:rsidR="002B02EF" w:rsidRPr="00C00AE6" w:rsidRDefault="002B02EF" w:rsidP="00214A1B">
            <w:pPr>
              <w:pStyle w:val="cuatexto"/>
            </w:pPr>
            <w:r>
              <w:t>Cuotas residentes</w:t>
            </w:r>
          </w:p>
        </w:tc>
        <w:tc>
          <w:tcPr>
            <w:tcW w:w="2693" w:type="dxa"/>
            <w:shd w:val="clear" w:color="auto" w:fill="auto"/>
            <w:vAlign w:val="center"/>
          </w:tcPr>
          <w:p w:rsidR="002B02EF" w:rsidRPr="00075504" w:rsidRDefault="002B02EF" w:rsidP="00214A1B">
            <w:pPr>
              <w:pStyle w:val="cuatexto"/>
              <w:jc w:val="right"/>
            </w:pPr>
            <w:r w:rsidRPr="00075504">
              <w:t>23.672</w:t>
            </w:r>
          </w:p>
        </w:tc>
      </w:tr>
      <w:tr w:rsidR="002B02EF" w:rsidRPr="00C00AE6" w:rsidTr="00DF414B">
        <w:trPr>
          <w:trHeight w:val="284"/>
          <w:jc w:val="center"/>
        </w:trPr>
        <w:tc>
          <w:tcPr>
            <w:tcW w:w="6017" w:type="dxa"/>
            <w:shd w:val="clear" w:color="auto" w:fill="FABF8F" w:themeFill="accent6" w:themeFillTint="99"/>
            <w:noWrap/>
            <w:vAlign w:val="center"/>
            <w:hideMark/>
          </w:tcPr>
          <w:p w:rsidR="002B02EF" w:rsidRPr="00C00AE6" w:rsidRDefault="002B02EF" w:rsidP="009E262B">
            <w:pPr>
              <w:pStyle w:val="cuadroCabe"/>
              <w:rPr>
                <w:lang w:val="es-ES" w:eastAsia="es-ES"/>
              </w:rPr>
            </w:pPr>
            <w:r w:rsidRPr="006C02F4">
              <w:rPr>
                <w:lang w:val="es-ES" w:eastAsia="es-ES"/>
              </w:rPr>
              <w:t xml:space="preserve">Total </w:t>
            </w:r>
            <w:r>
              <w:rPr>
                <w:lang w:val="es-ES" w:eastAsia="es-ES"/>
              </w:rPr>
              <w:t>pendientes cobro</w:t>
            </w:r>
          </w:p>
        </w:tc>
        <w:tc>
          <w:tcPr>
            <w:tcW w:w="2693" w:type="dxa"/>
            <w:shd w:val="clear" w:color="auto" w:fill="FABF8F" w:themeFill="accent6" w:themeFillTint="99"/>
            <w:noWrap/>
            <w:vAlign w:val="center"/>
          </w:tcPr>
          <w:p w:rsidR="002B02EF" w:rsidRPr="00075504" w:rsidRDefault="002B02EF" w:rsidP="00214A1B">
            <w:pPr>
              <w:pStyle w:val="cuadroCabe"/>
              <w:jc w:val="right"/>
              <w:rPr>
                <w:lang w:val="es-ES" w:eastAsia="es-ES"/>
              </w:rPr>
            </w:pPr>
            <w:r w:rsidRPr="00075504">
              <w:rPr>
                <w:lang w:val="es-ES" w:eastAsia="es-ES"/>
              </w:rPr>
              <w:t>156.954</w:t>
            </w:r>
          </w:p>
        </w:tc>
      </w:tr>
    </w:tbl>
    <w:p w:rsidR="002B02EF" w:rsidRDefault="002B02EF" w:rsidP="00DF414B">
      <w:pPr>
        <w:pStyle w:val="texto"/>
        <w:tabs>
          <w:tab w:val="clear" w:pos="2835"/>
          <w:tab w:val="clear" w:pos="3969"/>
          <w:tab w:val="clear" w:pos="5103"/>
          <w:tab w:val="clear" w:pos="6237"/>
          <w:tab w:val="clear" w:pos="7371"/>
          <w:tab w:val="left" w:pos="480"/>
          <w:tab w:val="num" w:pos="720"/>
          <w:tab w:val="num" w:pos="928"/>
          <w:tab w:val="num" w:pos="6597"/>
        </w:tabs>
        <w:spacing w:after="0"/>
      </w:pPr>
    </w:p>
    <w:p w:rsidR="002B02EF" w:rsidRDefault="002B02EF" w:rsidP="00CA0F7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A 31 de diciembre de 2015, </w:t>
      </w:r>
      <w:r w:rsidR="008B7C3B">
        <w:t>el saldo acumulado de</w:t>
      </w:r>
      <w:r>
        <w:t xml:space="preserve"> deudores por cuotas de r</w:t>
      </w:r>
      <w:r w:rsidR="004A5922">
        <w:t>e</w:t>
      </w:r>
      <w:r>
        <w:t>s</w:t>
      </w:r>
      <w:r w:rsidR="004A5922">
        <w:t>idencia</w:t>
      </w:r>
      <w:r>
        <w:t xml:space="preserve"> asciende a </w:t>
      </w:r>
      <w:r w:rsidRPr="00EC5390">
        <w:t>5</w:t>
      </w:r>
      <w:r w:rsidR="00EC5390" w:rsidRPr="00EC5390">
        <w:t>4.599</w:t>
      </w:r>
      <w:r w:rsidR="004A5922" w:rsidRPr="00CA4CD3">
        <w:rPr>
          <w:color w:val="FF0000"/>
        </w:rPr>
        <w:t xml:space="preserve"> </w:t>
      </w:r>
      <w:r w:rsidR="004A5922">
        <w:t xml:space="preserve">euros, de los que </w:t>
      </w:r>
      <w:r w:rsidR="0096299F">
        <w:t>en torno al 6</w:t>
      </w:r>
      <w:r w:rsidR="007E4FB6">
        <w:t>7</w:t>
      </w:r>
      <w:r w:rsidR="008B7C3B" w:rsidRPr="008B7C3B">
        <w:rPr>
          <w:color w:val="FF0000"/>
        </w:rPr>
        <w:t xml:space="preserve"> </w:t>
      </w:r>
      <w:r w:rsidR="00EC5390">
        <w:t xml:space="preserve">por ciento </w:t>
      </w:r>
      <w:r w:rsidR="004A5922">
        <w:t>se co</w:t>
      </w:r>
      <w:r w:rsidR="004A5922">
        <w:t>n</w:t>
      </w:r>
      <w:r w:rsidR="004A5922">
        <w:t>sideran de muy difícil cobro. Conviene precisar las dificultades de gestión que conlleva el cobro de las</w:t>
      </w:r>
      <w:r w:rsidR="00AB4F6B">
        <w:t xml:space="preserve"> anteriores</w:t>
      </w:r>
      <w:r w:rsidR="004A5922">
        <w:t xml:space="preserve"> cantidades adeudadas derivadas de las inc</w:t>
      </w:r>
      <w:r w:rsidR="004A5922">
        <w:t>i</w:t>
      </w:r>
      <w:r w:rsidR="004A5922">
        <w:t>dencias y problemáticas particulares</w:t>
      </w:r>
      <w:r w:rsidR="00AB4F6B">
        <w:t xml:space="preserve"> de cada residente</w:t>
      </w:r>
      <w:r w:rsidR="004A5922">
        <w:t>.</w:t>
      </w:r>
    </w:p>
    <w:p w:rsidR="00EF4B5D" w:rsidRDefault="00B26EDD" w:rsidP="00F90F74">
      <w:pPr>
        <w:pStyle w:val="texto"/>
      </w:pPr>
      <w:r>
        <w:t xml:space="preserve">B) </w:t>
      </w:r>
      <w:r w:rsidR="00A270D4">
        <w:t xml:space="preserve">Los “otros ingresos diversos” </w:t>
      </w:r>
      <w:r w:rsidR="00734303">
        <w:t xml:space="preserve">ascienden a 8.876 euros, </w:t>
      </w:r>
      <w:r>
        <w:t>se contabilizan con el criterio de caja y</w:t>
      </w:r>
      <w:r w:rsidR="00EF4B5D">
        <w:t xml:space="preserve"> el 73 por ciento de los mismos están imputados inc</w:t>
      </w:r>
      <w:r w:rsidR="00EF4B5D">
        <w:t>o</w:t>
      </w:r>
      <w:r w:rsidR="00EF4B5D">
        <w:t xml:space="preserve">rrectamente en la partida; así, </w:t>
      </w:r>
      <w:r w:rsidR="000D430F">
        <w:t xml:space="preserve">principalmente, </w:t>
      </w:r>
      <w:r w:rsidR="00EF4B5D">
        <w:t>5.350 euros corresponden a una subvención de una entidad privada, 930 euros son de una estancia en la res</w:t>
      </w:r>
      <w:r w:rsidR="00EF4B5D">
        <w:t>i</w:t>
      </w:r>
      <w:r w:rsidR="00EF4B5D">
        <w:t xml:space="preserve">dencia y </w:t>
      </w:r>
      <w:r w:rsidR="000D430F">
        <w:t>86</w:t>
      </w:r>
      <w:r w:rsidR="00EF4B5D">
        <w:t xml:space="preserve"> euros de intereses de cuenta corriente.</w:t>
      </w:r>
    </w:p>
    <w:p w:rsidR="00075504" w:rsidRDefault="00606ED4" w:rsidP="004D71D6">
      <w:pPr>
        <w:pStyle w:val="texto"/>
      </w:pPr>
      <w:r>
        <w:t>Recomendamos</w:t>
      </w:r>
      <w:r w:rsidR="007B49FB">
        <w:t>:</w:t>
      </w:r>
    </w:p>
    <w:p w:rsidR="00477DF1" w:rsidRPr="006246E4" w:rsidRDefault="00477DF1" w:rsidP="00477DF1">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color w:val="000000" w:themeColor="text1"/>
        </w:rPr>
      </w:pPr>
      <w:r w:rsidRPr="006246E4">
        <w:rPr>
          <w:i/>
          <w:color w:val="000000" w:themeColor="text1"/>
        </w:rPr>
        <w:t>Efectuar un seguimiento</w:t>
      </w:r>
      <w:r w:rsidR="006246E4">
        <w:rPr>
          <w:i/>
          <w:color w:val="000000" w:themeColor="text1"/>
        </w:rPr>
        <w:t>,</w:t>
      </w:r>
      <w:r w:rsidRPr="006246E4">
        <w:rPr>
          <w:i/>
          <w:color w:val="000000" w:themeColor="text1"/>
        </w:rPr>
        <w:t xml:space="preserve"> control</w:t>
      </w:r>
      <w:r w:rsidR="006246E4">
        <w:rPr>
          <w:i/>
          <w:color w:val="000000" w:themeColor="text1"/>
        </w:rPr>
        <w:t xml:space="preserve"> y registro contable</w:t>
      </w:r>
      <w:r w:rsidRPr="006246E4">
        <w:rPr>
          <w:i/>
          <w:color w:val="000000" w:themeColor="text1"/>
        </w:rPr>
        <w:t xml:space="preserve"> adecuado sobre los ingresos percibidos de los residentes.</w:t>
      </w:r>
    </w:p>
    <w:p w:rsidR="0050164C" w:rsidRPr="00485DB5" w:rsidRDefault="0050164C" w:rsidP="0050164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485DB5">
        <w:rPr>
          <w:i/>
        </w:rPr>
        <w:t>Aplicar el criterio del devengo en la gestión de los ingresos</w:t>
      </w:r>
      <w:r>
        <w:rPr>
          <w:i/>
        </w:rPr>
        <w:t>.</w:t>
      </w:r>
    </w:p>
    <w:p w:rsidR="009475DA" w:rsidRDefault="00606ED4" w:rsidP="009C336E">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485DB5">
        <w:rPr>
          <w:i/>
        </w:rPr>
        <w:t>Imputar</w:t>
      </w:r>
      <w:r w:rsidR="00485DB5" w:rsidRPr="00485DB5">
        <w:rPr>
          <w:i/>
        </w:rPr>
        <w:t xml:space="preserve"> </w:t>
      </w:r>
      <w:r w:rsidR="00EC5390">
        <w:rPr>
          <w:i/>
        </w:rPr>
        <w:t xml:space="preserve">en el correspondiente capítulo/partida del </w:t>
      </w:r>
      <w:r w:rsidR="00485DB5" w:rsidRPr="00485DB5">
        <w:rPr>
          <w:i/>
        </w:rPr>
        <w:t>presupuest</w:t>
      </w:r>
      <w:r w:rsidR="00EC5390">
        <w:rPr>
          <w:i/>
        </w:rPr>
        <w:t>o los ingr</w:t>
      </w:r>
      <w:r w:rsidR="00EC5390">
        <w:rPr>
          <w:i/>
        </w:rPr>
        <w:t>e</w:t>
      </w:r>
      <w:r w:rsidR="00EC5390">
        <w:rPr>
          <w:i/>
        </w:rPr>
        <w:t>sos</w:t>
      </w:r>
      <w:r w:rsidR="00485DB5" w:rsidRPr="00485DB5">
        <w:rPr>
          <w:i/>
        </w:rPr>
        <w:t xml:space="preserve"> atendiendo a su naturaleza</w:t>
      </w:r>
      <w:r w:rsidR="009C336E">
        <w:rPr>
          <w:i/>
        </w:rPr>
        <w:t xml:space="preserve"> económica.</w:t>
      </w:r>
    </w:p>
    <w:p w:rsidR="007B49FB" w:rsidRDefault="007B49FB" w:rsidP="007B49FB">
      <w:pPr>
        <w:pStyle w:val="texto"/>
        <w:tabs>
          <w:tab w:val="clear" w:pos="2835"/>
          <w:tab w:val="clear" w:pos="3969"/>
          <w:tab w:val="clear" w:pos="5103"/>
          <w:tab w:val="clear" w:pos="6237"/>
          <w:tab w:val="clear" w:pos="7371"/>
          <w:tab w:val="left" w:pos="480"/>
          <w:tab w:val="num" w:pos="928"/>
          <w:tab w:val="num" w:pos="6597"/>
        </w:tabs>
        <w:rPr>
          <w:i/>
        </w:rPr>
      </w:pPr>
    </w:p>
    <w:p w:rsidR="007B49FB" w:rsidRDefault="007B49FB" w:rsidP="007B49FB">
      <w:pPr>
        <w:pStyle w:val="texto"/>
        <w:tabs>
          <w:tab w:val="clear" w:pos="2835"/>
          <w:tab w:val="clear" w:pos="3969"/>
          <w:tab w:val="clear" w:pos="5103"/>
          <w:tab w:val="clear" w:pos="6237"/>
          <w:tab w:val="clear" w:pos="7371"/>
          <w:tab w:val="left" w:pos="480"/>
          <w:tab w:val="num" w:pos="928"/>
          <w:tab w:val="num" w:pos="6597"/>
        </w:tabs>
        <w:rPr>
          <w:i/>
        </w:rPr>
      </w:pPr>
    </w:p>
    <w:p w:rsidR="004463EC" w:rsidRDefault="004463EC" w:rsidP="00D57945">
      <w:pPr>
        <w:pStyle w:val="atitulo2"/>
        <w:spacing w:before="240"/>
      </w:pPr>
      <w:bookmarkStart w:id="35" w:name="_Toc475093099"/>
      <w:r>
        <w:t xml:space="preserve">IV.7. </w:t>
      </w:r>
      <w:r w:rsidR="00166D05">
        <w:t>Inmovilizado</w:t>
      </w:r>
      <w:bookmarkEnd w:id="35"/>
    </w:p>
    <w:p w:rsidR="0036210E" w:rsidRPr="00BF0A28" w:rsidRDefault="00166D05" w:rsidP="00A270D4">
      <w:pPr>
        <w:pStyle w:val="texto"/>
        <w:rPr>
          <w:spacing w:val="4"/>
        </w:rPr>
      </w:pPr>
      <w:r>
        <w:t>El inmovilizado, en el balance, presenta un valor nulo. Como se ha coment</w:t>
      </w:r>
      <w:r>
        <w:t>a</w:t>
      </w:r>
      <w:r>
        <w:t xml:space="preserve">do previamente, los </w:t>
      </w:r>
      <w:r w:rsidR="00B0306D">
        <w:t xml:space="preserve">dos </w:t>
      </w:r>
      <w:r>
        <w:t>edificios de la residencia –asistencial y psicogeriátr</w:t>
      </w:r>
      <w:r>
        <w:t>i</w:t>
      </w:r>
      <w:r>
        <w:t>co</w:t>
      </w:r>
      <w:r w:rsidR="00DF414B">
        <w:t>–</w:t>
      </w:r>
      <w:r>
        <w:t xml:space="preserve"> fueron construidos</w:t>
      </w:r>
      <w:r w:rsidR="009C336E">
        <w:t xml:space="preserve"> y son propiedad del</w:t>
      </w:r>
      <w:r>
        <w:t xml:space="preserve"> Gobierno de Navarra sobre terrenos cedidos por el Ayuntamiento de Lumbier. </w:t>
      </w:r>
      <w:r w:rsidR="00A270D4" w:rsidRPr="00BF0A28">
        <w:rPr>
          <w:spacing w:val="4"/>
        </w:rPr>
        <w:t>Estos dos edificios tiene sustantividad propia</w:t>
      </w:r>
      <w:r w:rsidR="00AE7A2C" w:rsidRPr="00BF0A28">
        <w:rPr>
          <w:spacing w:val="4"/>
        </w:rPr>
        <w:t>,</w:t>
      </w:r>
      <w:r w:rsidR="00A270D4" w:rsidRPr="00BF0A28">
        <w:rPr>
          <w:spacing w:val="4"/>
        </w:rPr>
        <w:t xml:space="preserve"> </w:t>
      </w:r>
      <w:r w:rsidR="00EC4973" w:rsidRPr="00BF0A28">
        <w:rPr>
          <w:spacing w:val="4"/>
        </w:rPr>
        <w:t>si bien</w:t>
      </w:r>
      <w:r w:rsidR="00A270D4" w:rsidRPr="00BF0A28">
        <w:rPr>
          <w:spacing w:val="4"/>
        </w:rPr>
        <w:t xml:space="preserve"> el psicogeriátrico no contiene los servicios mínimos esenciales (cocina, lavandería, etc.) para poderse gestionar de manera independiente.</w:t>
      </w:r>
    </w:p>
    <w:p w:rsidR="00166D05" w:rsidRDefault="0073622B" w:rsidP="0073622B">
      <w:pPr>
        <w:pStyle w:val="texto"/>
      </w:pPr>
      <w:r>
        <w:t xml:space="preserve">No consta ningún documento que formalice la </w:t>
      </w:r>
      <w:r w:rsidR="006D5730">
        <w:t>cesión de uso de los edificios y de su gestión por el Gobierno de Navarra a la mancomunidad.</w:t>
      </w:r>
      <w:r>
        <w:t xml:space="preserve"> No obstante, como principio</w:t>
      </w:r>
      <w:r w:rsidR="006D5730">
        <w:t>,</w:t>
      </w:r>
      <w:r>
        <w:t xml:space="preserve"> podría deducirse que</w:t>
      </w:r>
      <w:r w:rsidR="00166D05">
        <w:t xml:space="preserve"> el Gobierno de Navarra, como propietario de las instalaciones</w:t>
      </w:r>
      <w:r w:rsidR="0036210E">
        <w:t>,</w:t>
      </w:r>
      <w:r w:rsidR="00166D05">
        <w:t xml:space="preserve"> asume las inversiones de</w:t>
      </w:r>
      <w:r w:rsidR="00A270D4">
        <w:t xml:space="preserve"> estructura y de</w:t>
      </w:r>
      <w:r w:rsidR="00166D05">
        <w:t xml:space="preserve"> equipamiento</w:t>
      </w:r>
      <w:r w:rsidR="00A270D4">
        <w:t xml:space="preserve"> en tanto que la</w:t>
      </w:r>
      <w:r w:rsidR="00166D05">
        <w:t xml:space="preserve"> mancomunidad asume los gastos de mantenimiento.</w:t>
      </w:r>
    </w:p>
    <w:p w:rsidR="00166D05" w:rsidRDefault="007B238F" w:rsidP="00166D05">
      <w:pPr>
        <w:pStyle w:val="texto"/>
        <w:tabs>
          <w:tab w:val="clear" w:pos="2835"/>
          <w:tab w:val="clear" w:pos="3969"/>
          <w:tab w:val="clear" w:pos="5103"/>
          <w:tab w:val="clear" w:pos="6237"/>
          <w:tab w:val="clear" w:pos="7371"/>
          <w:tab w:val="left" w:pos="480"/>
          <w:tab w:val="num" w:pos="720"/>
          <w:tab w:val="num" w:pos="928"/>
          <w:tab w:val="num" w:pos="6597"/>
        </w:tabs>
      </w:pPr>
      <w:r>
        <w:t>Resultado de esta indefinición, cuando surgen necesidades de inversión en la residencia, que con carácter general precisan un</w:t>
      </w:r>
      <w:r w:rsidR="000A37E0">
        <w:t>a</w:t>
      </w:r>
      <w:r>
        <w:t xml:space="preserve"> solución urgente, se ha r</w:t>
      </w:r>
      <w:r>
        <w:t>e</w:t>
      </w:r>
      <w:r>
        <w:t xml:space="preserve">suelto en cuanto a su financiación de forma diferente. </w:t>
      </w:r>
      <w:r w:rsidR="00166D05">
        <w:t>As</w:t>
      </w:r>
      <w:r w:rsidR="005872BF">
        <w:t>í</w:t>
      </w:r>
      <w:r>
        <w:t xml:space="preserve">, </w:t>
      </w:r>
      <w:r w:rsidR="00091399">
        <w:t>a modo de</w:t>
      </w:r>
      <w:r>
        <w:t xml:space="preserve"> ejemplo</w:t>
      </w:r>
      <w:r w:rsidR="00B172CE">
        <w:t>,</w:t>
      </w:r>
      <w:r>
        <w:t xml:space="preserve"> citamos</w:t>
      </w:r>
      <w:r w:rsidR="00166D05">
        <w:t>:</w:t>
      </w:r>
    </w:p>
    <w:p w:rsidR="00166D05" w:rsidRDefault="00166D05" w:rsidP="00166D05">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En </w:t>
      </w:r>
      <w:r w:rsidR="00124943">
        <w:t>enero</w:t>
      </w:r>
      <w:r>
        <w:t xml:space="preserve"> de 2015 se produce la rotura de la caldera y se realiza </w:t>
      </w:r>
      <w:r w:rsidR="00604C9B">
        <w:t>su</w:t>
      </w:r>
      <w:r>
        <w:t xml:space="preserve"> sustit</w:t>
      </w:r>
      <w:r>
        <w:t>u</w:t>
      </w:r>
      <w:r>
        <w:t xml:space="preserve">ción urgente </w:t>
      </w:r>
      <w:bookmarkStart w:id="36" w:name="tm_385745246"/>
      <w:bookmarkStart w:id="37" w:name="tm_385745247"/>
      <w:bookmarkEnd w:id="36"/>
      <w:bookmarkEnd w:id="37"/>
      <w:r w:rsidR="0004196D">
        <w:t>directamente por la residencia</w:t>
      </w:r>
      <w:r>
        <w:t>. La adquisición de esta caldera no fue financiada por el Gobierno de Navarra</w:t>
      </w:r>
      <w:r w:rsidR="0004196D">
        <w:t xml:space="preserve"> </w:t>
      </w:r>
      <w:r w:rsidR="00055415">
        <w:t>basándose en</w:t>
      </w:r>
      <w:r w:rsidR="0004196D">
        <w:t xml:space="preserve"> que no se habían s</w:t>
      </w:r>
      <w:r w:rsidR="0004196D">
        <w:t>e</w:t>
      </w:r>
      <w:r w:rsidR="0004196D">
        <w:t>guido los procedimientos de compra</w:t>
      </w:r>
      <w:r w:rsidR="00947B58">
        <w:t xml:space="preserve"> regulados en la normativa de contratación</w:t>
      </w:r>
      <w:r>
        <w:t>. El total de la inversión realizada</w:t>
      </w:r>
      <w:r w:rsidR="007B238F">
        <w:t xml:space="preserve"> a</w:t>
      </w:r>
      <w:r>
        <w:t>sciende a 33.439 euros, contabilizado en el capítulo 2 del presupuesto</w:t>
      </w:r>
      <w:r w:rsidR="000F2A2C">
        <w:t xml:space="preserve"> de la residencia</w:t>
      </w:r>
      <w:r w:rsidR="0004196D">
        <w:t>; d</w:t>
      </w:r>
      <w:r>
        <w:t>ebido a las tensiones de tesorería, se acuerda con el proveedor un pago aplazado; a</w:t>
      </w:r>
      <w:bookmarkStart w:id="38" w:name="tm_385745243"/>
      <w:r>
        <w:t xml:space="preserve"> fecha de cierre queda pendie</w:t>
      </w:r>
      <w:r>
        <w:t>n</w:t>
      </w:r>
      <w:r>
        <w:t>te de pago un total de 16.439 euros.</w:t>
      </w:r>
      <w:bookmarkEnd w:id="38"/>
    </w:p>
    <w:p w:rsidR="00166D05" w:rsidRPr="007B238F" w:rsidRDefault="00166D05" w:rsidP="0004196D">
      <w:pPr>
        <w:pStyle w:val="texto"/>
        <w:numPr>
          <w:ilvl w:val="0"/>
          <w:numId w:val="14"/>
        </w:numPr>
        <w:tabs>
          <w:tab w:val="clear" w:pos="2835"/>
          <w:tab w:val="clear" w:pos="3969"/>
          <w:tab w:val="clear" w:pos="5103"/>
          <w:tab w:val="clear" w:pos="6237"/>
          <w:tab w:val="clear" w:pos="7371"/>
          <w:tab w:val="left" w:pos="480"/>
          <w:tab w:val="num" w:pos="720"/>
          <w:tab w:val="num" w:pos="928"/>
          <w:tab w:val="num" w:pos="6597"/>
        </w:tabs>
        <w:ind w:left="0" w:firstLine="284"/>
      </w:pPr>
      <w:r w:rsidRPr="007B238F">
        <w:t>En septiembre de 2015 se necesita la reposición de un lavavajillas. A pet</w:t>
      </w:r>
      <w:r w:rsidRPr="007B238F">
        <w:t>i</w:t>
      </w:r>
      <w:r w:rsidRPr="007B238F">
        <w:t>ción del Gobierno de Navarra (Agencia Navarra para la Dependencia) se solic</w:t>
      </w:r>
      <w:r w:rsidRPr="007B238F">
        <w:t>i</w:t>
      </w:r>
      <w:r w:rsidRPr="007B238F">
        <w:t xml:space="preserve">tan dos informes: un informe del </w:t>
      </w:r>
      <w:r w:rsidR="007B238F" w:rsidRPr="007B238F">
        <w:t>d</w:t>
      </w:r>
      <w:r w:rsidRPr="007B238F">
        <w:t xml:space="preserve">irector de la </w:t>
      </w:r>
      <w:r w:rsidR="007B238F" w:rsidRPr="007B238F">
        <w:t>r</w:t>
      </w:r>
      <w:r w:rsidRPr="007B238F">
        <w:t>esidencia sobre la necesidad de la reposición y un informe técnico que indique que no es posible su repara</w:t>
      </w:r>
      <w:r w:rsidR="005872BF" w:rsidRPr="007B238F">
        <w:t>ción. Finalmente el lavavajillas fue adquirido por el Gobierno de Navarra</w:t>
      </w:r>
      <w:r w:rsidR="0004196D">
        <w:t xml:space="preserve"> por un i</w:t>
      </w:r>
      <w:r w:rsidR="0004196D">
        <w:t>m</w:t>
      </w:r>
      <w:r w:rsidR="0004196D">
        <w:t>porte de 1.998 euros.</w:t>
      </w:r>
    </w:p>
    <w:p w:rsidR="00166D05" w:rsidRDefault="00166D05" w:rsidP="00472B44">
      <w:pPr>
        <w:pStyle w:val="texto"/>
        <w:tabs>
          <w:tab w:val="clear" w:pos="2835"/>
          <w:tab w:val="clear" w:pos="3969"/>
          <w:tab w:val="clear" w:pos="5103"/>
          <w:tab w:val="clear" w:pos="6237"/>
          <w:tab w:val="clear" w:pos="7371"/>
          <w:tab w:val="left" w:pos="480"/>
          <w:tab w:val="num" w:pos="720"/>
          <w:tab w:val="num" w:pos="928"/>
          <w:tab w:val="num" w:pos="6597"/>
        </w:tabs>
      </w:pPr>
      <w:r>
        <w:t>El edificio e instalaciones presentan una serie de deficiencias</w:t>
      </w:r>
      <w:r w:rsidR="007B238F">
        <w:t xml:space="preserve"> estructurales</w:t>
      </w:r>
      <w:r>
        <w:t xml:space="preserve"> que es necesario solventar</w:t>
      </w:r>
      <w:r w:rsidR="007B238F">
        <w:t>, especialmente</w:t>
      </w:r>
      <w:r w:rsidR="00143B26">
        <w:t xml:space="preserve"> en</w:t>
      </w:r>
      <w:r w:rsidR="007B238F">
        <w:t xml:space="preserve"> el de atención a ancianos</w:t>
      </w:r>
      <w:r>
        <w:t>.  En n</w:t>
      </w:r>
      <w:r>
        <w:t>o</w:t>
      </w:r>
      <w:r>
        <w:t>viembre de 2009 se realiza un proyecto de reforma con las principales actu</w:t>
      </w:r>
      <w:r>
        <w:t>a</w:t>
      </w:r>
      <w:r>
        <w:t>ciones a realizar</w:t>
      </w:r>
      <w:r w:rsidR="000A37E0">
        <w:t>; éstas</w:t>
      </w:r>
      <w:r>
        <w:t xml:space="preserve"> responden a varios aspectos, desde adecuación a norm</w:t>
      </w:r>
      <w:r>
        <w:t>a</w:t>
      </w:r>
      <w:r>
        <w:t>tivas (eliminación de barreras arquitectónicas en baños y  puertas de acceso a las habitaciones, etc.), sustitución de elementos ya deteriorados (renovación instalación eléctrica, remodelación de baños, desperfectos oca</w:t>
      </w:r>
      <w:r w:rsidR="000F2A2C">
        <w:t xml:space="preserve">sionados por la humedad, etc.) </w:t>
      </w:r>
      <w:r>
        <w:t>o actuaciones encaminadas a mejora</w:t>
      </w:r>
      <w:r w:rsidR="005872BF">
        <w:t>r la funcionalidad del centro (</w:t>
      </w:r>
      <w:r>
        <w:t>instalación de un nuevo ascensor,  adecuación y cierre de terrazas, amplia</w:t>
      </w:r>
      <w:r w:rsidR="00E67B91">
        <w:t>ción de la sala de estar, etc.)</w:t>
      </w:r>
      <w:r>
        <w:t>. El total presupuesto de l</w:t>
      </w:r>
      <w:r w:rsidR="00E67B91">
        <w:t>as reformas</w:t>
      </w:r>
      <w:r>
        <w:t xml:space="preserve"> se valora</w:t>
      </w:r>
      <w:r w:rsidR="000F2A2C">
        <w:t>ba</w:t>
      </w:r>
      <w:r>
        <w:t xml:space="preserve"> en </w:t>
      </w:r>
      <w:r w:rsidR="006246E4">
        <w:t xml:space="preserve">     </w:t>
      </w:r>
      <w:r>
        <w:t>1</w:t>
      </w:r>
      <w:r w:rsidR="006246E4">
        <w:t>,14 millones</w:t>
      </w:r>
      <w:r>
        <w:t xml:space="preserve"> (excluido IVA).</w:t>
      </w:r>
      <w:r w:rsidR="00472B44">
        <w:t xml:space="preserve"> </w:t>
      </w:r>
      <w:r>
        <w:t>Este proyecto</w:t>
      </w:r>
      <w:r w:rsidR="00E67B91">
        <w:t>,</w:t>
      </w:r>
      <w:r>
        <w:t xml:space="preserve"> según el director de la residencia</w:t>
      </w:r>
      <w:r w:rsidR="00E67B91">
        <w:t>,</w:t>
      </w:r>
      <w:r>
        <w:t xml:space="preserve"> ha quedado totalmente desfasado</w:t>
      </w:r>
      <w:r w:rsidR="00E67B91">
        <w:t xml:space="preserve"> por el progresivo y continuo deterioro de </w:t>
      </w:r>
      <w:r w:rsidR="000A37E0">
        <w:t>esas</w:t>
      </w:r>
      <w:r w:rsidR="00E67B91">
        <w:t xml:space="preserve"> instalaciones</w:t>
      </w:r>
      <w:r w:rsidR="000A37E0">
        <w:t>.</w:t>
      </w:r>
    </w:p>
    <w:p w:rsidR="006F48EB" w:rsidRDefault="006F48EB" w:rsidP="0054559C">
      <w:pPr>
        <w:pStyle w:val="texto"/>
        <w:tabs>
          <w:tab w:val="clear" w:pos="2835"/>
          <w:tab w:val="clear" w:pos="3969"/>
          <w:tab w:val="clear" w:pos="5103"/>
          <w:tab w:val="clear" w:pos="6237"/>
          <w:tab w:val="clear" w:pos="7371"/>
          <w:tab w:val="left" w:pos="480"/>
          <w:tab w:val="num" w:pos="720"/>
          <w:tab w:val="num" w:pos="928"/>
          <w:tab w:val="num" w:pos="6597"/>
        </w:tabs>
      </w:pPr>
      <w:r>
        <w:t>El Gobierno de Navarra, por su parte, ha informado que, en el periodo de 2009 a 2016, ha realizado unos gastos en la residencia por un importe total de 475.058 euros. Estos gastos responden tanto a inversiones como a equipamie</w:t>
      </w:r>
      <w:r>
        <w:t>n</w:t>
      </w:r>
      <w:r>
        <w:t>tos, destacando, dentro de las primeras, la adaptación a la normativa de baja tensión y la reforma de baños</w:t>
      </w:r>
      <w:r w:rsidR="0054559C">
        <w:t>.</w:t>
      </w:r>
    </w:p>
    <w:p w:rsidR="000955BA" w:rsidRDefault="000A37E0" w:rsidP="00166D05">
      <w:pPr>
        <w:pStyle w:val="texto"/>
        <w:tabs>
          <w:tab w:val="clear" w:pos="2835"/>
          <w:tab w:val="clear" w:pos="3969"/>
          <w:tab w:val="clear" w:pos="5103"/>
          <w:tab w:val="clear" w:pos="6237"/>
          <w:tab w:val="clear" w:pos="7371"/>
          <w:tab w:val="left" w:pos="480"/>
          <w:tab w:val="num" w:pos="720"/>
          <w:tab w:val="num" w:pos="928"/>
          <w:tab w:val="num" w:pos="6597"/>
        </w:tabs>
      </w:pPr>
      <w:r>
        <w:t>Por otra parte, n</w:t>
      </w:r>
      <w:r w:rsidR="000F2A2C">
        <w:t>o consta</w:t>
      </w:r>
      <w:r>
        <w:t xml:space="preserve"> un</w:t>
      </w:r>
      <w:r w:rsidR="000F2A2C">
        <w:t xml:space="preserve"> inventario de bienes propiedad de la residencia y/o cedidos para su uso por el Gobierno de Navarra.</w:t>
      </w:r>
    </w:p>
    <w:p w:rsidR="004A2FC5" w:rsidRDefault="007B238F" w:rsidP="00B72879">
      <w:pPr>
        <w:pStyle w:val="texto"/>
      </w:pPr>
      <w:r>
        <w:t>Recomendamos</w:t>
      </w:r>
      <w:r w:rsidR="007B49FB">
        <w:t>:</w:t>
      </w:r>
    </w:p>
    <w:p w:rsidR="007B238F" w:rsidRDefault="007B238F" w:rsidP="00143B2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143B26">
        <w:rPr>
          <w:i/>
        </w:rPr>
        <w:t>Proceder urgentemente a documenta</w:t>
      </w:r>
      <w:r w:rsidR="00143B26">
        <w:rPr>
          <w:i/>
        </w:rPr>
        <w:t>r</w:t>
      </w:r>
      <w:r w:rsidRPr="00143B26">
        <w:rPr>
          <w:i/>
        </w:rPr>
        <w:t xml:space="preserve"> la cesión por el Gobierno de </w:t>
      </w:r>
      <w:r w:rsidR="00143B26">
        <w:rPr>
          <w:i/>
        </w:rPr>
        <w:t>N</w:t>
      </w:r>
      <w:r w:rsidRPr="00143B26">
        <w:rPr>
          <w:i/>
        </w:rPr>
        <w:t>av</w:t>
      </w:r>
      <w:r w:rsidRPr="00143B26">
        <w:rPr>
          <w:i/>
        </w:rPr>
        <w:t>a</w:t>
      </w:r>
      <w:r w:rsidRPr="00143B26">
        <w:rPr>
          <w:i/>
        </w:rPr>
        <w:t xml:space="preserve">rra de los edificios </w:t>
      </w:r>
      <w:r w:rsidR="00A270D4">
        <w:rPr>
          <w:i/>
        </w:rPr>
        <w:t xml:space="preserve">y </w:t>
      </w:r>
      <w:r w:rsidR="006D5730">
        <w:rPr>
          <w:i/>
        </w:rPr>
        <w:t>de su gestión</w:t>
      </w:r>
      <w:r w:rsidRPr="00143B26">
        <w:rPr>
          <w:i/>
        </w:rPr>
        <w:t>, definiendo y concretando las obligaciones y derechos de cada una de las partes.</w:t>
      </w:r>
    </w:p>
    <w:p w:rsidR="00143B26" w:rsidRPr="00143B26" w:rsidRDefault="00EA15CB" w:rsidP="00143B2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Pr>
          <w:i/>
        </w:rPr>
        <w:t>Como complemento de</w:t>
      </w:r>
      <w:r w:rsidR="00143B26">
        <w:rPr>
          <w:i/>
        </w:rPr>
        <w:t xml:space="preserve"> la anterior, elaborar un plan de actuación sobre las reformas a realizar en los edificios de la residencia para adecuarse a la vige</w:t>
      </w:r>
      <w:r w:rsidR="00143B26">
        <w:rPr>
          <w:i/>
        </w:rPr>
        <w:t>n</w:t>
      </w:r>
      <w:r w:rsidR="00143B26">
        <w:rPr>
          <w:i/>
        </w:rPr>
        <w:t>te normativa</w:t>
      </w:r>
      <w:r w:rsidR="000A37E0">
        <w:rPr>
          <w:i/>
        </w:rPr>
        <w:t xml:space="preserve"> y facilitar la gestión asistencial</w:t>
      </w:r>
      <w:r w:rsidR="00143B26">
        <w:rPr>
          <w:i/>
        </w:rPr>
        <w:t>. Ese plan debe conte</w:t>
      </w:r>
      <w:r w:rsidR="00457409">
        <w:rPr>
          <w:i/>
        </w:rPr>
        <w:t>mplar</w:t>
      </w:r>
      <w:r w:rsidR="00143B26">
        <w:rPr>
          <w:i/>
        </w:rPr>
        <w:t xml:space="preserve"> las fuentes de financiac</w:t>
      </w:r>
      <w:r w:rsidR="00246681">
        <w:rPr>
          <w:i/>
        </w:rPr>
        <w:t>ión precisas para sufragar</w:t>
      </w:r>
      <w:r w:rsidR="00143B26">
        <w:rPr>
          <w:i/>
        </w:rPr>
        <w:t xml:space="preserve"> tales reformas.</w:t>
      </w:r>
    </w:p>
    <w:p w:rsidR="004A2FC5" w:rsidRPr="00A270D4" w:rsidRDefault="007B238F" w:rsidP="00A270D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rPr>
      </w:pPr>
      <w:r w:rsidRPr="00143B26">
        <w:rPr>
          <w:i/>
        </w:rPr>
        <w:t>Elaborar un inventario que incluya tanto los bienes propiedad de la res</w:t>
      </w:r>
      <w:r w:rsidRPr="00143B26">
        <w:rPr>
          <w:i/>
        </w:rPr>
        <w:t>i</w:t>
      </w:r>
      <w:r w:rsidRPr="00143B26">
        <w:rPr>
          <w:i/>
        </w:rPr>
        <w:t>dencia como los cedidos para su utilización.</w:t>
      </w:r>
    </w:p>
    <w:p w:rsidR="00FC65A2" w:rsidRDefault="00FC65A2" w:rsidP="00FC65A2">
      <w:pPr>
        <w:pStyle w:val="atitulo2"/>
        <w:spacing w:before="240"/>
      </w:pPr>
      <w:bookmarkStart w:id="39" w:name="_Toc475093100"/>
      <w:r>
        <w:t>IV.8. Otras áreas</w:t>
      </w:r>
      <w:bookmarkEnd w:id="39"/>
    </w:p>
    <w:p w:rsidR="00DF414B" w:rsidRDefault="00460AD6" w:rsidP="007E4FB6">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A 31 de diciembre de 2015, el crédito de tesorería no dispuesto coincide con el límite concedido, es decir, 100.000 euros.</w:t>
      </w:r>
      <w:r w:rsidR="001E6582">
        <w:t xml:space="preserve"> A lo largo del ejercicio, se</w:t>
      </w:r>
      <w:r w:rsidR="00A340B3">
        <w:t xml:space="preserve"> ha</w:t>
      </w:r>
      <w:r w:rsidR="001E6582">
        <w:t xml:space="preserve"> uti</w:t>
      </w:r>
      <w:r w:rsidR="00A340B3">
        <w:t>lizado</w:t>
      </w:r>
      <w:r w:rsidR="001E6582">
        <w:t>, y posteriormente repuesto, fundamentalmente para el pago de retr</w:t>
      </w:r>
      <w:r w:rsidR="001E6582">
        <w:t>i</w:t>
      </w:r>
      <w:r w:rsidR="001E6582">
        <w:t>buciones y de determinadas facturas en el mes de julio. Consideramos que ante las tensiones de tesorería de la residencia,</w:t>
      </w:r>
      <w:r w:rsidR="00A340B3">
        <w:t xml:space="preserve"> la cancelación en julio de 2016 de este crédito ha </w:t>
      </w:r>
      <w:r w:rsidR="00BD1FF7">
        <w:t>podido agravar</w:t>
      </w:r>
      <w:r w:rsidR="00A340B3">
        <w:t xml:space="preserve"> tales tensiones.</w:t>
      </w:r>
    </w:p>
    <w:p w:rsidR="0026303F" w:rsidRDefault="00FC65A2" w:rsidP="00E66C0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pPr>
      <w:r>
        <w:t xml:space="preserve">Deudas a corto plazo. </w:t>
      </w:r>
      <w:r w:rsidR="00DC2E3A">
        <w:t>Esta masa patrimonial</w:t>
      </w:r>
      <w:r w:rsidR="00A270D4">
        <w:t xml:space="preserve"> del balance</w:t>
      </w:r>
      <w:r>
        <w:t xml:space="preserve"> presenta el s</w:t>
      </w:r>
      <w:r>
        <w:t>i</w:t>
      </w:r>
      <w:r>
        <w:t>guiente saldo desglosado</w:t>
      </w:r>
      <w:r w:rsidR="00DC2E3A">
        <w:t xml:space="preserve"> y comparado con el ejercicio anterior</w:t>
      </w:r>
      <w:r>
        <w:t>:</w:t>
      </w:r>
    </w:p>
    <w:tbl>
      <w:tblPr>
        <w:tblW w:w="8730" w:type="dxa"/>
        <w:jc w:val="center"/>
        <w:tblCellMar>
          <w:left w:w="70" w:type="dxa"/>
          <w:right w:w="70" w:type="dxa"/>
        </w:tblCellMar>
        <w:tblLook w:val="04A0" w:firstRow="1" w:lastRow="0" w:firstColumn="1" w:lastColumn="0" w:noHBand="0" w:noVBand="1"/>
      </w:tblPr>
      <w:tblGrid>
        <w:gridCol w:w="5328"/>
        <w:gridCol w:w="1701"/>
        <w:gridCol w:w="1701"/>
      </w:tblGrid>
      <w:tr w:rsidR="00BC3FE1" w:rsidRPr="00C43957" w:rsidTr="00DF414B">
        <w:trPr>
          <w:trHeight w:val="284"/>
          <w:jc w:val="center"/>
        </w:trPr>
        <w:tc>
          <w:tcPr>
            <w:tcW w:w="5328" w:type="dxa"/>
            <w:tcBorders>
              <w:top w:val="single" w:sz="4" w:space="0" w:color="auto"/>
              <w:bottom w:val="single" w:sz="4" w:space="0" w:color="auto"/>
            </w:tcBorders>
            <w:shd w:val="clear" w:color="auto" w:fill="FABF8F" w:themeFill="accent6" w:themeFillTint="99"/>
            <w:vAlign w:val="center"/>
          </w:tcPr>
          <w:p w:rsidR="00BC3FE1" w:rsidRPr="00C43957" w:rsidRDefault="00BC3FE1" w:rsidP="00BC3FE1">
            <w:pPr>
              <w:pStyle w:val="cuadroCabe"/>
              <w:rPr>
                <w:lang w:val="es-ES" w:eastAsia="es-ES"/>
              </w:rPr>
            </w:pPr>
            <w:r>
              <w:rPr>
                <w:lang w:val="es-ES" w:eastAsia="es-ES"/>
              </w:rPr>
              <w:t>Deudas a corto plazo</w:t>
            </w:r>
          </w:p>
        </w:tc>
        <w:tc>
          <w:tcPr>
            <w:tcW w:w="1701" w:type="dxa"/>
            <w:tcBorders>
              <w:top w:val="single" w:sz="4" w:space="0" w:color="auto"/>
              <w:bottom w:val="single" w:sz="4" w:space="0" w:color="auto"/>
            </w:tcBorders>
            <w:shd w:val="clear" w:color="auto" w:fill="FABF8F" w:themeFill="accent6" w:themeFillTint="99"/>
            <w:vAlign w:val="center"/>
          </w:tcPr>
          <w:p w:rsidR="00BC3FE1" w:rsidRPr="00C43957" w:rsidRDefault="00BC3FE1" w:rsidP="004B1529">
            <w:pPr>
              <w:pStyle w:val="cuadroCabe"/>
              <w:jc w:val="right"/>
              <w:rPr>
                <w:lang w:val="es-ES" w:eastAsia="es-ES"/>
              </w:rPr>
            </w:pPr>
            <w:r>
              <w:rPr>
                <w:lang w:val="es-ES" w:eastAsia="es-ES"/>
              </w:rPr>
              <w:t>2014</w:t>
            </w:r>
          </w:p>
        </w:tc>
        <w:tc>
          <w:tcPr>
            <w:tcW w:w="1701" w:type="dxa"/>
            <w:tcBorders>
              <w:top w:val="single" w:sz="4" w:space="0" w:color="auto"/>
              <w:bottom w:val="single" w:sz="4" w:space="0" w:color="auto"/>
            </w:tcBorders>
            <w:shd w:val="clear" w:color="auto" w:fill="FABF8F" w:themeFill="accent6" w:themeFillTint="99"/>
            <w:vAlign w:val="center"/>
          </w:tcPr>
          <w:p w:rsidR="00BC3FE1" w:rsidRDefault="00BC3FE1" w:rsidP="004B1529">
            <w:pPr>
              <w:pStyle w:val="cuadroCabe"/>
              <w:jc w:val="right"/>
              <w:rPr>
                <w:lang w:val="es-ES" w:eastAsia="es-ES"/>
              </w:rPr>
            </w:pPr>
            <w:r>
              <w:rPr>
                <w:lang w:val="es-ES" w:eastAsia="es-ES"/>
              </w:rPr>
              <w:t>2015</w:t>
            </w:r>
          </w:p>
        </w:tc>
      </w:tr>
      <w:tr w:rsidR="00BC3FE1" w:rsidRPr="00C43957" w:rsidTr="00DF414B">
        <w:trPr>
          <w:trHeight w:val="284"/>
          <w:jc w:val="center"/>
        </w:trPr>
        <w:tc>
          <w:tcPr>
            <w:tcW w:w="5328" w:type="dxa"/>
            <w:tcBorders>
              <w:top w:val="single" w:sz="4" w:space="0" w:color="auto"/>
              <w:bottom w:val="single" w:sz="2" w:space="0" w:color="auto"/>
            </w:tcBorders>
            <w:shd w:val="clear" w:color="auto" w:fill="auto"/>
            <w:vAlign w:val="center"/>
          </w:tcPr>
          <w:p w:rsidR="00BC3FE1" w:rsidRPr="00BC3FE1" w:rsidRDefault="00BC3FE1" w:rsidP="00BC3FE1">
            <w:pPr>
              <w:pStyle w:val="cuatexto"/>
            </w:pPr>
            <w:r w:rsidRPr="00BC3FE1">
              <w:t>Acreedores del presupuesto</w:t>
            </w:r>
            <w:r>
              <w:t xml:space="preserve"> corriente</w:t>
            </w:r>
          </w:p>
        </w:tc>
        <w:tc>
          <w:tcPr>
            <w:tcW w:w="1701" w:type="dxa"/>
            <w:tcBorders>
              <w:top w:val="single" w:sz="4" w:space="0" w:color="auto"/>
              <w:bottom w:val="single" w:sz="2" w:space="0" w:color="auto"/>
            </w:tcBorders>
            <w:vAlign w:val="center"/>
          </w:tcPr>
          <w:p w:rsidR="00BC3FE1" w:rsidRPr="00BC3FE1" w:rsidRDefault="00BC3FE1" w:rsidP="00BC3FE1">
            <w:pPr>
              <w:pStyle w:val="cuatexto"/>
              <w:jc w:val="right"/>
            </w:pPr>
            <w:r w:rsidRPr="00BC3FE1">
              <w:t xml:space="preserve">393.693 </w:t>
            </w:r>
          </w:p>
        </w:tc>
        <w:tc>
          <w:tcPr>
            <w:tcW w:w="1701" w:type="dxa"/>
            <w:tcBorders>
              <w:top w:val="single" w:sz="4" w:space="0" w:color="auto"/>
              <w:bottom w:val="single" w:sz="2" w:space="0" w:color="auto"/>
            </w:tcBorders>
            <w:vAlign w:val="center"/>
          </w:tcPr>
          <w:p w:rsidR="00BC3FE1" w:rsidRPr="00BC3FE1" w:rsidRDefault="00BC3FE1" w:rsidP="00BC3FE1">
            <w:pPr>
              <w:pStyle w:val="cuatexto"/>
              <w:jc w:val="right"/>
            </w:pPr>
            <w:r w:rsidRPr="00BC3FE1">
              <w:t xml:space="preserve">305.536 </w:t>
            </w:r>
          </w:p>
        </w:tc>
      </w:tr>
      <w:tr w:rsidR="00BC3FE1" w:rsidRPr="00C43957" w:rsidTr="00DF414B">
        <w:trPr>
          <w:trHeight w:val="284"/>
          <w:jc w:val="center"/>
        </w:trPr>
        <w:tc>
          <w:tcPr>
            <w:tcW w:w="5328" w:type="dxa"/>
            <w:tcBorders>
              <w:top w:val="single" w:sz="4" w:space="0" w:color="auto"/>
              <w:bottom w:val="single" w:sz="2" w:space="0" w:color="auto"/>
            </w:tcBorders>
            <w:shd w:val="clear" w:color="auto" w:fill="auto"/>
            <w:vAlign w:val="center"/>
          </w:tcPr>
          <w:p w:rsidR="00BC3FE1" w:rsidRPr="00BC3FE1" w:rsidRDefault="00BC3FE1" w:rsidP="00BC3FE1">
            <w:pPr>
              <w:pStyle w:val="cuatexto"/>
            </w:pPr>
            <w:r w:rsidRPr="00BC3FE1">
              <w:t>Acreedores extrapresupuestarios</w:t>
            </w:r>
          </w:p>
        </w:tc>
        <w:tc>
          <w:tcPr>
            <w:tcW w:w="1701" w:type="dxa"/>
            <w:tcBorders>
              <w:top w:val="single" w:sz="4" w:space="0" w:color="auto"/>
              <w:bottom w:val="single" w:sz="2" w:space="0" w:color="auto"/>
            </w:tcBorders>
            <w:vAlign w:val="center"/>
          </w:tcPr>
          <w:p w:rsidR="00BC3FE1" w:rsidRPr="00BC3FE1" w:rsidRDefault="00BC3FE1" w:rsidP="00BC3FE1">
            <w:pPr>
              <w:pStyle w:val="cuatexto"/>
              <w:jc w:val="right"/>
            </w:pPr>
            <w:r w:rsidRPr="00BC3FE1">
              <w:t xml:space="preserve">28.139 </w:t>
            </w:r>
          </w:p>
        </w:tc>
        <w:tc>
          <w:tcPr>
            <w:tcW w:w="1701" w:type="dxa"/>
            <w:tcBorders>
              <w:top w:val="single" w:sz="4" w:space="0" w:color="auto"/>
              <w:bottom w:val="single" w:sz="2" w:space="0" w:color="auto"/>
            </w:tcBorders>
            <w:vAlign w:val="center"/>
          </w:tcPr>
          <w:p w:rsidR="00BC3FE1" w:rsidRPr="00BC3FE1" w:rsidRDefault="00BC3FE1" w:rsidP="00BC3FE1">
            <w:pPr>
              <w:pStyle w:val="cuatexto"/>
              <w:jc w:val="right"/>
            </w:pPr>
            <w:r w:rsidRPr="00BC3FE1">
              <w:t xml:space="preserve">269.393 </w:t>
            </w:r>
          </w:p>
        </w:tc>
      </w:tr>
      <w:tr w:rsidR="00BC3FE1" w:rsidRPr="00C43957" w:rsidTr="00DF414B">
        <w:trPr>
          <w:trHeight w:val="284"/>
          <w:jc w:val="center"/>
        </w:trPr>
        <w:tc>
          <w:tcPr>
            <w:tcW w:w="5328" w:type="dxa"/>
            <w:tcBorders>
              <w:top w:val="single" w:sz="4" w:space="0" w:color="auto"/>
              <w:bottom w:val="single" w:sz="4" w:space="0" w:color="auto"/>
            </w:tcBorders>
            <w:shd w:val="clear" w:color="auto" w:fill="FABF8F" w:themeFill="accent6" w:themeFillTint="99"/>
            <w:vAlign w:val="center"/>
          </w:tcPr>
          <w:p w:rsidR="00BC3FE1" w:rsidRPr="00C43957" w:rsidRDefault="00BC3FE1" w:rsidP="00BC3FE1">
            <w:pPr>
              <w:pStyle w:val="cuadroCabe"/>
              <w:rPr>
                <w:lang w:val="es-ES" w:eastAsia="es-ES"/>
              </w:rPr>
            </w:pPr>
            <w:r>
              <w:rPr>
                <w:lang w:val="es-ES" w:eastAsia="es-ES"/>
              </w:rPr>
              <w:t xml:space="preserve">Total </w:t>
            </w:r>
          </w:p>
        </w:tc>
        <w:tc>
          <w:tcPr>
            <w:tcW w:w="1701" w:type="dxa"/>
            <w:tcBorders>
              <w:top w:val="single" w:sz="4" w:space="0" w:color="auto"/>
              <w:bottom w:val="single" w:sz="4" w:space="0" w:color="auto"/>
            </w:tcBorders>
            <w:shd w:val="clear" w:color="auto" w:fill="FABF8F" w:themeFill="accent6" w:themeFillTint="99"/>
            <w:vAlign w:val="center"/>
          </w:tcPr>
          <w:p w:rsidR="00BC3FE1" w:rsidRPr="00C43957" w:rsidRDefault="00BC3FE1" w:rsidP="004B1529">
            <w:pPr>
              <w:pStyle w:val="cuadroCabe"/>
              <w:jc w:val="right"/>
              <w:rPr>
                <w:lang w:val="es-ES" w:eastAsia="es-ES"/>
              </w:rPr>
            </w:pPr>
            <w:r w:rsidRPr="00BC3FE1">
              <w:rPr>
                <w:lang w:val="es-ES" w:eastAsia="es-ES"/>
              </w:rPr>
              <w:t>421.832</w:t>
            </w:r>
          </w:p>
        </w:tc>
        <w:tc>
          <w:tcPr>
            <w:tcW w:w="1701" w:type="dxa"/>
            <w:tcBorders>
              <w:top w:val="single" w:sz="4" w:space="0" w:color="auto"/>
              <w:bottom w:val="single" w:sz="4" w:space="0" w:color="auto"/>
            </w:tcBorders>
            <w:shd w:val="clear" w:color="auto" w:fill="FABF8F" w:themeFill="accent6" w:themeFillTint="99"/>
            <w:vAlign w:val="center"/>
          </w:tcPr>
          <w:p w:rsidR="00BC3FE1" w:rsidRDefault="00BC3FE1" w:rsidP="004B1529">
            <w:pPr>
              <w:pStyle w:val="cuadroCabe"/>
              <w:jc w:val="right"/>
              <w:rPr>
                <w:lang w:val="es-ES" w:eastAsia="es-ES"/>
              </w:rPr>
            </w:pPr>
            <w:r w:rsidRPr="00BC3FE1">
              <w:rPr>
                <w:lang w:val="es-ES" w:eastAsia="es-ES"/>
              </w:rPr>
              <w:t>574.929</w:t>
            </w:r>
          </w:p>
        </w:tc>
      </w:tr>
    </w:tbl>
    <w:p w:rsidR="00BC3FE1" w:rsidRDefault="00BC3FE1">
      <w:pPr>
        <w:spacing w:after="0"/>
        <w:ind w:firstLine="0"/>
        <w:jc w:val="left"/>
      </w:pPr>
    </w:p>
    <w:p w:rsidR="00BC3FE1" w:rsidRDefault="00BC3FE1" w:rsidP="00BC3FE1">
      <w:pPr>
        <w:pStyle w:val="texto"/>
        <w:tabs>
          <w:tab w:val="clear" w:pos="2835"/>
          <w:tab w:val="clear" w:pos="3969"/>
          <w:tab w:val="clear" w:pos="5103"/>
          <w:tab w:val="clear" w:pos="6237"/>
          <w:tab w:val="clear" w:pos="7371"/>
          <w:tab w:val="left" w:pos="480"/>
          <w:tab w:val="num" w:pos="720"/>
          <w:tab w:val="num" w:pos="928"/>
          <w:tab w:val="num" w:pos="6597"/>
        </w:tabs>
      </w:pPr>
      <w:r>
        <w:t>Los acreedores del presupuesto corriente responden a facturas del último trimestre y al pago pendiente de la sustitución de la caldera; igualmente incluye la deuda con la Seguridad Social</w:t>
      </w:r>
      <w:r w:rsidR="00D65523">
        <w:t>, 36.187 euros,</w:t>
      </w:r>
      <w:r>
        <w:t xml:space="preserve"> correspondiente al mes de d</w:t>
      </w:r>
      <w:r>
        <w:t>i</w:t>
      </w:r>
      <w:r>
        <w:t>ciembre de 2015, que se abona efectivamente en enero de 2016.</w:t>
      </w:r>
    </w:p>
    <w:p w:rsidR="00BC3FE1" w:rsidRDefault="00BC3FE1" w:rsidP="00BC3FE1">
      <w:pPr>
        <w:pStyle w:val="texto"/>
        <w:tabs>
          <w:tab w:val="clear" w:pos="2835"/>
          <w:tab w:val="clear" w:pos="3969"/>
          <w:tab w:val="clear" w:pos="5103"/>
          <w:tab w:val="clear" w:pos="6237"/>
          <w:tab w:val="clear" w:pos="7371"/>
          <w:tab w:val="left" w:pos="480"/>
          <w:tab w:val="num" w:pos="720"/>
          <w:tab w:val="num" w:pos="928"/>
          <w:tab w:val="num" w:pos="6597"/>
        </w:tabs>
      </w:pPr>
      <w:r>
        <w:t>En acreedores extrapresupuestarios, además de las retenciones de IRPF y de Seguridad Social de diciembre de 2015</w:t>
      </w:r>
      <w:r w:rsidR="00D65523">
        <w:t xml:space="preserve"> por 44.659 euros</w:t>
      </w:r>
      <w:r>
        <w:t>, se incluye:</w:t>
      </w:r>
    </w:p>
    <w:p w:rsidR="00BC3FE1" w:rsidRDefault="00D65523" w:rsidP="00BC3FE1">
      <w:pPr>
        <w:pStyle w:val="texto"/>
        <w:tabs>
          <w:tab w:val="clear" w:pos="2835"/>
          <w:tab w:val="clear" w:pos="3969"/>
          <w:tab w:val="clear" w:pos="5103"/>
          <w:tab w:val="clear" w:pos="6237"/>
          <w:tab w:val="clear" w:pos="7371"/>
          <w:tab w:val="left" w:pos="480"/>
          <w:tab w:val="num" w:pos="720"/>
          <w:tab w:val="num" w:pos="928"/>
          <w:tab w:val="num" w:pos="6597"/>
        </w:tabs>
      </w:pPr>
      <w:r>
        <w:t xml:space="preserve">a) </w:t>
      </w:r>
      <w:r w:rsidR="00BC3FE1">
        <w:t>El crédito de tesorería por el límite concertado, 100.000 euros.</w:t>
      </w:r>
    </w:p>
    <w:p w:rsidR="00F35954" w:rsidRPr="007D777A" w:rsidRDefault="00D65523" w:rsidP="00F35954">
      <w:pPr>
        <w:pStyle w:val="texto"/>
        <w:tabs>
          <w:tab w:val="clear" w:pos="2835"/>
          <w:tab w:val="clear" w:pos="3969"/>
          <w:tab w:val="clear" w:pos="5103"/>
          <w:tab w:val="clear" w:pos="6237"/>
          <w:tab w:val="clear" w:pos="7371"/>
          <w:tab w:val="left" w:pos="480"/>
          <w:tab w:val="num" w:pos="720"/>
          <w:tab w:val="num" w:pos="928"/>
          <w:tab w:val="num" w:pos="6597"/>
        </w:tabs>
        <w:rPr>
          <w:color w:val="000000" w:themeColor="text1"/>
        </w:rPr>
      </w:pPr>
      <w:r w:rsidRPr="007D777A">
        <w:rPr>
          <w:color w:val="000000" w:themeColor="text1"/>
        </w:rPr>
        <w:t xml:space="preserve">b) </w:t>
      </w:r>
      <w:r w:rsidR="00BC3FE1" w:rsidRPr="007D777A">
        <w:rPr>
          <w:color w:val="000000" w:themeColor="text1"/>
        </w:rPr>
        <w:t>Ingresos pendientes de aplicar</w:t>
      </w:r>
      <w:r w:rsidR="007D777A">
        <w:rPr>
          <w:color w:val="000000" w:themeColor="text1"/>
        </w:rPr>
        <w:t xml:space="preserve"> </w:t>
      </w:r>
      <w:r w:rsidR="00BC3FE1" w:rsidRPr="007D777A">
        <w:rPr>
          <w:color w:val="000000" w:themeColor="text1"/>
        </w:rPr>
        <w:t xml:space="preserve">por 124.735 euros. </w:t>
      </w:r>
    </w:p>
    <w:p w:rsidR="00A92F82" w:rsidRDefault="00A92F82" w:rsidP="00DF414B">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89"/>
      </w:pPr>
      <w:r>
        <w:t xml:space="preserve">En deudores extrapresupuestarios se refleja básicamente un anticipo a la empresa suministradora de gas </w:t>
      </w:r>
      <w:r w:rsidR="00693587">
        <w:t>con</w:t>
      </w:r>
      <w:r>
        <w:t xml:space="preserve"> un saldo de 27.654 euros; este importe re</w:t>
      </w:r>
      <w:r>
        <w:t>s</w:t>
      </w:r>
      <w:r>
        <w:t>ponde al sistema de pago de tal suministro, dado que la residencia paga me</w:t>
      </w:r>
      <w:r>
        <w:t>n</w:t>
      </w:r>
      <w:r>
        <w:t xml:space="preserve">sualmente una cantidad fija que, en febrero del año siguiente, se regulariza en función del consumo real. </w:t>
      </w:r>
    </w:p>
    <w:p w:rsidR="004B1529" w:rsidRDefault="003A6575" w:rsidP="00DF414B">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pPr>
      <w:r>
        <w:t>Avales. Como resultado de los contratos</w:t>
      </w:r>
      <w:r w:rsidR="000A37E0">
        <w:t xml:space="preserve"> de concertación de plazas</w:t>
      </w:r>
      <w:r>
        <w:t xml:space="preserve"> con el Departamento de Derechos Sociales, se exige a la mancomunidad unas gara</w:t>
      </w:r>
      <w:r>
        <w:t>n</w:t>
      </w:r>
      <w:r>
        <w:t>tías</w:t>
      </w:r>
      <w:r w:rsidR="000A37E0">
        <w:t>,</w:t>
      </w:r>
      <w:r w:rsidR="004B1529">
        <w:t xml:space="preserve"> fijadas en el dos por ciento del importe de los contratos</w:t>
      </w:r>
      <w:r w:rsidR="000A37E0">
        <w:t>, que asc</w:t>
      </w:r>
      <w:r w:rsidR="00A340B3">
        <w:t>ie</w:t>
      </w:r>
      <w:r w:rsidR="000A37E0">
        <w:t>nden a un importe global de</w:t>
      </w:r>
      <w:r w:rsidR="00585BB8">
        <w:t xml:space="preserve"> </w:t>
      </w:r>
      <w:r w:rsidR="002D6678">
        <w:t>92.188 euros</w:t>
      </w:r>
      <w:r w:rsidR="004B1529">
        <w:t>. Estas garantías se formalizan por la ma</w:t>
      </w:r>
      <w:r w:rsidR="004B1529">
        <w:t>n</w:t>
      </w:r>
      <w:r w:rsidR="004B1529">
        <w:t>comunidad en dos aval</w:t>
      </w:r>
      <w:r w:rsidR="00A804A7">
        <w:t>es</w:t>
      </w:r>
      <w:r w:rsidR="004B1529">
        <w:t xml:space="preserve"> bancarios concertados con una entidad financiera que, en 2015, ha supuesto un gasto</w:t>
      </w:r>
      <w:r w:rsidR="002D6678">
        <w:t xml:space="preserve"> financiero</w:t>
      </w:r>
      <w:r w:rsidR="004B1529">
        <w:t xml:space="preserve"> de 2.604 euros, de acuerdo con el s</w:t>
      </w:r>
      <w:r w:rsidR="004B1529">
        <w:t>i</w:t>
      </w:r>
      <w:r w:rsidR="004B1529">
        <w:t>guiente cuadro:</w:t>
      </w:r>
    </w:p>
    <w:tbl>
      <w:tblPr>
        <w:tblW w:w="8777" w:type="dxa"/>
        <w:jc w:val="center"/>
        <w:tblCellMar>
          <w:left w:w="70" w:type="dxa"/>
          <w:right w:w="70" w:type="dxa"/>
        </w:tblCellMar>
        <w:tblLook w:val="04A0" w:firstRow="1" w:lastRow="0" w:firstColumn="1" w:lastColumn="0" w:noHBand="0" w:noVBand="1"/>
      </w:tblPr>
      <w:tblGrid>
        <w:gridCol w:w="3308"/>
        <w:gridCol w:w="1872"/>
        <w:gridCol w:w="2046"/>
        <w:gridCol w:w="1551"/>
      </w:tblGrid>
      <w:tr w:rsidR="002D6678" w:rsidRPr="00C43957" w:rsidTr="003724D2">
        <w:trPr>
          <w:trHeight w:val="284"/>
          <w:jc w:val="center"/>
        </w:trPr>
        <w:tc>
          <w:tcPr>
            <w:tcW w:w="3308" w:type="dxa"/>
            <w:tcBorders>
              <w:top w:val="single" w:sz="4" w:space="0" w:color="auto"/>
              <w:bottom w:val="single" w:sz="4" w:space="0" w:color="auto"/>
            </w:tcBorders>
            <w:shd w:val="clear" w:color="auto" w:fill="FABF8F" w:themeFill="accent6" w:themeFillTint="99"/>
            <w:vAlign w:val="center"/>
          </w:tcPr>
          <w:p w:rsidR="002D6678" w:rsidRPr="00C43957" w:rsidRDefault="002D6678" w:rsidP="004B1529">
            <w:pPr>
              <w:pStyle w:val="cuadroCabe"/>
              <w:rPr>
                <w:lang w:val="es-ES" w:eastAsia="es-ES"/>
              </w:rPr>
            </w:pPr>
            <w:r>
              <w:rPr>
                <w:lang w:val="es-ES" w:eastAsia="es-ES"/>
              </w:rPr>
              <w:t>Aval</w:t>
            </w:r>
          </w:p>
        </w:tc>
        <w:tc>
          <w:tcPr>
            <w:tcW w:w="1872" w:type="dxa"/>
            <w:tcBorders>
              <w:top w:val="single" w:sz="4" w:space="0" w:color="auto"/>
              <w:bottom w:val="single" w:sz="4" w:space="0" w:color="auto"/>
            </w:tcBorders>
            <w:shd w:val="clear" w:color="auto" w:fill="FABF8F" w:themeFill="accent6" w:themeFillTint="99"/>
            <w:vAlign w:val="center"/>
          </w:tcPr>
          <w:p w:rsidR="002D6678" w:rsidRDefault="002D6678" w:rsidP="004B1529">
            <w:pPr>
              <w:pStyle w:val="cuadroCabe"/>
              <w:jc w:val="right"/>
              <w:rPr>
                <w:lang w:val="es-ES" w:eastAsia="es-ES"/>
              </w:rPr>
            </w:pPr>
            <w:r>
              <w:rPr>
                <w:lang w:val="es-ES" w:eastAsia="es-ES"/>
              </w:rPr>
              <w:t>Importe garantía</w:t>
            </w:r>
          </w:p>
        </w:tc>
        <w:tc>
          <w:tcPr>
            <w:tcW w:w="2046" w:type="dxa"/>
            <w:tcBorders>
              <w:top w:val="single" w:sz="4" w:space="0" w:color="auto"/>
              <w:bottom w:val="single" w:sz="4" w:space="0" w:color="auto"/>
            </w:tcBorders>
            <w:shd w:val="clear" w:color="auto" w:fill="FABF8F" w:themeFill="accent6" w:themeFillTint="99"/>
            <w:vAlign w:val="center"/>
          </w:tcPr>
          <w:p w:rsidR="003724D2" w:rsidRDefault="002D6678" w:rsidP="004B1529">
            <w:pPr>
              <w:pStyle w:val="cuadroCabe"/>
              <w:jc w:val="right"/>
              <w:rPr>
                <w:lang w:val="es-ES" w:eastAsia="es-ES"/>
              </w:rPr>
            </w:pPr>
            <w:r>
              <w:rPr>
                <w:lang w:val="es-ES" w:eastAsia="es-ES"/>
              </w:rPr>
              <w:t>Tipo trimestral</w:t>
            </w:r>
            <w:r w:rsidR="000A37E0">
              <w:rPr>
                <w:lang w:val="es-ES" w:eastAsia="es-ES"/>
              </w:rPr>
              <w:t xml:space="preserve"> </w:t>
            </w:r>
          </w:p>
          <w:p w:rsidR="002D6678" w:rsidRPr="00C43957" w:rsidRDefault="000A37E0" w:rsidP="004B1529">
            <w:pPr>
              <w:pStyle w:val="cuadroCabe"/>
              <w:jc w:val="right"/>
              <w:rPr>
                <w:lang w:val="es-ES" w:eastAsia="es-ES"/>
              </w:rPr>
            </w:pPr>
            <w:r>
              <w:rPr>
                <w:lang w:val="es-ES" w:eastAsia="es-ES"/>
              </w:rPr>
              <w:t>aplicado al aval</w:t>
            </w:r>
          </w:p>
        </w:tc>
        <w:tc>
          <w:tcPr>
            <w:tcW w:w="1551" w:type="dxa"/>
            <w:tcBorders>
              <w:top w:val="single" w:sz="4" w:space="0" w:color="auto"/>
              <w:bottom w:val="single" w:sz="4" w:space="0" w:color="auto"/>
            </w:tcBorders>
            <w:shd w:val="clear" w:color="auto" w:fill="FABF8F" w:themeFill="accent6" w:themeFillTint="99"/>
            <w:vAlign w:val="center"/>
          </w:tcPr>
          <w:p w:rsidR="002D6678" w:rsidRDefault="000A37E0" w:rsidP="000A37E0">
            <w:pPr>
              <w:pStyle w:val="cuadroCabe"/>
              <w:jc w:val="right"/>
              <w:rPr>
                <w:lang w:val="es-ES" w:eastAsia="es-ES"/>
              </w:rPr>
            </w:pPr>
            <w:r>
              <w:rPr>
                <w:lang w:val="es-ES" w:eastAsia="es-ES"/>
              </w:rPr>
              <w:t>Gasto financiero anual aval</w:t>
            </w:r>
            <w:r w:rsidR="00F54FE9">
              <w:rPr>
                <w:lang w:val="es-ES" w:eastAsia="es-ES"/>
              </w:rPr>
              <w:t>es</w:t>
            </w:r>
          </w:p>
        </w:tc>
      </w:tr>
      <w:tr w:rsidR="002D6678" w:rsidRPr="00C43957" w:rsidTr="003724D2">
        <w:trPr>
          <w:trHeight w:val="284"/>
          <w:jc w:val="center"/>
        </w:trPr>
        <w:tc>
          <w:tcPr>
            <w:tcW w:w="3308" w:type="dxa"/>
            <w:tcBorders>
              <w:top w:val="single" w:sz="4" w:space="0" w:color="auto"/>
              <w:bottom w:val="single" w:sz="2" w:space="0" w:color="auto"/>
            </w:tcBorders>
            <w:shd w:val="clear" w:color="auto" w:fill="auto"/>
            <w:vAlign w:val="center"/>
          </w:tcPr>
          <w:p w:rsidR="002D6678" w:rsidRPr="00BC3FE1" w:rsidRDefault="002D6678" w:rsidP="004B1529">
            <w:pPr>
              <w:pStyle w:val="cuatexto"/>
            </w:pPr>
            <w:r>
              <w:t>Residencia de ancianos</w:t>
            </w:r>
          </w:p>
        </w:tc>
        <w:tc>
          <w:tcPr>
            <w:tcW w:w="1872" w:type="dxa"/>
            <w:tcBorders>
              <w:top w:val="single" w:sz="4" w:space="0" w:color="auto"/>
              <w:bottom w:val="single" w:sz="2" w:space="0" w:color="auto"/>
            </w:tcBorders>
            <w:vAlign w:val="center"/>
          </w:tcPr>
          <w:p w:rsidR="002D6678" w:rsidRDefault="002D6678" w:rsidP="004B1529">
            <w:pPr>
              <w:pStyle w:val="cuatexto"/>
              <w:jc w:val="right"/>
            </w:pPr>
            <w:r>
              <w:t>32.735</w:t>
            </w:r>
          </w:p>
        </w:tc>
        <w:tc>
          <w:tcPr>
            <w:tcW w:w="2046" w:type="dxa"/>
            <w:tcBorders>
              <w:top w:val="single" w:sz="4" w:space="0" w:color="auto"/>
              <w:bottom w:val="single" w:sz="2" w:space="0" w:color="auto"/>
            </w:tcBorders>
            <w:vAlign w:val="center"/>
          </w:tcPr>
          <w:p w:rsidR="002D6678" w:rsidRPr="00BC3FE1" w:rsidRDefault="002D6678" w:rsidP="004B1529">
            <w:pPr>
              <w:pStyle w:val="cuatexto"/>
              <w:jc w:val="right"/>
            </w:pPr>
            <w:r>
              <w:t>0,25 %</w:t>
            </w:r>
          </w:p>
        </w:tc>
        <w:tc>
          <w:tcPr>
            <w:tcW w:w="1551" w:type="dxa"/>
            <w:tcBorders>
              <w:top w:val="single" w:sz="4" w:space="0" w:color="auto"/>
              <w:bottom w:val="single" w:sz="2" w:space="0" w:color="auto"/>
            </w:tcBorders>
            <w:vAlign w:val="center"/>
          </w:tcPr>
          <w:p w:rsidR="002D6678" w:rsidRPr="00BC3FE1" w:rsidRDefault="002D6678" w:rsidP="004B1529">
            <w:pPr>
              <w:pStyle w:val="cuatexto"/>
              <w:jc w:val="right"/>
            </w:pPr>
            <w:r>
              <w:t>226</w:t>
            </w:r>
          </w:p>
        </w:tc>
      </w:tr>
      <w:tr w:rsidR="002D6678" w:rsidRPr="00C43957" w:rsidTr="003724D2">
        <w:trPr>
          <w:trHeight w:val="284"/>
          <w:jc w:val="center"/>
        </w:trPr>
        <w:tc>
          <w:tcPr>
            <w:tcW w:w="3308" w:type="dxa"/>
            <w:tcBorders>
              <w:top w:val="single" w:sz="4" w:space="0" w:color="auto"/>
              <w:bottom w:val="single" w:sz="2" w:space="0" w:color="auto"/>
            </w:tcBorders>
            <w:shd w:val="clear" w:color="auto" w:fill="auto"/>
            <w:vAlign w:val="center"/>
          </w:tcPr>
          <w:p w:rsidR="002D6678" w:rsidRPr="00BC3FE1" w:rsidRDefault="002D6678" w:rsidP="004B1529">
            <w:pPr>
              <w:pStyle w:val="cuatexto"/>
            </w:pPr>
            <w:r>
              <w:t>Psicogeriátrico</w:t>
            </w:r>
          </w:p>
        </w:tc>
        <w:tc>
          <w:tcPr>
            <w:tcW w:w="1872" w:type="dxa"/>
            <w:tcBorders>
              <w:top w:val="single" w:sz="4" w:space="0" w:color="auto"/>
              <w:bottom w:val="single" w:sz="2" w:space="0" w:color="auto"/>
            </w:tcBorders>
            <w:vAlign w:val="center"/>
          </w:tcPr>
          <w:p w:rsidR="002D6678" w:rsidRDefault="002D6678" w:rsidP="002D6678">
            <w:pPr>
              <w:pStyle w:val="cuatexto"/>
              <w:jc w:val="right"/>
            </w:pPr>
            <w:r>
              <w:t>59.453</w:t>
            </w:r>
          </w:p>
        </w:tc>
        <w:tc>
          <w:tcPr>
            <w:tcW w:w="2046" w:type="dxa"/>
            <w:tcBorders>
              <w:top w:val="single" w:sz="4" w:space="0" w:color="auto"/>
              <w:bottom w:val="single" w:sz="2" w:space="0" w:color="auto"/>
            </w:tcBorders>
            <w:vAlign w:val="center"/>
          </w:tcPr>
          <w:p w:rsidR="002D6678" w:rsidRPr="00BC3FE1" w:rsidRDefault="002D6678" w:rsidP="004B1529">
            <w:pPr>
              <w:pStyle w:val="cuatexto"/>
              <w:jc w:val="right"/>
            </w:pPr>
            <w:r>
              <w:t>1,00 %</w:t>
            </w:r>
          </w:p>
        </w:tc>
        <w:tc>
          <w:tcPr>
            <w:tcW w:w="1551" w:type="dxa"/>
            <w:tcBorders>
              <w:top w:val="single" w:sz="4" w:space="0" w:color="auto"/>
              <w:bottom w:val="single" w:sz="2" w:space="0" w:color="auto"/>
            </w:tcBorders>
            <w:vAlign w:val="center"/>
          </w:tcPr>
          <w:p w:rsidR="002D6678" w:rsidRPr="00BC3FE1" w:rsidRDefault="002D6678" w:rsidP="004B1529">
            <w:pPr>
              <w:pStyle w:val="cuatexto"/>
              <w:jc w:val="right"/>
            </w:pPr>
            <w:r>
              <w:t>2.378</w:t>
            </w:r>
          </w:p>
        </w:tc>
      </w:tr>
      <w:tr w:rsidR="002D6678" w:rsidRPr="00C43957" w:rsidTr="003724D2">
        <w:trPr>
          <w:trHeight w:val="284"/>
          <w:jc w:val="center"/>
        </w:trPr>
        <w:tc>
          <w:tcPr>
            <w:tcW w:w="3308" w:type="dxa"/>
            <w:tcBorders>
              <w:top w:val="single" w:sz="4" w:space="0" w:color="auto"/>
              <w:bottom w:val="single" w:sz="4" w:space="0" w:color="auto"/>
            </w:tcBorders>
            <w:shd w:val="clear" w:color="auto" w:fill="FABF8F" w:themeFill="accent6" w:themeFillTint="99"/>
            <w:vAlign w:val="center"/>
          </w:tcPr>
          <w:p w:rsidR="002D6678" w:rsidRPr="00C43957" w:rsidRDefault="002D6678" w:rsidP="004B1529">
            <w:pPr>
              <w:pStyle w:val="cuadroCabe"/>
              <w:rPr>
                <w:lang w:val="es-ES" w:eastAsia="es-ES"/>
              </w:rPr>
            </w:pPr>
            <w:r>
              <w:rPr>
                <w:lang w:val="es-ES" w:eastAsia="es-ES"/>
              </w:rPr>
              <w:t xml:space="preserve">Total </w:t>
            </w:r>
          </w:p>
        </w:tc>
        <w:tc>
          <w:tcPr>
            <w:tcW w:w="1872" w:type="dxa"/>
            <w:tcBorders>
              <w:top w:val="single" w:sz="4" w:space="0" w:color="auto"/>
              <w:bottom w:val="single" w:sz="4" w:space="0" w:color="auto"/>
            </w:tcBorders>
            <w:shd w:val="clear" w:color="auto" w:fill="FABF8F" w:themeFill="accent6" w:themeFillTint="99"/>
            <w:vAlign w:val="center"/>
          </w:tcPr>
          <w:p w:rsidR="002D6678" w:rsidRPr="00C43957" w:rsidRDefault="002D6678" w:rsidP="004B1529">
            <w:pPr>
              <w:pStyle w:val="cuadroCabe"/>
              <w:jc w:val="right"/>
              <w:rPr>
                <w:lang w:val="es-ES" w:eastAsia="es-ES"/>
              </w:rPr>
            </w:pPr>
            <w:r>
              <w:rPr>
                <w:lang w:val="es-ES" w:eastAsia="es-ES"/>
              </w:rPr>
              <w:t>92.188</w:t>
            </w:r>
          </w:p>
        </w:tc>
        <w:tc>
          <w:tcPr>
            <w:tcW w:w="2046" w:type="dxa"/>
            <w:tcBorders>
              <w:top w:val="single" w:sz="4" w:space="0" w:color="auto"/>
              <w:bottom w:val="single" w:sz="4" w:space="0" w:color="auto"/>
            </w:tcBorders>
            <w:shd w:val="clear" w:color="auto" w:fill="FABF8F" w:themeFill="accent6" w:themeFillTint="99"/>
            <w:vAlign w:val="center"/>
          </w:tcPr>
          <w:p w:rsidR="002D6678" w:rsidRPr="00C43957" w:rsidRDefault="002D6678" w:rsidP="004B1529">
            <w:pPr>
              <w:pStyle w:val="cuadroCabe"/>
              <w:jc w:val="right"/>
              <w:rPr>
                <w:lang w:val="es-ES" w:eastAsia="es-ES"/>
              </w:rPr>
            </w:pPr>
          </w:p>
        </w:tc>
        <w:tc>
          <w:tcPr>
            <w:tcW w:w="1551" w:type="dxa"/>
            <w:tcBorders>
              <w:top w:val="single" w:sz="4" w:space="0" w:color="auto"/>
              <w:bottom w:val="single" w:sz="4" w:space="0" w:color="auto"/>
            </w:tcBorders>
            <w:shd w:val="clear" w:color="auto" w:fill="FABF8F" w:themeFill="accent6" w:themeFillTint="99"/>
            <w:vAlign w:val="center"/>
          </w:tcPr>
          <w:p w:rsidR="002D6678" w:rsidRDefault="002D6678" w:rsidP="004B1529">
            <w:pPr>
              <w:pStyle w:val="cuadroCabe"/>
              <w:jc w:val="right"/>
              <w:rPr>
                <w:lang w:val="es-ES" w:eastAsia="es-ES"/>
              </w:rPr>
            </w:pPr>
            <w:r>
              <w:rPr>
                <w:lang w:val="es-ES" w:eastAsia="es-ES"/>
              </w:rPr>
              <w:t>2.604</w:t>
            </w:r>
          </w:p>
        </w:tc>
      </w:tr>
    </w:tbl>
    <w:p w:rsidR="004B1529" w:rsidRDefault="004B1529" w:rsidP="003724D2">
      <w:pPr>
        <w:pStyle w:val="texto"/>
        <w:tabs>
          <w:tab w:val="clear" w:pos="2835"/>
          <w:tab w:val="clear" w:pos="3969"/>
          <w:tab w:val="clear" w:pos="5103"/>
          <w:tab w:val="clear" w:pos="6237"/>
          <w:tab w:val="clear" w:pos="7371"/>
          <w:tab w:val="left" w:pos="480"/>
          <w:tab w:val="num" w:pos="720"/>
          <w:tab w:val="num" w:pos="928"/>
          <w:tab w:val="num" w:pos="6597"/>
        </w:tabs>
        <w:spacing w:after="0"/>
      </w:pPr>
    </w:p>
    <w:p w:rsidR="00716335" w:rsidRDefault="004B1529" w:rsidP="00716335">
      <w:pPr>
        <w:pStyle w:val="texto"/>
        <w:tabs>
          <w:tab w:val="clear" w:pos="2835"/>
          <w:tab w:val="clear" w:pos="3969"/>
          <w:tab w:val="clear" w:pos="5103"/>
          <w:tab w:val="clear" w:pos="6237"/>
          <w:tab w:val="clear" w:pos="7371"/>
          <w:tab w:val="left" w:pos="480"/>
          <w:tab w:val="num" w:pos="720"/>
          <w:tab w:val="num" w:pos="928"/>
          <w:tab w:val="num" w:pos="6597"/>
        </w:tabs>
      </w:pPr>
      <w:r>
        <w:t>Llama la atención la diferenciación de tipos aplicados en</w:t>
      </w:r>
      <w:r w:rsidR="002D6678">
        <w:t xml:space="preserve"> el coste de </w:t>
      </w:r>
      <w:r>
        <w:t>los dos avales.</w:t>
      </w:r>
      <w:r w:rsidR="000C6FAB">
        <w:t xml:space="preserve"> Si aplicáramos el 0,25 en los dos contratos, se lograría un ahorro anual </w:t>
      </w:r>
      <w:r w:rsidR="00C44472">
        <w:t xml:space="preserve">para la mancomunidad </w:t>
      </w:r>
      <w:r w:rsidR="000C6FAB">
        <w:t>de 1.800 euros.</w:t>
      </w:r>
    </w:p>
    <w:p w:rsidR="00091399" w:rsidRPr="00E8662C" w:rsidRDefault="000C6FAB" w:rsidP="00A270D4">
      <w:pPr>
        <w:pStyle w:val="texto"/>
        <w:tabs>
          <w:tab w:val="clear" w:pos="2835"/>
          <w:tab w:val="clear" w:pos="3969"/>
          <w:tab w:val="clear" w:pos="5103"/>
          <w:tab w:val="clear" w:pos="6237"/>
          <w:tab w:val="clear" w:pos="7371"/>
          <w:tab w:val="left" w:pos="480"/>
          <w:tab w:val="num" w:pos="720"/>
          <w:tab w:val="num" w:pos="928"/>
          <w:tab w:val="num" w:pos="6597"/>
        </w:tabs>
        <w:rPr>
          <w:i/>
        </w:rPr>
      </w:pPr>
      <w:r w:rsidRPr="000C6FAB">
        <w:rPr>
          <w:i/>
        </w:rPr>
        <w:t>Recomendamos analizar los tipos de los avales citados, solicitando</w:t>
      </w:r>
      <w:r>
        <w:rPr>
          <w:i/>
        </w:rPr>
        <w:t>,</w:t>
      </w:r>
      <w:r w:rsidRPr="000C6FAB">
        <w:rPr>
          <w:i/>
        </w:rPr>
        <w:t xml:space="preserve"> en su caso, oferta</w:t>
      </w:r>
      <w:r w:rsidR="007E4FB6">
        <w:rPr>
          <w:i/>
        </w:rPr>
        <w:t>s a otras entidades financieras.</w:t>
      </w:r>
    </w:p>
    <w:p w:rsidR="00091399" w:rsidRPr="00E8662C" w:rsidRDefault="00091399" w:rsidP="00091399">
      <w:pPr>
        <w:pStyle w:val="atitulo2"/>
        <w:spacing w:before="240"/>
        <w:rPr>
          <w:color w:val="auto"/>
        </w:rPr>
      </w:pPr>
      <w:bookmarkStart w:id="40" w:name="_Toc475093101"/>
      <w:r w:rsidRPr="00E8662C">
        <w:rPr>
          <w:color w:val="auto"/>
        </w:rPr>
        <w:t xml:space="preserve">IV.9. </w:t>
      </w:r>
      <w:r w:rsidR="00E8662C" w:rsidRPr="00E8662C">
        <w:rPr>
          <w:color w:val="auto"/>
        </w:rPr>
        <w:t>Actuaciones</w:t>
      </w:r>
      <w:r w:rsidR="002F1D2F">
        <w:rPr>
          <w:color w:val="auto"/>
        </w:rPr>
        <w:t xml:space="preserve"> de inspección</w:t>
      </w:r>
      <w:r w:rsidR="00E8662C" w:rsidRPr="00E8662C">
        <w:rPr>
          <w:color w:val="auto"/>
        </w:rPr>
        <w:t xml:space="preserve"> del Gobierno de Navarra</w:t>
      </w:r>
      <w:bookmarkEnd w:id="40"/>
      <w:r w:rsidR="00E8662C" w:rsidRPr="00E8662C">
        <w:rPr>
          <w:color w:val="auto"/>
        </w:rPr>
        <w:t xml:space="preserve"> </w:t>
      </w:r>
    </w:p>
    <w:p w:rsidR="00E8662C" w:rsidRDefault="00E8662C" w:rsidP="00E8662C">
      <w:pPr>
        <w:pStyle w:val="texto"/>
        <w:tabs>
          <w:tab w:val="clear" w:pos="2835"/>
          <w:tab w:val="clear" w:pos="3969"/>
          <w:tab w:val="clear" w:pos="5103"/>
          <w:tab w:val="clear" w:pos="6237"/>
          <w:tab w:val="clear" w:pos="7371"/>
          <w:tab w:val="left" w:pos="480"/>
          <w:tab w:val="num" w:pos="720"/>
          <w:tab w:val="num" w:pos="928"/>
          <w:tab w:val="num" w:pos="6597"/>
        </w:tabs>
      </w:pPr>
      <w:r>
        <w:t>De acuerdo con las competencias de control de calidad y de inspección del Departamento de Derechos Sociales</w:t>
      </w:r>
      <w:r w:rsidR="009340EC">
        <w:t xml:space="preserve"> sobre los centros asistenciales,</w:t>
      </w:r>
      <w:r>
        <w:t xml:space="preserve"> entre los ejercicios de 2009 y 2016</w:t>
      </w:r>
      <w:r w:rsidR="00A270D4">
        <w:t xml:space="preserve"> el servicio correspondiente</w:t>
      </w:r>
      <w:r>
        <w:t xml:space="preserve"> ha realizado las siguie</w:t>
      </w:r>
      <w:r>
        <w:t>n</w:t>
      </w:r>
      <w:r>
        <w:t>tes actuaciones:</w:t>
      </w:r>
    </w:p>
    <w:p w:rsidR="00E44ABA" w:rsidRDefault="00E8662C" w:rsidP="00E44AB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 xml:space="preserve">Plan de </w:t>
      </w:r>
      <w:r w:rsidR="007541A8">
        <w:t>inspecciones ordinarias</w:t>
      </w:r>
      <w:r w:rsidR="007E4FB6">
        <w:t xml:space="preserve"> sobre </w:t>
      </w:r>
      <w:r>
        <w:t>los dos centros de la residencia. Se han efectuado inspecciones en los ejercicios de 2011 a 2014</w:t>
      </w:r>
      <w:r w:rsidR="00733B9F">
        <w:t xml:space="preserve"> y </w:t>
      </w:r>
      <w:r w:rsidR="00733B9F" w:rsidRPr="00FA72E9">
        <w:t>2016</w:t>
      </w:r>
      <w:r>
        <w:t>. Las co</w:t>
      </w:r>
      <w:r>
        <w:t>n</w:t>
      </w:r>
      <w:r>
        <w:t>clusiones de estas inspecciones se resumen básicamente en la falta de celebr</w:t>
      </w:r>
      <w:r>
        <w:t>a</w:t>
      </w:r>
      <w:r>
        <w:t xml:space="preserve">ción de reuniones del </w:t>
      </w:r>
      <w:r w:rsidR="009340EC">
        <w:t>c</w:t>
      </w:r>
      <w:r>
        <w:t xml:space="preserve">onsejo de </w:t>
      </w:r>
      <w:r w:rsidR="009340EC">
        <w:t>p</w:t>
      </w:r>
      <w:r>
        <w:t>articipación, escaso plan de formación para sus empleados, la falta de un sistema adecuado de quejas y sugerencias</w:t>
      </w:r>
      <w:r w:rsidR="00E44ABA">
        <w:t xml:space="preserve"> y la n</w:t>
      </w:r>
      <w:r w:rsidR="00E44ABA">
        <w:t>e</w:t>
      </w:r>
      <w:r w:rsidR="00E44ABA">
        <w:t>cesidad de elaborar</w:t>
      </w:r>
      <w:r w:rsidR="00E212EA">
        <w:t xml:space="preserve"> y aplicar los</w:t>
      </w:r>
      <w:r w:rsidR="00E44ABA">
        <w:t xml:space="preserve"> planes de atención individualizada para todos los usuarios.</w:t>
      </w:r>
    </w:p>
    <w:p w:rsidR="00E44ABA" w:rsidRPr="00AE2266" w:rsidRDefault="00E44ABA" w:rsidP="00E44AB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rPr>
      </w:pPr>
      <w:r w:rsidRPr="00AE2266">
        <w:rPr>
          <w:spacing w:val="4"/>
        </w:rPr>
        <w:t xml:space="preserve">Denuncias </w:t>
      </w:r>
      <w:r w:rsidR="00564A66" w:rsidRPr="00AE2266">
        <w:rPr>
          <w:spacing w:val="4"/>
        </w:rPr>
        <w:t xml:space="preserve">iniciadas a instancia de parte y </w:t>
      </w:r>
      <w:r w:rsidRPr="00AE2266">
        <w:rPr>
          <w:spacing w:val="4"/>
        </w:rPr>
        <w:t>presentadas</w:t>
      </w:r>
      <w:r w:rsidR="00A270D4" w:rsidRPr="00AE2266">
        <w:rPr>
          <w:spacing w:val="4"/>
        </w:rPr>
        <w:t xml:space="preserve"> ante el </w:t>
      </w:r>
      <w:r w:rsidR="00E93720" w:rsidRPr="00AE2266">
        <w:rPr>
          <w:spacing w:val="4"/>
        </w:rPr>
        <w:t>d</w:t>
      </w:r>
      <w:r w:rsidR="00A270D4" w:rsidRPr="00AE2266">
        <w:rPr>
          <w:spacing w:val="4"/>
        </w:rPr>
        <w:t>epartamento</w:t>
      </w:r>
      <w:r w:rsidRPr="00AE2266">
        <w:rPr>
          <w:spacing w:val="4"/>
        </w:rPr>
        <w:t>:</w:t>
      </w:r>
    </w:p>
    <w:p w:rsidR="00150B7A" w:rsidRPr="00C115DD" w:rsidRDefault="00397CB9" w:rsidP="00150B7A">
      <w:pPr>
        <w:pStyle w:val="texto"/>
        <w:tabs>
          <w:tab w:val="clear" w:pos="2835"/>
          <w:tab w:val="clear" w:pos="3969"/>
          <w:tab w:val="clear" w:pos="5103"/>
          <w:tab w:val="clear" w:pos="6237"/>
          <w:tab w:val="clear" w:pos="7371"/>
          <w:tab w:val="left" w:pos="480"/>
          <w:tab w:val="num" w:pos="720"/>
          <w:tab w:val="num" w:pos="928"/>
          <w:tab w:val="num" w:pos="6597"/>
        </w:tabs>
      </w:pPr>
      <w:r>
        <w:t>a)</w:t>
      </w:r>
      <w:r w:rsidR="00E44ABA">
        <w:t xml:space="preserve"> Residencia de tercera edad. Se han presentado en el periodo un total de 11 denuncias; de ellas, </w:t>
      </w:r>
      <w:r w:rsidR="00A270D4">
        <w:t>siete</w:t>
      </w:r>
      <w:r w:rsidR="00E44ABA">
        <w:t xml:space="preserve"> han acabado en archivo con requerimiento</w:t>
      </w:r>
      <w:r w:rsidR="009340EC">
        <w:t xml:space="preserve"> y/</w:t>
      </w:r>
      <w:r w:rsidR="00E44ABA">
        <w:t>o rec</w:t>
      </w:r>
      <w:r w:rsidR="00E44ABA">
        <w:t>o</w:t>
      </w:r>
      <w:r w:rsidR="00E44ABA">
        <w:t xml:space="preserve">mendaciones. </w:t>
      </w:r>
      <w:r w:rsidR="00E44ABA" w:rsidRPr="00417768">
        <w:t>Las cuatro restantes concluyeron con procedimientos sancionad</w:t>
      </w:r>
      <w:r w:rsidR="00E44ABA" w:rsidRPr="00417768">
        <w:t>o</w:t>
      </w:r>
      <w:r w:rsidR="00E44ABA" w:rsidRPr="00417768">
        <w:t>res</w:t>
      </w:r>
      <w:r w:rsidR="00EC7575">
        <w:t>,</w:t>
      </w:r>
      <w:r w:rsidR="00EC7575" w:rsidRPr="00EC7575">
        <w:rPr>
          <w:spacing w:val="4"/>
        </w:rPr>
        <w:t xml:space="preserve"> </w:t>
      </w:r>
      <w:r w:rsidR="00EC7575" w:rsidRPr="00646EE3">
        <w:rPr>
          <w:spacing w:val="4"/>
        </w:rPr>
        <w:t>en aplicación</w:t>
      </w:r>
      <w:r w:rsidR="006D5730" w:rsidRPr="00646EE3">
        <w:rPr>
          <w:spacing w:val="4"/>
        </w:rPr>
        <w:t xml:space="preserve"> estricta</w:t>
      </w:r>
      <w:r w:rsidR="00EC7575" w:rsidRPr="00646EE3">
        <w:rPr>
          <w:spacing w:val="4"/>
        </w:rPr>
        <w:t xml:space="preserve"> de la Ley Foral 15/2006, de 14 de diciembre, de serv</w:t>
      </w:r>
      <w:r w:rsidR="00EC7575" w:rsidRPr="00646EE3">
        <w:rPr>
          <w:spacing w:val="4"/>
        </w:rPr>
        <w:t>i</w:t>
      </w:r>
      <w:r w:rsidR="00EC7575" w:rsidRPr="00646EE3">
        <w:rPr>
          <w:spacing w:val="4"/>
        </w:rPr>
        <w:t>cios sociales,</w:t>
      </w:r>
      <w:r w:rsidR="00FA72E9" w:rsidRPr="00417768">
        <w:t xml:space="preserve"> e implicaron</w:t>
      </w:r>
      <w:r w:rsidR="00E93720">
        <w:t xml:space="preserve">, de acuerdo con la información del departamento, </w:t>
      </w:r>
      <w:r w:rsidR="005A54AC" w:rsidRPr="00417768">
        <w:t>unas sanciones</w:t>
      </w:r>
      <w:r w:rsidR="009C4781" w:rsidRPr="00417768">
        <w:t xml:space="preserve"> –incluidos recargos</w:t>
      </w:r>
      <w:r w:rsidR="00AE2266">
        <w:t>–</w:t>
      </w:r>
      <w:r w:rsidR="005A54AC" w:rsidRPr="00417768">
        <w:t xml:space="preserve"> </w:t>
      </w:r>
      <w:r w:rsidR="00274CF6" w:rsidRPr="00417768">
        <w:t>a la Mancomunidad</w:t>
      </w:r>
      <w:r w:rsidR="005A54AC" w:rsidRPr="00417768">
        <w:t xml:space="preserve"> de </w:t>
      </w:r>
      <w:r w:rsidR="00150B7A">
        <w:t>69.573</w:t>
      </w:r>
      <w:r w:rsidR="009C4781" w:rsidRPr="00BD6C3A">
        <w:rPr>
          <w:color w:val="FF0000"/>
        </w:rPr>
        <w:t xml:space="preserve"> </w:t>
      </w:r>
      <w:r w:rsidR="009C4781" w:rsidRPr="00150B7A">
        <w:t>euros</w:t>
      </w:r>
      <w:r w:rsidR="005A54AC" w:rsidRPr="00150B7A">
        <w:t xml:space="preserve">, </w:t>
      </w:r>
      <w:r w:rsidR="005A54AC" w:rsidRPr="00417768">
        <w:t>qu</w:t>
      </w:r>
      <w:r w:rsidR="005A54AC" w:rsidRPr="00417768">
        <w:t>e</w:t>
      </w:r>
      <w:r w:rsidR="005A54AC" w:rsidRPr="00417768">
        <w:t>dando pendiente de pago un total de</w:t>
      </w:r>
      <w:r w:rsidR="009C4781" w:rsidRPr="00417768">
        <w:t xml:space="preserve"> 43.552 eur</w:t>
      </w:r>
      <w:r w:rsidR="009C4781" w:rsidRPr="00C115DD">
        <w:t>os.</w:t>
      </w:r>
    </w:p>
    <w:p w:rsidR="006A2FB6" w:rsidRDefault="00B61185" w:rsidP="00783F3D">
      <w:pPr>
        <w:pStyle w:val="texto"/>
        <w:tabs>
          <w:tab w:val="clear" w:pos="2835"/>
          <w:tab w:val="clear" w:pos="3969"/>
          <w:tab w:val="clear" w:pos="5103"/>
          <w:tab w:val="clear" w:pos="6237"/>
          <w:tab w:val="clear" w:pos="7371"/>
          <w:tab w:val="left" w:pos="480"/>
          <w:tab w:val="num" w:pos="720"/>
          <w:tab w:val="num" w:pos="928"/>
          <w:tab w:val="num" w:pos="6597"/>
        </w:tabs>
        <w:spacing w:after="0"/>
      </w:pPr>
      <w:r>
        <w:t xml:space="preserve">b) Psicogeriátrico. Se han presentado tres denuncias. Dos de ellas, terminan  en su archivo; la tercera se constató un incumplimiento del concierto con ANAP derivado en que la residencia debe proveer </w:t>
      </w:r>
      <w:r w:rsidR="00397CB9">
        <w:t xml:space="preserve">gratuitamente </w:t>
      </w:r>
      <w:r>
        <w:t>los elementos de sujeción a los residentes.</w:t>
      </w:r>
    </w:p>
    <w:p w:rsidR="00783F3D" w:rsidRDefault="00783F3D" w:rsidP="00783F3D">
      <w:pPr>
        <w:pStyle w:val="texto"/>
        <w:tabs>
          <w:tab w:val="clear" w:pos="2835"/>
          <w:tab w:val="clear" w:pos="3969"/>
          <w:tab w:val="clear" w:pos="5103"/>
          <w:tab w:val="clear" w:pos="6237"/>
          <w:tab w:val="clear" w:pos="7371"/>
          <w:tab w:val="left" w:pos="480"/>
          <w:tab w:val="num" w:pos="720"/>
          <w:tab w:val="num" w:pos="928"/>
          <w:tab w:val="num" w:pos="6597"/>
        </w:tabs>
        <w:spacing w:after="0"/>
      </w:pPr>
    </w:p>
    <w:p w:rsidR="006A2FB6" w:rsidRPr="00E8662C" w:rsidRDefault="006A2FB6" w:rsidP="006A2FB6">
      <w:pPr>
        <w:pStyle w:val="atitulo2"/>
        <w:spacing w:before="240"/>
        <w:rPr>
          <w:color w:val="auto"/>
        </w:rPr>
      </w:pPr>
      <w:bookmarkStart w:id="41" w:name="_Toc475093102"/>
      <w:r w:rsidRPr="00E8662C">
        <w:rPr>
          <w:color w:val="auto"/>
        </w:rPr>
        <w:t>IV.</w:t>
      </w:r>
      <w:r>
        <w:rPr>
          <w:color w:val="auto"/>
        </w:rPr>
        <w:t>10</w:t>
      </w:r>
      <w:r w:rsidRPr="00E8662C">
        <w:rPr>
          <w:color w:val="auto"/>
        </w:rPr>
        <w:t xml:space="preserve">. </w:t>
      </w:r>
      <w:r w:rsidR="00BE4505">
        <w:rPr>
          <w:color w:val="auto"/>
        </w:rPr>
        <w:t xml:space="preserve">Indicadores </w:t>
      </w:r>
      <w:r w:rsidR="0065598E">
        <w:rPr>
          <w:color w:val="auto"/>
        </w:rPr>
        <w:t>de gestión</w:t>
      </w:r>
      <w:bookmarkEnd w:id="41"/>
      <w:r w:rsidRPr="00E8662C">
        <w:rPr>
          <w:color w:val="auto"/>
        </w:rPr>
        <w:t xml:space="preserve"> </w:t>
      </w:r>
    </w:p>
    <w:p w:rsidR="006A1EE4" w:rsidRDefault="006A1EE4" w:rsidP="006A1EE4">
      <w:pPr>
        <w:pStyle w:val="atitulo3"/>
      </w:pPr>
      <w:r>
        <w:t>IV.10.1. Gasto por plaza de dependiente de la tercera edad</w:t>
      </w:r>
    </w:p>
    <w:p w:rsidR="006B0EB5" w:rsidRDefault="006A1EE4" w:rsidP="00C115DD">
      <w:pPr>
        <w:pStyle w:val="texto"/>
        <w:tabs>
          <w:tab w:val="clear" w:pos="2835"/>
          <w:tab w:val="clear" w:pos="3969"/>
          <w:tab w:val="clear" w:pos="5103"/>
          <w:tab w:val="clear" w:pos="6237"/>
          <w:tab w:val="clear" w:pos="7371"/>
          <w:tab w:val="left" w:pos="480"/>
          <w:tab w:val="num" w:pos="720"/>
          <w:tab w:val="num" w:pos="928"/>
          <w:tab w:val="num" w:pos="6597"/>
        </w:tabs>
      </w:pPr>
      <w:r>
        <w:t>P</w:t>
      </w:r>
      <w:r w:rsidR="00D20556">
        <w:t>artiendo de la información presupuestaria</w:t>
      </w:r>
      <w:r>
        <w:t xml:space="preserve"> del ejercicio de 2015</w:t>
      </w:r>
      <w:r w:rsidR="006B0EB5">
        <w:t xml:space="preserve"> –sin incluir por tanto la amortización de las instalaciones</w:t>
      </w:r>
      <w:r w:rsidR="003724D2">
        <w:t>–</w:t>
      </w:r>
      <w:r w:rsidR="00D20556">
        <w:t xml:space="preserve">, hemos estimado el </w:t>
      </w:r>
      <w:r w:rsidR="006B0EB5">
        <w:t>gasto</w:t>
      </w:r>
      <w:r w:rsidR="00D20556">
        <w:t xml:space="preserve"> de la plaza de dependiente en la residencia de la tercera edad. Para ello, hemos efe</w:t>
      </w:r>
      <w:r w:rsidR="00D20556">
        <w:t>c</w:t>
      </w:r>
      <w:r w:rsidR="00D20556">
        <w:t xml:space="preserve">tuado una distribución del gasto presupuestario entre los centros de tercera edad y </w:t>
      </w:r>
      <w:r w:rsidR="00AE2266">
        <w:t>psicogeriátrico</w:t>
      </w:r>
      <w:r w:rsidR="00D20556">
        <w:t xml:space="preserve"> en función de diversos criterios (número de usuarios, número de empleados, facturación de servicios contratados,</w:t>
      </w:r>
      <w:r w:rsidR="006B0EB5">
        <w:t xml:space="preserve"> </w:t>
      </w:r>
      <w:r w:rsidR="00D20556">
        <w:t>etc.); de esta est</w:t>
      </w:r>
      <w:r w:rsidR="00D20556">
        <w:t>i</w:t>
      </w:r>
      <w:r w:rsidR="00D20556">
        <w:t>mación se ha obtenido que el gasto presupuestario del centro residencial a</w:t>
      </w:r>
      <w:r w:rsidR="00D20556">
        <w:t>s</w:t>
      </w:r>
      <w:r w:rsidR="00D20556">
        <w:t>ciende a 1,94 millones y del psicogeriátrico a 0,96 millones</w:t>
      </w:r>
      <w:r w:rsidR="006B0EB5">
        <w:t>.</w:t>
      </w:r>
    </w:p>
    <w:p w:rsidR="00D20556" w:rsidRDefault="00D20556" w:rsidP="00C115DD">
      <w:pPr>
        <w:pStyle w:val="texto"/>
        <w:tabs>
          <w:tab w:val="clear" w:pos="2835"/>
          <w:tab w:val="clear" w:pos="3969"/>
          <w:tab w:val="clear" w:pos="5103"/>
          <w:tab w:val="clear" w:pos="6237"/>
          <w:tab w:val="clear" w:pos="7371"/>
          <w:tab w:val="left" w:pos="480"/>
          <w:tab w:val="num" w:pos="720"/>
          <w:tab w:val="num" w:pos="928"/>
          <w:tab w:val="num" w:pos="6597"/>
        </w:tabs>
      </w:pPr>
      <w:r>
        <w:t>Centrándonos en la residencia de la tercera edad, se ha desglosado el importe anterior entre plaza de dependiente y plaza de válido, en función de diversas hipótesis: los gastos de personal, según las aplicadas por el Departamento de Derechos Sociales</w:t>
      </w:r>
      <w:r w:rsidR="003658AE">
        <w:t xml:space="preserve"> en el concierto</w:t>
      </w:r>
      <w:r w:rsidR="007E4FB6">
        <w:t xml:space="preserve"> y consensuadas con la residencia</w:t>
      </w:r>
      <w:r w:rsidR="003658AE">
        <w:t xml:space="preserve"> y el resto de gastos de acuerdo con el número medio de ocupación de las plazas de d</w:t>
      </w:r>
      <w:r w:rsidR="003658AE">
        <w:t>e</w:t>
      </w:r>
      <w:r w:rsidR="003658AE">
        <w:t>pendiente en el ejercicio.</w:t>
      </w:r>
    </w:p>
    <w:p w:rsidR="007B49FB" w:rsidRDefault="003658AE" w:rsidP="00C115DD">
      <w:pPr>
        <w:pStyle w:val="texto"/>
        <w:tabs>
          <w:tab w:val="clear" w:pos="2835"/>
          <w:tab w:val="clear" w:pos="3969"/>
          <w:tab w:val="clear" w:pos="5103"/>
          <w:tab w:val="clear" w:pos="6237"/>
          <w:tab w:val="clear" w:pos="7371"/>
          <w:tab w:val="left" w:pos="480"/>
          <w:tab w:val="num" w:pos="720"/>
          <w:tab w:val="num" w:pos="928"/>
          <w:tab w:val="num" w:pos="6597"/>
        </w:tabs>
      </w:pPr>
      <w:r>
        <w:t>De acuerdo con dichas estimaciones, el gasto por dependiente en 2015 ha a</w:t>
      </w:r>
      <w:r>
        <w:t>s</w:t>
      </w:r>
      <w:r>
        <w:t xml:space="preserve">cendido a 1.934 euros/mes. </w:t>
      </w:r>
    </w:p>
    <w:p w:rsidR="00C115DD" w:rsidRDefault="00C115DD">
      <w:pPr>
        <w:spacing w:after="0"/>
        <w:ind w:firstLine="0"/>
        <w:jc w:val="left"/>
        <w:rPr>
          <w:spacing w:val="6"/>
          <w:sz w:val="26"/>
          <w:szCs w:val="24"/>
        </w:rPr>
      </w:pPr>
      <w:r>
        <w:br w:type="page"/>
      </w:r>
    </w:p>
    <w:p w:rsidR="003658AE" w:rsidRDefault="003658AE" w:rsidP="00C115DD">
      <w:pPr>
        <w:pStyle w:val="texto"/>
        <w:tabs>
          <w:tab w:val="clear" w:pos="2835"/>
          <w:tab w:val="clear" w:pos="3969"/>
          <w:tab w:val="clear" w:pos="5103"/>
          <w:tab w:val="clear" w:pos="6237"/>
          <w:tab w:val="clear" w:pos="7371"/>
          <w:tab w:val="left" w:pos="480"/>
          <w:tab w:val="num" w:pos="720"/>
          <w:tab w:val="num" w:pos="928"/>
          <w:tab w:val="num" w:pos="6597"/>
        </w:tabs>
        <w:spacing w:after="240"/>
      </w:pPr>
      <w:r>
        <w:t>En el cuadro siguiente comparamos tal gasto con la tarifa aprobada por la mancomunidad y con el módulo acordado con el Gobierno de Navarra:</w:t>
      </w:r>
    </w:p>
    <w:tbl>
      <w:tblPr>
        <w:tblW w:w="8834"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5282"/>
        <w:gridCol w:w="2199"/>
        <w:gridCol w:w="1353"/>
      </w:tblGrid>
      <w:tr w:rsidR="006B0EB5" w:rsidRPr="00C43957" w:rsidTr="007B49FB">
        <w:trPr>
          <w:trHeight w:val="284"/>
          <w:jc w:val="center"/>
        </w:trPr>
        <w:tc>
          <w:tcPr>
            <w:tcW w:w="5282" w:type="dxa"/>
            <w:tcBorders>
              <w:top w:val="single" w:sz="4" w:space="0" w:color="auto"/>
              <w:bottom w:val="single" w:sz="4" w:space="0" w:color="auto"/>
            </w:tcBorders>
            <w:shd w:val="clear" w:color="auto" w:fill="FABF8F" w:themeFill="accent6" w:themeFillTint="99"/>
            <w:vAlign w:val="center"/>
          </w:tcPr>
          <w:p w:rsidR="006B0EB5" w:rsidRPr="00C43957" w:rsidRDefault="006B0EB5" w:rsidP="006B0EB5">
            <w:pPr>
              <w:pStyle w:val="cuadroCabe"/>
              <w:rPr>
                <w:lang w:val="es-ES" w:eastAsia="es-ES"/>
              </w:rPr>
            </w:pPr>
            <w:r>
              <w:rPr>
                <w:lang w:val="es-ES" w:eastAsia="es-ES"/>
              </w:rPr>
              <w:t>Comparativa plaza dependiente</w:t>
            </w:r>
            <w:r w:rsidR="00BD0164">
              <w:rPr>
                <w:lang w:val="es-ES" w:eastAsia="es-ES"/>
              </w:rPr>
              <w:t xml:space="preserve"> tercera edad</w:t>
            </w:r>
          </w:p>
        </w:tc>
        <w:tc>
          <w:tcPr>
            <w:tcW w:w="2199" w:type="dxa"/>
            <w:tcBorders>
              <w:top w:val="single" w:sz="4" w:space="0" w:color="auto"/>
              <w:bottom w:val="single" w:sz="4" w:space="0" w:color="auto"/>
            </w:tcBorders>
            <w:shd w:val="clear" w:color="auto" w:fill="FABF8F" w:themeFill="accent6" w:themeFillTint="99"/>
            <w:vAlign w:val="center"/>
          </w:tcPr>
          <w:p w:rsidR="006B0EB5" w:rsidRDefault="006B0EB5" w:rsidP="003724D2">
            <w:pPr>
              <w:pStyle w:val="cuadroCabe"/>
              <w:jc w:val="right"/>
              <w:rPr>
                <w:lang w:val="es-ES" w:eastAsia="es-ES"/>
              </w:rPr>
            </w:pPr>
            <w:r>
              <w:rPr>
                <w:lang w:val="es-ES" w:eastAsia="es-ES"/>
              </w:rPr>
              <w:t>Importe mensual</w:t>
            </w:r>
          </w:p>
        </w:tc>
        <w:tc>
          <w:tcPr>
            <w:tcW w:w="1353" w:type="dxa"/>
            <w:tcBorders>
              <w:top w:val="single" w:sz="4" w:space="0" w:color="auto"/>
              <w:bottom w:val="single" w:sz="4" w:space="0" w:color="auto"/>
            </w:tcBorders>
            <w:shd w:val="clear" w:color="auto" w:fill="FABF8F" w:themeFill="accent6" w:themeFillTint="99"/>
            <w:vAlign w:val="center"/>
          </w:tcPr>
          <w:p w:rsidR="006B0EB5" w:rsidRDefault="006B0EB5" w:rsidP="003724D2">
            <w:pPr>
              <w:pStyle w:val="cuadroCabe"/>
              <w:jc w:val="right"/>
              <w:rPr>
                <w:lang w:val="es-ES" w:eastAsia="es-ES"/>
              </w:rPr>
            </w:pPr>
            <w:r>
              <w:rPr>
                <w:lang w:val="es-ES" w:eastAsia="es-ES"/>
              </w:rPr>
              <w:t>Índice</w:t>
            </w:r>
          </w:p>
        </w:tc>
      </w:tr>
      <w:tr w:rsidR="006B0EB5" w:rsidRPr="00C43957" w:rsidTr="007B49FB">
        <w:trPr>
          <w:trHeight w:val="284"/>
          <w:jc w:val="center"/>
        </w:trPr>
        <w:tc>
          <w:tcPr>
            <w:tcW w:w="5282" w:type="dxa"/>
            <w:tcBorders>
              <w:top w:val="single" w:sz="4" w:space="0" w:color="auto"/>
            </w:tcBorders>
            <w:shd w:val="clear" w:color="auto" w:fill="auto"/>
            <w:vAlign w:val="center"/>
          </w:tcPr>
          <w:p w:rsidR="006B0EB5" w:rsidRPr="00BC3FE1" w:rsidRDefault="006B0EB5" w:rsidP="003658AE">
            <w:pPr>
              <w:pStyle w:val="cuatexto"/>
            </w:pPr>
            <w:r>
              <w:t>Tarifa aprobada por la Mancomunidad</w:t>
            </w:r>
          </w:p>
        </w:tc>
        <w:tc>
          <w:tcPr>
            <w:tcW w:w="2199" w:type="dxa"/>
            <w:tcBorders>
              <w:top w:val="single" w:sz="4" w:space="0" w:color="auto"/>
            </w:tcBorders>
            <w:vAlign w:val="center"/>
          </w:tcPr>
          <w:p w:rsidR="006B0EB5" w:rsidRDefault="006B0EB5" w:rsidP="003724D2">
            <w:pPr>
              <w:pStyle w:val="cuatexto"/>
              <w:jc w:val="right"/>
            </w:pPr>
            <w:r>
              <w:t>1.860</w:t>
            </w:r>
          </w:p>
        </w:tc>
        <w:tc>
          <w:tcPr>
            <w:tcW w:w="1353" w:type="dxa"/>
            <w:tcBorders>
              <w:top w:val="single" w:sz="4" w:space="0" w:color="auto"/>
            </w:tcBorders>
            <w:vAlign w:val="center"/>
          </w:tcPr>
          <w:p w:rsidR="006B0EB5" w:rsidRDefault="006B0EB5" w:rsidP="003724D2">
            <w:pPr>
              <w:pStyle w:val="cuatexto"/>
              <w:jc w:val="right"/>
            </w:pPr>
            <w:r>
              <w:t>100</w:t>
            </w:r>
          </w:p>
        </w:tc>
      </w:tr>
      <w:tr w:rsidR="006B0EB5" w:rsidRPr="00C43957" w:rsidTr="007B49FB">
        <w:trPr>
          <w:trHeight w:val="284"/>
          <w:jc w:val="center"/>
        </w:trPr>
        <w:tc>
          <w:tcPr>
            <w:tcW w:w="5282" w:type="dxa"/>
            <w:tcBorders>
              <w:bottom w:val="single" w:sz="2" w:space="0" w:color="auto"/>
            </w:tcBorders>
            <w:shd w:val="clear" w:color="auto" w:fill="auto"/>
            <w:vAlign w:val="center"/>
          </w:tcPr>
          <w:p w:rsidR="006B0EB5" w:rsidRPr="00BC3FE1" w:rsidRDefault="006B0EB5" w:rsidP="003724D2">
            <w:pPr>
              <w:pStyle w:val="cuatexto"/>
            </w:pPr>
            <w:r>
              <w:t>M</w:t>
            </w:r>
            <w:r w:rsidR="003724D2">
              <w:t>ó</w:t>
            </w:r>
            <w:r>
              <w:t>dulo aplicado Gobierno de Navarra</w:t>
            </w:r>
          </w:p>
        </w:tc>
        <w:tc>
          <w:tcPr>
            <w:tcW w:w="2199" w:type="dxa"/>
            <w:tcBorders>
              <w:bottom w:val="single" w:sz="2" w:space="0" w:color="auto"/>
            </w:tcBorders>
            <w:vAlign w:val="center"/>
          </w:tcPr>
          <w:p w:rsidR="006B0EB5" w:rsidRDefault="006B0EB5" w:rsidP="003724D2">
            <w:pPr>
              <w:pStyle w:val="cuatexto"/>
              <w:jc w:val="right"/>
            </w:pPr>
            <w:r>
              <w:t>1.894</w:t>
            </w:r>
          </w:p>
        </w:tc>
        <w:tc>
          <w:tcPr>
            <w:tcW w:w="1353" w:type="dxa"/>
            <w:tcBorders>
              <w:bottom w:val="single" w:sz="2" w:space="0" w:color="auto"/>
            </w:tcBorders>
            <w:vAlign w:val="center"/>
          </w:tcPr>
          <w:p w:rsidR="006B0EB5" w:rsidRDefault="006B0EB5" w:rsidP="003724D2">
            <w:pPr>
              <w:pStyle w:val="cuatexto"/>
              <w:jc w:val="right"/>
            </w:pPr>
            <w:r>
              <w:t>102</w:t>
            </w:r>
          </w:p>
        </w:tc>
      </w:tr>
      <w:tr w:rsidR="006B0EB5" w:rsidRPr="00C43957" w:rsidTr="007B49FB">
        <w:trPr>
          <w:trHeight w:val="284"/>
          <w:jc w:val="center"/>
        </w:trPr>
        <w:tc>
          <w:tcPr>
            <w:tcW w:w="5282" w:type="dxa"/>
            <w:tcBorders>
              <w:bottom w:val="single" w:sz="4" w:space="0" w:color="auto"/>
            </w:tcBorders>
            <w:shd w:val="clear" w:color="auto" w:fill="auto"/>
            <w:vAlign w:val="center"/>
          </w:tcPr>
          <w:p w:rsidR="006B0EB5" w:rsidRDefault="006B0EB5" w:rsidP="006B0EB5">
            <w:pPr>
              <w:pStyle w:val="cuatexto"/>
            </w:pPr>
            <w:r>
              <w:t>Gasto estimado por la Cámara de Comptos</w:t>
            </w:r>
          </w:p>
        </w:tc>
        <w:tc>
          <w:tcPr>
            <w:tcW w:w="2199" w:type="dxa"/>
            <w:tcBorders>
              <w:bottom w:val="single" w:sz="4" w:space="0" w:color="auto"/>
            </w:tcBorders>
            <w:vAlign w:val="center"/>
          </w:tcPr>
          <w:p w:rsidR="006B0EB5" w:rsidRDefault="006B0EB5" w:rsidP="003724D2">
            <w:pPr>
              <w:pStyle w:val="cuatexto"/>
              <w:jc w:val="right"/>
            </w:pPr>
            <w:r>
              <w:t>1.934</w:t>
            </w:r>
          </w:p>
        </w:tc>
        <w:tc>
          <w:tcPr>
            <w:tcW w:w="1353" w:type="dxa"/>
            <w:tcBorders>
              <w:bottom w:val="single" w:sz="4" w:space="0" w:color="auto"/>
            </w:tcBorders>
            <w:vAlign w:val="center"/>
          </w:tcPr>
          <w:p w:rsidR="006B0EB5" w:rsidRDefault="006A1EE4" w:rsidP="003724D2">
            <w:pPr>
              <w:pStyle w:val="cuatexto"/>
              <w:jc w:val="right"/>
            </w:pPr>
            <w:r>
              <w:t>104</w:t>
            </w:r>
          </w:p>
        </w:tc>
      </w:tr>
    </w:tbl>
    <w:p w:rsidR="006A1EE4" w:rsidRDefault="006B0EB5" w:rsidP="007B49FB">
      <w:pPr>
        <w:pStyle w:val="texto"/>
        <w:tabs>
          <w:tab w:val="clear" w:pos="2835"/>
          <w:tab w:val="clear" w:pos="3969"/>
          <w:tab w:val="clear" w:pos="5103"/>
          <w:tab w:val="clear" w:pos="6237"/>
          <w:tab w:val="clear" w:pos="7371"/>
          <w:tab w:val="left" w:pos="480"/>
          <w:tab w:val="num" w:pos="720"/>
          <w:tab w:val="num" w:pos="928"/>
          <w:tab w:val="num" w:pos="6597"/>
        </w:tabs>
        <w:spacing w:before="120"/>
      </w:pPr>
      <w:r>
        <w:t>Como puede observarse</w:t>
      </w:r>
      <w:r w:rsidR="006A1EE4">
        <w:t>, el gasto estimado por esta Cámara es un cuatro por ciento superior a la tarifa aprobada por la mancomunidad y un dos por ciento superior al módulo aplicado por el Gobierno de Navarra.</w:t>
      </w:r>
    </w:p>
    <w:p w:rsidR="003658AE" w:rsidRDefault="006A1EE4" w:rsidP="003724D2">
      <w:pPr>
        <w:pStyle w:val="texto"/>
        <w:tabs>
          <w:tab w:val="clear" w:pos="2835"/>
          <w:tab w:val="clear" w:pos="3969"/>
          <w:tab w:val="clear" w:pos="5103"/>
          <w:tab w:val="clear" w:pos="6237"/>
          <w:tab w:val="clear" w:pos="7371"/>
          <w:tab w:val="left" w:pos="480"/>
          <w:tab w:val="num" w:pos="720"/>
          <w:tab w:val="num" w:pos="928"/>
          <w:tab w:val="num" w:pos="6597"/>
        </w:tabs>
        <w:spacing w:after="240"/>
      </w:pPr>
      <w:r>
        <w:t>Si comparamos el gasto total de dependientes con los ingresos que genera</w:t>
      </w:r>
      <w:r w:rsidR="0018523B">
        <w:t>n</w:t>
      </w:r>
      <w:r>
        <w:t xml:space="preserve"> los mismos en 2015, observamos:</w:t>
      </w:r>
    </w:p>
    <w:tbl>
      <w:tblPr>
        <w:tblW w:w="8803" w:type="dxa"/>
        <w:jc w:val="center"/>
        <w:tblCellMar>
          <w:left w:w="70" w:type="dxa"/>
          <w:right w:w="70" w:type="dxa"/>
        </w:tblCellMar>
        <w:tblLook w:val="04A0" w:firstRow="1" w:lastRow="0" w:firstColumn="1" w:lastColumn="0" w:noHBand="0" w:noVBand="1"/>
      </w:tblPr>
      <w:tblGrid>
        <w:gridCol w:w="6476"/>
        <w:gridCol w:w="2327"/>
      </w:tblGrid>
      <w:tr w:rsidR="006A1EE4" w:rsidRPr="00C43957" w:rsidTr="003724D2">
        <w:trPr>
          <w:trHeight w:val="284"/>
          <w:jc w:val="center"/>
        </w:trPr>
        <w:tc>
          <w:tcPr>
            <w:tcW w:w="6476" w:type="dxa"/>
            <w:tcBorders>
              <w:top w:val="single" w:sz="4" w:space="0" w:color="auto"/>
              <w:bottom w:val="single" w:sz="4" w:space="0" w:color="auto"/>
            </w:tcBorders>
            <w:shd w:val="clear" w:color="auto" w:fill="FABF8F" w:themeFill="accent6" w:themeFillTint="99"/>
            <w:vAlign w:val="center"/>
          </w:tcPr>
          <w:p w:rsidR="006A1EE4" w:rsidRPr="00C43957" w:rsidRDefault="006A1EE4" w:rsidP="00A0726A">
            <w:pPr>
              <w:pStyle w:val="cuadroCabe"/>
              <w:rPr>
                <w:lang w:val="es-ES" w:eastAsia="es-ES"/>
              </w:rPr>
            </w:pPr>
            <w:r>
              <w:rPr>
                <w:lang w:val="es-ES" w:eastAsia="es-ES"/>
              </w:rPr>
              <w:t>Plaza de dependientes</w:t>
            </w:r>
          </w:p>
        </w:tc>
        <w:tc>
          <w:tcPr>
            <w:tcW w:w="2327" w:type="dxa"/>
            <w:tcBorders>
              <w:top w:val="single" w:sz="4" w:space="0" w:color="auto"/>
              <w:bottom w:val="single" w:sz="4" w:space="0" w:color="auto"/>
            </w:tcBorders>
            <w:shd w:val="clear" w:color="auto" w:fill="FABF8F" w:themeFill="accent6" w:themeFillTint="99"/>
            <w:vAlign w:val="center"/>
          </w:tcPr>
          <w:p w:rsidR="006A1EE4" w:rsidRDefault="006A1EE4" w:rsidP="00A0726A">
            <w:pPr>
              <w:pStyle w:val="cuadroCabe"/>
              <w:jc w:val="right"/>
              <w:rPr>
                <w:lang w:val="es-ES" w:eastAsia="es-ES"/>
              </w:rPr>
            </w:pPr>
            <w:r>
              <w:rPr>
                <w:lang w:val="es-ES" w:eastAsia="es-ES"/>
              </w:rPr>
              <w:t>Importe</w:t>
            </w:r>
          </w:p>
        </w:tc>
      </w:tr>
      <w:tr w:rsidR="006A1EE4" w:rsidRPr="00C43957" w:rsidTr="003724D2">
        <w:trPr>
          <w:trHeight w:val="284"/>
          <w:jc w:val="center"/>
        </w:trPr>
        <w:tc>
          <w:tcPr>
            <w:tcW w:w="6476" w:type="dxa"/>
            <w:tcBorders>
              <w:top w:val="single" w:sz="4" w:space="0" w:color="auto"/>
              <w:bottom w:val="single" w:sz="2" w:space="0" w:color="auto"/>
            </w:tcBorders>
            <w:shd w:val="clear" w:color="auto" w:fill="auto"/>
            <w:vAlign w:val="center"/>
          </w:tcPr>
          <w:p w:rsidR="006A1EE4" w:rsidRPr="00BC3FE1" w:rsidRDefault="006A1EE4" w:rsidP="00A0726A">
            <w:pPr>
              <w:pStyle w:val="cuatexto"/>
            </w:pPr>
            <w:r>
              <w:t>Gasto total</w:t>
            </w:r>
          </w:p>
        </w:tc>
        <w:tc>
          <w:tcPr>
            <w:tcW w:w="2327" w:type="dxa"/>
            <w:tcBorders>
              <w:top w:val="single" w:sz="4" w:space="0" w:color="auto"/>
              <w:bottom w:val="single" w:sz="2" w:space="0" w:color="auto"/>
            </w:tcBorders>
            <w:vAlign w:val="center"/>
          </w:tcPr>
          <w:p w:rsidR="006A1EE4" w:rsidRDefault="006A1EE4" w:rsidP="00A0726A">
            <w:pPr>
              <w:pStyle w:val="cuatexto"/>
              <w:jc w:val="right"/>
            </w:pPr>
            <w:r>
              <w:t>1.647.826</w:t>
            </w:r>
          </w:p>
        </w:tc>
      </w:tr>
      <w:tr w:rsidR="006A1EE4" w:rsidRPr="00C43957" w:rsidTr="003724D2">
        <w:trPr>
          <w:trHeight w:val="284"/>
          <w:jc w:val="center"/>
        </w:trPr>
        <w:tc>
          <w:tcPr>
            <w:tcW w:w="6476" w:type="dxa"/>
            <w:tcBorders>
              <w:top w:val="single" w:sz="4" w:space="0" w:color="auto"/>
              <w:bottom w:val="single" w:sz="2" w:space="0" w:color="auto"/>
            </w:tcBorders>
            <w:shd w:val="clear" w:color="auto" w:fill="auto"/>
            <w:vAlign w:val="center"/>
          </w:tcPr>
          <w:p w:rsidR="006A1EE4" w:rsidRPr="00BC3FE1" w:rsidRDefault="006A1EE4" w:rsidP="00A0726A">
            <w:pPr>
              <w:pStyle w:val="cuatexto"/>
            </w:pPr>
            <w:r>
              <w:t>Ingreso total</w:t>
            </w:r>
          </w:p>
        </w:tc>
        <w:tc>
          <w:tcPr>
            <w:tcW w:w="2327" w:type="dxa"/>
            <w:tcBorders>
              <w:top w:val="single" w:sz="4" w:space="0" w:color="auto"/>
              <w:bottom w:val="single" w:sz="2" w:space="0" w:color="auto"/>
            </w:tcBorders>
            <w:vAlign w:val="center"/>
          </w:tcPr>
          <w:p w:rsidR="006A1EE4" w:rsidRDefault="006A1EE4" w:rsidP="00A0726A">
            <w:pPr>
              <w:pStyle w:val="cuatexto"/>
              <w:jc w:val="right"/>
            </w:pPr>
            <w:r>
              <w:t>1.517.867</w:t>
            </w:r>
          </w:p>
        </w:tc>
      </w:tr>
      <w:tr w:rsidR="006A1EE4" w:rsidRPr="00C43957" w:rsidTr="003724D2">
        <w:trPr>
          <w:trHeight w:val="284"/>
          <w:jc w:val="center"/>
        </w:trPr>
        <w:tc>
          <w:tcPr>
            <w:tcW w:w="6476" w:type="dxa"/>
            <w:tcBorders>
              <w:top w:val="single" w:sz="4" w:space="0" w:color="auto"/>
              <w:bottom w:val="single" w:sz="4" w:space="0" w:color="auto"/>
            </w:tcBorders>
            <w:shd w:val="clear" w:color="auto" w:fill="FABF8F" w:themeFill="accent6" w:themeFillTint="99"/>
            <w:vAlign w:val="center"/>
          </w:tcPr>
          <w:p w:rsidR="006A1EE4" w:rsidRPr="00C43957" w:rsidRDefault="006A1EE4" w:rsidP="00A0726A">
            <w:pPr>
              <w:pStyle w:val="cuadroCabe"/>
              <w:rPr>
                <w:lang w:val="es-ES" w:eastAsia="es-ES"/>
              </w:rPr>
            </w:pPr>
            <w:r>
              <w:rPr>
                <w:lang w:val="es-ES" w:eastAsia="es-ES"/>
              </w:rPr>
              <w:t>Déficit generado 2015</w:t>
            </w:r>
          </w:p>
        </w:tc>
        <w:tc>
          <w:tcPr>
            <w:tcW w:w="2327" w:type="dxa"/>
            <w:tcBorders>
              <w:top w:val="single" w:sz="4" w:space="0" w:color="auto"/>
              <w:bottom w:val="single" w:sz="4" w:space="0" w:color="auto"/>
            </w:tcBorders>
            <w:shd w:val="clear" w:color="auto" w:fill="FABF8F" w:themeFill="accent6" w:themeFillTint="99"/>
            <w:vAlign w:val="center"/>
          </w:tcPr>
          <w:p w:rsidR="006A1EE4" w:rsidRPr="00C43957" w:rsidRDefault="006A1EE4" w:rsidP="00A0726A">
            <w:pPr>
              <w:pStyle w:val="cuadroCabe"/>
              <w:jc w:val="right"/>
              <w:rPr>
                <w:lang w:val="es-ES" w:eastAsia="es-ES"/>
              </w:rPr>
            </w:pPr>
            <w:r>
              <w:rPr>
                <w:lang w:val="es-ES" w:eastAsia="es-ES"/>
              </w:rPr>
              <w:t>-129.959</w:t>
            </w:r>
          </w:p>
        </w:tc>
      </w:tr>
    </w:tbl>
    <w:p w:rsidR="00AE2266" w:rsidRDefault="00AE2266" w:rsidP="0070633B">
      <w:pPr>
        <w:pStyle w:val="texto"/>
        <w:tabs>
          <w:tab w:val="clear" w:pos="2835"/>
          <w:tab w:val="clear" w:pos="3969"/>
          <w:tab w:val="clear" w:pos="5103"/>
          <w:tab w:val="clear" w:pos="6237"/>
          <w:tab w:val="clear" w:pos="7371"/>
          <w:tab w:val="left" w:pos="480"/>
          <w:tab w:val="num" w:pos="720"/>
          <w:tab w:val="num" w:pos="928"/>
          <w:tab w:val="num" w:pos="6597"/>
        </w:tabs>
        <w:spacing w:after="0"/>
      </w:pPr>
    </w:p>
    <w:p w:rsidR="00BD0164" w:rsidRPr="00646EE3" w:rsidRDefault="006A1EE4" w:rsidP="0070633B">
      <w:pPr>
        <w:pStyle w:val="texto"/>
        <w:tabs>
          <w:tab w:val="clear" w:pos="2835"/>
          <w:tab w:val="clear" w:pos="3969"/>
          <w:tab w:val="clear" w:pos="5103"/>
          <w:tab w:val="clear" w:pos="6237"/>
          <w:tab w:val="clear" w:pos="7371"/>
          <w:tab w:val="left" w:pos="480"/>
          <w:tab w:val="num" w:pos="720"/>
          <w:tab w:val="num" w:pos="928"/>
          <w:tab w:val="num" w:pos="6597"/>
        </w:tabs>
        <w:spacing w:after="0"/>
      </w:pPr>
      <w:r w:rsidRPr="00646EE3">
        <w:t>En conclusión</w:t>
      </w:r>
      <w:r w:rsidR="00DA1C95" w:rsidRPr="00646EE3">
        <w:t xml:space="preserve"> y</w:t>
      </w:r>
      <w:r w:rsidRPr="00646EE3">
        <w:t xml:space="preserve"> </w:t>
      </w:r>
      <w:r w:rsidR="00124943" w:rsidRPr="00646EE3">
        <w:t>teniendo en cuenta el nivel</w:t>
      </w:r>
      <w:r w:rsidR="00DA1C95" w:rsidRPr="00646EE3">
        <w:t xml:space="preserve"> real</w:t>
      </w:r>
      <w:r w:rsidR="00124943" w:rsidRPr="00646EE3">
        <w:t xml:space="preserve"> de ocupación</w:t>
      </w:r>
      <w:r w:rsidR="00DA1C95" w:rsidRPr="00646EE3">
        <w:t xml:space="preserve"> de la reside</w:t>
      </w:r>
      <w:r w:rsidR="00DA1C95" w:rsidRPr="00646EE3">
        <w:t>n</w:t>
      </w:r>
      <w:r w:rsidR="00DA1C95" w:rsidRPr="00646EE3">
        <w:t>cia</w:t>
      </w:r>
      <w:r w:rsidR="00767432" w:rsidRPr="00646EE3">
        <w:t xml:space="preserve"> -93 por ciento de ocupación-</w:t>
      </w:r>
      <w:r w:rsidR="00124943" w:rsidRPr="00646EE3">
        <w:t xml:space="preserve">, </w:t>
      </w:r>
      <w:r w:rsidRPr="00646EE3">
        <w:t>las plazas de de</w:t>
      </w:r>
      <w:r w:rsidR="00554CF0" w:rsidRPr="00646EE3">
        <w:t xml:space="preserve">pendiente de la tercera edad han </w:t>
      </w:r>
      <w:r w:rsidRPr="00646EE3">
        <w:t>generado</w:t>
      </w:r>
      <w:r w:rsidR="00CF2208" w:rsidRPr="00646EE3">
        <w:t xml:space="preserve"> en 2015</w:t>
      </w:r>
      <w:r w:rsidRPr="00646EE3">
        <w:t xml:space="preserve"> un déficit de prácticamente 130.000 euros, sin considerar  amortizaciones ni beneficio industrial. </w:t>
      </w:r>
      <w:r w:rsidR="00767432" w:rsidRPr="00646EE3">
        <w:t>Lógicamente, si el nivel de ocupación hubiera sido del 100 por cien, podría haberse logrado un equilibrio en la fina</w:t>
      </w:r>
      <w:r w:rsidR="00767432" w:rsidRPr="00646EE3">
        <w:t>n</w:t>
      </w:r>
      <w:r w:rsidR="00767432" w:rsidRPr="00646EE3">
        <w:t xml:space="preserve">ciación del servicio. </w:t>
      </w:r>
    </w:p>
    <w:p w:rsidR="0070633B" w:rsidRDefault="0070633B" w:rsidP="0070633B">
      <w:pPr>
        <w:pStyle w:val="texto"/>
        <w:tabs>
          <w:tab w:val="clear" w:pos="2835"/>
          <w:tab w:val="clear" w:pos="3969"/>
          <w:tab w:val="clear" w:pos="5103"/>
          <w:tab w:val="clear" w:pos="6237"/>
          <w:tab w:val="clear" w:pos="7371"/>
          <w:tab w:val="left" w:pos="480"/>
          <w:tab w:val="num" w:pos="720"/>
          <w:tab w:val="num" w:pos="928"/>
          <w:tab w:val="num" w:pos="6597"/>
        </w:tabs>
        <w:spacing w:after="0"/>
      </w:pPr>
    </w:p>
    <w:p w:rsidR="0070633B" w:rsidRDefault="00BD0164" w:rsidP="0070633B">
      <w:pPr>
        <w:pStyle w:val="atitulo3"/>
      </w:pPr>
      <w:r>
        <w:t>IV.10.2. Gasto por plaza de</w:t>
      </w:r>
      <w:r w:rsidR="00F0109F">
        <w:t>l</w:t>
      </w:r>
      <w:r>
        <w:t xml:space="preserve"> psicogeriátrico</w:t>
      </w:r>
    </w:p>
    <w:p w:rsidR="00DB393D" w:rsidRDefault="00BD0164" w:rsidP="007B49FB">
      <w:pPr>
        <w:pStyle w:val="texto"/>
        <w:tabs>
          <w:tab w:val="clear" w:pos="2835"/>
          <w:tab w:val="clear" w:pos="3969"/>
          <w:tab w:val="clear" w:pos="5103"/>
          <w:tab w:val="clear" w:pos="6237"/>
          <w:tab w:val="clear" w:pos="7371"/>
          <w:tab w:val="left" w:pos="480"/>
          <w:tab w:val="num" w:pos="720"/>
          <w:tab w:val="num" w:pos="928"/>
          <w:tab w:val="num" w:pos="6597"/>
        </w:tabs>
      </w:pPr>
      <w:r>
        <w:t>Siguiendo la misma metodología que en el epígrafe anterior, hemos calcul</w:t>
      </w:r>
      <w:r>
        <w:t>a</w:t>
      </w:r>
      <w:r>
        <w:t>do el gasto por plaza del centro psicogeriátrico.</w:t>
      </w:r>
    </w:p>
    <w:p w:rsidR="00822C0B" w:rsidRDefault="00BD0164" w:rsidP="007B49FB">
      <w:pPr>
        <w:pStyle w:val="texto"/>
        <w:tabs>
          <w:tab w:val="clear" w:pos="2835"/>
          <w:tab w:val="clear" w:pos="3969"/>
          <w:tab w:val="clear" w:pos="5103"/>
          <w:tab w:val="clear" w:pos="6237"/>
          <w:tab w:val="clear" w:pos="7371"/>
          <w:tab w:val="left" w:pos="480"/>
          <w:tab w:val="num" w:pos="720"/>
          <w:tab w:val="num" w:pos="928"/>
          <w:tab w:val="num" w:pos="6597"/>
        </w:tabs>
      </w:pPr>
      <w:r>
        <w:t>De acuerdo con nuestras estimaciones, el gasto por plaza en 2015 ha asce</w:t>
      </w:r>
      <w:r>
        <w:t>n</w:t>
      </w:r>
      <w:r>
        <w:t xml:space="preserve">dido a </w:t>
      </w:r>
      <w:r w:rsidR="0070633B">
        <w:t>2.659 euros</w:t>
      </w:r>
      <w:r>
        <w:t xml:space="preserve">/mes. </w:t>
      </w:r>
    </w:p>
    <w:p w:rsidR="00BD0164" w:rsidRDefault="00BD0164" w:rsidP="00C115DD">
      <w:pPr>
        <w:pStyle w:val="texto"/>
        <w:tabs>
          <w:tab w:val="clear" w:pos="2835"/>
          <w:tab w:val="clear" w:pos="3969"/>
          <w:tab w:val="clear" w:pos="5103"/>
          <w:tab w:val="clear" w:pos="6237"/>
          <w:tab w:val="clear" w:pos="7371"/>
          <w:tab w:val="left" w:pos="480"/>
          <w:tab w:val="num" w:pos="720"/>
          <w:tab w:val="num" w:pos="928"/>
          <w:tab w:val="num" w:pos="6597"/>
        </w:tabs>
        <w:spacing w:after="240"/>
      </w:pPr>
      <w:r>
        <w:t>En el cuadro siguiente comparamos tal gasto con el módulo acordado con el Gobierno de Navarra:</w:t>
      </w:r>
    </w:p>
    <w:tbl>
      <w:tblPr>
        <w:tblW w:w="8709" w:type="dxa"/>
        <w:jc w:val="center"/>
        <w:tblCellMar>
          <w:left w:w="70" w:type="dxa"/>
          <w:right w:w="70" w:type="dxa"/>
        </w:tblCellMar>
        <w:tblLook w:val="04A0" w:firstRow="1" w:lastRow="0" w:firstColumn="1" w:lastColumn="0" w:noHBand="0" w:noVBand="1"/>
      </w:tblPr>
      <w:tblGrid>
        <w:gridCol w:w="6510"/>
        <w:gridCol w:w="2199"/>
      </w:tblGrid>
      <w:tr w:rsidR="0043311E" w:rsidRPr="00C43957" w:rsidTr="003724D2">
        <w:trPr>
          <w:trHeight w:val="284"/>
          <w:jc w:val="center"/>
        </w:trPr>
        <w:tc>
          <w:tcPr>
            <w:tcW w:w="6510" w:type="dxa"/>
            <w:tcBorders>
              <w:top w:val="single" w:sz="4" w:space="0" w:color="auto"/>
              <w:bottom w:val="single" w:sz="4" w:space="0" w:color="auto"/>
            </w:tcBorders>
            <w:shd w:val="clear" w:color="auto" w:fill="FABF8F" w:themeFill="accent6" w:themeFillTint="99"/>
            <w:vAlign w:val="center"/>
          </w:tcPr>
          <w:p w:rsidR="0043311E" w:rsidRPr="00C43957" w:rsidRDefault="0043311E" w:rsidP="00BD0164">
            <w:pPr>
              <w:pStyle w:val="cuadroCabe"/>
              <w:rPr>
                <w:lang w:val="es-ES" w:eastAsia="es-ES"/>
              </w:rPr>
            </w:pPr>
            <w:r>
              <w:rPr>
                <w:lang w:val="es-ES" w:eastAsia="es-ES"/>
              </w:rPr>
              <w:t>Comparativa plaza psicogeriátrico</w:t>
            </w:r>
          </w:p>
        </w:tc>
        <w:tc>
          <w:tcPr>
            <w:tcW w:w="2199" w:type="dxa"/>
            <w:tcBorders>
              <w:top w:val="single" w:sz="4" w:space="0" w:color="auto"/>
              <w:bottom w:val="single" w:sz="4" w:space="0" w:color="auto"/>
            </w:tcBorders>
            <w:shd w:val="clear" w:color="auto" w:fill="FABF8F" w:themeFill="accent6" w:themeFillTint="99"/>
            <w:vAlign w:val="center"/>
          </w:tcPr>
          <w:p w:rsidR="0043311E" w:rsidRDefault="0043311E" w:rsidP="00BD0164">
            <w:pPr>
              <w:pStyle w:val="cuadroCabe"/>
              <w:jc w:val="right"/>
              <w:rPr>
                <w:lang w:val="es-ES" w:eastAsia="es-ES"/>
              </w:rPr>
            </w:pPr>
            <w:r>
              <w:rPr>
                <w:lang w:val="es-ES" w:eastAsia="es-ES"/>
              </w:rPr>
              <w:t xml:space="preserve">Importe mensual </w:t>
            </w:r>
          </w:p>
        </w:tc>
      </w:tr>
      <w:tr w:rsidR="0043311E" w:rsidRPr="00C43957" w:rsidTr="007F1F26">
        <w:trPr>
          <w:trHeight w:val="284"/>
          <w:jc w:val="center"/>
        </w:trPr>
        <w:tc>
          <w:tcPr>
            <w:tcW w:w="6510" w:type="dxa"/>
            <w:tcBorders>
              <w:top w:val="single" w:sz="4" w:space="0" w:color="auto"/>
              <w:bottom w:val="single" w:sz="2" w:space="0" w:color="auto"/>
            </w:tcBorders>
            <w:shd w:val="clear" w:color="auto" w:fill="auto"/>
            <w:vAlign w:val="center"/>
          </w:tcPr>
          <w:p w:rsidR="0043311E" w:rsidRPr="00BC3FE1" w:rsidRDefault="007F1F26" w:rsidP="00BD0164">
            <w:pPr>
              <w:pStyle w:val="cuatexto"/>
            </w:pPr>
            <w:r>
              <w:t>Mó</w:t>
            </w:r>
            <w:r w:rsidR="0043311E">
              <w:t>dulo aplicado Gobierno de Navarra</w:t>
            </w:r>
          </w:p>
        </w:tc>
        <w:tc>
          <w:tcPr>
            <w:tcW w:w="2199" w:type="dxa"/>
            <w:tcBorders>
              <w:top w:val="single" w:sz="4" w:space="0" w:color="auto"/>
              <w:bottom w:val="single" w:sz="2" w:space="0" w:color="auto"/>
            </w:tcBorders>
            <w:vAlign w:val="center"/>
          </w:tcPr>
          <w:p w:rsidR="0043311E" w:rsidRDefault="0043311E" w:rsidP="00BD0164">
            <w:pPr>
              <w:pStyle w:val="cuatexto"/>
              <w:jc w:val="right"/>
            </w:pPr>
            <w:r>
              <w:t>2.684</w:t>
            </w:r>
          </w:p>
        </w:tc>
      </w:tr>
      <w:tr w:rsidR="0043311E" w:rsidRPr="00C43957" w:rsidTr="007F1F26">
        <w:trPr>
          <w:trHeight w:val="284"/>
          <w:jc w:val="center"/>
        </w:trPr>
        <w:tc>
          <w:tcPr>
            <w:tcW w:w="6510" w:type="dxa"/>
            <w:tcBorders>
              <w:top w:val="single" w:sz="2" w:space="0" w:color="auto"/>
              <w:bottom w:val="single" w:sz="4" w:space="0" w:color="auto"/>
            </w:tcBorders>
            <w:shd w:val="clear" w:color="auto" w:fill="auto"/>
            <w:vAlign w:val="center"/>
          </w:tcPr>
          <w:p w:rsidR="0043311E" w:rsidRDefault="0043311E" w:rsidP="00BD0164">
            <w:pPr>
              <w:pStyle w:val="cuatexto"/>
            </w:pPr>
            <w:r>
              <w:t>Gasto estimado por la Cámara de Comptos</w:t>
            </w:r>
          </w:p>
        </w:tc>
        <w:tc>
          <w:tcPr>
            <w:tcW w:w="2199" w:type="dxa"/>
            <w:tcBorders>
              <w:top w:val="single" w:sz="2" w:space="0" w:color="auto"/>
              <w:bottom w:val="single" w:sz="4" w:space="0" w:color="auto"/>
            </w:tcBorders>
            <w:vAlign w:val="center"/>
          </w:tcPr>
          <w:p w:rsidR="0043311E" w:rsidRDefault="0043311E" w:rsidP="00BD0164">
            <w:pPr>
              <w:pStyle w:val="cuatexto"/>
              <w:jc w:val="right"/>
            </w:pPr>
            <w:r>
              <w:t>2.659</w:t>
            </w:r>
          </w:p>
        </w:tc>
      </w:tr>
    </w:tbl>
    <w:p w:rsidR="00EF7F37" w:rsidRDefault="00BD0164" w:rsidP="00C115DD">
      <w:pPr>
        <w:pStyle w:val="texto"/>
        <w:tabs>
          <w:tab w:val="clear" w:pos="2835"/>
          <w:tab w:val="clear" w:pos="3969"/>
          <w:tab w:val="clear" w:pos="5103"/>
          <w:tab w:val="clear" w:pos="6237"/>
          <w:tab w:val="clear" w:pos="7371"/>
          <w:tab w:val="left" w:pos="480"/>
          <w:tab w:val="num" w:pos="720"/>
          <w:tab w:val="num" w:pos="928"/>
          <w:tab w:val="num" w:pos="6597"/>
        </w:tabs>
        <w:spacing w:before="240"/>
      </w:pPr>
      <w:r w:rsidRPr="0043311E">
        <w:t xml:space="preserve">Como puede observarse, el gasto estimado por esta Cámara es un </w:t>
      </w:r>
      <w:r w:rsidR="0043311E" w:rsidRPr="0043311E">
        <w:t xml:space="preserve">uno </w:t>
      </w:r>
      <w:r w:rsidRPr="0043311E">
        <w:t xml:space="preserve">por ciento </w:t>
      </w:r>
      <w:r w:rsidR="0043311E" w:rsidRPr="0043311E">
        <w:t>inferior</w:t>
      </w:r>
      <w:r w:rsidRPr="0043311E">
        <w:t xml:space="preserve"> al módulo aplicado por el Gobierno de Navarra.</w:t>
      </w:r>
    </w:p>
    <w:p w:rsidR="00C115DD" w:rsidRDefault="00C115DD">
      <w:pPr>
        <w:spacing w:after="0"/>
        <w:ind w:firstLine="0"/>
        <w:jc w:val="left"/>
        <w:rPr>
          <w:spacing w:val="6"/>
          <w:sz w:val="26"/>
          <w:szCs w:val="24"/>
        </w:rPr>
      </w:pPr>
      <w:r>
        <w:br w:type="page"/>
      </w:r>
    </w:p>
    <w:p w:rsidR="00BD0164" w:rsidRDefault="00BD0164" w:rsidP="00722DD7">
      <w:pPr>
        <w:pStyle w:val="texto"/>
        <w:tabs>
          <w:tab w:val="clear" w:pos="2835"/>
          <w:tab w:val="clear" w:pos="3969"/>
          <w:tab w:val="clear" w:pos="5103"/>
          <w:tab w:val="clear" w:pos="6237"/>
          <w:tab w:val="clear" w:pos="7371"/>
          <w:tab w:val="left" w:pos="480"/>
          <w:tab w:val="num" w:pos="720"/>
          <w:tab w:val="num" w:pos="928"/>
          <w:tab w:val="num" w:pos="6597"/>
        </w:tabs>
        <w:spacing w:after="120"/>
      </w:pPr>
      <w:r>
        <w:t>Si comparamos el gasto total con los ingresos que genera el centro de psic</w:t>
      </w:r>
      <w:r>
        <w:t>o</w:t>
      </w:r>
      <w:r>
        <w:t>geriatría en 2015, observamos:</w:t>
      </w:r>
    </w:p>
    <w:tbl>
      <w:tblPr>
        <w:tblW w:w="8697" w:type="dxa"/>
        <w:jc w:val="center"/>
        <w:tblCellMar>
          <w:left w:w="70" w:type="dxa"/>
          <w:right w:w="70" w:type="dxa"/>
        </w:tblCellMar>
        <w:tblLook w:val="04A0" w:firstRow="1" w:lastRow="0" w:firstColumn="1" w:lastColumn="0" w:noHBand="0" w:noVBand="1"/>
      </w:tblPr>
      <w:tblGrid>
        <w:gridCol w:w="6356"/>
        <w:gridCol w:w="2341"/>
      </w:tblGrid>
      <w:tr w:rsidR="00BD0164" w:rsidRPr="00C43957" w:rsidTr="00C115DD">
        <w:trPr>
          <w:trHeight w:val="227"/>
          <w:jc w:val="center"/>
        </w:trPr>
        <w:tc>
          <w:tcPr>
            <w:tcW w:w="6356" w:type="dxa"/>
            <w:tcBorders>
              <w:top w:val="single" w:sz="4" w:space="0" w:color="auto"/>
              <w:bottom w:val="single" w:sz="4" w:space="0" w:color="auto"/>
            </w:tcBorders>
            <w:shd w:val="clear" w:color="auto" w:fill="FABF8F" w:themeFill="accent6" w:themeFillTint="99"/>
            <w:vAlign w:val="center"/>
          </w:tcPr>
          <w:p w:rsidR="00BD0164" w:rsidRPr="00C43957" w:rsidRDefault="00BD0164" w:rsidP="00BD0164">
            <w:pPr>
              <w:pStyle w:val="cuadroCabe"/>
              <w:rPr>
                <w:lang w:val="es-ES" w:eastAsia="es-ES"/>
              </w:rPr>
            </w:pPr>
            <w:r>
              <w:rPr>
                <w:lang w:val="es-ES" w:eastAsia="es-ES"/>
              </w:rPr>
              <w:t>Plaza de psicogeriatría</w:t>
            </w:r>
          </w:p>
        </w:tc>
        <w:tc>
          <w:tcPr>
            <w:tcW w:w="2341" w:type="dxa"/>
            <w:tcBorders>
              <w:top w:val="single" w:sz="4" w:space="0" w:color="auto"/>
              <w:bottom w:val="single" w:sz="4" w:space="0" w:color="auto"/>
            </w:tcBorders>
            <w:shd w:val="clear" w:color="auto" w:fill="FABF8F" w:themeFill="accent6" w:themeFillTint="99"/>
            <w:vAlign w:val="center"/>
          </w:tcPr>
          <w:p w:rsidR="00BD0164" w:rsidRDefault="00BD0164" w:rsidP="00BD0164">
            <w:pPr>
              <w:pStyle w:val="cuadroCabe"/>
              <w:jc w:val="right"/>
              <w:rPr>
                <w:lang w:val="es-ES" w:eastAsia="es-ES"/>
              </w:rPr>
            </w:pPr>
            <w:r>
              <w:rPr>
                <w:lang w:val="es-ES" w:eastAsia="es-ES"/>
              </w:rPr>
              <w:t>Importe</w:t>
            </w:r>
          </w:p>
        </w:tc>
      </w:tr>
      <w:tr w:rsidR="00BD0164" w:rsidRPr="00C43957" w:rsidTr="00C115DD">
        <w:trPr>
          <w:trHeight w:val="227"/>
          <w:jc w:val="center"/>
        </w:trPr>
        <w:tc>
          <w:tcPr>
            <w:tcW w:w="6356" w:type="dxa"/>
            <w:tcBorders>
              <w:top w:val="single" w:sz="4" w:space="0" w:color="auto"/>
              <w:bottom w:val="single" w:sz="2" w:space="0" w:color="auto"/>
            </w:tcBorders>
            <w:shd w:val="clear" w:color="auto" w:fill="auto"/>
            <w:vAlign w:val="center"/>
          </w:tcPr>
          <w:p w:rsidR="00BD0164" w:rsidRPr="00BC3FE1" w:rsidRDefault="00BD0164" w:rsidP="00BD0164">
            <w:pPr>
              <w:pStyle w:val="cuatexto"/>
            </w:pPr>
            <w:r>
              <w:t>Gasto total</w:t>
            </w:r>
          </w:p>
        </w:tc>
        <w:tc>
          <w:tcPr>
            <w:tcW w:w="2341" w:type="dxa"/>
            <w:tcBorders>
              <w:top w:val="single" w:sz="4" w:space="0" w:color="auto"/>
              <w:bottom w:val="single" w:sz="2" w:space="0" w:color="auto"/>
            </w:tcBorders>
            <w:vAlign w:val="center"/>
          </w:tcPr>
          <w:p w:rsidR="00BD0164" w:rsidRDefault="00786AF2" w:rsidP="00BD0164">
            <w:pPr>
              <w:pStyle w:val="cuatexto"/>
              <w:jc w:val="right"/>
            </w:pPr>
            <w:r>
              <w:t>957.089</w:t>
            </w:r>
          </w:p>
        </w:tc>
      </w:tr>
      <w:tr w:rsidR="00BD0164" w:rsidRPr="00C43957" w:rsidTr="00C115DD">
        <w:trPr>
          <w:trHeight w:val="227"/>
          <w:jc w:val="center"/>
        </w:trPr>
        <w:tc>
          <w:tcPr>
            <w:tcW w:w="6356" w:type="dxa"/>
            <w:tcBorders>
              <w:top w:val="single" w:sz="4" w:space="0" w:color="auto"/>
              <w:bottom w:val="single" w:sz="2" w:space="0" w:color="auto"/>
            </w:tcBorders>
            <w:shd w:val="clear" w:color="auto" w:fill="auto"/>
            <w:vAlign w:val="center"/>
          </w:tcPr>
          <w:p w:rsidR="00BD0164" w:rsidRPr="00BC3FE1" w:rsidRDefault="00BD0164" w:rsidP="00BD0164">
            <w:pPr>
              <w:pStyle w:val="cuatexto"/>
            </w:pPr>
            <w:r>
              <w:t>Ingreso total</w:t>
            </w:r>
          </w:p>
        </w:tc>
        <w:tc>
          <w:tcPr>
            <w:tcW w:w="2341" w:type="dxa"/>
            <w:tcBorders>
              <w:top w:val="single" w:sz="4" w:space="0" w:color="auto"/>
              <w:bottom w:val="single" w:sz="2" w:space="0" w:color="auto"/>
            </w:tcBorders>
            <w:vAlign w:val="center"/>
          </w:tcPr>
          <w:p w:rsidR="00BD0164" w:rsidRDefault="00786AF2" w:rsidP="00BD0164">
            <w:pPr>
              <w:pStyle w:val="cuatexto"/>
              <w:jc w:val="right"/>
            </w:pPr>
            <w:r>
              <w:t>966.368</w:t>
            </w:r>
          </w:p>
        </w:tc>
      </w:tr>
      <w:tr w:rsidR="00BD0164" w:rsidRPr="00C43957" w:rsidTr="00C115DD">
        <w:trPr>
          <w:trHeight w:val="227"/>
          <w:jc w:val="center"/>
        </w:trPr>
        <w:tc>
          <w:tcPr>
            <w:tcW w:w="6356" w:type="dxa"/>
            <w:tcBorders>
              <w:top w:val="single" w:sz="4" w:space="0" w:color="auto"/>
              <w:bottom w:val="single" w:sz="4" w:space="0" w:color="auto"/>
            </w:tcBorders>
            <w:shd w:val="clear" w:color="auto" w:fill="FABF8F" w:themeFill="accent6" w:themeFillTint="99"/>
            <w:vAlign w:val="center"/>
          </w:tcPr>
          <w:p w:rsidR="00BD0164" w:rsidRPr="00C43957" w:rsidRDefault="0043311E" w:rsidP="0043311E">
            <w:pPr>
              <w:pStyle w:val="cuadroCabe"/>
              <w:rPr>
                <w:lang w:val="es-ES" w:eastAsia="es-ES"/>
              </w:rPr>
            </w:pPr>
            <w:r>
              <w:rPr>
                <w:lang w:val="es-ES" w:eastAsia="es-ES"/>
              </w:rPr>
              <w:t xml:space="preserve">Superávit </w:t>
            </w:r>
            <w:r w:rsidR="00BD0164">
              <w:rPr>
                <w:lang w:val="es-ES" w:eastAsia="es-ES"/>
              </w:rPr>
              <w:t>generado 2015</w:t>
            </w:r>
          </w:p>
        </w:tc>
        <w:tc>
          <w:tcPr>
            <w:tcW w:w="2341" w:type="dxa"/>
            <w:tcBorders>
              <w:top w:val="single" w:sz="4" w:space="0" w:color="auto"/>
              <w:bottom w:val="single" w:sz="4" w:space="0" w:color="auto"/>
            </w:tcBorders>
            <w:shd w:val="clear" w:color="auto" w:fill="FABF8F" w:themeFill="accent6" w:themeFillTint="99"/>
            <w:vAlign w:val="center"/>
          </w:tcPr>
          <w:p w:rsidR="00BD0164" w:rsidRPr="00C43957" w:rsidRDefault="00786AF2" w:rsidP="00BD0164">
            <w:pPr>
              <w:pStyle w:val="cuadroCabe"/>
              <w:jc w:val="right"/>
              <w:rPr>
                <w:lang w:val="es-ES" w:eastAsia="es-ES"/>
              </w:rPr>
            </w:pPr>
            <w:r>
              <w:rPr>
                <w:lang w:val="es-ES" w:eastAsia="es-ES"/>
              </w:rPr>
              <w:t>9.279</w:t>
            </w:r>
          </w:p>
        </w:tc>
      </w:tr>
    </w:tbl>
    <w:p w:rsidR="00BD0164" w:rsidRDefault="0025734B" w:rsidP="00C115DD">
      <w:pPr>
        <w:pStyle w:val="texto"/>
        <w:tabs>
          <w:tab w:val="clear" w:pos="2835"/>
          <w:tab w:val="clear" w:pos="3969"/>
          <w:tab w:val="clear" w:pos="5103"/>
          <w:tab w:val="clear" w:pos="6237"/>
          <w:tab w:val="clear" w:pos="7371"/>
          <w:tab w:val="left" w:pos="480"/>
          <w:tab w:val="num" w:pos="720"/>
          <w:tab w:val="num" w:pos="928"/>
          <w:tab w:val="num" w:pos="6597"/>
        </w:tabs>
        <w:spacing w:before="120"/>
      </w:pPr>
      <w:r w:rsidRPr="0070633B">
        <w:t xml:space="preserve">En definitiva, </w:t>
      </w:r>
      <w:r w:rsidR="00BD0164" w:rsidRPr="0070633B">
        <w:t xml:space="preserve">las plazas de </w:t>
      </w:r>
      <w:r w:rsidRPr="0070633B">
        <w:t>psicogeriatría</w:t>
      </w:r>
      <w:r w:rsidR="00BD0164" w:rsidRPr="0070633B">
        <w:t xml:space="preserve"> han generado en 2015 a la reside</w:t>
      </w:r>
      <w:r w:rsidR="00BD0164" w:rsidRPr="0070633B">
        <w:t>n</w:t>
      </w:r>
      <w:r w:rsidR="00BD0164" w:rsidRPr="0070633B">
        <w:t xml:space="preserve">cia un </w:t>
      </w:r>
      <w:r w:rsidR="0070633B" w:rsidRPr="0070633B">
        <w:t>superávit de 9</w:t>
      </w:r>
      <w:r w:rsidR="00294168">
        <w:t>.</w:t>
      </w:r>
      <w:r w:rsidR="0070633B" w:rsidRPr="0070633B">
        <w:t>279 euros</w:t>
      </w:r>
      <w:r w:rsidR="00BD0164" w:rsidRPr="0070633B">
        <w:t xml:space="preserve">, sin considerar </w:t>
      </w:r>
      <w:r w:rsidR="005116B7">
        <w:t xml:space="preserve">los gastos del servicio de salud derivado del concierto, </w:t>
      </w:r>
      <w:r w:rsidR="00BD0164" w:rsidRPr="0070633B">
        <w:t xml:space="preserve">amortizaciones ni beneficio industrial. </w:t>
      </w:r>
      <w:r w:rsidR="007E4FB6">
        <w:t>Ahora bien, ese superávit resultó afectado por el pago de una sanción –compensado con una minoración de ingresos</w:t>
      </w:r>
      <w:r w:rsidR="00EF7F37">
        <w:t>–</w:t>
      </w:r>
      <w:r w:rsidR="007E4FB6">
        <w:t>, por lo que en 2015, se gener</w:t>
      </w:r>
      <w:r w:rsidR="00A641D0">
        <w:t xml:space="preserve">ó </w:t>
      </w:r>
      <w:r w:rsidR="007E4FB6">
        <w:t>un déficit</w:t>
      </w:r>
      <w:r w:rsidR="00A641D0">
        <w:t xml:space="preserve"> efectivo</w:t>
      </w:r>
      <w:r w:rsidR="007E4FB6">
        <w:t xml:space="preserve"> de 7.836 euros.</w:t>
      </w:r>
    </w:p>
    <w:p w:rsidR="00DB393D" w:rsidRDefault="00DB393D" w:rsidP="00DB393D">
      <w:pPr>
        <w:pStyle w:val="atitulo3"/>
      </w:pPr>
      <w:r>
        <w:t>IV.10.</w:t>
      </w:r>
      <w:r w:rsidR="00BD0164">
        <w:t>3</w:t>
      </w:r>
      <w:r>
        <w:t>. Otros indicadores</w:t>
      </w:r>
    </w:p>
    <w:p w:rsidR="002B16A6" w:rsidRDefault="002B16A6" w:rsidP="00C115DD">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120"/>
        <w:ind w:left="0" w:firstLine="289"/>
      </w:pPr>
      <w:r>
        <w:t>Comparación precios por plaza</w:t>
      </w:r>
      <w:r w:rsidR="00F0109F">
        <w:t xml:space="preserve"> de la tercera edad</w:t>
      </w:r>
      <w:r>
        <w:t xml:space="preserve"> con otras residencias de la zona. En el cuadro siguiente comparamos los precios por tipología de plazas de la residencia de Lumbier con la de Sangüesa y con la de Cáseda:</w:t>
      </w:r>
    </w:p>
    <w:tbl>
      <w:tblPr>
        <w:tblW w:w="8820" w:type="dxa"/>
        <w:jc w:val="center"/>
        <w:tblCellMar>
          <w:left w:w="70" w:type="dxa"/>
          <w:right w:w="70" w:type="dxa"/>
        </w:tblCellMar>
        <w:tblLook w:val="04A0" w:firstRow="1" w:lastRow="0" w:firstColumn="1" w:lastColumn="0" w:noHBand="0" w:noVBand="1"/>
      </w:tblPr>
      <w:tblGrid>
        <w:gridCol w:w="4153"/>
        <w:gridCol w:w="1576"/>
        <w:gridCol w:w="1576"/>
        <w:gridCol w:w="1515"/>
      </w:tblGrid>
      <w:tr w:rsidR="006C0B24" w:rsidRPr="00C43957" w:rsidTr="00C115DD">
        <w:trPr>
          <w:trHeight w:val="227"/>
          <w:jc w:val="center"/>
        </w:trPr>
        <w:tc>
          <w:tcPr>
            <w:tcW w:w="4153" w:type="dxa"/>
            <w:tcBorders>
              <w:top w:val="single" w:sz="4" w:space="0" w:color="auto"/>
              <w:bottom w:val="single" w:sz="4" w:space="0" w:color="auto"/>
            </w:tcBorders>
            <w:shd w:val="clear" w:color="auto" w:fill="FABF8F" w:themeFill="accent6" w:themeFillTint="99"/>
            <w:vAlign w:val="center"/>
          </w:tcPr>
          <w:p w:rsidR="006C0B24" w:rsidRPr="00C43957" w:rsidRDefault="006C0B24" w:rsidP="00EF2A0F">
            <w:pPr>
              <w:pStyle w:val="cuadroCabe"/>
              <w:rPr>
                <w:lang w:val="es-ES" w:eastAsia="es-ES"/>
              </w:rPr>
            </w:pPr>
            <w:r>
              <w:rPr>
                <w:lang w:val="es-ES" w:eastAsia="es-ES"/>
              </w:rPr>
              <w:t>Tipo de plaza</w:t>
            </w:r>
            <w:r w:rsidR="00EF2A0F">
              <w:rPr>
                <w:lang w:val="es-ES" w:eastAsia="es-ES"/>
              </w:rPr>
              <w:t>/precio mes 2015</w:t>
            </w:r>
          </w:p>
        </w:tc>
        <w:tc>
          <w:tcPr>
            <w:tcW w:w="1576" w:type="dxa"/>
            <w:tcBorders>
              <w:top w:val="single" w:sz="4" w:space="0" w:color="auto"/>
              <w:bottom w:val="single" w:sz="4" w:space="0" w:color="auto"/>
            </w:tcBorders>
            <w:shd w:val="clear" w:color="auto" w:fill="FABF8F" w:themeFill="accent6" w:themeFillTint="99"/>
            <w:vAlign w:val="center"/>
          </w:tcPr>
          <w:p w:rsidR="006C0B24" w:rsidRDefault="006C0B24" w:rsidP="00BD0164">
            <w:pPr>
              <w:pStyle w:val="cuadroCabe"/>
              <w:jc w:val="right"/>
              <w:rPr>
                <w:lang w:val="es-ES" w:eastAsia="es-ES"/>
              </w:rPr>
            </w:pPr>
            <w:r>
              <w:rPr>
                <w:lang w:val="es-ES" w:eastAsia="es-ES"/>
              </w:rPr>
              <w:t>Residencia Sangüesa</w:t>
            </w:r>
          </w:p>
        </w:tc>
        <w:tc>
          <w:tcPr>
            <w:tcW w:w="1576" w:type="dxa"/>
            <w:tcBorders>
              <w:top w:val="single" w:sz="4" w:space="0" w:color="auto"/>
              <w:bottom w:val="single" w:sz="4" w:space="0" w:color="auto"/>
            </w:tcBorders>
            <w:shd w:val="clear" w:color="auto" w:fill="FABF8F" w:themeFill="accent6" w:themeFillTint="99"/>
            <w:vAlign w:val="center"/>
          </w:tcPr>
          <w:p w:rsidR="006C0B24" w:rsidRDefault="006C0B24" w:rsidP="006C0B24">
            <w:pPr>
              <w:pStyle w:val="cuadroCabe"/>
              <w:jc w:val="right"/>
              <w:rPr>
                <w:lang w:val="es-ES" w:eastAsia="es-ES"/>
              </w:rPr>
            </w:pPr>
            <w:r>
              <w:rPr>
                <w:lang w:val="es-ES" w:eastAsia="es-ES"/>
              </w:rPr>
              <w:t xml:space="preserve">Residencia </w:t>
            </w:r>
          </w:p>
          <w:p w:rsidR="006C0B24" w:rsidRPr="00C43957" w:rsidRDefault="006C0B24" w:rsidP="006C0B24">
            <w:pPr>
              <w:pStyle w:val="cuadroCabe"/>
              <w:jc w:val="right"/>
              <w:rPr>
                <w:lang w:val="es-ES" w:eastAsia="es-ES"/>
              </w:rPr>
            </w:pPr>
            <w:r>
              <w:rPr>
                <w:lang w:val="es-ES" w:eastAsia="es-ES"/>
              </w:rPr>
              <w:t>Cáseda</w:t>
            </w:r>
          </w:p>
        </w:tc>
        <w:tc>
          <w:tcPr>
            <w:tcW w:w="1515" w:type="dxa"/>
            <w:tcBorders>
              <w:top w:val="single" w:sz="4" w:space="0" w:color="auto"/>
              <w:bottom w:val="single" w:sz="4" w:space="0" w:color="auto"/>
            </w:tcBorders>
            <w:shd w:val="clear" w:color="auto" w:fill="FABF8F" w:themeFill="accent6" w:themeFillTint="99"/>
            <w:vAlign w:val="center"/>
          </w:tcPr>
          <w:p w:rsidR="006C0B24" w:rsidRDefault="006C0B24" w:rsidP="00BD0164">
            <w:pPr>
              <w:pStyle w:val="cuadroCabe"/>
              <w:jc w:val="right"/>
              <w:rPr>
                <w:lang w:val="es-ES" w:eastAsia="es-ES"/>
              </w:rPr>
            </w:pPr>
            <w:r>
              <w:rPr>
                <w:lang w:val="es-ES" w:eastAsia="es-ES"/>
              </w:rPr>
              <w:t>Residencia Lumbier</w:t>
            </w:r>
          </w:p>
        </w:tc>
      </w:tr>
      <w:tr w:rsidR="005E0C18" w:rsidRPr="00C43957" w:rsidTr="00C115DD">
        <w:trPr>
          <w:trHeight w:val="227"/>
          <w:jc w:val="center"/>
        </w:trPr>
        <w:tc>
          <w:tcPr>
            <w:tcW w:w="4153" w:type="dxa"/>
            <w:tcBorders>
              <w:top w:val="single" w:sz="4" w:space="0" w:color="auto"/>
              <w:bottom w:val="single" w:sz="2" w:space="0" w:color="auto"/>
            </w:tcBorders>
            <w:shd w:val="clear" w:color="auto" w:fill="auto"/>
            <w:vAlign w:val="center"/>
          </w:tcPr>
          <w:p w:rsidR="005E0C18" w:rsidRPr="00BC3FE1" w:rsidRDefault="005E0C18" w:rsidP="00BD0164">
            <w:pPr>
              <w:pStyle w:val="cuatexto"/>
            </w:pPr>
            <w:r>
              <w:t>Válido habitación individual</w:t>
            </w:r>
          </w:p>
        </w:tc>
        <w:tc>
          <w:tcPr>
            <w:tcW w:w="1576" w:type="dxa"/>
            <w:tcBorders>
              <w:top w:val="single" w:sz="4" w:space="0" w:color="auto"/>
              <w:bottom w:val="single" w:sz="2" w:space="0" w:color="auto"/>
            </w:tcBorders>
            <w:vAlign w:val="center"/>
          </w:tcPr>
          <w:p w:rsidR="005E0C18" w:rsidRDefault="005E0C18" w:rsidP="00BD0164">
            <w:pPr>
              <w:pStyle w:val="cuatexto"/>
              <w:jc w:val="right"/>
            </w:pPr>
            <w:r>
              <w:t>948</w:t>
            </w:r>
          </w:p>
        </w:tc>
        <w:tc>
          <w:tcPr>
            <w:tcW w:w="1576" w:type="dxa"/>
            <w:vMerge w:val="restart"/>
            <w:tcBorders>
              <w:top w:val="single" w:sz="4" w:space="0" w:color="auto"/>
              <w:bottom w:val="single" w:sz="2" w:space="0" w:color="auto"/>
            </w:tcBorders>
            <w:vAlign w:val="center"/>
          </w:tcPr>
          <w:p w:rsidR="005E0C18" w:rsidRPr="00BC3FE1" w:rsidRDefault="005E0C18" w:rsidP="00BD0164">
            <w:pPr>
              <w:pStyle w:val="cuatexto"/>
              <w:jc w:val="right"/>
            </w:pPr>
            <w:r>
              <w:t>1.064</w:t>
            </w:r>
          </w:p>
        </w:tc>
        <w:tc>
          <w:tcPr>
            <w:tcW w:w="1515" w:type="dxa"/>
            <w:vMerge w:val="restart"/>
            <w:tcBorders>
              <w:top w:val="single" w:sz="4" w:space="0" w:color="auto"/>
              <w:bottom w:val="single" w:sz="2" w:space="0" w:color="auto"/>
            </w:tcBorders>
            <w:vAlign w:val="center"/>
          </w:tcPr>
          <w:p w:rsidR="005E0C18" w:rsidRPr="00BC3FE1" w:rsidRDefault="005E0C18" w:rsidP="00BD0164">
            <w:pPr>
              <w:pStyle w:val="cuatexto"/>
              <w:jc w:val="right"/>
            </w:pPr>
            <w:r>
              <w:t>1.350</w:t>
            </w:r>
          </w:p>
        </w:tc>
      </w:tr>
      <w:tr w:rsidR="005E0C18" w:rsidRPr="00C43957" w:rsidTr="00C115DD">
        <w:trPr>
          <w:trHeight w:val="227"/>
          <w:jc w:val="center"/>
        </w:trPr>
        <w:tc>
          <w:tcPr>
            <w:tcW w:w="4153" w:type="dxa"/>
            <w:tcBorders>
              <w:top w:val="single" w:sz="2" w:space="0" w:color="auto"/>
              <w:bottom w:val="single" w:sz="2" w:space="0" w:color="auto"/>
            </w:tcBorders>
            <w:shd w:val="clear" w:color="auto" w:fill="auto"/>
            <w:vAlign w:val="center"/>
          </w:tcPr>
          <w:p w:rsidR="005E0C18" w:rsidRDefault="005E0C18" w:rsidP="00BD0164">
            <w:pPr>
              <w:pStyle w:val="cuatexto"/>
            </w:pPr>
            <w:r>
              <w:t>Válido habitación doble</w:t>
            </w:r>
          </w:p>
        </w:tc>
        <w:tc>
          <w:tcPr>
            <w:tcW w:w="1576" w:type="dxa"/>
            <w:tcBorders>
              <w:top w:val="single" w:sz="2" w:space="0" w:color="auto"/>
              <w:bottom w:val="single" w:sz="2" w:space="0" w:color="auto"/>
            </w:tcBorders>
            <w:vAlign w:val="center"/>
          </w:tcPr>
          <w:p w:rsidR="005E0C18" w:rsidRDefault="005E0C18" w:rsidP="00BD0164">
            <w:pPr>
              <w:pStyle w:val="cuatexto"/>
              <w:jc w:val="right"/>
            </w:pPr>
            <w:r>
              <w:t>897</w:t>
            </w:r>
          </w:p>
        </w:tc>
        <w:tc>
          <w:tcPr>
            <w:tcW w:w="1576" w:type="dxa"/>
            <w:vMerge/>
            <w:tcBorders>
              <w:top w:val="single" w:sz="2" w:space="0" w:color="auto"/>
              <w:bottom w:val="single" w:sz="2" w:space="0" w:color="auto"/>
            </w:tcBorders>
            <w:vAlign w:val="center"/>
          </w:tcPr>
          <w:p w:rsidR="005E0C18" w:rsidRPr="00BC3FE1" w:rsidRDefault="005E0C18" w:rsidP="00BD0164">
            <w:pPr>
              <w:pStyle w:val="cuatexto"/>
              <w:jc w:val="right"/>
            </w:pPr>
          </w:p>
        </w:tc>
        <w:tc>
          <w:tcPr>
            <w:tcW w:w="1515" w:type="dxa"/>
            <w:vMerge/>
            <w:tcBorders>
              <w:top w:val="single" w:sz="2" w:space="0" w:color="auto"/>
              <w:bottom w:val="single" w:sz="2" w:space="0" w:color="auto"/>
            </w:tcBorders>
            <w:vAlign w:val="center"/>
          </w:tcPr>
          <w:p w:rsidR="005E0C18" w:rsidRPr="00BC3FE1" w:rsidRDefault="005E0C18" w:rsidP="00BD0164">
            <w:pPr>
              <w:pStyle w:val="cuatexto"/>
              <w:jc w:val="right"/>
            </w:pPr>
          </w:p>
        </w:tc>
      </w:tr>
      <w:tr w:rsidR="006C0B24" w:rsidRPr="00C43957" w:rsidTr="00C115DD">
        <w:trPr>
          <w:trHeight w:val="227"/>
          <w:jc w:val="center"/>
        </w:trPr>
        <w:tc>
          <w:tcPr>
            <w:tcW w:w="4153" w:type="dxa"/>
            <w:tcBorders>
              <w:top w:val="single" w:sz="2" w:space="0" w:color="auto"/>
              <w:bottom w:val="single" w:sz="2" w:space="0" w:color="auto"/>
            </w:tcBorders>
            <w:shd w:val="clear" w:color="auto" w:fill="auto"/>
            <w:vAlign w:val="center"/>
          </w:tcPr>
          <w:p w:rsidR="006C0B24" w:rsidRPr="00BC3FE1" w:rsidRDefault="006C0B24" w:rsidP="00BD0164">
            <w:pPr>
              <w:pStyle w:val="cuatexto"/>
            </w:pPr>
            <w:r>
              <w:t>Semiasistido</w:t>
            </w:r>
          </w:p>
        </w:tc>
        <w:tc>
          <w:tcPr>
            <w:tcW w:w="1576" w:type="dxa"/>
            <w:tcBorders>
              <w:top w:val="single" w:sz="2" w:space="0" w:color="auto"/>
              <w:bottom w:val="single" w:sz="2" w:space="0" w:color="auto"/>
            </w:tcBorders>
            <w:vAlign w:val="center"/>
          </w:tcPr>
          <w:p w:rsidR="006C0B24" w:rsidRDefault="00EF2A0F" w:rsidP="00BD0164">
            <w:pPr>
              <w:pStyle w:val="cuatexto"/>
              <w:jc w:val="right"/>
            </w:pPr>
            <w:r>
              <w:t>1.232</w:t>
            </w:r>
          </w:p>
        </w:tc>
        <w:tc>
          <w:tcPr>
            <w:tcW w:w="1576" w:type="dxa"/>
            <w:tcBorders>
              <w:top w:val="single" w:sz="2" w:space="0" w:color="auto"/>
              <w:bottom w:val="single" w:sz="2" w:space="0" w:color="auto"/>
            </w:tcBorders>
            <w:vAlign w:val="center"/>
          </w:tcPr>
          <w:p w:rsidR="006C0B24" w:rsidRPr="00BC3FE1" w:rsidRDefault="00EF2A0F" w:rsidP="00BD0164">
            <w:pPr>
              <w:pStyle w:val="cuatexto"/>
              <w:jc w:val="right"/>
            </w:pPr>
            <w:r>
              <w:t>1.374</w:t>
            </w:r>
          </w:p>
        </w:tc>
        <w:tc>
          <w:tcPr>
            <w:tcW w:w="1515" w:type="dxa"/>
            <w:tcBorders>
              <w:top w:val="single" w:sz="2" w:space="0" w:color="auto"/>
              <w:bottom w:val="single" w:sz="2" w:space="0" w:color="auto"/>
            </w:tcBorders>
            <w:vAlign w:val="center"/>
          </w:tcPr>
          <w:p w:rsidR="006C0B24" w:rsidRPr="00BC3FE1" w:rsidRDefault="007E4FB6" w:rsidP="00BD0164">
            <w:pPr>
              <w:pStyle w:val="cuatexto"/>
              <w:jc w:val="right"/>
            </w:pPr>
            <w:r>
              <w:t xml:space="preserve">1.777 </w:t>
            </w:r>
            <w:r w:rsidRPr="007F1F26">
              <w:rPr>
                <w:vertAlign w:val="superscript"/>
              </w:rPr>
              <w:t>(*)</w:t>
            </w:r>
          </w:p>
        </w:tc>
      </w:tr>
      <w:tr w:rsidR="006C0B24" w:rsidRPr="00C43957" w:rsidTr="00C115DD">
        <w:trPr>
          <w:trHeight w:val="227"/>
          <w:jc w:val="center"/>
        </w:trPr>
        <w:tc>
          <w:tcPr>
            <w:tcW w:w="4153" w:type="dxa"/>
            <w:tcBorders>
              <w:top w:val="single" w:sz="2" w:space="0" w:color="auto"/>
              <w:bottom w:val="single" w:sz="2" w:space="0" w:color="auto"/>
            </w:tcBorders>
            <w:shd w:val="clear" w:color="auto" w:fill="auto"/>
            <w:vAlign w:val="center"/>
          </w:tcPr>
          <w:p w:rsidR="006C0B24" w:rsidRPr="00BC3FE1" w:rsidRDefault="006C0B24" w:rsidP="00BD0164">
            <w:pPr>
              <w:pStyle w:val="cuatexto"/>
            </w:pPr>
            <w:r>
              <w:t>Asistido</w:t>
            </w:r>
          </w:p>
        </w:tc>
        <w:tc>
          <w:tcPr>
            <w:tcW w:w="1576" w:type="dxa"/>
            <w:tcBorders>
              <w:top w:val="single" w:sz="2" w:space="0" w:color="auto"/>
              <w:bottom w:val="single" w:sz="2" w:space="0" w:color="auto"/>
            </w:tcBorders>
            <w:vAlign w:val="center"/>
          </w:tcPr>
          <w:p w:rsidR="006C0B24" w:rsidRDefault="00EF2A0F" w:rsidP="00BD0164">
            <w:pPr>
              <w:pStyle w:val="cuatexto"/>
              <w:jc w:val="right"/>
            </w:pPr>
            <w:r>
              <w:t>1.768</w:t>
            </w:r>
          </w:p>
        </w:tc>
        <w:tc>
          <w:tcPr>
            <w:tcW w:w="1576" w:type="dxa"/>
            <w:tcBorders>
              <w:top w:val="single" w:sz="2" w:space="0" w:color="auto"/>
              <w:bottom w:val="single" w:sz="2" w:space="0" w:color="auto"/>
            </w:tcBorders>
            <w:vAlign w:val="center"/>
          </w:tcPr>
          <w:p w:rsidR="006C0B24" w:rsidRPr="00BC3FE1" w:rsidRDefault="00EF2A0F" w:rsidP="00BD0164">
            <w:pPr>
              <w:pStyle w:val="cuatexto"/>
              <w:jc w:val="right"/>
            </w:pPr>
            <w:r>
              <w:t>1.686</w:t>
            </w:r>
          </w:p>
        </w:tc>
        <w:tc>
          <w:tcPr>
            <w:tcW w:w="1515" w:type="dxa"/>
            <w:tcBorders>
              <w:top w:val="single" w:sz="2" w:space="0" w:color="auto"/>
              <w:bottom w:val="single" w:sz="2" w:space="0" w:color="auto"/>
            </w:tcBorders>
            <w:vAlign w:val="center"/>
          </w:tcPr>
          <w:p w:rsidR="006C0B24" w:rsidRPr="00BC3FE1" w:rsidRDefault="00EF2A0F" w:rsidP="00BD0164">
            <w:pPr>
              <w:pStyle w:val="cuatexto"/>
              <w:jc w:val="right"/>
            </w:pPr>
            <w:r>
              <w:t>1.860</w:t>
            </w:r>
          </w:p>
        </w:tc>
      </w:tr>
      <w:tr w:rsidR="006C0B24" w:rsidRPr="00C43957" w:rsidTr="00C115DD">
        <w:trPr>
          <w:trHeight w:val="227"/>
          <w:jc w:val="center"/>
        </w:trPr>
        <w:tc>
          <w:tcPr>
            <w:tcW w:w="4153" w:type="dxa"/>
            <w:tcBorders>
              <w:top w:val="single" w:sz="4" w:space="0" w:color="auto"/>
              <w:bottom w:val="single" w:sz="2" w:space="0" w:color="auto"/>
            </w:tcBorders>
            <w:shd w:val="clear" w:color="auto" w:fill="auto"/>
            <w:vAlign w:val="center"/>
          </w:tcPr>
          <w:p w:rsidR="006C0B24" w:rsidRPr="00BC3FE1" w:rsidRDefault="006C0B24" w:rsidP="00BD0164">
            <w:pPr>
              <w:pStyle w:val="cuatexto"/>
            </w:pPr>
            <w:r>
              <w:t>Gran dependiente</w:t>
            </w:r>
          </w:p>
        </w:tc>
        <w:tc>
          <w:tcPr>
            <w:tcW w:w="1576" w:type="dxa"/>
            <w:tcBorders>
              <w:top w:val="single" w:sz="4" w:space="0" w:color="auto"/>
              <w:bottom w:val="single" w:sz="2" w:space="0" w:color="auto"/>
            </w:tcBorders>
            <w:vAlign w:val="center"/>
          </w:tcPr>
          <w:p w:rsidR="006C0B24" w:rsidRDefault="006C0B24" w:rsidP="00BD0164">
            <w:pPr>
              <w:pStyle w:val="cuatexto"/>
              <w:jc w:val="right"/>
            </w:pPr>
          </w:p>
        </w:tc>
        <w:tc>
          <w:tcPr>
            <w:tcW w:w="1576" w:type="dxa"/>
            <w:tcBorders>
              <w:top w:val="single" w:sz="4" w:space="0" w:color="auto"/>
              <w:bottom w:val="single" w:sz="2" w:space="0" w:color="auto"/>
            </w:tcBorders>
            <w:vAlign w:val="center"/>
          </w:tcPr>
          <w:p w:rsidR="006C0B24" w:rsidRPr="00BC3FE1" w:rsidRDefault="00EF2A0F" w:rsidP="00BD0164">
            <w:pPr>
              <w:pStyle w:val="cuatexto"/>
              <w:jc w:val="right"/>
            </w:pPr>
            <w:r>
              <w:t>1.900</w:t>
            </w:r>
          </w:p>
        </w:tc>
        <w:tc>
          <w:tcPr>
            <w:tcW w:w="1515" w:type="dxa"/>
            <w:tcBorders>
              <w:top w:val="single" w:sz="4" w:space="0" w:color="auto"/>
              <w:bottom w:val="single" w:sz="2" w:space="0" w:color="auto"/>
            </w:tcBorders>
            <w:vAlign w:val="center"/>
          </w:tcPr>
          <w:p w:rsidR="006C0B24" w:rsidRPr="00BC3FE1" w:rsidRDefault="006C0B24" w:rsidP="00BD0164">
            <w:pPr>
              <w:pStyle w:val="cuatexto"/>
              <w:jc w:val="right"/>
            </w:pPr>
          </w:p>
        </w:tc>
      </w:tr>
    </w:tbl>
    <w:p w:rsidR="007E4FB6" w:rsidRPr="00EF7F37" w:rsidRDefault="007E4FB6" w:rsidP="007E4FB6">
      <w:pPr>
        <w:pStyle w:val="texto"/>
        <w:spacing w:before="60"/>
        <w:ind w:firstLine="0"/>
        <w:rPr>
          <w:rFonts w:ascii="Arial Narrow" w:hAnsi="Arial Narrow"/>
          <w:sz w:val="16"/>
          <w:szCs w:val="16"/>
        </w:rPr>
      </w:pPr>
      <w:r w:rsidRPr="00EF7F37">
        <w:rPr>
          <w:rFonts w:ascii="Arial Narrow" w:hAnsi="Arial Narrow"/>
          <w:sz w:val="16"/>
          <w:szCs w:val="16"/>
        </w:rPr>
        <w:t>(*) Tipo de plaza y precio no contemplado en la ordenanza, pero si aplicado en algún supuesto.</w:t>
      </w:r>
    </w:p>
    <w:p w:rsidR="00EF7F37" w:rsidRDefault="002B16A6" w:rsidP="00C115DD">
      <w:pPr>
        <w:pStyle w:val="texto"/>
        <w:tabs>
          <w:tab w:val="clear" w:pos="2835"/>
          <w:tab w:val="clear" w:pos="3969"/>
          <w:tab w:val="clear" w:pos="5103"/>
          <w:tab w:val="clear" w:pos="6237"/>
          <w:tab w:val="clear" w:pos="7371"/>
          <w:tab w:val="left" w:pos="480"/>
          <w:tab w:val="num" w:pos="720"/>
          <w:tab w:val="num" w:pos="928"/>
          <w:tab w:val="num" w:pos="6597"/>
        </w:tabs>
        <w:spacing w:after="80"/>
      </w:pPr>
      <w:r>
        <w:t>A pesar de la heterogeneidad de tipología de plazas, s</w:t>
      </w:r>
      <w:r w:rsidR="00EA15CB">
        <w:t>í</w:t>
      </w:r>
      <w:r>
        <w:t xml:space="preserve"> podemos concluir que los precios de Lumbier se ubicarían en el tramo alto de dichos precios.</w:t>
      </w:r>
      <w:r w:rsidR="00861A8E">
        <w:t xml:space="preserve"> Así mismo observamos que en las otras dos residencias se contempla un</w:t>
      </w:r>
      <w:r w:rsidR="008F6B09">
        <w:t>a mayor diversidad de tipos de</w:t>
      </w:r>
      <w:r w:rsidR="00861A8E">
        <w:t xml:space="preserve"> plazas con su respectivo precio.</w:t>
      </w:r>
    </w:p>
    <w:p w:rsidR="00F26065" w:rsidRDefault="005E0C18" w:rsidP="00C115DD">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120"/>
        <w:ind w:left="0" w:firstLine="289"/>
      </w:pPr>
      <w:r>
        <w:t>La e</w:t>
      </w:r>
      <w:r w:rsidR="002F2A60">
        <w:t>volución de la ocupación de plazas de tercera edad</w:t>
      </w:r>
      <w:r>
        <w:t xml:space="preserve">, a primero de mes de cada ejercicio, se refleja en el cuadro siguiente: </w:t>
      </w:r>
    </w:p>
    <w:tbl>
      <w:tblPr>
        <w:tblW w:w="8727" w:type="dxa"/>
        <w:jc w:val="center"/>
        <w:tblLayout w:type="fixed"/>
        <w:tblCellMar>
          <w:left w:w="70" w:type="dxa"/>
          <w:right w:w="70" w:type="dxa"/>
        </w:tblCellMar>
        <w:tblLook w:val="04A0" w:firstRow="1" w:lastRow="0" w:firstColumn="1" w:lastColumn="0" w:noHBand="0" w:noVBand="1"/>
      </w:tblPr>
      <w:tblGrid>
        <w:gridCol w:w="5609"/>
        <w:gridCol w:w="1559"/>
        <w:gridCol w:w="1559"/>
      </w:tblGrid>
      <w:tr w:rsidR="00DB393D" w:rsidRPr="00DB393D" w:rsidTr="00C115DD">
        <w:trPr>
          <w:trHeight w:val="227"/>
          <w:jc w:val="center"/>
        </w:trPr>
        <w:tc>
          <w:tcPr>
            <w:tcW w:w="5609" w:type="dxa"/>
            <w:tcBorders>
              <w:top w:val="single" w:sz="4" w:space="0" w:color="auto"/>
              <w:bottom w:val="single" w:sz="4" w:space="0" w:color="auto"/>
            </w:tcBorders>
            <w:shd w:val="clear" w:color="auto" w:fill="FABF8F" w:themeFill="accent6" w:themeFillTint="99"/>
            <w:noWrap/>
            <w:vAlign w:val="center"/>
            <w:hideMark/>
          </w:tcPr>
          <w:p w:rsidR="00DB393D" w:rsidRPr="006C0B24" w:rsidRDefault="00B178B3" w:rsidP="003724D2">
            <w:pPr>
              <w:pStyle w:val="cuadroCabe"/>
              <w:rPr>
                <w:lang w:val="es-ES" w:eastAsia="es-ES"/>
              </w:rPr>
            </w:pPr>
            <w:r>
              <w:rPr>
                <w:lang w:val="es-ES" w:eastAsia="es-ES"/>
              </w:rPr>
              <w:t>Mes</w:t>
            </w:r>
          </w:p>
        </w:tc>
        <w:tc>
          <w:tcPr>
            <w:tcW w:w="1559" w:type="dxa"/>
            <w:tcBorders>
              <w:top w:val="single" w:sz="4" w:space="0" w:color="auto"/>
              <w:bottom w:val="single" w:sz="4" w:space="0" w:color="auto"/>
            </w:tcBorders>
            <w:shd w:val="clear" w:color="auto" w:fill="FABF8F" w:themeFill="accent6" w:themeFillTint="99"/>
            <w:vAlign w:val="center"/>
            <w:hideMark/>
          </w:tcPr>
          <w:p w:rsidR="00DB393D" w:rsidRPr="006C0B24" w:rsidRDefault="00DB393D" w:rsidP="003724D2">
            <w:pPr>
              <w:pStyle w:val="cuadroCabe"/>
              <w:rPr>
                <w:lang w:val="es-ES" w:eastAsia="es-ES"/>
              </w:rPr>
            </w:pPr>
            <w:r w:rsidRPr="006C0B24">
              <w:rPr>
                <w:lang w:val="es-ES" w:eastAsia="es-ES"/>
              </w:rPr>
              <w:t>Ocupación 2014</w:t>
            </w:r>
          </w:p>
        </w:tc>
        <w:tc>
          <w:tcPr>
            <w:tcW w:w="1559" w:type="dxa"/>
            <w:tcBorders>
              <w:top w:val="single" w:sz="4" w:space="0" w:color="auto"/>
              <w:bottom w:val="single" w:sz="4" w:space="0" w:color="auto"/>
            </w:tcBorders>
            <w:shd w:val="clear" w:color="auto" w:fill="FABF8F" w:themeFill="accent6" w:themeFillTint="99"/>
            <w:vAlign w:val="center"/>
            <w:hideMark/>
          </w:tcPr>
          <w:p w:rsidR="00DB393D" w:rsidRPr="006C0B24" w:rsidRDefault="00DB393D" w:rsidP="003724D2">
            <w:pPr>
              <w:pStyle w:val="cuadroCabe"/>
              <w:rPr>
                <w:lang w:val="es-ES" w:eastAsia="es-ES"/>
              </w:rPr>
            </w:pPr>
            <w:r w:rsidRPr="006C0B24">
              <w:rPr>
                <w:lang w:val="es-ES" w:eastAsia="es-ES"/>
              </w:rPr>
              <w:t>Ocupación 2015</w:t>
            </w:r>
          </w:p>
        </w:tc>
      </w:tr>
      <w:tr w:rsidR="00DB393D" w:rsidRPr="00DB393D" w:rsidTr="00C115DD">
        <w:trPr>
          <w:trHeight w:val="227"/>
          <w:jc w:val="center"/>
        </w:trPr>
        <w:tc>
          <w:tcPr>
            <w:tcW w:w="5609" w:type="dxa"/>
            <w:tcBorders>
              <w:top w:val="single" w:sz="4" w:space="0" w:color="auto"/>
              <w:bottom w:val="single" w:sz="2" w:space="0" w:color="auto"/>
            </w:tcBorders>
            <w:shd w:val="clear" w:color="auto" w:fill="auto"/>
            <w:noWrap/>
            <w:vAlign w:val="center"/>
            <w:hideMark/>
          </w:tcPr>
          <w:p w:rsidR="00DB393D" w:rsidRPr="006C0B24" w:rsidRDefault="006C0B24" w:rsidP="003724D2">
            <w:pPr>
              <w:pStyle w:val="cuatexto"/>
            </w:pPr>
            <w:r>
              <w:t>1 de enero</w:t>
            </w:r>
          </w:p>
        </w:tc>
        <w:tc>
          <w:tcPr>
            <w:tcW w:w="1559" w:type="dxa"/>
            <w:tcBorders>
              <w:top w:val="single" w:sz="4"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81</w:t>
            </w:r>
          </w:p>
        </w:tc>
        <w:tc>
          <w:tcPr>
            <w:tcW w:w="1559" w:type="dxa"/>
            <w:tcBorders>
              <w:top w:val="single" w:sz="4"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85</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6C0B24" w:rsidP="003724D2">
            <w:pPr>
              <w:pStyle w:val="cuatexto"/>
            </w:pPr>
            <w:r>
              <w:t>1 de febrero</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82</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83</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6C0B24" w:rsidP="003724D2">
            <w:pPr>
              <w:pStyle w:val="cuatexto"/>
            </w:pPr>
            <w:r>
              <w:t>1 de marzo</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82</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82</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6C0B24" w:rsidP="003724D2">
            <w:pPr>
              <w:pStyle w:val="cuatexto"/>
            </w:pPr>
            <w:r>
              <w:t>1 de abril</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79</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80</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6C0B24" w:rsidP="003724D2">
            <w:pPr>
              <w:pStyle w:val="cuatexto"/>
            </w:pPr>
            <w:r>
              <w:t>1 de mayo</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82</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81</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pPr>
            <w:r w:rsidRPr="006C0B24">
              <w:t>1</w:t>
            </w:r>
            <w:r w:rsidR="006C0B24">
              <w:t xml:space="preserve"> de junio</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85</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81</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pPr>
            <w:r w:rsidRPr="006C0B24">
              <w:t>1</w:t>
            </w:r>
            <w:r w:rsidR="006C0B24">
              <w:t xml:space="preserve"> de julio</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85</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81</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pPr>
            <w:r w:rsidRPr="006C0B24">
              <w:t>1</w:t>
            </w:r>
            <w:r w:rsidR="006C0B24">
              <w:t xml:space="preserve"> de agosto</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84</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82</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pPr>
            <w:r w:rsidRPr="006C0B24">
              <w:t>1</w:t>
            </w:r>
            <w:r w:rsidR="006C0B24">
              <w:t xml:space="preserve"> de septiembre</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87</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84</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pPr>
            <w:r w:rsidRPr="006C0B24">
              <w:t>1</w:t>
            </w:r>
            <w:r w:rsidR="006C0B24">
              <w:t xml:space="preserve"> de octubre</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86</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85</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pPr>
            <w:r w:rsidRPr="006C0B24">
              <w:t>1</w:t>
            </w:r>
            <w:r w:rsidR="006C0B24">
              <w:t xml:space="preserve"> de noviembre</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86</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85</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pPr>
            <w:r w:rsidRPr="006C0B24">
              <w:t>1</w:t>
            </w:r>
            <w:r w:rsidR="006C0B24">
              <w:t xml:space="preserve"> de diciembre</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84</w:t>
            </w:r>
          </w:p>
        </w:tc>
        <w:tc>
          <w:tcPr>
            <w:tcW w:w="1559" w:type="dxa"/>
            <w:tcBorders>
              <w:top w:val="single" w:sz="2" w:space="0" w:color="auto"/>
              <w:bottom w:val="single" w:sz="2" w:space="0" w:color="auto"/>
            </w:tcBorders>
            <w:shd w:val="clear" w:color="auto" w:fill="auto"/>
            <w:noWrap/>
            <w:vAlign w:val="center"/>
            <w:hideMark/>
          </w:tcPr>
          <w:p w:rsidR="00DB393D" w:rsidRPr="006C0B24" w:rsidRDefault="00DB393D" w:rsidP="003724D2">
            <w:pPr>
              <w:pStyle w:val="cuatexto"/>
              <w:jc w:val="right"/>
            </w:pPr>
            <w:r w:rsidRPr="006C0B24">
              <w:t>86</w:t>
            </w:r>
          </w:p>
        </w:tc>
      </w:tr>
      <w:tr w:rsidR="00DB393D" w:rsidRPr="00DB393D" w:rsidTr="00C115DD">
        <w:trPr>
          <w:trHeight w:val="227"/>
          <w:jc w:val="center"/>
        </w:trPr>
        <w:tc>
          <w:tcPr>
            <w:tcW w:w="5609" w:type="dxa"/>
            <w:tcBorders>
              <w:top w:val="single" w:sz="2" w:space="0" w:color="auto"/>
              <w:bottom w:val="single" w:sz="2" w:space="0" w:color="auto"/>
            </w:tcBorders>
            <w:shd w:val="clear" w:color="auto" w:fill="FABF8F" w:themeFill="accent6" w:themeFillTint="99"/>
            <w:noWrap/>
            <w:vAlign w:val="center"/>
            <w:hideMark/>
          </w:tcPr>
          <w:p w:rsidR="006C0B24" w:rsidRPr="006C0B24" w:rsidRDefault="006C0B24" w:rsidP="003724D2">
            <w:pPr>
              <w:pStyle w:val="cuadroCabe"/>
              <w:rPr>
                <w:lang w:val="es-ES" w:eastAsia="es-ES"/>
              </w:rPr>
            </w:pPr>
            <w:r w:rsidRPr="006C0B24">
              <w:rPr>
                <w:lang w:val="es-ES" w:eastAsia="es-ES"/>
              </w:rPr>
              <w:t>Media anual</w:t>
            </w:r>
          </w:p>
        </w:tc>
        <w:tc>
          <w:tcPr>
            <w:tcW w:w="1559" w:type="dxa"/>
            <w:tcBorders>
              <w:top w:val="single" w:sz="2" w:space="0" w:color="auto"/>
              <w:bottom w:val="single" w:sz="2" w:space="0" w:color="auto"/>
            </w:tcBorders>
            <w:shd w:val="clear" w:color="auto" w:fill="FABF8F" w:themeFill="accent6" w:themeFillTint="99"/>
            <w:noWrap/>
            <w:vAlign w:val="center"/>
            <w:hideMark/>
          </w:tcPr>
          <w:p w:rsidR="00DB393D" w:rsidRPr="006C0B24" w:rsidRDefault="00DB393D" w:rsidP="003724D2">
            <w:pPr>
              <w:pStyle w:val="cuadroCabe"/>
              <w:jc w:val="right"/>
              <w:rPr>
                <w:lang w:val="es-ES" w:eastAsia="es-ES"/>
              </w:rPr>
            </w:pPr>
            <w:r w:rsidRPr="006C0B24">
              <w:rPr>
                <w:lang w:val="es-ES" w:eastAsia="es-ES"/>
              </w:rPr>
              <w:t>84</w:t>
            </w:r>
          </w:p>
        </w:tc>
        <w:tc>
          <w:tcPr>
            <w:tcW w:w="1559" w:type="dxa"/>
            <w:tcBorders>
              <w:top w:val="single" w:sz="2" w:space="0" w:color="auto"/>
              <w:bottom w:val="single" w:sz="2" w:space="0" w:color="auto"/>
            </w:tcBorders>
            <w:shd w:val="clear" w:color="auto" w:fill="FABF8F" w:themeFill="accent6" w:themeFillTint="99"/>
            <w:noWrap/>
            <w:vAlign w:val="center"/>
            <w:hideMark/>
          </w:tcPr>
          <w:p w:rsidR="00DB393D" w:rsidRPr="006C0B24" w:rsidRDefault="00DB393D" w:rsidP="003724D2">
            <w:pPr>
              <w:pStyle w:val="cuadroCabe"/>
              <w:jc w:val="right"/>
              <w:rPr>
                <w:lang w:val="es-ES" w:eastAsia="es-ES"/>
              </w:rPr>
            </w:pPr>
            <w:bookmarkStart w:id="42" w:name="RANGE!D17"/>
            <w:r w:rsidRPr="006C0B24">
              <w:rPr>
                <w:lang w:val="es-ES" w:eastAsia="es-ES"/>
              </w:rPr>
              <w:t>83</w:t>
            </w:r>
            <w:bookmarkEnd w:id="42"/>
          </w:p>
        </w:tc>
      </w:tr>
      <w:tr w:rsidR="008F6E54" w:rsidRPr="00DB393D" w:rsidTr="00C115DD">
        <w:trPr>
          <w:trHeight w:val="227"/>
          <w:jc w:val="center"/>
        </w:trPr>
        <w:tc>
          <w:tcPr>
            <w:tcW w:w="5609" w:type="dxa"/>
            <w:tcBorders>
              <w:top w:val="single" w:sz="2" w:space="0" w:color="auto"/>
              <w:bottom w:val="single" w:sz="2" w:space="0" w:color="auto"/>
            </w:tcBorders>
            <w:shd w:val="clear" w:color="auto" w:fill="FABF8F" w:themeFill="accent6" w:themeFillTint="99"/>
            <w:noWrap/>
            <w:vAlign w:val="center"/>
          </w:tcPr>
          <w:p w:rsidR="008F6E54" w:rsidRPr="006C0B24" w:rsidRDefault="008F6E54" w:rsidP="003724D2">
            <w:pPr>
              <w:pStyle w:val="cuadroCabe"/>
              <w:rPr>
                <w:lang w:val="es-ES" w:eastAsia="es-ES"/>
              </w:rPr>
            </w:pPr>
            <w:r w:rsidRPr="006C0B24">
              <w:rPr>
                <w:lang w:val="es-ES" w:eastAsia="es-ES"/>
              </w:rPr>
              <w:t>Plazas totales</w:t>
            </w:r>
          </w:p>
        </w:tc>
        <w:tc>
          <w:tcPr>
            <w:tcW w:w="1559" w:type="dxa"/>
            <w:tcBorders>
              <w:top w:val="single" w:sz="2" w:space="0" w:color="auto"/>
              <w:bottom w:val="single" w:sz="2" w:space="0" w:color="auto"/>
            </w:tcBorders>
            <w:shd w:val="clear" w:color="auto" w:fill="FABF8F" w:themeFill="accent6" w:themeFillTint="99"/>
            <w:noWrap/>
            <w:vAlign w:val="center"/>
          </w:tcPr>
          <w:p w:rsidR="008F6E54" w:rsidRPr="006C0B24" w:rsidRDefault="008F6E54" w:rsidP="003724D2">
            <w:pPr>
              <w:pStyle w:val="cuadroCabe"/>
              <w:jc w:val="right"/>
              <w:rPr>
                <w:lang w:val="es-ES" w:eastAsia="es-ES"/>
              </w:rPr>
            </w:pPr>
            <w:r w:rsidRPr="006C0B24">
              <w:rPr>
                <w:lang w:val="es-ES" w:eastAsia="es-ES"/>
              </w:rPr>
              <w:t>89</w:t>
            </w:r>
          </w:p>
        </w:tc>
        <w:tc>
          <w:tcPr>
            <w:tcW w:w="1559" w:type="dxa"/>
            <w:tcBorders>
              <w:top w:val="single" w:sz="2" w:space="0" w:color="auto"/>
              <w:bottom w:val="single" w:sz="2" w:space="0" w:color="auto"/>
            </w:tcBorders>
            <w:shd w:val="clear" w:color="auto" w:fill="FABF8F" w:themeFill="accent6" w:themeFillTint="99"/>
            <w:noWrap/>
            <w:vAlign w:val="center"/>
          </w:tcPr>
          <w:p w:rsidR="008F6E54" w:rsidRPr="006C0B24" w:rsidRDefault="008F6E54" w:rsidP="003724D2">
            <w:pPr>
              <w:pStyle w:val="cuadroCabe"/>
              <w:jc w:val="right"/>
              <w:rPr>
                <w:lang w:val="es-ES" w:eastAsia="es-ES"/>
              </w:rPr>
            </w:pPr>
            <w:r w:rsidRPr="006C0B24">
              <w:rPr>
                <w:lang w:val="es-ES" w:eastAsia="es-ES"/>
              </w:rPr>
              <w:t>89</w:t>
            </w:r>
          </w:p>
        </w:tc>
      </w:tr>
      <w:tr w:rsidR="008F6E54" w:rsidRPr="00DB393D" w:rsidTr="00C115DD">
        <w:trPr>
          <w:trHeight w:val="227"/>
          <w:jc w:val="center"/>
        </w:trPr>
        <w:tc>
          <w:tcPr>
            <w:tcW w:w="5609" w:type="dxa"/>
            <w:tcBorders>
              <w:top w:val="single" w:sz="2" w:space="0" w:color="auto"/>
              <w:bottom w:val="single" w:sz="4" w:space="0" w:color="auto"/>
            </w:tcBorders>
            <w:shd w:val="clear" w:color="auto" w:fill="FABF8F" w:themeFill="accent6" w:themeFillTint="99"/>
            <w:noWrap/>
            <w:vAlign w:val="center"/>
          </w:tcPr>
          <w:p w:rsidR="008F6E54" w:rsidRPr="006C0B24" w:rsidRDefault="008F6E54" w:rsidP="003724D2">
            <w:pPr>
              <w:pStyle w:val="cuadroCabe"/>
              <w:rPr>
                <w:lang w:val="es-ES" w:eastAsia="es-ES"/>
              </w:rPr>
            </w:pPr>
            <w:r w:rsidRPr="006C0B24">
              <w:rPr>
                <w:lang w:val="es-ES" w:eastAsia="es-ES"/>
              </w:rPr>
              <w:t xml:space="preserve">% </w:t>
            </w:r>
            <w:r w:rsidR="00BA0060">
              <w:rPr>
                <w:lang w:val="es-ES" w:eastAsia="es-ES"/>
              </w:rPr>
              <w:t>O</w:t>
            </w:r>
            <w:r w:rsidR="00BA0060" w:rsidRPr="006C0B24">
              <w:rPr>
                <w:lang w:val="es-ES" w:eastAsia="es-ES"/>
              </w:rPr>
              <w:t>cupación</w:t>
            </w:r>
          </w:p>
        </w:tc>
        <w:tc>
          <w:tcPr>
            <w:tcW w:w="1559" w:type="dxa"/>
            <w:tcBorders>
              <w:top w:val="single" w:sz="2" w:space="0" w:color="auto"/>
              <w:bottom w:val="single" w:sz="4" w:space="0" w:color="auto"/>
            </w:tcBorders>
            <w:shd w:val="clear" w:color="auto" w:fill="FABF8F" w:themeFill="accent6" w:themeFillTint="99"/>
            <w:noWrap/>
            <w:vAlign w:val="center"/>
          </w:tcPr>
          <w:p w:rsidR="008F6E54" w:rsidRPr="006C0B24" w:rsidRDefault="007F1F26" w:rsidP="003724D2">
            <w:pPr>
              <w:pStyle w:val="cuadroCabe"/>
              <w:jc w:val="right"/>
              <w:rPr>
                <w:lang w:val="es-ES" w:eastAsia="es-ES"/>
              </w:rPr>
            </w:pPr>
            <w:r>
              <w:rPr>
                <w:lang w:val="es-ES" w:eastAsia="es-ES"/>
              </w:rPr>
              <w:t>94</w:t>
            </w:r>
          </w:p>
        </w:tc>
        <w:tc>
          <w:tcPr>
            <w:tcW w:w="1559" w:type="dxa"/>
            <w:tcBorders>
              <w:top w:val="single" w:sz="2" w:space="0" w:color="auto"/>
              <w:bottom w:val="single" w:sz="4" w:space="0" w:color="auto"/>
            </w:tcBorders>
            <w:shd w:val="clear" w:color="auto" w:fill="FABF8F" w:themeFill="accent6" w:themeFillTint="99"/>
            <w:noWrap/>
            <w:vAlign w:val="center"/>
          </w:tcPr>
          <w:p w:rsidR="008F6E54" w:rsidRPr="006C0B24" w:rsidRDefault="008F6E54" w:rsidP="003724D2">
            <w:pPr>
              <w:pStyle w:val="cuadroCabe"/>
              <w:jc w:val="right"/>
              <w:rPr>
                <w:lang w:val="es-ES" w:eastAsia="es-ES"/>
              </w:rPr>
            </w:pPr>
            <w:r w:rsidRPr="006C0B24">
              <w:rPr>
                <w:lang w:val="es-ES" w:eastAsia="es-ES"/>
              </w:rPr>
              <w:t>93</w:t>
            </w:r>
          </w:p>
        </w:tc>
      </w:tr>
    </w:tbl>
    <w:p w:rsidR="00DB393D" w:rsidRDefault="005E0C18" w:rsidP="00E8662C">
      <w:pPr>
        <w:pStyle w:val="texto"/>
        <w:tabs>
          <w:tab w:val="clear" w:pos="2835"/>
          <w:tab w:val="clear" w:pos="3969"/>
          <w:tab w:val="clear" w:pos="5103"/>
          <w:tab w:val="clear" w:pos="6237"/>
          <w:tab w:val="clear" w:pos="7371"/>
          <w:tab w:val="left" w:pos="480"/>
          <w:tab w:val="num" w:pos="720"/>
          <w:tab w:val="num" w:pos="928"/>
          <w:tab w:val="num" w:pos="6597"/>
        </w:tabs>
      </w:pPr>
      <w:r>
        <w:t xml:space="preserve">Como </w:t>
      </w:r>
      <w:r w:rsidR="005116B7">
        <w:t xml:space="preserve">se observa, mantiene un </w:t>
      </w:r>
      <w:r>
        <w:t>grado de ocupación</w:t>
      </w:r>
      <w:r w:rsidR="005116B7">
        <w:t xml:space="preserve"> muy semejante en ambos ejercicios</w:t>
      </w:r>
      <w:r>
        <w:t xml:space="preserve">. Así mismo desde agosto de 2015 las </w:t>
      </w:r>
      <w:r w:rsidR="00EA15CB">
        <w:t xml:space="preserve">20 </w:t>
      </w:r>
      <w:r>
        <w:t>plazas concertadas con el Gobierno de Navarra, están totalmente ocupadas desde dich</w:t>
      </w:r>
      <w:r w:rsidR="00B178B3">
        <w:t>a fecha</w:t>
      </w:r>
      <w:r>
        <w:t>; en idéntica situación de ocupación se encuentran las 30 plazas concertadas para el psicog</w:t>
      </w:r>
      <w:r>
        <w:t>e</w:t>
      </w:r>
      <w:r>
        <w:t xml:space="preserve">riátrico. </w:t>
      </w:r>
    </w:p>
    <w:p w:rsidR="002B16A6" w:rsidRPr="008F61FB" w:rsidRDefault="002B16A6" w:rsidP="008F61FB">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pacing w:val="2"/>
        </w:rPr>
      </w:pPr>
      <w:r>
        <w:t>Comparación ratios de personal</w:t>
      </w:r>
      <w:r w:rsidR="005E0C18">
        <w:t xml:space="preserve"> de tercera edad</w:t>
      </w:r>
      <w:r>
        <w:t xml:space="preserve"> con lo señalado en el co</w:t>
      </w:r>
      <w:r>
        <w:t>n</w:t>
      </w:r>
      <w:r>
        <w:t>cierto</w:t>
      </w:r>
      <w:r w:rsidR="005E0C18">
        <w:t>.</w:t>
      </w:r>
      <w:r w:rsidR="005E0C18" w:rsidRPr="008F61FB">
        <w:rPr>
          <w:spacing w:val="2"/>
        </w:rPr>
        <w:t xml:space="preserve"> En el cuadro siguiente se compara las exige</w:t>
      </w:r>
      <w:r w:rsidR="00B178B3" w:rsidRPr="008F61FB">
        <w:rPr>
          <w:spacing w:val="2"/>
        </w:rPr>
        <w:t>ncias</w:t>
      </w:r>
      <w:r w:rsidR="005E0C18" w:rsidRPr="008F61FB">
        <w:rPr>
          <w:spacing w:val="2"/>
        </w:rPr>
        <w:t xml:space="preserve"> que demanda el Gobierno de Navarra</w:t>
      </w:r>
      <w:r w:rsidR="00B178B3" w:rsidRPr="008F61FB">
        <w:rPr>
          <w:spacing w:val="2"/>
        </w:rPr>
        <w:t xml:space="preserve"> en el concierto </w:t>
      </w:r>
      <w:r w:rsidR="005E0C18" w:rsidRPr="008F61FB">
        <w:rPr>
          <w:spacing w:val="2"/>
        </w:rPr>
        <w:t>de terce</w:t>
      </w:r>
      <w:r w:rsidR="00B178B3" w:rsidRPr="008F61FB">
        <w:rPr>
          <w:spacing w:val="2"/>
        </w:rPr>
        <w:t>r</w:t>
      </w:r>
      <w:r w:rsidR="005E0C18" w:rsidRPr="008F61FB">
        <w:rPr>
          <w:spacing w:val="2"/>
        </w:rPr>
        <w:t xml:space="preserve">a edad </w:t>
      </w:r>
      <w:r w:rsidR="00B178B3" w:rsidRPr="008F61FB">
        <w:rPr>
          <w:spacing w:val="2"/>
        </w:rPr>
        <w:t>con la plantilla de la residencia</w:t>
      </w:r>
      <w:r w:rsidR="008F61FB" w:rsidRPr="008F61FB">
        <w:rPr>
          <w:spacing w:val="2"/>
        </w:rPr>
        <w:t>.</w:t>
      </w:r>
    </w:p>
    <w:tbl>
      <w:tblPr>
        <w:tblW w:w="8651" w:type="dxa"/>
        <w:jc w:val="center"/>
        <w:tblCellMar>
          <w:left w:w="70" w:type="dxa"/>
          <w:right w:w="70" w:type="dxa"/>
        </w:tblCellMar>
        <w:tblLook w:val="04A0" w:firstRow="1" w:lastRow="0" w:firstColumn="1" w:lastColumn="0" w:noHBand="0" w:noVBand="1"/>
      </w:tblPr>
      <w:tblGrid>
        <w:gridCol w:w="6260"/>
        <w:gridCol w:w="1300"/>
        <w:gridCol w:w="1091"/>
      </w:tblGrid>
      <w:tr w:rsidR="00B178B3" w:rsidRPr="002B16A6" w:rsidTr="00C115DD">
        <w:trPr>
          <w:trHeight w:val="255"/>
          <w:jc w:val="center"/>
        </w:trPr>
        <w:tc>
          <w:tcPr>
            <w:tcW w:w="6260" w:type="dxa"/>
            <w:tcBorders>
              <w:top w:val="single" w:sz="4" w:space="0" w:color="auto"/>
              <w:bottom w:val="single" w:sz="4" w:space="0" w:color="auto"/>
            </w:tcBorders>
            <w:shd w:val="clear" w:color="auto" w:fill="FABF8F" w:themeFill="accent6" w:themeFillTint="99"/>
            <w:noWrap/>
            <w:vAlign w:val="center"/>
            <w:hideMark/>
          </w:tcPr>
          <w:p w:rsidR="00B178B3" w:rsidRPr="002B16A6" w:rsidRDefault="00B178B3" w:rsidP="00B178B3">
            <w:pPr>
              <w:pStyle w:val="cuadroCabe"/>
              <w:rPr>
                <w:lang w:val="es-ES" w:eastAsia="es-ES"/>
              </w:rPr>
            </w:pPr>
            <w:r w:rsidRPr="002B16A6">
              <w:rPr>
                <w:lang w:val="es-ES" w:eastAsia="es-ES"/>
              </w:rPr>
              <w:t>Categoría</w:t>
            </w:r>
          </w:p>
        </w:tc>
        <w:tc>
          <w:tcPr>
            <w:tcW w:w="1300" w:type="dxa"/>
            <w:tcBorders>
              <w:top w:val="single" w:sz="4" w:space="0" w:color="auto"/>
              <w:bottom w:val="single" w:sz="4" w:space="0" w:color="auto"/>
            </w:tcBorders>
            <w:shd w:val="clear" w:color="auto" w:fill="FABF8F" w:themeFill="accent6" w:themeFillTint="99"/>
            <w:vAlign w:val="center"/>
            <w:hideMark/>
          </w:tcPr>
          <w:p w:rsidR="00B178B3" w:rsidRPr="002B16A6" w:rsidRDefault="00B178B3" w:rsidP="00AE2266">
            <w:pPr>
              <w:pStyle w:val="cuadroCabe"/>
              <w:jc w:val="right"/>
              <w:rPr>
                <w:lang w:val="es-ES" w:eastAsia="es-ES"/>
              </w:rPr>
            </w:pPr>
            <w:r w:rsidRPr="00B178B3">
              <w:rPr>
                <w:lang w:val="es-ES" w:eastAsia="es-ES"/>
              </w:rPr>
              <w:t>C</w:t>
            </w:r>
            <w:r w:rsidRPr="002B16A6">
              <w:rPr>
                <w:lang w:val="es-ES" w:eastAsia="es-ES"/>
              </w:rPr>
              <w:t>oncierto</w:t>
            </w:r>
          </w:p>
        </w:tc>
        <w:tc>
          <w:tcPr>
            <w:tcW w:w="1091" w:type="dxa"/>
            <w:tcBorders>
              <w:top w:val="single" w:sz="4" w:space="0" w:color="auto"/>
              <w:bottom w:val="single" w:sz="4" w:space="0" w:color="auto"/>
            </w:tcBorders>
            <w:shd w:val="clear" w:color="auto" w:fill="FABF8F" w:themeFill="accent6" w:themeFillTint="99"/>
            <w:vAlign w:val="center"/>
            <w:hideMark/>
          </w:tcPr>
          <w:p w:rsidR="00B178B3" w:rsidRPr="002B16A6" w:rsidRDefault="00B178B3" w:rsidP="00B178B3">
            <w:pPr>
              <w:pStyle w:val="cuadroCabe"/>
              <w:rPr>
                <w:lang w:val="es-ES" w:eastAsia="es-ES"/>
              </w:rPr>
            </w:pPr>
            <w:r w:rsidRPr="00B178B3">
              <w:rPr>
                <w:lang w:val="es-ES" w:eastAsia="es-ES"/>
              </w:rPr>
              <w:t>Residencia</w:t>
            </w:r>
          </w:p>
        </w:tc>
      </w:tr>
      <w:tr w:rsidR="00B178B3" w:rsidRPr="002B16A6" w:rsidTr="00C115DD">
        <w:trPr>
          <w:trHeight w:val="255"/>
          <w:jc w:val="center"/>
        </w:trPr>
        <w:tc>
          <w:tcPr>
            <w:tcW w:w="6260" w:type="dxa"/>
            <w:tcBorders>
              <w:top w:val="single" w:sz="4" w:space="0" w:color="auto"/>
              <w:bottom w:val="single" w:sz="2" w:space="0" w:color="auto"/>
            </w:tcBorders>
            <w:shd w:val="clear" w:color="auto" w:fill="auto"/>
            <w:noWrap/>
            <w:vAlign w:val="center"/>
            <w:hideMark/>
          </w:tcPr>
          <w:p w:rsidR="00B178B3" w:rsidRPr="002B16A6" w:rsidRDefault="00B178B3" w:rsidP="00B178B3">
            <w:pPr>
              <w:pStyle w:val="cuatexto"/>
            </w:pPr>
            <w:r w:rsidRPr="002B16A6">
              <w:t>Director</w:t>
            </w:r>
            <w:r w:rsidR="00241717">
              <w:t xml:space="preserve"> (número)</w:t>
            </w:r>
          </w:p>
        </w:tc>
        <w:tc>
          <w:tcPr>
            <w:tcW w:w="1300" w:type="dxa"/>
            <w:tcBorders>
              <w:top w:val="single" w:sz="4"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0,75</w:t>
            </w:r>
          </w:p>
        </w:tc>
        <w:tc>
          <w:tcPr>
            <w:tcW w:w="1091" w:type="dxa"/>
            <w:tcBorders>
              <w:top w:val="single" w:sz="4"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1</w:t>
            </w:r>
          </w:p>
        </w:tc>
      </w:tr>
      <w:tr w:rsidR="00B178B3" w:rsidRPr="002B16A6" w:rsidTr="00C115DD">
        <w:trPr>
          <w:trHeight w:val="255"/>
          <w:jc w:val="center"/>
        </w:trPr>
        <w:tc>
          <w:tcPr>
            <w:tcW w:w="6260" w:type="dxa"/>
            <w:tcBorders>
              <w:top w:val="single" w:sz="2" w:space="0" w:color="auto"/>
              <w:bottom w:val="single" w:sz="2" w:space="0" w:color="auto"/>
            </w:tcBorders>
            <w:shd w:val="clear" w:color="auto" w:fill="auto"/>
            <w:noWrap/>
            <w:vAlign w:val="center"/>
            <w:hideMark/>
          </w:tcPr>
          <w:p w:rsidR="00B178B3" w:rsidRPr="002B16A6" w:rsidRDefault="00B178B3" w:rsidP="00241717">
            <w:pPr>
              <w:pStyle w:val="cuatexto"/>
            </w:pPr>
            <w:r w:rsidRPr="002B16A6">
              <w:t>Enfermer</w:t>
            </w:r>
            <w:r w:rsidR="00241717">
              <w:t>o (número)</w:t>
            </w:r>
          </w:p>
        </w:tc>
        <w:tc>
          <w:tcPr>
            <w:tcW w:w="130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3,36</w:t>
            </w:r>
          </w:p>
        </w:tc>
        <w:tc>
          <w:tcPr>
            <w:tcW w:w="1091"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3</w:t>
            </w:r>
          </w:p>
        </w:tc>
      </w:tr>
      <w:tr w:rsidR="00B178B3" w:rsidRPr="002B16A6" w:rsidTr="00C115DD">
        <w:trPr>
          <w:trHeight w:val="255"/>
          <w:jc w:val="center"/>
        </w:trPr>
        <w:tc>
          <w:tcPr>
            <w:tcW w:w="626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pPr>
            <w:r w:rsidRPr="002B16A6">
              <w:t>Fisioterapeuta</w:t>
            </w:r>
            <w:r w:rsidR="00241717">
              <w:t xml:space="preserve"> (horas)</w:t>
            </w:r>
          </w:p>
        </w:tc>
        <w:tc>
          <w:tcPr>
            <w:tcW w:w="130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1.283,74</w:t>
            </w:r>
          </w:p>
        </w:tc>
        <w:tc>
          <w:tcPr>
            <w:tcW w:w="1091"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1.145,25</w:t>
            </w:r>
          </w:p>
        </w:tc>
      </w:tr>
      <w:tr w:rsidR="00B178B3" w:rsidRPr="002B16A6" w:rsidTr="00C115DD">
        <w:trPr>
          <w:trHeight w:val="255"/>
          <w:jc w:val="center"/>
        </w:trPr>
        <w:tc>
          <w:tcPr>
            <w:tcW w:w="626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pPr>
            <w:r w:rsidRPr="002B16A6">
              <w:t>Terapia ocupacional</w:t>
            </w:r>
            <w:r w:rsidR="00241717">
              <w:t xml:space="preserve"> (horas)</w:t>
            </w:r>
          </w:p>
        </w:tc>
        <w:tc>
          <w:tcPr>
            <w:tcW w:w="130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1.095,01</w:t>
            </w:r>
          </w:p>
        </w:tc>
        <w:tc>
          <w:tcPr>
            <w:tcW w:w="1091"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961,00</w:t>
            </w:r>
          </w:p>
        </w:tc>
      </w:tr>
      <w:tr w:rsidR="00B178B3" w:rsidRPr="002B16A6" w:rsidTr="00C115DD">
        <w:trPr>
          <w:trHeight w:val="255"/>
          <w:jc w:val="center"/>
        </w:trPr>
        <w:tc>
          <w:tcPr>
            <w:tcW w:w="6260" w:type="dxa"/>
            <w:tcBorders>
              <w:top w:val="single" w:sz="2" w:space="0" w:color="auto"/>
              <w:bottom w:val="single" w:sz="2" w:space="0" w:color="auto"/>
            </w:tcBorders>
            <w:shd w:val="clear" w:color="auto" w:fill="auto"/>
            <w:noWrap/>
            <w:vAlign w:val="center"/>
            <w:hideMark/>
          </w:tcPr>
          <w:p w:rsidR="00B178B3" w:rsidRPr="002B16A6" w:rsidRDefault="00B178B3" w:rsidP="00241717">
            <w:pPr>
              <w:pStyle w:val="cuatexto"/>
            </w:pPr>
            <w:r w:rsidRPr="002B16A6">
              <w:t>Trabajador social</w:t>
            </w:r>
            <w:r w:rsidR="00241717">
              <w:t xml:space="preserve"> </w:t>
            </w:r>
            <w:r w:rsidR="00241717" w:rsidRPr="007E4FB6">
              <w:t>(número)</w:t>
            </w:r>
          </w:p>
        </w:tc>
        <w:tc>
          <w:tcPr>
            <w:tcW w:w="130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0,39</w:t>
            </w:r>
          </w:p>
        </w:tc>
        <w:tc>
          <w:tcPr>
            <w:tcW w:w="1091"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0,64</w:t>
            </w:r>
          </w:p>
        </w:tc>
      </w:tr>
      <w:tr w:rsidR="00B178B3" w:rsidRPr="002B16A6" w:rsidTr="00C115DD">
        <w:trPr>
          <w:trHeight w:val="255"/>
          <w:jc w:val="center"/>
        </w:trPr>
        <w:tc>
          <w:tcPr>
            <w:tcW w:w="626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pPr>
            <w:r w:rsidRPr="002B16A6">
              <w:t>Auxiliar ocio</w:t>
            </w:r>
            <w:r w:rsidR="00241717">
              <w:t xml:space="preserve"> </w:t>
            </w:r>
            <w:r w:rsidR="00241717" w:rsidRPr="007E4FB6">
              <w:t>(número)</w:t>
            </w:r>
          </w:p>
        </w:tc>
        <w:tc>
          <w:tcPr>
            <w:tcW w:w="1300"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r w:rsidRPr="002B16A6">
              <w:t>0,62</w:t>
            </w:r>
          </w:p>
        </w:tc>
        <w:tc>
          <w:tcPr>
            <w:tcW w:w="1091" w:type="dxa"/>
            <w:tcBorders>
              <w:top w:val="single" w:sz="2" w:space="0" w:color="auto"/>
              <w:bottom w:val="single" w:sz="2" w:space="0" w:color="auto"/>
            </w:tcBorders>
            <w:shd w:val="clear" w:color="auto" w:fill="auto"/>
            <w:noWrap/>
            <w:vAlign w:val="center"/>
            <w:hideMark/>
          </w:tcPr>
          <w:p w:rsidR="00B178B3" w:rsidRPr="002B16A6" w:rsidRDefault="00B178B3" w:rsidP="00B178B3">
            <w:pPr>
              <w:pStyle w:val="cuatexto"/>
              <w:jc w:val="right"/>
            </w:pPr>
          </w:p>
        </w:tc>
      </w:tr>
      <w:tr w:rsidR="00B178B3" w:rsidRPr="002B16A6" w:rsidTr="00C115DD">
        <w:trPr>
          <w:trHeight w:val="255"/>
          <w:jc w:val="center"/>
        </w:trPr>
        <w:tc>
          <w:tcPr>
            <w:tcW w:w="6260" w:type="dxa"/>
            <w:tcBorders>
              <w:top w:val="single" w:sz="2" w:space="0" w:color="auto"/>
              <w:bottom w:val="single" w:sz="4" w:space="0" w:color="auto"/>
            </w:tcBorders>
            <w:shd w:val="clear" w:color="auto" w:fill="auto"/>
            <w:noWrap/>
            <w:vAlign w:val="center"/>
            <w:hideMark/>
          </w:tcPr>
          <w:p w:rsidR="00B178B3" w:rsidRPr="002B16A6" w:rsidRDefault="00B178B3" w:rsidP="00B178B3">
            <w:pPr>
              <w:pStyle w:val="cuatexto"/>
            </w:pPr>
            <w:r w:rsidRPr="002B16A6">
              <w:t>Cuidador</w:t>
            </w:r>
            <w:r w:rsidR="00241717">
              <w:t xml:space="preserve"> </w:t>
            </w:r>
            <w:r w:rsidR="00241717" w:rsidRPr="007E4FB6">
              <w:t>(número)</w:t>
            </w:r>
          </w:p>
        </w:tc>
        <w:tc>
          <w:tcPr>
            <w:tcW w:w="1300" w:type="dxa"/>
            <w:tcBorders>
              <w:top w:val="single" w:sz="2" w:space="0" w:color="auto"/>
              <w:bottom w:val="single" w:sz="4" w:space="0" w:color="auto"/>
            </w:tcBorders>
            <w:shd w:val="clear" w:color="auto" w:fill="auto"/>
            <w:noWrap/>
            <w:vAlign w:val="center"/>
            <w:hideMark/>
          </w:tcPr>
          <w:p w:rsidR="00B178B3" w:rsidRPr="002B16A6" w:rsidRDefault="00B178B3" w:rsidP="00B178B3">
            <w:pPr>
              <w:pStyle w:val="cuatexto"/>
              <w:jc w:val="right"/>
            </w:pPr>
            <w:r w:rsidRPr="002B16A6">
              <w:t>27,61</w:t>
            </w:r>
          </w:p>
        </w:tc>
        <w:tc>
          <w:tcPr>
            <w:tcW w:w="1091" w:type="dxa"/>
            <w:tcBorders>
              <w:top w:val="single" w:sz="2" w:space="0" w:color="auto"/>
              <w:bottom w:val="single" w:sz="4" w:space="0" w:color="auto"/>
            </w:tcBorders>
            <w:shd w:val="clear" w:color="auto" w:fill="auto"/>
            <w:noWrap/>
            <w:vAlign w:val="center"/>
            <w:hideMark/>
          </w:tcPr>
          <w:p w:rsidR="00B178B3" w:rsidRPr="002B16A6" w:rsidRDefault="00B178B3" w:rsidP="00B178B3">
            <w:pPr>
              <w:pStyle w:val="cuatexto"/>
              <w:jc w:val="right"/>
            </w:pPr>
            <w:r w:rsidRPr="002B16A6">
              <w:t>21,07</w:t>
            </w:r>
          </w:p>
        </w:tc>
      </w:tr>
    </w:tbl>
    <w:p w:rsidR="002B16A6" w:rsidRDefault="002B16A6" w:rsidP="008F61FB">
      <w:pPr>
        <w:pStyle w:val="texto"/>
        <w:tabs>
          <w:tab w:val="clear" w:pos="2835"/>
          <w:tab w:val="clear" w:pos="3969"/>
          <w:tab w:val="clear" w:pos="5103"/>
          <w:tab w:val="clear" w:pos="6237"/>
          <w:tab w:val="clear" w:pos="7371"/>
          <w:tab w:val="left" w:pos="480"/>
          <w:tab w:val="num" w:pos="928"/>
          <w:tab w:val="num" w:pos="6597"/>
        </w:tabs>
        <w:spacing w:after="0"/>
        <w:ind w:left="289" w:firstLine="0"/>
      </w:pPr>
    </w:p>
    <w:p w:rsidR="00241717" w:rsidRDefault="007818D7" w:rsidP="00241717">
      <w:pPr>
        <w:pStyle w:val="texto"/>
        <w:tabs>
          <w:tab w:val="clear" w:pos="2835"/>
          <w:tab w:val="clear" w:pos="3969"/>
          <w:tab w:val="clear" w:pos="5103"/>
          <w:tab w:val="clear" w:pos="6237"/>
          <w:tab w:val="clear" w:pos="7371"/>
          <w:tab w:val="left" w:pos="480"/>
          <w:tab w:val="num" w:pos="720"/>
          <w:tab w:val="num" w:pos="928"/>
          <w:tab w:val="num" w:pos="6597"/>
        </w:tabs>
        <w:rPr>
          <w:spacing w:val="4"/>
        </w:rPr>
      </w:pPr>
      <w:r w:rsidRPr="00EF7F37">
        <w:rPr>
          <w:spacing w:val="4"/>
        </w:rPr>
        <w:t>Es decir,</w:t>
      </w:r>
      <w:r w:rsidR="00241717" w:rsidRPr="00EF7F37">
        <w:rPr>
          <w:spacing w:val="4"/>
        </w:rPr>
        <w:t xml:space="preserve"> excepto el puesto de director y del trabajador social, el resto de ind</w:t>
      </w:r>
      <w:r w:rsidR="00241717" w:rsidRPr="00EF7F37">
        <w:rPr>
          <w:spacing w:val="4"/>
        </w:rPr>
        <w:t>i</w:t>
      </w:r>
      <w:r w:rsidR="00241717" w:rsidRPr="00EF7F37">
        <w:rPr>
          <w:spacing w:val="4"/>
        </w:rPr>
        <w:t>cadores de personal de la residencia son inferiores al exigido contractualmente.</w:t>
      </w:r>
    </w:p>
    <w:p w:rsidR="00266782" w:rsidRPr="00BA6282" w:rsidRDefault="00266782" w:rsidP="00241717">
      <w:pPr>
        <w:pStyle w:val="texto"/>
        <w:tabs>
          <w:tab w:val="clear" w:pos="2835"/>
          <w:tab w:val="clear" w:pos="3969"/>
          <w:tab w:val="clear" w:pos="5103"/>
          <w:tab w:val="clear" w:pos="6237"/>
          <w:tab w:val="clear" w:pos="7371"/>
          <w:tab w:val="left" w:pos="480"/>
          <w:tab w:val="num" w:pos="720"/>
          <w:tab w:val="num" w:pos="928"/>
          <w:tab w:val="num" w:pos="6597"/>
        </w:tabs>
      </w:pPr>
      <w:r w:rsidRPr="00BA6282">
        <w:t xml:space="preserve">Por su parte, en la inspección realizada por el </w:t>
      </w:r>
      <w:r w:rsidR="00417F59">
        <w:t>Departamento de Derechos Sociales</w:t>
      </w:r>
      <w:r w:rsidRPr="00BA6282">
        <w:t xml:space="preserve"> en 2016, se ha realizado un estudio de ratios de personal de la reside</w:t>
      </w:r>
      <w:r w:rsidRPr="00BA6282">
        <w:t>n</w:t>
      </w:r>
      <w:r w:rsidRPr="00BA6282">
        <w:t>cia con los fichajes de ocho semanas consecutivas (desde el 16 de septiembre al 10 de noviembre de 2016) y la ocupación según dependencia de cada uno de los días analizados. Las conclusiones del mismo</w:t>
      </w:r>
      <w:r w:rsidR="00BA6282">
        <w:t xml:space="preserve"> para el periodo analizado</w:t>
      </w:r>
      <w:r w:rsidRPr="00BA6282">
        <w:t xml:space="preserve"> se res</w:t>
      </w:r>
      <w:r w:rsidRPr="00BA6282">
        <w:t>u</w:t>
      </w:r>
      <w:r w:rsidRPr="00BA6282">
        <w:t>men en:</w:t>
      </w:r>
    </w:p>
    <w:p w:rsidR="00266782" w:rsidRPr="00BA6282" w:rsidRDefault="00417F59" w:rsidP="00241717">
      <w:pPr>
        <w:pStyle w:val="texto"/>
        <w:tabs>
          <w:tab w:val="clear" w:pos="2835"/>
          <w:tab w:val="clear" w:pos="3969"/>
          <w:tab w:val="clear" w:pos="5103"/>
          <w:tab w:val="clear" w:pos="6237"/>
          <w:tab w:val="clear" w:pos="7371"/>
          <w:tab w:val="left" w:pos="480"/>
          <w:tab w:val="num" w:pos="720"/>
          <w:tab w:val="num" w:pos="928"/>
          <w:tab w:val="num" w:pos="6597"/>
        </w:tabs>
      </w:pPr>
      <w:r>
        <w:t>a)</w:t>
      </w:r>
      <w:r w:rsidR="00266782" w:rsidRPr="00BA6282">
        <w:t xml:space="preserve"> Existe un déficit de horas en el personal de fisioterapia de 42,14 horas.</w:t>
      </w:r>
    </w:p>
    <w:p w:rsidR="00266782" w:rsidRDefault="00BA6282" w:rsidP="00241717">
      <w:pPr>
        <w:pStyle w:val="texto"/>
        <w:tabs>
          <w:tab w:val="clear" w:pos="2835"/>
          <w:tab w:val="clear" w:pos="3969"/>
          <w:tab w:val="clear" w:pos="5103"/>
          <w:tab w:val="clear" w:pos="6237"/>
          <w:tab w:val="clear" w:pos="7371"/>
          <w:tab w:val="left" w:pos="480"/>
          <w:tab w:val="num" w:pos="720"/>
          <w:tab w:val="num" w:pos="928"/>
          <w:tab w:val="num" w:pos="6597"/>
        </w:tabs>
      </w:pPr>
      <w:r w:rsidRPr="00BA6282">
        <w:t>b) También se aprecia un déficit de horas en el personal de enfermería cua</w:t>
      </w:r>
      <w:r w:rsidRPr="00BA6282">
        <w:t>n</w:t>
      </w:r>
      <w:r w:rsidRPr="00BA6282">
        <w:t xml:space="preserve">tificado en 34,49 horas. </w:t>
      </w:r>
    </w:p>
    <w:p w:rsidR="00BA6282" w:rsidRDefault="00BA6282" w:rsidP="00241717">
      <w:pPr>
        <w:pStyle w:val="texto"/>
        <w:tabs>
          <w:tab w:val="clear" w:pos="2835"/>
          <w:tab w:val="clear" w:pos="3969"/>
          <w:tab w:val="clear" w:pos="5103"/>
          <w:tab w:val="clear" w:pos="6237"/>
          <w:tab w:val="clear" w:pos="7371"/>
          <w:tab w:val="left" w:pos="480"/>
          <w:tab w:val="num" w:pos="720"/>
          <w:tab w:val="num" w:pos="928"/>
          <w:tab w:val="num" w:pos="6597"/>
        </w:tabs>
      </w:pPr>
      <w:r>
        <w:t>c) No existe la figura de monitor de ocio, pero se aprecia un superávit en las horas de atención directa efectuadas</w:t>
      </w:r>
      <w:r w:rsidR="006A7B17">
        <w:t xml:space="preserve"> los servicios generales para cubrir dicha actividad.</w:t>
      </w:r>
    </w:p>
    <w:p w:rsidR="006A7B17" w:rsidRPr="00C115DD" w:rsidRDefault="006A7B17" w:rsidP="00241717">
      <w:pPr>
        <w:pStyle w:val="texto"/>
        <w:tabs>
          <w:tab w:val="clear" w:pos="2835"/>
          <w:tab w:val="clear" w:pos="3969"/>
          <w:tab w:val="clear" w:pos="5103"/>
          <w:tab w:val="clear" w:pos="6237"/>
          <w:tab w:val="clear" w:pos="7371"/>
          <w:tab w:val="left" w:pos="480"/>
          <w:tab w:val="num" w:pos="720"/>
          <w:tab w:val="num" w:pos="928"/>
          <w:tab w:val="num" w:pos="6597"/>
        </w:tabs>
        <w:rPr>
          <w:spacing w:val="0"/>
        </w:rPr>
      </w:pPr>
      <w:r>
        <w:t xml:space="preserve">d) </w:t>
      </w:r>
      <w:r w:rsidRPr="00C115DD">
        <w:rPr>
          <w:spacing w:val="0"/>
        </w:rPr>
        <w:t>Sobre el resto de personal</w:t>
      </w:r>
      <w:r w:rsidR="00417F59" w:rsidRPr="00C115DD">
        <w:rPr>
          <w:spacing w:val="0"/>
        </w:rPr>
        <w:t>,</w:t>
      </w:r>
      <w:r w:rsidRPr="00C115DD">
        <w:rPr>
          <w:spacing w:val="0"/>
        </w:rPr>
        <w:t xml:space="preserve"> se cumple</w:t>
      </w:r>
      <w:r w:rsidR="00417F59" w:rsidRPr="00C115DD">
        <w:rPr>
          <w:spacing w:val="0"/>
        </w:rPr>
        <w:t>n</w:t>
      </w:r>
      <w:r w:rsidRPr="00C115DD">
        <w:rPr>
          <w:spacing w:val="0"/>
        </w:rPr>
        <w:t xml:space="preserve"> las horas establecidas en el concierto.</w:t>
      </w:r>
    </w:p>
    <w:p w:rsidR="005116B7" w:rsidRPr="00646EE3" w:rsidRDefault="005116B7" w:rsidP="00241717">
      <w:pPr>
        <w:pStyle w:val="texto"/>
        <w:tabs>
          <w:tab w:val="clear" w:pos="2835"/>
          <w:tab w:val="clear" w:pos="3969"/>
          <w:tab w:val="clear" w:pos="5103"/>
          <w:tab w:val="clear" w:pos="6237"/>
          <w:tab w:val="clear" w:pos="7371"/>
          <w:tab w:val="left" w:pos="480"/>
          <w:tab w:val="num" w:pos="720"/>
          <w:tab w:val="num" w:pos="928"/>
          <w:tab w:val="num" w:pos="6597"/>
        </w:tabs>
      </w:pPr>
      <w:r w:rsidRPr="00646EE3">
        <w:t>Sobre el conjunto de ratios anteriores, la residencia indica, por un lado, que</w:t>
      </w:r>
      <w:r w:rsidR="00CA4580" w:rsidRPr="00646EE3">
        <w:t>,</w:t>
      </w:r>
      <w:r w:rsidRPr="00646EE3">
        <w:t xml:space="preserve"> </w:t>
      </w:r>
      <w:r w:rsidR="00CA4580" w:rsidRPr="00646EE3">
        <w:t xml:space="preserve">en las </w:t>
      </w:r>
      <w:r w:rsidRPr="00646EE3">
        <w:t>horas de cuidador</w:t>
      </w:r>
      <w:r w:rsidR="00CA4580" w:rsidRPr="00646EE3">
        <w:t xml:space="preserve">, no están incluidas las correspondientes al personal </w:t>
      </w:r>
      <w:r w:rsidR="00B46391" w:rsidRPr="00646EE3">
        <w:t xml:space="preserve">que realiza tales tareas pero que está </w:t>
      </w:r>
      <w:r w:rsidR="00CA4580" w:rsidRPr="00646EE3">
        <w:t>contratado externamente; por otro, las h</w:t>
      </w:r>
      <w:r w:rsidR="00CA4580" w:rsidRPr="00646EE3">
        <w:t>o</w:t>
      </w:r>
      <w:r w:rsidR="00CA4580" w:rsidRPr="00646EE3">
        <w:t xml:space="preserve">ras de enfermería deberían considerarse globalmente </w:t>
      </w:r>
      <w:r w:rsidR="009B405A" w:rsidRPr="00646EE3">
        <w:t>teniendo en cuenta</w:t>
      </w:r>
      <w:r w:rsidR="00CA4580" w:rsidRPr="00646EE3">
        <w:t xml:space="preserve"> </w:t>
      </w:r>
      <w:r w:rsidR="009B405A" w:rsidRPr="00646EE3">
        <w:t xml:space="preserve">los dos </w:t>
      </w:r>
      <w:r w:rsidR="00646EE3">
        <w:t xml:space="preserve">servicios y </w:t>
      </w:r>
      <w:r w:rsidR="009B405A" w:rsidRPr="00646EE3">
        <w:t>conciertos que tiene suscrito la misma con el Gobierno de Navarra.</w:t>
      </w:r>
    </w:p>
    <w:p w:rsidR="009B405A" w:rsidRPr="00C115DD" w:rsidRDefault="00DB393D" w:rsidP="00C115DD">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0"/>
        <w:ind w:left="290" w:firstLine="0"/>
        <w:jc w:val="left"/>
        <w:rPr>
          <w:rFonts w:ascii="Arial" w:hAnsi="Arial"/>
          <w:b/>
          <w:color w:val="000000"/>
          <w:kern w:val="28"/>
          <w:sz w:val="25"/>
          <w:szCs w:val="26"/>
        </w:rPr>
      </w:pPr>
      <w:r>
        <w:t>No se realizan encuestas de satisfacción a los residentes y/o familiares de los mismos.</w:t>
      </w:r>
      <w:r w:rsidR="009B405A">
        <w:br w:type="page"/>
      </w:r>
    </w:p>
    <w:p w:rsidR="003F4A2F" w:rsidRPr="003F4A2F" w:rsidRDefault="003F4A2F" w:rsidP="003F4A2F">
      <w:pPr>
        <w:pStyle w:val="atitulo1"/>
      </w:pPr>
      <w:bookmarkStart w:id="43" w:name="_Toc475093103"/>
      <w:r>
        <w:t>V. Recapitulación o resumen final</w:t>
      </w:r>
      <w:bookmarkEnd w:id="43"/>
    </w:p>
    <w:p w:rsidR="00810C29" w:rsidRPr="00EA7E43" w:rsidRDefault="003F4A2F" w:rsidP="00EA7E43">
      <w:pPr>
        <w:pStyle w:val="texto"/>
        <w:tabs>
          <w:tab w:val="clear" w:pos="2835"/>
          <w:tab w:val="clear" w:pos="3969"/>
          <w:tab w:val="clear" w:pos="5103"/>
          <w:tab w:val="clear" w:pos="6237"/>
          <w:tab w:val="clear" w:pos="7371"/>
          <w:tab w:val="left" w:pos="480"/>
          <w:tab w:val="num" w:pos="720"/>
          <w:tab w:val="num" w:pos="928"/>
          <w:tab w:val="num" w:pos="6597"/>
        </w:tabs>
      </w:pPr>
      <w:r w:rsidRPr="00EA7E43">
        <w:t>En definitiva</w:t>
      </w:r>
      <w:r w:rsidR="00EA15CB" w:rsidRPr="00EA7E43">
        <w:t>,</w:t>
      </w:r>
      <w:r w:rsidRPr="00EA7E43">
        <w:t xml:space="preserve"> y a modo de resumen final, la Mancomunidad de Lumbier</w:t>
      </w:r>
      <w:r w:rsidR="00810C29" w:rsidRPr="00EA7E43">
        <w:t xml:space="preserve"> presta un servicio social esencial que supera su propio ámbito territorial y que exige una </w:t>
      </w:r>
      <w:r w:rsidR="00ED290D" w:rsidRPr="00EA7E43">
        <w:t>destacada</w:t>
      </w:r>
      <w:r w:rsidR="00810C29" w:rsidRPr="00EA7E43">
        <w:t xml:space="preserve"> dedicación de su personal.</w:t>
      </w:r>
      <w:r w:rsidRPr="00EA7E43">
        <w:t xml:space="preserve"> </w:t>
      </w:r>
    </w:p>
    <w:p w:rsidR="003F4A2F" w:rsidRDefault="00810C29" w:rsidP="00EA7E43">
      <w:pPr>
        <w:pStyle w:val="texto"/>
        <w:tabs>
          <w:tab w:val="clear" w:pos="2835"/>
          <w:tab w:val="clear" w:pos="3969"/>
          <w:tab w:val="clear" w:pos="5103"/>
          <w:tab w:val="clear" w:pos="6237"/>
          <w:tab w:val="clear" w:pos="7371"/>
          <w:tab w:val="left" w:pos="480"/>
          <w:tab w:val="num" w:pos="720"/>
          <w:tab w:val="num" w:pos="928"/>
          <w:tab w:val="num" w:pos="6597"/>
        </w:tabs>
      </w:pPr>
      <w:r>
        <w:t>P</w:t>
      </w:r>
      <w:r w:rsidR="003F4A2F" w:rsidRPr="003F4A2F">
        <w:t>resenta</w:t>
      </w:r>
      <w:r w:rsidR="00ED290D">
        <w:t>, en 2015,</w:t>
      </w:r>
      <w:r w:rsidR="003F4A2F" w:rsidRPr="003F4A2F">
        <w:t xml:space="preserve"> una delicada situación financiera</w:t>
      </w:r>
      <w:r w:rsidR="00294168">
        <w:t xml:space="preserve"> de naturaleza estructural</w:t>
      </w:r>
      <w:r w:rsidR="003F4A2F" w:rsidRPr="003F4A2F">
        <w:t xml:space="preserve"> que demanda la adopción urgente </w:t>
      </w:r>
      <w:r w:rsidR="008B2254">
        <w:t xml:space="preserve">de un plan económico </w:t>
      </w:r>
      <w:r w:rsidR="003F4A2F" w:rsidRPr="003F4A2F">
        <w:t xml:space="preserve">que permita </w:t>
      </w:r>
      <w:r w:rsidR="00DD3434">
        <w:t>asegurar su viabilidad financiera.</w:t>
      </w:r>
      <w:r w:rsidR="003F4A2F" w:rsidRPr="003F4A2F">
        <w:t xml:space="preserve"> </w:t>
      </w:r>
    </w:p>
    <w:p w:rsidR="0060072A" w:rsidRPr="003F4A2F" w:rsidRDefault="008607DE" w:rsidP="00EA7E43">
      <w:pPr>
        <w:pStyle w:val="texto"/>
        <w:tabs>
          <w:tab w:val="clear" w:pos="2835"/>
          <w:tab w:val="clear" w:pos="3969"/>
          <w:tab w:val="clear" w:pos="5103"/>
          <w:tab w:val="clear" w:pos="6237"/>
          <w:tab w:val="clear" w:pos="7371"/>
          <w:tab w:val="left" w:pos="480"/>
          <w:tab w:val="num" w:pos="720"/>
          <w:tab w:val="num" w:pos="928"/>
          <w:tab w:val="num" w:pos="6597"/>
        </w:tabs>
      </w:pPr>
      <w:r>
        <w:t>Así, e</w:t>
      </w:r>
      <w:r w:rsidR="003F4A2F" w:rsidRPr="003F4A2F">
        <w:t>n la línea de ingresos, debe revisarse su política de precios</w:t>
      </w:r>
      <w:r w:rsidR="00BA0060">
        <w:t xml:space="preserve"> públicos</w:t>
      </w:r>
      <w:r w:rsidR="003F4A2F" w:rsidRPr="003F4A2F">
        <w:t xml:space="preserve"> de las </w:t>
      </w:r>
      <w:r w:rsidR="00E55FBB">
        <w:t>plazas</w:t>
      </w:r>
      <w:r w:rsidR="00BA0060">
        <w:t xml:space="preserve">, analizarse </w:t>
      </w:r>
      <w:r w:rsidR="00124742">
        <w:t>si</w:t>
      </w:r>
      <w:r w:rsidR="003F4A2F" w:rsidRPr="003F4A2F">
        <w:t xml:space="preserve"> las entidades locales mancomunadas</w:t>
      </w:r>
      <w:r w:rsidR="00124742">
        <w:t xml:space="preserve"> deben realizar</w:t>
      </w:r>
      <w:r w:rsidR="003F4A2F" w:rsidRPr="003F4A2F">
        <w:t xml:space="preserve"> aportaciones financieras p</w:t>
      </w:r>
      <w:r w:rsidR="00EF233D">
        <w:t xml:space="preserve">eriódicas </w:t>
      </w:r>
      <w:r w:rsidR="0060072A">
        <w:t>o</w:t>
      </w:r>
      <w:r w:rsidR="003F4A2F" w:rsidRPr="003F4A2F">
        <w:t xml:space="preserve"> estudiar la posi</w:t>
      </w:r>
      <w:r w:rsidR="00711C01">
        <w:t xml:space="preserve">ble </w:t>
      </w:r>
      <w:r w:rsidR="00E55FBB">
        <w:t>asunción por</w:t>
      </w:r>
      <w:r w:rsidR="00711C01">
        <w:t xml:space="preserve"> el G</w:t>
      </w:r>
      <w:r w:rsidR="00711C01">
        <w:t>o</w:t>
      </w:r>
      <w:r w:rsidR="00711C01">
        <w:t>bierno de Navarra</w:t>
      </w:r>
      <w:r w:rsidR="00E55FBB">
        <w:t xml:space="preserve"> de</w:t>
      </w:r>
      <w:r w:rsidR="00EF233D">
        <w:t xml:space="preserve"> los</w:t>
      </w:r>
      <w:r w:rsidR="00E55FBB">
        <w:t xml:space="preserve"> déficit</w:t>
      </w:r>
      <w:r w:rsidR="00EF233D">
        <w:t>s estructurales generados</w:t>
      </w:r>
      <w:r w:rsidR="003F4A2F" w:rsidRPr="003F4A2F">
        <w:t>; no obstante,</w:t>
      </w:r>
      <w:r w:rsidR="00B83BCD" w:rsidRPr="00B83BCD">
        <w:t xml:space="preserve"> </w:t>
      </w:r>
      <w:r w:rsidR="00B83BCD" w:rsidRPr="003F4A2F">
        <w:t>el cará</w:t>
      </w:r>
      <w:r w:rsidR="00B83BCD" w:rsidRPr="003F4A2F">
        <w:t>c</w:t>
      </w:r>
      <w:r w:rsidR="00B83BCD" w:rsidRPr="003F4A2F">
        <w:t>ter asistencial del servicio público prestado</w:t>
      </w:r>
      <w:r w:rsidR="0060072A">
        <w:t xml:space="preserve"> y la escasa capacidad financiera de las entidades locales mancomunadas –y más teniendo en cuenta que solo un </w:t>
      </w:r>
      <w:r w:rsidR="00124742">
        <w:t>ocho</w:t>
      </w:r>
      <w:r w:rsidR="0060072A">
        <w:t xml:space="preserve"> por ciento de las plazas están ocupadas por vecinos de las mismas</w:t>
      </w:r>
      <w:r w:rsidR="008F61FB">
        <w:t>–</w:t>
      </w:r>
      <w:r w:rsidR="0060072A">
        <w:t xml:space="preserve"> </w:t>
      </w:r>
      <w:r w:rsidR="00E55FBB">
        <w:t>hace</w:t>
      </w:r>
      <w:r w:rsidR="003F4A2F" w:rsidRPr="003F4A2F">
        <w:t xml:space="preserve"> difícil o complicado ampliar el margen de ingresos.</w:t>
      </w:r>
      <w:r w:rsidR="0060072A">
        <w:t xml:space="preserve"> </w:t>
      </w:r>
      <w:r w:rsidR="00DD3434">
        <w:t>Por su parte, el Gobierno de Nava</w:t>
      </w:r>
      <w:r>
        <w:t>rra ha aporta</w:t>
      </w:r>
      <w:r w:rsidR="00DD3434">
        <w:t>do fondos, en ejercicios puntuales, para la financiación de los déficit</w:t>
      </w:r>
      <w:r w:rsidR="00EE527D">
        <w:t>s</w:t>
      </w:r>
      <w:r w:rsidR="00DD3434">
        <w:t xml:space="preserve"> de gestión de la residencia.</w:t>
      </w:r>
    </w:p>
    <w:p w:rsidR="003F4A2F" w:rsidRPr="003F4A2F" w:rsidRDefault="003F4A2F" w:rsidP="00EA7E43">
      <w:pPr>
        <w:pStyle w:val="texto"/>
        <w:tabs>
          <w:tab w:val="clear" w:pos="2835"/>
          <w:tab w:val="clear" w:pos="3969"/>
          <w:tab w:val="clear" w:pos="5103"/>
          <w:tab w:val="clear" w:pos="6237"/>
          <w:tab w:val="clear" w:pos="7371"/>
          <w:tab w:val="left" w:pos="480"/>
          <w:tab w:val="num" w:pos="720"/>
          <w:tab w:val="num" w:pos="928"/>
          <w:tab w:val="num" w:pos="6597"/>
        </w:tabs>
      </w:pPr>
      <w:r w:rsidRPr="003F4A2F">
        <w:t xml:space="preserve">Por el lado de gastos, las necesidades del servicio residencial se manifiestan esencialmente en una fuerte </w:t>
      </w:r>
      <w:r w:rsidR="00DD3434">
        <w:t>dedicación</w:t>
      </w:r>
      <w:r w:rsidRPr="003F4A2F">
        <w:t xml:space="preserve"> de personal y en unos gastos de funci</w:t>
      </w:r>
      <w:r w:rsidRPr="003F4A2F">
        <w:t>o</w:t>
      </w:r>
      <w:r w:rsidRPr="003F4A2F">
        <w:t>namiento muy rígidos, por lo que el margen de reducción del conjunto de ga</w:t>
      </w:r>
      <w:r w:rsidRPr="003F4A2F">
        <w:t>s</w:t>
      </w:r>
      <w:r w:rsidRPr="003F4A2F">
        <w:t>tos</w:t>
      </w:r>
      <w:r w:rsidR="007948C1">
        <w:t>,</w:t>
      </w:r>
      <w:r w:rsidRPr="003F4A2F">
        <w:t xml:space="preserve"> en principio, no parece que resulte cuantitativamente relevante.</w:t>
      </w:r>
    </w:p>
    <w:p w:rsidR="003F4A2F" w:rsidRPr="00F26065" w:rsidRDefault="003F4A2F" w:rsidP="00EA7E43">
      <w:pPr>
        <w:pStyle w:val="texto"/>
        <w:tabs>
          <w:tab w:val="clear" w:pos="2835"/>
          <w:tab w:val="clear" w:pos="3969"/>
          <w:tab w:val="clear" w:pos="5103"/>
          <w:tab w:val="clear" w:pos="6237"/>
          <w:tab w:val="clear" w:pos="7371"/>
          <w:tab w:val="left" w:pos="480"/>
          <w:tab w:val="num" w:pos="720"/>
          <w:tab w:val="num" w:pos="928"/>
          <w:tab w:val="num" w:pos="6597"/>
        </w:tabs>
      </w:pPr>
      <w:r w:rsidRPr="003F4A2F">
        <w:t xml:space="preserve">Es necesario, igualmente, clarificar la relación con el propio Gobierno de Navarra en </w:t>
      </w:r>
      <w:r w:rsidR="00EE527D">
        <w:t xml:space="preserve">lo referente a la </w:t>
      </w:r>
      <w:r w:rsidRPr="00F26065">
        <w:t xml:space="preserve">conservación de las instalaciones y de los edificios por su especial repercusión </w:t>
      </w:r>
      <w:r w:rsidR="00EF233D" w:rsidRPr="00F26065">
        <w:t xml:space="preserve">tanto sobre la calidad del servicio prestado como </w:t>
      </w:r>
      <w:r w:rsidRPr="00F26065">
        <w:t>sobre la situación financiera de la residencia. Al respecto, reseñamos la neces</w:t>
      </w:r>
      <w:r w:rsidRPr="00F26065">
        <w:t>i</w:t>
      </w:r>
      <w:r w:rsidRPr="00F26065">
        <w:t>dad también de acometer un plan de reformas y modernización del edificio afecto a la residencia de ancianos; inversión que, en nuestra opinión, es invi</w:t>
      </w:r>
      <w:r w:rsidRPr="00F26065">
        <w:t>a</w:t>
      </w:r>
      <w:r w:rsidRPr="00F26065">
        <w:t>ble financieramente que la acomet</w:t>
      </w:r>
      <w:r w:rsidR="000806F1" w:rsidRPr="00F26065">
        <w:t>a</w:t>
      </w:r>
      <w:r w:rsidRPr="00F26065">
        <w:t xml:space="preserve"> la mancomunidad con sus propios recursos.</w:t>
      </w:r>
      <w:r w:rsidR="005F162A">
        <w:t xml:space="preserve"> </w:t>
      </w:r>
      <w:r w:rsidRPr="00F26065">
        <w:t xml:space="preserve"> </w:t>
      </w:r>
    </w:p>
    <w:p w:rsidR="001A5110" w:rsidRDefault="001A5110" w:rsidP="00EA7E43">
      <w:pPr>
        <w:pStyle w:val="texto"/>
        <w:tabs>
          <w:tab w:val="clear" w:pos="2835"/>
          <w:tab w:val="clear" w:pos="3969"/>
          <w:tab w:val="clear" w:pos="5103"/>
          <w:tab w:val="clear" w:pos="6237"/>
          <w:tab w:val="clear" w:pos="7371"/>
          <w:tab w:val="left" w:pos="480"/>
          <w:tab w:val="num" w:pos="720"/>
          <w:tab w:val="num" w:pos="928"/>
          <w:tab w:val="num" w:pos="6597"/>
        </w:tabs>
      </w:pPr>
      <w:r>
        <w:t xml:space="preserve">Así mismo, debe definirse y concretarse las funciones y competencias </w:t>
      </w:r>
      <w:r w:rsidR="00EA15CB">
        <w:t>del</w:t>
      </w:r>
      <w:r>
        <w:t xml:space="preserve"> d</w:t>
      </w:r>
      <w:r>
        <w:t>i</w:t>
      </w:r>
      <w:r>
        <w:t xml:space="preserve">rector de la residencia y su articulación en la estructura </w:t>
      </w:r>
      <w:r w:rsidR="002E1284">
        <w:t>jerárquica</w:t>
      </w:r>
      <w:r w:rsidR="00D73DED">
        <w:t xml:space="preserve"> y administr</w:t>
      </w:r>
      <w:r w:rsidR="00D73DED">
        <w:t>a</w:t>
      </w:r>
      <w:r w:rsidR="00D73DED">
        <w:t>tiva</w:t>
      </w:r>
      <w:r w:rsidR="002E1284">
        <w:t xml:space="preserve"> de</w:t>
      </w:r>
      <w:r>
        <w:t xml:space="preserve"> la mancomunidad.</w:t>
      </w:r>
    </w:p>
    <w:p w:rsidR="00472AF5" w:rsidRDefault="00FA72E9" w:rsidP="00EA7E43">
      <w:pPr>
        <w:pStyle w:val="texto"/>
        <w:tabs>
          <w:tab w:val="clear" w:pos="2835"/>
          <w:tab w:val="clear" w:pos="3969"/>
          <w:tab w:val="clear" w:pos="5103"/>
          <w:tab w:val="clear" w:pos="6237"/>
          <w:tab w:val="clear" w:pos="7371"/>
          <w:tab w:val="left" w:pos="480"/>
          <w:tab w:val="num" w:pos="720"/>
          <w:tab w:val="num" w:pos="928"/>
          <w:tab w:val="num" w:pos="6597"/>
        </w:tabs>
      </w:pPr>
      <w:r>
        <w:t>Por otra parte,</w:t>
      </w:r>
      <w:r w:rsidR="003F4A2F" w:rsidRPr="003F4A2F">
        <w:t xml:space="preserve"> la finalidad, al menos actualmente, de tal mancomunidad es únicamente la prestación de tal servicio</w:t>
      </w:r>
      <w:r w:rsidR="008B2254">
        <w:t xml:space="preserve"> asistencial</w:t>
      </w:r>
      <w:r w:rsidR="003F4A2F" w:rsidRPr="003F4A2F">
        <w:t>, por lo que tampoco sería descartable anali</w:t>
      </w:r>
      <w:r w:rsidR="00001D88">
        <w:t xml:space="preserve">zar </w:t>
      </w:r>
      <w:r w:rsidR="00810C29">
        <w:t>la</w:t>
      </w:r>
      <w:r w:rsidR="008B2254">
        <w:t xml:space="preserve"> actual configuración jurídica</w:t>
      </w:r>
      <w:r w:rsidR="00E93720">
        <w:t xml:space="preserve"> de tal prestación</w:t>
      </w:r>
      <w:r w:rsidR="008B2254">
        <w:t xml:space="preserve"> o </w:t>
      </w:r>
      <w:r w:rsidR="00896630">
        <w:t xml:space="preserve">incluso </w:t>
      </w:r>
      <w:r w:rsidR="00001D88">
        <w:t>su propia existencia.</w:t>
      </w:r>
      <w:r w:rsidR="003F4A2F" w:rsidRPr="003F4A2F">
        <w:t xml:space="preserve"> En e</w:t>
      </w:r>
      <w:r w:rsidR="009A48F6">
        <w:t>l</w:t>
      </w:r>
      <w:r w:rsidR="003F4A2F" w:rsidRPr="003F4A2F">
        <w:t xml:space="preserve"> supuesto de disolución de la mancomunidad y dado que los edificios son propiedad del Gobierno de Navarra, podría </w:t>
      </w:r>
      <w:r w:rsidR="008607DE">
        <w:t>estudiarse</w:t>
      </w:r>
      <w:r w:rsidR="003F4A2F" w:rsidRPr="003F4A2F">
        <w:t xml:space="preserve"> que dicha residencia dependiera directamente del Departamento de Derechos Soci</w:t>
      </w:r>
      <w:r w:rsidR="003F4A2F" w:rsidRPr="003F4A2F">
        <w:t>a</w:t>
      </w:r>
      <w:r w:rsidR="003F4A2F" w:rsidRPr="003F4A2F">
        <w:t>les</w:t>
      </w:r>
      <w:r w:rsidR="00EE527D">
        <w:t>,</w:t>
      </w:r>
      <w:r w:rsidR="003F4A2F" w:rsidRPr="003F4A2F">
        <w:t xml:space="preserve"> gestionándose por éste como un centro propio.</w:t>
      </w:r>
      <w:r w:rsidR="00971BBF">
        <w:t xml:space="preserve"> </w:t>
      </w:r>
    </w:p>
    <w:p w:rsidR="003F4A2F" w:rsidRDefault="00FA72E9" w:rsidP="00EA7E43">
      <w:pPr>
        <w:pStyle w:val="texto"/>
        <w:tabs>
          <w:tab w:val="clear" w:pos="2835"/>
          <w:tab w:val="clear" w:pos="3969"/>
          <w:tab w:val="clear" w:pos="5103"/>
          <w:tab w:val="clear" w:pos="6237"/>
          <w:tab w:val="clear" w:pos="7371"/>
          <w:tab w:val="left" w:pos="480"/>
          <w:tab w:val="num" w:pos="720"/>
          <w:tab w:val="num" w:pos="928"/>
          <w:tab w:val="num" w:pos="6597"/>
        </w:tabs>
      </w:pPr>
      <w:r>
        <w:t>Por otro lado,</w:t>
      </w:r>
      <w:r w:rsidR="008F4F12">
        <w:t xml:space="preserve"> el </w:t>
      </w:r>
      <w:r w:rsidR="00971BBF">
        <w:t xml:space="preserve">diseño del mapa municipal de Navarra que se está </w:t>
      </w:r>
      <w:r w:rsidR="00B83BCD">
        <w:t>analiza</w:t>
      </w:r>
      <w:r w:rsidR="00B83BCD">
        <w:t>n</w:t>
      </w:r>
      <w:r w:rsidR="00B83BCD">
        <w:t>do</w:t>
      </w:r>
      <w:r w:rsidR="00971BBF">
        <w:t xml:space="preserve"> actualmente, plantea la figura de la comarca que</w:t>
      </w:r>
      <w:r w:rsidR="000806F1">
        <w:t>,</w:t>
      </w:r>
      <w:r w:rsidR="00971BBF">
        <w:t xml:space="preserve"> entre otras competencias, asumirían la prestación de </w:t>
      </w:r>
      <w:r w:rsidR="009A48F6">
        <w:t xml:space="preserve">los </w:t>
      </w:r>
      <w:r w:rsidR="00971BBF">
        <w:t>servicios sociales</w:t>
      </w:r>
      <w:r w:rsidR="008149A3">
        <w:t xml:space="preserve"> de su ámbito territorial</w:t>
      </w:r>
      <w:r>
        <w:t>.</w:t>
      </w:r>
    </w:p>
    <w:p w:rsidR="006C56A8" w:rsidRPr="00EA7E43" w:rsidRDefault="006C56A8" w:rsidP="00EA7E43">
      <w:pPr>
        <w:pStyle w:val="texto"/>
        <w:tabs>
          <w:tab w:val="clear" w:pos="2835"/>
          <w:tab w:val="clear" w:pos="3969"/>
          <w:tab w:val="clear" w:pos="5103"/>
          <w:tab w:val="clear" w:pos="6237"/>
          <w:tab w:val="clear" w:pos="7371"/>
          <w:tab w:val="left" w:pos="480"/>
          <w:tab w:val="num" w:pos="720"/>
          <w:tab w:val="num" w:pos="928"/>
          <w:tab w:val="num" w:pos="6597"/>
        </w:tabs>
      </w:pPr>
      <w:r w:rsidRPr="00EA7E43">
        <w:t>Informe que se emite a propuesta del auditor Ignacio Cabeza Del Salvador, responsable de la realización de este trabajo, una vez cumplimentados los tr</w:t>
      </w:r>
      <w:r w:rsidRPr="00EA7E43">
        <w:t>á</w:t>
      </w:r>
      <w:r w:rsidRPr="00EA7E43">
        <w:t>mites previstos por la normativa vigente.</w:t>
      </w:r>
    </w:p>
    <w:p w:rsidR="00F91B43" w:rsidRPr="003F4A2F" w:rsidRDefault="00553E08" w:rsidP="00E93720">
      <w:pPr>
        <w:pStyle w:val="texto"/>
        <w:spacing w:after="120"/>
        <w:jc w:val="center"/>
      </w:pPr>
      <w:r>
        <w:t xml:space="preserve">Pamplona, </w:t>
      </w:r>
      <w:r w:rsidR="00783F3D">
        <w:t>20</w:t>
      </w:r>
      <w:r w:rsidR="009A1A27">
        <w:t xml:space="preserve"> </w:t>
      </w:r>
      <w:r w:rsidR="00F91B43">
        <w:t xml:space="preserve">de </w:t>
      </w:r>
      <w:r w:rsidR="006C56A8">
        <w:t>febrero</w:t>
      </w:r>
      <w:r w:rsidR="00F91B43">
        <w:t xml:space="preserve"> de 2017</w:t>
      </w:r>
    </w:p>
    <w:p w:rsidR="004A2FC5" w:rsidRDefault="006C56A8" w:rsidP="006C56A8">
      <w:pPr>
        <w:pStyle w:val="texto"/>
        <w:jc w:val="center"/>
      </w:pPr>
      <w:r>
        <w:t>La presidenta,</w:t>
      </w:r>
    </w:p>
    <w:p w:rsidR="006C56A8" w:rsidRDefault="006C56A8" w:rsidP="006C56A8">
      <w:pPr>
        <w:pStyle w:val="texto"/>
        <w:jc w:val="center"/>
      </w:pPr>
      <w:r>
        <w:t>Asunción Olaechea Estanga</w:t>
      </w:r>
    </w:p>
    <w:p w:rsidR="00783F3D" w:rsidRDefault="00783F3D" w:rsidP="00B72879">
      <w:pPr>
        <w:pStyle w:val="texto"/>
      </w:pPr>
    </w:p>
    <w:p w:rsidR="000C1C11" w:rsidRDefault="000C1C11" w:rsidP="00B72879">
      <w:pPr>
        <w:pStyle w:val="texto"/>
      </w:pPr>
    </w:p>
    <w:p w:rsidR="00783F3D" w:rsidRDefault="00783F3D" w:rsidP="00B72879">
      <w:pPr>
        <w:pStyle w:val="texto"/>
      </w:pPr>
    </w:p>
    <w:p w:rsidR="00783F3D" w:rsidRDefault="00783F3D" w:rsidP="00575A3F">
      <w:pPr>
        <w:pStyle w:val="atitulo1"/>
      </w:pPr>
      <w:bookmarkStart w:id="44" w:name="_Toc475093104"/>
      <w:r>
        <w:t>Alegaciones presentadas por la Agencia Navarra de Autonomía y Des</w:t>
      </w:r>
      <w:r>
        <w:t>a</w:t>
      </w:r>
      <w:r>
        <w:t>rrollo de las Personas</w:t>
      </w:r>
      <w:bookmarkEnd w:id="44"/>
    </w:p>
    <w:p w:rsidR="00681CA6" w:rsidRPr="008416D6" w:rsidRDefault="00681CA6" w:rsidP="00681CA6">
      <w:pPr>
        <w:spacing w:before="120" w:after="120" w:line="360" w:lineRule="auto"/>
        <w:ind w:firstLine="709"/>
        <w:rPr>
          <w:rFonts w:ascii="Courier New" w:hAnsi="Courier New" w:cs="Courier New"/>
        </w:rPr>
      </w:pPr>
      <w:r w:rsidRPr="008416D6">
        <w:rPr>
          <w:rFonts w:ascii="Courier New" w:hAnsi="Courier New" w:cs="Courier New"/>
        </w:rPr>
        <w:t>En relación al informe provisional de fiscalización de la Cámara de Comptos de 07 de febrero de 2017</w:t>
      </w:r>
      <w:r>
        <w:rPr>
          <w:rFonts w:ascii="Courier New" w:hAnsi="Courier New" w:cs="Courier New"/>
        </w:rPr>
        <w:t>,</w:t>
      </w:r>
      <w:r w:rsidRPr="008416D6">
        <w:rPr>
          <w:rFonts w:ascii="Courier New" w:hAnsi="Courier New" w:cs="Courier New"/>
        </w:rPr>
        <w:t xml:space="preserve"> sobre la </w:t>
      </w:r>
      <w:r>
        <w:rPr>
          <w:rFonts w:ascii="Courier New" w:hAnsi="Courier New" w:cs="Courier New"/>
        </w:rPr>
        <w:t>Mancomunidad de S</w:t>
      </w:r>
      <w:r w:rsidRPr="008416D6">
        <w:rPr>
          <w:rFonts w:ascii="Courier New" w:hAnsi="Courier New" w:cs="Courier New"/>
        </w:rPr>
        <w:t xml:space="preserve">ervicios de </w:t>
      </w:r>
      <w:proofErr w:type="spellStart"/>
      <w:r w:rsidRPr="008416D6">
        <w:rPr>
          <w:rFonts w:ascii="Courier New" w:hAnsi="Courier New" w:cs="Courier New"/>
        </w:rPr>
        <w:t>Lumbier</w:t>
      </w:r>
      <w:proofErr w:type="spellEnd"/>
      <w:r w:rsidRPr="008416D6">
        <w:rPr>
          <w:rFonts w:ascii="Courier New" w:hAnsi="Courier New" w:cs="Courier New"/>
        </w:rPr>
        <w:t>, 2015, la Agencia Navarra de Autonomía y Desarrollo de las Pers</w:t>
      </w:r>
      <w:r w:rsidRPr="008416D6">
        <w:rPr>
          <w:rFonts w:ascii="Courier New" w:hAnsi="Courier New" w:cs="Courier New"/>
        </w:rPr>
        <w:t>o</w:t>
      </w:r>
      <w:r w:rsidRPr="008416D6">
        <w:rPr>
          <w:rFonts w:ascii="Courier New" w:hAnsi="Courier New" w:cs="Courier New"/>
        </w:rPr>
        <w:t>nas (ANADP) emite las siguientes alegaciones:</w:t>
      </w:r>
    </w:p>
    <w:p w:rsidR="00681CA6" w:rsidRPr="00CC0861" w:rsidRDefault="00681CA6" w:rsidP="00681CA6">
      <w:pPr>
        <w:spacing w:before="360" w:after="360" w:line="360" w:lineRule="auto"/>
        <w:rPr>
          <w:rFonts w:ascii="Courier New" w:hAnsi="Courier New" w:cs="Courier New"/>
          <w:b/>
        </w:rPr>
      </w:pPr>
      <w:r>
        <w:rPr>
          <w:rFonts w:ascii="Courier New" w:hAnsi="Courier New" w:cs="Courier New"/>
          <w:b/>
        </w:rPr>
        <w:t xml:space="preserve">1.- </w:t>
      </w:r>
      <w:r w:rsidRPr="00CC0861">
        <w:rPr>
          <w:rFonts w:ascii="Courier New" w:hAnsi="Courier New" w:cs="Courier New"/>
          <w:b/>
        </w:rPr>
        <w:t>Respecto al apartado IV-6, relativo a “ingresos” del informe:</w:t>
      </w:r>
    </w:p>
    <w:p w:rsidR="00681CA6" w:rsidRPr="008416D6" w:rsidRDefault="00681CA6" w:rsidP="00681CA6">
      <w:pPr>
        <w:spacing w:before="120" w:after="120" w:line="360" w:lineRule="auto"/>
        <w:ind w:firstLine="709"/>
        <w:rPr>
          <w:rFonts w:ascii="Courier New" w:hAnsi="Courier New" w:cs="Courier New"/>
        </w:rPr>
      </w:pPr>
      <w:r w:rsidRPr="008416D6">
        <w:rPr>
          <w:rFonts w:ascii="Courier New" w:hAnsi="Courier New" w:cs="Courier New"/>
        </w:rPr>
        <w:t>a)</w:t>
      </w:r>
      <w:r>
        <w:rPr>
          <w:rFonts w:ascii="Courier New" w:hAnsi="Courier New" w:cs="Courier New"/>
        </w:rPr>
        <w:t xml:space="preserve"> </w:t>
      </w:r>
      <w:r w:rsidRPr="008416D6">
        <w:rPr>
          <w:rFonts w:ascii="Courier New" w:hAnsi="Courier New" w:cs="Courier New"/>
        </w:rPr>
        <w:t xml:space="preserve">En el </w:t>
      </w:r>
      <w:proofErr w:type="spellStart"/>
      <w:r w:rsidRPr="008416D6">
        <w:rPr>
          <w:rFonts w:ascii="Courier New" w:hAnsi="Courier New" w:cs="Courier New"/>
        </w:rPr>
        <w:t>subapartado</w:t>
      </w:r>
      <w:proofErr w:type="spellEnd"/>
      <w:r w:rsidRPr="008416D6">
        <w:rPr>
          <w:rFonts w:ascii="Courier New" w:hAnsi="Courier New" w:cs="Courier New"/>
        </w:rPr>
        <w:t xml:space="preserve"> A), los derechos reconocidos por precios p</w:t>
      </w:r>
      <w:r w:rsidRPr="008416D6">
        <w:rPr>
          <w:rFonts w:ascii="Courier New" w:hAnsi="Courier New" w:cs="Courier New"/>
        </w:rPr>
        <w:t>ú</w:t>
      </w:r>
      <w:r w:rsidRPr="008416D6">
        <w:rPr>
          <w:rFonts w:ascii="Courier New" w:hAnsi="Courier New" w:cs="Courier New"/>
        </w:rPr>
        <w:t>blicos y conciertos de la residencia (2,81 millones)</w:t>
      </w:r>
      <w:r>
        <w:rPr>
          <w:rFonts w:ascii="Courier New" w:hAnsi="Courier New" w:cs="Courier New"/>
        </w:rPr>
        <w:t xml:space="preserve"> indicados en el i</w:t>
      </w:r>
      <w:r>
        <w:rPr>
          <w:rFonts w:ascii="Courier New" w:hAnsi="Courier New" w:cs="Courier New"/>
        </w:rPr>
        <w:t>n</w:t>
      </w:r>
      <w:r>
        <w:rPr>
          <w:rFonts w:ascii="Courier New" w:hAnsi="Courier New" w:cs="Courier New"/>
        </w:rPr>
        <w:t>forme</w:t>
      </w:r>
      <w:r w:rsidRPr="008416D6">
        <w:rPr>
          <w:rFonts w:ascii="Courier New" w:hAnsi="Courier New" w:cs="Courier New"/>
        </w:rPr>
        <w:t xml:space="preserve"> no coincide</w:t>
      </w:r>
      <w:r>
        <w:rPr>
          <w:rFonts w:ascii="Courier New" w:hAnsi="Courier New" w:cs="Courier New"/>
        </w:rPr>
        <w:t>n</w:t>
      </w:r>
      <w:r w:rsidRPr="008416D6">
        <w:rPr>
          <w:rFonts w:ascii="Courier New" w:hAnsi="Courier New" w:cs="Courier New"/>
        </w:rPr>
        <w:t xml:space="preserve"> con los datos de la ANADP.</w:t>
      </w:r>
    </w:p>
    <w:p w:rsidR="00681CA6" w:rsidRPr="008416D6" w:rsidRDefault="00681CA6" w:rsidP="00681CA6">
      <w:pPr>
        <w:spacing w:line="360" w:lineRule="auto"/>
        <w:ind w:firstLine="709"/>
        <w:rPr>
          <w:rFonts w:ascii="Courier New" w:hAnsi="Courier New" w:cs="Courier New"/>
        </w:rPr>
      </w:pPr>
      <w:r w:rsidRPr="008416D6">
        <w:rPr>
          <w:rFonts w:ascii="Courier New" w:hAnsi="Courier New" w:cs="Courier New"/>
        </w:rPr>
        <w:t>En el informe de la Cámara de Comptos se dice que:</w:t>
      </w:r>
    </w:p>
    <w:p w:rsidR="00681CA6" w:rsidRPr="00DE7F8E" w:rsidRDefault="00681CA6" w:rsidP="00681CA6">
      <w:pPr>
        <w:numPr>
          <w:ilvl w:val="0"/>
          <w:numId w:val="33"/>
        </w:numPr>
        <w:spacing w:after="0" w:line="360" w:lineRule="auto"/>
        <w:ind w:left="360" w:firstLine="709"/>
        <w:rPr>
          <w:rFonts w:ascii="Courier New" w:hAnsi="Courier New" w:cs="Courier New"/>
          <w:i/>
        </w:rPr>
      </w:pPr>
      <w:r w:rsidRPr="00DE7F8E">
        <w:rPr>
          <w:rFonts w:ascii="Courier New" w:hAnsi="Courier New" w:cs="Courier New"/>
          <w:i/>
        </w:rPr>
        <w:t>Los Derechos reconocidos por conciertos correspondientes al ejercicio 2015 son:</w:t>
      </w:r>
    </w:p>
    <w:p w:rsidR="00681CA6" w:rsidRPr="00DE7F8E" w:rsidRDefault="00681CA6" w:rsidP="00681CA6">
      <w:pPr>
        <w:numPr>
          <w:ilvl w:val="1"/>
          <w:numId w:val="33"/>
        </w:numPr>
        <w:spacing w:after="0" w:line="360" w:lineRule="auto"/>
        <w:ind w:left="1843" w:hanging="54"/>
        <w:rPr>
          <w:rFonts w:ascii="Courier New" w:hAnsi="Courier New" w:cs="Courier New"/>
          <w:i/>
        </w:rPr>
      </w:pPr>
      <w:r w:rsidRPr="00DE7F8E">
        <w:rPr>
          <w:rFonts w:ascii="Courier New" w:hAnsi="Courier New" w:cs="Courier New"/>
          <w:i/>
        </w:rPr>
        <w:t>Gobierno de Navarra-Residencia de Mayores: 113.322€</w:t>
      </w:r>
    </w:p>
    <w:p w:rsidR="00681CA6" w:rsidRPr="00DE7F8E" w:rsidRDefault="00681CA6" w:rsidP="00681CA6">
      <w:pPr>
        <w:numPr>
          <w:ilvl w:val="1"/>
          <w:numId w:val="33"/>
        </w:numPr>
        <w:spacing w:after="0" w:line="360" w:lineRule="auto"/>
        <w:ind w:left="1843" w:hanging="54"/>
        <w:rPr>
          <w:rFonts w:ascii="Courier New" w:hAnsi="Courier New" w:cs="Courier New"/>
          <w:i/>
        </w:rPr>
      </w:pPr>
      <w:r w:rsidRPr="00DE7F8E">
        <w:rPr>
          <w:rFonts w:ascii="Courier New" w:hAnsi="Courier New" w:cs="Courier New"/>
          <w:i/>
        </w:rPr>
        <w:t>Gobierno de Navarra-</w:t>
      </w:r>
      <w:proofErr w:type="spellStart"/>
      <w:r w:rsidRPr="00DE7F8E">
        <w:rPr>
          <w:rFonts w:ascii="Courier New" w:hAnsi="Courier New" w:cs="Courier New"/>
          <w:i/>
        </w:rPr>
        <w:t>Psicogeriátrico</w:t>
      </w:r>
      <w:proofErr w:type="spellEnd"/>
      <w:r w:rsidRPr="00DE7F8E">
        <w:rPr>
          <w:rFonts w:ascii="Courier New" w:hAnsi="Courier New" w:cs="Courier New"/>
          <w:i/>
        </w:rPr>
        <w:t>: 683.612€</w:t>
      </w:r>
    </w:p>
    <w:p w:rsidR="00681CA6" w:rsidRDefault="00681CA6" w:rsidP="00681CA6">
      <w:pPr>
        <w:numPr>
          <w:ilvl w:val="0"/>
          <w:numId w:val="33"/>
        </w:numPr>
        <w:spacing w:after="0" w:line="360" w:lineRule="auto"/>
        <w:ind w:left="360" w:firstLine="709"/>
        <w:rPr>
          <w:rFonts w:ascii="Courier New" w:hAnsi="Courier New" w:cs="Courier New"/>
          <w:i/>
        </w:rPr>
      </w:pPr>
      <w:r w:rsidRPr="00DE7F8E">
        <w:rPr>
          <w:rFonts w:ascii="Courier New" w:hAnsi="Courier New" w:cs="Courier New"/>
          <w:i/>
        </w:rPr>
        <w:t>Del Presupuesto corriente de 2015 queda pendiente de cobro (a 31/12/2015): 133.282 €.</w:t>
      </w:r>
    </w:p>
    <w:p w:rsidR="00681CA6" w:rsidRPr="00DE7F8E" w:rsidRDefault="00681CA6" w:rsidP="00681CA6">
      <w:pPr>
        <w:spacing w:line="360" w:lineRule="auto"/>
        <w:ind w:left="1069"/>
        <w:rPr>
          <w:rFonts w:ascii="Courier New" w:hAnsi="Courier New" w:cs="Courier New"/>
          <w:i/>
        </w:rPr>
      </w:pPr>
    </w:p>
    <w:p w:rsidR="00681CA6" w:rsidRDefault="00681CA6" w:rsidP="00681CA6">
      <w:pPr>
        <w:spacing w:line="360" w:lineRule="auto"/>
        <w:ind w:firstLine="709"/>
        <w:rPr>
          <w:rFonts w:ascii="Courier New" w:hAnsi="Courier New" w:cs="Courier New"/>
        </w:rPr>
      </w:pPr>
      <w:r w:rsidRPr="008416D6">
        <w:rPr>
          <w:rFonts w:ascii="Courier New" w:hAnsi="Courier New" w:cs="Courier New"/>
        </w:rPr>
        <w:t xml:space="preserve">Los datos que figuran en </w:t>
      </w:r>
      <w:r>
        <w:rPr>
          <w:rFonts w:ascii="Courier New" w:hAnsi="Courier New" w:cs="Courier New"/>
        </w:rPr>
        <w:t>la</w:t>
      </w:r>
      <w:r w:rsidRPr="008416D6">
        <w:rPr>
          <w:rFonts w:ascii="Courier New" w:hAnsi="Courier New" w:cs="Courier New"/>
        </w:rPr>
        <w:t xml:space="preserve"> ANADP respecto a los derechos reconoc</w:t>
      </w:r>
      <w:r w:rsidRPr="008416D6">
        <w:rPr>
          <w:rFonts w:ascii="Courier New" w:hAnsi="Courier New" w:cs="Courier New"/>
        </w:rPr>
        <w:t>i</w:t>
      </w:r>
      <w:r w:rsidRPr="008416D6">
        <w:rPr>
          <w:rFonts w:ascii="Courier New" w:hAnsi="Courier New" w:cs="Courier New"/>
        </w:rPr>
        <w:t>dos en los conciertos son los siguientes:</w:t>
      </w:r>
    </w:p>
    <w:p w:rsidR="00681CA6" w:rsidRDefault="00681CA6" w:rsidP="00681CA6">
      <w:pPr>
        <w:rPr>
          <w:rFonts w:ascii="Calibri" w:hAnsi="Calibri"/>
        </w:rPr>
      </w:pPr>
    </w:p>
    <w:tbl>
      <w:tblPr>
        <w:tblW w:w="10616" w:type="dxa"/>
        <w:jc w:val="center"/>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524"/>
        <w:gridCol w:w="2172"/>
        <w:gridCol w:w="1820"/>
        <w:gridCol w:w="1360"/>
        <w:gridCol w:w="1240"/>
        <w:gridCol w:w="1260"/>
        <w:gridCol w:w="1240"/>
      </w:tblGrid>
      <w:tr w:rsidR="00681CA6" w:rsidRPr="00604CA9" w:rsidTr="006059F8">
        <w:trPr>
          <w:trHeight w:val="288"/>
          <w:jc w:val="center"/>
        </w:trPr>
        <w:tc>
          <w:tcPr>
            <w:tcW w:w="1524" w:type="dxa"/>
            <w:tcBorders>
              <w:top w:val="single" w:sz="4" w:space="0" w:color="auto"/>
              <w:left w:val="single" w:sz="4" w:space="0" w:color="auto"/>
              <w:bottom w:val="nil"/>
              <w:right w:val="nil"/>
            </w:tcBorders>
            <w:shd w:val="clear" w:color="auto" w:fill="C5D9F1"/>
            <w:noWrap/>
            <w:vAlign w:val="center"/>
            <w:hideMark/>
          </w:tcPr>
          <w:p w:rsidR="00681CA6" w:rsidRPr="00604CA9" w:rsidRDefault="00681CA6" w:rsidP="00604CA9">
            <w:pPr>
              <w:ind w:firstLine="0"/>
              <w:rPr>
                <w:rFonts w:ascii="Arial" w:hAnsi="Arial" w:cs="Arial"/>
                <w:b/>
                <w:bCs/>
                <w:color w:val="000000"/>
                <w:sz w:val="14"/>
                <w:szCs w:val="14"/>
              </w:rPr>
            </w:pPr>
            <w:r w:rsidRPr="00604CA9">
              <w:rPr>
                <w:rFonts w:ascii="Arial" w:hAnsi="Arial" w:cs="Arial"/>
                <w:b/>
                <w:bCs/>
                <w:color w:val="000000"/>
                <w:sz w:val="14"/>
                <w:szCs w:val="14"/>
              </w:rPr>
              <w:t>RECURSO</w:t>
            </w:r>
          </w:p>
        </w:tc>
        <w:tc>
          <w:tcPr>
            <w:tcW w:w="2172" w:type="dxa"/>
            <w:tcBorders>
              <w:top w:val="single" w:sz="4" w:space="0" w:color="auto"/>
              <w:left w:val="nil"/>
              <w:bottom w:val="nil"/>
              <w:right w:val="nil"/>
            </w:tcBorders>
            <w:shd w:val="clear" w:color="auto" w:fill="C5D9F1"/>
            <w:noWrap/>
            <w:vAlign w:val="center"/>
            <w:hideMark/>
          </w:tcPr>
          <w:p w:rsidR="00681CA6" w:rsidRPr="00604CA9" w:rsidRDefault="00681CA6" w:rsidP="00604CA9">
            <w:pPr>
              <w:ind w:firstLine="0"/>
              <w:jc w:val="center"/>
              <w:rPr>
                <w:rFonts w:ascii="Arial" w:hAnsi="Arial" w:cs="Arial"/>
                <w:b/>
                <w:bCs/>
                <w:color w:val="000000"/>
                <w:sz w:val="14"/>
                <w:szCs w:val="14"/>
              </w:rPr>
            </w:pPr>
            <w:r w:rsidRPr="00604CA9">
              <w:rPr>
                <w:rFonts w:ascii="Arial" w:hAnsi="Arial" w:cs="Arial"/>
                <w:b/>
                <w:bCs/>
                <w:color w:val="000000"/>
                <w:sz w:val="14"/>
                <w:szCs w:val="14"/>
              </w:rPr>
              <w:t>Resolución:</w:t>
            </w:r>
          </w:p>
        </w:tc>
        <w:tc>
          <w:tcPr>
            <w:tcW w:w="1820" w:type="dxa"/>
            <w:tcBorders>
              <w:top w:val="single" w:sz="4" w:space="0" w:color="auto"/>
              <w:left w:val="nil"/>
              <w:bottom w:val="nil"/>
              <w:right w:val="nil"/>
            </w:tcBorders>
            <w:shd w:val="clear" w:color="auto" w:fill="C5D9F1"/>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 </w:t>
            </w:r>
          </w:p>
        </w:tc>
        <w:tc>
          <w:tcPr>
            <w:tcW w:w="1360" w:type="dxa"/>
            <w:tcBorders>
              <w:top w:val="single" w:sz="4" w:space="0" w:color="auto"/>
              <w:left w:val="nil"/>
              <w:bottom w:val="nil"/>
              <w:right w:val="nil"/>
            </w:tcBorders>
            <w:shd w:val="clear" w:color="auto" w:fill="C5D9F1"/>
            <w:noWrap/>
            <w:vAlign w:val="center"/>
            <w:hideMark/>
          </w:tcPr>
          <w:p w:rsidR="00681CA6" w:rsidRPr="00604CA9" w:rsidRDefault="00681CA6" w:rsidP="00604CA9">
            <w:pPr>
              <w:ind w:firstLine="0"/>
              <w:jc w:val="center"/>
              <w:rPr>
                <w:rFonts w:ascii="Arial" w:hAnsi="Arial" w:cs="Arial"/>
                <w:b/>
                <w:bCs/>
                <w:color w:val="000000"/>
                <w:sz w:val="14"/>
                <w:szCs w:val="14"/>
              </w:rPr>
            </w:pPr>
            <w:r w:rsidRPr="00604CA9">
              <w:rPr>
                <w:rFonts w:ascii="Arial" w:hAnsi="Arial" w:cs="Arial"/>
                <w:b/>
                <w:bCs/>
                <w:color w:val="000000"/>
                <w:sz w:val="14"/>
                <w:szCs w:val="14"/>
              </w:rPr>
              <w:t>Concepto:</w:t>
            </w:r>
          </w:p>
        </w:tc>
        <w:tc>
          <w:tcPr>
            <w:tcW w:w="1240" w:type="dxa"/>
            <w:tcBorders>
              <w:top w:val="single" w:sz="4" w:space="0" w:color="auto"/>
              <w:left w:val="nil"/>
              <w:bottom w:val="nil"/>
              <w:right w:val="nil"/>
            </w:tcBorders>
            <w:shd w:val="clear" w:color="auto" w:fill="C5D9F1"/>
            <w:noWrap/>
            <w:vAlign w:val="center"/>
            <w:hideMark/>
          </w:tcPr>
          <w:p w:rsidR="00681CA6" w:rsidRPr="00604CA9" w:rsidRDefault="00681CA6" w:rsidP="00604CA9">
            <w:pPr>
              <w:ind w:firstLine="0"/>
              <w:jc w:val="center"/>
              <w:rPr>
                <w:rFonts w:ascii="Arial" w:hAnsi="Arial" w:cs="Arial"/>
                <w:b/>
                <w:bCs/>
                <w:color w:val="000000"/>
                <w:sz w:val="14"/>
                <w:szCs w:val="14"/>
              </w:rPr>
            </w:pPr>
            <w:r w:rsidRPr="00604CA9">
              <w:rPr>
                <w:rFonts w:ascii="Arial" w:hAnsi="Arial" w:cs="Arial"/>
                <w:b/>
                <w:bCs/>
                <w:color w:val="000000"/>
                <w:sz w:val="14"/>
                <w:szCs w:val="14"/>
              </w:rPr>
              <w:t>Coste</w:t>
            </w:r>
          </w:p>
        </w:tc>
        <w:tc>
          <w:tcPr>
            <w:tcW w:w="1260" w:type="dxa"/>
            <w:tcBorders>
              <w:top w:val="single" w:sz="4" w:space="0" w:color="auto"/>
              <w:left w:val="nil"/>
              <w:bottom w:val="nil"/>
              <w:right w:val="nil"/>
            </w:tcBorders>
            <w:shd w:val="clear" w:color="auto" w:fill="C5D9F1"/>
            <w:noWrap/>
            <w:vAlign w:val="center"/>
            <w:hideMark/>
          </w:tcPr>
          <w:p w:rsidR="00681CA6" w:rsidRPr="00604CA9" w:rsidRDefault="00681CA6" w:rsidP="00604CA9">
            <w:pPr>
              <w:ind w:firstLine="0"/>
              <w:jc w:val="center"/>
              <w:rPr>
                <w:rFonts w:ascii="Arial" w:hAnsi="Arial" w:cs="Arial"/>
                <w:b/>
                <w:bCs/>
                <w:color w:val="000000"/>
                <w:sz w:val="14"/>
                <w:szCs w:val="14"/>
              </w:rPr>
            </w:pPr>
            <w:r w:rsidRPr="00604CA9">
              <w:rPr>
                <w:rFonts w:ascii="Arial" w:hAnsi="Arial" w:cs="Arial"/>
                <w:b/>
                <w:bCs/>
                <w:color w:val="000000"/>
                <w:sz w:val="14"/>
                <w:szCs w:val="14"/>
              </w:rPr>
              <w:t>Tarifa</w:t>
            </w:r>
          </w:p>
        </w:tc>
        <w:tc>
          <w:tcPr>
            <w:tcW w:w="1240" w:type="dxa"/>
            <w:tcBorders>
              <w:top w:val="single" w:sz="4" w:space="0" w:color="auto"/>
              <w:left w:val="nil"/>
              <w:bottom w:val="nil"/>
              <w:right w:val="single" w:sz="4" w:space="0" w:color="auto"/>
            </w:tcBorders>
            <w:shd w:val="clear" w:color="auto" w:fill="C5D9F1"/>
            <w:noWrap/>
            <w:vAlign w:val="center"/>
            <w:hideMark/>
          </w:tcPr>
          <w:p w:rsidR="00681CA6" w:rsidRPr="00604CA9" w:rsidRDefault="00681CA6" w:rsidP="00604CA9">
            <w:pPr>
              <w:ind w:firstLine="0"/>
              <w:jc w:val="center"/>
              <w:rPr>
                <w:rFonts w:ascii="Arial" w:hAnsi="Arial" w:cs="Arial"/>
                <w:b/>
                <w:bCs/>
                <w:color w:val="000000"/>
                <w:sz w:val="14"/>
                <w:szCs w:val="14"/>
              </w:rPr>
            </w:pPr>
            <w:r w:rsidRPr="00604CA9">
              <w:rPr>
                <w:rFonts w:ascii="Arial" w:hAnsi="Arial" w:cs="Arial"/>
                <w:b/>
                <w:bCs/>
                <w:color w:val="000000"/>
                <w:sz w:val="14"/>
                <w:szCs w:val="14"/>
              </w:rPr>
              <w:t>Pago</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1053/2015, de 5 de mar,</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Enero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1251/2015, de 17 de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Febrero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22.308,82 €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39.211,88 €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1586/2015, de 14 de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Marzo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23.442,40 €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38.078,30 €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2237/2015, de 15 de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Abril</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2778/2015, de 15 de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Mayo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3318/2015, de 17 de jul,</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Junio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35/2015, de 19 de </w:t>
            </w:r>
            <w:proofErr w:type="spellStart"/>
            <w:r w:rsidRPr="00604CA9">
              <w:rPr>
                <w:rFonts w:ascii="Arial" w:hAnsi="Arial" w:cs="Arial"/>
                <w:color w:val="000000"/>
                <w:sz w:val="14"/>
                <w:szCs w:val="14"/>
              </w:rPr>
              <w:t>ago</w:t>
            </w:r>
            <w:proofErr w:type="spellEnd"/>
            <w:r w:rsidRPr="00604CA9">
              <w:rPr>
                <w:rFonts w:ascii="Arial" w:hAnsi="Arial" w:cs="Arial"/>
                <w:color w:val="000000"/>
                <w:sz w:val="14"/>
                <w:szCs w:val="14"/>
              </w:rPr>
              <w:t xml:space="preserve">,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Julio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716/2015, de 25 de </w:t>
            </w:r>
            <w:proofErr w:type="spellStart"/>
            <w:r w:rsidRPr="00604CA9">
              <w:rPr>
                <w:rFonts w:ascii="Arial" w:hAnsi="Arial" w:cs="Arial"/>
                <w:color w:val="000000"/>
                <w:sz w:val="14"/>
                <w:szCs w:val="14"/>
              </w:rPr>
              <w:t>sep</w:t>
            </w:r>
            <w:proofErr w:type="spellEnd"/>
            <w:r w:rsidRPr="00604CA9">
              <w:rPr>
                <w:rFonts w:ascii="Arial" w:hAnsi="Arial" w:cs="Arial"/>
                <w:color w:val="000000"/>
                <w:sz w:val="14"/>
                <w:szCs w:val="14"/>
              </w:rPr>
              <w:t xml:space="preserve">,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Agosto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1309/2015, de 23 de oct,</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Septiembre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1731/2015, de 9 de nov,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Octubre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2883/2015, de 16 de dic,</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Noviembre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1524" w:type="dxa"/>
            <w:tcBorders>
              <w:top w:val="nil"/>
              <w:left w:val="single" w:sz="4" w:space="0" w:color="auto"/>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PSICOGERIATRICO</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3246/2015, de 29 de dic,</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Diciembre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61.520,70 €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23.700,55 €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37.820,15 €</w:t>
            </w:r>
          </w:p>
        </w:tc>
      </w:tr>
      <w:tr w:rsidR="00681CA6" w:rsidRPr="00604CA9" w:rsidTr="006059F8">
        <w:trPr>
          <w:trHeight w:val="288"/>
          <w:jc w:val="center"/>
        </w:trPr>
        <w:tc>
          <w:tcPr>
            <w:tcW w:w="3696" w:type="dxa"/>
            <w:gridSpan w:val="2"/>
            <w:tcBorders>
              <w:top w:val="nil"/>
              <w:left w:val="single" w:sz="4" w:space="0" w:color="auto"/>
              <w:bottom w:val="nil"/>
              <w:right w:val="nil"/>
            </w:tcBorders>
            <w:shd w:val="clear" w:color="auto" w:fill="C5D9F1"/>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TOTAL PISOGERIATRICO</w:t>
            </w:r>
          </w:p>
        </w:tc>
        <w:tc>
          <w:tcPr>
            <w:tcW w:w="1820" w:type="dxa"/>
            <w:tcBorders>
              <w:top w:val="nil"/>
              <w:left w:val="nil"/>
              <w:bottom w:val="nil"/>
              <w:right w:val="nil"/>
            </w:tcBorders>
            <w:shd w:val="clear" w:color="auto" w:fill="C5D9F1"/>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w:t>
            </w:r>
          </w:p>
        </w:tc>
        <w:tc>
          <w:tcPr>
            <w:tcW w:w="1360" w:type="dxa"/>
            <w:tcBorders>
              <w:top w:val="nil"/>
              <w:left w:val="nil"/>
              <w:bottom w:val="nil"/>
              <w:right w:val="nil"/>
            </w:tcBorders>
            <w:shd w:val="clear" w:color="auto" w:fill="C5D9F1"/>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w:t>
            </w:r>
          </w:p>
        </w:tc>
        <w:tc>
          <w:tcPr>
            <w:tcW w:w="1240" w:type="dxa"/>
            <w:tcBorders>
              <w:top w:val="nil"/>
              <w:left w:val="nil"/>
              <w:bottom w:val="nil"/>
              <w:right w:val="nil"/>
            </w:tcBorders>
            <w:shd w:val="clear" w:color="auto" w:fill="C5D9F1"/>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738.248,40 €</w:t>
            </w:r>
          </w:p>
        </w:tc>
        <w:tc>
          <w:tcPr>
            <w:tcW w:w="1260" w:type="dxa"/>
            <w:tcBorders>
              <w:top w:val="nil"/>
              <w:left w:val="nil"/>
              <w:bottom w:val="nil"/>
              <w:right w:val="nil"/>
            </w:tcBorders>
            <w:shd w:val="clear" w:color="auto" w:fill="C5D9F1"/>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282.756,72 €</w:t>
            </w:r>
          </w:p>
        </w:tc>
        <w:tc>
          <w:tcPr>
            <w:tcW w:w="1240" w:type="dxa"/>
            <w:tcBorders>
              <w:top w:val="nil"/>
              <w:left w:val="nil"/>
              <w:bottom w:val="nil"/>
              <w:right w:val="single" w:sz="4" w:space="0" w:color="auto"/>
            </w:tcBorders>
            <w:shd w:val="clear" w:color="auto" w:fill="C5D9F1"/>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455.491,68 €</w:t>
            </w:r>
          </w:p>
        </w:tc>
      </w:tr>
      <w:tr w:rsidR="00681CA6" w:rsidRPr="00604CA9" w:rsidTr="006059F8">
        <w:trPr>
          <w:trHeight w:val="288"/>
          <w:jc w:val="center"/>
        </w:trPr>
        <w:tc>
          <w:tcPr>
            <w:tcW w:w="1524" w:type="dxa"/>
            <w:tcBorders>
              <w:top w:val="nil"/>
              <w:left w:val="single" w:sz="4" w:space="0" w:color="auto"/>
              <w:bottom w:val="nil"/>
              <w:right w:val="nil"/>
            </w:tcBorders>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RESIDENCIA</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914/2015, de 5 de oct,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Agosto</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37.154,10 €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18.285,40 €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18.868,70 €</w:t>
            </w:r>
          </w:p>
        </w:tc>
      </w:tr>
      <w:tr w:rsidR="00681CA6" w:rsidRPr="00604CA9" w:rsidTr="006059F8">
        <w:trPr>
          <w:trHeight w:val="288"/>
          <w:jc w:val="center"/>
        </w:trPr>
        <w:tc>
          <w:tcPr>
            <w:tcW w:w="1524" w:type="dxa"/>
            <w:tcBorders>
              <w:top w:val="nil"/>
              <w:left w:val="single" w:sz="4" w:space="0" w:color="auto"/>
              <w:bottom w:val="nil"/>
              <w:right w:val="nil"/>
            </w:tcBorders>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RESIDENCIA</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1337/2015, de 26 de oct,</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Septiembre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37.887,40 €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18.567,81 €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19.319,59 €</w:t>
            </w:r>
          </w:p>
        </w:tc>
      </w:tr>
      <w:tr w:rsidR="00681CA6" w:rsidRPr="00604CA9" w:rsidTr="006059F8">
        <w:trPr>
          <w:trHeight w:val="288"/>
          <w:jc w:val="center"/>
        </w:trPr>
        <w:tc>
          <w:tcPr>
            <w:tcW w:w="1524" w:type="dxa"/>
            <w:tcBorders>
              <w:top w:val="nil"/>
              <w:left w:val="single" w:sz="4" w:space="0" w:color="auto"/>
              <w:bottom w:val="nil"/>
              <w:right w:val="nil"/>
            </w:tcBorders>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RESIDENCIA</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2429/2015, de 2 de dic, </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Octubre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37.887,40 €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19.290,66 €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18.596,74 €</w:t>
            </w:r>
          </w:p>
        </w:tc>
      </w:tr>
      <w:tr w:rsidR="00681CA6" w:rsidRPr="00604CA9" w:rsidTr="006059F8">
        <w:trPr>
          <w:trHeight w:val="288"/>
          <w:jc w:val="center"/>
        </w:trPr>
        <w:tc>
          <w:tcPr>
            <w:tcW w:w="1524" w:type="dxa"/>
            <w:tcBorders>
              <w:top w:val="nil"/>
              <w:left w:val="single" w:sz="4" w:space="0" w:color="auto"/>
              <w:bottom w:val="nil"/>
              <w:right w:val="nil"/>
            </w:tcBorders>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RESIDENCIA</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2884/2015, de 16 de dic,</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Noviembre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37.836,89 €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18.819,91 €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19.016,98 €</w:t>
            </w:r>
          </w:p>
        </w:tc>
      </w:tr>
      <w:tr w:rsidR="00681CA6" w:rsidRPr="00604CA9" w:rsidTr="006059F8">
        <w:trPr>
          <w:trHeight w:val="288"/>
          <w:jc w:val="center"/>
        </w:trPr>
        <w:tc>
          <w:tcPr>
            <w:tcW w:w="1524" w:type="dxa"/>
            <w:tcBorders>
              <w:top w:val="nil"/>
              <w:left w:val="single" w:sz="4" w:space="0" w:color="auto"/>
              <w:bottom w:val="nil"/>
              <w:right w:val="nil"/>
            </w:tcBorders>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RESIDENCIA</w:t>
            </w:r>
          </w:p>
        </w:tc>
        <w:tc>
          <w:tcPr>
            <w:tcW w:w="2172"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Direct</w:t>
            </w:r>
            <w:proofErr w:type="spellEnd"/>
            <w:r w:rsidRPr="00604CA9">
              <w:rPr>
                <w:rFonts w:ascii="Arial" w:hAnsi="Arial" w:cs="Arial"/>
                <w:color w:val="000000"/>
                <w:sz w:val="14"/>
                <w:szCs w:val="14"/>
              </w:rPr>
              <w:t xml:space="preserve"> </w:t>
            </w:r>
            <w:proofErr w:type="spellStart"/>
            <w:r w:rsidRPr="00604CA9">
              <w:rPr>
                <w:rFonts w:ascii="Arial" w:hAnsi="Arial" w:cs="Arial"/>
                <w:color w:val="000000"/>
                <w:sz w:val="14"/>
                <w:szCs w:val="14"/>
              </w:rPr>
              <w:t>Gerent</w:t>
            </w:r>
            <w:proofErr w:type="spellEnd"/>
            <w:r w:rsidRPr="00604CA9">
              <w:rPr>
                <w:rFonts w:ascii="Arial" w:hAnsi="Arial" w:cs="Arial"/>
                <w:color w:val="000000"/>
                <w:sz w:val="14"/>
                <w:szCs w:val="14"/>
              </w:rPr>
              <w:t xml:space="preserve"> ANADP</w:t>
            </w:r>
          </w:p>
        </w:tc>
        <w:tc>
          <w:tcPr>
            <w:tcW w:w="182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3232/2015, de 29 de dic,</w:t>
            </w:r>
          </w:p>
        </w:tc>
        <w:tc>
          <w:tcPr>
            <w:tcW w:w="1360" w:type="dxa"/>
            <w:tcBorders>
              <w:top w:val="nil"/>
              <w:left w:val="nil"/>
              <w:bottom w:val="nil"/>
              <w:right w:val="nil"/>
            </w:tcBorders>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Pago Diciembre</w:t>
            </w:r>
          </w:p>
        </w:tc>
        <w:tc>
          <w:tcPr>
            <w:tcW w:w="124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37.887,40 €</w:t>
            </w:r>
          </w:p>
        </w:tc>
        <w:tc>
          <w:tcPr>
            <w:tcW w:w="1260" w:type="dxa"/>
            <w:tcBorders>
              <w:top w:val="nil"/>
              <w:left w:val="nil"/>
              <w:bottom w:val="nil"/>
              <w:right w:val="nil"/>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18.623,52 €</w:t>
            </w:r>
          </w:p>
        </w:tc>
        <w:tc>
          <w:tcPr>
            <w:tcW w:w="1240" w:type="dxa"/>
            <w:tcBorders>
              <w:top w:val="nil"/>
              <w:left w:val="nil"/>
              <w:bottom w:val="nil"/>
              <w:right w:val="single" w:sz="4" w:space="0" w:color="auto"/>
            </w:tcBorders>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19.263,88 €</w:t>
            </w:r>
          </w:p>
        </w:tc>
      </w:tr>
      <w:tr w:rsidR="00681CA6" w:rsidRPr="00604CA9" w:rsidTr="006059F8">
        <w:trPr>
          <w:trHeight w:val="288"/>
          <w:jc w:val="center"/>
        </w:trPr>
        <w:tc>
          <w:tcPr>
            <w:tcW w:w="1524" w:type="dxa"/>
            <w:tcBorders>
              <w:top w:val="nil"/>
              <w:left w:val="single" w:sz="4" w:space="0" w:color="auto"/>
              <w:bottom w:val="nil"/>
              <w:right w:val="nil"/>
            </w:tcBorders>
            <w:shd w:val="clear" w:color="auto" w:fill="C5D9F1"/>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TOTAL RESIDENCIA</w:t>
            </w:r>
          </w:p>
        </w:tc>
        <w:tc>
          <w:tcPr>
            <w:tcW w:w="2172" w:type="dxa"/>
            <w:tcBorders>
              <w:top w:val="nil"/>
              <w:left w:val="nil"/>
              <w:bottom w:val="nil"/>
              <w:right w:val="nil"/>
            </w:tcBorders>
            <w:shd w:val="clear" w:color="auto" w:fill="C5D9F1"/>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w:t>
            </w:r>
          </w:p>
        </w:tc>
        <w:tc>
          <w:tcPr>
            <w:tcW w:w="1820" w:type="dxa"/>
            <w:tcBorders>
              <w:top w:val="nil"/>
              <w:left w:val="nil"/>
              <w:bottom w:val="nil"/>
              <w:right w:val="nil"/>
            </w:tcBorders>
            <w:shd w:val="clear" w:color="auto" w:fill="C5D9F1"/>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w:t>
            </w:r>
          </w:p>
        </w:tc>
        <w:tc>
          <w:tcPr>
            <w:tcW w:w="1360" w:type="dxa"/>
            <w:tcBorders>
              <w:top w:val="nil"/>
              <w:left w:val="nil"/>
              <w:bottom w:val="nil"/>
              <w:right w:val="nil"/>
            </w:tcBorders>
            <w:shd w:val="clear" w:color="auto" w:fill="C5D9F1"/>
            <w:noWrap/>
            <w:vAlign w:val="center"/>
            <w:hideMark/>
          </w:tcPr>
          <w:p w:rsidR="00681CA6" w:rsidRPr="00604CA9" w:rsidRDefault="00681CA6" w:rsidP="00604CA9">
            <w:pPr>
              <w:ind w:firstLine="0"/>
              <w:rPr>
                <w:rFonts w:ascii="Arial" w:hAnsi="Arial" w:cs="Arial"/>
                <w:color w:val="000000"/>
                <w:sz w:val="14"/>
                <w:szCs w:val="14"/>
              </w:rPr>
            </w:pPr>
            <w:r w:rsidRPr="00604CA9">
              <w:rPr>
                <w:rFonts w:ascii="Arial" w:hAnsi="Arial" w:cs="Arial"/>
                <w:color w:val="000000"/>
                <w:sz w:val="14"/>
                <w:szCs w:val="14"/>
              </w:rPr>
              <w:t> </w:t>
            </w:r>
          </w:p>
        </w:tc>
        <w:tc>
          <w:tcPr>
            <w:tcW w:w="1240" w:type="dxa"/>
            <w:tcBorders>
              <w:top w:val="nil"/>
              <w:left w:val="nil"/>
              <w:bottom w:val="nil"/>
              <w:right w:val="nil"/>
            </w:tcBorders>
            <w:shd w:val="clear" w:color="auto" w:fill="C5D9F1"/>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188.653,19 €</w:t>
            </w:r>
          </w:p>
        </w:tc>
        <w:tc>
          <w:tcPr>
            <w:tcW w:w="1260" w:type="dxa"/>
            <w:tcBorders>
              <w:top w:val="nil"/>
              <w:left w:val="nil"/>
              <w:bottom w:val="nil"/>
              <w:right w:val="nil"/>
            </w:tcBorders>
            <w:shd w:val="clear" w:color="auto" w:fill="C5D9F1"/>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93.587,30 €</w:t>
            </w:r>
          </w:p>
        </w:tc>
        <w:tc>
          <w:tcPr>
            <w:tcW w:w="1240" w:type="dxa"/>
            <w:tcBorders>
              <w:top w:val="nil"/>
              <w:left w:val="nil"/>
              <w:bottom w:val="nil"/>
              <w:right w:val="single" w:sz="4" w:space="0" w:color="auto"/>
            </w:tcBorders>
            <w:shd w:val="clear" w:color="auto" w:fill="C5D9F1"/>
            <w:noWrap/>
            <w:vAlign w:val="center"/>
            <w:hideMark/>
          </w:tcPr>
          <w:p w:rsidR="00681CA6" w:rsidRPr="00604CA9" w:rsidRDefault="00681CA6" w:rsidP="00604CA9">
            <w:pPr>
              <w:ind w:firstLine="0"/>
              <w:jc w:val="right"/>
              <w:rPr>
                <w:rFonts w:ascii="Arial" w:hAnsi="Arial" w:cs="Arial"/>
                <w:color w:val="000000"/>
                <w:sz w:val="14"/>
                <w:szCs w:val="14"/>
              </w:rPr>
            </w:pPr>
            <w:r w:rsidRPr="00604CA9">
              <w:rPr>
                <w:rFonts w:ascii="Arial" w:hAnsi="Arial" w:cs="Arial"/>
                <w:color w:val="000000"/>
                <w:sz w:val="14"/>
                <w:szCs w:val="14"/>
              </w:rPr>
              <w:t>95.065,89 €</w:t>
            </w:r>
          </w:p>
        </w:tc>
      </w:tr>
      <w:tr w:rsidR="00681CA6" w:rsidRPr="00604CA9" w:rsidTr="006059F8">
        <w:trPr>
          <w:trHeight w:val="288"/>
          <w:jc w:val="center"/>
        </w:trPr>
        <w:tc>
          <w:tcPr>
            <w:tcW w:w="1524" w:type="dxa"/>
            <w:tcBorders>
              <w:top w:val="nil"/>
              <w:left w:val="single" w:sz="4" w:space="0" w:color="auto"/>
              <w:bottom w:val="single" w:sz="4" w:space="0" w:color="auto"/>
              <w:right w:val="nil"/>
            </w:tcBorders>
            <w:shd w:val="clear" w:color="auto" w:fill="8DB4E2"/>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 </w:t>
            </w:r>
          </w:p>
        </w:tc>
        <w:tc>
          <w:tcPr>
            <w:tcW w:w="2172" w:type="dxa"/>
            <w:tcBorders>
              <w:top w:val="nil"/>
              <w:left w:val="nil"/>
              <w:bottom w:val="single" w:sz="4" w:space="0" w:color="auto"/>
              <w:right w:val="nil"/>
            </w:tcBorders>
            <w:shd w:val="clear" w:color="auto" w:fill="8DB4E2"/>
            <w:noWrap/>
            <w:vAlign w:val="center"/>
            <w:hideMark/>
          </w:tcPr>
          <w:p w:rsidR="00681CA6" w:rsidRPr="00604CA9" w:rsidRDefault="00681CA6" w:rsidP="00604CA9">
            <w:pPr>
              <w:ind w:firstLine="0"/>
              <w:rPr>
                <w:rFonts w:ascii="Arial" w:hAnsi="Arial" w:cs="Arial"/>
                <w:b/>
                <w:bCs/>
                <w:color w:val="000000"/>
                <w:sz w:val="14"/>
                <w:szCs w:val="14"/>
              </w:rPr>
            </w:pPr>
            <w:r w:rsidRPr="00604CA9">
              <w:rPr>
                <w:rFonts w:ascii="Arial" w:hAnsi="Arial" w:cs="Arial"/>
                <w:b/>
                <w:bCs/>
                <w:color w:val="000000"/>
                <w:sz w:val="14"/>
                <w:szCs w:val="14"/>
              </w:rPr>
              <w:t>TOTAL</w:t>
            </w:r>
          </w:p>
        </w:tc>
        <w:tc>
          <w:tcPr>
            <w:tcW w:w="1820" w:type="dxa"/>
            <w:tcBorders>
              <w:top w:val="nil"/>
              <w:left w:val="nil"/>
              <w:bottom w:val="single" w:sz="4" w:space="0" w:color="auto"/>
              <w:right w:val="nil"/>
            </w:tcBorders>
            <w:shd w:val="clear" w:color="auto" w:fill="8DB4E2"/>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 </w:t>
            </w:r>
          </w:p>
        </w:tc>
        <w:tc>
          <w:tcPr>
            <w:tcW w:w="1360" w:type="dxa"/>
            <w:tcBorders>
              <w:top w:val="nil"/>
              <w:left w:val="nil"/>
              <w:bottom w:val="single" w:sz="4" w:space="0" w:color="auto"/>
              <w:right w:val="nil"/>
            </w:tcBorders>
            <w:shd w:val="clear" w:color="auto" w:fill="8DB4E2"/>
            <w:noWrap/>
            <w:vAlign w:val="bottom"/>
            <w:hideMark/>
          </w:tcPr>
          <w:p w:rsidR="00681CA6" w:rsidRPr="00604CA9" w:rsidRDefault="00681CA6" w:rsidP="00604CA9">
            <w:pPr>
              <w:ind w:firstLine="0"/>
              <w:rPr>
                <w:rFonts w:ascii="Calibri" w:hAnsi="Calibri"/>
                <w:color w:val="000000"/>
                <w:sz w:val="14"/>
                <w:szCs w:val="14"/>
              </w:rPr>
            </w:pPr>
            <w:r w:rsidRPr="00604CA9">
              <w:rPr>
                <w:rFonts w:ascii="Calibri" w:hAnsi="Calibri"/>
                <w:color w:val="000000"/>
                <w:sz w:val="14"/>
                <w:szCs w:val="14"/>
              </w:rPr>
              <w:t> </w:t>
            </w:r>
          </w:p>
        </w:tc>
        <w:tc>
          <w:tcPr>
            <w:tcW w:w="1240" w:type="dxa"/>
            <w:tcBorders>
              <w:top w:val="nil"/>
              <w:left w:val="nil"/>
              <w:bottom w:val="single" w:sz="4" w:space="0" w:color="auto"/>
              <w:right w:val="nil"/>
            </w:tcBorders>
            <w:shd w:val="clear" w:color="auto" w:fill="8DB4E2"/>
            <w:noWrap/>
            <w:vAlign w:val="center"/>
            <w:hideMark/>
          </w:tcPr>
          <w:p w:rsidR="00681CA6" w:rsidRPr="00604CA9" w:rsidRDefault="00681CA6" w:rsidP="00604CA9">
            <w:pPr>
              <w:ind w:firstLine="0"/>
              <w:jc w:val="right"/>
              <w:rPr>
                <w:rFonts w:ascii="Arial" w:hAnsi="Arial" w:cs="Arial"/>
                <w:b/>
                <w:bCs/>
                <w:color w:val="000000"/>
                <w:sz w:val="14"/>
                <w:szCs w:val="14"/>
              </w:rPr>
            </w:pPr>
            <w:r w:rsidRPr="00604CA9">
              <w:rPr>
                <w:rFonts w:ascii="Arial" w:hAnsi="Arial" w:cs="Arial"/>
                <w:b/>
                <w:bCs/>
                <w:color w:val="000000"/>
                <w:sz w:val="14"/>
                <w:szCs w:val="14"/>
              </w:rPr>
              <w:t>926.901,59 €</w:t>
            </w:r>
          </w:p>
        </w:tc>
        <w:tc>
          <w:tcPr>
            <w:tcW w:w="1260" w:type="dxa"/>
            <w:tcBorders>
              <w:top w:val="nil"/>
              <w:left w:val="nil"/>
              <w:bottom w:val="single" w:sz="4" w:space="0" w:color="auto"/>
              <w:right w:val="nil"/>
            </w:tcBorders>
            <w:shd w:val="clear" w:color="auto" w:fill="8DB4E2"/>
            <w:noWrap/>
            <w:vAlign w:val="center"/>
            <w:hideMark/>
          </w:tcPr>
          <w:p w:rsidR="00681CA6" w:rsidRPr="00604CA9" w:rsidRDefault="00681CA6" w:rsidP="00604CA9">
            <w:pPr>
              <w:ind w:firstLine="0"/>
              <w:jc w:val="right"/>
              <w:rPr>
                <w:rFonts w:ascii="Arial" w:hAnsi="Arial" w:cs="Arial"/>
                <w:b/>
                <w:bCs/>
                <w:color w:val="000000"/>
                <w:sz w:val="14"/>
                <w:szCs w:val="14"/>
              </w:rPr>
            </w:pPr>
            <w:r w:rsidRPr="00604CA9">
              <w:rPr>
                <w:rFonts w:ascii="Arial" w:hAnsi="Arial" w:cs="Arial"/>
                <w:b/>
                <w:bCs/>
                <w:color w:val="000000"/>
                <w:sz w:val="14"/>
                <w:szCs w:val="14"/>
              </w:rPr>
              <w:t>376.344,02 €</w:t>
            </w:r>
          </w:p>
        </w:tc>
        <w:tc>
          <w:tcPr>
            <w:tcW w:w="1240" w:type="dxa"/>
            <w:tcBorders>
              <w:top w:val="nil"/>
              <w:left w:val="nil"/>
              <w:bottom w:val="single" w:sz="4" w:space="0" w:color="auto"/>
              <w:right w:val="single" w:sz="4" w:space="0" w:color="auto"/>
            </w:tcBorders>
            <w:shd w:val="clear" w:color="auto" w:fill="8DB4E2"/>
            <w:noWrap/>
            <w:vAlign w:val="center"/>
            <w:hideMark/>
          </w:tcPr>
          <w:p w:rsidR="00681CA6" w:rsidRPr="00604CA9" w:rsidRDefault="00681CA6" w:rsidP="00604CA9">
            <w:pPr>
              <w:ind w:firstLine="0"/>
              <w:jc w:val="right"/>
              <w:rPr>
                <w:rFonts w:ascii="Arial" w:hAnsi="Arial" w:cs="Arial"/>
                <w:b/>
                <w:bCs/>
                <w:color w:val="000000"/>
                <w:sz w:val="14"/>
                <w:szCs w:val="14"/>
              </w:rPr>
            </w:pPr>
            <w:r w:rsidRPr="00604CA9">
              <w:rPr>
                <w:rFonts w:ascii="Arial" w:hAnsi="Arial" w:cs="Arial"/>
                <w:b/>
                <w:bCs/>
                <w:color w:val="000000"/>
                <w:sz w:val="14"/>
                <w:szCs w:val="14"/>
              </w:rPr>
              <w:t>550.557,57 €</w:t>
            </w:r>
          </w:p>
        </w:tc>
      </w:tr>
    </w:tbl>
    <w:p w:rsidR="00681CA6" w:rsidRDefault="00681CA6" w:rsidP="00681CA6">
      <w:pPr>
        <w:spacing w:before="120" w:after="120"/>
        <w:ind w:firstLine="709"/>
      </w:pPr>
    </w:p>
    <w:p w:rsidR="00681CA6" w:rsidRDefault="00681CA6" w:rsidP="00681CA6">
      <w:pPr>
        <w:spacing w:before="120" w:after="120" w:line="360" w:lineRule="auto"/>
        <w:ind w:firstLine="709"/>
        <w:rPr>
          <w:rFonts w:ascii="Calibri" w:hAnsi="Calibri"/>
        </w:rPr>
      </w:pPr>
      <w:r>
        <w:rPr>
          <w:rFonts w:ascii="Courier New" w:hAnsi="Courier New" w:cs="Courier New"/>
        </w:rPr>
        <w:t>Y l</w:t>
      </w:r>
      <w:r w:rsidRPr="00FC24B8">
        <w:rPr>
          <w:rFonts w:ascii="Courier New" w:hAnsi="Courier New" w:cs="Courier New"/>
        </w:rPr>
        <w:t xml:space="preserve">os datos que figuran en </w:t>
      </w:r>
      <w:r>
        <w:rPr>
          <w:rFonts w:ascii="Courier New" w:hAnsi="Courier New" w:cs="Courier New"/>
        </w:rPr>
        <w:t>la ANADP</w:t>
      </w:r>
      <w:r w:rsidRPr="00FC24B8">
        <w:rPr>
          <w:rFonts w:ascii="Courier New" w:hAnsi="Courier New" w:cs="Courier New"/>
        </w:rPr>
        <w:t xml:space="preserve"> </w:t>
      </w:r>
      <w:r>
        <w:rPr>
          <w:rFonts w:ascii="Courier New" w:hAnsi="Courier New" w:cs="Courier New"/>
        </w:rPr>
        <w:t>respecto a lo que queda pe</w:t>
      </w:r>
      <w:r>
        <w:rPr>
          <w:rFonts w:ascii="Courier New" w:hAnsi="Courier New" w:cs="Courier New"/>
        </w:rPr>
        <w:t>n</w:t>
      </w:r>
      <w:r>
        <w:rPr>
          <w:rFonts w:ascii="Courier New" w:hAnsi="Courier New" w:cs="Courier New"/>
        </w:rPr>
        <w:t>diente de cobro por la Residencia a 31-12-2015 son</w:t>
      </w:r>
      <w:r>
        <w:rPr>
          <w:rFonts w:ascii="Calibri" w:hAnsi="Calibri"/>
        </w:rPr>
        <w:t>:</w:t>
      </w:r>
    </w:p>
    <w:p w:rsidR="00681CA6" w:rsidRDefault="00681CA6" w:rsidP="00681CA6">
      <w:pPr>
        <w:spacing w:before="120" w:after="120"/>
        <w:ind w:firstLine="709"/>
      </w:pPr>
    </w:p>
    <w:tbl>
      <w:tblPr>
        <w:tblW w:w="10726" w:type="dxa"/>
        <w:jc w:val="center"/>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34"/>
        <w:gridCol w:w="2172"/>
        <w:gridCol w:w="1820"/>
        <w:gridCol w:w="1360"/>
        <w:gridCol w:w="1240"/>
        <w:gridCol w:w="1260"/>
        <w:gridCol w:w="1240"/>
      </w:tblGrid>
      <w:tr w:rsidR="00681CA6" w:rsidTr="006059F8">
        <w:trPr>
          <w:trHeight w:val="288"/>
          <w:jc w:val="center"/>
        </w:trPr>
        <w:tc>
          <w:tcPr>
            <w:tcW w:w="1634" w:type="dxa"/>
            <w:tcBorders>
              <w:top w:val="single" w:sz="4" w:space="0" w:color="auto"/>
              <w:left w:val="single" w:sz="4" w:space="0" w:color="auto"/>
              <w:bottom w:val="nil"/>
              <w:right w:val="nil"/>
            </w:tcBorders>
            <w:noWrap/>
            <w:vAlign w:val="bottom"/>
            <w:hideMark/>
          </w:tcPr>
          <w:p w:rsidR="00681CA6" w:rsidRDefault="00681CA6" w:rsidP="00604CA9">
            <w:pPr>
              <w:ind w:firstLine="0"/>
              <w:rPr>
                <w:lang w:eastAsia="es-ES_tradnl"/>
              </w:rPr>
            </w:pPr>
          </w:p>
        </w:tc>
        <w:tc>
          <w:tcPr>
            <w:tcW w:w="2172" w:type="dxa"/>
            <w:tcBorders>
              <w:top w:val="single" w:sz="4" w:space="0" w:color="auto"/>
              <w:left w:val="nil"/>
              <w:bottom w:val="nil"/>
              <w:right w:val="nil"/>
            </w:tcBorders>
            <w:noWrap/>
            <w:vAlign w:val="bottom"/>
            <w:hideMark/>
          </w:tcPr>
          <w:p w:rsidR="00681CA6" w:rsidRDefault="00681CA6" w:rsidP="00604CA9">
            <w:pPr>
              <w:ind w:firstLine="0"/>
              <w:jc w:val="left"/>
              <w:rPr>
                <w:lang w:eastAsia="es-ES_tradnl"/>
              </w:rPr>
            </w:pPr>
          </w:p>
        </w:tc>
        <w:tc>
          <w:tcPr>
            <w:tcW w:w="1820" w:type="dxa"/>
            <w:tcBorders>
              <w:top w:val="single" w:sz="4" w:space="0" w:color="auto"/>
              <w:left w:val="nil"/>
              <w:bottom w:val="nil"/>
              <w:right w:val="nil"/>
            </w:tcBorders>
            <w:noWrap/>
            <w:vAlign w:val="bottom"/>
            <w:hideMark/>
          </w:tcPr>
          <w:p w:rsidR="00681CA6" w:rsidRDefault="00681CA6" w:rsidP="00604CA9">
            <w:pPr>
              <w:ind w:firstLine="0"/>
              <w:rPr>
                <w:lang w:eastAsia="es-ES_tradnl"/>
              </w:rPr>
            </w:pPr>
          </w:p>
        </w:tc>
        <w:tc>
          <w:tcPr>
            <w:tcW w:w="1360" w:type="dxa"/>
            <w:tcBorders>
              <w:top w:val="single" w:sz="4" w:space="0" w:color="auto"/>
              <w:left w:val="nil"/>
              <w:bottom w:val="nil"/>
              <w:right w:val="nil"/>
            </w:tcBorders>
            <w:noWrap/>
            <w:vAlign w:val="bottom"/>
            <w:hideMark/>
          </w:tcPr>
          <w:p w:rsidR="00681CA6" w:rsidRDefault="00681CA6" w:rsidP="00604CA9">
            <w:pPr>
              <w:ind w:firstLine="0"/>
              <w:rPr>
                <w:lang w:eastAsia="es-ES_tradnl"/>
              </w:rPr>
            </w:pPr>
          </w:p>
        </w:tc>
        <w:tc>
          <w:tcPr>
            <w:tcW w:w="1240" w:type="dxa"/>
            <w:tcBorders>
              <w:top w:val="single" w:sz="4" w:space="0" w:color="auto"/>
              <w:left w:val="nil"/>
              <w:bottom w:val="nil"/>
              <w:right w:val="nil"/>
            </w:tcBorders>
            <w:noWrap/>
            <w:vAlign w:val="bottom"/>
            <w:hideMark/>
          </w:tcPr>
          <w:p w:rsidR="00681CA6" w:rsidRDefault="00681CA6" w:rsidP="00604CA9">
            <w:pPr>
              <w:ind w:firstLine="0"/>
              <w:rPr>
                <w:lang w:eastAsia="es-ES_tradnl"/>
              </w:rPr>
            </w:pPr>
          </w:p>
        </w:tc>
        <w:tc>
          <w:tcPr>
            <w:tcW w:w="1260" w:type="dxa"/>
            <w:tcBorders>
              <w:top w:val="single" w:sz="4" w:space="0" w:color="auto"/>
              <w:left w:val="nil"/>
              <w:bottom w:val="nil"/>
              <w:right w:val="nil"/>
            </w:tcBorders>
            <w:noWrap/>
            <w:vAlign w:val="bottom"/>
            <w:hideMark/>
          </w:tcPr>
          <w:p w:rsidR="00681CA6" w:rsidRDefault="00681CA6" w:rsidP="00604CA9">
            <w:pPr>
              <w:ind w:firstLine="0"/>
              <w:rPr>
                <w:lang w:eastAsia="es-ES_tradnl"/>
              </w:rPr>
            </w:pPr>
          </w:p>
        </w:tc>
        <w:tc>
          <w:tcPr>
            <w:tcW w:w="1240" w:type="dxa"/>
            <w:tcBorders>
              <w:top w:val="single" w:sz="4" w:space="0" w:color="auto"/>
              <w:left w:val="nil"/>
              <w:bottom w:val="nil"/>
              <w:right w:val="single" w:sz="4" w:space="0" w:color="auto"/>
            </w:tcBorders>
            <w:noWrap/>
            <w:vAlign w:val="bottom"/>
            <w:hideMark/>
          </w:tcPr>
          <w:p w:rsidR="00681CA6" w:rsidRDefault="00681CA6" w:rsidP="00604CA9">
            <w:pPr>
              <w:ind w:firstLine="0"/>
              <w:rPr>
                <w:lang w:eastAsia="es-ES_tradnl"/>
              </w:rPr>
            </w:pPr>
          </w:p>
        </w:tc>
      </w:tr>
      <w:tr w:rsidR="00681CA6" w:rsidTr="006059F8">
        <w:trPr>
          <w:trHeight w:val="288"/>
          <w:jc w:val="center"/>
        </w:trPr>
        <w:tc>
          <w:tcPr>
            <w:tcW w:w="1634" w:type="dxa"/>
            <w:tcBorders>
              <w:top w:val="nil"/>
              <w:left w:val="single" w:sz="4" w:space="0" w:color="auto"/>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PSICOGERIATRICO</w:t>
            </w:r>
          </w:p>
        </w:tc>
        <w:tc>
          <w:tcPr>
            <w:tcW w:w="2172" w:type="dxa"/>
            <w:tcBorders>
              <w:top w:val="nil"/>
              <w:left w:val="nil"/>
              <w:bottom w:val="nil"/>
              <w:right w:val="nil"/>
            </w:tcBorders>
            <w:noWrap/>
            <w:vAlign w:val="center"/>
            <w:hideMark/>
          </w:tcPr>
          <w:p w:rsidR="00681CA6" w:rsidRDefault="00681CA6" w:rsidP="00604CA9">
            <w:pPr>
              <w:ind w:firstLine="0"/>
              <w:jc w:val="left"/>
              <w:rPr>
                <w:rFonts w:ascii="Arial" w:hAnsi="Arial" w:cs="Arial"/>
                <w:color w:val="000000"/>
                <w:sz w:val="16"/>
                <w:szCs w:val="16"/>
              </w:rPr>
            </w:pPr>
            <w:proofErr w:type="spellStart"/>
            <w:r>
              <w:rPr>
                <w:rFonts w:ascii="Arial" w:hAnsi="Arial" w:cs="Arial"/>
                <w:color w:val="000000"/>
                <w:sz w:val="16"/>
                <w:szCs w:val="16"/>
              </w:rPr>
              <w:t>Direct</w:t>
            </w:r>
            <w:proofErr w:type="spellEnd"/>
            <w:r>
              <w:rPr>
                <w:rFonts w:ascii="Arial" w:hAnsi="Arial" w:cs="Arial"/>
                <w:color w:val="000000"/>
                <w:sz w:val="16"/>
                <w:szCs w:val="16"/>
              </w:rPr>
              <w:t xml:space="preserve"> </w:t>
            </w:r>
            <w:proofErr w:type="spellStart"/>
            <w:r>
              <w:rPr>
                <w:rFonts w:ascii="Arial" w:hAnsi="Arial" w:cs="Arial"/>
                <w:color w:val="000000"/>
                <w:sz w:val="16"/>
                <w:szCs w:val="16"/>
              </w:rPr>
              <w:t>Gerent</w:t>
            </w:r>
            <w:proofErr w:type="spellEnd"/>
            <w:r>
              <w:rPr>
                <w:rFonts w:ascii="Arial" w:hAnsi="Arial" w:cs="Arial"/>
                <w:color w:val="000000"/>
                <w:sz w:val="16"/>
                <w:szCs w:val="16"/>
              </w:rPr>
              <w:t xml:space="preserve"> ANADP</w:t>
            </w:r>
          </w:p>
        </w:tc>
        <w:tc>
          <w:tcPr>
            <w:tcW w:w="182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2883/2015, de 16 de dic,</w:t>
            </w:r>
          </w:p>
        </w:tc>
        <w:tc>
          <w:tcPr>
            <w:tcW w:w="136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Pago Noviembre</w:t>
            </w:r>
          </w:p>
        </w:tc>
        <w:tc>
          <w:tcPr>
            <w:tcW w:w="124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61.520,70 €</w:t>
            </w:r>
          </w:p>
        </w:tc>
        <w:tc>
          <w:tcPr>
            <w:tcW w:w="126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23.700,55 €</w:t>
            </w:r>
          </w:p>
        </w:tc>
        <w:tc>
          <w:tcPr>
            <w:tcW w:w="1240" w:type="dxa"/>
            <w:tcBorders>
              <w:top w:val="nil"/>
              <w:left w:val="nil"/>
              <w:bottom w:val="nil"/>
              <w:right w:val="single" w:sz="4" w:space="0" w:color="auto"/>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37.820,15 €</w:t>
            </w:r>
          </w:p>
        </w:tc>
      </w:tr>
      <w:tr w:rsidR="00681CA6" w:rsidTr="006059F8">
        <w:trPr>
          <w:trHeight w:val="288"/>
          <w:jc w:val="center"/>
        </w:trPr>
        <w:tc>
          <w:tcPr>
            <w:tcW w:w="1634" w:type="dxa"/>
            <w:tcBorders>
              <w:top w:val="nil"/>
              <w:left w:val="single" w:sz="4" w:space="0" w:color="auto"/>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PSICOGERIATRICO</w:t>
            </w:r>
          </w:p>
        </w:tc>
        <w:tc>
          <w:tcPr>
            <w:tcW w:w="2172" w:type="dxa"/>
            <w:tcBorders>
              <w:top w:val="nil"/>
              <w:left w:val="nil"/>
              <w:bottom w:val="nil"/>
              <w:right w:val="nil"/>
            </w:tcBorders>
            <w:noWrap/>
            <w:vAlign w:val="center"/>
            <w:hideMark/>
          </w:tcPr>
          <w:p w:rsidR="00681CA6" w:rsidRDefault="00681CA6" w:rsidP="00604CA9">
            <w:pPr>
              <w:ind w:firstLine="0"/>
              <w:jc w:val="left"/>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Direct</w:t>
            </w:r>
            <w:proofErr w:type="spellEnd"/>
            <w:r>
              <w:rPr>
                <w:rFonts w:ascii="Arial" w:hAnsi="Arial" w:cs="Arial"/>
                <w:color w:val="000000"/>
                <w:sz w:val="16"/>
                <w:szCs w:val="16"/>
              </w:rPr>
              <w:t xml:space="preserve"> </w:t>
            </w:r>
            <w:proofErr w:type="spellStart"/>
            <w:r>
              <w:rPr>
                <w:rFonts w:ascii="Arial" w:hAnsi="Arial" w:cs="Arial"/>
                <w:color w:val="000000"/>
                <w:sz w:val="16"/>
                <w:szCs w:val="16"/>
              </w:rPr>
              <w:t>Gerent</w:t>
            </w:r>
            <w:proofErr w:type="spellEnd"/>
            <w:r>
              <w:rPr>
                <w:rFonts w:ascii="Arial" w:hAnsi="Arial" w:cs="Arial"/>
                <w:color w:val="000000"/>
                <w:sz w:val="16"/>
                <w:szCs w:val="16"/>
              </w:rPr>
              <w:t xml:space="preserve"> ANADP</w:t>
            </w:r>
          </w:p>
        </w:tc>
        <w:tc>
          <w:tcPr>
            <w:tcW w:w="182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3246/2015, de 29 de dic,</w:t>
            </w:r>
          </w:p>
        </w:tc>
        <w:tc>
          <w:tcPr>
            <w:tcW w:w="136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Pago Diciembre</w:t>
            </w:r>
          </w:p>
        </w:tc>
        <w:tc>
          <w:tcPr>
            <w:tcW w:w="124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61.520,70 €</w:t>
            </w:r>
          </w:p>
        </w:tc>
        <w:tc>
          <w:tcPr>
            <w:tcW w:w="126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23.700,55 €</w:t>
            </w:r>
          </w:p>
        </w:tc>
        <w:tc>
          <w:tcPr>
            <w:tcW w:w="1240" w:type="dxa"/>
            <w:tcBorders>
              <w:top w:val="nil"/>
              <w:left w:val="nil"/>
              <w:bottom w:val="nil"/>
              <w:right w:val="single" w:sz="4" w:space="0" w:color="auto"/>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37.820,15 €</w:t>
            </w:r>
          </w:p>
        </w:tc>
      </w:tr>
      <w:tr w:rsidR="00681CA6" w:rsidTr="006059F8">
        <w:trPr>
          <w:trHeight w:val="288"/>
          <w:jc w:val="center"/>
        </w:trPr>
        <w:tc>
          <w:tcPr>
            <w:tcW w:w="3806" w:type="dxa"/>
            <w:gridSpan w:val="2"/>
            <w:tcBorders>
              <w:top w:val="nil"/>
              <w:left w:val="single" w:sz="4" w:space="0" w:color="auto"/>
              <w:bottom w:val="nil"/>
              <w:right w:val="nil"/>
            </w:tcBorders>
            <w:shd w:val="clear" w:color="auto" w:fill="C5D9F1"/>
            <w:noWrap/>
            <w:vAlign w:val="center"/>
            <w:hideMark/>
          </w:tcPr>
          <w:p w:rsidR="00681CA6" w:rsidRDefault="00681CA6" w:rsidP="00604CA9">
            <w:pPr>
              <w:ind w:firstLine="0"/>
              <w:jc w:val="left"/>
              <w:rPr>
                <w:rFonts w:ascii="Arial" w:hAnsi="Arial" w:cs="Arial"/>
                <w:color w:val="000000"/>
                <w:sz w:val="16"/>
                <w:szCs w:val="16"/>
              </w:rPr>
            </w:pPr>
            <w:r>
              <w:rPr>
                <w:rFonts w:ascii="Arial" w:hAnsi="Arial" w:cs="Arial"/>
                <w:color w:val="000000"/>
                <w:sz w:val="16"/>
                <w:szCs w:val="16"/>
              </w:rPr>
              <w:t>PTE PAGO PSICOGERIATRICO</w:t>
            </w:r>
          </w:p>
        </w:tc>
        <w:tc>
          <w:tcPr>
            <w:tcW w:w="1820" w:type="dxa"/>
            <w:tcBorders>
              <w:top w:val="nil"/>
              <w:left w:val="nil"/>
              <w:bottom w:val="nil"/>
              <w:right w:val="nil"/>
            </w:tcBorders>
            <w:shd w:val="clear" w:color="auto" w:fill="C5D9F1"/>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 </w:t>
            </w:r>
          </w:p>
        </w:tc>
        <w:tc>
          <w:tcPr>
            <w:tcW w:w="1360" w:type="dxa"/>
            <w:tcBorders>
              <w:top w:val="nil"/>
              <w:left w:val="nil"/>
              <w:bottom w:val="nil"/>
              <w:right w:val="nil"/>
            </w:tcBorders>
            <w:shd w:val="clear" w:color="auto" w:fill="C5D9F1"/>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nil"/>
            </w:tcBorders>
            <w:shd w:val="clear" w:color="auto" w:fill="C5D9F1"/>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123.041,40 €</w:t>
            </w:r>
          </w:p>
        </w:tc>
        <w:tc>
          <w:tcPr>
            <w:tcW w:w="1260" w:type="dxa"/>
            <w:tcBorders>
              <w:top w:val="nil"/>
              <w:left w:val="nil"/>
              <w:bottom w:val="nil"/>
              <w:right w:val="nil"/>
            </w:tcBorders>
            <w:shd w:val="clear" w:color="auto" w:fill="C5D9F1"/>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47.401,10 €</w:t>
            </w:r>
          </w:p>
        </w:tc>
        <w:tc>
          <w:tcPr>
            <w:tcW w:w="1240" w:type="dxa"/>
            <w:tcBorders>
              <w:top w:val="nil"/>
              <w:left w:val="nil"/>
              <w:bottom w:val="nil"/>
              <w:right w:val="single" w:sz="4" w:space="0" w:color="auto"/>
            </w:tcBorders>
            <w:shd w:val="clear" w:color="auto" w:fill="C5D9F1"/>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75.640,30 €</w:t>
            </w:r>
          </w:p>
        </w:tc>
      </w:tr>
      <w:tr w:rsidR="00681CA6" w:rsidTr="006059F8">
        <w:trPr>
          <w:trHeight w:val="288"/>
          <w:jc w:val="center"/>
        </w:trPr>
        <w:tc>
          <w:tcPr>
            <w:tcW w:w="1634" w:type="dxa"/>
            <w:tcBorders>
              <w:top w:val="nil"/>
              <w:left w:val="single" w:sz="4" w:space="0" w:color="auto"/>
              <w:bottom w:val="nil"/>
              <w:right w:val="nil"/>
            </w:tcBorders>
            <w:noWrap/>
            <w:vAlign w:val="bottom"/>
            <w:hideMark/>
          </w:tcPr>
          <w:p w:rsidR="00681CA6" w:rsidRDefault="00681CA6" w:rsidP="00604CA9">
            <w:pPr>
              <w:ind w:firstLine="0"/>
              <w:rPr>
                <w:rFonts w:ascii="Calibri" w:hAnsi="Calibri"/>
                <w:color w:val="000000"/>
                <w:sz w:val="16"/>
                <w:szCs w:val="16"/>
              </w:rPr>
            </w:pPr>
            <w:r>
              <w:rPr>
                <w:rFonts w:ascii="Calibri" w:hAnsi="Calibri"/>
                <w:color w:val="000000"/>
                <w:sz w:val="16"/>
                <w:szCs w:val="16"/>
              </w:rPr>
              <w:t>RESIDENCIA</w:t>
            </w:r>
          </w:p>
        </w:tc>
        <w:tc>
          <w:tcPr>
            <w:tcW w:w="2172" w:type="dxa"/>
            <w:tcBorders>
              <w:top w:val="nil"/>
              <w:left w:val="nil"/>
              <w:bottom w:val="nil"/>
              <w:right w:val="nil"/>
            </w:tcBorders>
            <w:noWrap/>
            <w:vAlign w:val="bottom"/>
            <w:hideMark/>
          </w:tcPr>
          <w:p w:rsidR="00681CA6" w:rsidRDefault="00681CA6" w:rsidP="00604CA9">
            <w:pPr>
              <w:ind w:firstLine="0"/>
              <w:jc w:val="left"/>
              <w:rPr>
                <w:rFonts w:ascii="Calibri" w:hAnsi="Calibri"/>
                <w:color w:val="000000"/>
                <w:sz w:val="16"/>
                <w:szCs w:val="16"/>
              </w:rPr>
            </w:pPr>
            <w:r>
              <w:rPr>
                <w:rFonts w:ascii="Calibri" w:hAnsi="Calibri"/>
                <w:color w:val="000000"/>
                <w:sz w:val="16"/>
                <w:szCs w:val="16"/>
              </w:rPr>
              <w:t>Pendiente de pago a 31/12/2015</w:t>
            </w:r>
          </w:p>
        </w:tc>
        <w:tc>
          <w:tcPr>
            <w:tcW w:w="182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2884/2015, de 16 de dic,</w:t>
            </w:r>
          </w:p>
        </w:tc>
        <w:tc>
          <w:tcPr>
            <w:tcW w:w="136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Pago Noviembre</w:t>
            </w:r>
          </w:p>
        </w:tc>
        <w:tc>
          <w:tcPr>
            <w:tcW w:w="124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37.836,89 €</w:t>
            </w:r>
          </w:p>
        </w:tc>
        <w:tc>
          <w:tcPr>
            <w:tcW w:w="126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18.819,91 €</w:t>
            </w:r>
          </w:p>
        </w:tc>
        <w:tc>
          <w:tcPr>
            <w:tcW w:w="1240" w:type="dxa"/>
            <w:tcBorders>
              <w:top w:val="nil"/>
              <w:left w:val="nil"/>
              <w:bottom w:val="nil"/>
              <w:right w:val="single" w:sz="4" w:space="0" w:color="auto"/>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19.016,98 €</w:t>
            </w:r>
          </w:p>
        </w:tc>
      </w:tr>
      <w:tr w:rsidR="00681CA6" w:rsidTr="006059F8">
        <w:trPr>
          <w:trHeight w:val="288"/>
          <w:jc w:val="center"/>
        </w:trPr>
        <w:tc>
          <w:tcPr>
            <w:tcW w:w="1634" w:type="dxa"/>
            <w:tcBorders>
              <w:top w:val="nil"/>
              <w:left w:val="single" w:sz="4" w:space="0" w:color="auto"/>
              <w:bottom w:val="nil"/>
              <w:right w:val="nil"/>
            </w:tcBorders>
            <w:noWrap/>
            <w:vAlign w:val="bottom"/>
            <w:hideMark/>
          </w:tcPr>
          <w:p w:rsidR="00681CA6" w:rsidRDefault="00681CA6" w:rsidP="00604CA9">
            <w:pPr>
              <w:ind w:firstLine="0"/>
              <w:rPr>
                <w:rFonts w:ascii="Calibri" w:hAnsi="Calibri"/>
                <w:color w:val="000000"/>
                <w:sz w:val="16"/>
                <w:szCs w:val="16"/>
              </w:rPr>
            </w:pPr>
            <w:r>
              <w:rPr>
                <w:rFonts w:ascii="Calibri" w:hAnsi="Calibri"/>
                <w:color w:val="000000"/>
                <w:sz w:val="16"/>
                <w:szCs w:val="16"/>
              </w:rPr>
              <w:t>RESIDENCIA</w:t>
            </w:r>
          </w:p>
        </w:tc>
        <w:tc>
          <w:tcPr>
            <w:tcW w:w="2172" w:type="dxa"/>
            <w:tcBorders>
              <w:top w:val="nil"/>
              <w:left w:val="nil"/>
              <w:bottom w:val="nil"/>
              <w:right w:val="nil"/>
            </w:tcBorders>
            <w:noWrap/>
            <w:vAlign w:val="bottom"/>
            <w:hideMark/>
          </w:tcPr>
          <w:p w:rsidR="00681CA6" w:rsidRDefault="00681CA6" w:rsidP="00604CA9">
            <w:pPr>
              <w:ind w:firstLine="0"/>
              <w:jc w:val="left"/>
              <w:rPr>
                <w:lang w:eastAsia="es-ES_tradnl"/>
              </w:rPr>
            </w:pPr>
          </w:p>
        </w:tc>
        <w:tc>
          <w:tcPr>
            <w:tcW w:w="182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3232/2015, de 29 de dic,</w:t>
            </w:r>
          </w:p>
        </w:tc>
        <w:tc>
          <w:tcPr>
            <w:tcW w:w="1360" w:type="dxa"/>
            <w:tcBorders>
              <w:top w:val="nil"/>
              <w:left w:val="nil"/>
              <w:bottom w:val="nil"/>
              <w:right w:val="nil"/>
            </w:tcBorders>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Pago Diciembre</w:t>
            </w:r>
          </w:p>
        </w:tc>
        <w:tc>
          <w:tcPr>
            <w:tcW w:w="124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37.887,40 €</w:t>
            </w:r>
          </w:p>
        </w:tc>
        <w:tc>
          <w:tcPr>
            <w:tcW w:w="1260" w:type="dxa"/>
            <w:tcBorders>
              <w:top w:val="nil"/>
              <w:left w:val="nil"/>
              <w:bottom w:val="nil"/>
              <w:right w:val="nil"/>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18.623,52 €</w:t>
            </w:r>
          </w:p>
        </w:tc>
        <w:tc>
          <w:tcPr>
            <w:tcW w:w="1240" w:type="dxa"/>
            <w:tcBorders>
              <w:top w:val="nil"/>
              <w:left w:val="nil"/>
              <w:bottom w:val="nil"/>
              <w:right w:val="single" w:sz="4" w:space="0" w:color="auto"/>
            </w:tcBorders>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19.263,88 €</w:t>
            </w:r>
          </w:p>
        </w:tc>
      </w:tr>
      <w:tr w:rsidR="00681CA6" w:rsidTr="006059F8">
        <w:trPr>
          <w:trHeight w:val="288"/>
          <w:jc w:val="center"/>
        </w:trPr>
        <w:tc>
          <w:tcPr>
            <w:tcW w:w="3806" w:type="dxa"/>
            <w:gridSpan w:val="2"/>
            <w:tcBorders>
              <w:top w:val="nil"/>
              <w:left w:val="single" w:sz="4" w:space="0" w:color="auto"/>
              <w:bottom w:val="nil"/>
              <w:right w:val="nil"/>
            </w:tcBorders>
            <w:shd w:val="clear" w:color="auto" w:fill="C5D9F1"/>
            <w:noWrap/>
            <w:vAlign w:val="center"/>
            <w:hideMark/>
          </w:tcPr>
          <w:p w:rsidR="00681CA6" w:rsidRDefault="00681CA6" w:rsidP="00604CA9">
            <w:pPr>
              <w:ind w:firstLine="0"/>
              <w:jc w:val="left"/>
              <w:rPr>
                <w:rFonts w:ascii="Arial" w:hAnsi="Arial" w:cs="Arial"/>
                <w:color w:val="000000"/>
                <w:sz w:val="16"/>
                <w:szCs w:val="16"/>
              </w:rPr>
            </w:pPr>
            <w:r>
              <w:rPr>
                <w:rFonts w:ascii="Arial" w:hAnsi="Arial" w:cs="Arial"/>
                <w:color w:val="000000"/>
                <w:sz w:val="16"/>
                <w:szCs w:val="16"/>
              </w:rPr>
              <w:t>PTE PAGO RESIDENCIA</w:t>
            </w:r>
          </w:p>
        </w:tc>
        <w:tc>
          <w:tcPr>
            <w:tcW w:w="1820" w:type="dxa"/>
            <w:tcBorders>
              <w:top w:val="nil"/>
              <w:left w:val="nil"/>
              <w:bottom w:val="nil"/>
              <w:right w:val="nil"/>
            </w:tcBorders>
            <w:shd w:val="clear" w:color="auto" w:fill="C5D9F1"/>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 </w:t>
            </w:r>
          </w:p>
        </w:tc>
        <w:tc>
          <w:tcPr>
            <w:tcW w:w="1360" w:type="dxa"/>
            <w:tcBorders>
              <w:top w:val="nil"/>
              <w:left w:val="nil"/>
              <w:bottom w:val="nil"/>
              <w:right w:val="nil"/>
            </w:tcBorders>
            <w:shd w:val="clear" w:color="auto" w:fill="C5D9F1"/>
            <w:noWrap/>
            <w:vAlign w:val="center"/>
            <w:hideMark/>
          </w:tcPr>
          <w:p w:rsidR="00681CA6" w:rsidRDefault="00681CA6" w:rsidP="00604CA9">
            <w:pPr>
              <w:ind w:firstLine="0"/>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nil"/>
              <w:right w:val="nil"/>
            </w:tcBorders>
            <w:shd w:val="clear" w:color="auto" w:fill="C5D9F1"/>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75.724,29 €</w:t>
            </w:r>
          </w:p>
        </w:tc>
        <w:tc>
          <w:tcPr>
            <w:tcW w:w="1260" w:type="dxa"/>
            <w:tcBorders>
              <w:top w:val="nil"/>
              <w:left w:val="nil"/>
              <w:bottom w:val="nil"/>
              <w:right w:val="nil"/>
            </w:tcBorders>
            <w:shd w:val="clear" w:color="auto" w:fill="C5D9F1"/>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37.443,43 €</w:t>
            </w:r>
          </w:p>
        </w:tc>
        <w:tc>
          <w:tcPr>
            <w:tcW w:w="1240" w:type="dxa"/>
            <w:tcBorders>
              <w:top w:val="nil"/>
              <w:left w:val="nil"/>
              <w:bottom w:val="nil"/>
              <w:right w:val="single" w:sz="4" w:space="0" w:color="auto"/>
            </w:tcBorders>
            <w:shd w:val="clear" w:color="auto" w:fill="C5D9F1"/>
            <w:noWrap/>
            <w:vAlign w:val="center"/>
            <w:hideMark/>
          </w:tcPr>
          <w:p w:rsidR="00681CA6" w:rsidRDefault="00681CA6" w:rsidP="00604CA9">
            <w:pPr>
              <w:ind w:firstLine="0"/>
              <w:jc w:val="right"/>
              <w:rPr>
                <w:rFonts w:ascii="Arial" w:hAnsi="Arial" w:cs="Arial"/>
                <w:color w:val="000000"/>
                <w:sz w:val="16"/>
                <w:szCs w:val="16"/>
              </w:rPr>
            </w:pPr>
            <w:r>
              <w:rPr>
                <w:rFonts w:ascii="Arial" w:hAnsi="Arial" w:cs="Arial"/>
                <w:color w:val="000000"/>
                <w:sz w:val="16"/>
                <w:szCs w:val="16"/>
              </w:rPr>
              <w:t>38.280,86 €</w:t>
            </w:r>
          </w:p>
        </w:tc>
      </w:tr>
      <w:tr w:rsidR="00681CA6" w:rsidTr="006059F8">
        <w:trPr>
          <w:trHeight w:val="288"/>
          <w:jc w:val="center"/>
        </w:trPr>
        <w:tc>
          <w:tcPr>
            <w:tcW w:w="3806" w:type="dxa"/>
            <w:gridSpan w:val="2"/>
            <w:tcBorders>
              <w:top w:val="nil"/>
              <w:left w:val="single" w:sz="4" w:space="0" w:color="auto"/>
              <w:bottom w:val="single" w:sz="4" w:space="0" w:color="auto"/>
              <w:right w:val="nil"/>
            </w:tcBorders>
            <w:shd w:val="clear" w:color="auto" w:fill="8DB4E2"/>
            <w:noWrap/>
            <w:vAlign w:val="bottom"/>
            <w:hideMark/>
          </w:tcPr>
          <w:p w:rsidR="00681CA6" w:rsidRDefault="00681CA6" w:rsidP="00604CA9">
            <w:pPr>
              <w:ind w:firstLine="0"/>
              <w:jc w:val="left"/>
              <w:rPr>
                <w:rFonts w:ascii="Calibri" w:hAnsi="Calibri"/>
                <w:b/>
                <w:bCs/>
                <w:color w:val="000000"/>
                <w:sz w:val="16"/>
                <w:szCs w:val="16"/>
              </w:rPr>
            </w:pPr>
            <w:r>
              <w:rPr>
                <w:rFonts w:ascii="Calibri" w:hAnsi="Calibri"/>
                <w:b/>
                <w:bCs/>
                <w:color w:val="000000"/>
                <w:sz w:val="16"/>
                <w:szCs w:val="16"/>
              </w:rPr>
              <w:t>TOTAL PENDIENTE DE PAGO</w:t>
            </w:r>
          </w:p>
        </w:tc>
        <w:tc>
          <w:tcPr>
            <w:tcW w:w="1820" w:type="dxa"/>
            <w:tcBorders>
              <w:top w:val="nil"/>
              <w:left w:val="nil"/>
              <w:bottom w:val="single" w:sz="4" w:space="0" w:color="auto"/>
              <w:right w:val="nil"/>
            </w:tcBorders>
            <w:shd w:val="clear" w:color="auto" w:fill="8DB4E2"/>
            <w:noWrap/>
            <w:vAlign w:val="bottom"/>
            <w:hideMark/>
          </w:tcPr>
          <w:p w:rsidR="00681CA6" w:rsidRDefault="00681CA6" w:rsidP="00604CA9">
            <w:pPr>
              <w:ind w:firstLine="0"/>
              <w:rPr>
                <w:rFonts w:ascii="Calibri" w:hAnsi="Calibri"/>
                <w:b/>
                <w:bCs/>
                <w:color w:val="000000"/>
                <w:sz w:val="16"/>
                <w:szCs w:val="16"/>
              </w:rPr>
            </w:pPr>
            <w:r>
              <w:rPr>
                <w:rFonts w:ascii="Calibri" w:hAnsi="Calibri"/>
                <w:b/>
                <w:bCs/>
                <w:color w:val="000000"/>
                <w:sz w:val="16"/>
                <w:szCs w:val="16"/>
              </w:rPr>
              <w:t> </w:t>
            </w:r>
          </w:p>
        </w:tc>
        <w:tc>
          <w:tcPr>
            <w:tcW w:w="1360" w:type="dxa"/>
            <w:tcBorders>
              <w:top w:val="nil"/>
              <w:left w:val="nil"/>
              <w:bottom w:val="single" w:sz="4" w:space="0" w:color="auto"/>
              <w:right w:val="nil"/>
            </w:tcBorders>
            <w:shd w:val="clear" w:color="auto" w:fill="8DB4E2"/>
            <w:noWrap/>
            <w:vAlign w:val="bottom"/>
            <w:hideMark/>
          </w:tcPr>
          <w:p w:rsidR="00681CA6" w:rsidRDefault="00681CA6" w:rsidP="00604CA9">
            <w:pPr>
              <w:ind w:firstLine="0"/>
              <w:rPr>
                <w:rFonts w:ascii="Calibri" w:hAnsi="Calibri"/>
                <w:b/>
                <w:bCs/>
                <w:color w:val="000000"/>
                <w:sz w:val="16"/>
                <w:szCs w:val="16"/>
              </w:rPr>
            </w:pPr>
            <w:r>
              <w:rPr>
                <w:rFonts w:ascii="Calibri" w:hAnsi="Calibri"/>
                <w:b/>
                <w:bCs/>
                <w:color w:val="000000"/>
                <w:sz w:val="16"/>
                <w:szCs w:val="16"/>
              </w:rPr>
              <w:t> </w:t>
            </w:r>
          </w:p>
        </w:tc>
        <w:tc>
          <w:tcPr>
            <w:tcW w:w="1240" w:type="dxa"/>
            <w:tcBorders>
              <w:top w:val="nil"/>
              <w:left w:val="nil"/>
              <w:bottom w:val="single" w:sz="4" w:space="0" w:color="auto"/>
              <w:right w:val="nil"/>
            </w:tcBorders>
            <w:shd w:val="clear" w:color="auto" w:fill="8DB4E2"/>
            <w:noWrap/>
            <w:vAlign w:val="bottom"/>
            <w:hideMark/>
          </w:tcPr>
          <w:p w:rsidR="00681CA6" w:rsidRDefault="00681CA6" w:rsidP="00604CA9">
            <w:pPr>
              <w:ind w:firstLine="0"/>
              <w:jc w:val="right"/>
              <w:rPr>
                <w:rFonts w:ascii="Calibri" w:hAnsi="Calibri"/>
                <w:b/>
                <w:bCs/>
                <w:color w:val="000000"/>
                <w:sz w:val="16"/>
                <w:szCs w:val="16"/>
              </w:rPr>
            </w:pPr>
            <w:r>
              <w:rPr>
                <w:rFonts w:ascii="Calibri" w:hAnsi="Calibri"/>
                <w:b/>
                <w:bCs/>
                <w:color w:val="000000"/>
                <w:sz w:val="16"/>
                <w:szCs w:val="16"/>
              </w:rPr>
              <w:t>198.765,69 €</w:t>
            </w:r>
          </w:p>
        </w:tc>
        <w:tc>
          <w:tcPr>
            <w:tcW w:w="1260" w:type="dxa"/>
            <w:tcBorders>
              <w:top w:val="nil"/>
              <w:left w:val="nil"/>
              <w:bottom w:val="single" w:sz="4" w:space="0" w:color="auto"/>
              <w:right w:val="nil"/>
            </w:tcBorders>
            <w:shd w:val="clear" w:color="auto" w:fill="8DB4E2"/>
            <w:noWrap/>
            <w:vAlign w:val="bottom"/>
            <w:hideMark/>
          </w:tcPr>
          <w:p w:rsidR="00681CA6" w:rsidRDefault="00681CA6" w:rsidP="00604CA9">
            <w:pPr>
              <w:ind w:firstLine="0"/>
              <w:jc w:val="right"/>
              <w:rPr>
                <w:rFonts w:ascii="Calibri" w:hAnsi="Calibri"/>
                <w:b/>
                <w:bCs/>
                <w:color w:val="000000"/>
                <w:sz w:val="16"/>
                <w:szCs w:val="16"/>
              </w:rPr>
            </w:pPr>
            <w:r>
              <w:rPr>
                <w:rFonts w:ascii="Calibri" w:hAnsi="Calibri"/>
                <w:b/>
                <w:bCs/>
                <w:color w:val="000000"/>
                <w:sz w:val="16"/>
                <w:szCs w:val="16"/>
              </w:rPr>
              <w:t>84.844,53 €</w:t>
            </w:r>
          </w:p>
        </w:tc>
        <w:tc>
          <w:tcPr>
            <w:tcW w:w="1240" w:type="dxa"/>
            <w:tcBorders>
              <w:top w:val="nil"/>
              <w:left w:val="nil"/>
              <w:bottom w:val="single" w:sz="4" w:space="0" w:color="auto"/>
              <w:right w:val="single" w:sz="4" w:space="0" w:color="auto"/>
            </w:tcBorders>
            <w:shd w:val="clear" w:color="auto" w:fill="8DB4E2"/>
            <w:noWrap/>
            <w:vAlign w:val="bottom"/>
            <w:hideMark/>
          </w:tcPr>
          <w:p w:rsidR="00681CA6" w:rsidRDefault="00681CA6" w:rsidP="00604CA9">
            <w:pPr>
              <w:ind w:firstLine="0"/>
              <w:jc w:val="right"/>
              <w:rPr>
                <w:rFonts w:ascii="Calibri" w:hAnsi="Calibri"/>
                <w:b/>
                <w:bCs/>
                <w:color w:val="000000"/>
                <w:sz w:val="16"/>
                <w:szCs w:val="16"/>
              </w:rPr>
            </w:pPr>
            <w:r>
              <w:rPr>
                <w:rFonts w:ascii="Calibri" w:hAnsi="Calibri"/>
                <w:b/>
                <w:bCs/>
                <w:color w:val="000000"/>
                <w:sz w:val="16"/>
                <w:szCs w:val="16"/>
              </w:rPr>
              <w:t>113.921,16 €</w:t>
            </w:r>
          </w:p>
        </w:tc>
      </w:tr>
    </w:tbl>
    <w:p w:rsidR="00681CA6" w:rsidRDefault="00681CA6" w:rsidP="00681CA6">
      <w:pPr>
        <w:rPr>
          <w:rFonts w:ascii="Calibri" w:hAnsi="Calibri"/>
        </w:rPr>
      </w:pPr>
    </w:p>
    <w:p w:rsidR="00681CA6" w:rsidRDefault="00681CA6" w:rsidP="00681CA6">
      <w:pPr>
        <w:spacing w:before="120" w:after="120" w:line="360" w:lineRule="auto"/>
        <w:ind w:firstLine="709"/>
        <w:rPr>
          <w:rFonts w:ascii="Courier New" w:hAnsi="Courier New" w:cs="Courier New"/>
        </w:rPr>
      </w:pPr>
    </w:p>
    <w:p w:rsidR="00681CA6" w:rsidRPr="00D96FCA" w:rsidRDefault="00681CA6" w:rsidP="00681CA6">
      <w:pPr>
        <w:spacing w:before="120" w:after="120" w:line="360" w:lineRule="auto"/>
        <w:ind w:firstLine="709"/>
        <w:rPr>
          <w:rFonts w:ascii="Courier New" w:hAnsi="Courier New" w:cs="Courier New"/>
        </w:rPr>
      </w:pPr>
      <w:r>
        <w:rPr>
          <w:rFonts w:ascii="Courier New" w:hAnsi="Courier New" w:cs="Courier New"/>
        </w:rPr>
        <w:t xml:space="preserve">b) </w:t>
      </w:r>
      <w:r w:rsidRPr="00D96FCA">
        <w:rPr>
          <w:rFonts w:ascii="Courier New" w:hAnsi="Courier New" w:cs="Courier New"/>
        </w:rPr>
        <w:t>Respecto a</w:t>
      </w:r>
      <w:r>
        <w:rPr>
          <w:rFonts w:ascii="Courier New" w:hAnsi="Courier New" w:cs="Courier New"/>
        </w:rPr>
        <w:t>l</w:t>
      </w:r>
      <w:r w:rsidRPr="00D96FCA">
        <w:rPr>
          <w:rFonts w:ascii="Courier New" w:hAnsi="Courier New" w:cs="Courier New"/>
        </w:rPr>
        <w:t xml:space="preserve"> periodo de facturación de los servicios prestados:</w:t>
      </w:r>
    </w:p>
    <w:p w:rsidR="00681CA6" w:rsidRPr="00D96FCA" w:rsidRDefault="00681CA6" w:rsidP="00681CA6">
      <w:pPr>
        <w:spacing w:before="120" w:after="120" w:line="360" w:lineRule="auto"/>
        <w:ind w:firstLine="709"/>
        <w:rPr>
          <w:rFonts w:ascii="Courier New" w:hAnsi="Courier New" w:cs="Courier New"/>
        </w:rPr>
      </w:pPr>
      <w:r>
        <w:rPr>
          <w:rFonts w:ascii="Courier New" w:hAnsi="Courier New" w:cs="Courier New"/>
        </w:rPr>
        <w:t>La Cámara de C</w:t>
      </w:r>
      <w:r w:rsidRPr="00D96FCA">
        <w:rPr>
          <w:rFonts w:ascii="Courier New" w:hAnsi="Courier New" w:cs="Courier New"/>
        </w:rPr>
        <w:t>omptos ha calculado los días de pago como diferencia entre la fecha de pago y el último día del mes que se factur</w:t>
      </w:r>
      <w:r>
        <w:rPr>
          <w:rFonts w:ascii="Courier New" w:hAnsi="Courier New" w:cs="Courier New"/>
        </w:rPr>
        <w:t>a, siendo e</w:t>
      </w:r>
      <w:r>
        <w:rPr>
          <w:rFonts w:ascii="Courier New" w:hAnsi="Courier New" w:cs="Courier New"/>
        </w:rPr>
        <w:t>s</w:t>
      </w:r>
      <w:r>
        <w:rPr>
          <w:rFonts w:ascii="Courier New" w:hAnsi="Courier New" w:cs="Courier New"/>
        </w:rPr>
        <w:t xml:space="preserve">te cálculo correcto, concluyendo que la ANADP paga a los 41,6 días las plazas concertadas de la residencia de mayores y a </w:t>
      </w:r>
      <w:r w:rsidRPr="00D96FCA">
        <w:rPr>
          <w:rFonts w:ascii="Courier New" w:hAnsi="Courier New" w:cs="Courier New"/>
        </w:rPr>
        <w:t xml:space="preserve">los 30,17 días las plazas </w:t>
      </w:r>
      <w:proofErr w:type="spellStart"/>
      <w:r w:rsidRPr="00D96FCA">
        <w:rPr>
          <w:rFonts w:ascii="Courier New" w:hAnsi="Courier New" w:cs="Courier New"/>
        </w:rPr>
        <w:t>psicogeriátricas</w:t>
      </w:r>
      <w:proofErr w:type="spellEnd"/>
      <w:r w:rsidRPr="00D96FCA">
        <w:rPr>
          <w:rFonts w:ascii="Courier New" w:hAnsi="Courier New" w:cs="Courier New"/>
        </w:rPr>
        <w:t>.</w:t>
      </w:r>
    </w:p>
    <w:p w:rsidR="00681CA6" w:rsidRPr="00D96FCA" w:rsidRDefault="00681CA6" w:rsidP="00681CA6">
      <w:pPr>
        <w:spacing w:before="120" w:after="120" w:line="360" w:lineRule="auto"/>
        <w:ind w:firstLine="709"/>
        <w:rPr>
          <w:rFonts w:ascii="Courier New" w:hAnsi="Courier New" w:cs="Courier New"/>
        </w:rPr>
      </w:pPr>
      <w:r w:rsidRPr="00D96FCA">
        <w:rPr>
          <w:rFonts w:ascii="Courier New" w:hAnsi="Courier New" w:cs="Courier New"/>
        </w:rPr>
        <w:t>En los cuadros que se adjuntan se calculan además los días de pago, teniendo en cuenta la diferencia entre la fecha de pago y la de recepción de la factura. El Gobierno de Navarra tiene la obligación de pagar en 30 días desde la fecha de recepción de la factura.</w:t>
      </w:r>
    </w:p>
    <w:p w:rsidR="00681CA6" w:rsidRPr="00D96FCA" w:rsidRDefault="00681CA6" w:rsidP="00681CA6">
      <w:pPr>
        <w:spacing w:before="120" w:after="120" w:line="360" w:lineRule="auto"/>
        <w:ind w:firstLine="709"/>
        <w:rPr>
          <w:rFonts w:ascii="Courier New" w:hAnsi="Courier New" w:cs="Courier New"/>
        </w:rPr>
      </w:pPr>
      <w:r w:rsidRPr="00D96FCA">
        <w:rPr>
          <w:rFonts w:ascii="Courier New" w:hAnsi="Courier New" w:cs="Courier New"/>
        </w:rPr>
        <w:t>En el ejercicio 2015 e</w:t>
      </w:r>
      <w:r>
        <w:rPr>
          <w:rFonts w:ascii="Courier New" w:hAnsi="Courier New" w:cs="Courier New"/>
        </w:rPr>
        <w:t>l periodo de pago así calculado</w:t>
      </w:r>
      <w:r w:rsidRPr="00D96FCA">
        <w:rPr>
          <w:rFonts w:ascii="Courier New" w:hAnsi="Courier New" w:cs="Courier New"/>
        </w:rPr>
        <w:t xml:space="preserve"> fue de 26</w:t>
      </w:r>
      <w:r>
        <w:rPr>
          <w:rFonts w:ascii="Courier New" w:hAnsi="Courier New" w:cs="Courier New"/>
        </w:rPr>
        <w:t>,</w:t>
      </w:r>
      <w:r w:rsidRPr="00D96FCA">
        <w:rPr>
          <w:rFonts w:ascii="Courier New" w:hAnsi="Courier New" w:cs="Courier New"/>
        </w:rPr>
        <w:t xml:space="preserve">17 días en </w:t>
      </w:r>
      <w:r>
        <w:rPr>
          <w:rFonts w:ascii="Courier New" w:hAnsi="Courier New" w:cs="Courier New"/>
        </w:rPr>
        <w:t xml:space="preserve">las plazas </w:t>
      </w:r>
      <w:proofErr w:type="spellStart"/>
      <w:r>
        <w:rPr>
          <w:rFonts w:ascii="Courier New" w:hAnsi="Courier New" w:cs="Courier New"/>
        </w:rPr>
        <w:t>psicogeriátricas</w:t>
      </w:r>
      <w:proofErr w:type="spellEnd"/>
      <w:r w:rsidRPr="00D96FCA">
        <w:rPr>
          <w:rFonts w:ascii="Courier New" w:hAnsi="Courier New" w:cs="Courier New"/>
        </w:rPr>
        <w:t xml:space="preserve"> y de 40,80 en la</w:t>
      </w:r>
      <w:r>
        <w:rPr>
          <w:rFonts w:ascii="Courier New" w:hAnsi="Courier New" w:cs="Courier New"/>
        </w:rPr>
        <w:t>s plazas</w:t>
      </w:r>
      <w:r w:rsidRPr="00D96FCA">
        <w:rPr>
          <w:rFonts w:ascii="Courier New" w:hAnsi="Courier New" w:cs="Courier New"/>
        </w:rPr>
        <w:t xml:space="preserve"> </w:t>
      </w:r>
      <w:r>
        <w:rPr>
          <w:rFonts w:ascii="Courier New" w:hAnsi="Courier New" w:cs="Courier New"/>
        </w:rPr>
        <w:t>geriátricas</w:t>
      </w:r>
      <w:r w:rsidRPr="00D96FCA">
        <w:rPr>
          <w:rFonts w:ascii="Courier New" w:hAnsi="Courier New" w:cs="Courier New"/>
        </w:rPr>
        <w:t xml:space="preserve">. El retraso pudo ser debido a que era un nuevo contrato, aunque no </w:t>
      </w:r>
      <w:r>
        <w:rPr>
          <w:rFonts w:ascii="Courier New" w:hAnsi="Courier New" w:cs="Courier New"/>
        </w:rPr>
        <w:t>lo p</w:t>
      </w:r>
      <w:r>
        <w:rPr>
          <w:rFonts w:ascii="Courier New" w:hAnsi="Courier New" w:cs="Courier New"/>
        </w:rPr>
        <w:t>o</w:t>
      </w:r>
      <w:r>
        <w:rPr>
          <w:rFonts w:ascii="Courier New" w:hAnsi="Courier New" w:cs="Courier New"/>
        </w:rPr>
        <w:t>demos afirmar</w:t>
      </w:r>
      <w:r w:rsidRPr="00D96FCA">
        <w:rPr>
          <w:rFonts w:ascii="Courier New" w:hAnsi="Courier New" w:cs="Courier New"/>
        </w:rPr>
        <w:t xml:space="preserve"> con seguridad.</w:t>
      </w:r>
    </w:p>
    <w:p w:rsidR="00681CA6" w:rsidRDefault="00681CA6" w:rsidP="00681CA6">
      <w:pPr>
        <w:spacing w:before="120" w:after="120" w:line="360" w:lineRule="auto"/>
        <w:ind w:firstLine="709"/>
        <w:rPr>
          <w:rFonts w:ascii="Courier New" w:hAnsi="Courier New" w:cs="Courier New"/>
        </w:rPr>
      </w:pPr>
      <w:r w:rsidRPr="00D96FCA">
        <w:rPr>
          <w:rFonts w:ascii="Courier New" w:hAnsi="Courier New" w:cs="Courier New"/>
        </w:rPr>
        <w:t>Adjuntamos los cálculos de los años 2015 y 2016;</w:t>
      </w:r>
    </w:p>
    <w:p w:rsidR="00681CA6" w:rsidRDefault="00681CA6" w:rsidP="00681CA6">
      <w:pPr>
        <w:rPr>
          <w:rFonts w:ascii="Calibri" w:hAnsi="Calibri"/>
          <w:b/>
        </w:rPr>
      </w:pPr>
      <w:r>
        <w:rPr>
          <w:rFonts w:ascii="Calibri" w:hAnsi="Calibri"/>
          <w:b/>
        </w:rPr>
        <w:t>Año 2015</w:t>
      </w:r>
    </w:p>
    <w:tbl>
      <w:tblPr>
        <w:tblW w:w="8864" w:type="dxa"/>
        <w:jc w:val="center"/>
        <w:tblInd w:w="65" w:type="dxa"/>
        <w:tblCellMar>
          <w:left w:w="70" w:type="dxa"/>
          <w:right w:w="70" w:type="dxa"/>
        </w:tblCellMar>
        <w:tblLook w:val="04A0" w:firstRow="1" w:lastRow="0" w:firstColumn="1" w:lastColumn="0" w:noHBand="0" w:noVBand="1"/>
      </w:tblPr>
      <w:tblGrid>
        <w:gridCol w:w="1364"/>
        <w:gridCol w:w="1404"/>
        <w:gridCol w:w="1020"/>
        <w:gridCol w:w="1020"/>
        <w:gridCol w:w="1055"/>
        <w:gridCol w:w="1187"/>
        <w:gridCol w:w="876"/>
        <w:gridCol w:w="938"/>
      </w:tblGrid>
      <w:tr w:rsidR="00681CA6" w:rsidRPr="00DF36CF" w:rsidTr="00D32DBB">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r w:rsidRPr="00DF36CF">
              <w:rPr>
                <w:rFonts w:ascii="Calibri" w:hAnsi="Calibri"/>
                <w:b/>
                <w:bCs/>
                <w:sz w:val="18"/>
                <w:szCs w:val="18"/>
              </w:rPr>
              <w:t>Contrato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r w:rsidRPr="00DF36CF">
              <w:rPr>
                <w:rFonts w:ascii="Calibri" w:hAnsi="Calibri"/>
                <w:b/>
                <w:bCs/>
                <w:sz w:val="18"/>
                <w:szCs w:val="18"/>
              </w:rPr>
              <w:t>Concepto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proofErr w:type="spellStart"/>
            <w:r w:rsidRPr="00DF36CF">
              <w:rPr>
                <w:rFonts w:ascii="Calibri" w:hAnsi="Calibri"/>
                <w:b/>
                <w:bCs/>
                <w:sz w:val="18"/>
                <w:szCs w:val="18"/>
              </w:rPr>
              <w:t>Últ</w:t>
            </w:r>
            <w:proofErr w:type="spellEnd"/>
            <w:r w:rsidRPr="00DF36CF">
              <w:rPr>
                <w:rFonts w:ascii="Calibri" w:hAnsi="Calibri"/>
                <w:b/>
                <w:bCs/>
                <w:sz w:val="18"/>
                <w:szCs w:val="18"/>
              </w:rPr>
              <w:t xml:space="preserve"> </w:t>
            </w:r>
            <w:proofErr w:type="spellStart"/>
            <w:r w:rsidRPr="00DF36CF">
              <w:rPr>
                <w:rFonts w:ascii="Calibri" w:hAnsi="Calibri"/>
                <w:b/>
                <w:bCs/>
                <w:sz w:val="18"/>
                <w:szCs w:val="18"/>
              </w:rPr>
              <w:t>dia</w:t>
            </w:r>
            <w:proofErr w:type="spellEnd"/>
            <w:r w:rsidRPr="00DF36CF">
              <w:rPr>
                <w:rFonts w:ascii="Calibri" w:hAnsi="Calibri"/>
                <w:b/>
                <w:bCs/>
                <w:sz w:val="18"/>
                <w:szCs w:val="18"/>
              </w:rPr>
              <w:t xml:space="preserve"> </w:t>
            </w:r>
            <w:proofErr w:type="spellStart"/>
            <w:r w:rsidRPr="00DF36CF">
              <w:rPr>
                <w:rFonts w:ascii="Calibri" w:hAnsi="Calibri"/>
                <w:b/>
                <w:bCs/>
                <w:sz w:val="18"/>
                <w:szCs w:val="18"/>
              </w:rPr>
              <w:t>fact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r w:rsidRPr="00DF36CF">
              <w:rPr>
                <w:rFonts w:ascii="Calibri" w:hAnsi="Calibri"/>
                <w:b/>
                <w:bCs/>
                <w:sz w:val="18"/>
                <w:szCs w:val="18"/>
              </w:rPr>
              <w:t xml:space="preserve">Fecha </w:t>
            </w:r>
            <w:proofErr w:type="spellStart"/>
            <w:r w:rsidRPr="00DF36CF">
              <w:rPr>
                <w:rFonts w:ascii="Calibri" w:hAnsi="Calibri"/>
                <w:b/>
                <w:bCs/>
                <w:sz w:val="18"/>
                <w:szCs w:val="18"/>
              </w:rPr>
              <w:t>Fact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r w:rsidRPr="00DF36CF">
              <w:rPr>
                <w:rFonts w:ascii="Calibri" w:hAnsi="Calibri"/>
                <w:b/>
                <w:bCs/>
                <w:sz w:val="18"/>
                <w:szCs w:val="18"/>
              </w:rPr>
              <w:t>Fecha cierre</w:t>
            </w:r>
          </w:p>
        </w:tc>
        <w:tc>
          <w:tcPr>
            <w:tcW w:w="118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r w:rsidRPr="00DF36CF">
              <w:rPr>
                <w:rFonts w:ascii="Calibri" w:hAnsi="Calibri"/>
                <w:b/>
                <w:bCs/>
                <w:sz w:val="18"/>
                <w:szCs w:val="18"/>
              </w:rPr>
              <w:t>Fecha de pago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proofErr w:type="spellStart"/>
            <w:r w:rsidRPr="00DF36CF">
              <w:rPr>
                <w:rFonts w:ascii="Calibri" w:hAnsi="Calibri"/>
                <w:b/>
                <w:bCs/>
                <w:sz w:val="18"/>
                <w:szCs w:val="18"/>
              </w:rPr>
              <w:t>Dias</w:t>
            </w:r>
            <w:proofErr w:type="spellEnd"/>
            <w:r w:rsidRPr="00DF36CF">
              <w:rPr>
                <w:rFonts w:ascii="Calibri" w:hAnsi="Calibri"/>
                <w:b/>
                <w:bCs/>
                <w:sz w:val="18"/>
                <w:szCs w:val="18"/>
              </w:rPr>
              <w:t xml:space="preserve"> pago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center"/>
              <w:rPr>
                <w:rFonts w:ascii="Calibri" w:hAnsi="Calibri"/>
                <w:b/>
                <w:bCs/>
                <w:sz w:val="18"/>
                <w:szCs w:val="18"/>
              </w:rPr>
            </w:pPr>
            <w:r w:rsidRPr="00DF36CF">
              <w:rPr>
                <w:rFonts w:ascii="Calibri" w:hAnsi="Calibri"/>
                <w:b/>
                <w:bCs/>
                <w:sz w:val="18"/>
                <w:szCs w:val="18"/>
              </w:rPr>
              <w:t xml:space="preserve">Desde </w:t>
            </w:r>
            <w:proofErr w:type="spellStart"/>
            <w:r w:rsidRPr="00DF36CF">
              <w:rPr>
                <w:rFonts w:ascii="Calibri" w:hAnsi="Calibri"/>
                <w:b/>
                <w:bCs/>
                <w:sz w:val="18"/>
                <w:szCs w:val="18"/>
              </w:rPr>
              <w:t>fact</w:t>
            </w:r>
            <w:proofErr w:type="spellEnd"/>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Enero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31/01/2015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13/02/2015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06/03/2015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11/03/2015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39</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26</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Febrero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28/02/2015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11/03/2015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18/03/2015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25/03/2015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14</w:t>
            </w:r>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Marzo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31/03/2015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08/04/2015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15/04/2015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22/04/2015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14</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Abril</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30/04/2015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05/05/2015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18/08/2015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28/05/2015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28</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23</w:t>
            </w:r>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Mayo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31/05/2015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08/06/2015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16/06/2015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24/06/2015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24</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16</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Junio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30/06/2015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01/07/2015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20/07/2015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30/07/2015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29</w:t>
            </w:r>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Julio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31/07/2015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05/08/2015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27/08/2015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02/09/2015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33</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28</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Agosto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31/08/2015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03/09/2015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05/10/2015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08/10/2015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38</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b/>
                <w:bCs/>
                <w:sz w:val="18"/>
                <w:szCs w:val="18"/>
              </w:rPr>
            </w:pPr>
            <w:r w:rsidRPr="00DF36CF">
              <w:rPr>
                <w:rFonts w:ascii="Calibri" w:hAnsi="Calibri"/>
                <w:b/>
                <w:bCs/>
                <w:sz w:val="18"/>
                <w:szCs w:val="18"/>
              </w:rPr>
              <w:t>35</w:t>
            </w:r>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Septiembre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30/09/2015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05/10/2015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26/10/2015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29/10/2015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29</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24</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Octubre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31/10/2015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04/11/2015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13/11/2015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19/11/2015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19</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15</w:t>
            </w:r>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Noviembre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30/11/2015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01/12/2015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29/12/2015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22/01/2016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53</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b/>
                <w:bCs/>
                <w:sz w:val="18"/>
                <w:szCs w:val="18"/>
              </w:rPr>
            </w:pPr>
            <w:r w:rsidRPr="00DF36CF">
              <w:rPr>
                <w:rFonts w:ascii="Calibri" w:hAnsi="Calibri"/>
                <w:b/>
                <w:bCs/>
                <w:sz w:val="18"/>
                <w:szCs w:val="18"/>
              </w:rPr>
              <w:t>52</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Diciembre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31/12/2015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15/12/2015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31/12/2015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22/01/2016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b/>
                <w:bCs/>
                <w:sz w:val="18"/>
                <w:szCs w:val="18"/>
              </w:rPr>
            </w:pPr>
            <w:r w:rsidRPr="00DF36CF">
              <w:rPr>
                <w:rFonts w:ascii="Calibri" w:hAnsi="Calibri"/>
                <w:b/>
                <w:bCs/>
                <w:sz w:val="18"/>
                <w:szCs w:val="18"/>
              </w:rPr>
              <w:t>38</w:t>
            </w:r>
          </w:p>
        </w:tc>
      </w:tr>
      <w:tr w:rsidR="00681CA6" w:rsidRPr="00DF36CF" w:rsidTr="00D32DBB">
        <w:trPr>
          <w:trHeight w:val="288"/>
          <w:jc w:val="center"/>
        </w:trPr>
        <w:tc>
          <w:tcPr>
            <w:tcW w:w="0" w:type="auto"/>
            <w:gridSpan w:val="2"/>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32DBB">
            <w:pPr>
              <w:ind w:firstLine="0"/>
              <w:rPr>
                <w:rFonts w:ascii="Calibri" w:hAnsi="Calibri"/>
                <w:b/>
                <w:bCs/>
                <w:color w:val="000000"/>
                <w:sz w:val="18"/>
                <w:szCs w:val="18"/>
              </w:rPr>
            </w:pPr>
            <w:r w:rsidRPr="00DF36CF">
              <w:rPr>
                <w:rFonts w:ascii="Calibri" w:hAnsi="Calibri"/>
                <w:b/>
                <w:bCs/>
                <w:color w:val="000000"/>
                <w:sz w:val="18"/>
                <w:szCs w:val="18"/>
              </w:rPr>
              <w:t>LUMBIER PSICOGERIATRICO</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1187" w:type="dxa"/>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32DBB">
            <w:pPr>
              <w:ind w:firstLine="0"/>
              <w:rPr>
                <w:rFonts w:ascii="Calibri" w:hAnsi="Calibri"/>
                <w:b/>
                <w:bCs/>
                <w:color w:val="000000"/>
                <w:sz w:val="18"/>
                <w:szCs w:val="18"/>
              </w:rPr>
            </w:pPr>
            <w:r w:rsidRPr="00DF36CF">
              <w:rPr>
                <w:rFonts w:ascii="Calibri" w:hAnsi="Calibri"/>
                <w:b/>
                <w:bCs/>
                <w:color w:val="000000"/>
                <w:sz w:val="18"/>
                <w:szCs w:val="18"/>
              </w:rPr>
              <w:t>PROMEDIO</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30,17</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26,17</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r w:rsidRPr="00DF36CF">
              <w:rPr>
                <w:rFonts w:ascii="Calibri" w:hAnsi="Calibri"/>
                <w:sz w:val="18"/>
                <w:szCs w:val="18"/>
              </w:rPr>
              <w:t xml:space="preserve"> </w:t>
            </w:r>
            <w:proofErr w:type="spellStart"/>
            <w:r w:rsidRPr="00DF36CF">
              <w:rPr>
                <w:rFonts w:ascii="Calibri" w:hAnsi="Calibri"/>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Agosto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31/08/2015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03/09/2015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08/10/2015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15/10/2015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45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b/>
                <w:bCs/>
                <w:sz w:val="18"/>
                <w:szCs w:val="18"/>
              </w:rPr>
            </w:pPr>
            <w:r w:rsidRPr="00DF36CF">
              <w:rPr>
                <w:rFonts w:ascii="Calibri" w:hAnsi="Calibri"/>
                <w:b/>
                <w:bCs/>
                <w:sz w:val="18"/>
                <w:szCs w:val="18"/>
              </w:rPr>
              <w:t>42</w:t>
            </w:r>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r w:rsidRPr="00DF36CF">
              <w:rPr>
                <w:rFonts w:ascii="Calibri" w:hAnsi="Calibri"/>
                <w:sz w:val="18"/>
                <w:szCs w:val="18"/>
              </w:rPr>
              <w:t xml:space="preserve"> </w:t>
            </w:r>
            <w:proofErr w:type="spellStart"/>
            <w:r w:rsidRPr="00DF36CF">
              <w:rPr>
                <w:rFonts w:ascii="Calibri" w:hAnsi="Calibri"/>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Septiembre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30/09/2015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08/10/2015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28/10/2015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05/11/2015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28</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r w:rsidRPr="00DF36CF">
              <w:rPr>
                <w:rFonts w:ascii="Calibri" w:hAnsi="Calibri"/>
                <w:sz w:val="18"/>
                <w:szCs w:val="18"/>
              </w:rPr>
              <w:t xml:space="preserve"> </w:t>
            </w:r>
            <w:proofErr w:type="spellStart"/>
            <w:r w:rsidRPr="00DF36CF">
              <w:rPr>
                <w:rFonts w:ascii="Calibri" w:hAnsi="Calibri"/>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Octubre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31/10/2015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05/11/2015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17/12/2015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22/12/2015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52</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b/>
                <w:bCs/>
                <w:sz w:val="18"/>
                <w:szCs w:val="18"/>
              </w:rPr>
            </w:pPr>
            <w:r w:rsidRPr="00DF36CF">
              <w:rPr>
                <w:rFonts w:ascii="Calibri" w:hAnsi="Calibri"/>
                <w:b/>
                <w:bCs/>
                <w:sz w:val="18"/>
                <w:szCs w:val="18"/>
              </w:rPr>
              <w:t>47</w:t>
            </w:r>
          </w:p>
        </w:tc>
      </w:tr>
      <w:tr w:rsidR="00681CA6" w:rsidRPr="00DF36CF" w:rsidTr="00D32DBB">
        <w:trPr>
          <w:trHeight w:val="288"/>
          <w:jc w:val="center"/>
        </w:trPr>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r w:rsidRPr="00DF36CF">
              <w:rPr>
                <w:rFonts w:ascii="Calibri" w:hAnsi="Calibri"/>
                <w:sz w:val="18"/>
                <w:szCs w:val="18"/>
              </w:rPr>
              <w:t xml:space="preserve"> </w:t>
            </w:r>
            <w:proofErr w:type="spellStart"/>
            <w:r w:rsidRPr="00DF36CF">
              <w:rPr>
                <w:rFonts w:ascii="Calibri" w:hAnsi="Calibri"/>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Noviembre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30/11/2015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03/12/2015</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29/12/2015</w:t>
            </w:r>
          </w:p>
        </w:tc>
        <w:tc>
          <w:tcPr>
            <w:tcW w:w="1187" w:type="dxa"/>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22/01/2016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53</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32DBB">
            <w:pPr>
              <w:ind w:firstLine="0"/>
              <w:jc w:val="right"/>
              <w:rPr>
                <w:rFonts w:ascii="Calibri" w:hAnsi="Calibri"/>
                <w:b/>
                <w:bCs/>
                <w:sz w:val="18"/>
                <w:szCs w:val="18"/>
              </w:rPr>
            </w:pPr>
            <w:r w:rsidRPr="00DF36CF">
              <w:rPr>
                <w:rFonts w:ascii="Calibri" w:hAnsi="Calibri"/>
                <w:b/>
                <w:bCs/>
                <w:sz w:val="18"/>
                <w:szCs w:val="18"/>
              </w:rPr>
              <w:t>50</w:t>
            </w:r>
          </w:p>
        </w:tc>
      </w:tr>
      <w:tr w:rsidR="00681CA6" w:rsidRPr="00DF36CF" w:rsidTr="00D32DBB">
        <w:trPr>
          <w:trHeight w:val="288"/>
          <w:jc w:val="center"/>
        </w:trPr>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proofErr w:type="spellStart"/>
            <w:r w:rsidRPr="00DF36CF">
              <w:rPr>
                <w:rFonts w:ascii="Calibri" w:hAnsi="Calibri"/>
                <w:sz w:val="18"/>
                <w:szCs w:val="18"/>
              </w:rPr>
              <w:t>Lumbier</w:t>
            </w:r>
            <w:proofErr w:type="spellEnd"/>
            <w:r w:rsidRPr="00DF36CF">
              <w:rPr>
                <w:rFonts w:ascii="Calibri" w:hAnsi="Calibri"/>
                <w:sz w:val="18"/>
                <w:szCs w:val="18"/>
              </w:rPr>
              <w:t xml:space="preserve"> </w:t>
            </w:r>
            <w:proofErr w:type="spellStart"/>
            <w:r w:rsidRPr="00DF36CF">
              <w:rPr>
                <w:rFonts w:ascii="Calibri" w:hAnsi="Calibri"/>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rPr>
                <w:rFonts w:ascii="Calibri" w:hAnsi="Calibri"/>
                <w:sz w:val="18"/>
                <w:szCs w:val="18"/>
              </w:rPr>
            </w:pPr>
            <w:r w:rsidRPr="00DF36CF">
              <w:rPr>
                <w:rFonts w:ascii="Calibri" w:hAnsi="Calibri"/>
                <w:sz w:val="18"/>
                <w:szCs w:val="18"/>
              </w:rPr>
              <w:t>Pago Diciembre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31/12/2015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16/12/2015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31/12/2015</w:t>
            </w:r>
          </w:p>
        </w:tc>
        <w:tc>
          <w:tcPr>
            <w:tcW w:w="118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22/01/2016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32DBB">
            <w:pPr>
              <w:ind w:firstLine="0"/>
              <w:jc w:val="right"/>
              <w:rPr>
                <w:rFonts w:ascii="Calibri" w:hAnsi="Calibri"/>
                <w:sz w:val="18"/>
                <w:szCs w:val="18"/>
              </w:rPr>
            </w:pPr>
            <w:r w:rsidRPr="00DF36CF">
              <w:rPr>
                <w:rFonts w:ascii="Calibri" w:hAnsi="Calibri"/>
                <w:sz w:val="18"/>
                <w:szCs w:val="18"/>
              </w:rPr>
              <w:t>22</w:t>
            </w:r>
          </w:p>
        </w:tc>
        <w:tc>
          <w:tcPr>
            <w:tcW w:w="0" w:type="auto"/>
            <w:tcBorders>
              <w:top w:val="nil"/>
              <w:left w:val="single" w:sz="4" w:space="0" w:color="auto"/>
              <w:bottom w:val="nil"/>
              <w:right w:val="single" w:sz="4" w:space="0" w:color="auto"/>
            </w:tcBorders>
            <w:shd w:val="clear" w:color="auto" w:fill="FFFF00"/>
            <w:noWrap/>
            <w:vAlign w:val="bottom"/>
            <w:hideMark/>
          </w:tcPr>
          <w:p w:rsidR="00681CA6" w:rsidRPr="00DF36CF" w:rsidRDefault="00681CA6" w:rsidP="00D32DBB">
            <w:pPr>
              <w:ind w:firstLine="0"/>
              <w:jc w:val="right"/>
              <w:rPr>
                <w:rFonts w:ascii="Calibri" w:hAnsi="Calibri"/>
                <w:b/>
                <w:bCs/>
                <w:i/>
                <w:sz w:val="18"/>
                <w:szCs w:val="18"/>
                <w:highlight w:val="yellow"/>
              </w:rPr>
            </w:pPr>
            <w:r w:rsidRPr="00DF36CF">
              <w:rPr>
                <w:rFonts w:ascii="Calibri" w:hAnsi="Calibri"/>
                <w:b/>
                <w:bCs/>
                <w:i/>
                <w:sz w:val="18"/>
                <w:szCs w:val="18"/>
                <w:highlight w:val="yellow"/>
              </w:rPr>
              <w:t>37</w:t>
            </w:r>
          </w:p>
        </w:tc>
      </w:tr>
      <w:tr w:rsidR="00681CA6" w:rsidRPr="00DF36CF" w:rsidTr="00D32DBB">
        <w:trPr>
          <w:trHeight w:val="288"/>
          <w:jc w:val="center"/>
        </w:trPr>
        <w:tc>
          <w:tcPr>
            <w:tcW w:w="0" w:type="auto"/>
            <w:gridSpan w:val="2"/>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rPr>
                <w:rFonts w:ascii="Calibri" w:hAnsi="Calibri"/>
                <w:b/>
                <w:bCs/>
                <w:color w:val="000000"/>
                <w:sz w:val="18"/>
                <w:szCs w:val="18"/>
              </w:rPr>
            </w:pPr>
            <w:proofErr w:type="spellStart"/>
            <w:r w:rsidRPr="00DF36CF">
              <w:rPr>
                <w:rFonts w:ascii="Calibri" w:hAnsi="Calibri"/>
                <w:b/>
                <w:bCs/>
                <w:color w:val="000000"/>
                <w:sz w:val="18"/>
                <w:szCs w:val="18"/>
              </w:rPr>
              <w:t>Lumbier</w:t>
            </w:r>
            <w:proofErr w:type="spellEnd"/>
            <w:r w:rsidRPr="00DF36CF">
              <w:rPr>
                <w:rFonts w:ascii="Calibri" w:hAnsi="Calibri"/>
                <w:b/>
                <w:bCs/>
                <w:color w:val="000000"/>
                <w:sz w:val="18"/>
                <w:szCs w:val="18"/>
              </w:rPr>
              <w:t xml:space="preserve"> </w:t>
            </w:r>
            <w:proofErr w:type="spellStart"/>
            <w:r w:rsidRPr="00DF36CF">
              <w:rPr>
                <w:rFonts w:ascii="Calibri" w:hAnsi="Calibri"/>
                <w:b/>
                <w:bCs/>
                <w:color w:val="000000"/>
                <w:sz w:val="18"/>
                <w:szCs w:val="18"/>
              </w:rPr>
              <w:t>resideN</w:t>
            </w:r>
            <w:proofErr w:type="spellEnd"/>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1187" w:type="dxa"/>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rPr>
                <w:rFonts w:ascii="Calibri" w:hAnsi="Calibri"/>
                <w:b/>
                <w:bCs/>
                <w:color w:val="000000"/>
                <w:sz w:val="18"/>
                <w:szCs w:val="18"/>
              </w:rPr>
            </w:pPr>
            <w:r w:rsidRPr="00DF36CF">
              <w:rPr>
                <w:rFonts w:ascii="Calibri" w:hAnsi="Calibri"/>
                <w:b/>
                <w:bCs/>
                <w:color w:val="000000"/>
                <w:sz w:val="18"/>
                <w:szCs w:val="18"/>
              </w:rPr>
              <w:t>PROMEDIO</w:t>
            </w:r>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41,60</w:t>
            </w:r>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32DBB">
            <w:pPr>
              <w:ind w:firstLine="0"/>
              <w:jc w:val="right"/>
              <w:rPr>
                <w:rFonts w:ascii="Calibri" w:hAnsi="Calibri"/>
                <w:b/>
                <w:bCs/>
                <w:color w:val="000000"/>
                <w:sz w:val="18"/>
                <w:szCs w:val="18"/>
              </w:rPr>
            </w:pPr>
            <w:r w:rsidRPr="00DF36CF">
              <w:rPr>
                <w:rFonts w:ascii="Calibri" w:hAnsi="Calibri"/>
                <w:b/>
                <w:bCs/>
                <w:color w:val="000000"/>
                <w:sz w:val="18"/>
                <w:szCs w:val="18"/>
              </w:rPr>
              <w:t>40,80</w:t>
            </w:r>
          </w:p>
        </w:tc>
      </w:tr>
    </w:tbl>
    <w:p w:rsidR="00681CA6" w:rsidRDefault="00681CA6" w:rsidP="00681CA6">
      <w:pPr>
        <w:rPr>
          <w:rFonts w:ascii="Calibri" w:hAnsi="Calibri"/>
          <w:b/>
        </w:rPr>
      </w:pPr>
      <w:r>
        <w:rPr>
          <w:rFonts w:ascii="Calibri" w:hAnsi="Calibri"/>
          <w:b/>
        </w:rPr>
        <w:t>Año 2016</w:t>
      </w:r>
    </w:p>
    <w:p w:rsidR="00681CA6" w:rsidRDefault="00681CA6" w:rsidP="00681CA6">
      <w:pPr>
        <w:rPr>
          <w:rFonts w:ascii="Calibri" w:hAnsi="Calibri"/>
        </w:rPr>
      </w:pPr>
    </w:p>
    <w:tbl>
      <w:tblPr>
        <w:tblW w:w="9118" w:type="dxa"/>
        <w:jc w:val="center"/>
        <w:tblInd w:w="65" w:type="dxa"/>
        <w:tblCellMar>
          <w:left w:w="70" w:type="dxa"/>
          <w:right w:w="70" w:type="dxa"/>
        </w:tblCellMar>
        <w:tblLook w:val="04A0" w:firstRow="1" w:lastRow="0" w:firstColumn="1" w:lastColumn="0" w:noHBand="0" w:noVBand="1"/>
      </w:tblPr>
      <w:tblGrid>
        <w:gridCol w:w="1598"/>
        <w:gridCol w:w="1389"/>
        <w:gridCol w:w="1009"/>
        <w:gridCol w:w="1009"/>
        <w:gridCol w:w="1044"/>
        <w:gridCol w:w="1297"/>
        <w:gridCol w:w="867"/>
        <w:gridCol w:w="928"/>
      </w:tblGrid>
      <w:tr w:rsidR="00DF36CF" w:rsidRPr="00DF36CF" w:rsidTr="00DF36CF">
        <w:trPr>
          <w:trHeight w:val="288"/>
          <w:tblHeader/>
          <w:jc w:val="center"/>
        </w:trPr>
        <w:tc>
          <w:tcPr>
            <w:tcW w:w="1598"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left"/>
              <w:rPr>
                <w:rFonts w:ascii="Calibri" w:hAnsi="Calibri"/>
                <w:b/>
                <w:bCs/>
                <w:color w:val="000000"/>
                <w:sz w:val="18"/>
                <w:szCs w:val="18"/>
              </w:rPr>
            </w:pPr>
            <w:r w:rsidRPr="00DF36CF">
              <w:rPr>
                <w:rFonts w:ascii="Calibri" w:hAnsi="Calibri"/>
                <w:b/>
                <w:bCs/>
                <w:color w:val="000000"/>
                <w:sz w:val="18"/>
                <w:szCs w:val="18"/>
              </w:rPr>
              <w:t>Contrato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center"/>
              <w:rPr>
                <w:rFonts w:ascii="Calibri" w:hAnsi="Calibri"/>
                <w:b/>
                <w:bCs/>
                <w:color w:val="000000"/>
                <w:sz w:val="18"/>
                <w:szCs w:val="18"/>
              </w:rPr>
            </w:pPr>
            <w:r w:rsidRPr="00DF36CF">
              <w:rPr>
                <w:rFonts w:ascii="Calibri" w:hAnsi="Calibri"/>
                <w:b/>
                <w:bCs/>
                <w:color w:val="000000"/>
                <w:sz w:val="18"/>
                <w:szCs w:val="18"/>
              </w:rPr>
              <w:t>Concepto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center"/>
              <w:rPr>
                <w:rFonts w:ascii="Calibri" w:hAnsi="Calibri"/>
                <w:b/>
                <w:bCs/>
                <w:color w:val="000000"/>
                <w:sz w:val="18"/>
                <w:szCs w:val="18"/>
              </w:rPr>
            </w:pPr>
            <w:proofErr w:type="spellStart"/>
            <w:r w:rsidRPr="00DF36CF">
              <w:rPr>
                <w:rFonts w:ascii="Calibri" w:hAnsi="Calibri"/>
                <w:b/>
                <w:bCs/>
                <w:color w:val="000000"/>
                <w:sz w:val="18"/>
                <w:szCs w:val="18"/>
              </w:rPr>
              <w:t>Últ</w:t>
            </w:r>
            <w:proofErr w:type="spellEnd"/>
            <w:r w:rsidRPr="00DF36CF">
              <w:rPr>
                <w:rFonts w:ascii="Calibri" w:hAnsi="Calibri"/>
                <w:b/>
                <w:bCs/>
                <w:color w:val="000000"/>
                <w:sz w:val="18"/>
                <w:szCs w:val="18"/>
              </w:rPr>
              <w:t xml:space="preserve"> </w:t>
            </w:r>
            <w:proofErr w:type="spellStart"/>
            <w:r w:rsidRPr="00DF36CF">
              <w:rPr>
                <w:rFonts w:ascii="Calibri" w:hAnsi="Calibri"/>
                <w:b/>
                <w:bCs/>
                <w:color w:val="000000"/>
                <w:sz w:val="18"/>
                <w:szCs w:val="18"/>
              </w:rPr>
              <w:t>dia</w:t>
            </w:r>
            <w:proofErr w:type="spellEnd"/>
            <w:r w:rsidRPr="00DF36CF">
              <w:rPr>
                <w:rFonts w:ascii="Calibri" w:hAnsi="Calibri"/>
                <w:b/>
                <w:bCs/>
                <w:color w:val="000000"/>
                <w:sz w:val="18"/>
                <w:szCs w:val="18"/>
              </w:rPr>
              <w:t xml:space="preserve"> </w:t>
            </w:r>
            <w:proofErr w:type="spellStart"/>
            <w:r w:rsidRPr="00DF36CF">
              <w:rPr>
                <w:rFonts w:ascii="Calibri" w:hAnsi="Calibri"/>
                <w:b/>
                <w:bCs/>
                <w:color w:val="000000"/>
                <w:sz w:val="18"/>
                <w:szCs w:val="18"/>
              </w:rPr>
              <w:t>fact</w:t>
            </w:r>
            <w:proofErr w:type="spellEnd"/>
          </w:p>
        </w:tc>
        <w:tc>
          <w:tcPr>
            <w:tcW w:w="1005"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center"/>
              <w:rPr>
                <w:rFonts w:ascii="Calibri" w:hAnsi="Calibri"/>
                <w:b/>
                <w:bCs/>
                <w:color w:val="000000"/>
                <w:sz w:val="18"/>
                <w:szCs w:val="18"/>
              </w:rPr>
            </w:pPr>
            <w:r w:rsidRPr="00DF36CF">
              <w:rPr>
                <w:rFonts w:ascii="Calibri" w:hAnsi="Calibri"/>
                <w:b/>
                <w:bCs/>
                <w:color w:val="000000"/>
                <w:sz w:val="18"/>
                <w:szCs w:val="18"/>
              </w:rPr>
              <w:t xml:space="preserve">Fecha </w:t>
            </w:r>
            <w:proofErr w:type="spellStart"/>
            <w:r w:rsidRPr="00DF36CF">
              <w:rPr>
                <w:rFonts w:ascii="Calibri" w:hAnsi="Calibri"/>
                <w:b/>
                <w:bCs/>
                <w:color w:val="000000"/>
                <w:sz w:val="18"/>
                <w:szCs w:val="18"/>
              </w:rPr>
              <w:t>Fact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center"/>
              <w:rPr>
                <w:rFonts w:ascii="Calibri" w:hAnsi="Calibri"/>
                <w:b/>
                <w:bCs/>
                <w:color w:val="000000"/>
                <w:sz w:val="18"/>
                <w:szCs w:val="18"/>
              </w:rPr>
            </w:pPr>
            <w:r w:rsidRPr="00DF36CF">
              <w:rPr>
                <w:rFonts w:ascii="Calibri" w:hAnsi="Calibri"/>
                <w:b/>
                <w:bCs/>
                <w:color w:val="000000"/>
                <w:sz w:val="18"/>
                <w:szCs w:val="18"/>
              </w:rPr>
              <w:t>Fecha cierre</w:t>
            </w:r>
          </w:p>
        </w:tc>
        <w:tc>
          <w:tcPr>
            <w:tcW w:w="129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rPr>
                <w:rFonts w:ascii="Calibri" w:hAnsi="Calibri"/>
                <w:b/>
                <w:bCs/>
                <w:color w:val="000000"/>
                <w:sz w:val="18"/>
                <w:szCs w:val="18"/>
              </w:rPr>
            </w:pPr>
            <w:r w:rsidRPr="00DF36CF">
              <w:rPr>
                <w:rFonts w:ascii="Calibri" w:hAnsi="Calibri"/>
                <w:b/>
                <w:bCs/>
                <w:color w:val="000000"/>
                <w:sz w:val="18"/>
                <w:szCs w:val="18"/>
              </w:rPr>
              <w:t>Fecha de pago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rPr>
                <w:rFonts w:ascii="Calibri" w:hAnsi="Calibri"/>
                <w:b/>
                <w:bCs/>
                <w:color w:val="000000"/>
                <w:sz w:val="18"/>
                <w:szCs w:val="18"/>
              </w:rPr>
            </w:pPr>
            <w:proofErr w:type="spellStart"/>
            <w:r w:rsidRPr="00DF36CF">
              <w:rPr>
                <w:rFonts w:ascii="Calibri" w:hAnsi="Calibri"/>
                <w:b/>
                <w:bCs/>
                <w:color w:val="000000"/>
                <w:sz w:val="18"/>
                <w:szCs w:val="18"/>
              </w:rPr>
              <w:t>Dias</w:t>
            </w:r>
            <w:proofErr w:type="spellEnd"/>
            <w:r w:rsidRPr="00DF36CF">
              <w:rPr>
                <w:rFonts w:ascii="Calibri" w:hAnsi="Calibri"/>
                <w:b/>
                <w:bCs/>
                <w:color w:val="000000"/>
                <w:sz w:val="18"/>
                <w:szCs w:val="18"/>
              </w:rPr>
              <w:t xml:space="preserve"> pago</w:t>
            </w:r>
          </w:p>
        </w:tc>
        <w:tc>
          <w:tcPr>
            <w:tcW w:w="0" w:type="auto"/>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center"/>
              <w:rPr>
                <w:rFonts w:ascii="Calibri" w:hAnsi="Calibri"/>
                <w:b/>
                <w:bCs/>
                <w:color w:val="000000"/>
                <w:sz w:val="18"/>
                <w:szCs w:val="18"/>
              </w:rPr>
            </w:pPr>
            <w:r w:rsidRPr="00DF36CF">
              <w:rPr>
                <w:rFonts w:ascii="Calibri" w:hAnsi="Calibri"/>
                <w:b/>
                <w:bCs/>
                <w:color w:val="000000"/>
                <w:sz w:val="18"/>
                <w:szCs w:val="18"/>
              </w:rPr>
              <w:t xml:space="preserve">Desde </w:t>
            </w:r>
            <w:proofErr w:type="spellStart"/>
            <w:r w:rsidRPr="00DF36CF">
              <w:rPr>
                <w:rFonts w:ascii="Calibri" w:hAnsi="Calibri"/>
                <w:b/>
                <w:bCs/>
                <w:color w:val="000000"/>
                <w:sz w:val="18"/>
                <w:szCs w:val="18"/>
              </w:rPr>
              <w:t>fact</w:t>
            </w:r>
            <w:proofErr w:type="spellEnd"/>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Enero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31/01/2016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15/02/2016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29/02/2016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02/03/2016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16</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Febrero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29/02/2016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04/03/2016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23/03/2016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30/03/2016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26</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Marzo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31/03/2016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04/04/2016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15/04/2016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21/04/2016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21</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17</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Abril</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30/04/2016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04/05/2016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12/05/2016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18/05/2016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18</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14</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Mayo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31/05/2016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08/06/2016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17/06/2016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22/06/2016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22</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14</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Junio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30/06/2016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13/07/2016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28/07/2016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04/08/2016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22</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Julio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31/07/2016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04/08/2016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17/08/2016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18/08/2016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18</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14</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Agosto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31/08/2016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20/09/2016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29/09/2016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06/10/2016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16</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Septiembre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30/09/2016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04/10/2016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26/10/2016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03/11/2016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34</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Octubre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31/10/2016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09/11/2016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21/11/2016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28/11/2016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28</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19</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Noviembre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30/11/2016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14/12/2016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28/12/2016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30/12/2016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16</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Diciembre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31/12/2016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21/12/2016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31/12/2016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11/01/2017</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11</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21</w:t>
            </w:r>
          </w:p>
        </w:tc>
      </w:tr>
      <w:tr w:rsidR="00681CA6" w:rsidRPr="00DF36CF" w:rsidTr="00DF36CF">
        <w:trPr>
          <w:trHeight w:val="288"/>
          <w:jc w:val="center"/>
        </w:trPr>
        <w:tc>
          <w:tcPr>
            <w:tcW w:w="2982" w:type="dxa"/>
            <w:gridSpan w:val="2"/>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F36CF">
            <w:pPr>
              <w:ind w:firstLine="0"/>
              <w:jc w:val="left"/>
              <w:rPr>
                <w:rFonts w:ascii="Calibri" w:hAnsi="Calibri"/>
                <w:b/>
                <w:bCs/>
                <w:color w:val="000000"/>
                <w:sz w:val="18"/>
                <w:szCs w:val="18"/>
              </w:rPr>
            </w:pPr>
            <w:r w:rsidRPr="00DF36CF">
              <w:rPr>
                <w:rFonts w:ascii="Calibri" w:hAnsi="Calibri"/>
                <w:b/>
                <w:bCs/>
                <w:color w:val="000000"/>
                <w:sz w:val="18"/>
                <w:szCs w:val="18"/>
              </w:rPr>
              <w:t>LUMBIER PSICOGERIATRICO</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1005" w:type="dxa"/>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1297" w:type="dxa"/>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F36CF">
            <w:pPr>
              <w:ind w:firstLine="0"/>
              <w:rPr>
                <w:rFonts w:ascii="Calibri" w:hAnsi="Calibri"/>
                <w:b/>
                <w:bCs/>
                <w:color w:val="000000"/>
                <w:sz w:val="18"/>
                <w:szCs w:val="18"/>
              </w:rPr>
            </w:pPr>
            <w:r w:rsidRPr="00DF36CF">
              <w:rPr>
                <w:rFonts w:ascii="Calibri" w:hAnsi="Calibri"/>
                <w:b/>
                <w:bCs/>
                <w:color w:val="000000"/>
                <w:sz w:val="18"/>
                <w:szCs w:val="18"/>
              </w:rPr>
              <w:t>PROMEDIO</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26,17</w:t>
            </w:r>
          </w:p>
        </w:tc>
        <w:tc>
          <w:tcPr>
            <w:tcW w:w="0" w:type="auto"/>
            <w:tcBorders>
              <w:top w:val="nil"/>
              <w:left w:val="single" w:sz="4" w:space="0" w:color="auto"/>
              <w:bottom w:val="nil"/>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18,75</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Enero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31/01/2016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09/02/2016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29/02/2016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02/03/2016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22</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Febrero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29/02/2016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07/03/2016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23/03/2016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30/03/2016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23</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Marzo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31/03/2016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01/04/2016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19/04/2016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21/04/2016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21</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20</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Abril</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30/04/2016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05/05/2016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11/05/2016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18/05/2016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18</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13</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Mayo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31/05/2016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06/06/2016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10/06/2016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15/06/2016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15</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9</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Junio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30/06/2016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06/07/2016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26/07/2016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28/07/2016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28</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22</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Julio</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31/07/2016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04/08/2016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17/08/2016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18/08/2016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18</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14</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Agosto</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31/08/2016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05/09/2016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16/09/2016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22/09/2016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22</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17</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Septiembre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30/09/2016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04/10/2016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18/10/2016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28/10/2016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28</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24</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Octubre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31/10/2016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04/11/2016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21/11/2016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28/11/2016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28</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24</w:t>
            </w:r>
          </w:p>
        </w:tc>
      </w:tr>
      <w:tr w:rsidR="00DF36CF" w:rsidRPr="00DF36CF" w:rsidTr="00DF36CF">
        <w:trPr>
          <w:trHeight w:val="288"/>
          <w:jc w:val="center"/>
        </w:trPr>
        <w:tc>
          <w:tcPr>
            <w:tcW w:w="1598"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Noviembre</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30/11/2016</w:t>
            </w:r>
          </w:p>
        </w:tc>
        <w:tc>
          <w:tcPr>
            <w:tcW w:w="1005"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01/12/2016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14/12/2016</w:t>
            </w:r>
          </w:p>
        </w:tc>
        <w:tc>
          <w:tcPr>
            <w:tcW w:w="1297" w:type="dxa"/>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22/12/2016</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22</w:t>
            </w:r>
          </w:p>
        </w:tc>
        <w:tc>
          <w:tcPr>
            <w:tcW w:w="0" w:type="auto"/>
            <w:tcBorders>
              <w:top w:val="nil"/>
              <w:left w:val="single" w:sz="4" w:space="0" w:color="auto"/>
              <w:bottom w:val="nil"/>
              <w:right w:val="single" w:sz="4" w:space="0" w:color="auto"/>
            </w:tcBorders>
            <w:shd w:val="clear" w:color="auto" w:fill="CCECFF"/>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21</w:t>
            </w:r>
          </w:p>
        </w:tc>
      </w:tr>
      <w:tr w:rsidR="00681CA6" w:rsidRPr="00DF36CF" w:rsidTr="00DF36CF">
        <w:trPr>
          <w:trHeight w:val="288"/>
          <w:jc w:val="center"/>
        </w:trPr>
        <w:tc>
          <w:tcPr>
            <w:tcW w:w="1598"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left"/>
              <w:rPr>
                <w:rFonts w:ascii="Calibri" w:hAnsi="Calibri"/>
                <w:color w:val="000000"/>
                <w:sz w:val="18"/>
                <w:szCs w:val="18"/>
              </w:rPr>
            </w:pPr>
            <w:proofErr w:type="spellStart"/>
            <w:r w:rsidRPr="00DF36CF">
              <w:rPr>
                <w:rFonts w:ascii="Calibri" w:hAnsi="Calibri"/>
                <w:color w:val="000000"/>
                <w:sz w:val="18"/>
                <w:szCs w:val="18"/>
              </w:rPr>
              <w:t>Lumbier</w:t>
            </w:r>
            <w:proofErr w:type="spellEnd"/>
            <w:r w:rsidRPr="00DF36CF">
              <w:rPr>
                <w:rFonts w:ascii="Calibri" w:hAnsi="Calibri"/>
                <w:color w:val="000000"/>
                <w:sz w:val="18"/>
                <w:szCs w:val="18"/>
              </w:rPr>
              <w:t xml:space="preserve"> </w:t>
            </w:r>
            <w:proofErr w:type="spellStart"/>
            <w:r w:rsidRPr="00DF36CF">
              <w:rPr>
                <w:rFonts w:ascii="Calibri" w:hAnsi="Calibri"/>
                <w:color w:val="000000"/>
                <w:sz w:val="18"/>
                <w:szCs w:val="18"/>
              </w:rPr>
              <w:t>resideN</w:t>
            </w:r>
            <w:proofErr w:type="spellEnd"/>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Pago Diciembre</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31/12/2016</w:t>
            </w:r>
          </w:p>
        </w:tc>
        <w:tc>
          <w:tcPr>
            <w:tcW w:w="1005"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19/12/2016</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31/12/2016</w:t>
            </w:r>
          </w:p>
        </w:tc>
        <w:tc>
          <w:tcPr>
            <w:tcW w:w="1297" w:type="dxa"/>
            <w:tcBorders>
              <w:top w:val="nil"/>
              <w:left w:val="single" w:sz="4" w:space="0" w:color="auto"/>
              <w:bottom w:val="nil"/>
              <w:right w:val="single" w:sz="4" w:space="0" w:color="auto"/>
            </w:tcBorders>
            <w:noWrap/>
            <w:vAlign w:val="bottom"/>
            <w:hideMark/>
          </w:tcPr>
          <w:p w:rsidR="00681CA6" w:rsidRPr="00DF36CF" w:rsidRDefault="00681CA6" w:rsidP="00DF36CF">
            <w:pPr>
              <w:ind w:firstLine="0"/>
              <w:rPr>
                <w:rFonts w:ascii="Calibri" w:hAnsi="Calibri"/>
                <w:color w:val="000000"/>
                <w:sz w:val="18"/>
                <w:szCs w:val="18"/>
              </w:rPr>
            </w:pPr>
            <w:r w:rsidRPr="00DF36CF">
              <w:rPr>
                <w:rFonts w:ascii="Calibri" w:hAnsi="Calibri"/>
                <w:color w:val="000000"/>
                <w:sz w:val="18"/>
                <w:szCs w:val="18"/>
              </w:rPr>
              <w:t>11/01/2017</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11</w:t>
            </w:r>
          </w:p>
        </w:tc>
        <w:tc>
          <w:tcPr>
            <w:tcW w:w="0" w:type="auto"/>
            <w:tcBorders>
              <w:top w:val="nil"/>
              <w:left w:val="single" w:sz="4" w:space="0" w:color="auto"/>
              <w:bottom w:val="nil"/>
              <w:right w:val="single" w:sz="4" w:space="0" w:color="auto"/>
            </w:tcBorders>
            <w:noWrap/>
            <w:vAlign w:val="bottom"/>
            <w:hideMark/>
          </w:tcPr>
          <w:p w:rsidR="00681CA6" w:rsidRPr="00DF36CF" w:rsidRDefault="00681CA6" w:rsidP="00DF36CF">
            <w:pPr>
              <w:ind w:firstLine="0"/>
              <w:jc w:val="right"/>
              <w:rPr>
                <w:rFonts w:ascii="Calibri" w:hAnsi="Calibri"/>
                <w:color w:val="000000"/>
                <w:sz w:val="18"/>
                <w:szCs w:val="18"/>
              </w:rPr>
            </w:pPr>
            <w:r w:rsidRPr="00DF36CF">
              <w:rPr>
                <w:rFonts w:ascii="Calibri" w:hAnsi="Calibri"/>
                <w:color w:val="000000"/>
                <w:sz w:val="18"/>
                <w:szCs w:val="18"/>
              </w:rPr>
              <w:t>23</w:t>
            </w:r>
          </w:p>
        </w:tc>
      </w:tr>
      <w:tr w:rsidR="00681CA6" w:rsidRPr="00DF36CF" w:rsidTr="00DF36CF">
        <w:trPr>
          <w:trHeight w:val="288"/>
          <w:jc w:val="center"/>
        </w:trPr>
        <w:tc>
          <w:tcPr>
            <w:tcW w:w="2982" w:type="dxa"/>
            <w:gridSpan w:val="2"/>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left"/>
              <w:rPr>
                <w:rFonts w:ascii="Calibri" w:hAnsi="Calibri"/>
                <w:b/>
                <w:bCs/>
                <w:color w:val="000000"/>
                <w:sz w:val="18"/>
                <w:szCs w:val="18"/>
              </w:rPr>
            </w:pPr>
            <w:proofErr w:type="spellStart"/>
            <w:r w:rsidRPr="00DF36CF">
              <w:rPr>
                <w:rFonts w:ascii="Calibri" w:hAnsi="Calibri"/>
                <w:b/>
                <w:bCs/>
                <w:color w:val="000000"/>
                <w:sz w:val="18"/>
                <w:szCs w:val="18"/>
              </w:rPr>
              <w:t>Lumbier</w:t>
            </w:r>
            <w:proofErr w:type="spellEnd"/>
            <w:r w:rsidRPr="00DF36CF">
              <w:rPr>
                <w:rFonts w:ascii="Calibri" w:hAnsi="Calibri"/>
                <w:b/>
                <w:bCs/>
                <w:color w:val="000000"/>
                <w:sz w:val="18"/>
                <w:szCs w:val="18"/>
              </w:rPr>
              <w:t xml:space="preserve"> </w:t>
            </w:r>
            <w:proofErr w:type="spellStart"/>
            <w:r w:rsidRPr="00DF36CF">
              <w:rPr>
                <w:rFonts w:ascii="Calibri" w:hAnsi="Calibri"/>
                <w:b/>
                <w:bCs/>
                <w:color w:val="000000"/>
                <w:sz w:val="18"/>
                <w:szCs w:val="18"/>
              </w:rPr>
              <w:t>resideN</w:t>
            </w:r>
            <w:proofErr w:type="spellEnd"/>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1005" w:type="dxa"/>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 </w:t>
            </w:r>
          </w:p>
        </w:tc>
        <w:tc>
          <w:tcPr>
            <w:tcW w:w="1297" w:type="dxa"/>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rPr>
                <w:rFonts w:ascii="Calibri" w:hAnsi="Calibri"/>
                <w:b/>
                <w:bCs/>
                <w:color w:val="000000"/>
                <w:sz w:val="18"/>
                <w:szCs w:val="18"/>
              </w:rPr>
            </w:pPr>
            <w:r w:rsidRPr="00DF36CF">
              <w:rPr>
                <w:rFonts w:ascii="Calibri" w:hAnsi="Calibri"/>
                <w:b/>
                <w:bCs/>
                <w:color w:val="000000"/>
                <w:sz w:val="18"/>
                <w:szCs w:val="18"/>
              </w:rPr>
              <w:t>PROMEDIO</w:t>
            </w:r>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22,67</w:t>
            </w:r>
          </w:p>
        </w:tc>
        <w:tc>
          <w:tcPr>
            <w:tcW w:w="0" w:type="auto"/>
            <w:tcBorders>
              <w:top w:val="nil"/>
              <w:left w:val="single" w:sz="4" w:space="0" w:color="auto"/>
              <w:bottom w:val="single" w:sz="4" w:space="0" w:color="auto"/>
              <w:right w:val="single" w:sz="4" w:space="0" w:color="auto"/>
            </w:tcBorders>
            <w:shd w:val="clear" w:color="auto" w:fill="99CCFF"/>
            <w:noWrap/>
            <w:vAlign w:val="bottom"/>
            <w:hideMark/>
          </w:tcPr>
          <w:p w:rsidR="00681CA6" w:rsidRPr="00DF36CF" w:rsidRDefault="00681CA6" w:rsidP="00DF36CF">
            <w:pPr>
              <w:ind w:firstLine="0"/>
              <w:jc w:val="right"/>
              <w:rPr>
                <w:rFonts w:ascii="Calibri" w:hAnsi="Calibri"/>
                <w:b/>
                <w:bCs/>
                <w:color w:val="000000"/>
                <w:sz w:val="18"/>
                <w:szCs w:val="18"/>
              </w:rPr>
            </w:pPr>
            <w:r w:rsidRPr="00DF36CF">
              <w:rPr>
                <w:rFonts w:ascii="Calibri" w:hAnsi="Calibri"/>
                <w:b/>
                <w:bCs/>
                <w:color w:val="000000"/>
                <w:sz w:val="18"/>
                <w:szCs w:val="18"/>
              </w:rPr>
              <w:t>19,33</w:t>
            </w:r>
          </w:p>
        </w:tc>
      </w:tr>
    </w:tbl>
    <w:p w:rsidR="00681CA6" w:rsidRDefault="00681CA6" w:rsidP="00681CA6">
      <w:pPr>
        <w:rPr>
          <w:rFonts w:ascii="Calibri" w:hAnsi="Calibri"/>
        </w:rPr>
      </w:pPr>
    </w:p>
    <w:p w:rsidR="00681CA6" w:rsidRPr="00D96FCA" w:rsidRDefault="00681CA6" w:rsidP="00681CA6">
      <w:pPr>
        <w:rPr>
          <w:rFonts w:ascii="Courier New" w:hAnsi="Courier New" w:cs="Courier New"/>
        </w:rPr>
      </w:pPr>
    </w:p>
    <w:p w:rsidR="00681CA6" w:rsidRPr="00D96FCA" w:rsidRDefault="00681CA6" w:rsidP="00681CA6">
      <w:pPr>
        <w:spacing w:before="120" w:after="120" w:line="360" w:lineRule="auto"/>
        <w:ind w:firstLine="709"/>
        <w:rPr>
          <w:rFonts w:ascii="Courier New" w:hAnsi="Courier New" w:cs="Courier New"/>
        </w:rPr>
      </w:pPr>
      <w:r w:rsidRPr="00D96FCA">
        <w:rPr>
          <w:rFonts w:ascii="Courier New" w:hAnsi="Courier New" w:cs="Courier New"/>
        </w:rPr>
        <w:t xml:space="preserve">Como puede verse, en el año 2016 el periodo de pago está muy por debajo de la obligación </w:t>
      </w:r>
      <w:r>
        <w:rPr>
          <w:rFonts w:ascii="Courier New" w:hAnsi="Courier New" w:cs="Courier New"/>
        </w:rPr>
        <w:t>establecida</w:t>
      </w:r>
      <w:r w:rsidRPr="00D96FCA">
        <w:rPr>
          <w:rFonts w:ascii="Courier New" w:hAnsi="Courier New" w:cs="Courier New"/>
        </w:rPr>
        <w:t xml:space="preserve"> de pagar en</w:t>
      </w:r>
      <w:r>
        <w:rPr>
          <w:rFonts w:ascii="Courier New" w:hAnsi="Courier New" w:cs="Courier New"/>
        </w:rPr>
        <w:t xml:space="preserve"> el plazo de</w:t>
      </w:r>
      <w:r w:rsidRPr="00D96FCA">
        <w:rPr>
          <w:rFonts w:ascii="Courier New" w:hAnsi="Courier New" w:cs="Courier New"/>
        </w:rPr>
        <w:t xml:space="preserve"> 30 días desde la recepción de la factura.</w:t>
      </w:r>
    </w:p>
    <w:p w:rsidR="00DF36CF" w:rsidRDefault="00DF36CF" w:rsidP="00681CA6">
      <w:pPr>
        <w:spacing w:before="360" w:after="360"/>
        <w:rPr>
          <w:rFonts w:ascii="Courier New" w:hAnsi="Courier New" w:cs="Courier New"/>
          <w:b/>
        </w:rPr>
      </w:pPr>
    </w:p>
    <w:p w:rsidR="00681CA6" w:rsidRPr="00F0649E" w:rsidRDefault="00681CA6" w:rsidP="00681CA6">
      <w:pPr>
        <w:spacing w:before="360" w:after="360"/>
        <w:rPr>
          <w:rFonts w:ascii="Courier New" w:hAnsi="Courier New" w:cs="Courier New"/>
          <w:b/>
        </w:rPr>
      </w:pPr>
      <w:r>
        <w:rPr>
          <w:rFonts w:ascii="Courier New" w:hAnsi="Courier New" w:cs="Courier New"/>
          <w:b/>
        </w:rPr>
        <w:t xml:space="preserve">2.- </w:t>
      </w:r>
      <w:r w:rsidRPr="00F0649E">
        <w:rPr>
          <w:rFonts w:ascii="Courier New" w:hAnsi="Courier New" w:cs="Courier New"/>
          <w:b/>
        </w:rPr>
        <w:t>Respecto al apartado IV-7 del informe</w:t>
      </w:r>
      <w:r>
        <w:rPr>
          <w:rFonts w:ascii="Courier New" w:hAnsi="Courier New" w:cs="Courier New"/>
          <w:b/>
        </w:rPr>
        <w:t>:</w:t>
      </w:r>
      <w:r w:rsidRPr="00F0649E">
        <w:rPr>
          <w:rFonts w:ascii="Courier New" w:hAnsi="Courier New" w:cs="Courier New"/>
          <w:b/>
        </w:rPr>
        <w:t xml:space="preserve"> “inmovilizado”</w:t>
      </w:r>
      <w:r>
        <w:rPr>
          <w:rFonts w:ascii="Courier New" w:hAnsi="Courier New" w:cs="Courier New"/>
          <w:b/>
        </w:rPr>
        <w:t>.</w:t>
      </w:r>
    </w:p>
    <w:p w:rsidR="00681CA6" w:rsidRDefault="00681CA6" w:rsidP="00681CA6">
      <w:pPr>
        <w:spacing w:before="120" w:after="120" w:line="360" w:lineRule="auto"/>
        <w:ind w:firstLine="709"/>
        <w:rPr>
          <w:rFonts w:ascii="Courier New" w:hAnsi="Courier New" w:cs="Courier New"/>
        </w:rPr>
      </w:pPr>
      <w:r>
        <w:rPr>
          <w:rFonts w:ascii="Courier New" w:hAnsi="Courier New" w:cs="Courier New"/>
        </w:rPr>
        <w:t>a) Falta de formalización de la cesión de uso del inmueble.</w:t>
      </w:r>
    </w:p>
    <w:p w:rsidR="00681CA6" w:rsidRDefault="00681CA6" w:rsidP="00681CA6">
      <w:pPr>
        <w:spacing w:before="120" w:after="120" w:line="360" w:lineRule="auto"/>
        <w:ind w:firstLine="709"/>
        <w:rPr>
          <w:rFonts w:ascii="Courier New" w:hAnsi="Courier New" w:cs="Courier New"/>
        </w:rPr>
      </w:pPr>
      <w:r>
        <w:rPr>
          <w:rFonts w:ascii="Courier New" w:hAnsi="Courier New" w:cs="Courier New"/>
        </w:rPr>
        <w:t>Aunque existen documentos en los que se constata la cesión de los terrenos donde se ubica la residencia por parte Mancomunidad al Gobierno de Navarra, no consta la existencia de ningún documento en el que se fo</w:t>
      </w:r>
      <w:r>
        <w:rPr>
          <w:rFonts w:ascii="Courier New" w:hAnsi="Courier New" w:cs="Courier New"/>
        </w:rPr>
        <w:t>r</w:t>
      </w:r>
      <w:r>
        <w:rPr>
          <w:rFonts w:ascii="Courier New" w:hAnsi="Courier New" w:cs="Courier New"/>
        </w:rPr>
        <w:t>malice la cesión de uso por parte del Gobierno de Navarra a la Mancomun</w:t>
      </w:r>
      <w:r>
        <w:rPr>
          <w:rFonts w:ascii="Courier New" w:hAnsi="Courier New" w:cs="Courier New"/>
        </w:rPr>
        <w:t>i</w:t>
      </w:r>
      <w:r>
        <w:rPr>
          <w:rFonts w:ascii="Courier New" w:hAnsi="Courier New" w:cs="Courier New"/>
        </w:rPr>
        <w:t xml:space="preserve">dad de Servicios de </w:t>
      </w:r>
      <w:proofErr w:type="spellStart"/>
      <w:r>
        <w:rPr>
          <w:rFonts w:ascii="Courier New" w:hAnsi="Courier New" w:cs="Courier New"/>
        </w:rPr>
        <w:t>Lumbier</w:t>
      </w:r>
      <w:proofErr w:type="spellEnd"/>
      <w:r>
        <w:rPr>
          <w:rFonts w:ascii="Courier New" w:hAnsi="Courier New" w:cs="Courier New"/>
        </w:rPr>
        <w:t>.</w:t>
      </w:r>
    </w:p>
    <w:p w:rsidR="00681CA6" w:rsidRDefault="00681CA6" w:rsidP="00681CA6">
      <w:pPr>
        <w:spacing w:before="120" w:after="120" w:line="360" w:lineRule="auto"/>
        <w:ind w:firstLine="709"/>
        <w:rPr>
          <w:rFonts w:ascii="Courier New" w:hAnsi="Courier New" w:cs="Courier New"/>
        </w:rPr>
      </w:pPr>
      <w:r>
        <w:rPr>
          <w:rFonts w:ascii="Courier New" w:hAnsi="Courier New" w:cs="Courier New"/>
        </w:rPr>
        <w:t xml:space="preserve">Esta cuestión se puso de manifiesto en una reciente reunión entre representantes de la ANADP y los representantes de los Ayuntamientos que componen la Mancomunidad  de Servicios de </w:t>
      </w:r>
      <w:proofErr w:type="spellStart"/>
      <w:r>
        <w:rPr>
          <w:rFonts w:ascii="Courier New" w:hAnsi="Courier New" w:cs="Courier New"/>
        </w:rPr>
        <w:t>Lumbier</w:t>
      </w:r>
      <w:proofErr w:type="spellEnd"/>
      <w:r>
        <w:rPr>
          <w:rFonts w:ascii="Courier New" w:hAnsi="Courier New" w:cs="Courier New"/>
        </w:rPr>
        <w:t>, acordando ambas partes realizar durante el año 2017 los trámites necesarios para la formaliz</w:t>
      </w:r>
      <w:r>
        <w:rPr>
          <w:rFonts w:ascii="Courier New" w:hAnsi="Courier New" w:cs="Courier New"/>
        </w:rPr>
        <w:t>a</w:t>
      </w:r>
      <w:r>
        <w:rPr>
          <w:rFonts w:ascii="Courier New" w:hAnsi="Courier New" w:cs="Courier New"/>
        </w:rPr>
        <w:t>ción de la cesión de uso a favor de la Mancomunidad. Con la formalización de la cesión de uso por parte de la ANADP a la Mancomunidad se procederá a realizar un inventario de bienes, que en su mayoría pertenecen al G</w:t>
      </w:r>
      <w:r>
        <w:rPr>
          <w:rFonts w:ascii="Courier New" w:hAnsi="Courier New" w:cs="Courier New"/>
        </w:rPr>
        <w:t>o</w:t>
      </w:r>
      <w:r>
        <w:rPr>
          <w:rFonts w:ascii="Courier New" w:hAnsi="Courier New" w:cs="Courier New"/>
        </w:rPr>
        <w:t>bierno de Navarra ya que, como indica en su informe la Cámara, las inve</w:t>
      </w:r>
      <w:r>
        <w:rPr>
          <w:rFonts w:ascii="Courier New" w:hAnsi="Courier New" w:cs="Courier New"/>
        </w:rPr>
        <w:t>r</w:t>
      </w:r>
      <w:r>
        <w:rPr>
          <w:rFonts w:ascii="Courier New" w:hAnsi="Courier New" w:cs="Courier New"/>
        </w:rPr>
        <w:t>siones de estructura y de equipamiento, salvo alguna excepción puntual, las asume el Gobierno de Navarra.</w:t>
      </w:r>
    </w:p>
    <w:p w:rsidR="00681CA6" w:rsidRDefault="00681CA6" w:rsidP="00681CA6">
      <w:pPr>
        <w:spacing w:before="120" w:after="120" w:line="360" w:lineRule="auto"/>
        <w:ind w:firstLine="709"/>
        <w:rPr>
          <w:rFonts w:ascii="Courier New" w:hAnsi="Courier New" w:cs="Courier New"/>
        </w:rPr>
      </w:pPr>
      <w:r>
        <w:rPr>
          <w:rFonts w:ascii="Courier New" w:hAnsi="Courier New" w:cs="Courier New"/>
        </w:rPr>
        <w:t>Por ello, se acepta la recomendación de p</w:t>
      </w:r>
      <w:r w:rsidRPr="005B20D8">
        <w:rPr>
          <w:rFonts w:ascii="Courier New" w:hAnsi="Courier New" w:cs="Courier New"/>
        </w:rPr>
        <w:t>roceder a documentar la cesión por el Gobierno de Navarra de los edificios y de su gestión, def</w:t>
      </w:r>
      <w:r w:rsidRPr="005B20D8">
        <w:rPr>
          <w:rFonts w:ascii="Courier New" w:hAnsi="Courier New" w:cs="Courier New"/>
        </w:rPr>
        <w:t>i</w:t>
      </w:r>
      <w:r w:rsidRPr="005B20D8">
        <w:rPr>
          <w:rFonts w:ascii="Courier New" w:hAnsi="Courier New" w:cs="Courier New"/>
        </w:rPr>
        <w:t>niendo y concretando las obligaciones y derechos de cada una de las pa</w:t>
      </w:r>
      <w:r w:rsidRPr="005B20D8">
        <w:rPr>
          <w:rFonts w:ascii="Courier New" w:hAnsi="Courier New" w:cs="Courier New"/>
        </w:rPr>
        <w:t>r</w:t>
      </w:r>
      <w:r w:rsidRPr="005B20D8">
        <w:rPr>
          <w:rFonts w:ascii="Courier New" w:hAnsi="Courier New" w:cs="Courier New"/>
        </w:rPr>
        <w:t>tes</w:t>
      </w:r>
      <w:r>
        <w:rPr>
          <w:rFonts w:ascii="Courier New" w:hAnsi="Courier New" w:cs="Courier New"/>
        </w:rPr>
        <w:t>, así como la elaboración de un inventario de bienes.</w:t>
      </w:r>
    </w:p>
    <w:p w:rsidR="00681CA6" w:rsidRDefault="00681CA6" w:rsidP="00681CA6">
      <w:pPr>
        <w:spacing w:before="120" w:after="120" w:line="360" w:lineRule="auto"/>
        <w:ind w:firstLine="709"/>
        <w:rPr>
          <w:rFonts w:ascii="Courier New" w:hAnsi="Courier New" w:cs="Courier New"/>
        </w:rPr>
      </w:pPr>
      <w:r>
        <w:rPr>
          <w:rFonts w:ascii="Courier New" w:hAnsi="Courier New" w:cs="Courier New"/>
        </w:rPr>
        <w:t>b) Plan de actuación de reformas en los edificios de la residencia.</w:t>
      </w:r>
    </w:p>
    <w:p w:rsidR="00681CA6" w:rsidRDefault="00681CA6" w:rsidP="00681CA6">
      <w:pPr>
        <w:spacing w:before="120" w:after="120" w:line="360" w:lineRule="auto"/>
        <w:ind w:firstLine="709"/>
        <w:rPr>
          <w:rFonts w:ascii="Courier New" w:hAnsi="Courier New" w:cs="Courier New"/>
        </w:rPr>
      </w:pPr>
      <w:r>
        <w:rPr>
          <w:rFonts w:ascii="Courier New" w:hAnsi="Courier New" w:cs="Courier New"/>
        </w:rPr>
        <w:t xml:space="preserve">El informe de la Cámara de </w:t>
      </w:r>
      <w:r w:rsidRPr="00DD1EF4">
        <w:rPr>
          <w:rFonts w:ascii="Courier New" w:hAnsi="Courier New" w:cs="Courier New"/>
        </w:rPr>
        <w:t>Comptos</w:t>
      </w:r>
      <w:r>
        <w:rPr>
          <w:rFonts w:ascii="Courier New" w:hAnsi="Courier New" w:cs="Courier New"/>
        </w:rPr>
        <w:t xml:space="preserve"> pone de manifiesto la existencia de deficiencias estructurales en los edificios residenciales que se arrastran desde hace varios años. En 2009 se realizó</w:t>
      </w:r>
      <w:r w:rsidRPr="009A71EF">
        <w:rPr>
          <w:rFonts w:ascii="Courier New" w:hAnsi="Courier New" w:cs="Courier New"/>
        </w:rPr>
        <w:t xml:space="preserve"> un proyecto de r</w:t>
      </w:r>
      <w:r w:rsidRPr="009A71EF">
        <w:rPr>
          <w:rFonts w:ascii="Courier New" w:hAnsi="Courier New" w:cs="Courier New"/>
        </w:rPr>
        <w:t>e</w:t>
      </w:r>
      <w:r w:rsidRPr="009A71EF">
        <w:rPr>
          <w:rFonts w:ascii="Courier New" w:hAnsi="Courier New" w:cs="Courier New"/>
        </w:rPr>
        <w:t>forma con las principales actuaciones a realizar</w:t>
      </w:r>
      <w:r>
        <w:rPr>
          <w:rFonts w:ascii="Courier New" w:hAnsi="Courier New" w:cs="Courier New"/>
        </w:rPr>
        <w:t xml:space="preserve"> con un presupuesto de 1,14 millones de euros. Como indica el informe, e</w:t>
      </w:r>
      <w:r w:rsidRPr="009A71EF">
        <w:rPr>
          <w:rFonts w:ascii="Courier New" w:hAnsi="Courier New" w:cs="Courier New"/>
        </w:rPr>
        <w:t>l Gobierno de Navarra</w:t>
      </w:r>
      <w:r>
        <w:rPr>
          <w:rFonts w:ascii="Courier New" w:hAnsi="Courier New" w:cs="Courier New"/>
        </w:rPr>
        <w:t xml:space="preserve"> durante</w:t>
      </w:r>
      <w:r w:rsidRPr="009A71EF">
        <w:rPr>
          <w:rFonts w:ascii="Courier New" w:hAnsi="Courier New" w:cs="Courier New"/>
        </w:rPr>
        <w:t xml:space="preserve"> el periodo de 2009 a 2016, ha realizado unos gastos en la res</w:t>
      </w:r>
      <w:r w:rsidRPr="009A71EF">
        <w:rPr>
          <w:rFonts w:ascii="Courier New" w:hAnsi="Courier New" w:cs="Courier New"/>
        </w:rPr>
        <w:t>i</w:t>
      </w:r>
      <w:r w:rsidRPr="009A71EF">
        <w:rPr>
          <w:rFonts w:ascii="Courier New" w:hAnsi="Courier New" w:cs="Courier New"/>
        </w:rPr>
        <w:t>dencia por un</w:t>
      </w:r>
      <w:r>
        <w:rPr>
          <w:rFonts w:ascii="Courier New" w:hAnsi="Courier New" w:cs="Courier New"/>
        </w:rPr>
        <w:t xml:space="preserve"> importe total de 475.058 euros, teniendo previsto realizar durante los próximos años, en función de la disponibilidad presupuest</w:t>
      </w:r>
      <w:r>
        <w:rPr>
          <w:rFonts w:ascii="Courier New" w:hAnsi="Courier New" w:cs="Courier New"/>
        </w:rPr>
        <w:t>a</w:t>
      </w:r>
      <w:r>
        <w:rPr>
          <w:rFonts w:ascii="Courier New" w:hAnsi="Courier New" w:cs="Courier New"/>
        </w:rPr>
        <w:t>ria, el resto de obras de reforma para poder corregir dichas deficie</w:t>
      </w:r>
      <w:r>
        <w:rPr>
          <w:rFonts w:ascii="Courier New" w:hAnsi="Courier New" w:cs="Courier New"/>
        </w:rPr>
        <w:t>n</w:t>
      </w:r>
      <w:r>
        <w:rPr>
          <w:rFonts w:ascii="Courier New" w:hAnsi="Courier New" w:cs="Courier New"/>
        </w:rPr>
        <w:t>cias.</w:t>
      </w:r>
    </w:p>
    <w:p w:rsidR="00EC493F" w:rsidRDefault="00EC493F" w:rsidP="00681CA6">
      <w:pPr>
        <w:spacing w:before="360" w:after="360"/>
        <w:rPr>
          <w:rFonts w:ascii="Courier New" w:hAnsi="Courier New" w:cs="Courier New"/>
          <w:b/>
        </w:rPr>
      </w:pPr>
    </w:p>
    <w:p w:rsidR="00681CA6" w:rsidRPr="00DD1EF4" w:rsidRDefault="00681CA6" w:rsidP="00681CA6">
      <w:pPr>
        <w:spacing w:before="360" w:after="360"/>
        <w:rPr>
          <w:rFonts w:ascii="Courier New" w:hAnsi="Courier New" w:cs="Courier New"/>
          <w:b/>
        </w:rPr>
      </w:pPr>
      <w:r>
        <w:rPr>
          <w:rFonts w:ascii="Courier New" w:hAnsi="Courier New" w:cs="Courier New"/>
          <w:b/>
        </w:rPr>
        <w:t xml:space="preserve">3.- </w:t>
      </w:r>
      <w:r w:rsidRPr="00DD1EF4">
        <w:rPr>
          <w:rFonts w:ascii="Courier New" w:hAnsi="Courier New" w:cs="Courier New"/>
          <w:b/>
        </w:rPr>
        <w:t>Respecto al apartado IV-10, relativo a “indicadores de gestión”</w:t>
      </w:r>
      <w:r>
        <w:rPr>
          <w:rFonts w:ascii="Courier New" w:hAnsi="Courier New" w:cs="Courier New"/>
          <w:b/>
        </w:rPr>
        <w:t xml:space="preserve"> del informe:</w:t>
      </w:r>
    </w:p>
    <w:p w:rsidR="00681CA6" w:rsidRPr="00DD1EF4" w:rsidRDefault="00681CA6" w:rsidP="00681CA6">
      <w:pPr>
        <w:pStyle w:val="Prrafodelista"/>
        <w:numPr>
          <w:ilvl w:val="0"/>
          <w:numId w:val="41"/>
        </w:numPr>
        <w:spacing w:before="120" w:after="120" w:line="360" w:lineRule="auto"/>
        <w:rPr>
          <w:rFonts w:ascii="Courier New" w:hAnsi="Courier New" w:cs="Courier New"/>
        </w:rPr>
      </w:pPr>
      <w:r w:rsidRPr="00DD1EF4">
        <w:rPr>
          <w:rFonts w:ascii="Courier New" w:hAnsi="Courier New" w:cs="Courier New"/>
        </w:rPr>
        <w:t xml:space="preserve"> </w:t>
      </w:r>
      <w:proofErr w:type="spellStart"/>
      <w:r w:rsidRPr="00DD1EF4">
        <w:rPr>
          <w:rFonts w:ascii="Courier New" w:hAnsi="Courier New" w:cs="Courier New"/>
        </w:rPr>
        <w:t>Subapartado</w:t>
      </w:r>
      <w:proofErr w:type="spellEnd"/>
      <w:r w:rsidRPr="00DD1EF4">
        <w:rPr>
          <w:rFonts w:ascii="Courier New" w:hAnsi="Courier New" w:cs="Courier New"/>
        </w:rPr>
        <w:t xml:space="preserve"> IV.10.1. Gasto por plaza de dependiente de la tercera edad.</w:t>
      </w:r>
    </w:p>
    <w:p w:rsidR="00681CA6" w:rsidRPr="008416D6" w:rsidRDefault="00681CA6" w:rsidP="00681CA6">
      <w:pPr>
        <w:spacing w:before="120" w:after="120" w:line="360" w:lineRule="auto"/>
        <w:ind w:firstLine="709"/>
        <w:rPr>
          <w:rFonts w:ascii="Courier New" w:hAnsi="Courier New" w:cs="Courier New"/>
        </w:rPr>
      </w:pPr>
      <w:r w:rsidRPr="008416D6">
        <w:rPr>
          <w:rFonts w:ascii="Courier New" w:hAnsi="Courier New" w:cs="Courier New"/>
        </w:rPr>
        <w:t xml:space="preserve">En este </w:t>
      </w:r>
      <w:proofErr w:type="spellStart"/>
      <w:r w:rsidRPr="008416D6">
        <w:rPr>
          <w:rFonts w:ascii="Courier New" w:hAnsi="Courier New" w:cs="Courier New"/>
        </w:rPr>
        <w:t>subapartado</w:t>
      </w:r>
      <w:proofErr w:type="spellEnd"/>
      <w:r w:rsidRPr="008416D6">
        <w:rPr>
          <w:rFonts w:ascii="Courier New" w:hAnsi="Courier New" w:cs="Courier New"/>
        </w:rPr>
        <w:t xml:space="preserve"> del informe se comparan las tarifas aprobadas por la Mancomunidad, el módulo aprobado p</w:t>
      </w:r>
      <w:r>
        <w:rPr>
          <w:rFonts w:ascii="Courier New" w:hAnsi="Courier New" w:cs="Courier New"/>
        </w:rPr>
        <w:t>or el Gobierno de Navarra y el g</w:t>
      </w:r>
      <w:r w:rsidRPr="008416D6">
        <w:rPr>
          <w:rFonts w:ascii="Courier New" w:hAnsi="Courier New" w:cs="Courier New"/>
        </w:rPr>
        <w:t>asto es</w:t>
      </w:r>
      <w:r>
        <w:rPr>
          <w:rFonts w:ascii="Courier New" w:hAnsi="Courier New" w:cs="Courier New"/>
        </w:rPr>
        <w:t>timado por la Cámara de Comptos.</w:t>
      </w:r>
    </w:p>
    <w:p w:rsidR="00681CA6" w:rsidRPr="008416D6" w:rsidRDefault="00681CA6" w:rsidP="00681CA6">
      <w:pPr>
        <w:spacing w:before="120" w:after="120" w:line="360" w:lineRule="auto"/>
        <w:ind w:firstLine="709"/>
        <w:rPr>
          <w:rFonts w:ascii="Courier New" w:hAnsi="Courier New" w:cs="Courier New"/>
        </w:rPr>
      </w:pPr>
      <w:r w:rsidRPr="008416D6">
        <w:rPr>
          <w:rFonts w:ascii="Courier New" w:hAnsi="Courier New" w:cs="Courier New"/>
        </w:rPr>
        <w:t>El gasto estimado por la Cámara es un 2% superior a</w:t>
      </w:r>
      <w:r>
        <w:rPr>
          <w:rFonts w:ascii="Courier New" w:hAnsi="Courier New" w:cs="Courier New"/>
        </w:rPr>
        <w:t>l del Gobierno de Navarra.</w:t>
      </w:r>
    </w:p>
    <w:p w:rsidR="00681CA6" w:rsidRDefault="00681CA6" w:rsidP="00681CA6">
      <w:pPr>
        <w:spacing w:before="120" w:after="120" w:line="360" w:lineRule="auto"/>
        <w:ind w:firstLine="709"/>
        <w:rPr>
          <w:rFonts w:ascii="Courier New" w:hAnsi="Courier New" w:cs="Courier New"/>
        </w:rPr>
      </w:pPr>
      <w:r w:rsidRPr="008416D6">
        <w:rPr>
          <w:rFonts w:ascii="Courier New" w:hAnsi="Courier New" w:cs="Courier New"/>
        </w:rPr>
        <w:t xml:space="preserve">Respecto al módulo </w:t>
      </w:r>
      <w:r>
        <w:rPr>
          <w:rFonts w:ascii="Courier New" w:hAnsi="Courier New" w:cs="Courier New"/>
        </w:rPr>
        <w:t>de la plaza residencial de mayores</w:t>
      </w:r>
      <w:r w:rsidRPr="008416D6">
        <w:rPr>
          <w:rFonts w:ascii="Courier New" w:hAnsi="Courier New" w:cs="Courier New"/>
        </w:rPr>
        <w:t xml:space="preserve"> calculado por el Gobierno de Navarra, es necesario indicar</w:t>
      </w:r>
      <w:r>
        <w:rPr>
          <w:rFonts w:ascii="Courier New" w:hAnsi="Courier New" w:cs="Courier New"/>
        </w:rPr>
        <w:t xml:space="preserve"> que los cálculos se hicieron</w:t>
      </w:r>
      <w:r w:rsidRPr="008416D6">
        <w:rPr>
          <w:rFonts w:ascii="Courier New" w:hAnsi="Courier New" w:cs="Courier New"/>
        </w:rPr>
        <w:t xml:space="preserve"> aplicando los precios/hora utilizados </w:t>
      </w:r>
      <w:r>
        <w:rPr>
          <w:rFonts w:ascii="Courier New" w:hAnsi="Courier New" w:cs="Courier New"/>
        </w:rPr>
        <w:t>para</w:t>
      </w:r>
      <w:r w:rsidRPr="008416D6">
        <w:rPr>
          <w:rFonts w:ascii="Courier New" w:hAnsi="Courier New" w:cs="Courier New"/>
        </w:rPr>
        <w:t xml:space="preserve"> todas las residencias del pr</w:t>
      </w:r>
      <w:r w:rsidRPr="008416D6">
        <w:rPr>
          <w:rFonts w:ascii="Courier New" w:hAnsi="Courier New" w:cs="Courier New"/>
        </w:rPr>
        <w:t>o</w:t>
      </w:r>
      <w:r w:rsidRPr="008416D6">
        <w:rPr>
          <w:rFonts w:ascii="Courier New" w:hAnsi="Courier New" w:cs="Courier New"/>
        </w:rPr>
        <w:t>grama R</w:t>
      </w:r>
      <w:r>
        <w:rPr>
          <w:rFonts w:ascii="Courier New" w:hAnsi="Courier New" w:cs="Courier New"/>
        </w:rPr>
        <w:t>esiden, al igual que los gastos por usuario</w:t>
      </w:r>
      <w:r w:rsidRPr="008416D6">
        <w:rPr>
          <w:rFonts w:ascii="Courier New" w:hAnsi="Courier New" w:cs="Courier New"/>
        </w:rPr>
        <w:t xml:space="preserve">, es decir, no fueron calculados a partir de </w:t>
      </w:r>
      <w:r>
        <w:rPr>
          <w:rFonts w:ascii="Courier New" w:hAnsi="Courier New" w:cs="Courier New"/>
        </w:rPr>
        <w:t xml:space="preserve">los </w:t>
      </w:r>
      <w:r w:rsidRPr="008416D6">
        <w:rPr>
          <w:rFonts w:ascii="Courier New" w:hAnsi="Courier New" w:cs="Courier New"/>
        </w:rPr>
        <w:t xml:space="preserve">costes reales de </w:t>
      </w:r>
      <w:r>
        <w:rPr>
          <w:rFonts w:ascii="Courier New" w:hAnsi="Courier New" w:cs="Courier New"/>
        </w:rPr>
        <w:t>la residencia de la Mancom</w:t>
      </w:r>
      <w:r>
        <w:rPr>
          <w:rFonts w:ascii="Courier New" w:hAnsi="Courier New" w:cs="Courier New"/>
        </w:rPr>
        <w:t>u</w:t>
      </w:r>
      <w:r>
        <w:rPr>
          <w:rFonts w:ascii="Courier New" w:hAnsi="Courier New" w:cs="Courier New"/>
        </w:rPr>
        <w:t xml:space="preserve">nidad de </w:t>
      </w:r>
      <w:proofErr w:type="spellStart"/>
      <w:r>
        <w:rPr>
          <w:rFonts w:ascii="Courier New" w:hAnsi="Courier New" w:cs="Courier New"/>
        </w:rPr>
        <w:t>Lumbier</w:t>
      </w:r>
      <w:proofErr w:type="spellEnd"/>
      <w:r>
        <w:rPr>
          <w:rFonts w:ascii="Courier New" w:hAnsi="Courier New" w:cs="Courier New"/>
        </w:rPr>
        <w:t>. En cualquier</w:t>
      </w:r>
      <w:r w:rsidRPr="008416D6">
        <w:rPr>
          <w:rFonts w:ascii="Courier New" w:hAnsi="Courier New" w:cs="Courier New"/>
        </w:rPr>
        <w:t xml:space="preserve"> caso, al tratarse de un procedimiento</w:t>
      </w:r>
      <w:r>
        <w:rPr>
          <w:rFonts w:ascii="Courier New" w:hAnsi="Courier New" w:cs="Courier New"/>
        </w:rPr>
        <w:t xml:space="preserve"> de adjudicación</w:t>
      </w:r>
      <w:r w:rsidRPr="008416D6">
        <w:rPr>
          <w:rFonts w:ascii="Courier New" w:hAnsi="Courier New" w:cs="Courier New"/>
        </w:rPr>
        <w:t xml:space="preserve"> negociado</w:t>
      </w:r>
      <w:r>
        <w:rPr>
          <w:rFonts w:ascii="Courier New" w:hAnsi="Courier New" w:cs="Courier New"/>
        </w:rPr>
        <w:t xml:space="preserve"> sin publicidad</w:t>
      </w:r>
      <w:r w:rsidRPr="008416D6">
        <w:rPr>
          <w:rFonts w:ascii="Courier New" w:hAnsi="Courier New" w:cs="Courier New"/>
        </w:rPr>
        <w:t>, la residencia dio su conformidad al módulo propuesto.</w:t>
      </w:r>
    </w:p>
    <w:p w:rsidR="00681CA6" w:rsidRPr="00D015B5" w:rsidRDefault="00681CA6" w:rsidP="00681CA6">
      <w:pPr>
        <w:pStyle w:val="Prrafodelista"/>
        <w:numPr>
          <w:ilvl w:val="0"/>
          <w:numId w:val="41"/>
        </w:numPr>
        <w:spacing w:before="120" w:after="120" w:line="360" w:lineRule="auto"/>
        <w:rPr>
          <w:rFonts w:ascii="Courier New" w:hAnsi="Courier New" w:cs="Courier New"/>
        </w:rPr>
      </w:pPr>
      <w:proofErr w:type="spellStart"/>
      <w:r w:rsidRPr="00D015B5">
        <w:rPr>
          <w:rFonts w:ascii="Courier New" w:hAnsi="Courier New" w:cs="Courier New"/>
        </w:rPr>
        <w:t>Subapartado</w:t>
      </w:r>
      <w:proofErr w:type="spellEnd"/>
      <w:r w:rsidRPr="00D015B5">
        <w:rPr>
          <w:rFonts w:ascii="Courier New" w:hAnsi="Courier New" w:cs="Courier New"/>
        </w:rPr>
        <w:t xml:space="preserve"> IV.10.2. Gasto por plaza </w:t>
      </w:r>
      <w:proofErr w:type="spellStart"/>
      <w:r>
        <w:rPr>
          <w:rFonts w:ascii="Courier New" w:hAnsi="Courier New" w:cs="Courier New"/>
        </w:rPr>
        <w:t>p</w:t>
      </w:r>
      <w:r w:rsidRPr="00D015B5">
        <w:rPr>
          <w:rFonts w:ascii="Courier New" w:hAnsi="Courier New" w:cs="Courier New"/>
        </w:rPr>
        <w:t>sicogeriátric</w:t>
      </w:r>
      <w:r>
        <w:rPr>
          <w:rFonts w:ascii="Courier New" w:hAnsi="Courier New" w:cs="Courier New"/>
        </w:rPr>
        <w:t>a</w:t>
      </w:r>
      <w:proofErr w:type="spellEnd"/>
      <w:r w:rsidRPr="00D015B5">
        <w:rPr>
          <w:rFonts w:ascii="Courier New" w:hAnsi="Courier New" w:cs="Courier New"/>
        </w:rPr>
        <w:t>.</w:t>
      </w:r>
    </w:p>
    <w:p w:rsidR="00681CA6" w:rsidRPr="008416D6" w:rsidRDefault="00681CA6" w:rsidP="00681CA6">
      <w:pPr>
        <w:spacing w:before="120" w:after="120" w:line="360" w:lineRule="auto"/>
        <w:ind w:firstLine="709"/>
        <w:rPr>
          <w:rFonts w:ascii="Courier New" w:hAnsi="Courier New" w:cs="Courier New"/>
        </w:rPr>
      </w:pPr>
      <w:r w:rsidRPr="008416D6">
        <w:rPr>
          <w:rFonts w:ascii="Courier New" w:hAnsi="Courier New" w:cs="Courier New"/>
        </w:rPr>
        <w:t xml:space="preserve">En este caso, al no estar desglosada la estimación de la Cámara de Comptos </w:t>
      </w:r>
      <w:r>
        <w:rPr>
          <w:rFonts w:ascii="Courier New" w:hAnsi="Courier New" w:cs="Courier New"/>
        </w:rPr>
        <w:t>del coste de</w:t>
      </w:r>
      <w:r w:rsidRPr="008416D6">
        <w:rPr>
          <w:rFonts w:ascii="Courier New" w:hAnsi="Courier New" w:cs="Courier New"/>
        </w:rPr>
        <w:t xml:space="preserve"> la parte social y sanitaria, no podemos saber a qué es debido el 1% de diferencia existente entre sus estimaciones y los</w:t>
      </w:r>
      <w:r>
        <w:rPr>
          <w:rFonts w:ascii="Courier New" w:hAnsi="Courier New" w:cs="Courier New"/>
        </w:rPr>
        <w:t xml:space="preserve"> co</w:t>
      </w:r>
      <w:r>
        <w:rPr>
          <w:rFonts w:ascii="Courier New" w:hAnsi="Courier New" w:cs="Courier New"/>
        </w:rPr>
        <w:t>s</w:t>
      </w:r>
      <w:r>
        <w:rPr>
          <w:rFonts w:ascii="Courier New" w:hAnsi="Courier New" w:cs="Courier New"/>
        </w:rPr>
        <w:t>tes de los</w:t>
      </w:r>
      <w:r w:rsidRPr="008416D6">
        <w:rPr>
          <w:rFonts w:ascii="Courier New" w:hAnsi="Courier New" w:cs="Courier New"/>
        </w:rPr>
        <w:t xml:space="preserve"> módulos del Gobierno de Navarra.</w:t>
      </w:r>
    </w:p>
    <w:p w:rsidR="00681CA6" w:rsidRPr="008416D6" w:rsidRDefault="00681CA6" w:rsidP="00681CA6">
      <w:pPr>
        <w:spacing w:before="120" w:after="120" w:line="360" w:lineRule="auto"/>
        <w:ind w:firstLine="709"/>
        <w:rPr>
          <w:rFonts w:ascii="Courier New" w:hAnsi="Courier New" w:cs="Courier New"/>
        </w:rPr>
      </w:pPr>
      <w:r w:rsidRPr="008416D6">
        <w:rPr>
          <w:rFonts w:ascii="Courier New" w:hAnsi="Courier New" w:cs="Courier New"/>
        </w:rPr>
        <w:t xml:space="preserve">En cuanto al módulo del </w:t>
      </w:r>
      <w:r>
        <w:rPr>
          <w:rFonts w:ascii="Courier New" w:hAnsi="Courier New" w:cs="Courier New"/>
        </w:rPr>
        <w:t>D</w:t>
      </w:r>
      <w:r w:rsidRPr="008416D6">
        <w:rPr>
          <w:rFonts w:ascii="Courier New" w:hAnsi="Courier New" w:cs="Courier New"/>
        </w:rPr>
        <w:t>epartamento de Derechos Sociales de psic</w:t>
      </w:r>
      <w:r w:rsidRPr="008416D6">
        <w:rPr>
          <w:rFonts w:ascii="Courier New" w:hAnsi="Courier New" w:cs="Courier New"/>
        </w:rPr>
        <w:t>o</w:t>
      </w:r>
      <w:r w:rsidRPr="008416D6">
        <w:rPr>
          <w:rFonts w:ascii="Courier New" w:hAnsi="Courier New" w:cs="Courier New"/>
        </w:rPr>
        <w:t>geriatría (2.050,69 €), a diferencia del de la residencia de mayores, fue calculado teniendo en cuenta los costes reales de la residencia (de ga</w:t>
      </w:r>
      <w:r w:rsidRPr="008416D6">
        <w:rPr>
          <w:rFonts w:ascii="Courier New" w:hAnsi="Courier New" w:cs="Courier New"/>
        </w:rPr>
        <w:t>s</w:t>
      </w:r>
      <w:r w:rsidRPr="008416D6">
        <w:rPr>
          <w:rFonts w:ascii="Courier New" w:hAnsi="Courier New" w:cs="Courier New"/>
        </w:rPr>
        <w:t>tos de personal) y una estimación de “otros gastos”, teniendo en cuenta los realmente habidos en los últimos cuatro años e imputando de form</w:t>
      </w:r>
      <w:r>
        <w:rPr>
          <w:rFonts w:ascii="Courier New" w:hAnsi="Courier New" w:cs="Courier New"/>
        </w:rPr>
        <w:t>a consensuada con la residencia</w:t>
      </w:r>
      <w:r w:rsidRPr="008416D6">
        <w:rPr>
          <w:rFonts w:ascii="Courier New" w:hAnsi="Courier New" w:cs="Courier New"/>
        </w:rPr>
        <w:t xml:space="preserve"> una parte de ellos al</w:t>
      </w:r>
      <w:r>
        <w:rPr>
          <w:rFonts w:ascii="Courier New" w:hAnsi="Courier New" w:cs="Courier New"/>
        </w:rPr>
        <w:t xml:space="preserve"> centro</w:t>
      </w:r>
      <w:r w:rsidRPr="008416D6">
        <w:rPr>
          <w:rFonts w:ascii="Courier New" w:hAnsi="Courier New" w:cs="Courier New"/>
        </w:rPr>
        <w:t xml:space="preserve"> </w:t>
      </w:r>
      <w:proofErr w:type="spellStart"/>
      <w:r w:rsidRPr="008416D6">
        <w:rPr>
          <w:rFonts w:ascii="Courier New" w:hAnsi="Courier New" w:cs="Courier New"/>
        </w:rPr>
        <w:t>psicogeriátr</w:t>
      </w:r>
      <w:r w:rsidRPr="008416D6">
        <w:rPr>
          <w:rFonts w:ascii="Courier New" w:hAnsi="Courier New" w:cs="Courier New"/>
        </w:rPr>
        <w:t>i</w:t>
      </w:r>
      <w:r w:rsidRPr="008416D6">
        <w:rPr>
          <w:rFonts w:ascii="Courier New" w:hAnsi="Courier New" w:cs="Courier New"/>
        </w:rPr>
        <w:t>co</w:t>
      </w:r>
      <w:proofErr w:type="spellEnd"/>
      <w:r w:rsidRPr="008416D6">
        <w:rPr>
          <w:rFonts w:ascii="Courier New" w:hAnsi="Courier New" w:cs="Courier New"/>
        </w:rPr>
        <w:t xml:space="preserve"> y otra a la residencia de mayores. </w:t>
      </w:r>
    </w:p>
    <w:p w:rsidR="00681CA6" w:rsidRPr="00D015B5" w:rsidRDefault="00681CA6" w:rsidP="00681CA6">
      <w:pPr>
        <w:pStyle w:val="Prrafodelista"/>
        <w:numPr>
          <w:ilvl w:val="0"/>
          <w:numId w:val="41"/>
        </w:numPr>
        <w:spacing w:before="120" w:after="120" w:line="360" w:lineRule="auto"/>
        <w:rPr>
          <w:rFonts w:ascii="Courier New" w:hAnsi="Courier New" w:cs="Courier New"/>
        </w:rPr>
      </w:pPr>
      <w:proofErr w:type="spellStart"/>
      <w:r w:rsidRPr="00D015B5">
        <w:rPr>
          <w:rFonts w:ascii="Courier New" w:hAnsi="Courier New" w:cs="Courier New"/>
        </w:rPr>
        <w:t>Subapartado</w:t>
      </w:r>
      <w:proofErr w:type="spellEnd"/>
      <w:r w:rsidRPr="00D015B5">
        <w:rPr>
          <w:rFonts w:ascii="Courier New" w:hAnsi="Courier New" w:cs="Courier New"/>
        </w:rPr>
        <w:t xml:space="preserve"> IV.10.3. Otros Indicadores</w:t>
      </w:r>
    </w:p>
    <w:p w:rsidR="00681CA6" w:rsidRPr="008416D6" w:rsidRDefault="00681CA6" w:rsidP="00681CA6">
      <w:pPr>
        <w:spacing w:before="120" w:after="120" w:line="360" w:lineRule="auto"/>
        <w:ind w:firstLine="709"/>
        <w:rPr>
          <w:rFonts w:ascii="Courier New" w:hAnsi="Courier New" w:cs="Courier New"/>
        </w:rPr>
      </w:pPr>
      <w:r>
        <w:rPr>
          <w:rFonts w:ascii="Courier New" w:hAnsi="Courier New" w:cs="Courier New"/>
        </w:rPr>
        <w:t>Por último, e</w:t>
      </w:r>
      <w:r w:rsidRPr="008416D6">
        <w:rPr>
          <w:rFonts w:ascii="Courier New" w:hAnsi="Courier New" w:cs="Courier New"/>
        </w:rPr>
        <w:t>n el párrafo dedicado a ratios de personal es neces</w:t>
      </w:r>
      <w:r w:rsidRPr="008416D6">
        <w:rPr>
          <w:rFonts w:ascii="Courier New" w:hAnsi="Courier New" w:cs="Courier New"/>
        </w:rPr>
        <w:t>a</w:t>
      </w:r>
      <w:r w:rsidRPr="008416D6">
        <w:rPr>
          <w:rFonts w:ascii="Courier New" w:hAnsi="Courier New" w:cs="Courier New"/>
        </w:rPr>
        <w:t xml:space="preserve">rio </w:t>
      </w:r>
      <w:r>
        <w:rPr>
          <w:rFonts w:ascii="Courier New" w:hAnsi="Courier New" w:cs="Courier New"/>
        </w:rPr>
        <w:t>tener en cuenta que</w:t>
      </w:r>
      <w:r w:rsidRPr="008416D6">
        <w:rPr>
          <w:rFonts w:ascii="Courier New" w:hAnsi="Courier New" w:cs="Courier New"/>
        </w:rPr>
        <w:t>:</w:t>
      </w:r>
    </w:p>
    <w:p w:rsidR="00681CA6" w:rsidRDefault="00681CA6" w:rsidP="00681CA6">
      <w:pPr>
        <w:pStyle w:val="Prrafodelista"/>
        <w:numPr>
          <w:ilvl w:val="0"/>
          <w:numId w:val="42"/>
        </w:numPr>
        <w:spacing w:before="120" w:after="120" w:line="360" w:lineRule="auto"/>
        <w:ind w:left="708"/>
        <w:rPr>
          <w:rFonts w:ascii="Courier New" w:hAnsi="Courier New" w:cs="Courier New"/>
        </w:rPr>
      </w:pPr>
      <w:r w:rsidRPr="00A9057F">
        <w:rPr>
          <w:rFonts w:ascii="Courier New" w:hAnsi="Courier New" w:cs="Courier New"/>
        </w:rPr>
        <w:t>El director de la residencia de mayores es compartido con la res</w:t>
      </w:r>
      <w:r w:rsidRPr="00A9057F">
        <w:rPr>
          <w:rFonts w:ascii="Courier New" w:hAnsi="Courier New" w:cs="Courier New"/>
        </w:rPr>
        <w:t>i</w:t>
      </w:r>
      <w:r w:rsidRPr="00A9057F">
        <w:rPr>
          <w:rFonts w:ascii="Courier New" w:hAnsi="Courier New" w:cs="Courier New"/>
        </w:rPr>
        <w:t xml:space="preserve">dencia </w:t>
      </w:r>
      <w:proofErr w:type="spellStart"/>
      <w:r w:rsidRPr="00A9057F">
        <w:rPr>
          <w:rFonts w:ascii="Courier New" w:hAnsi="Courier New" w:cs="Courier New"/>
        </w:rPr>
        <w:t>psicogeriátrica</w:t>
      </w:r>
      <w:proofErr w:type="spellEnd"/>
      <w:r w:rsidRPr="00A9057F">
        <w:rPr>
          <w:rFonts w:ascii="Courier New" w:hAnsi="Courier New" w:cs="Courier New"/>
        </w:rPr>
        <w:t>, por lo que a efectos de concierto se imputa un 75% a la residencia de mayores y un 25% a la</w:t>
      </w:r>
      <w:r>
        <w:rPr>
          <w:rFonts w:ascii="Courier New" w:hAnsi="Courier New" w:cs="Courier New"/>
        </w:rPr>
        <w:t xml:space="preserve"> residencia</w:t>
      </w:r>
      <w:r w:rsidRPr="00A9057F">
        <w:rPr>
          <w:rFonts w:ascii="Courier New" w:hAnsi="Courier New" w:cs="Courier New"/>
        </w:rPr>
        <w:t xml:space="preserve"> </w:t>
      </w:r>
      <w:proofErr w:type="spellStart"/>
      <w:r w:rsidRPr="00A9057F">
        <w:rPr>
          <w:rFonts w:ascii="Courier New" w:hAnsi="Courier New" w:cs="Courier New"/>
        </w:rPr>
        <w:t>psicog</w:t>
      </w:r>
      <w:r w:rsidRPr="00A9057F">
        <w:rPr>
          <w:rFonts w:ascii="Courier New" w:hAnsi="Courier New" w:cs="Courier New"/>
        </w:rPr>
        <w:t>e</w:t>
      </w:r>
      <w:r w:rsidRPr="00A9057F">
        <w:rPr>
          <w:rFonts w:ascii="Courier New" w:hAnsi="Courier New" w:cs="Courier New"/>
        </w:rPr>
        <w:t>riátrica</w:t>
      </w:r>
      <w:proofErr w:type="spellEnd"/>
      <w:r w:rsidRPr="00A9057F">
        <w:rPr>
          <w:rFonts w:ascii="Courier New" w:hAnsi="Courier New" w:cs="Courier New"/>
        </w:rPr>
        <w:t>.</w:t>
      </w:r>
    </w:p>
    <w:p w:rsidR="00681CA6" w:rsidRPr="00A9057F" w:rsidRDefault="00681CA6" w:rsidP="00681CA6">
      <w:pPr>
        <w:pStyle w:val="Prrafodelista"/>
        <w:numPr>
          <w:ilvl w:val="0"/>
          <w:numId w:val="42"/>
        </w:numPr>
        <w:spacing w:before="120" w:after="120" w:line="360" w:lineRule="auto"/>
        <w:ind w:left="708"/>
        <w:rPr>
          <w:rFonts w:ascii="Courier New" w:hAnsi="Courier New" w:cs="Courier New"/>
        </w:rPr>
      </w:pPr>
      <w:r w:rsidRPr="00A9057F">
        <w:rPr>
          <w:rFonts w:ascii="Courier New" w:hAnsi="Courier New" w:cs="Courier New"/>
        </w:rPr>
        <w:t xml:space="preserve">Trabajador Social: En el pliego de las plazas de psicogeriatría, se exigía 0.66 personas equivalentes, de las cuales, se imputó 0,17 personas equivalentes a las plazas </w:t>
      </w:r>
      <w:proofErr w:type="spellStart"/>
      <w:r w:rsidRPr="00A9057F">
        <w:rPr>
          <w:rFonts w:ascii="Courier New" w:hAnsi="Courier New" w:cs="Courier New"/>
        </w:rPr>
        <w:t>psicogeriátricas</w:t>
      </w:r>
      <w:proofErr w:type="spellEnd"/>
      <w:r w:rsidRPr="00A9057F">
        <w:rPr>
          <w:rFonts w:ascii="Courier New" w:hAnsi="Courier New" w:cs="Courier New"/>
        </w:rPr>
        <w:t xml:space="preserve"> y 0,49 a la r</w:t>
      </w:r>
      <w:r w:rsidRPr="00A9057F">
        <w:rPr>
          <w:rFonts w:ascii="Courier New" w:hAnsi="Courier New" w:cs="Courier New"/>
        </w:rPr>
        <w:t>e</w:t>
      </w:r>
      <w:r w:rsidRPr="00A9057F">
        <w:rPr>
          <w:rFonts w:ascii="Courier New" w:hAnsi="Courier New" w:cs="Courier New"/>
        </w:rPr>
        <w:t>sidencia de mayores. La ocupación en ese momento tenida en cuenta fue de 59  plazas de personas dependientes, 28 de personas no d</w:t>
      </w:r>
      <w:r w:rsidRPr="00A9057F">
        <w:rPr>
          <w:rFonts w:ascii="Courier New" w:hAnsi="Courier New" w:cs="Courier New"/>
        </w:rPr>
        <w:t>e</w:t>
      </w:r>
      <w:r w:rsidRPr="00A9057F">
        <w:rPr>
          <w:rFonts w:ascii="Courier New" w:hAnsi="Courier New" w:cs="Courier New"/>
        </w:rPr>
        <w:t xml:space="preserve">pendientes y 30 usuarios de psicogeriatría. </w:t>
      </w:r>
    </w:p>
    <w:p w:rsidR="00681CA6" w:rsidRPr="008416D6" w:rsidRDefault="00681CA6" w:rsidP="00681CA6">
      <w:pPr>
        <w:spacing w:before="120" w:after="120" w:line="360" w:lineRule="auto"/>
        <w:ind w:left="708"/>
        <w:rPr>
          <w:rFonts w:ascii="Courier New" w:hAnsi="Courier New" w:cs="Courier New"/>
        </w:rPr>
      </w:pPr>
      <w:r>
        <w:rPr>
          <w:rFonts w:ascii="Courier New" w:hAnsi="Courier New" w:cs="Courier New"/>
        </w:rPr>
        <w:t>-</w:t>
      </w:r>
      <w:r w:rsidRPr="008416D6">
        <w:rPr>
          <w:rFonts w:ascii="Courier New" w:hAnsi="Courier New" w:cs="Courier New"/>
        </w:rPr>
        <w:t>En el contrato de la residencia de mayores se exigía un ratio de dependiente de 6</w:t>
      </w:r>
      <w:r>
        <w:rPr>
          <w:rFonts w:ascii="Courier New" w:hAnsi="Courier New" w:cs="Courier New"/>
        </w:rPr>
        <w:t>,</w:t>
      </w:r>
      <w:r w:rsidRPr="008416D6">
        <w:rPr>
          <w:rFonts w:ascii="Courier New" w:hAnsi="Courier New" w:cs="Courier New"/>
        </w:rPr>
        <w:t>66 h</w:t>
      </w:r>
      <w:r>
        <w:rPr>
          <w:rFonts w:ascii="Courier New" w:hAnsi="Courier New" w:cs="Courier New"/>
        </w:rPr>
        <w:t>oras</w:t>
      </w:r>
      <w:r w:rsidRPr="008416D6">
        <w:rPr>
          <w:rFonts w:ascii="Courier New" w:hAnsi="Courier New" w:cs="Courier New"/>
        </w:rPr>
        <w:t>/usuario dependiente/año y de 8,49 h</w:t>
      </w:r>
      <w:r>
        <w:rPr>
          <w:rFonts w:ascii="Courier New" w:hAnsi="Courier New" w:cs="Courier New"/>
        </w:rPr>
        <w:t>o</w:t>
      </w:r>
      <w:r>
        <w:rPr>
          <w:rFonts w:ascii="Courier New" w:hAnsi="Courier New" w:cs="Courier New"/>
        </w:rPr>
        <w:t>ras</w:t>
      </w:r>
      <w:r w:rsidRPr="008416D6">
        <w:rPr>
          <w:rFonts w:ascii="Courier New" w:hAnsi="Courier New" w:cs="Courier New"/>
        </w:rPr>
        <w:t>/usuario no dependiente/año. En este momento, los usuarios de la residencia eran 61 dependientes y 18 no dependientes.</w:t>
      </w:r>
    </w:p>
    <w:p w:rsidR="00681CA6" w:rsidRPr="008416D6" w:rsidRDefault="00681CA6" w:rsidP="00681CA6">
      <w:pPr>
        <w:spacing w:before="120" w:after="120" w:line="360" w:lineRule="auto"/>
        <w:ind w:left="708"/>
        <w:rPr>
          <w:rFonts w:ascii="Courier New" w:hAnsi="Courier New" w:cs="Courier New"/>
        </w:rPr>
      </w:pPr>
      <w:r>
        <w:rPr>
          <w:rFonts w:ascii="Courier New" w:hAnsi="Courier New" w:cs="Courier New"/>
        </w:rPr>
        <w:t xml:space="preserve">- </w:t>
      </w:r>
      <w:r w:rsidRPr="008416D6">
        <w:rPr>
          <w:rFonts w:ascii="Courier New" w:hAnsi="Courier New" w:cs="Courier New"/>
        </w:rPr>
        <w:t xml:space="preserve">Las exigencias en la residencia de mayores de los perfiles de enfermería, fisioterapeuta, </w:t>
      </w:r>
      <w:r>
        <w:rPr>
          <w:rFonts w:ascii="Courier New" w:hAnsi="Courier New" w:cs="Courier New"/>
        </w:rPr>
        <w:t>t</w:t>
      </w:r>
      <w:r w:rsidRPr="008416D6">
        <w:rPr>
          <w:rFonts w:ascii="Courier New" w:hAnsi="Courier New" w:cs="Courier New"/>
        </w:rPr>
        <w:t>erapia ocupacional, trabajador s</w:t>
      </w:r>
      <w:r w:rsidRPr="008416D6">
        <w:rPr>
          <w:rFonts w:ascii="Courier New" w:hAnsi="Courier New" w:cs="Courier New"/>
        </w:rPr>
        <w:t>o</w:t>
      </w:r>
      <w:r w:rsidRPr="008416D6">
        <w:rPr>
          <w:rFonts w:ascii="Courier New" w:hAnsi="Courier New" w:cs="Courier New"/>
        </w:rPr>
        <w:t>cial, auxiliar de ocio y cuidador son en horas/usuario/año, siendo diferente el ratio de</w:t>
      </w:r>
      <w:r>
        <w:rPr>
          <w:rFonts w:ascii="Courier New" w:hAnsi="Courier New" w:cs="Courier New"/>
        </w:rPr>
        <w:t xml:space="preserve"> persona</w:t>
      </w:r>
      <w:r w:rsidRPr="008416D6">
        <w:rPr>
          <w:rFonts w:ascii="Courier New" w:hAnsi="Courier New" w:cs="Courier New"/>
        </w:rPr>
        <w:t xml:space="preserve"> dependiente </w:t>
      </w:r>
      <w:r>
        <w:rPr>
          <w:rFonts w:ascii="Courier New" w:hAnsi="Courier New" w:cs="Courier New"/>
        </w:rPr>
        <w:t>al</w:t>
      </w:r>
      <w:r w:rsidRPr="008416D6">
        <w:rPr>
          <w:rFonts w:ascii="Courier New" w:hAnsi="Courier New" w:cs="Courier New"/>
        </w:rPr>
        <w:t xml:space="preserve"> de no dependiente, por lo que para saber exactamente si se</w:t>
      </w:r>
      <w:r>
        <w:rPr>
          <w:rFonts w:ascii="Courier New" w:hAnsi="Courier New" w:cs="Courier New"/>
        </w:rPr>
        <w:t xml:space="preserve"> cumple o no se cumple el co</w:t>
      </w:r>
      <w:r>
        <w:rPr>
          <w:rFonts w:ascii="Courier New" w:hAnsi="Courier New" w:cs="Courier New"/>
        </w:rPr>
        <w:t>n</w:t>
      </w:r>
      <w:r>
        <w:rPr>
          <w:rFonts w:ascii="Courier New" w:hAnsi="Courier New" w:cs="Courier New"/>
        </w:rPr>
        <w:t>trato</w:t>
      </w:r>
      <w:r w:rsidRPr="008416D6">
        <w:rPr>
          <w:rFonts w:ascii="Courier New" w:hAnsi="Courier New" w:cs="Courier New"/>
        </w:rPr>
        <w:t xml:space="preserve"> es necesario </w:t>
      </w:r>
      <w:r>
        <w:rPr>
          <w:rFonts w:ascii="Courier New" w:hAnsi="Courier New" w:cs="Courier New"/>
        </w:rPr>
        <w:t>conocer</w:t>
      </w:r>
      <w:r w:rsidRPr="008416D6">
        <w:rPr>
          <w:rFonts w:ascii="Courier New" w:hAnsi="Courier New" w:cs="Courier New"/>
        </w:rPr>
        <w:t xml:space="preserve"> el número de </w:t>
      </w:r>
      <w:r>
        <w:rPr>
          <w:rFonts w:ascii="Courier New" w:hAnsi="Courier New" w:cs="Courier New"/>
        </w:rPr>
        <w:t xml:space="preserve">personas </w:t>
      </w:r>
      <w:r w:rsidRPr="008416D6">
        <w:rPr>
          <w:rFonts w:ascii="Courier New" w:hAnsi="Courier New" w:cs="Courier New"/>
        </w:rPr>
        <w:t>dependientes y de no dependientes a lo largo del año, puesto que la exigencia varía dependiendo de ello.</w:t>
      </w:r>
    </w:p>
    <w:p w:rsidR="00681CA6" w:rsidRDefault="00681CA6" w:rsidP="00681CA6">
      <w:pPr>
        <w:spacing w:before="120" w:after="120" w:line="360" w:lineRule="auto"/>
        <w:ind w:left="720" w:firstLine="709"/>
        <w:rPr>
          <w:rFonts w:ascii="Courier New" w:hAnsi="Courier New" w:cs="Courier New"/>
        </w:rPr>
      </w:pPr>
      <w:r w:rsidRPr="00D015B5">
        <w:rPr>
          <w:rFonts w:ascii="Courier New" w:hAnsi="Courier New" w:cs="Courier New"/>
        </w:rPr>
        <w:t>En pamplona, a 15 de febrero de 2017</w:t>
      </w:r>
    </w:p>
    <w:p w:rsidR="00681CA6" w:rsidRPr="00D015B5" w:rsidRDefault="00681CA6" w:rsidP="00681CA6">
      <w:pPr>
        <w:spacing w:before="120" w:after="120" w:line="360" w:lineRule="auto"/>
        <w:ind w:left="720" w:firstLine="709"/>
        <w:jc w:val="center"/>
        <w:rPr>
          <w:rFonts w:ascii="Courier New" w:hAnsi="Courier New" w:cs="Courier New"/>
        </w:rPr>
      </w:pPr>
      <w:r w:rsidRPr="00D015B5">
        <w:rPr>
          <w:rFonts w:ascii="Courier New" w:hAnsi="Courier New" w:cs="Courier New"/>
        </w:rPr>
        <w:t>La Directora Gerente de la ANADP</w:t>
      </w:r>
      <w:r>
        <w:rPr>
          <w:rFonts w:ascii="Courier New" w:hAnsi="Courier New" w:cs="Courier New"/>
        </w:rPr>
        <w:t xml:space="preserve">: </w:t>
      </w:r>
      <w:r w:rsidRPr="00D015B5">
        <w:rPr>
          <w:rFonts w:ascii="Courier New" w:hAnsi="Courier New" w:cs="Courier New"/>
        </w:rPr>
        <w:t>Inés Francés Román</w:t>
      </w:r>
    </w:p>
    <w:p w:rsidR="00D003A6" w:rsidRDefault="00D003A6" w:rsidP="005B3459"/>
    <w:p w:rsidR="00D003A6" w:rsidRDefault="00D003A6" w:rsidP="00783F3D">
      <w:pPr>
        <w:pStyle w:val="atitulo2"/>
        <w:ind w:left="2268"/>
      </w:pPr>
    </w:p>
    <w:p w:rsidR="00D003A6" w:rsidRDefault="00D003A6" w:rsidP="00783F3D">
      <w:pPr>
        <w:pStyle w:val="atitulo2"/>
        <w:ind w:left="2268"/>
      </w:pPr>
    </w:p>
    <w:p w:rsidR="00D003A6" w:rsidRDefault="00D003A6">
      <w:pPr>
        <w:spacing w:after="0"/>
        <w:ind w:firstLine="0"/>
        <w:jc w:val="left"/>
        <w:rPr>
          <w:rFonts w:ascii="Arial" w:hAnsi="Arial"/>
          <w:bCs/>
          <w:iCs/>
          <w:color w:val="000000"/>
          <w:spacing w:val="10"/>
          <w:kern w:val="28"/>
          <w:sz w:val="25"/>
          <w:szCs w:val="26"/>
        </w:rPr>
      </w:pPr>
      <w:r>
        <w:br w:type="page"/>
      </w:r>
    </w:p>
    <w:p w:rsidR="00D003A6" w:rsidRDefault="00D003A6" w:rsidP="00575A3F">
      <w:pPr>
        <w:pStyle w:val="atitulo1"/>
      </w:pPr>
      <w:bookmarkStart w:id="45" w:name="_Toc475093105"/>
      <w:r>
        <w:t>Contestación de la Cámara de Comptos a las alegaciones presentadas por la Agencia Navarra de Autonomía y Desarrollo de las Personas (D</w:t>
      </w:r>
      <w:r>
        <w:t>e</w:t>
      </w:r>
      <w:r>
        <w:t>partamento de Derechos Sociales)</w:t>
      </w:r>
      <w:bookmarkEnd w:id="45"/>
    </w:p>
    <w:p w:rsidR="00D003A6" w:rsidRPr="00D003A6" w:rsidRDefault="00D003A6" w:rsidP="00D003A6">
      <w:pPr>
        <w:spacing w:after="200" w:line="276" w:lineRule="auto"/>
        <w:ind w:firstLine="0"/>
        <w:rPr>
          <w:rFonts w:ascii="Arial" w:eastAsiaTheme="minorHAnsi" w:hAnsi="Arial" w:cs="Arial"/>
          <w:sz w:val="24"/>
          <w:szCs w:val="24"/>
        </w:rPr>
      </w:pPr>
      <w:r w:rsidRPr="00D003A6">
        <w:rPr>
          <w:rFonts w:ascii="Arial" w:eastAsiaTheme="minorHAnsi" w:hAnsi="Arial" w:cs="Arial"/>
          <w:sz w:val="24"/>
          <w:szCs w:val="24"/>
        </w:rPr>
        <w:t>Recibidas las alegaciones citadas y dado que las mismas no afectan al contenido del informe provisional, éste se eleva a definitivo.</w:t>
      </w:r>
    </w:p>
    <w:p w:rsidR="00D003A6" w:rsidRPr="00D003A6" w:rsidRDefault="00D003A6" w:rsidP="00D003A6">
      <w:pPr>
        <w:spacing w:after="200" w:line="276" w:lineRule="auto"/>
        <w:ind w:firstLine="0"/>
        <w:rPr>
          <w:rFonts w:ascii="Arial" w:eastAsiaTheme="minorHAnsi" w:hAnsi="Arial" w:cs="Arial"/>
          <w:sz w:val="24"/>
          <w:szCs w:val="24"/>
        </w:rPr>
      </w:pPr>
      <w:r w:rsidRPr="00D003A6">
        <w:rPr>
          <w:rFonts w:ascii="Arial" w:eastAsiaTheme="minorHAnsi" w:hAnsi="Arial" w:cs="Arial"/>
          <w:sz w:val="24"/>
          <w:szCs w:val="24"/>
        </w:rPr>
        <w:t>No obstante, queremos hacer las siguientes precisiones:</w:t>
      </w:r>
    </w:p>
    <w:p w:rsidR="00D003A6" w:rsidRDefault="00D003A6" w:rsidP="00D003A6">
      <w:pPr>
        <w:numPr>
          <w:ilvl w:val="0"/>
          <w:numId w:val="28"/>
        </w:numPr>
        <w:spacing w:before="120" w:after="240" w:line="276" w:lineRule="auto"/>
        <w:ind w:left="714" w:hanging="357"/>
        <w:contextualSpacing/>
        <w:jc w:val="left"/>
        <w:rPr>
          <w:rFonts w:ascii="Arial" w:eastAsiaTheme="minorHAnsi" w:hAnsi="Arial" w:cs="Arial"/>
          <w:sz w:val="24"/>
          <w:szCs w:val="24"/>
        </w:rPr>
      </w:pPr>
      <w:r w:rsidRPr="00D003A6">
        <w:rPr>
          <w:rFonts w:ascii="Arial" w:eastAsiaTheme="minorHAnsi" w:hAnsi="Arial" w:cs="Arial"/>
          <w:sz w:val="24"/>
          <w:szCs w:val="24"/>
        </w:rPr>
        <w:t>Sobre la primera alegación apartado a). Los datos que incluye el informe de esta Cámara contemplan tanto los ingresos de la ANADP como del Depa</w:t>
      </w:r>
      <w:r w:rsidRPr="00D003A6">
        <w:rPr>
          <w:rFonts w:ascii="Arial" w:eastAsiaTheme="minorHAnsi" w:hAnsi="Arial" w:cs="Arial"/>
          <w:sz w:val="24"/>
          <w:szCs w:val="24"/>
        </w:rPr>
        <w:t>r</w:t>
      </w:r>
      <w:r w:rsidRPr="00D003A6">
        <w:rPr>
          <w:rFonts w:ascii="Arial" w:eastAsiaTheme="minorHAnsi" w:hAnsi="Arial" w:cs="Arial"/>
          <w:sz w:val="24"/>
          <w:szCs w:val="24"/>
        </w:rPr>
        <w:t>tamento de Salud. En la alegación se limitan solo a los primeros.</w:t>
      </w:r>
    </w:p>
    <w:p w:rsidR="00D003A6" w:rsidRPr="00D003A6" w:rsidRDefault="00D003A6" w:rsidP="00D003A6">
      <w:pPr>
        <w:spacing w:before="120" w:after="240" w:line="276" w:lineRule="auto"/>
        <w:ind w:left="357" w:firstLine="0"/>
        <w:contextualSpacing/>
        <w:jc w:val="left"/>
        <w:rPr>
          <w:rFonts w:ascii="Arial" w:eastAsiaTheme="minorHAnsi" w:hAnsi="Arial" w:cs="Arial"/>
          <w:sz w:val="24"/>
          <w:szCs w:val="24"/>
        </w:rPr>
      </w:pPr>
    </w:p>
    <w:p w:rsidR="00D003A6" w:rsidRDefault="00D003A6" w:rsidP="00D003A6">
      <w:pPr>
        <w:numPr>
          <w:ilvl w:val="0"/>
          <w:numId w:val="28"/>
        </w:numPr>
        <w:spacing w:before="120" w:after="240" w:line="276" w:lineRule="auto"/>
        <w:ind w:left="714" w:hanging="357"/>
        <w:contextualSpacing/>
        <w:jc w:val="left"/>
        <w:rPr>
          <w:rFonts w:ascii="Arial" w:eastAsiaTheme="minorHAnsi" w:hAnsi="Arial" w:cs="Arial"/>
          <w:sz w:val="24"/>
          <w:szCs w:val="24"/>
        </w:rPr>
      </w:pPr>
      <w:r w:rsidRPr="00D003A6">
        <w:rPr>
          <w:rFonts w:ascii="Arial" w:eastAsiaTheme="minorHAnsi" w:hAnsi="Arial" w:cs="Arial"/>
          <w:sz w:val="24"/>
          <w:szCs w:val="24"/>
        </w:rPr>
        <w:t>Sobre la primera alegación apartado b). El objetivo que se perseguía con los cálculos sobre el plazo de pago realizado por esta Cámara era fund</w:t>
      </w:r>
      <w:r w:rsidRPr="00D003A6">
        <w:rPr>
          <w:rFonts w:ascii="Arial" w:eastAsiaTheme="minorHAnsi" w:hAnsi="Arial" w:cs="Arial"/>
          <w:sz w:val="24"/>
          <w:szCs w:val="24"/>
        </w:rPr>
        <w:t>a</w:t>
      </w:r>
      <w:r w:rsidRPr="00D003A6">
        <w:rPr>
          <w:rFonts w:ascii="Arial" w:eastAsiaTheme="minorHAnsi" w:hAnsi="Arial" w:cs="Arial"/>
          <w:sz w:val="24"/>
          <w:szCs w:val="24"/>
        </w:rPr>
        <w:t xml:space="preserve">mentalmente analizar cómo podía incidir tal retraso sobre la difícil situación de la tesorería de la residencia y no analizar el cumplimiento del plazo legal de pago. </w:t>
      </w:r>
    </w:p>
    <w:p w:rsidR="00D003A6" w:rsidRPr="00D003A6" w:rsidRDefault="00D003A6" w:rsidP="00D003A6">
      <w:pPr>
        <w:spacing w:before="120" w:after="240" w:line="276" w:lineRule="auto"/>
        <w:ind w:left="357" w:firstLine="0"/>
        <w:contextualSpacing/>
        <w:jc w:val="left"/>
        <w:rPr>
          <w:rFonts w:ascii="Arial" w:eastAsiaTheme="minorHAnsi" w:hAnsi="Arial" w:cs="Arial"/>
          <w:sz w:val="24"/>
          <w:szCs w:val="24"/>
        </w:rPr>
      </w:pPr>
    </w:p>
    <w:p w:rsidR="00D003A6" w:rsidRPr="00D003A6" w:rsidRDefault="00D003A6" w:rsidP="00D003A6">
      <w:pPr>
        <w:numPr>
          <w:ilvl w:val="0"/>
          <w:numId w:val="28"/>
        </w:numPr>
        <w:spacing w:before="120" w:after="240" w:line="276" w:lineRule="auto"/>
        <w:ind w:left="714" w:hanging="357"/>
        <w:contextualSpacing/>
        <w:jc w:val="left"/>
        <w:rPr>
          <w:rFonts w:ascii="Arial" w:eastAsiaTheme="minorHAnsi" w:hAnsi="Arial" w:cs="Arial"/>
          <w:sz w:val="24"/>
          <w:szCs w:val="24"/>
        </w:rPr>
      </w:pPr>
      <w:r w:rsidRPr="00D003A6">
        <w:rPr>
          <w:rFonts w:ascii="Arial" w:eastAsiaTheme="minorHAnsi" w:hAnsi="Arial" w:cs="Arial"/>
          <w:sz w:val="24"/>
          <w:szCs w:val="24"/>
        </w:rPr>
        <w:t>Sobre la tercera alegación. Tal y como se indica en la misma y se refleja en el informe, las ratios calculadas por esta Cámara se han efectuado tanto sobre el gasto presupuestario real de la residencia para cada uno de los dos servicios que presta</w:t>
      </w:r>
      <w:r>
        <w:rPr>
          <w:rFonts w:ascii="Arial" w:eastAsiaTheme="minorHAnsi" w:hAnsi="Arial" w:cs="Arial"/>
          <w:sz w:val="24"/>
          <w:szCs w:val="24"/>
        </w:rPr>
        <w:t>,</w:t>
      </w:r>
      <w:r w:rsidRPr="00D003A6">
        <w:rPr>
          <w:rFonts w:ascii="Arial" w:eastAsiaTheme="minorHAnsi" w:hAnsi="Arial" w:cs="Arial"/>
          <w:sz w:val="24"/>
          <w:szCs w:val="24"/>
        </w:rPr>
        <w:t xml:space="preserve"> como sobre una estimación de personal equiv</w:t>
      </w:r>
      <w:r w:rsidRPr="00D003A6">
        <w:rPr>
          <w:rFonts w:ascii="Arial" w:eastAsiaTheme="minorHAnsi" w:hAnsi="Arial" w:cs="Arial"/>
          <w:sz w:val="24"/>
          <w:szCs w:val="24"/>
        </w:rPr>
        <w:t>a</w:t>
      </w:r>
      <w:r w:rsidRPr="00D003A6">
        <w:rPr>
          <w:rFonts w:ascii="Arial" w:eastAsiaTheme="minorHAnsi" w:hAnsi="Arial" w:cs="Arial"/>
          <w:sz w:val="24"/>
          <w:szCs w:val="24"/>
        </w:rPr>
        <w:t>lente real de la misma.</w:t>
      </w:r>
    </w:p>
    <w:p w:rsidR="00D003A6" w:rsidRPr="00D003A6" w:rsidRDefault="00D003A6" w:rsidP="00D003A6">
      <w:pPr>
        <w:pStyle w:val="texto"/>
        <w:spacing w:after="120"/>
        <w:jc w:val="center"/>
      </w:pPr>
      <w:r>
        <w:t>P</w:t>
      </w:r>
      <w:r w:rsidRPr="00D003A6">
        <w:t>amplona, 20 de febrero de 2017</w:t>
      </w:r>
    </w:p>
    <w:p w:rsidR="00D003A6" w:rsidRPr="00D003A6" w:rsidRDefault="00D003A6" w:rsidP="00D003A6">
      <w:pPr>
        <w:tabs>
          <w:tab w:val="center" w:pos="2835"/>
          <w:tab w:val="center" w:pos="3969"/>
          <w:tab w:val="center" w:pos="5103"/>
          <w:tab w:val="center" w:pos="6237"/>
          <w:tab w:val="center" w:pos="7371"/>
        </w:tabs>
        <w:ind w:firstLine="284"/>
        <w:jc w:val="center"/>
        <w:rPr>
          <w:spacing w:val="6"/>
          <w:sz w:val="26"/>
          <w:szCs w:val="24"/>
        </w:rPr>
      </w:pPr>
      <w:r w:rsidRPr="00D003A6">
        <w:rPr>
          <w:spacing w:val="6"/>
          <w:sz w:val="26"/>
          <w:szCs w:val="24"/>
        </w:rPr>
        <w:t>La presidenta,</w:t>
      </w:r>
    </w:p>
    <w:p w:rsidR="00D003A6" w:rsidRPr="00D003A6" w:rsidRDefault="00D003A6" w:rsidP="00D003A6">
      <w:pPr>
        <w:tabs>
          <w:tab w:val="center" w:pos="2835"/>
          <w:tab w:val="center" w:pos="3969"/>
          <w:tab w:val="center" w:pos="5103"/>
          <w:tab w:val="center" w:pos="6237"/>
          <w:tab w:val="center" w:pos="7371"/>
        </w:tabs>
        <w:ind w:firstLine="284"/>
        <w:jc w:val="center"/>
        <w:rPr>
          <w:spacing w:val="6"/>
          <w:sz w:val="26"/>
          <w:szCs w:val="24"/>
        </w:rPr>
      </w:pPr>
      <w:r w:rsidRPr="00D003A6">
        <w:rPr>
          <w:spacing w:val="6"/>
          <w:sz w:val="26"/>
          <w:szCs w:val="24"/>
        </w:rPr>
        <w:t>Asunción Olaechea Estanga</w:t>
      </w:r>
    </w:p>
    <w:p w:rsidR="00D003A6" w:rsidRDefault="00D003A6" w:rsidP="00D003A6">
      <w:pPr>
        <w:pStyle w:val="Textoindependiente"/>
        <w:ind w:firstLine="0"/>
      </w:pPr>
    </w:p>
    <w:p w:rsidR="00D003A6" w:rsidRDefault="00D003A6" w:rsidP="00D003A6">
      <w:pPr>
        <w:pStyle w:val="Textoindependiente"/>
      </w:pPr>
    </w:p>
    <w:p w:rsidR="00D003A6" w:rsidRDefault="00D003A6" w:rsidP="00D003A6">
      <w:pPr>
        <w:pStyle w:val="Textoindependiente"/>
      </w:pPr>
    </w:p>
    <w:sectPr w:rsidR="00D003A6" w:rsidSect="00EB2759">
      <w:footerReference w:type="default" r:id="rId14"/>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3D" w:rsidRDefault="00783F3D">
      <w:r>
        <w:separator/>
      </w:r>
    </w:p>
    <w:p w:rsidR="00783F3D" w:rsidRDefault="00783F3D"/>
    <w:p w:rsidR="00783F3D" w:rsidRDefault="00783F3D"/>
    <w:p w:rsidR="00783F3D" w:rsidRDefault="00783F3D"/>
  </w:endnote>
  <w:endnote w:type="continuationSeparator" w:id="0">
    <w:p w:rsidR="00783F3D" w:rsidRDefault="00783F3D">
      <w:r>
        <w:continuationSeparator/>
      </w:r>
    </w:p>
    <w:p w:rsidR="00783F3D" w:rsidRDefault="00783F3D"/>
    <w:p w:rsidR="00783F3D" w:rsidRDefault="00783F3D"/>
    <w:p w:rsidR="00783F3D" w:rsidRDefault="00783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moder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3D" w:rsidRDefault="00783F3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3F3D" w:rsidRDefault="00783F3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3D" w:rsidRDefault="00783F3D" w:rsidP="00EB2759">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inline distT="0" distB="0" distL="0" distR="0" wp14:anchorId="3199315E" wp14:editId="5D07B4E5">
          <wp:extent cx="213995" cy="379095"/>
          <wp:effectExtent l="0" t="0" r="0" b="190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 cy="379095"/>
                  </a:xfrm>
                  <a:prstGeom prst="rect">
                    <a:avLst/>
                  </a:prstGeom>
                  <a:noFill/>
                  <a:ln>
                    <a:noFill/>
                  </a:ln>
                </pic:spPr>
              </pic:pic>
            </a:graphicData>
          </a:graphic>
        </wp:inline>
      </w:drawing>
    </w:r>
  </w:p>
  <w:p w:rsidR="00783F3D" w:rsidRDefault="00783F3D" w:rsidP="00EB2759">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3D" w:rsidRDefault="00783F3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3D" w:rsidRDefault="00783F3D" w:rsidP="00822C0B">
    <w:pPr>
      <w:pStyle w:val="Piedepgina"/>
      <w:tabs>
        <w:tab w:val="clear" w:pos="2835"/>
        <w:tab w:val="clear" w:pos="3969"/>
        <w:tab w:val="clear" w:pos="4252"/>
        <w:tab w:val="clear" w:pos="5103"/>
        <w:tab w:val="clear" w:pos="6237"/>
        <w:tab w:val="clear" w:pos="7371"/>
        <w:tab w:val="clear" w:pos="8504"/>
        <w:tab w:val="center" w:pos="4440"/>
      </w:tabs>
      <w:spacing w:after="0"/>
      <w:ind w:right="28"/>
      <w:jc w:val="left"/>
      <w:rPr>
        <w:rFonts w:ascii="GillSans" w:hAnsi="GillSans"/>
      </w:rPr>
    </w:pPr>
    <w:r>
      <w:rPr>
        <w:rFonts w:ascii="GillSans" w:hAnsi="GillSans"/>
        <w:noProof/>
        <w:lang w:val="es-ES" w:eastAsia="es-ES"/>
      </w:rPr>
      <w:drawing>
        <wp:inline distT="0" distB="0" distL="0" distR="0" wp14:anchorId="0988FB2B" wp14:editId="67184628">
          <wp:extent cx="213995" cy="379095"/>
          <wp:effectExtent l="0" t="0" r="0" b="190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 cy="379095"/>
                  </a:xfrm>
                  <a:prstGeom prst="rect">
                    <a:avLst/>
                  </a:prstGeom>
                  <a:noFill/>
                  <a:ln>
                    <a:noFill/>
                  </a:ln>
                </pic:spPr>
              </pic:pic>
            </a:graphicData>
          </a:graphic>
        </wp:inline>
      </w:drawing>
    </w:r>
  </w:p>
  <w:p w:rsidR="00783F3D" w:rsidRDefault="00783F3D" w:rsidP="00822C0B">
    <w:pPr>
      <w:pStyle w:val="Piedepgina"/>
      <w:tabs>
        <w:tab w:val="clear" w:pos="2835"/>
        <w:tab w:val="clear" w:pos="3969"/>
        <w:tab w:val="clear" w:pos="4252"/>
        <w:tab w:val="clear" w:pos="5103"/>
        <w:tab w:val="clear" w:pos="6237"/>
        <w:tab w:val="clear" w:pos="7371"/>
        <w:tab w:val="clear" w:pos="8504"/>
        <w:tab w:val="center" w:pos="4440"/>
      </w:tabs>
      <w:spacing w:after="0"/>
      <w:ind w:right="28"/>
      <w:jc w:val="center"/>
      <w:rPr>
        <w:rStyle w:val="Nmerodepgina"/>
        <w:szCs w:val="24"/>
      </w:rPr>
    </w:pPr>
  </w:p>
  <w:p w:rsidR="00783F3D" w:rsidRPr="00F03814" w:rsidRDefault="00783F3D" w:rsidP="00822C0B">
    <w:pPr>
      <w:pStyle w:val="Piedepgina"/>
      <w:tabs>
        <w:tab w:val="clear" w:pos="2835"/>
        <w:tab w:val="clear" w:pos="3969"/>
        <w:tab w:val="clear" w:pos="4252"/>
        <w:tab w:val="clear" w:pos="5103"/>
        <w:tab w:val="clear" w:pos="6237"/>
        <w:tab w:val="clear" w:pos="7371"/>
        <w:tab w:val="clear" w:pos="8504"/>
        <w:tab w:val="center" w:pos="4440"/>
      </w:tabs>
      <w:spacing w:after="0"/>
      <w:ind w:right="28"/>
      <w:jc w:val="center"/>
      <w:rPr>
        <w:rFonts w:ascii="Trajan" w:hAnsi="Traj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3D" w:rsidRDefault="00783F3D" w:rsidP="00847AF3">
      <w:pPr>
        <w:ind w:firstLine="0"/>
      </w:pPr>
      <w:r>
        <w:separator/>
      </w:r>
    </w:p>
  </w:footnote>
  <w:footnote w:type="continuationSeparator" w:id="0">
    <w:p w:rsidR="00783F3D" w:rsidRDefault="00783F3D">
      <w:r>
        <w:continuationSeparator/>
      </w:r>
    </w:p>
  </w:footnote>
  <w:footnote w:id="1">
    <w:p w:rsidR="00783F3D" w:rsidRDefault="00783F3D" w:rsidP="00C46A7F">
      <w:pPr>
        <w:pStyle w:val="Textonotapie"/>
        <w:spacing w:after="0"/>
        <w:ind w:firstLine="0"/>
      </w:pPr>
      <w:r>
        <w:rPr>
          <w:rStyle w:val="Refdenotaalpie"/>
        </w:rPr>
        <w:footnoteRef/>
      </w:r>
      <w:r>
        <w:t xml:space="preserve"> Servicios prestados por la Mancomunidad de Servicios Sociales de Sangüesa.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3D" w:rsidRDefault="00783F3D" w:rsidP="0094179B">
    <w:pPr>
      <w:pStyle w:val="Encabezado"/>
      <w:pBdr>
        <w:bottom w:val="single" w:sz="4" w:space="1" w:color="auto"/>
      </w:pBdr>
      <w:spacing w:after="40"/>
      <w:ind w:firstLine="0"/>
      <w:jc w:val="left"/>
      <w:rPr>
        <w:lang w:val="es-ES"/>
      </w:rPr>
    </w:pPr>
    <w:r>
      <w:rPr>
        <w:b/>
        <w:noProof/>
        <w:lang w:val="es-ES" w:eastAsia="es-ES"/>
      </w:rPr>
      <w:drawing>
        <wp:anchor distT="0" distB="0" distL="114300" distR="114300" simplePos="0" relativeHeight="251661312" behindDoc="0" locked="0" layoutInCell="1" allowOverlap="1" wp14:anchorId="2792682D" wp14:editId="36B345E3">
          <wp:simplePos x="0" y="0"/>
          <wp:positionH relativeFrom="column">
            <wp:posOffset>-119380</wp:posOffset>
          </wp:positionH>
          <wp:positionV relativeFrom="paragraph">
            <wp:posOffset>14605</wp:posOffset>
          </wp:positionV>
          <wp:extent cx="714375" cy="705485"/>
          <wp:effectExtent l="0" t="0" r="9525" b="0"/>
          <wp:wrapSquare wrapText="bothSides"/>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     </w:t>
    </w:r>
  </w:p>
  <w:p w:rsidR="00783F3D" w:rsidRDefault="00783F3D" w:rsidP="0094179B">
    <w:pPr>
      <w:pStyle w:val="Encabezado"/>
      <w:pBdr>
        <w:bottom w:val="single" w:sz="4" w:space="1" w:color="auto"/>
      </w:pBdr>
      <w:spacing w:after="40"/>
      <w:ind w:firstLine="0"/>
      <w:jc w:val="left"/>
      <w:rPr>
        <w:lang w:val="es-ES"/>
      </w:rPr>
    </w:pPr>
  </w:p>
  <w:p w:rsidR="00783F3D" w:rsidRDefault="00783F3D" w:rsidP="0094179B">
    <w:pPr>
      <w:pStyle w:val="Encabezado"/>
      <w:pBdr>
        <w:bottom w:val="single" w:sz="4" w:space="1" w:color="auto"/>
      </w:pBdr>
      <w:spacing w:after="40"/>
      <w:ind w:firstLine="0"/>
      <w:jc w:val="left"/>
      <w:rPr>
        <w:lang w:val="es-ES"/>
      </w:rPr>
    </w:pPr>
  </w:p>
  <w:p w:rsidR="00783F3D" w:rsidRDefault="00783F3D" w:rsidP="0094179B">
    <w:pPr>
      <w:pStyle w:val="Encabezado"/>
      <w:pBdr>
        <w:bottom w:val="single" w:sz="4" w:space="1" w:color="auto"/>
      </w:pBdr>
      <w:spacing w:after="40"/>
      <w:ind w:firstLine="0"/>
      <w:jc w:val="left"/>
      <w:rPr>
        <w:lang w:val="es-ES"/>
      </w:rPr>
    </w:pPr>
  </w:p>
  <w:p w:rsidR="00783F3D" w:rsidRDefault="00783F3D" w:rsidP="0094179B">
    <w:pPr>
      <w:pStyle w:val="Encabezado"/>
      <w:pBdr>
        <w:bottom w:val="single" w:sz="4" w:space="1" w:color="auto"/>
      </w:pBdr>
      <w:spacing w:after="40"/>
      <w:ind w:firstLine="0"/>
      <w:jc w:val="left"/>
      <w:rPr>
        <w:lang w:val="es-ES"/>
      </w:rPr>
    </w:pPr>
  </w:p>
  <w:p w:rsidR="00783F3D" w:rsidRPr="0059650E" w:rsidRDefault="00783F3D" w:rsidP="00DF42DA">
    <w:pPr>
      <w:pStyle w:val="Encabezado"/>
      <w:pBdr>
        <w:bottom w:val="single" w:sz="4" w:space="1" w:color="auto"/>
      </w:pBdr>
      <w:spacing w:after="40"/>
      <w:ind w:firstLine="0"/>
      <w:rPr>
        <w:lang w:val="es-ES"/>
      </w:rPr>
    </w:pPr>
    <w:r>
      <w:rPr>
        <w:lang w:val="es-ES"/>
      </w:rPr>
      <w:t xml:space="preserve">                             informe de fiscalización sobre la mancomunidad de servicios sociales de lumbier,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3D" w:rsidRDefault="00783F3D" w:rsidP="006A2D41">
    <w:pPr>
      <w:pStyle w:val="Encabezado"/>
      <w:ind w:firstLine="0"/>
      <w:jc w:val="left"/>
    </w:pPr>
    <w:r>
      <w:rPr>
        <w:noProof/>
        <w:lang w:val="es-ES" w:eastAsia="es-ES"/>
      </w:rPr>
      <w:drawing>
        <wp:inline distT="0" distB="0" distL="0" distR="0" wp14:anchorId="1C46CA0A" wp14:editId="62C1B5D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01E00E58"/>
    <w:multiLevelType w:val="hybridMultilevel"/>
    <w:tmpl w:val="5D1ED92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0EAA54C8"/>
    <w:multiLevelType w:val="hybridMultilevel"/>
    <w:tmpl w:val="13BEC62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9FD21D5"/>
    <w:multiLevelType w:val="hybridMultilevel"/>
    <w:tmpl w:val="26F297DA"/>
    <w:lvl w:ilvl="0" w:tplc="C1406F24">
      <w:start w:val="1"/>
      <w:numFmt w:val="lowerLetter"/>
      <w:lvlText w:val="%1)"/>
      <w:lvlJc w:val="left"/>
      <w:pPr>
        <w:ind w:left="720" w:hanging="36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DFD3296"/>
    <w:multiLevelType w:val="hybridMultilevel"/>
    <w:tmpl w:val="8C38A3F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1FEA06AF"/>
    <w:multiLevelType w:val="hybridMultilevel"/>
    <w:tmpl w:val="D64E1CB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9">
    <w:nsid w:val="210E6078"/>
    <w:multiLevelType w:val="hybridMultilevel"/>
    <w:tmpl w:val="FD2E8E4A"/>
    <w:lvl w:ilvl="0" w:tplc="FCEA3300">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7B90B61"/>
    <w:multiLevelType w:val="hybridMultilevel"/>
    <w:tmpl w:val="9AB0B7C0"/>
    <w:lvl w:ilvl="0" w:tplc="56DCC1A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B71574D"/>
    <w:multiLevelType w:val="hybridMultilevel"/>
    <w:tmpl w:val="292864B0"/>
    <w:lvl w:ilvl="0" w:tplc="A96E932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2CF8525C"/>
    <w:multiLevelType w:val="hybridMultilevel"/>
    <w:tmpl w:val="9ABA732C"/>
    <w:lvl w:ilvl="0" w:tplc="B41E93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E095068"/>
    <w:multiLevelType w:val="hybridMultilevel"/>
    <w:tmpl w:val="C27824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35C1A4D"/>
    <w:multiLevelType w:val="hybridMultilevel"/>
    <w:tmpl w:val="49884C5A"/>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5">
    <w:nsid w:val="394422E4"/>
    <w:multiLevelType w:val="hybridMultilevel"/>
    <w:tmpl w:val="93280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425E5020"/>
    <w:multiLevelType w:val="hybridMultilevel"/>
    <w:tmpl w:val="6352E06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44D57213"/>
    <w:multiLevelType w:val="hybridMultilevel"/>
    <w:tmpl w:val="D652C554"/>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1">
    <w:nsid w:val="575356F3"/>
    <w:multiLevelType w:val="hybridMultilevel"/>
    <w:tmpl w:val="869CB018"/>
    <w:lvl w:ilvl="0" w:tplc="F9EEA21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7B177C"/>
    <w:multiLevelType w:val="hybridMultilevel"/>
    <w:tmpl w:val="15BAC0A4"/>
    <w:lvl w:ilvl="0" w:tplc="4AD2EE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D1E1C87"/>
    <w:multiLevelType w:val="hybridMultilevel"/>
    <w:tmpl w:val="9AB0B7C0"/>
    <w:lvl w:ilvl="0" w:tplc="56DCC1A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D7C1897"/>
    <w:multiLevelType w:val="hybridMultilevel"/>
    <w:tmpl w:val="FA9CCD56"/>
    <w:lvl w:ilvl="0" w:tplc="73DA11B0">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F9F27F8"/>
    <w:multiLevelType w:val="hybridMultilevel"/>
    <w:tmpl w:val="3E720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7">
    <w:nsid w:val="64706C8B"/>
    <w:multiLevelType w:val="hybridMultilevel"/>
    <w:tmpl w:val="C9CAF04C"/>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8">
    <w:nsid w:val="6A6E4488"/>
    <w:multiLevelType w:val="hybridMultilevel"/>
    <w:tmpl w:val="EB2E0226"/>
    <w:lvl w:ilvl="0" w:tplc="CAE41BCC">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74373827"/>
    <w:multiLevelType w:val="hybridMultilevel"/>
    <w:tmpl w:val="4B8C990C"/>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7500406D"/>
    <w:multiLevelType w:val="hybridMultilevel"/>
    <w:tmpl w:val="076E6A6C"/>
    <w:lvl w:ilvl="0" w:tplc="F3CC77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768A6DAE"/>
    <w:multiLevelType w:val="hybridMultilevel"/>
    <w:tmpl w:val="EDF67C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77106889"/>
    <w:multiLevelType w:val="hybridMultilevel"/>
    <w:tmpl w:val="1A741D62"/>
    <w:lvl w:ilvl="0" w:tplc="C1406F24">
      <w:start w:val="1"/>
      <w:numFmt w:val="lowerLetter"/>
      <w:lvlText w:val="%1)"/>
      <w:lvlJc w:val="left"/>
      <w:pPr>
        <w:ind w:left="1068" w:hanging="360"/>
      </w:pPr>
      <w:rPr>
        <w:rFonts w:ascii="Times New Roman" w:hAnsi="Times New Roman" w:cs="Times New Roman"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5">
    <w:nsid w:val="79796B5C"/>
    <w:multiLevelType w:val="hybridMultilevel"/>
    <w:tmpl w:val="C0CC0A9E"/>
    <w:lvl w:ilvl="0" w:tplc="5F0CE24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7">
    <w:nsid w:val="7C1E53C3"/>
    <w:multiLevelType w:val="hybridMultilevel"/>
    <w:tmpl w:val="7556C068"/>
    <w:lvl w:ilvl="0" w:tplc="ADE0ED62">
      <w:numFmt w:val="bullet"/>
      <w:lvlText w:val="-"/>
      <w:lvlJc w:val="left"/>
      <w:pPr>
        <w:ind w:left="720" w:hanging="360"/>
      </w:pPr>
      <w:rPr>
        <w:rFonts w:ascii="Times New Roman" w:eastAsia="Times New Roman" w:hAnsi="Times New Roman"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FE70F59"/>
    <w:multiLevelType w:val="hybridMultilevel"/>
    <w:tmpl w:val="1BE0AA18"/>
    <w:lvl w:ilvl="0" w:tplc="2A2AEB00">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num w:numId="1">
    <w:abstractNumId w:val="36"/>
  </w:num>
  <w:num w:numId="2">
    <w:abstractNumId w:val="26"/>
  </w:num>
  <w:num w:numId="3">
    <w:abstractNumId w:val="4"/>
  </w:num>
  <w:num w:numId="4">
    <w:abstractNumId w:val="19"/>
  </w:num>
  <w:num w:numId="5">
    <w:abstractNumId w:val="29"/>
  </w:num>
  <w:num w:numId="6">
    <w:abstractNumId w:val="4"/>
  </w:num>
  <w:num w:numId="7">
    <w:abstractNumId w:val="4"/>
  </w:num>
  <w:num w:numId="8">
    <w:abstractNumId w:val="4"/>
  </w:num>
  <w:num w:numId="9">
    <w:abstractNumId w:val="0"/>
  </w:num>
  <w:num w:numId="10">
    <w:abstractNumId w:val="16"/>
  </w:num>
  <w:num w:numId="11">
    <w:abstractNumId w:val="30"/>
  </w:num>
  <w:num w:numId="12">
    <w:abstractNumId w:val="2"/>
  </w:num>
  <w:num w:numId="13">
    <w:abstractNumId w:val="5"/>
  </w:num>
  <w:num w:numId="14">
    <w:abstractNumId w:val="20"/>
  </w:num>
  <w:num w:numId="15">
    <w:abstractNumId w:val="7"/>
  </w:num>
  <w:num w:numId="16">
    <w:abstractNumId w:val="11"/>
  </w:num>
  <w:num w:numId="17">
    <w:abstractNumId w:val="22"/>
  </w:num>
  <w:num w:numId="18">
    <w:abstractNumId w:val="10"/>
  </w:num>
  <w:num w:numId="19">
    <w:abstractNumId w:val="23"/>
  </w:num>
  <w:num w:numId="20">
    <w:abstractNumId w:val="9"/>
  </w:num>
  <w:num w:numId="21">
    <w:abstractNumId w:val="35"/>
  </w:num>
  <w:num w:numId="22">
    <w:abstractNumId w:val="32"/>
  </w:num>
  <w:num w:numId="23">
    <w:abstractNumId w:val="12"/>
  </w:num>
  <w:num w:numId="24">
    <w:abstractNumId w:val="38"/>
  </w:num>
  <w:num w:numId="25">
    <w:abstractNumId w:val="33"/>
  </w:num>
  <w:num w:numId="26">
    <w:abstractNumId w:val="25"/>
  </w:num>
  <w:num w:numId="27">
    <w:abstractNumId w:val="24"/>
  </w:num>
  <w:num w:numId="28">
    <w:abstractNumId w:val="15"/>
  </w:num>
  <w:num w:numId="29">
    <w:abstractNumId w:val="17"/>
  </w:num>
  <w:num w:numId="30">
    <w:abstractNumId w:val="37"/>
  </w:num>
  <w:num w:numId="31">
    <w:abstractNumId w:val="34"/>
  </w:num>
  <w:num w:numId="32">
    <w:abstractNumId w:val="6"/>
  </w:num>
  <w:num w:numId="33">
    <w:abstractNumId w:val="8"/>
  </w:num>
  <w:num w:numId="34">
    <w:abstractNumId w:val="18"/>
  </w:num>
  <w:num w:numId="35">
    <w:abstractNumId w:val="14"/>
  </w:num>
  <w:num w:numId="36">
    <w:abstractNumId w:val="27"/>
  </w:num>
  <w:num w:numId="37">
    <w:abstractNumId w:val="28"/>
  </w:num>
  <w:num w:numId="38">
    <w:abstractNumId w:val="3"/>
  </w:num>
  <w:num w:numId="39">
    <w:abstractNumId w:val="13"/>
  </w:num>
  <w:num w:numId="40">
    <w:abstractNumId w:val="31"/>
  </w:num>
  <w:num w:numId="41">
    <w:abstractNumId w:val="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AC"/>
    <w:rsid w:val="000019D8"/>
    <w:rsid w:val="00001D88"/>
    <w:rsid w:val="00006736"/>
    <w:rsid w:val="00006A97"/>
    <w:rsid w:val="0000774F"/>
    <w:rsid w:val="0001123B"/>
    <w:rsid w:val="00012A7F"/>
    <w:rsid w:val="00017A3A"/>
    <w:rsid w:val="00035967"/>
    <w:rsid w:val="00036E42"/>
    <w:rsid w:val="0004177C"/>
    <w:rsid w:val="0004196D"/>
    <w:rsid w:val="0004373B"/>
    <w:rsid w:val="000443E5"/>
    <w:rsid w:val="000448FA"/>
    <w:rsid w:val="00044F8B"/>
    <w:rsid w:val="00050B31"/>
    <w:rsid w:val="00053A42"/>
    <w:rsid w:val="0005430B"/>
    <w:rsid w:val="0005517D"/>
    <w:rsid w:val="00055415"/>
    <w:rsid w:val="00057502"/>
    <w:rsid w:val="0006133D"/>
    <w:rsid w:val="00063585"/>
    <w:rsid w:val="000656CA"/>
    <w:rsid w:val="00067EA7"/>
    <w:rsid w:val="000717A8"/>
    <w:rsid w:val="00071CD0"/>
    <w:rsid w:val="0007290D"/>
    <w:rsid w:val="000742E3"/>
    <w:rsid w:val="00075504"/>
    <w:rsid w:val="00075692"/>
    <w:rsid w:val="000759B8"/>
    <w:rsid w:val="000806F1"/>
    <w:rsid w:val="000815D5"/>
    <w:rsid w:val="00081B4B"/>
    <w:rsid w:val="00084250"/>
    <w:rsid w:val="00084988"/>
    <w:rsid w:val="00084AFA"/>
    <w:rsid w:val="00085685"/>
    <w:rsid w:val="00085B06"/>
    <w:rsid w:val="00087B8D"/>
    <w:rsid w:val="00090A5F"/>
    <w:rsid w:val="00091399"/>
    <w:rsid w:val="00093804"/>
    <w:rsid w:val="00093D67"/>
    <w:rsid w:val="00093E60"/>
    <w:rsid w:val="000946DD"/>
    <w:rsid w:val="000955BA"/>
    <w:rsid w:val="000A18B7"/>
    <w:rsid w:val="000A1B99"/>
    <w:rsid w:val="000A2C1E"/>
    <w:rsid w:val="000A37E0"/>
    <w:rsid w:val="000A3A6F"/>
    <w:rsid w:val="000A4697"/>
    <w:rsid w:val="000A490A"/>
    <w:rsid w:val="000A61DA"/>
    <w:rsid w:val="000A70C5"/>
    <w:rsid w:val="000B1701"/>
    <w:rsid w:val="000B1945"/>
    <w:rsid w:val="000B2728"/>
    <w:rsid w:val="000B3943"/>
    <w:rsid w:val="000B4477"/>
    <w:rsid w:val="000B4B70"/>
    <w:rsid w:val="000C0704"/>
    <w:rsid w:val="000C1A9C"/>
    <w:rsid w:val="000C1C11"/>
    <w:rsid w:val="000C2B07"/>
    <w:rsid w:val="000C39CC"/>
    <w:rsid w:val="000C632A"/>
    <w:rsid w:val="000C6EAE"/>
    <w:rsid w:val="000C6FAB"/>
    <w:rsid w:val="000C7566"/>
    <w:rsid w:val="000D04EF"/>
    <w:rsid w:val="000D188E"/>
    <w:rsid w:val="000D2C76"/>
    <w:rsid w:val="000D430F"/>
    <w:rsid w:val="000D5335"/>
    <w:rsid w:val="000E0769"/>
    <w:rsid w:val="000E69EE"/>
    <w:rsid w:val="000E7B86"/>
    <w:rsid w:val="000F1E20"/>
    <w:rsid w:val="000F2A2C"/>
    <w:rsid w:val="000F2B66"/>
    <w:rsid w:val="000F35E5"/>
    <w:rsid w:val="000F3D83"/>
    <w:rsid w:val="000F4C48"/>
    <w:rsid w:val="000F5860"/>
    <w:rsid w:val="00100F12"/>
    <w:rsid w:val="001020AD"/>
    <w:rsid w:val="00103589"/>
    <w:rsid w:val="00103AE3"/>
    <w:rsid w:val="001045C9"/>
    <w:rsid w:val="00107132"/>
    <w:rsid w:val="00107CC1"/>
    <w:rsid w:val="00111A92"/>
    <w:rsid w:val="00111FFA"/>
    <w:rsid w:val="001145C3"/>
    <w:rsid w:val="001161D2"/>
    <w:rsid w:val="00120EAC"/>
    <w:rsid w:val="00124742"/>
    <w:rsid w:val="00124943"/>
    <w:rsid w:val="001263B4"/>
    <w:rsid w:val="00127950"/>
    <w:rsid w:val="00131DF1"/>
    <w:rsid w:val="00132C38"/>
    <w:rsid w:val="00133984"/>
    <w:rsid w:val="001365C4"/>
    <w:rsid w:val="001400DF"/>
    <w:rsid w:val="001405DD"/>
    <w:rsid w:val="0014147D"/>
    <w:rsid w:val="0014187E"/>
    <w:rsid w:val="00141D29"/>
    <w:rsid w:val="00143030"/>
    <w:rsid w:val="00143B26"/>
    <w:rsid w:val="001442AE"/>
    <w:rsid w:val="001443A1"/>
    <w:rsid w:val="0014506A"/>
    <w:rsid w:val="0014557C"/>
    <w:rsid w:val="0014728F"/>
    <w:rsid w:val="00147443"/>
    <w:rsid w:val="00150B7A"/>
    <w:rsid w:val="001521A2"/>
    <w:rsid w:val="00152358"/>
    <w:rsid w:val="001524A7"/>
    <w:rsid w:val="00154BC7"/>
    <w:rsid w:val="00155722"/>
    <w:rsid w:val="00155BFF"/>
    <w:rsid w:val="00160F66"/>
    <w:rsid w:val="0016132E"/>
    <w:rsid w:val="001633AF"/>
    <w:rsid w:val="00163C9F"/>
    <w:rsid w:val="00163DB7"/>
    <w:rsid w:val="00166A6C"/>
    <w:rsid w:val="00166D05"/>
    <w:rsid w:val="00172CE9"/>
    <w:rsid w:val="00173204"/>
    <w:rsid w:val="00173E6E"/>
    <w:rsid w:val="00173EDD"/>
    <w:rsid w:val="0017402B"/>
    <w:rsid w:val="00175C43"/>
    <w:rsid w:val="00176039"/>
    <w:rsid w:val="00181D37"/>
    <w:rsid w:val="001835B7"/>
    <w:rsid w:val="0018426B"/>
    <w:rsid w:val="00184797"/>
    <w:rsid w:val="0018523B"/>
    <w:rsid w:val="00185A37"/>
    <w:rsid w:val="00186FE0"/>
    <w:rsid w:val="001876EB"/>
    <w:rsid w:val="00187FED"/>
    <w:rsid w:val="00190397"/>
    <w:rsid w:val="00191C00"/>
    <w:rsid w:val="00194309"/>
    <w:rsid w:val="0019660E"/>
    <w:rsid w:val="00197378"/>
    <w:rsid w:val="001A5110"/>
    <w:rsid w:val="001A6162"/>
    <w:rsid w:val="001A7F27"/>
    <w:rsid w:val="001B04DA"/>
    <w:rsid w:val="001B11C2"/>
    <w:rsid w:val="001B1CE0"/>
    <w:rsid w:val="001B39E2"/>
    <w:rsid w:val="001B511D"/>
    <w:rsid w:val="001B562F"/>
    <w:rsid w:val="001C2B26"/>
    <w:rsid w:val="001C3A32"/>
    <w:rsid w:val="001C3E00"/>
    <w:rsid w:val="001C7FD0"/>
    <w:rsid w:val="001D0522"/>
    <w:rsid w:val="001D0828"/>
    <w:rsid w:val="001D36D4"/>
    <w:rsid w:val="001D4F09"/>
    <w:rsid w:val="001E2875"/>
    <w:rsid w:val="001E2BC1"/>
    <w:rsid w:val="001E6582"/>
    <w:rsid w:val="001E6679"/>
    <w:rsid w:val="001E6A12"/>
    <w:rsid w:val="001F1482"/>
    <w:rsid w:val="001F20D7"/>
    <w:rsid w:val="001F28B0"/>
    <w:rsid w:val="001F3D3C"/>
    <w:rsid w:val="001F7744"/>
    <w:rsid w:val="002014EB"/>
    <w:rsid w:val="00202B1A"/>
    <w:rsid w:val="0020419E"/>
    <w:rsid w:val="00204979"/>
    <w:rsid w:val="00210223"/>
    <w:rsid w:val="00211D69"/>
    <w:rsid w:val="0021289B"/>
    <w:rsid w:val="0021458F"/>
    <w:rsid w:val="00214A1B"/>
    <w:rsid w:val="00214ED4"/>
    <w:rsid w:val="00215223"/>
    <w:rsid w:val="002158CD"/>
    <w:rsid w:val="00216F1E"/>
    <w:rsid w:val="002179DB"/>
    <w:rsid w:val="00220CCC"/>
    <w:rsid w:val="0022420E"/>
    <w:rsid w:val="00225229"/>
    <w:rsid w:val="00227E48"/>
    <w:rsid w:val="00230577"/>
    <w:rsid w:val="0023095E"/>
    <w:rsid w:val="0023209D"/>
    <w:rsid w:val="002333F8"/>
    <w:rsid w:val="00233D79"/>
    <w:rsid w:val="002352D0"/>
    <w:rsid w:val="00235A52"/>
    <w:rsid w:val="00237657"/>
    <w:rsid w:val="00237F46"/>
    <w:rsid w:val="00241717"/>
    <w:rsid w:val="0024189E"/>
    <w:rsid w:val="00241A01"/>
    <w:rsid w:val="00242BA7"/>
    <w:rsid w:val="002437B5"/>
    <w:rsid w:val="00244EF1"/>
    <w:rsid w:val="002451CA"/>
    <w:rsid w:val="00246681"/>
    <w:rsid w:val="00246F21"/>
    <w:rsid w:val="00250B00"/>
    <w:rsid w:val="00252EEB"/>
    <w:rsid w:val="00253E78"/>
    <w:rsid w:val="00256C0B"/>
    <w:rsid w:val="0025734B"/>
    <w:rsid w:val="00260AF4"/>
    <w:rsid w:val="00262C3C"/>
    <w:rsid w:val="0026303F"/>
    <w:rsid w:val="00263D53"/>
    <w:rsid w:val="00264C88"/>
    <w:rsid w:val="0026532C"/>
    <w:rsid w:val="0026575D"/>
    <w:rsid w:val="00266782"/>
    <w:rsid w:val="002705B0"/>
    <w:rsid w:val="00270C06"/>
    <w:rsid w:val="002717A6"/>
    <w:rsid w:val="00272015"/>
    <w:rsid w:val="00272749"/>
    <w:rsid w:val="00272882"/>
    <w:rsid w:val="00273C10"/>
    <w:rsid w:val="00273F74"/>
    <w:rsid w:val="00274B4C"/>
    <w:rsid w:val="00274CF6"/>
    <w:rsid w:val="00275977"/>
    <w:rsid w:val="00276264"/>
    <w:rsid w:val="00276653"/>
    <w:rsid w:val="00281DCA"/>
    <w:rsid w:val="00286088"/>
    <w:rsid w:val="002904A6"/>
    <w:rsid w:val="00290E69"/>
    <w:rsid w:val="00291A4E"/>
    <w:rsid w:val="002940F3"/>
    <w:rsid w:val="00294168"/>
    <w:rsid w:val="00297B04"/>
    <w:rsid w:val="002A056C"/>
    <w:rsid w:val="002A30ED"/>
    <w:rsid w:val="002A66A5"/>
    <w:rsid w:val="002A6EBB"/>
    <w:rsid w:val="002B02EF"/>
    <w:rsid w:val="002B0386"/>
    <w:rsid w:val="002B16A6"/>
    <w:rsid w:val="002B1805"/>
    <w:rsid w:val="002B21E9"/>
    <w:rsid w:val="002B2B87"/>
    <w:rsid w:val="002B4E0F"/>
    <w:rsid w:val="002B5754"/>
    <w:rsid w:val="002B58EF"/>
    <w:rsid w:val="002B5FC2"/>
    <w:rsid w:val="002C1601"/>
    <w:rsid w:val="002C4F99"/>
    <w:rsid w:val="002C6328"/>
    <w:rsid w:val="002C7026"/>
    <w:rsid w:val="002C7C55"/>
    <w:rsid w:val="002C7E08"/>
    <w:rsid w:val="002D089F"/>
    <w:rsid w:val="002D2648"/>
    <w:rsid w:val="002D3C27"/>
    <w:rsid w:val="002D5635"/>
    <w:rsid w:val="002D65E8"/>
    <w:rsid w:val="002D6678"/>
    <w:rsid w:val="002D7D32"/>
    <w:rsid w:val="002E02E5"/>
    <w:rsid w:val="002E0478"/>
    <w:rsid w:val="002E0791"/>
    <w:rsid w:val="002E0A1E"/>
    <w:rsid w:val="002E1188"/>
    <w:rsid w:val="002E1284"/>
    <w:rsid w:val="002E1B92"/>
    <w:rsid w:val="002E3653"/>
    <w:rsid w:val="002E4A72"/>
    <w:rsid w:val="002E7AF7"/>
    <w:rsid w:val="002E7B81"/>
    <w:rsid w:val="002F06DE"/>
    <w:rsid w:val="002F09FB"/>
    <w:rsid w:val="002F0FE3"/>
    <w:rsid w:val="002F1AF0"/>
    <w:rsid w:val="002F1D2F"/>
    <w:rsid w:val="002F2530"/>
    <w:rsid w:val="002F272A"/>
    <w:rsid w:val="002F2A60"/>
    <w:rsid w:val="002F3225"/>
    <w:rsid w:val="002F53B4"/>
    <w:rsid w:val="002F73CA"/>
    <w:rsid w:val="002F76D6"/>
    <w:rsid w:val="00301149"/>
    <w:rsid w:val="00303343"/>
    <w:rsid w:val="00303506"/>
    <w:rsid w:val="00307057"/>
    <w:rsid w:val="00307D3E"/>
    <w:rsid w:val="00312819"/>
    <w:rsid w:val="00312B3C"/>
    <w:rsid w:val="00312E9C"/>
    <w:rsid w:val="00313120"/>
    <w:rsid w:val="00313875"/>
    <w:rsid w:val="0031426B"/>
    <w:rsid w:val="00316564"/>
    <w:rsid w:val="003203BF"/>
    <w:rsid w:val="00321369"/>
    <w:rsid w:val="00321BF0"/>
    <w:rsid w:val="00325EDF"/>
    <w:rsid w:val="00330787"/>
    <w:rsid w:val="0033081A"/>
    <w:rsid w:val="003319FA"/>
    <w:rsid w:val="00334401"/>
    <w:rsid w:val="00335136"/>
    <w:rsid w:val="00337493"/>
    <w:rsid w:val="00341E2C"/>
    <w:rsid w:val="0034285F"/>
    <w:rsid w:val="00343E2D"/>
    <w:rsid w:val="003464A4"/>
    <w:rsid w:val="00351169"/>
    <w:rsid w:val="00351684"/>
    <w:rsid w:val="00351EFF"/>
    <w:rsid w:val="00352678"/>
    <w:rsid w:val="00353AC2"/>
    <w:rsid w:val="00354458"/>
    <w:rsid w:val="00356929"/>
    <w:rsid w:val="00357CD5"/>
    <w:rsid w:val="0036015E"/>
    <w:rsid w:val="0036044F"/>
    <w:rsid w:val="0036210E"/>
    <w:rsid w:val="00362851"/>
    <w:rsid w:val="00363653"/>
    <w:rsid w:val="00363D42"/>
    <w:rsid w:val="0036412A"/>
    <w:rsid w:val="00364FDF"/>
    <w:rsid w:val="0036509D"/>
    <w:rsid w:val="003658AE"/>
    <w:rsid w:val="00365C91"/>
    <w:rsid w:val="003677D7"/>
    <w:rsid w:val="003706BE"/>
    <w:rsid w:val="0037228C"/>
    <w:rsid w:val="003724D2"/>
    <w:rsid w:val="003738FD"/>
    <w:rsid w:val="00374104"/>
    <w:rsid w:val="003741F5"/>
    <w:rsid w:val="003810BE"/>
    <w:rsid w:val="0038151C"/>
    <w:rsid w:val="0038230A"/>
    <w:rsid w:val="00385DF5"/>
    <w:rsid w:val="00385EC0"/>
    <w:rsid w:val="0038655C"/>
    <w:rsid w:val="00386F6C"/>
    <w:rsid w:val="00387709"/>
    <w:rsid w:val="00387794"/>
    <w:rsid w:val="003902BE"/>
    <w:rsid w:val="00391649"/>
    <w:rsid w:val="00393B80"/>
    <w:rsid w:val="00393B92"/>
    <w:rsid w:val="00393C8A"/>
    <w:rsid w:val="0039669B"/>
    <w:rsid w:val="00397162"/>
    <w:rsid w:val="003975BA"/>
    <w:rsid w:val="003976C5"/>
    <w:rsid w:val="00397CB9"/>
    <w:rsid w:val="003A3339"/>
    <w:rsid w:val="003A335E"/>
    <w:rsid w:val="003A3DD2"/>
    <w:rsid w:val="003A512D"/>
    <w:rsid w:val="003A6575"/>
    <w:rsid w:val="003A6E5C"/>
    <w:rsid w:val="003B1353"/>
    <w:rsid w:val="003B3573"/>
    <w:rsid w:val="003B5813"/>
    <w:rsid w:val="003B772A"/>
    <w:rsid w:val="003C03EA"/>
    <w:rsid w:val="003C196B"/>
    <w:rsid w:val="003C3E4C"/>
    <w:rsid w:val="003C6E1D"/>
    <w:rsid w:val="003C769E"/>
    <w:rsid w:val="003D058C"/>
    <w:rsid w:val="003D58B0"/>
    <w:rsid w:val="003D76B1"/>
    <w:rsid w:val="003E17A6"/>
    <w:rsid w:val="003E4AA5"/>
    <w:rsid w:val="003F12B6"/>
    <w:rsid w:val="003F1CEC"/>
    <w:rsid w:val="003F43BF"/>
    <w:rsid w:val="003F4A2F"/>
    <w:rsid w:val="003F6BE4"/>
    <w:rsid w:val="00403CF8"/>
    <w:rsid w:val="004060A7"/>
    <w:rsid w:val="00407459"/>
    <w:rsid w:val="00407D7A"/>
    <w:rsid w:val="004113E4"/>
    <w:rsid w:val="00412CBD"/>
    <w:rsid w:val="00414321"/>
    <w:rsid w:val="00414D01"/>
    <w:rsid w:val="00415C88"/>
    <w:rsid w:val="0041641E"/>
    <w:rsid w:val="00416585"/>
    <w:rsid w:val="004170FE"/>
    <w:rsid w:val="00417768"/>
    <w:rsid w:val="00417F59"/>
    <w:rsid w:val="004209E6"/>
    <w:rsid w:val="00421A1F"/>
    <w:rsid w:val="0042324B"/>
    <w:rsid w:val="004234E8"/>
    <w:rsid w:val="00426805"/>
    <w:rsid w:val="00430150"/>
    <w:rsid w:val="004302F9"/>
    <w:rsid w:val="0043229B"/>
    <w:rsid w:val="00432E07"/>
    <w:rsid w:val="0043311E"/>
    <w:rsid w:val="00435287"/>
    <w:rsid w:val="00437E1F"/>
    <w:rsid w:val="004408F1"/>
    <w:rsid w:val="00440A22"/>
    <w:rsid w:val="004463EC"/>
    <w:rsid w:val="00453640"/>
    <w:rsid w:val="0045550E"/>
    <w:rsid w:val="00455ECA"/>
    <w:rsid w:val="00456456"/>
    <w:rsid w:val="00457409"/>
    <w:rsid w:val="00460AD6"/>
    <w:rsid w:val="00461DC7"/>
    <w:rsid w:val="00462367"/>
    <w:rsid w:val="00464403"/>
    <w:rsid w:val="0046490C"/>
    <w:rsid w:val="0046679C"/>
    <w:rsid w:val="00467F87"/>
    <w:rsid w:val="00470287"/>
    <w:rsid w:val="004703C6"/>
    <w:rsid w:val="00470733"/>
    <w:rsid w:val="00472AF5"/>
    <w:rsid w:val="00472B44"/>
    <w:rsid w:val="00475211"/>
    <w:rsid w:val="004754FB"/>
    <w:rsid w:val="00477C53"/>
    <w:rsid w:val="00477DF1"/>
    <w:rsid w:val="00482857"/>
    <w:rsid w:val="00484123"/>
    <w:rsid w:val="00485380"/>
    <w:rsid w:val="00485DB5"/>
    <w:rsid w:val="00486524"/>
    <w:rsid w:val="004870A2"/>
    <w:rsid w:val="00493D87"/>
    <w:rsid w:val="00493FB5"/>
    <w:rsid w:val="00494799"/>
    <w:rsid w:val="004950D4"/>
    <w:rsid w:val="00495C46"/>
    <w:rsid w:val="004A0506"/>
    <w:rsid w:val="004A2342"/>
    <w:rsid w:val="004A2F62"/>
    <w:rsid w:val="004A2FC5"/>
    <w:rsid w:val="004A5922"/>
    <w:rsid w:val="004A5D8E"/>
    <w:rsid w:val="004A6351"/>
    <w:rsid w:val="004B1529"/>
    <w:rsid w:val="004B1DB8"/>
    <w:rsid w:val="004B28E8"/>
    <w:rsid w:val="004B2CB0"/>
    <w:rsid w:val="004B2F01"/>
    <w:rsid w:val="004B3097"/>
    <w:rsid w:val="004B4000"/>
    <w:rsid w:val="004B4182"/>
    <w:rsid w:val="004B4538"/>
    <w:rsid w:val="004B6FB6"/>
    <w:rsid w:val="004B7083"/>
    <w:rsid w:val="004B73E0"/>
    <w:rsid w:val="004C0564"/>
    <w:rsid w:val="004C52D7"/>
    <w:rsid w:val="004C571D"/>
    <w:rsid w:val="004C62F0"/>
    <w:rsid w:val="004C6B4A"/>
    <w:rsid w:val="004C7AA2"/>
    <w:rsid w:val="004D102C"/>
    <w:rsid w:val="004D2B8A"/>
    <w:rsid w:val="004D35A2"/>
    <w:rsid w:val="004D5FD1"/>
    <w:rsid w:val="004D7154"/>
    <w:rsid w:val="004D71D6"/>
    <w:rsid w:val="004E0BE1"/>
    <w:rsid w:val="004E2D09"/>
    <w:rsid w:val="004E4367"/>
    <w:rsid w:val="004E43BF"/>
    <w:rsid w:val="004E65A0"/>
    <w:rsid w:val="004E7AEE"/>
    <w:rsid w:val="004F21C7"/>
    <w:rsid w:val="004F27C6"/>
    <w:rsid w:val="004F3AA0"/>
    <w:rsid w:val="004F3ACF"/>
    <w:rsid w:val="004F5335"/>
    <w:rsid w:val="004F7C93"/>
    <w:rsid w:val="005006D5"/>
    <w:rsid w:val="00500EDC"/>
    <w:rsid w:val="0050164C"/>
    <w:rsid w:val="00503077"/>
    <w:rsid w:val="00506105"/>
    <w:rsid w:val="005116B7"/>
    <w:rsid w:val="005128B0"/>
    <w:rsid w:val="005128FB"/>
    <w:rsid w:val="00512C76"/>
    <w:rsid w:val="00513162"/>
    <w:rsid w:val="005158E2"/>
    <w:rsid w:val="00522BB2"/>
    <w:rsid w:val="00522EAD"/>
    <w:rsid w:val="00525809"/>
    <w:rsid w:val="005269FF"/>
    <w:rsid w:val="00530449"/>
    <w:rsid w:val="00531138"/>
    <w:rsid w:val="0053492B"/>
    <w:rsid w:val="00534F2D"/>
    <w:rsid w:val="005350F0"/>
    <w:rsid w:val="00535130"/>
    <w:rsid w:val="0053615E"/>
    <w:rsid w:val="00536845"/>
    <w:rsid w:val="00537302"/>
    <w:rsid w:val="005374EC"/>
    <w:rsid w:val="00542691"/>
    <w:rsid w:val="0054559C"/>
    <w:rsid w:val="0054670A"/>
    <w:rsid w:val="00551C5D"/>
    <w:rsid w:val="00553E08"/>
    <w:rsid w:val="005542D8"/>
    <w:rsid w:val="00554CF0"/>
    <w:rsid w:val="00555509"/>
    <w:rsid w:val="0055710D"/>
    <w:rsid w:val="00561C5B"/>
    <w:rsid w:val="005620FD"/>
    <w:rsid w:val="00563BAE"/>
    <w:rsid w:val="00564A66"/>
    <w:rsid w:val="00564F2D"/>
    <w:rsid w:val="00566891"/>
    <w:rsid w:val="00566CDA"/>
    <w:rsid w:val="0056727E"/>
    <w:rsid w:val="005676A9"/>
    <w:rsid w:val="00567BA6"/>
    <w:rsid w:val="00570033"/>
    <w:rsid w:val="00570147"/>
    <w:rsid w:val="0057307E"/>
    <w:rsid w:val="0057350F"/>
    <w:rsid w:val="00573A4C"/>
    <w:rsid w:val="00574B79"/>
    <w:rsid w:val="00574D12"/>
    <w:rsid w:val="00575A3F"/>
    <w:rsid w:val="00576006"/>
    <w:rsid w:val="005800B4"/>
    <w:rsid w:val="0058070B"/>
    <w:rsid w:val="0058296F"/>
    <w:rsid w:val="00582C16"/>
    <w:rsid w:val="005834AA"/>
    <w:rsid w:val="00585BB8"/>
    <w:rsid w:val="005872BF"/>
    <w:rsid w:val="00591C8E"/>
    <w:rsid w:val="00591D66"/>
    <w:rsid w:val="0059549B"/>
    <w:rsid w:val="00595E80"/>
    <w:rsid w:val="0059650E"/>
    <w:rsid w:val="00596953"/>
    <w:rsid w:val="00597CFE"/>
    <w:rsid w:val="005A1B17"/>
    <w:rsid w:val="005A1D35"/>
    <w:rsid w:val="005A4B68"/>
    <w:rsid w:val="005A4EE9"/>
    <w:rsid w:val="005A54AC"/>
    <w:rsid w:val="005A6030"/>
    <w:rsid w:val="005B0263"/>
    <w:rsid w:val="005B0B00"/>
    <w:rsid w:val="005B1521"/>
    <w:rsid w:val="005B1641"/>
    <w:rsid w:val="005B2D90"/>
    <w:rsid w:val="005B3459"/>
    <w:rsid w:val="005B42F9"/>
    <w:rsid w:val="005B57AD"/>
    <w:rsid w:val="005B722E"/>
    <w:rsid w:val="005C02FE"/>
    <w:rsid w:val="005C43DB"/>
    <w:rsid w:val="005C50AC"/>
    <w:rsid w:val="005C519E"/>
    <w:rsid w:val="005C55F1"/>
    <w:rsid w:val="005C6406"/>
    <w:rsid w:val="005C7037"/>
    <w:rsid w:val="005D01C0"/>
    <w:rsid w:val="005D0892"/>
    <w:rsid w:val="005D1D83"/>
    <w:rsid w:val="005D2220"/>
    <w:rsid w:val="005D5FD1"/>
    <w:rsid w:val="005D6423"/>
    <w:rsid w:val="005D69D1"/>
    <w:rsid w:val="005D6F11"/>
    <w:rsid w:val="005E0C18"/>
    <w:rsid w:val="005E210D"/>
    <w:rsid w:val="005E37B7"/>
    <w:rsid w:val="005E6487"/>
    <w:rsid w:val="005E67BD"/>
    <w:rsid w:val="005F0F50"/>
    <w:rsid w:val="005F162A"/>
    <w:rsid w:val="005F2425"/>
    <w:rsid w:val="005F5EC7"/>
    <w:rsid w:val="005F7207"/>
    <w:rsid w:val="005F7FCF"/>
    <w:rsid w:val="0060072A"/>
    <w:rsid w:val="006009E5"/>
    <w:rsid w:val="00604318"/>
    <w:rsid w:val="00604C9B"/>
    <w:rsid w:val="00604CA9"/>
    <w:rsid w:val="00606ED4"/>
    <w:rsid w:val="00607691"/>
    <w:rsid w:val="0061062C"/>
    <w:rsid w:val="00612BBC"/>
    <w:rsid w:val="00613183"/>
    <w:rsid w:val="006133F0"/>
    <w:rsid w:val="006144FF"/>
    <w:rsid w:val="00616888"/>
    <w:rsid w:val="006176BE"/>
    <w:rsid w:val="006212CB"/>
    <w:rsid w:val="006223BA"/>
    <w:rsid w:val="006229FC"/>
    <w:rsid w:val="00623D72"/>
    <w:rsid w:val="006246E4"/>
    <w:rsid w:val="00626C2E"/>
    <w:rsid w:val="006279F9"/>
    <w:rsid w:val="00627DAB"/>
    <w:rsid w:val="006335A8"/>
    <w:rsid w:val="00634DA8"/>
    <w:rsid w:val="00635815"/>
    <w:rsid w:val="006369EE"/>
    <w:rsid w:val="00637E8D"/>
    <w:rsid w:val="00641636"/>
    <w:rsid w:val="00642C2C"/>
    <w:rsid w:val="0064602F"/>
    <w:rsid w:val="00646EE3"/>
    <w:rsid w:val="0064700E"/>
    <w:rsid w:val="00650677"/>
    <w:rsid w:val="00650911"/>
    <w:rsid w:val="006531C1"/>
    <w:rsid w:val="00653585"/>
    <w:rsid w:val="00654DE3"/>
    <w:rsid w:val="0065598E"/>
    <w:rsid w:val="00662DB2"/>
    <w:rsid w:val="00663080"/>
    <w:rsid w:val="006651C4"/>
    <w:rsid w:val="00665876"/>
    <w:rsid w:val="00666C5C"/>
    <w:rsid w:val="00667A45"/>
    <w:rsid w:val="00672325"/>
    <w:rsid w:val="0067287A"/>
    <w:rsid w:val="006736A9"/>
    <w:rsid w:val="00673BC7"/>
    <w:rsid w:val="00674975"/>
    <w:rsid w:val="00675D39"/>
    <w:rsid w:val="00676EF6"/>
    <w:rsid w:val="00677FBA"/>
    <w:rsid w:val="00681CA6"/>
    <w:rsid w:val="0068391B"/>
    <w:rsid w:val="0068560B"/>
    <w:rsid w:val="00685E59"/>
    <w:rsid w:val="00693587"/>
    <w:rsid w:val="00693DFA"/>
    <w:rsid w:val="00697246"/>
    <w:rsid w:val="006A1277"/>
    <w:rsid w:val="006A1523"/>
    <w:rsid w:val="006A1959"/>
    <w:rsid w:val="006A1EE4"/>
    <w:rsid w:val="006A2602"/>
    <w:rsid w:val="006A2D41"/>
    <w:rsid w:val="006A2FB6"/>
    <w:rsid w:val="006A67E1"/>
    <w:rsid w:val="006A7B17"/>
    <w:rsid w:val="006B0EB5"/>
    <w:rsid w:val="006B1437"/>
    <w:rsid w:val="006B186F"/>
    <w:rsid w:val="006B3302"/>
    <w:rsid w:val="006C02F4"/>
    <w:rsid w:val="006C0B24"/>
    <w:rsid w:val="006C36FB"/>
    <w:rsid w:val="006C38EC"/>
    <w:rsid w:val="006C56A8"/>
    <w:rsid w:val="006C7254"/>
    <w:rsid w:val="006C7D62"/>
    <w:rsid w:val="006D0B23"/>
    <w:rsid w:val="006D0DC4"/>
    <w:rsid w:val="006D2ED6"/>
    <w:rsid w:val="006D3E33"/>
    <w:rsid w:val="006D5685"/>
    <w:rsid w:val="006D5730"/>
    <w:rsid w:val="006D5B51"/>
    <w:rsid w:val="006E173D"/>
    <w:rsid w:val="006E1987"/>
    <w:rsid w:val="006E1BAE"/>
    <w:rsid w:val="006E23B2"/>
    <w:rsid w:val="006E2766"/>
    <w:rsid w:val="006E35C8"/>
    <w:rsid w:val="006E48EA"/>
    <w:rsid w:val="006E5207"/>
    <w:rsid w:val="006F48EB"/>
    <w:rsid w:val="006F4A2B"/>
    <w:rsid w:val="006F5C70"/>
    <w:rsid w:val="006F6A20"/>
    <w:rsid w:val="007047B2"/>
    <w:rsid w:val="00704DE7"/>
    <w:rsid w:val="0070633B"/>
    <w:rsid w:val="00706868"/>
    <w:rsid w:val="007078B8"/>
    <w:rsid w:val="00707D8B"/>
    <w:rsid w:val="007100CF"/>
    <w:rsid w:val="00711C01"/>
    <w:rsid w:val="00712172"/>
    <w:rsid w:val="00713310"/>
    <w:rsid w:val="007140EF"/>
    <w:rsid w:val="007147B9"/>
    <w:rsid w:val="00715E32"/>
    <w:rsid w:val="00715FEA"/>
    <w:rsid w:val="007162D1"/>
    <w:rsid w:val="00716335"/>
    <w:rsid w:val="00716463"/>
    <w:rsid w:val="0071706E"/>
    <w:rsid w:val="007179B2"/>
    <w:rsid w:val="00722DD7"/>
    <w:rsid w:val="007254E2"/>
    <w:rsid w:val="00727292"/>
    <w:rsid w:val="00727F88"/>
    <w:rsid w:val="007321B3"/>
    <w:rsid w:val="00733B9F"/>
    <w:rsid w:val="00734303"/>
    <w:rsid w:val="007347A6"/>
    <w:rsid w:val="007358A8"/>
    <w:rsid w:val="0073622B"/>
    <w:rsid w:val="007362CE"/>
    <w:rsid w:val="00742F6A"/>
    <w:rsid w:val="007437FD"/>
    <w:rsid w:val="00744042"/>
    <w:rsid w:val="007446E8"/>
    <w:rsid w:val="0074583C"/>
    <w:rsid w:val="00750925"/>
    <w:rsid w:val="00750F88"/>
    <w:rsid w:val="00751553"/>
    <w:rsid w:val="0075165E"/>
    <w:rsid w:val="00752074"/>
    <w:rsid w:val="00752D8D"/>
    <w:rsid w:val="007541A8"/>
    <w:rsid w:val="00754E10"/>
    <w:rsid w:val="00755052"/>
    <w:rsid w:val="00755608"/>
    <w:rsid w:val="00755EB0"/>
    <w:rsid w:val="00756F71"/>
    <w:rsid w:val="00757D78"/>
    <w:rsid w:val="00762A29"/>
    <w:rsid w:val="0076327D"/>
    <w:rsid w:val="007658FE"/>
    <w:rsid w:val="00767432"/>
    <w:rsid w:val="00767745"/>
    <w:rsid w:val="007707FC"/>
    <w:rsid w:val="00770BE3"/>
    <w:rsid w:val="0077147C"/>
    <w:rsid w:val="0077177A"/>
    <w:rsid w:val="007728A8"/>
    <w:rsid w:val="00774F4B"/>
    <w:rsid w:val="00776BEC"/>
    <w:rsid w:val="00780510"/>
    <w:rsid w:val="007818D7"/>
    <w:rsid w:val="00781902"/>
    <w:rsid w:val="00783F3D"/>
    <w:rsid w:val="007844BD"/>
    <w:rsid w:val="0078502D"/>
    <w:rsid w:val="00785A76"/>
    <w:rsid w:val="00786AF2"/>
    <w:rsid w:val="00786C22"/>
    <w:rsid w:val="0078737F"/>
    <w:rsid w:val="00787852"/>
    <w:rsid w:val="007915BC"/>
    <w:rsid w:val="00794738"/>
    <w:rsid w:val="007948C1"/>
    <w:rsid w:val="00795364"/>
    <w:rsid w:val="007967FA"/>
    <w:rsid w:val="00797E7A"/>
    <w:rsid w:val="007A0EA6"/>
    <w:rsid w:val="007A2D9E"/>
    <w:rsid w:val="007A4440"/>
    <w:rsid w:val="007A6ECE"/>
    <w:rsid w:val="007A75E2"/>
    <w:rsid w:val="007B0381"/>
    <w:rsid w:val="007B0F3D"/>
    <w:rsid w:val="007B148D"/>
    <w:rsid w:val="007B18C8"/>
    <w:rsid w:val="007B238F"/>
    <w:rsid w:val="007B28DE"/>
    <w:rsid w:val="007B3003"/>
    <w:rsid w:val="007B37D8"/>
    <w:rsid w:val="007B47F1"/>
    <w:rsid w:val="007B49FB"/>
    <w:rsid w:val="007B4E9B"/>
    <w:rsid w:val="007B732E"/>
    <w:rsid w:val="007B7A5F"/>
    <w:rsid w:val="007C0A38"/>
    <w:rsid w:val="007C34F0"/>
    <w:rsid w:val="007C3651"/>
    <w:rsid w:val="007C36BE"/>
    <w:rsid w:val="007C65EE"/>
    <w:rsid w:val="007C7447"/>
    <w:rsid w:val="007D1E70"/>
    <w:rsid w:val="007D53ED"/>
    <w:rsid w:val="007D58A4"/>
    <w:rsid w:val="007D6001"/>
    <w:rsid w:val="007D777A"/>
    <w:rsid w:val="007D7F94"/>
    <w:rsid w:val="007E1B76"/>
    <w:rsid w:val="007E1F42"/>
    <w:rsid w:val="007E219A"/>
    <w:rsid w:val="007E2B0A"/>
    <w:rsid w:val="007E37BF"/>
    <w:rsid w:val="007E4FB6"/>
    <w:rsid w:val="007E55E4"/>
    <w:rsid w:val="007E6593"/>
    <w:rsid w:val="007F03ED"/>
    <w:rsid w:val="007F1101"/>
    <w:rsid w:val="007F1F26"/>
    <w:rsid w:val="007F257C"/>
    <w:rsid w:val="007F2CB1"/>
    <w:rsid w:val="007F3D06"/>
    <w:rsid w:val="007F5800"/>
    <w:rsid w:val="007F63F2"/>
    <w:rsid w:val="007F7308"/>
    <w:rsid w:val="007F7777"/>
    <w:rsid w:val="00803D20"/>
    <w:rsid w:val="00810C29"/>
    <w:rsid w:val="008112A0"/>
    <w:rsid w:val="008149A3"/>
    <w:rsid w:val="0081696D"/>
    <w:rsid w:val="00816E01"/>
    <w:rsid w:val="008173D0"/>
    <w:rsid w:val="0082043D"/>
    <w:rsid w:val="00822C0B"/>
    <w:rsid w:val="00823235"/>
    <w:rsid w:val="008249F1"/>
    <w:rsid w:val="00824AF2"/>
    <w:rsid w:val="00826686"/>
    <w:rsid w:val="00827DC2"/>
    <w:rsid w:val="00831374"/>
    <w:rsid w:val="008313CB"/>
    <w:rsid w:val="00835563"/>
    <w:rsid w:val="00836511"/>
    <w:rsid w:val="00836B02"/>
    <w:rsid w:val="00836EC6"/>
    <w:rsid w:val="0083741E"/>
    <w:rsid w:val="00837985"/>
    <w:rsid w:val="00837FB2"/>
    <w:rsid w:val="00840E3D"/>
    <w:rsid w:val="00841D8C"/>
    <w:rsid w:val="00842220"/>
    <w:rsid w:val="00843A91"/>
    <w:rsid w:val="00844111"/>
    <w:rsid w:val="00844F74"/>
    <w:rsid w:val="00846382"/>
    <w:rsid w:val="00847167"/>
    <w:rsid w:val="00847263"/>
    <w:rsid w:val="00847AF3"/>
    <w:rsid w:val="00847E41"/>
    <w:rsid w:val="00850F57"/>
    <w:rsid w:val="00852B1B"/>
    <w:rsid w:val="00852F61"/>
    <w:rsid w:val="008536C2"/>
    <w:rsid w:val="0085372C"/>
    <w:rsid w:val="008600C7"/>
    <w:rsid w:val="008607DE"/>
    <w:rsid w:val="008610CD"/>
    <w:rsid w:val="008617D0"/>
    <w:rsid w:val="00861A60"/>
    <w:rsid w:val="00861A8E"/>
    <w:rsid w:val="00861DBD"/>
    <w:rsid w:val="00862357"/>
    <w:rsid w:val="00862D02"/>
    <w:rsid w:val="008637B9"/>
    <w:rsid w:val="00864194"/>
    <w:rsid w:val="00865EA3"/>
    <w:rsid w:val="00870045"/>
    <w:rsid w:val="00870322"/>
    <w:rsid w:val="00870399"/>
    <w:rsid w:val="008706EA"/>
    <w:rsid w:val="008711EC"/>
    <w:rsid w:val="008718FE"/>
    <w:rsid w:val="00872946"/>
    <w:rsid w:val="008738F7"/>
    <w:rsid w:val="00874787"/>
    <w:rsid w:val="00876B91"/>
    <w:rsid w:val="00880BC2"/>
    <w:rsid w:val="00883928"/>
    <w:rsid w:val="00883DDE"/>
    <w:rsid w:val="0088400C"/>
    <w:rsid w:val="00886638"/>
    <w:rsid w:val="00890701"/>
    <w:rsid w:val="00891D73"/>
    <w:rsid w:val="00892A44"/>
    <w:rsid w:val="0089331C"/>
    <w:rsid w:val="00893C29"/>
    <w:rsid w:val="00896630"/>
    <w:rsid w:val="00896CA9"/>
    <w:rsid w:val="0089716E"/>
    <w:rsid w:val="008A2DE8"/>
    <w:rsid w:val="008A312D"/>
    <w:rsid w:val="008A3B8A"/>
    <w:rsid w:val="008A3E09"/>
    <w:rsid w:val="008A3E57"/>
    <w:rsid w:val="008A5DB6"/>
    <w:rsid w:val="008A77A7"/>
    <w:rsid w:val="008A7AFB"/>
    <w:rsid w:val="008B2254"/>
    <w:rsid w:val="008B3F34"/>
    <w:rsid w:val="008B7C3B"/>
    <w:rsid w:val="008C1179"/>
    <w:rsid w:val="008C1484"/>
    <w:rsid w:val="008C1E01"/>
    <w:rsid w:val="008C2317"/>
    <w:rsid w:val="008C3200"/>
    <w:rsid w:val="008C506B"/>
    <w:rsid w:val="008C516B"/>
    <w:rsid w:val="008C56B9"/>
    <w:rsid w:val="008C5747"/>
    <w:rsid w:val="008C6DED"/>
    <w:rsid w:val="008D05E0"/>
    <w:rsid w:val="008D1E52"/>
    <w:rsid w:val="008D1F6E"/>
    <w:rsid w:val="008D2600"/>
    <w:rsid w:val="008E0AC0"/>
    <w:rsid w:val="008E221A"/>
    <w:rsid w:val="008E3774"/>
    <w:rsid w:val="008E3944"/>
    <w:rsid w:val="008E3FFE"/>
    <w:rsid w:val="008E60BE"/>
    <w:rsid w:val="008E6B74"/>
    <w:rsid w:val="008F0FAF"/>
    <w:rsid w:val="008F1B80"/>
    <w:rsid w:val="008F46CD"/>
    <w:rsid w:val="008F4F12"/>
    <w:rsid w:val="008F56FC"/>
    <w:rsid w:val="008F58E6"/>
    <w:rsid w:val="008F61FB"/>
    <w:rsid w:val="008F6480"/>
    <w:rsid w:val="008F6B09"/>
    <w:rsid w:val="008F6E54"/>
    <w:rsid w:val="008F7740"/>
    <w:rsid w:val="00900CA2"/>
    <w:rsid w:val="00901AEA"/>
    <w:rsid w:val="00902B9C"/>
    <w:rsid w:val="00903653"/>
    <w:rsid w:val="00903D4D"/>
    <w:rsid w:val="00904C7F"/>
    <w:rsid w:val="00907FCD"/>
    <w:rsid w:val="00910A52"/>
    <w:rsid w:val="00911479"/>
    <w:rsid w:val="0091224A"/>
    <w:rsid w:val="00913330"/>
    <w:rsid w:val="00913585"/>
    <w:rsid w:val="0091484D"/>
    <w:rsid w:val="0092155E"/>
    <w:rsid w:val="00923272"/>
    <w:rsid w:val="0092584A"/>
    <w:rsid w:val="00925E71"/>
    <w:rsid w:val="00927EE1"/>
    <w:rsid w:val="00933225"/>
    <w:rsid w:val="0093329F"/>
    <w:rsid w:val="009340EC"/>
    <w:rsid w:val="00937043"/>
    <w:rsid w:val="0094114C"/>
    <w:rsid w:val="0094179B"/>
    <w:rsid w:val="00942BD9"/>
    <w:rsid w:val="009444B0"/>
    <w:rsid w:val="009445D3"/>
    <w:rsid w:val="0094529C"/>
    <w:rsid w:val="009461A1"/>
    <w:rsid w:val="00946655"/>
    <w:rsid w:val="009475DA"/>
    <w:rsid w:val="00947B58"/>
    <w:rsid w:val="00947D46"/>
    <w:rsid w:val="0095134D"/>
    <w:rsid w:val="009526BE"/>
    <w:rsid w:val="00954DA6"/>
    <w:rsid w:val="00955A8A"/>
    <w:rsid w:val="0095666D"/>
    <w:rsid w:val="0096071E"/>
    <w:rsid w:val="00960815"/>
    <w:rsid w:val="009626C6"/>
    <w:rsid w:val="0096299F"/>
    <w:rsid w:val="0096400D"/>
    <w:rsid w:val="00965CB2"/>
    <w:rsid w:val="0096642E"/>
    <w:rsid w:val="00966600"/>
    <w:rsid w:val="00966B08"/>
    <w:rsid w:val="009671D9"/>
    <w:rsid w:val="00971352"/>
    <w:rsid w:val="00971BBF"/>
    <w:rsid w:val="00975E5B"/>
    <w:rsid w:val="00977C8F"/>
    <w:rsid w:val="00977F94"/>
    <w:rsid w:val="009824C5"/>
    <w:rsid w:val="00983F94"/>
    <w:rsid w:val="009863E9"/>
    <w:rsid w:val="00992E20"/>
    <w:rsid w:val="009936FC"/>
    <w:rsid w:val="00993925"/>
    <w:rsid w:val="00993977"/>
    <w:rsid w:val="00996CD5"/>
    <w:rsid w:val="009A05D1"/>
    <w:rsid w:val="009A06D1"/>
    <w:rsid w:val="009A1A27"/>
    <w:rsid w:val="009A1CB7"/>
    <w:rsid w:val="009A28AC"/>
    <w:rsid w:val="009A3A5B"/>
    <w:rsid w:val="009A3F2A"/>
    <w:rsid w:val="009A48E6"/>
    <w:rsid w:val="009A48F6"/>
    <w:rsid w:val="009A4D30"/>
    <w:rsid w:val="009A4D9C"/>
    <w:rsid w:val="009A60DC"/>
    <w:rsid w:val="009A7993"/>
    <w:rsid w:val="009B298D"/>
    <w:rsid w:val="009B2AAC"/>
    <w:rsid w:val="009B3521"/>
    <w:rsid w:val="009B405A"/>
    <w:rsid w:val="009B541C"/>
    <w:rsid w:val="009B6849"/>
    <w:rsid w:val="009B728B"/>
    <w:rsid w:val="009B7299"/>
    <w:rsid w:val="009C04BF"/>
    <w:rsid w:val="009C1964"/>
    <w:rsid w:val="009C336E"/>
    <w:rsid w:val="009C4460"/>
    <w:rsid w:val="009C4781"/>
    <w:rsid w:val="009C551F"/>
    <w:rsid w:val="009C5F4C"/>
    <w:rsid w:val="009C65EF"/>
    <w:rsid w:val="009D3BCB"/>
    <w:rsid w:val="009D4355"/>
    <w:rsid w:val="009D7192"/>
    <w:rsid w:val="009E0E38"/>
    <w:rsid w:val="009E1A35"/>
    <w:rsid w:val="009E1FD3"/>
    <w:rsid w:val="009E262B"/>
    <w:rsid w:val="009F09AA"/>
    <w:rsid w:val="009F2C16"/>
    <w:rsid w:val="009F2C1B"/>
    <w:rsid w:val="009F335C"/>
    <w:rsid w:val="009F6F49"/>
    <w:rsid w:val="00A002B5"/>
    <w:rsid w:val="00A02392"/>
    <w:rsid w:val="00A0260C"/>
    <w:rsid w:val="00A041B5"/>
    <w:rsid w:val="00A04F8C"/>
    <w:rsid w:val="00A05125"/>
    <w:rsid w:val="00A05158"/>
    <w:rsid w:val="00A05785"/>
    <w:rsid w:val="00A05CF1"/>
    <w:rsid w:val="00A0726A"/>
    <w:rsid w:val="00A07E3E"/>
    <w:rsid w:val="00A1110A"/>
    <w:rsid w:val="00A13BF5"/>
    <w:rsid w:val="00A142A6"/>
    <w:rsid w:val="00A14837"/>
    <w:rsid w:val="00A16697"/>
    <w:rsid w:val="00A213E3"/>
    <w:rsid w:val="00A225E3"/>
    <w:rsid w:val="00A23A26"/>
    <w:rsid w:val="00A24A8F"/>
    <w:rsid w:val="00A2554F"/>
    <w:rsid w:val="00A25708"/>
    <w:rsid w:val="00A25BF0"/>
    <w:rsid w:val="00A270D4"/>
    <w:rsid w:val="00A3026E"/>
    <w:rsid w:val="00A313A4"/>
    <w:rsid w:val="00A340B3"/>
    <w:rsid w:val="00A35773"/>
    <w:rsid w:val="00A35803"/>
    <w:rsid w:val="00A37EA5"/>
    <w:rsid w:val="00A407AE"/>
    <w:rsid w:val="00A42200"/>
    <w:rsid w:val="00A4284C"/>
    <w:rsid w:val="00A42C85"/>
    <w:rsid w:val="00A42F39"/>
    <w:rsid w:val="00A4362A"/>
    <w:rsid w:val="00A4576A"/>
    <w:rsid w:val="00A45AD0"/>
    <w:rsid w:val="00A45EE9"/>
    <w:rsid w:val="00A47F7D"/>
    <w:rsid w:val="00A47FF0"/>
    <w:rsid w:val="00A51D72"/>
    <w:rsid w:val="00A53C14"/>
    <w:rsid w:val="00A5413A"/>
    <w:rsid w:val="00A54603"/>
    <w:rsid w:val="00A54EE1"/>
    <w:rsid w:val="00A576C8"/>
    <w:rsid w:val="00A61410"/>
    <w:rsid w:val="00A6198A"/>
    <w:rsid w:val="00A62D0B"/>
    <w:rsid w:val="00A641D0"/>
    <w:rsid w:val="00A65108"/>
    <w:rsid w:val="00A65396"/>
    <w:rsid w:val="00A67AD2"/>
    <w:rsid w:val="00A7067F"/>
    <w:rsid w:val="00A707A7"/>
    <w:rsid w:val="00A718FD"/>
    <w:rsid w:val="00A72341"/>
    <w:rsid w:val="00A73B81"/>
    <w:rsid w:val="00A776ED"/>
    <w:rsid w:val="00A804A7"/>
    <w:rsid w:val="00A80653"/>
    <w:rsid w:val="00A80E50"/>
    <w:rsid w:val="00A83663"/>
    <w:rsid w:val="00A83B0F"/>
    <w:rsid w:val="00A84216"/>
    <w:rsid w:val="00A847C4"/>
    <w:rsid w:val="00A90BFA"/>
    <w:rsid w:val="00A92BF3"/>
    <w:rsid w:val="00A92F82"/>
    <w:rsid w:val="00A943C8"/>
    <w:rsid w:val="00A950A4"/>
    <w:rsid w:val="00A9520D"/>
    <w:rsid w:val="00A9747D"/>
    <w:rsid w:val="00AA00A6"/>
    <w:rsid w:val="00AA09EB"/>
    <w:rsid w:val="00AA1638"/>
    <w:rsid w:val="00AA272E"/>
    <w:rsid w:val="00AA347A"/>
    <w:rsid w:val="00AA5471"/>
    <w:rsid w:val="00AA6BA8"/>
    <w:rsid w:val="00AA7A1F"/>
    <w:rsid w:val="00AA7B49"/>
    <w:rsid w:val="00AA7F5A"/>
    <w:rsid w:val="00AB2340"/>
    <w:rsid w:val="00AB42C3"/>
    <w:rsid w:val="00AB47BA"/>
    <w:rsid w:val="00AB4F6B"/>
    <w:rsid w:val="00AB5FE4"/>
    <w:rsid w:val="00AB659D"/>
    <w:rsid w:val="00AC229F"/>
    <w:rsid w:val="00AC38F0"/>
    <w:rsid w:val="00AC78F3"/>
    <w:rsid w:val="00AC7A00"/>
    <w:rsid w:val="00AD2452"/>
    <w:rsid w:val="00AD28E1"/>
    <w:rsid w:val="00AD3EE4"/>
    <w:rsid w:val="00AD7671"/>
    <w:rsid w:val="00AE2266"/>
    <w:rsid w:val="00AE53E8"/>
    <w:rsid w:val="00AE6053"/>
    <w:rsid w:val="00AE6FE4"/>
    <w:rsid w:val="00AE7A2C"/>
    <w:rsid w:val="00AF2059"/>
    <w:rsid w:val="00AF2305"/>
    <w:rsid w:val="00AF26C6"/>
    <w:rsid w:val="00AF3D84"/>
    <w:rsid w:val="00AF4161"/>
    <w:rsid w:val="00AF580B"/>
    <w:rsid w:val="00AF5FBB"/>
    <w:rsid w:val="00AF6CBA"/>
    <w:rsid w:val="00B005D0"/>
    <w:rsid w:val="00B007C8"/>
    <w:rsid w:val="00B0290F"/>
    <w:rsid w:val="00B0306D"/>
    <w:rsid w:val="00B13448"/>
    <w:rsid w:val="00B14410"/>
    <w:rsid w:val="00B15E61"/>
    <w:rsid w:val="00B16CBE"/>
    <w:rsid w:val="00B172CE"/>
    <w:rsid w:val="00B1765E"/>
    <w:rsid w:val="00B178B3"/>
    <w:rsid w:val="00B23480"/>
    <w:rsid w:val="00B24F35"/>
    <w:rsid w:val="00B26EDD"/>
    <w:rsid w:val="00B27DCA"/>
    <w:rsid w:val="00B32C88"/>
    <w:rsid w:val="00B34747"/>
    <w:rsid w:val="00B37E91"/>
    <w:rsid w:val="00B405A2"/>
    <w:rsid w:val="00B42E49"/>
    <w:rsid w:val="00B44B58"/>
    <w:rsid w:val="00B46391"/>
    <w:rsid w:val="00B472BD"/>
    <w:rsid w:val="00B500D3"/>
    <w:rsid w:val="00B50903"/>
    <w:rsid w:val="00B52C46"/>
    <w:rsid w:val="00B52F00"/>
    <w:rsid w:val="00B61185"/>
    <w:rsid w:val="00B613A8"/>
    <w:rsid w:val="00B61DC2"/>
    <w:rsid w:val="00B62FFE"/>
    <w:rsid w:val="00B65013"/>
    <w:rsid w:val="00B657B6"/>
    <w:rsid w:val="00B65973"/>
    <w:rsid w:val="00B6796D"/>
    <w:rsid w:val="00B7123A"/>
    <w:rsid w:val="00B727CB"/>
    <w:rsid w:val="00B72879"/>
    <w:rsid w:val="00B7435C"/>
    <w:rsid w:val="00B76E3E"/>
    <w:rsid w:val="00B76F38"/>
    <w:rsid w:val="00B80697"/>
    <w:rsid w:val="00B8085D"/>
    <w:rsid w:val="00B81224"/>
    <w:rsid w:val="00B81EFF"/>
    <w:rsid w:val="00B832B5"/>
    <w:rsid w:val="00B836BB"/>
    <w:rsid w:val="00B83ACF"/>
    <w:rsid w:val="00B83BCD"/>
    <w:rsid w:val="00B84122"/>
    <w:rsid w:val="00B86136"/>
    <w:rsid w:val="00B862B0"/>
    <w:rsid w:val="00B872B1"/>
    <w:rsid w:val="00B90792"/>
    <w:rsid w:val="00B92864"/>
    <w:rsid w:val="00B92D1F"/>
    <w:rsid w:val="00B93F1F"/>
    <w:rsid w:val="00BA0060"/>
    <w:rsid w:val="00BA2B7C"/>
    <w:rsid w:val="00BA4BED"/>
    <w:rsid w:val="00BA5073"/>
    <w:rsid w:val="00BA6282"/>
    <w:rsid w:val="00BB142A"/>
    <w:rsid w:val="00BB18A7"/>
    <w:rsid w:val="00BB3431"/>
    <w:rsid w:val="00BB34B9"/>
    <w:rsid w:val="00BB35C2"/>
    <w:rsid w:val="00BB3D34"/>
    <w:rsid w:val="00BB490F"/>
    <w:rsid w:val="00BB553B"/>
    <w:rsid w:val="00BC0A31"/>
    <w:rsid w:val="00BC28D7"/>
    <w:rsid w:val="00BC36A4"/>
    <w:rsid w:val="00BC376C"/>
    <w:rsid w:val="00BC3FE1"/>
    <w:rsid w:val="00BC600A"/>
    <w:rsid w:val="00BC6321"/>
    <w:rsid w:val="00BC76AB"/>
    <w:rsid w:val="00BC7817"/>
    <w:rsid w:val="00BC7977"/>
    <w:rsid w:val="00BD0164"/>
    <w:rsid w:val="00BD071B"/>
    <w:rsid w:val="00BD19F0"/>
    <w:rsid w:val="00BD1FF7"/>
    <w:rsid w:val="00BD2BC2"/>
    <w:rsid w:val="00BD3819"/>
    <w:rsid w:val="00BD642D"/>
    <w:rsid w:val="00BD6988"/>
    <w:rsid w:val="00BD6C3A"/>
    <w:rsid w:val="00BD6CE9"/>
    <w:rsid w:val="00BE13AC"/>
    <w:rsid w:val="00BE1A77"/>
    <w:rsid w:val="00BE355F"/>
    <w:rsid w:val="00BE4505"/>
    <w:rsid w:val="00BE4742"/>
    <w:rsid w:val="00BE7383"/>
    <w:rsid w:val="00BE754D"/>
    <w:rsid w:val="00BF0A28"/>
    <w:rsid w:val="00BF1DB9"/>
    <w:rsid w:val="00BF3980"/>
    <w:rsid w:val="00BF4AC9"/>
    <w:rsid w:val="00BF67DC"/>
    <w:rsid w:val="00BF6D10"/>
    <w:rsid w:val="00BF6E79"/>
    <w:rsid w:val="00C009E2"/>
    <w:rsid w:val="00C00AE6"/>
    <w:rsid w:val="00C03F2B"/>
    <w:rsid w:val="00C03F6C"/>
    <w:rsid w:val="00C04137"/>
    <w:rsid w:val="00C0458D"/>
    <w:rsid w:val="00C10ECB"/>
    <w:rsid w:val="00C115DD"/>
    <w:rsid w:val="00C11FC2"/>
    <w:rsid w:val="00C120AF"/>
    <w:rsid w:val="00C12108"/>
    <w:rsid w:val="00C121D9"/>
    <w:rsid w:val="00C13453"/>
    <w:rsid w:val="00C21FD8"/>
    <w:rsid w:val="00C220F9"/>
    <w:rsid w:val="00C228C6"/>
    <w:rsid w:val="00C243DE"/>
    <w:rsid w:val="00C24892"/>
    <w:rsid w:val="00C2541C"/>
    <w:rsid w:val="00C26862"/>
    <w:rsid w:val="00C30458"/>
    <w:rsid w:val="00C30957"/>
    <w:rsid w:val="00C31A72"/>
    <w:rsid w:val="00C31DA6"/>
    <w:rsid w:val="00C33260"/>
    <w:rsid w:val="00C33609"/>
    <w:rsid w:val="00C34249"/>
    <w:rsid w:val="00C36794"/>
    <w:rsid w:val="00C373B8"/>
    <w:rsid w:val="00C43957"/>
    <w:rsid w:val="00C43F27"/>
    <w:rsid w:val="00C44472"/>
    <w:rsid w:val="00C4598F"/>
    <w:rsid w:val="00C46A7F"/>
    <w:rsid w:val="00C46AC4"/>
    <w:rsid w:val="00C50360"/>
    <w:rsid w:val="00C5221D"/>
    <w:rsid w:val="00C54E12"/>
    <w:rsid w:val="00C55468"/>
    <w:rsid w:val="00C622C3"/>
    <w:rsid w:val="00C62EBA"/>
    <w:rsid w:val="00C63BD5"/>
    <w:rsid w:val="00C6727F"/>
    <w:rsid w:val="00C6781A"/>
    <w:rsid w:val="00C6794A"/>
    <w:rsid w:val="00C7093D"/>
    <w:rsid w:val="00C70FA4"/>
    <w:rsid w:val="00C72112"/>
    <w:rsid w:val="00C74906"/>
    <w:rsid w:val="00C763AF"/>
    <w:rsid w:val="00C76ED6"/>
    <w:rsid w:val="00C77D2F"/>
    <w:rsid w:val="00C8098B"/>
    <w:rsid w:val="00C81AD8"/>
    <w:rsid w:val="00C81B40"/>
    <w:rsid w:val="00C81FEA"/>
    <w:rsid w:val="00C82E98"/>
    <w:rsid w:val="00C83969"/>
    <w:rsid w:val="00C83E2F"/>
    <w:rsid w:val="00C86C95"/>
    <w:rsid w:val="00C86EBD"/>
    <w:rsid w:val="00C86F0B"/>
    <w:rsid w:val="00C909BC"/>
    <w:rsid w:val="00C92A5C"/>
    <w:rsid w:val="00C96784"/>
    <w:rsid w:val="00C96C2C"/>
    <w:rsid w:val="00C9762F"/>
    <w:rsid w:val="00CA0390"/>
    <w:rsid w:val="00CA05EB"/>
    <w:rsid w:val="00CA0D37"/>
    <w:rsid w:val="00CA0F70"/>
    <w:rsid w:val="00CA296A"/>
    <w:rsid w:val="00CA3515"/>
    <w:rsid w:val="00CA3A05"/>
    <w:rsid w:val="00CA4580"/>
    <w:rsid w:val="00CA4CD3"/>
    <w:rsid w:val="00CA5D98"/>
    <w:rsid w:val="00CA6DE7"/>
    <w:rsid w:val="00CB14E9"/>
    <w:rsid w:val="00CB3013"/>
    <w:rsid w:val="00CB6D90"/>
    <w:rsid w:val="00CB6ECB"/>
    <w:rsid w:val="00CB72C3"/>
    <w:rsid w:val="00CC45E4"/>
    <w:rsid w:val="00CC473F"/>
    <w:rsid w:val="00CC704D"/>
    <w:rsid w:val="00CD019F"/>
    <w:rsid w:val="00CD27C5"/>
    <w:rsid w:val="00CD2981"/>
    <w:rsid w:val="00CD4657"/>
    <w:rsid w:val="00CD4E80"/>
    <w:rsid w:val="00CD5697"/>
    <w:rsid w:val="00CE1094"/>
    <w:rsid w:val="00CE115F"/>
    <w:rsid w:val="00CE4169"/>
    <w:rsid w:val="00CE7894"/>
    <w:rsid w:val="00CE7983"/>
    <w:rsid w:val="00CF04E5"/>
    <w:rsid w:val="00CF06A1"/>
    <w:rsid w:val="00CF1467"/>
    <w:rsid w:val="00CF2208"/>
    <w:rsid w:val="00CF2EE1"/>
    <w:rsid w:val="00CF48D6"/>
    <w:rsid w:val="00CF57D6"/>
    <w:rsid w:val="00CF63B3"/>
    <w:rsid w:val="00CF6C1B"/>
    <w:rsid w:val="00CF701D"/>
    <w:rsid w:val="00D003A6"/>
    <w:rsid w:val="00D00ECD"/>
    <w:rsid w:val="00D019D5"/>
    <w:rsid w:val="00D02A5C"/>
    <w:rsid w:val="00D03509"/>
    <w:rsid w:val="00D040FE"/>
    <w:rsid w:val="00D04A86"/>
    <w:rsid w:val="00D07F04"/>
    <w:rsid w:val="00D115AC"/>
    <w:rsid w:val="00D11DE7"/>
    <w:rsid w:val="00D12911"/>
    <w:rsid w:val="00D168FD"/>
    <w:rsid w:val="00D16F64"/>
    <w:rsid w:val="00D17C2C"/>
    <w:rsid w:val="00D20556"/>
    <w:rsid w:val="00D20E40"/>
    <w:rsid w:val="00D220EB"/>
    <w:rsid w:val="00D223E4"/>
    <w:rsid w:val="00D2472C"/>
    <w:rsid w:val="00D250DC"/>
    <w:rsid w:val="00D279BA"/>
    <w:rsid w:val="00D32DBB"/>
    <w:rsid w:val="00D404B5"/>
    <w:rsid w:val="00D419BE"/>
    <w:rsid w:val="00D447CB"/>
    <w:rsid w:val="00D47052"/>
    <w:rsid w:val="00D47D16"/>
    <w:rsid w:val="00D505F4"/>
    <w:rsid w:val="00D51CE1"/>
    <w:rsid w:val="00D562F2"/>
    <w:rsid w:val="00D56A83"/>
    <w:rsid w:val="00D572C9"/>
    <w:rsid w:val="00D57945"/>
    <w:rsid w:val="00D617F2"/>
    <w:rsid w:val="00D61B93"/>
    <w:rsid w:val="00D62E49"/>
    <w:rsid w:val="00D65523"/>
    <w:rsid w:val="00D6689F"/>
    <w:rsid w:val="00D67E4A"/>
    <w:rsid w:val="00D67F5D"/>
    <w:rsid w:val="00D70068"/>
    <w:rsid w:val="00D7012E"/>
    <w:rsid w:val="00D72E57"/>
    <w:rsid w:val="00D73A30"/>
    <w:rsid w:val="00D73BBD"/>
    <w:rsid w:val="00D73D03"/>
    <w:rsid w:val="00D73DED"/>
    <w:rsid w:val="00D755B3"/>
    <w:rsid w:val="00D763FD"/>
    <w:rsid w:val="00D76880"/>
    <w:rsid w:val="00D816BE"/>
    <w:rsid w:val="00D90AD1"/>
    <w:rsid w:val="00D90FF4"/>
    <w:rsid w:val="00D941F7"/>
    <w:rsid w:val="00D97F6A"/>
    <w:rsid w:val="00DA0668"/>
    <w:rsid w:val="00DA1C95"/>
    <w:rsid w:val="00DA1EDE"/>
    <w:rsid w:val="00DA31BA"/>
    <w:rsid w:val="00DA4DDF"/>
    <w:rsid w:val="00DB0804"/>
    <w:rsid w:val="00DB1FED"/>
    <w:rsid w:val="00DB2FC4"/>
    <w:rsid w:val="00DB393D"/>
    <w:rsid w:val="00DC1949"/>
    <w:rsid w:val="00DC21D3"/>
    <w:rsid w:val="00DC2D9A"/>
    <w:rsid w:val="00DC2E3A"/>
    <w:rsid w:val="00DC382A"/>
    <w:rsid w:val="00DD032B"/>
    <w:rsid w:val="00DD3434"/>
    <w:rsid w:val="00DD4785"/>
    <w:rsid w:val="00DE1923"/>
    <w:rsid w:val="00DE2B33"/>
    <w:rsid w:val="00DE638B"/>
    <w:rsid w:val="00DE72EE"/>
    <w:rsid w:val="00DE7AC5"/>
    <w:rsid w:val="00DE7FAE"/>
    <w:rsid w:val="00DF03A9"/>
    <w:rsid w:val="00DF36CF"/>
    <w:rsid w:val="00DF37E5"/>
    <w:rsid w:val="00DF414B"/>
    <w:rsid w:val="00DF42DA"/>
    <w:rsid w:val="00DF5914"/>
    <w:rsid w:val="00E026C2"/>
    <w:rsid w:val="00E034FE"/>
    <w:rsid w:val="00E041E5"/>
    <w:rsid w:val="00E04888"/>
    <w:rsid w:val="00E04F19"/>
    <w:rsid w:val="00E0763B"/>
    <w:rsid w:val="00E10302"/>
    <w:rsid w:val="00E113CE"/>
    <w:rsid w:val="00E15276"/>
    <w:rsid w:val="00E17EC5"/>
    <w:rsid w:val="00E20184"/>
    <w:rsid w:val="00E212EA"/>
    <w:rsid w:val="00E2132E"/>
    <w:rsid w:val="00E224F2"/>
    <w:rsid w:val="00E22FAA"/>
    <w:rsid w:val="00E22FB5"/>
    <w:rsid w:val="00E23732"/>
    <w:rsid w:val="00E24E9D"/>
    <w:rsid w:val="00E25EB0"/>
    <w:rsid w:val="00E2685E"/>
    <w:rsid w:val="00E26BFD"/>
    <w:rsid w:val="00E27E90"/>
    <w:rsid w:val="00E302F0"/>
    <w:rsid w:val="00E30995"/>
    <w:rsid w:val="00E336ED"/>
    <w:rsid w:val="00E33D02"/>
    <w:rsid w:val="00E34F2C"/>
    <w:rsid w:val="00E35D79"/>
    <w:rsid w:val="00E368E7"/>
    <w:rsid w:val="00E36C2F"/>
    <w:rsid w:val="00E36D5D"/>
    <w:rsid w:val="00E40FA2"/>
    <w:rsid w:val="00E42D3B"/>
    <w:rsid w:val="00E44ABA"/>
    <w:rsid w:val="00E44CA3"/>
    <w:rsid w:val="00E4641E"/>
    <w:rsid w:val="00E5165F"/>
    <w:rsid w:val="00E519AE"/>
    <w:rsid w:val="00E551FF"/>
    <w:rsid w:val="00E55FBB"/>
    <w:rsid w:val="00E57AF7"/>
    <w:rsid w:val="00E61233"/>
    <w:rsid w:val="00E61783"/>
    <w:rsid w:val="00E61AD9"/>
    <w:rsid w:val="00E6241B"/>
    <w:rsid w:val="00E64FCC"/>
    <w:rsid w:val="00E66C0F"/>
    <w:rsid w:val="00E67B91"/>
    <w:rsid w:val="00E703B6"/>
    <w:rsid w:val="00E715D7"/>
    <w:rsid w:val="00E72200"/>
    <w:rsid w:val="00E72B1B"/>
    <w:rsid w:val="00E75D47"/>
    <w:rsid w:val="00E766F5"/>
    <w:rsid w:val="00E803DF"/>
    <w:rsid w:val="00E81C76"/>
    <w:rsid w:val="00E82948"/>
    <w:rsid w:val="00E84579"/>
    <w:rsid w:val="00E8662C"/>
    <w:rsid w:val="00E90218"/>
    <w:rsid w:val="00E913BB"/>
    <w:rsid w:val="00E91784"/>
    <w:rsid w:val="00E93720"/>
    <w:rsid w:val="00E94132"/>
    <w:rsid w:val="00E94B1E"/>
    <w:rsid w:val="00E95F2E"/>
    <w:rsid w:val="00EA065A"/>
    <w:rsid w:val="00EA1508"/>
    <w:rsid w:val="00EA1541"/>
    <w:rsid w:val="00EA15CB"/>
    <w:rsid w:val="00EA1905"/>
    <w:rsid w:val="00EA32E4"/>
    <w:rsid w:val="00EA3DED"/>
    <w:rsid w:val="00EA78C6"/>
    <w:rsid w:val="00EA7E36"/>
    <w:rsid w:val="00EA7E43"/>
    <w:rsid w:val="00EB0898"/>
    <w:rsid w:val="00EB08F2"/>
    <w:rsid w:val="00EB2759"/>
    <w:rsid w:val="00EB2A15"/>
    <w:rsid w:val="00EB3CF0"/>
    <w:rsid w:val="00EB4B60"/>
    <w:rsid w:val="00EB627B"/>
    <w:rsid w:val="00EB6D94"/>
    <w:rsid w:val="00EB74F3"/>
    <w:rsid w:val="00EC4183"/>
    <w:rsid w:val="00EC48BE"/>
    <w:rsid w:val="00EC493F"/>
    <w:rsid w:val="00EC4973"/>
    <w:rsid w:val="00EC5390"/>
    <w:rsid w:val="00EC6468"/>
    <w:rsid w:val="00EC6708"/>
    <w:rsid w:val="00EC7575"/>
    <w:rsid w:val="00ED207C"/>
    <w:rsid w:val="00ED290D"/>
    <w:rsid w:val="00ED325A"/>
    <w:rsid w:val="00ED3F41"/>
    <w:rsid w:val="00ED5615"/>
    <w:rsid w:val="00ED692E"/>
    <w:rsid w:val="00ED69AF"/>
    <w:rsid w:val="00EE0136"/>
    <w:rsid w:val="00EE1847"/>
    <w:rsid w:val="00EE1881"/>
    <w:rsid w:val="00EE240E"/>
    <w:rsid w:val="00EE527D"/>
    <w:rsid w:val="00EE55A3"/>
    <w:rsid w:val="00EE5877"/>
    <w:rsid w:val="00EE6028"/>
    <w:rsid w:val="00EE688E"/>
    <w:rsid w:val="00EE6A6D"/>
    <w:rsid w:val="00EF025D"/>
    <w:rsid w:val="00EF03E2"/>
    <w:rsid w:val="00EF0547"/>
    <w:rsid w:val="00EF233D"/>
    <w:rsid w:val="00EF2A0F"/>
    <w:rsid w:val="00EF4B5D"/>
    <w:rsid w:val="00EF7F37"/>
    <w:rsid w:val="00EF7F8B"/>
    <w:rsid w:val="00F00574"/>
    <w:rsid w:val="00F00866"/>
    <w:rsid w:val="00F00E58"/>
    <w:rsid w:val="00F0109F"/>
    <w:rsid w:val="00F0315D"/>
    <w:rsid w:val="00F03814"/>
    <w:rsid w:val="00F04793"/>
    <w:rsid w:val="00F07A09"/>
    <w:rsid w:val="00F11FAE"/>
    <w:rsid w:val="00F1390C"/>
    <w:rsid w:val="00F14D98"/>
    <w:rsid w:val="00F16C90"/>
    <w:rsid w:val="00F17A2C"/>
    <w:rsid w:val="00F202F6"/>
    <w:rsid w:val="00F2037B"/>
    <w:rsid w:val="00F20496"/>
    <w:rsid w:val="00F20C5E"/>
    <w:rsid w:val="00F26065"/>
    <w:rsid w:val="00F27A04"/>
    <w:rsid w:val="00F321A8"/>
    <w:rsid w:val="00F323FE"/>
    <w:rsid w:val="00F33848"/>
    <w:rsid w:val="00F35954"/>
    <w:rsid w:val="00F36A1D"/>
    <w:rsid w:val="00F42EEF"/>
    <w:rsid w:val="00F43332"/>
    <w:rsid w:val="00F44278"/>
    <w:rsid w:val="00F4463D"/>
    <w:rsid w:val="00F45977"/>
    <w:rsid w:val="00F51B65"/>
    <w:rsid w:val="00F52AAB"/>
    <w:rsid w:val="00F52EB6"/>
    <w:rsid w:val="00F53FFC"/>
    <w:rsid w:val="00F54FE9"/>
    <w:rsid w:val="00F5514C"/>
    <w:rsid w:val="00F55260"/>
    <w:rsid w:val="00F6316B"/>
    <w:rsid w:val="00F65AE0"/>
    <w:rsid w:val="00F66D24"/>
    <w:rsid w:val="00F6799A"/>
    <w:rsid w:val="00F67DDE"/>
    <w:rsid w:val="00F71E5D"/>
    <w:rsid w:val="00F72F29"/>
    <w:rsid w:val="00F74E38"/>
    <w:rsid w:val="00F754DB"/>
    <w:rsid w:val="00F76D6F"/>
    <w:rsid w:val="00F778B0"/>
    <w:rsid w:val="00F81707"/>
    <w:rsid w:val="00F83BC2"/>
    <w:rsid w:val="00F8474A"/>
    <w:rsid w:val="00F84AD3"/>
    <w:rsid w:val="00F85F1E"/>
    <w:rsid w:val="00F86FB8"/>
    <w:rsid w:val="00F90F74"/>
    <w:rsid w:val="00F91B43"/>
    <w:rsid w:val="00F9279B"/>
    <w:rsid w:val="00F929F9"/>
    <w:rsid w:val="00F92D9B"/>
    <w:rsid w:val="00F92EC1"/>
    <w:rsid w:val="00F94C47"/>
    <w:rsid w:val="00FA0421"/>
    <w:rsid w:val="00FA1A04"/>
    <w:rsid w:val="00FA1A28"/>
    <w:rsid w:val="00FA3389"/>
    <w:rsid w:val="00FA3476"/>
    <w:rsid w:val="00FA3DCE"/>
    <w:rsid w:val="00FA495F"/>
    <w:rsid w:val="00FA5973"/>
    <w:rsid w:val="00FA6641"/>
    <w:rsid w:val="00FA6A3B"/>
    <w:rsid w:val="00FA6EEB"/>
    <w:rsid w:val="00FA72E9"/>
    <w:rsid w:val="00FB00C2"/>
    <w:rsid w:val="00FB0C10"/>
    <w:rsid w:val="00FB2DA9"/>
    <w:rsid w:val="00FB3C36"/>
    <w:rsid w:val="00FB4280"/>
    <w:rsid w:val="00FB7CCE"/>
    <w:rsid w:val="00FC01C8"/>
    <w:rsid w:val="00FC5027"/>
    <w:rsid w:val="00FC50C7"/>
    <w:rsid w:val="00FC511D"/>
    <w:rsid w:val="00FC538F"/>
    <w:rsid w:val="00FC65A2"/>
    <w:rsid w:val="00FC68BC"/>
    <w:rsid w:val="00FC7948"/>
    <w:rsid w:val="00FD11D4"/>
    <w:rsid w:val="00FD1AD4"/>
    <w:rsid w:val="00FD225D"/>
    <w:rsid w:val="00FD2384"/>
    <w:rsid w:val="00FD2794"/>
    <w:rsid w:val="00FD5E07"/>
    <w:rsid w:val="00FE083F"/>
    <w:rsid w:val="00FE178F"/>
    <w:rsid w:val="00FE2397"/>
    <w:rsid w:val="00FE452E"/>
    <w:rsid w:val="00FE590F"/>
    <w:rsid w:val="00FE5DDE"/>
    <w:rsid w:val="00FE65CE"/>
    <w:rsid w:val="00FE7A13"/>
    <w:rsid w:val="00FE7B7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003A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115AC"/>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D115AC"/>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115AC"/>
    <w:rPr>
      <w:b/>
      <w:bCs/>
      <w:sz w:val="28"/>
      <w:szCs w:val="28"/>
      <w:lang w:val="es-ES_tradnl" w:eastAsia="en-US"/>
    </w:rPr>
  </w:style>
  <w:style w:type="character" w:customStyle="1" w:styleId="Ttulo7Car">
    <w:name w:val="Título 7 Car"/>
    <w:basedOn w:val="Fuentedeprrafopredeter"/>
    <w:link w:val="Ttulo7"/>
    <w:uiPriority w:val="99"/>
    <w:rsid w:val="00D115AC"/>
    <w:rPr>
      <w:sz w:val="52"/>
    </w:rPr>
  </w:style>
  <w:style w:type="character" w:customStyle="1" w:styleId="Ttulo1Car">
    <w:name w:val="Título 1 Car"/>
    <w:basedOn w:val="Fuentedeprrafopredeter"/>
    <w:link w:val="Ttulo1"/>
    <w:uiPriority w:val="99"/>
    <w:rsid w:val="00D115AC"/>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D115AC"/>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D115AC"/>
    <w:rPr>
      <w:rFonts w:ascii="Arial" w:hAnsi="Arial" w:cs="Arial"/>
      <w:b/>
      <w:bCs/>
      <w:szCs w:val="26"/>
      <w:lang w:val="es-ES_tradnl" w:eastAsia="en-US"/>
    </w:rPr>
  </w:style>
  <w:style w:type="character" w:customStyle="1" w:styleId="Ttulo5Car">
    <w:name w:val="Título 5 Car"/>
    <w:basedOn w:val="Fuentedeprrafopredeter"/>
    <w:link w:val="Ttulo5"/>
    <w:uiPriority w:val="99"/>
    <w:rsid w:val="00D115AC"/>
    <w:rPr>
      <w:b/>
      <w:sz w:val="28"/>
      <w:lang w:eastAsia="en-US"/>
    </w:rPr>
  </w:style>
  <w:style w:type="character" w:customStyle="1" w:styleId="atitulo2Car">
    <w:name w:val="atitulo2 Car"/>
    <w:link w:val="atitulo2"/>
    <w:rsid w:val="00D115AC"/>
    <w:rPr>
      <w:rFonts w:ascii="Arial" w:hAnsi="Arial"/>
      <w:bCs/>
      <w:iCs/>
      <w:color w:val="000000"/>
      <w:spacing w:val="10"/>
      <w:kern w:val="28"/>
      <w:sz w:val="25"/>
      <w:szCs w:val="26"/>
      <w:lang w:val="es-ES_tradnl" w:eastAsia="en-US"/>
    </w:rPr>
  </w:style>
  <w:style w:type="character" w:customStyle="1" w:styleId="TextodegloboCar">
    <w:name w:val="Texto de globo Car"/>
    <w:basedOn w:val="Fuentedeprrafopredeter"/>
    <w:link w:val="Textodeglobo"/>
    <w:rsid w:val="00D115AC"/>
    <w:rPr>
      <w:rFonts w:ascii="Tahoma" w:hAnsi="Tahoma" w:cs="Tahoma"/>
      <w:sz w:val="16"/>
      <w:szCs w:val="16"/>
      <w:lang w:val="es-ES_tradnl" w:eastAsia="en-US"/>
    </w:rPr>
  </w:style>
  <w:style w:type="character" w:customStyle="1" w:styleId="EncabezadoCar">
    <w:name w:val="Encabezado Car"/>
    <w:basedOn w:val="Fuentedeprrafopredeter"/>
    <w:link w:val="Encabezado"/>
    <w:rsid w:val="00D115AC"/>
    <w:rPr>
      <w:bCs/>
      <w:caps/>
      <w:sz w:val="14"/>
      <w:szCs w:val="12"/>
      <w:lang w:val="es-ES_tradnl" w:eastAsia="en-US"/>
    </w:rPr>
  </w:style>
  <w:style w:type="character" w:customStyle="1" w:styleId="PiedepginaCar">
    <w:name w:val="Pie de página Car"/>
    <w:basedOn w:val="Fuentedeprrafopredeter"/>
    <w:link w:val="Piedepgina"/>
    <w:uiPriority w:val="99"/>
    <w:rsid w:val="00D115AC"/>
    <w:rPr>
      <w:spacing w:val="6"/>
      <w:lang w:val="es-ES_tradnl" w:eastAsia="en-US"/>
    </w:rPr>
  </w:style>
  <w:style w:type="paragraph" w:customStyle="1" w:styleId="Estndar">
    <w:name w:val="Estándar"/>
    <w:rsid w:val="00D115AC"/>
    <w:pPr>
      <w:snapToGrid w:val="0"/>
    </w:pPr>
    <w:rPr>
      <w:rFonts w:ascii="CG Omega" w:hAnsi="CG Omega"/>
      <w:color w:val="000000"/>
      <w:sz w:val="22"/>
    </w:rPr>
  </w:style>
  <w:style w:type="paragraph" w:customStyle="1" w:styleId="tabla10">
    <w:name w:val="tabla10"/>
    <w:rsid w:val="00D115AC"/>
    <w:pPr>
      <w:tabs>
        <w:tab w:val="left" w:pos="567"/>
        <w:tab w:val="left" w:pos="1134"/>
      </w:tabs>
      <w:snapToGrid w:val="0"/>
    </w:pPr>
    <w:rPr>
      <w:rFonts w:ascii="CG Times" w:hAnsi="CG Times"/>
      <w:color w:val="000000"/>
    </w:rPr>
  </w:style>
  <w:style w:type="paragraph" w:styleId="NormalWeb">
    <w:name w:val="Normal (Web)"/>
    <w:basedOn w:val="Normal"/>
    <w:uiPriority w:val="99"/>
    <w:rsid w:val="00D115AC"/>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D115AC"/>
  </w:style>
  <w:style w:type="character" w:customStyle="1" w:styleId="TextocomentarioCar">
    <w:name w:val="Texto comentario Car"/>
    <w:basedOn w:val="Fuentedeprrafopredeter"/>
    <w:link w:val="Textocomentario"/>
    <w:rsid w:val="00D115AC"/>
    <w:rPr>
      <w:lang w:val="es-ES_tradnl" w:eastAsia="en-US"/>
    </w:rPr>
  </w:style>
  <w:style w:type="paragraph" w:styleId="Asuntodelcomentario">
    <w:name w:val="annotation subject"/>
    <w:basedOn w:val="Textocomentario"/>
    <w:next w:val="Textocomentario"/>
    <w:link w:val="AsuntodelcomentarioCar"/>
    <w:rsid w:val="00D115AC"/>
    <w:rPr>
      <w:b/>
      <w:bCs/>
    </w:rPr>
  </w:style>
  <w:style w:type="character" w:customStyle="1" w:styleId="AsuntodelcomentarioCar">
    <w:name w:val="Asunto del comentario Car"/>
    <w:basedOn w:val="TextocomentarioCar"/>
    <w:link w:val="Asuntodelcomentario"/>
    <w:rsid w:val="00D115AC"/>
    <w:rPr>
      <w:b/>
      <w:bCs/>
      <w:lang w:val="es-ES_tradnl" w:eastAsia="en-US"/>
    </w:rPr>
  </w:style>
  <w:style w:type="paragraph" w:styleId="Mapadeldocumento">
    <w:name w:val="Document Map"/>
    <w:basedOn w:val="Normal"/>
    <w:link w:val="MapadeldocumentoCar"/>
    <w:rsid w:val="00D115A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D115AC"/>
    <w:rPr>
      <w:rFonts w:ascii="Tahoma" w:hAnsi="Tahoma" w:cs="Tahoma"/>
      <w:shd w:val="clear" w:color="auto" w:fill="000080"/>
      <w:lang w:val="es-ES_tradnl" w:eastAsia="en-US"/>
    </w:rPr>
  </w:style>
  <w:style w:type="paragraph" w:styleId="Textonotapie">
    <w:name w:val="footnote text"/>
    <w:basedOn w:val="Normal"/>
    <w:link w:val="TextonotapieCar"/>
    <w:rsid w:val="00D115AC"/>
  </w:style>
  <w:style w:type="character" w:customStyle="1" w:styleId="TextonotapieCar">
    <w:name w:val="Texto nota pie Car"/>
    <w:basedOn w:val="Fuentedeprrafopredeter"/>
    <w:link w:val="Textonotapie"/>
    <w:rsid w:val="00D115AC"/>
    <w:rPr>
      <w:lang w:val="es-ES_tradnl" w:eastAsia="en-US"/>
    </w:rPr>
  </w:style>
  <w:style w:type="character" w:styleId="Refdenotaalpie">
    <w:name w:val="footnote reference"/>
    <w:rsid w:val="00D115AC"/>
    <w:rPr>
      <w:vertAlign w:val="superscript"/>
    </w:rPr>
  </w:style>
  <w:style w:type="paragraph" w:styleId="Prrafodelista">
    <w:name w:val="List Paragraph"/>
    <w:basedOn w:val="Normal"/>
    <w:uiPriority w:val="34"/>
    <w:qFormat/>
    <w:rsid w:val="00D115AC"/>
    <w:pPr>
      <w:ind w:left="720"/>
      <w:contextualSpacing/>
    </w:pPr>
  </w:style>
  <w:style w:type="character" w:customStyle="1" w:styleId="atitulo1Car">
    <w:name w:val="atitulo1 Car"/>
    <w:link w:val="atitulo1"/>
    <w:uiPriority w:val="99"/>
    <w:rsid w:val="00D115AC"/>
    <w:rPr>
      <w:rFonts w:ascii="Arial" w:hAnsi="Arial"/>
      <w:b/>
      <w:color w:val="000000"/>
      <w:kern w:val="28"/>
      <w:sz w:val="25"/>
      <w:szCs w:val="26"/>
      <w:lang w:val="es-ES_tradnl" w:eastAsia="en-US"/>
    </w:rPr>
  </w:style>
  <w:style w:type="paragraph" w:customStyle="1" w:styleId="Default">
    <w:name w:val="Default"/>
    <w:rsid w:val="00D115AC"/>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D115AC"/>
    <w:rPr>
      <w:color w:val="auto"/>
    </w:rPr>
  </w:style>
  <w:style w:type="paragraph" w:styleId="Textoindependiente">
    <w:name w:val="Body Text"/>
    <w:basedOn w:val="Normal"/>
    <w:link w:val="TextoindependienteCar"/>
    <w:rsid w:val="00D115AC"/>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D115AC"/>
    <w:rPr>
      <w:rFonts w:ascii="Arial" w:hAnsi="Arial"/>
      <w:sz w:val="24"/>
      <w:lang w:val="es-ES_tradnl"/>
    </w:rPr>
  </w:style>
  <w:style w:type="paragraph" w:customStyle="1" w:styleId="Pa7">
    <w:name w:val="Pa7"/>
    <w:basedOn w:val="Default"/>
    <w:next w:val="Default"/>
    <w:uiPriority w:val="99"/>
    <w:rsid w:val="00D115AC"/>
    <w:pPr>
      <w:spacing w:line="201" w:lineRule="atLeast"/>
    </w:pPr>
    <w:rPr>
      <w:color w:val="auto"/>
    </w:rPr>
  </w:style>
  <w:style w:type="character" w:customStyle="1" w:styleId="corchete-llamada1">
    <w:name w:val="corchete-llamada1"/>
    <w:basedOn w:val="Fuentedeprrafopredeter"/>
    <w:rsid w:val="00D115AC"/>
    <w:rPr>
      <w:vanish/>
      <w:webHidden w:val="0"/>
      <w:specVanish w:val="0"/>
    </w:rPr>
  </w:style>
  <w:style w:type="paragraph" w:customStyle="1" w:styleId="xl1">
    <w:name w:val="xl1"/>
    <w:basedOn w:val="Normal"/>
    <w:rsid w:val="00D115AC"/>
    <w:pPr>
      <w:spacing w:after="240"/>
      <w:ind w:left="300" w:right="75" w:hanging="225"/>
    </w:pPr>
    <w:rPr>
      <w:sz w:val="24"/>
      <w:szCs w:val="24"/>
      <w:lang w:val="es-ES" w:eastAsia="es-ES"/>
    </w:rPr>
  </w:style>
  <w:style w:type="paragraph" w:customStyle="1" w:styleId="xl2">
    <w:name w:val="xl2"/>
    <w:basedOn w:val="Normal"/>
    <w:rsid w:val="00D115AC"/>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D115AC"/>
  </w:style>
  <w:style w:type="table" w:styleId="Sombreadoclaro">
    <w:name w:val="Light Shading"/>
    <w:aliases w:val="tabla informe"/>
    <w:basedOn w:val="Tablanormal"/>
    <w:uiPriority w:val="60"/>
    <w:rsid w:val="00D115AC"/>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115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11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15AC"/>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D115A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115AC"/>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D115AC"/>
    <w:rPr>
      <w:rFonts w:cs="Times New Roman"/>
      <w:b/>
    </w:rPr>
  </w:style>
  <w:style w:type="character" w:styleId="nfasis">
    <w:name w:val="Emphasis"/>
    <w:basedOn w:val="Fuentedeprrafopredeter"/>
    <w:uiPriority w:val="99"/>
    <w:qFormat/>
    <w:rsid w:val="00D115AC"/>
    <w:rPr>
      <w:rFonts w:cs="Times New Roman"/>
      <w:i/>
      <w:iCs/>
    </w:rPr>
  </w:style>
  <w:style w:type="paragraph" w:styleId="Cita">
    <w:name w:val="Quote"/>
    <w:basedOn w:val="Normal"/>
    <w:next w:val="Normal"/>
    <w:link w:val="CitaCar"/>
    <w:uiPriority w:val="29"/>
    <w:qFormat/>
    <w:rsid w:val="00D115AC"/>
    <w:rPr>
      <w:i/>
      <w:iCs/>
      <w:color w:val="000000" w:themeColor="text1"/>
    </w:rPr>
  </w:style>
  <w:style w:type="character" w:customStyle="1" w:styleId="CitaCar">
    <w:name w:val="Cita Car"/>
    <w:basedOn w:val="Fuentedeprrafopredeter"/>
    <w:link w:val="Cita"/>
    <w:uiPriority w:val="29"/>
    <w:rsid w:val="00D115AC"/>
    <w:rPr>
      <w:i/>
      <w:iCs/>
      <w:color w:val="000000" w:themeColor="text1"/>
      <w:lang w:val="es-ES_tradnl" w:eastAsia="en-US"/>
    </w:rPr>
  </w:style>
  <w:style w:type="character" w:styleId="nfasissutil">
    <w:name w:val="Subtle Emphasis"/>
    <w:basedOn w:val="Fuentedeprrafopredeter"/>
    <w:uiPriority w:val="19"/>
    <w:qFormat/>
    <w:rsid w:val="00D115AC"/>
    <w:rPr>
      <w:i/>
      <w:iCs/>
      <w:color w:val="808080" w:themeColor="text1" w:themeTint="7F"/>
    </w:rPr>
  </w:style>
  <w:style w:type="character" w:styleId="nfasisintenso">
    <w:name w:val="Intense Emphasis"/>
    <w:basedOn w:val="Fuentedeprrafopredeter"/>
    <w:uiPriority w:val="21"/>
    <w:qFormat/>
    <w:rsid w:val="00D115AC"/>
    <w:rPr>
      <w:b/>
      <w:bCs/>
      <w:i/>
      <w:iCs/>
      <w:color w:val="4F81BD" w:themeColor="accent1"/>
    </w:rPr>
  </w:style>
  <w:style w:type="character" w:styleId="Referenciasutil">
    <w:name w:val="Subtle Reference"/>
    <w:basedOn w:val="Fuentedeprrafopredeter"/>
    <w:uiPriority w:val="31"/>
    <w:qFormat/>
    <w:rsid w:val="00D115AC"/>
    <w:rPr>
      <w:smallCaps/>
      <w:color w:val="C0504D" w:themeColor="accent2"/>
      <w:u w:val="single"/>
    </w:rPr>
  </w:style>
  <w:style w:type="character" w:styleId="Referenciaintensa">
    <w:name w:val="Intense Reference"/>
    <w:basedOn w:val="Fuentedeprrafopredeter"/>
    <w:uiPriority w:val="32"/>
    <w:qFormat/>
    <w:rsid w:val="00D115AC"/>
    <w:rPr>
      <w:b/>
      <w:bCs/>
      <w:smallCaps/>
      <w:color w:val="C0504D" w:themeColor="accent2"/>
      <w:spacing w:val="5"/>
      <w:u w:val="single"/>
    </w:rPr>
  </w:style>
  <w:style w:type="paragraph" w:styleId="Textoindependiente3">
    <w:name w:val="Body Text 3"/>
    <w:basedOn w:val="Normal"/>
    <w:link w:val="Textoindependiente3Car"/>
    <w:rsid w:val="00D115AC"/>
    <w:pPr>
      <w:spacing w:after="120"/>
    </w:pPr>
    <w:rPr>
      <w:sz w:val="16"/>
      <w:szCs w:val="16"/>
    </w:rPr>
  </w:style>
  <w:style w:type="character" w:customStyle="1" w:styleId="Textoindependiente3Car">
    <w:name w:val="Texto independiente 3 Car"/>
    <w:basedOn w:val="Fuentedeprrafopredeter"/>
    <w:link w:val="Textoindependiente3"/>
    <w:rsid w:val="00D115AC"/>
    <w:rPr>
      <w:sz w:val="16"/>
      <w:szCs w:val="16"/>
      <w:lang w:val="es-ES_tradnl" w:eastAsia="en-US"/>
    </w:rPr>
  </w:style>
  <w:style w:type="character" w:customStyle="1" w:styleId="atitulo3Car">
    <w:name w:val="atitulo3 Car"/>
    <w:link w:val="atitulo3"/>
    <w:rsid w:val="0095666D"/>
    <w:rPr>
      <w:rFonts w:ascii="Arial" w:hAnsi="Arial"/>
      <w:i/>
      <w:iCs/>
      <w:color w:val="000000"/>
      <w:spacing w:val="1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003A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115AC"/>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D115AC"/>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115AC"/>
    <w:rPr>
      <w:b/>
      <w:bCs/>
      <w:sz w:val="28"/>
      <w:szCs w:val="28"/>
      <w:lang w:val="es-ES_tradnl" w:eastAsia="en-US"/>
    </w:rPr>
  </w:style>
  <w:style w:type="character" w:customStyle="1" w:styleId="Ttulo7Car">
    <w:name w:val="Título 7 Car"/>
    <w:basedOn w:val="Fuentedeprrafopredeter"/>
    <w:link w:val="Ttulo7"/>
    <w:uiPriority w:val="99"/>
    <w:rsid w:val="00D115AC"/>
    <w:rPr>
      <w:sz w:val="52"/>
    </w:rPr>
  </w:style>
  <w:style w:type="character" w:customStyle="1" w:styleId="Ttulo1Car">
    <w:name w:val="Título 1 Car"/>
    <w:basedOn w:val="Fuentedeprrafopredeter"/>
    <w:link w:val="Ttulo1"/>
    <w:uiPriority w:val="99"/>
    <w:rsid w:val="00D115AC"/>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D115AC"/>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D115AC"/>
    <w:rPr>
      <w:rFonts w:ascii="Arial" w:hAnsi="Arial" w:cs="Arial"/>
      <w:b/>
      <w:bCs/>
      <w:szCs w:val="26"/>
      <w:lang w:val="es-ES_tradnl" w:eastAsia="en-US"/>
    </w:rPr>
  </w:style>
  <w:style w:type="character" w:customStyle="1" w:styleId="Ttulo5Car">
    <w:name w:val="Título 5 Car"/>
    <w:basedOn w:val="Fuentedeprrafopredeter"/>
    <w:link w:val="Ttulo5"/>
    <w:uiPriority w:val="99"/>
    <w:rsid w:val="00D115AC"/>
    <w:rPr>
      <w:b/>
      <w:sz w:val="28"/>
      <w:lang w:eastAsia="en-US"/>
    </w:rPr>
  </w:style>
  <w:style w:type="character" w:customStyle="1" w:styleId="atitulo2Car">
    <w:name w:val="atitulo2 Car"/>
    <w:link w:val="atitulo2"/>
    <w:rsid w:val="00D115AC"/>
    <w:rPr>
      <w:rFonts w:ascii="Arial" w:hAnsi="Arial"/>
      <w:bCs/>
      <w:iCs/>
      <w:color w:val="000000"/>
      <w:spacing w:val="10"/>
      <w:kern w:val="28"/>
      <w:sz w:val="25"/>
      <w:szCs w:val="26"/>
      <w:lang w:val="es-ES_tradnl" w:eastAsia="en-US"/>
    </w:rPr>
  </w:style>
  <w:style w:type="character" w:customStyle="1" w:styleId="TextodegloboCar">
    <w:name w:val="Texto de globo Car"/>
    <w:basedOn w:val="Fuentedeprrafopredeter"/>
    <w:link w:val="Textodeglobo"/>
    <w:rsid w:val="00D115AC"/>
    <w:rPr>
      <w:rFonts w:ascii="Tahoma" w:hAnsi="Tahoma" w:cs="Tahoma"/>
      <w:sz w:val="16"/>
      <w:szCs w:val="16"/>
      <w:lang w:val="es-ES_tradnl" w:eastAsia="en-US"/>
    </w:rPr>
  </w:style>
  <w:style w:type="character" w:customStyle="1" w:styleId="EncabezadoCar">
    <w:name w:val="Encabezado Car"/>
    <w:basedOn w:val="Fuentedeprrafopredeter"/>
    <w:link w:val="Encabezado"/>
    <w:rsid w:val="00D115AC"/>
    <w:rPr>
      <w:bCs/>
      <w:caps/>
      <w:sz w:val="14"/>
      <w:szCs w:val="12"/>
      <w:lang w:val="es-ES_tradnl" w:eastAsia="en-US"/>
    </w:rPr>
  </w:style>
  <w:style w:type="character" w:customStyle="1" w:styleId="PiedepginaCar">
    <w:name w:val="Pie de página Car"/>
    <w:basedOn w:val="Fuentedeprrafopredeter"/>
    <w:link w:val="Piedepgina"/>
    <w:uiPriority w:val="99"/>
    <w:rsid w:val="00D115AC"/>
    <w:rPr>
      <w:spacing w:val="6"/>
      <w:lang w:val="es-ES_tradnl" w:eastAsia="en-US"/>
    </w:rPr>
  </w:style>
  <w:style w:type="paragraph" w:customStyle="1" w:styleId="Estndar">
    <w:name w:val="Estándar"/>
    <w:rsid w:val="00D115AC"/>
    <w:pPr>
      <w:snapToGrid w:val="0"/>
    </w:pPr>
    <w:rPr>
      <w:rFonts w:ascii="CG Omega" w:hAnsi="CG Omega"/>
      <w:color w:val="000000"/>
      <w:sz w:val="22"/>
    </w:rPr>
  </w:style>
  <w:style w:type="paragraph" w:customStyle="1" w:styleId="tabla10">
    <w:name w:val="tabla10"/>
    <w:rsid w:val="00D115AC"/>
    <w:pPr>
      <w:tabs>
        <w:tab w:val="left" w:pos="567"/>
        <w:tab w:val="left" w:pos="1134"/>
      </w:tabs>
      <w:snapToGrid w:val="0"/>
    </w:pPr>
    <w:rPr>
      <w:rFonts w:ascii="CG Times" w:hAnsi="CG Times"/>
      <w:color w:val="000000"/>
    </w:rPr>
  </w:style>
  <w:style w:type="paragraph" w:styleId="NormalWeb">
    <w:name w:val="Normal (Web)"/>
    <w:basedOn w:val="Normal"/>
    <w:uiPriority w:val="99"/>
    <w:rsid w:val="00D115AC"/>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D115AC"/>
  </w:style>
  <w:style w:type="character" w:customStyle="1" w:styleId="TextocomentarioCar">
    <w:name w:val="Texto comentario Car"/>
    <w:basedOn w:val="Fuentedeprrafopredeter"/>
    <w:link w:val="Textocomentario"/>
    <w:rsid w:val="00D115AC"/>
    <w:rPr>
      <w:lang w:val="es-ES_tradnl" w:eastAsia="en-US"/>
    </w:rPr>
  </w:style>
  <w:style w:type="paragraph" w:styleId="Asuntodelcomentario">
    <w:name w:val="annotation subject"/>
    <w:basedOn w:val="Textocomentario"/>
    <w:next w:val="Textocomentario"/>
    <w:link w:val="AsuntodelcomentarioCar"/>
    <w:rsid w:val="00D115AC"/>
    <w:rPr>
      <w:b/>
      <w:bCs/>
    </w:rPr>
  </w:style>
  <w:style w:type="character" w:customStyle="1" w:styleId="AsuntodelcomentarioCar">
    <w:name w:val="Asunto del comentario Car"/>
    <w:basedOn w:val="TextocomentarioCar"/>
    <w:link w:val="Asuntodelcomentario"/>
    <w:rsid w:val="00D115AC"/>
    <w:rPr>
      <w:b/>
      <w:bCs/>
      <w:lang w:val="es-ES_tradnl" w:eastAsia="en-US"/>
    </w:rPr>
  </w:style>
  <w:style w:type="paragraph" w:styleId="Mapadeldocumento">
    <w:name w:val="Document Map"/>
    <w:basedOn w:val="Normal"/>
    <w:link w:val="MapadeldocumentoCar"/>
    <w:rsid w:val="00D115A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D115AC"/>
    <w:rPr>
      <w:rFonts w:ascii="Tahoma" w:hAnsi="Tahoma" w:cs="Tahoma"/>
      <w:shd w:val="clear" w:color="auto" w:fill="000080"/>
      <w:lang w:val="es-ES_tradnl" w:eastAsia="en-US"/>
    </w:rPr>
  </w:style>
  <w:style w:type="paragraph" w:styleId="Textonotapie">
    <w:name w:val="footnote text"/>
    <w:basedOn w:val="Normal"/>
    <w:link w:val="TextonotapieCar"/>
    <w:rsid w:val="00D115AC"/>
  </w:style>
  <w:style w:type="character" w:customStyle="1" w:styleId="TextonotapieCar">
    <w:name w:val="Texto nota pie Car"/>
    <w:basedOn w:val="Fuentedeprrafopredeter"/>
    <w:link w:val="Textonotapie"/>
    <w:rsid w:val="00D115AC"/>
    <w:rPr>
      <w:lang w:val="es-ES_tradnl" w:eastAsia="en-US"/>
    </w:rPr>
  </w:style>
  <w:style w:type="character" w:styleId="Refdenotaalpie">
    <w:name w:val="footnote reference"/>
    <w:rsid w:val="00D115AC"/>
    <w:rPr>
      <w:vertAlign w:val="superscript"/>
    </w:rPr>
  </w:style>
  <w:style w:type="paragraph" w:styleId="Prrafodelista">
    <w:name w:val="List Paragraph"/>
    <w:basedOn w:val="Normal"/>
    <w:uiPriority w:val="34"/>
    <w:qFormat/>
    <w:rsid w:val="00D115AC"/>
    <w:pPr>
      <w:ind w:left="720"/>
      <w:contextualSpacing/>
    </w:pPr>
  </w:style>
  <w:style w:type="character" w:customStyle="1" w:styleId="atitulo1Car">
    <w:name w:val="atitulo1 Car"/>
    <w:link w:val="atitulo1"/>
    <w:uiPriority w:val="99"/>
    <w:rsid w:val="00D115AC"/>
    <w:rPr>
      <w:rFonts w:ascii="Arial" w:hAnsi="Arial"/>
      <w:b/>
      <w:color w:val="000000"/>
      <w:kern w:val="28"/>
      <w:sz w:val="25"/>
      <w:szCs w:val="26"/>
      <w:lang w:val="es-ES_tradnl" w:eastAsia="en-US"/>
    </w:rPr>
  </w:style>
  <w:style w:type="paragraph" w:customStyle="1" w:styleId="Default">
    <w:name w:val="Default"/>
    <w:rsid w:val="00D115AC"/>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D115AC"/>
    <w:rPr>
      <w:color w:val="auto"/>
    </w:rPr>
  </w:style>
  <w:style w:type="paragraph" w:styleId="Textoindependiente">
    <w:name w:val="Body Text"/>
    <w:basedOn w:val="Normal"/>
    <w:link w:val="TextoindependienteCar"/>
    <w:rsid w:val="00D115AC"/>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D115AC"/>
    <w:rPr>
      <w:rFonts w:ascii="Arial" w:hAnsi="Arial"/>
      <w:sz w:val="24"/>
      <w:lang w:val="es-ES_tradnl"/>
    </w:rPr>
  </w:style>
  <w:style w:type="paragraph" w:customStyle="1" w:styleId="Pa7">
    <w:name w:val="Pa7"/>
    <w:basedOn w:val="Default"/>
    <w:next w:val="Default"/>
    <w:uiPriority w:val="99"/>
    <w:rsid w:val="00D115AC"/>
    <w:pPr>
      <w:spacing w:line="201" w:lineRule="atLeast"/>
    </w:pPr>
    <w:rPr>
      <w:color w:val="auto"/>
    </w:rPr>
  </w:style>
  <w:style w:type="character" w:customStyle="1" w:styleId="corchete-llamada1">
    <w:name w:val="corchete-llamada1"/>
    <w:basedOn w:val="Fuentedeprrafopredeter"/>
    <w:rsid w:val="00D115AC"/>
    <w:rPr>
      <w:vanish/>
      <w:webHidden w:val="0"/>
      <w:specVanish w:val="0"/>
    </w:rPr>
  </w:style>
  <w:style w:type="paragraph" w:customStyle="1" w:styleId="xl1">
    <w:name w:val="xl1"/>
    <w:basedOn w:val="Normal"/>
    <w:rsid w:val="00D115AC"/>
    <w:pPr>
      <w:spacing w:after="240"/>
      <w:ind w:left="300" w:right="75" w:hanging="225"/>
    </w:pPr>
    <w:rPr>
      <w:sz w:val="24"/>
      <w:szCs w:val="24"/>
      <w:lang w:val="es-ES" w:eastAsia="es-ES"/>
    </w:rPr>
  </w:style>
  <w:style w:type="paragraph" w:customStyle="1" w:styleId="xl2">
    <w:name w:val="xl2"/>
    <w:basedOn w:val="Normal"/>
    <w:rsid w:val="00D115AC"/>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D115AC"/>
  </w:style>
  <w:style w:type="table" w:styleId="Sombreadoclaro">
    <w:name w:val="Light Shading"/>
    <w:aliases w:val="tabla informe"/>
    <w:basedOn w:val="Tablanormal"/>
    <w:uiPriority w:val="60"/>
    <w:rsid w:val="00D115AC"/>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115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11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15AC"/>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D115A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115AC"/>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D115AC"/>
    <w:rPr>
      <w:rFonts w:cs="Times New Roman"/>
      <w:b/>
    </w:rPr>
  </w:style>
  <w:style w:type="character" w:styleId="nfasis">
    <w:name w:val="Emphasis"/>
    <w:basedOn w:val="Fuentedeprrafopredeter"/>
    <w:uiPriority w:val="99"/>
    <w:qFormat/>
    <w:rsid w:val="00D115AC"/>
    <w:rPr>
      <w:rFonts w:cs="Times New Roman"/>
      <w:i/>
      <w:iCs/>
    </w:rPr>
  </w:style>
  <w:style w:type="paragraph" w:styleId="Cita">
    <w:name w:val="Quote"/>
    <w:basedOn w:val="Normal"/>
    <w:next w:val="Normal"/>
    <w:link w:val="CitaCar"/>
    <w:uiPriority w:val="29"/>
    <w:qFormat/>
    <w:rsid w:val="00D115AC"/>
    <w:rPr>
      <w:i/>
      <w:iCs/>
      <w:color w:val="000000" w:themeColor="text1"/>
    </w:rPr>
  </w:style>
  <w:style w:type="character" w:customStyle="1" w:styleId="CitaCar">
    <w:name w:val="Cita Car"/>
    <w:basedOn w:val="Fuentedeprrafopredeter"/>
    <w:link w:val="Cita"/>
    <w:uiPriority w:val="29"/>
    <w:rsid w:val="00D115AC"/>
    <w:rPr>
      <w:i/>
      <w:iCs/>
      <w:color w:val="000000" w:themeColor="text1"/>
      <w:lang w:val="es-ES_tradnl" w:eastAsia="en-US"/>
    </w:rPr>
  </w:style>
  <w:style w:type="character" w:styleId="nfasissutil">
    <w:name w:val="Subtle Emphasis"/>
    <w:basedOn w:val="Fuentedeprrafopredeter"/>
    <w:uiPriority w:val="19"/>
    <w:qFormat/>
    <w:rsid w:val="00D115AC"/>
    <w:rPr>
      <w:i/>
      <w:iCs/>
      <w:color w:val="808080" w:themeColor="text1" w:themeTint="7F"/>
    </w:rPr>
  </w:style>
  <w:style w:type="character" w:styleId="nfasisintenso">
    <w:name w:val="Intense Emphasis"/>
    <w:basedOn w:val="Fuentedeprrafopredeter"/>
    <w:uiPriority w:val="21"/>
    <w:qFormat/>
    <w:rsid w:val="00D115AC"/>
    <w:rPr>
      <w:b/>
      <w:bCs/>
      <w:i/>
      <w:iCs/>
      <w:color w:val="4F81BD" w:themeColor="accent1"/>
    </w:rPr>
  </w:style>
  <w:style w:type="character" w:styleId="Referenciasutil">
    <w:name w:val="Subtle Reference"/>
    <w:basedOn w:val="Fuentedeprrafopredeter"/>
    <w:uiPriority w:val="31"/>
    <w:qFormat/>
    <w:rsid w:val="00D115AC"/>
    <w:rPr>
      <w:smallCaps/>
      <w:color w:val="C0504D" w:themeColor="accent2"/>
      <w:u w:val="single"/>
    </w:rPr>
  </w:style>
  <w:style w:type="character" w:styleId="Referenciaintensa">
    <w:name w:val="Intense Reference"/>
    <w:basedOn w:val="Fuentedeprrafopredeter"/>
    <w:uiPriority w:val="32"/>
    <w:qFormat/>
    <w:rsid w:val="00D115AC"/>
    <w:rPr>
      <w:b/>
      <w:bCs/>
      <w:smallCaps/>
      <w:color w:val="C0504D" w:themeColor="accent2"/>
      <w:spacing w:val="5"/>
      <w:u w:val="single"/>
    </w:rPr>
  </w:style>
  <w:style w:type="paragraph" w:styleId="Textoindependiente3">
    <w:name w:val="Body Text 3"/>
    <w:basedOn w:val="Normal"/>
    <w:link w:val="Textoindependiente3Car"/>
    <w:rsid w:val="00D115AC"/>
    <w:pPr>
      <w:spacing w:after="120"/>
    </w:pPr>
    <w:rPr>
      <w:sz w:val="16"/>
      <w:szCs w:val="16"/>
    </w:rPr>
  </w:style>
  <w:style w:type="character" w:customStyle="1" w:styleId="Textoindependiente3Car">
    <w:name w:val="Texto independiente 3 Car"/>
    <w:basedOn w:val="Fuentedeprrafopredeter"/>
    <w:link w:val="Textoindependiente3"/>
    <w:rsid w:val="00D115AC"/>
    <w:rPr>
      <w:sz w:val="16"/>
      <w:szCs w:val="16"/>
      <w:lang w:val="es-ES_tradnl" w:eastAsia="en-US"/>
    </w:rPr>
  </w:style>
  <w:style w:type="character" w:customStyle="1" w:styleId="atitulo3Car">
    <w:name w:val="atitulo3 Car"/>
    <w:link w:val="atitulo3"/>
    <w:rsid w:val="0095666D"/>
    <w:rPr>
      <w:rFonts w:ascii="Arial" w:hAnsi="Arial"/>
      <w:i/>
      <w:iCs/>
      <w:color w:val="000000"/>
      <w:spacing w:val="1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273">
      <w:bodyDiv w:val="1"/>
      <w:marLeft w:val="0"/>
      <w:marRight w:val="0"/>
      <w:marTop w:val="0"/>
      <w:marBottom w:val="0"/>
      <w:divBdr>
        <w:top w:val="none" w:sz="0" w:space="0" w:color="auto"/>
        <w:left w:val="none" w:sz="0" w:space="0" w:color="auto"/>
        <w:bottom w:val="none" w:sz="0" w:space="0" w:color="auto"/>
        <w:right w:val="none" w:sz="0" w:space="0" w:color="auto"/>
      </w:divBdr>
    </w:div>
    <w:div w:id="194003285">
      <w:bodyDiv w:val="1"/>
      <w:marLeft w:val="0"/>
      <w:marRight w:val="0"/>
      <w:marTop w:val="0"/>
      <w:marBottom w:val="0"/>
      <w:divBdr>
        <w:top w:val="none" w:sz="0" w:space="0" w:color="auto"/>
        <w:left w:val="none" w:sz="0" w:space="0" w:color="auto"/>
        <w:bottom w:val="none" w:sz="0" w:space="0" w:color="auto"/>
        <w:right w:val="none" w:sz="0" w:space="0" w:color="auto"/>
      </w:divBdr>
    </w:div>
    <w:div w:id="215438333">
      <w:bodyDiv w:val="1"/>
      <w:marLeft w:val="0"/>
      <w:marRight w:val="0"/>
      <w:marTop w:val="0"/>
      <w:marBottom w:val="0"/>
      <w:divBdr>
        <w:top w:val="none" w:sz="0" w:space="0" w:color="auto"/>
        <w:left w:val="none" w:sz="0" w:space="0" w:color="auto"/>
        <w:bottom w:val="none" w:sz="0" w:space="0" w:color="auto"/>
        <w:right w:val="none" w:sz="0" w:space="0" w:color="auto"/>
      </w:divBdr>
    </w:div>
    <w:div w:id="221523689">
      <w:bodyDiv w:val="1"/>
      <w:marLeft w:val="0"/>
      <w:marRight w:val="0"/>
      <w:marTop w:val="0"/>
      <w:marBottom w:val="0"/>
      <w:divBdr>
        <w:top w:val="none" w:sz="0" w:space="0" w:color="auto"/>
        <w:left w:val="none" w:sz="0" w:space="0" w:color="auto"/>
        <w:bottom w:val="none" w:sz="0" w:space="0" w:color="auto"/>
        <w:right w:val="none" w:sz="0" w:space="0" w:color="auto"/>
      </w:divBdr>
    </w:div>
    <w:div w:id="275335284">
      <w:bodyDiv w:val="1"/>
      <w:marLeft w:val="0"/>
      <w:marRight w:val="0"/>
      <w:marTop w:val="0"/>
      <w:marBottom w:val="0"/>
      <w:divBdr>
        <w:top w:val="none" w:sz="0" w:space="0" w:color="auto"/>
        <w:left w:val="none" w:sz="0" w:space="0" w:color="auto"/>
        <w:bottom w:val="none" w:sz="0" w:space="0" w:color="auto"/>
        <w:right w:val="none" w:sz="0" w:space="0" w:color="auto"/>
      </w:divBdr>
    </w:div>
    <w:div w:id="478570948">
      <w:bodyDiv w:val="1"/>
      <w:marLeft w:val="0"/>
      <w:marRight w:val="0"/>
      <w:marTop w:val="0"/>
      <w:marBottom w:val="0"/>
      <w:divBdr>
        <w:top w:val="none" w:sz="0" w:space="0" w:color="auto"/>
        <w:left w:val="none" w:sz="0" w:space="0" w:color="auto"/>
        <w:bottom w:val="none" w:sz="0" w:space="0" w:color="auto"/>
        <w:right w:val="none" w:sz="0" w:space="0" w:color="auto"/>
      </w:divBdr>
    </w:div>
    <w:div w:id="490826564">
      <w:bodyDiv w:val="1"/>
      <w:marLeft w:val="0"/>
      <w:marRight w:val="0"/>
      <w:marTop w:val="0"/>
      <w:marBottom w:val="0"/>
      <w:divBdr>
        <w:top w:val="none" w:sz="0" w:space="0" w:color="auto"/>
        <w:left w:val="none" w:sz="0" w:space="0" w:color="auto"/>
        <w:bottom w:val="none" w:sz="0" w:space="0" w:color="auto"/>
        <w:right w:val="none" w:sz="0" w:space="0" w:color="auto"/>
      </w:divBdr>
    </w:div>
    <w:div w:id="499276070">
      <w:bodyDiv w:val="1"/>
      <w:marLeft w:val="0"/>
      <w:marRight w:val="0"/>
      <w:marTop w:val="0"/>
      <w:marBottom w:val="0"/>
      <w:divBdr>
        <w:top w:val="none" w:sz="0" w:space="0" w:color="auto"/>
        <w:left w:val="none" w:sz="0" w:space="0" w:color="auto"/>
        <w:bottom w:val="none" w:sz="0" w:space="0" w:color="auto"/>
        <w:right w:val="none" w:sz="0" w:space="0" w:color="auto"/>
      </w:divBdr>
    </w:div>
    <w:div w:id="524370037">
      <w:bodyDiv w:val="1"/>
      <w:marLeft w:val="0"/>
      <w:marRight w:val="0"/>
      <w:marTop w:val="0"/>
      <w:marBottom w:val="0"/>
      <w:divBdr>
        <w:top w:val="none" w:sz="0" w:space="0" w:color="auto"/>
        <w:left w:val="none" w:sz="0" w:space="0" w:color="auto"/>
        <w:bottom w:val="none" w:sz="0" w:space="0" w:color="auto"/>
        <w:right w:val="none" w:sz="0" w:space="0" w:color="auto"/>
      </w:divBdr>
    </w:div>
    <w:div w:id="524631877">
      <w:bodyDiv w:val="1"/>
      <w:marLeft w:val="0"/>
      <w:marRight w:val="0"/>
      <w:marTop w:val="0"/>
      <w:marBottom w:val="0"/>
      <w:divBdr>
        <w:top w:val="none" w:sz="0" w:space="0" w:color="auto"/>
        <w:left w:val="none" w:sz="0" w:space="0" w:color="auto"/>
        <w:bottom w:val="none" w:sz="0" w:space="0" w:color="auto"/>
        <w:right w:val="none" w:sz="0" w:space="0" w:color="auto"/>
      </w:divBdr>
    </w:div>
    <w:div w:id="553083386">
      <w:bodyDiv w:val="1"/>
      <w:marLeft w:val="0"/>
      <w:marRight w:val="0"/>
      <w:marTop w:val="0"/>
      <w:marBottom w:val="0"/>
      <w:divBdr>
        <w:top w:val="none" w:sz="0" w:space="0" w:color="auto"/>
        <w:left w:val="none" w:sz="0" w:space="0" w:color="auto"/>
        <w:bottom w:val="none" w:sz="0" w:space="0" w:color="auto"/>
        <w:right w:val="none" w:sz="0" w:space="0" w:color="auto"/>
      </w:divBdr>
    </w:div>
    <w:div w:id="614481398">
      <w:bodyDiv w:val="1"/>
      <w:marLeft w:val="0"/>
      <w:marRight w:val="0"/>
      <w:marTop w:val="0"/>
      <w:marBottom w:val="0"/>
      <w:divBdr>
        <w:top w:val="none" w:sz="0" w:space="0" w:color="auto"/>
        <w:left w:val="none" w:sz="0" w:space="0" w:color="auto"/>
        <w:bottom w:val="none" w:sz="0" w:space="0" w:color="auto"/>
        <w:right w:val="none" w:sz="0" w:space="0" w:color="auto"/>
      </w:divBdr>
    </w:div>
    <w:div w:id="616913927">
      <w:bodyDiv w:val="1"/>
      <w:marLeft w:val="0"/>
      <w:marRight w:val="0"/>
      <w:marTop w:val="0"/>
      <w:marBottom w:val="0"/>
      <w:divBdr>
        <w:top w:val="none" w:sz="0" w:space="0" w:color="auto"/>
        <w:left w:val="none" w:sz="0" w:space="0" w:color="auto"/>
        <w:bottom w:val="none" w:sz="0" w:space="0" w:color="auto"/>
        <w:right w:val="none" w:sz="0" w:space="0" w:color="auto"/>
      </w:divBdr>
    </w:div>
    <w:div w:id="626087136">
      <w:bodyDiv w:val="1"/>
      <w:marLeft w:val="0"/>
      <w:marRight w:val="0"/>
      <w:marTop w:val="0"/>
      <w:marBottom w:val="0"/>
      <w:divBdr>
        <w:top w:val="none" w:sz="0" w:space="0" w:color="auto"/>
        <w:left w:val="none" w:sz="0" w:space="0" w:color="auto"/>
        <w:bottom w:val="none" w:sz="0" w:space="0" w:color="auto"/>
        <w:right w:val="none" w:sz="0" w:space="0" w:color="auto"/>
      </w:divBdr>
    </w:div>
    <w:div w:id="670841652">
      <w:bodyDiv w:val="1"/>
      <w:marLeft w:val="0"/>
      <w:marRight w:val="0"/>
      <w:marTop w:val="0"/>
      <w:marBottom w:val="0"/>
      <w:divBdr>
        <w:top w:val="none" w:sz="0" w:space="0" w:color="auto"/>
        <w:left w:val="none" w:sz="0" w:space="0" w:color="auto"/>
        <w:bottom w:val="none" w:sz="0" w:space="0" w:color="auto"/>
        <w:right w:val="none" w:sz="0" w:space="0" w:color="auto"/>
      </w:divBdr>
    </w:div>
    <w:div w:id="691303692">
      <w:bodyDiv w:val="1"/>
      <w:marLeft w:val="0"/>
      <w:marRight w:val="0"/>
      <w:marTop w:val="0"/>
      <w:marBottom w:val="0"/>
      <w:divBdr>
        <w:top w:val="none" w:sz="0" w:space="0" w:color="auto"/>
        <w:left w:val="none" w:sz="0" w:space="0" w:color="auto"/>
        <w:bottom w:val="none" w:sz="0" w:space="0" w:color="auto"/>
        <w:right w:val="none" w:sz="0" w:space="0" w:color="auto"/>
      </w:divBdr>
    </w:div>
    <w:div w:id="711080807">
      <w:bodyDiv w:val="1"/>
      <w:marLeft w:val="0"/>
      <w:marRight w:val="0"/>
      <w:marTop w:val="0"/>
      <w:marBottom w:val="0"/>
      <w:divBdr>
        <w:top w:val="none" w:sz="0" w:space="0" w:color="auto"/>
        <w:left w:val="none" w:sz="0" w:space="0" w:color="auto"/>
        <w:bottom w:val="none" w:sz="0" w:space="0" w:color="auto"/>
        <w:right w:val="none" w:sz="0" w:space="0" w:color="auto"/>
      </w:divBdr>
    </w:div>
    <w:div w:id="749080138">
      <w:bodyDiv w:val="1"/>
      <w:marLeft w:val="0"/>
      <w:marRight w:val="0"/>
      <w:marTop w:val="0"/>
      <w:marBottom w:val="0"/>
      <w:divBdr>
        <w:top w:val="none" w:sz="0" w:space="0" w:color="auto"/>
        <w:left w:val="none" w:sz="0" w:space="0" w:color="auto"/>
        <w:bottom w:val="none" w:sz="0" w:space="0" w:color="auto"/>
        <w:right w:val="none" w:sz="0" w:space="0" w:color="auto"/>
      </w:divBdr>
    </w:div>
    <w:div w:id="765462606">
      <w:bodyDiv w:val="1"/>
      <w:marLeft w:val="0"/>
      <w:marRight w:val="0"/>
      <w:marTop w:val="0"/>
      <w:marBottom w:val="0"/>
      <w:divBdr>
        <w:top w:val="none" w:sz="0" w:space="0" w:color="auto"/>
        <w:left w:val="none" w:sz="0" w:space="0" w:color="auto"/>
        <w:bottom w:val="none" w:sz="0" w:space="0" w:color="auto"/>
        <w:right w:val="none" w:sz="0" w:space="0" w:color="auto"/>
      </w:divBdr>
    </w:div>
    <w:div w:id="785657524">
      <w:bodyDiv w:val="1"/>
      <w:marLeft w:val="0"/>
      <w:marRight w:val="0"/>
      <w:marTop w:val="0"/>
      <w:marBottom w:val="0"/>
      <w:divBdr>
        <w:top w:val="none" w:sz="0" w:space="0" w:color="auto"/>
        <w:left w:val="none" w:sz="0" w:space="0" w:color="auto"/>
        <w:bottom w:val="none" w:sz="0" w:space="0" w:color="auto"/>
        <w:right w:val="none" w:sz="0" w:space="0" w:color="auto"/>
      </w:divBdr>
    </w:div>
    <w:div w:id="805665874">
      <w:bodyDiv w:val="1"/>
      <w:marLeft w:val="0"/>
      <w:marRight w:val="0"/>
      <w:marTop w:val="0"/>
      <w:marBottom w:val="0"/>
      <w:divBdr>
        <w:top w:val="none" w:sz="0" w:space="0" w:color="auto"/>
        <w:left w:val="none" w:sz="0" w:space="0" w:color="auto"/>
        <w:bottom w:val="none" w:sz="0" w:space="0" w:color="auto"/>
        <w:right w:val="none" w:sz="0" w:space="0" w:color="auto"/>
      </w:divBdr>
    </w:div>
    <w:div w:id="805702492">
      <w:bodyDiv w:val="1"/>
      <w:marLeft w:val="0"/>
      <w:marRight w:val="0"/>
      <w:marTop w:val="0"/>
      <w:marBottom w:val="0"/>
      <w:divBdr>
        <w:top w:val="none" w:sz="0" w:space="0" w:color="auto"/>
        <w:left w:val="none" w:sz="0" w:space="0" w:color="auto"/>
        <w:bottom w:val="none" w:sz="0" w:space="0" w:color="auto"/>
        <w:right w:val="none" w:sz="0" w:space="0" w:color="auto"/>
      </w:divBdr>
    </w:div>
    <w:div w:id="871114036">
      <w:bodyDiv w:val="1"/>
      <w:marLeft w:val="0"/>
      <w:marRight w:val="0"/>
      <w:marTop w:val="0"/>
      <w:marBottom w:val="0"/>
      <w:divBdr>
        <w:top w:val="none" w:sz="0" w:space="0" w:color="auto"/>
        <w:left w:val="none" w:sz="0" w:space="0" w:color="auto"/>
        <w:bottom w:val="none" w:sz="0" w:space="0" w:color="auto"/>
        <w:right w:val="none" w:sz="0" w:space="0" w:color="auto"/>
      </w:divBdr>
    </w:div>
    <w:div w:id="900865050">
      <w:bodyDiv w:val="1"/>
      <w:marLeft w:val="0"/>
      <w:marRight w:val="0"/>
      <w:marTop w:val="0"/>
      <w:marBottom w:val="0"/>
      <w:divBdr>
        <w:top w:val="none" w:sz="0" w:space="0" w:color="auto"/>
        <w:left w:val="none" w:sz="0" w:space="0" w:color="auto"/>
        <w:bottom w:val="none" w:sz="0" w:space="0" w:color="auto"/>
        <w:right w:val="none" w:sz="0" w:space="0" w:color="auto"/>
      </w:divBdr>
    </w:div>
    <w:div w:id="935553602">
      <w:bodyDiv w:val="1"/>
      <w:marLeft w:val="0"/>
      <w:marRight w:val="0"/>
      <w:marTop w:val="0"/>
      <w:marBottom w:val="0"/>
      <w:divBdr>
        <w:top w:val="none" w:sz="0" w:space="0" w:color="auto"/>
        <w:left w:val="none" w:sz="0" w:space="0" w:color="auto"/>
        <w:bottom w:val="none" w:sz="0" w:space="0" w:color="auto"/>
        <w:right w:val="none" w:sz="0" w:space="0" w:color="auto"/>
      </w:divBdr>
    </w:div>
    <w:div w:id="946817671">
      <w:bodyDiv w:val="1"/>
      <w:marLeft w:val="0"/>
      <w:marRight w:val="0"/>
      <w:marTop w:val="0"/>
      <w:marBottom w:val="0"/>
      <w:divBdr>
        <w:top w:val="none" w:sz="0" w:space="0" w:color="auto"/>
        <w:left w:val="none" w:sz="0" w:space="0" w:color="auto"/>
        <w:bottom w:val="none" w:sz="0" w:space="0" w:color="auto"/>
        <w:right w:val="none" w:sz="0" w:space="0" w:color="auto"/>
      </w:divBdr>
    </w:div>
    <w:div w:id="977490668">
      <w:bodyDiv w:val="1"/>
      <w:marLeft w:val="0"/>
      <w:marRight w:val="0"/>
      <w:marTop w:val="0"/>
      <w:marBottom w:val="0"/>
      <w:divBdr>
        <w:top w:val="none" w:sz="0" w:space="0" w:color="auto"/>
        <w:left w:val="none" w:sz="0" w:space="0" w:color="auto"/>
        <w:bottom w:val="none" w:sz="0" w:space="0" w:color="auto"/>
        <w:right w:val="none" w:sz="0" w:space="0" w:color="auto"/>
      </w:divBdr>
    </w:div>
    <w:div w:id="1063912818">
      <w:bodyDiv w:val="1"/>
      <w:marLeft w:val="0"/>
      <w:marRight w:val="0"/>
      <w:marTop w:val="0"/>
      <w:marBottom w:val="0"/>
      <w:divBdr>
        <w:top w:val="none" w:sz="0" w:space="0" w:color="auto"/>
        <w:left w:val="none" w:sz="0" w:space="0" w:color="auto"/>
        <w:bottom w:val="none" w:sz="0" w:space="0" w:color="auto"/>
        <w:right w:val="none" w:sz="0" w:space="0" w:color="auto"/>
      </w:divBdr>
    </w:div>
    <w:div w:id="1072045540">
      <w:bodyDiv w:val="1"/>
      <w:marLeft w:val="0"/>
      <w:marRight w:val="0"/>
      <w:marTop w:val="0"/>
      <w:marBottom w:val="0"/>
      <w:divBdr>
        <w:top w:val="none" w:sz="0" w:space="0" w:color="auto"/>
        <w:left w:val="none" w:sz="0" w:space="0" w:color="auto"/>
        <w:bottom w:val="none" w:sz="0" w:space="0" w:color="auto"/>
        <w:right w:val="none" w:sz="0" w:space="0" w:color="auto"/>
      </w:divBdr>
    </w:div>
    <w:div w:id="1074743600">
      <w:bodyDiv w:val="1"/>
      <w:marLeft w:val="0"/>
      <w:marRight w:val="0"/>
      <w:marTop w:val="0"/>
      <w:marBottom w:val="0"/>
      <w:divBdr>
        <w:top w:val="none" w:sz="0" w:space="0" w:color="auto"/>
        <w:left w:val="none" w:sz="0" w:space="0" w:color="auto"/>
        <w:bottom w:val="none" w:sz="0" w:space="0" w:color="auto"/>
        <w:right w:val="none" w:sz="0" w:space="0" w:color="auto"/>
      </w:divBdr>
    </w:div>
    <w:div w:id="1086152631">
      <w:bodyDiv w:val="1"/>
      <w:marLeft w:val="0"/>
      <w:marRight w:val="0"/>
      <w:marTop w:val="0"/>
      <w:marBottom w:val="0"/>
      <w:divBdr>
        <w:top w:val="none" w:sz="0" w:space="0" w:color="auto"/>
        <w:left w:val="none" w:sz="0" w:space="0" w:color="auto"/>
        <w:bottom w:val="none" w:sz="0" w:space="0" w:color="auto"/>
        <w:right w:val="none" w:sz="0" w:space="0" w:color="auto"/>
      </w:divBdr>
    </w:div>
    <w:div w:id="1133912508">
      <w:bodyDiv w:val="1"/>
      <w:marLeft w:val="0"/>
      <w:marRight w:val="0"/>
      <w:marTop w:val="0"/>
      <w:marBottom w:val="0"/>
      <w:divBdr>
        <w:top w:val="none" w:sz="0" w:space="0" w:color="auto"/>
        <w:left w:val="none" w:sz="0" w:space="0" w:color="auto"/>
        <w:bottom w:val="none" w:sz="0" w:space="0" w:color="auto"/>
        <w:right w:val="none" w:sz="0" w:space="0" w:color="auto"/>
      </w:divBdr>
    </w:div>
    <w:div w:id="1174494633">
      <w:bodyDiv w:val="1"/>
      <w:marLeft w:val="0"/>
      <w:marRight w:val="0"/>
      <w:marTop w:val="0"/>
      <w:marBottom w:val="0"/>
      <w:divBdr>
        <w:top w:val="none" w:sz="0" w:space="0" w:color="auto"/>
        <w:left w:val="none" w:sz="0" w:space="0" w:color="auto"/>
        <w:bottom w:val="none" w:sz="0" w:space="0" w:color="auto"/>
        <w:right w:val="none" w:sz="0" w:space="0" w:color="auto"/>
      </w:divBdr>
    </w:div>
    <w:div w:id="1176075722">
      <w:bodyDiv w:val="1"/>
      <w:marLeft w:val="0"/>
      <w:marRight w:val="0"/>
      <w:marTop w:val="0"/>
      <w:marBottom w:val="0"/>
      <w:divBdr>
        <w:top w:val="none" w:sz="0" w:space="0" w:color="auto"/>
        <w:left w:val="none" w:sz="0" w:space="0" w:color="auto"/>
        <w:bottom w:val="none" w:sz="0" w:space="0" w:color="auto"/>
        <w:right w:val="none" w:sz="0" w:space="0" w:color="auto"/>
      </w:divBdr>
    </w:div>
    <w:div w:id="1218587875">
      <w:bodyDiv w:val="1"/>
      <w:marLeft w:val="0"/>
      <w:marRight w:val="0"/>
      <w:marTop w:val="0"/>
      <w:marBottom w:val="0"/>
      <w:divBdr>
        <w:top w:val="none" w:sz="0" w:space="0" w:color="auto"/>
        <w:left w:val="none" w:sz="0" w:space="0" w:color="auto"/>
        <w:bottom w:val="none" w:sz="0" w:space="0" w:color="auto"/>
        <w:right w:val="none" w:sz="0" w:space="0" w:color="auto"/>
      </w:divBdr>
    </w:div>
    <w:div w:id="1294827000">
      <w:bodyDiv w:val="1"/>
      <w:marLeft w:val="0"/>
      <w:marRight w:val="0"/>
      <w:marTop w:val="0"/>
      <w:marBottom w:val="0"/>
      <w:divBdr>
        <w:top w:val="none" w:sz="0" w:space="0" w:color="auto"/>
        <w:left w:val="none" w:sz="0" w:space="0" w:color="auto"/>
        <w:bottom w:val="none" w:sz="0" w:space="0" w:color="auto"/>
        <w:right w:val="none" w:sz="0" w:space="0" w:color="auto"/>
      </w:divBdr>
    </w:div>
    <w:div w:id="1329676233">
      <w:bodyDiv w:val="1"/>
      <w:marLeft w:val="0"/>
      <w:marRight w:val="0"/>
      <w:marTop w:val="0"/>
      <w:marBottom w:val="0"/>
      <w:divBdr>
        <w:top w:val="none" w:sz="0" w:space="0" w:color="auto"/>
        <w:left w:val="none" w:sz="0" w:space="0" w:color="auto"/>
        <w:bottom w:val="none" w:sz="0" w:space="0" w:color="auto"/>
        <w:right w:val="none" w:sz="0" w:space="0" w:color="auto"/>
      </w:divBdr>
    </w:div>
    <w:div w:id="1375273420">
      <w:bodyDiv w:val="1"/>
      <w:marLeft w:val="0"/>
      <w:marRight w:val="0"/>
      <w:marTop w:val="0"/>
      <w:marBottom w:val="0"/>
      <w:divBdr>
        <w:top w:val="none" w:sz="0" w:space="0" w:color="auto"/>
        <w:left w:val="none" w:sz="0" w:space="0" w:color="auto"/>
        <w:bottom w:val="none" w:sz="0" w:space="0" w:color="auto"/>
        <w:right w:val="none" w:sz="0" w:space="0" w:color="auto"/>
      </w:divBdr>
    </w:div>
    <w:div w:id="1416440026">
      <w:bodyDiv w:val="1"/>
      <w:marLeft w:val="0"/>
      <w:marRight w:val="0"/>
      <w:marTop w:val="0"/>
      <w:marBottom w:val="0"/>
      <w:divBdr>
        <w:top w:val="none" w:sz="0" w:space="0" w:color="auto"/>
        <w:left w:val="none" w:sz="0" w:space="0" w:color="auto"/>
        <w:bottom w:val="none" w:sz="0" w:space="0" w:color="auto"/>
        <w:right w:val="none" w:sz="0" w:space="0" w:color="auto"/>
      </w:divBdr>
    </w:div>
    <w:div w:id="1431775630">
      <w:bodyDiv w:val="1"/>
      <w:marLeft w:val="0"/>
      <w:marRight w:val="0"/>
      <w:marTop w:val="0"/>
      <w:marBottom w:val="0"/>
      <w:divBdr>
        <w:top w:val="none" w:sz="0" w:space="0" w:color="auto"/>
        <w:left w:val="none" w:sz="0" w:space="0" w:color="auto"/>
        <w:bottom w:val="none" w:sz="0" w:space="0" w:color="auto"/>
        <w:right w:val="none" w:sz="0" w:space="0" w:color="auto"/>
      </w:divBdr>
    </w:div>
    <w:div w:id="1457791952">
      <w:bodyDiv w:val="1"/>
      <w:marLeft w:val="0"/>
      <w:marRight w:val="0"/>
      <w:marTop w:val="0"/>
      <w:marBottom w:val="0"/>
      <w:divBdr>
        <w:top w:val="none" w:sz="0" w:space="0" w:color="auto"/>
        <w:left w:val="none" w:sz="0" w:space="0" w:color="auto"/>
        <w:bottom w:val="none" w:sz="0" w:space="0" w:color="auto"/>
        <w:right w:val="none" w:sz="0" w:space="0" w:color="auto"/>
      </w:divBdr>
    </w:div>
    <w:div w:id="1474178455">
      <w:bodyDiv w:val="1"/>
      <w:marLeft w:val="0"/>
      <w:marRight w:val="0"/>
      <w:marTop w:val="0"/>
      <w:marBottom w:val="0"/>
      <w:divBdr>
        <w:top w:val="none" w:sz="0" w:space="0" w:color="auto"/>
        <w:left w:val="none" w:sz="0" w:space="0" w:color="auto"/>
        <w:bottom w:val="none" w:sz="0" w:space="0" w:color="auto"/>
        <w:right w:val="none" w:sz="0" w:space="0" w:color="auto"/>
      </w:divBdr>
    </w:div>
    <w:div w:id="1479300836">
      <w:bodyDiv w:val="1"/>
      <w:marLeft w:val="0"/>
      <w:marRight w:val="0"/>
      <w:marTop w:val="0"/>
      <w:marBottom w:val="0"/>
      <w:divBdr>
        <w:top w:val="none" w:sz="0" w:space="0" w:color="auto"/>
        <w:left w:val="none" w:sz="0" w:space="0" w:color="auto"/>
        <w:bottom w:val="none" w:sz="0" w:space="0" w:color="auto"/>
        <w:right w:val="none" w:sz="0" w:space="0" w:color="auto"/>
      </w:divBdr>
    </w:div>
    <w:div w:id="1492520392">
      <w:bodyDiv w:val="1"/>
      <w:marLeft w:val="0"/>
      <w:marRight w:val="0"/>
      <w:marTop w:val="0"/>
      <w:marBottom w:val="0"/>
      <w:divBdr>
        <w:top w:val="none" w:sz="0" w:space="0" w:color="auto"/>
        <w:left w:val="none" w:sz="0" w:space="0" w:color="auto"/>
        <w:bottom w:val="none" w:sz="0" w:space="0" w:color="auto"/>
        <w:right w:val="none" w:sz="0" w:space="0" w:color="auto"/>
      </w:divBdr>
    </w:div>
    <w:div w:id="1561209873">
      <w:bodyDiv w:val="1"/>
      <w:marLeft w:val="0"/>
      <w:marRight w:val="0"/>
      <w:marTop w:val="0"/>
      <w:marBottom w:val="0"/>
      <w:divBdr>
        <w:top w:val="none" w:sz="0" w:space="0" w:color="auto"/>
        <w:left w:val="none" w:sz="0" w:space="0" w:color="auto"/>
        <w:bottom w:val="none" w:sz="0" w:space="0" w:color="auto"/>
        <w:right w:val="none" w:sz="0" w:space="0" w:color="auto"/>
      </w:divBdr>
    </w:div>
    <w:div w:id="1597902668">
      <w:bodyDiv w:val="1"/>
      <w:marLeft w:val="0"/>
      <w:marRight w:val="0"/>
      <w:marTop w:val="0"/>
      <w:marBottom w:val="0"/>
      <w:divBdr>
        <w:top w:val="none" w:sz="0" w:space="0" w:color="auto"/>
        <w:left w:val="none" w:sz="0" w:space="0" w:color="auto"/>
        <w:bottom w:val="none" w:sz="0" w:space="0" w:color="auto"/>
        <w:right w:val="none" w:sz="0" w:space="0" w:color="auto"/>
      </w:divBdr>
    </w:div>
    <w:div w:id="1672492010">
      <w:bodyDiv w:val="1"/>
      <w:marLeft w:val="0"/>
      <w:marRight w:val="0"/>
      <w:marTop w:val="0"/>
      <w:marBottom w:val="0"/>
      <w:divBdr>
        <w:top w:val="none" w:sz="0" w:space="0" w:color="auto"/>
        <w:left w:val="none" w:sz="0" w:space="0" w:color="auto"/>
        <w:bottom w:val="none" w:sz="0" w:space="0" w:color="auto"/>
        <w:right w:val="none" w:sz="0" w:space="0" w:color="auto"/>
      </w:divBdr>
    </w:div>
    <w:div w:id="1677918833">
      <w:bodyDiv w:val="1"/>
      <w:marLeft w:val="0"/>
      <w:marRight w:val="0"/>
      <w:marTop w:val="0"/>
      <w:marBottom w:val="0"/>
      <w:divBdr>
        <w:top w:val="none" w:sz="0" w:space="0" w:color="auto"/>
        <w:left w:val="none" w:sz="0" w:space="0" w:color="auto"/>
        <w:bottom w:val="none" w:sz="0" w:space="0" w:color="auto"/>
        <w:right w:val="none" w:sz="0" w:space="0" w:color="auto"/>
      </w:divBdr>
    </w:div>
    <w:div w:id="1788547508">
      <w:bodyDiv w:val="1"/>
      <w:marLeft w:val="0"/>
      <w:marRight w:val="0"/>
      <w:marTop w:val="0"/>
      <w:marBottom w:val="0"/>
      <w:divBdr>
        <w:top w:val="none" w:sz="0" w:space="0" w:color="auto"/>
        <w:left w:val="none" w:sz="0" w:space="0" w:color="auto"/>
        <w:bottom w:val="none" w:sz="0" w:space="0" w:color="auto"/>
        <w:right w:val="none" w:sz="0" w:space="0" w:color="auto"/>
      </w:divBdr>
    </w:div>
    <w:div w:id="1804150565">
      <w:bodyDiv w:val="1"/>
      <w:marLeft w:val="0"/>
      <w:marRight w:val="0"/>
      <w:marTop w:val="0"/>
      <w:marBottom w:val="0"/>
      <w:divBdr>
        <w:top w:val="none" w:sz="0" w:space="0" w:color="auto"/>
        <w:left w:val="none" w:sz="0" w:space="0" w:color="auto"/>
        <w:bottom w:val="none" w:sz="0" w:space="0" w:color="auto"/>
        <w:right w:val="none" w:sz="0" w:space="0" w:color="auto"/>
      </w:divBdr>
    </w:div>
    <w:div w:id="1827629257">
      <w:bodyDiv w:val="1"/>
      <w:marLeft w:val="0"/>
      <w:marRight w:val="0"/>
      <w:marTop w:val="0"/>
      <w:marBottom w:val="0"/>
      <w:divBdr>
        <w:top w:val="none" w:sz="0" w:space="0" w:color="auto"/>
        <w:left w:val="none" w:sz="0" w:space="0" w:color="auto"/>
        <w:bottom w:val="none" w:sz="0" w:space="0" w:color="auto"/>
        <w:right w:val="none" w:sz="0" w:space="0" w:color="auto"/>
      </w:divBdr>
    </w:div>
    <w:div w:id="1865824603">
      <w:bodyDiv w:val="1"/>
      <w:marLeft w:val="0"/>
      <w:marRight w:val="0"/>
      <w:marTop w:val="0"/>
      <w:marBottom w:val="0"/>
      <w:divBdr>
        <w:top w:val="none" w:sz="0" w:space="0" w:color="auto"/>
        <w:left w:val="none" w:sz="0" w:space="0" w:color="auto"/>
        <w:bottom w:val="none" w:sz="0" w:space="0" w:color="auto"/>
        <w:right w:val="none" w:sz="0" w:space="0" w:color="auto"/>
      </w:divBdr>
    </w:div>
    <w:div w:id="1879851678">
      <w:bodyDiv w:val="1"/>
      <w:marLeft w:val="0"/>
      <w:marRight w:val="0"/>
      <w:marTop w:val="0"/>
      <w:marBottom w:val="0"/>
      <w:divBdr>
        <w:top w:val="none" w:sz="0" w:space="0" w:color="auto"/>
        <w:left w:val="none" w:sz="0" w:space="0" w:color="auto"/>
        <w:bottom w:val="none" w:sz="0" w:space="0" w:color="auto"/>
        <w:right w:val="none" w:sz="0" w:space="0" w:color="auto"/>
      </w:divBdr>
    </w:div>
    <w:div w:id="1891459440">
      <w:bodyDiv w:val="1"/>
      <w:marLeft w:val="0"/>
      <w:marRight w:val="0"/>
      <w:marTop w:val="0"/>
      <w:marBottom w:val="0"/>
      <w:divBdr>
        <w:top w:val="none" w:sz="0" w:space="0" w:color="auto"/>
        <w:left w:val="none" w:sz="0" w:space="0" w:color="auto"/>
        <w:bottom w:val="none" w:sz="0" w:space="0" w:color="auto"/>
        <w:right w:val="none" w:sz="0" w:space="0" w:color="auto"/>
      </w:divBdr>
    </w:div>
    <w:div w:id="1900090871">
      <w:bodyDiv w:val="1"/>
      <w:marLeft w:val="0"/>
      <w:marRight w:val="0"/>
      <w:marTop w:val="0"/>
      <w:marBottom w:val="0"/>
      <w:divBdr>
        <w:top w:val="none" w:sz="0" w:space="0" w:color="auto"/>
        <w:left w:val="none" w:sz="0" w:space="0" w:color="auto"/>
        <w:bottom w:val="none" w:sz="0" w:space="0" w:color="auto"/>
        <w:right w:val="none" w:sz="0" w:space="0" w:color="auto"/>
      </w:divBdr>
    </w:div>
    <w:div w:id="1918784210">
      <w:bodyDiv w:val="1"/>
      <w:marLeft w:val="0"/>
      <w:marRight w:val="0"/>
      <w:marTop w:val="0"/>
      <w:marBottom w:val="0"/>
      <w:divBdr>
        <w:top w:val="none" w:sz="0" w:space="0" w:color="auto"/>
        <w:left w:val="none" w:sz="0" w:space="0" w:color="auto"/>
        <w:bottom w:val="none" w:sz="0" w:space="0" w:color="auto"/>
        <w:right w:val="none" w:sz="0" w:space="0" w:color="auto"/>
      </w:divBdr>
    </w:div>
    <w:div w:id="1954168484">
      <w:bodyDiv w:val="1"/>
      <w:marLeft w:val="0"/>
      <w:marRight w:val="0"/>
      <w:marTop w:val="0"/>
      <w:marBottom w:val="0"/>
      <w:divBdr>
        <w:top w:val="none" w:sz="0" w:space="0" w:color="auto"/>
        <w:left w:val="none" w:sz="0" w:space="0" w:color="auto"/>
        <w:bottom w:val="none" w:sz="0" w:space="0" w:color="auto"/>
        <w:right w:val="none" w:sz="0" w:space="0" w:color="auto"/>
      </w:divBdr>
    </w:div>
    <w:div w:id="1954750601">
      <w:bodyDiv w:val="1"/>
      <w:marLeft w:val="0"/>
      <w:marRight w:val="0"/>
      <w:marTop w:val="0"/>
      <w:marBottom w:val="0"/>
      <w:divBdr>
        <w:top w:val="none" w:sz="0" w:space="0" w:color="auto"/>
        <w:left w:val="none" w:sz="0" w:space="0" w:color="auto"/>
        <w:bottom w:val="none" w:sz="0" w:space="0" w:color="auto"/>
        <w:right w:val="none" w:sz="0" w:space="0" w:color="auto"/>
      </w:divBdr>
    </w:div>
    <w:div w:id="1990280955">
      <w:bodyDiv w:val="1"/>
      <w:marLeft w:val="0"/>
      <w:marRight w:val="0"/>
      <w:marTop w:val="0"/>
      <w:marBottom w:val="0"/>
      <w:divBdr>
        <w:top w:val="none" w:sz="0" w:space="0" w:color="auto"/>
        <w:left w:val="none" w:sz="0" w:space="0" w:color="auto"/>
        <w:bottom w:val="none" w:sz="0" w:space="0" w:color="auto"/>
        <w:right w:val="none" w:sz="0" w:space="0" w:color="auto"/>
      </w:divBdr>
    </w:div>
    <w:div w:id="2041319277">
      <w:bodyDiv w:val="1"/>
      <w:marLeft w:val="0"/>
      <w:marRight w:val="0"/>
      <w:marTop w:val="0"/>
      <w:marBottom w:val="0"/>
      <w:divBdr>
        <w:top w:val="none" w:sz="0" w:space="0" w:color="auto"/>
        <w:left w:val="none" w:sz="0" w:space="0" w:color="auto"/>
        <w:bottom w:val="none" w:sz="0" w:space="0" w:color="auto"/>
        <w:right w:val="none" w:sz="0" w:space="0" w:color="auto"/>
      </w:divBdr>
    </w:div>
    <w:div w:id="2059473541">
      <w:bodyDiv w:val="1"/>
      <w:marLeft w:val="0"/>
      <w:marRight w:val="0"/>
      <w:marTop w:val="0"/>
      <w:marBottom w:val="0"/>
      <w:divBdr>
        <w:top w:val="none" w:sz="0" w:space="0" w:color="auto"/>
        <w:left w:val="none" w:sz="0" w:space="0" w:color="auto"/>
        <w:bottom w:val="none" w:sz="0" w:space="0" w:color="auto"/>
        <w:right w:val="none" w:sz="0" w:space="0" w:color="auto"/>
      </w:divBdr>
    </w:div>
    <w:div w:id="2065174139">
      <w:bodyDiv w:val="1"/>
      <w:marLeft w:val="0"/>
      <w:marRight w:val="0"/>
      <w:marTop w:val="0"/>
      <w:marBottom w:val="0"/>
      <w:divBdr>
        <w:top w:val="none" w:sz="0" w:space="0" w:color="auto"/>
        <w:left w:val="none" w:sz="0" w:space="0" w:color="auto"/>
        <w:bottom w:val="none" w:sz="0" w:space="0" w:color="auto"/>
        <w:right w:val="none" w:sz="0" w:space="0" w:color="auto"/>
      </w:divBdr>
    </w:div>
    <w:div w:id="21104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0C30-9350-4476-8A6D-01005A03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13891</Words>
  <Characters>76401</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2</cp:revision>
  <cp:lastPrinted>2017-02-15T09:12:00Z</cp:lastPrinted>
  <dcterms:created xsi:type="dcterms:W3CDTF">2017-03-29T07:21:00Z</dcterms:created>
  <dcterms:modified xsi:type="dcterms:W3CDTF">2017-03-29T07:21:00Z</dcterms:modified>
</cp:coreProperties>
</file>