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la solución del Departamento de Educación a la petición planteada por familias de Fontellas cuyos niños y niñas están escolarizados en el colegio público Monte San Julián, de Tudela, publicada en el Boletín Oficial del Parlamento de Navarra núm. 90 de 20 de junio de 2017.</w:t>
      </w:r>
    </w:p>
    <w:p>
      <w:pPr>
        <w:pStyle w:val="0"/>
        <w:suppressAutoHyphens w:val="false"/>
        <w:rPr>
          <w:rStyle w:val="1"/>
        </w:rPr>
      </w:pPr>
      <w:r>
        <w:rPr>
          <w:rStyle w:val="1"/>
        </w:rPr>
        <w:t xml:space="preserve">Pamplona, 21 de agosto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escrita 9-17/PES-00187, presentada por el Grupo Parlamentario Unión del Pueblo Navarro (UPN), la Consejera de Educación del Gobierno de Navarra informa:</w:t>
      </w:r>
    </w:p>
    <w:p>
      <w:pPr>
        <w:pStyle w:val="0"/>
        <w:suppressAutoHyphens w:val="false"/>
        <w:rPr>
          <w:rStyle w:val="1"/>
        </w:rPr>
      </w:pPr>
      <w:r>
        <w:rPr>
          <w:rStyle w:val="1"/>
        </w:rPr>
        <w:t xml:space="preserve">Que el centro al que alude la pregunta, “C. P. Virgen de la Cabeza”, fue cerrado hace años y no existe en la actualidad; sin embargo, si suponemos (así parece ser) que se refiere al centro C.P. Monte San Julián, de Tudela, al que acude alumnado de Fontellas, la respuesta sería la siguiente:</w:t>
      </w:r>
    </w:p>
    <w:p>
      <w:pPr>
        <w:pStyle w:val="0"/>
        <w:suppressAutoHyphens w:val="false"/>
        <w:rPr>
          <w:rStyle w:val="1"/>
        </w:rPr>
      </w:pPr>
      <w:r>
        <w:rPr>
          <w:rStyle w:val="1"/>
        </w:rPr>
        <w:t xml:space="preserve">Que la Resolución 523/2016 de 1 de diciembre regula, la implantación de la jornada escolar continua y flexible en centros de Educación Infantil y Primaria tanto públicos como concertados y que dicha resolución especifica muy claramente las condiciones en las que deben darse dichas jornadas. Aspecto muy importante es que dicha implantación tendrá un carácter temporal, para el curso 2017/2018, debiendo plantear el centro su mantenimiento o revocación para el curso siguiente. (Por tanto será el centro el que, en atención a su autonomía, y tras la valoración de la experiencia, decida sobre el mantenimiento o revocación de la misma).</w:t>
      </w:r>
    </w:p>
    <w:p>
      <w:pPr>
        <w:pStyle w:val="0"/>
        <w:ind w:firstLine="0" w:left="510.236"/>
        <w:suppressAutoHyphens w:val="false"/>
        <w:rPr>
          <w:rStyle w:val="1"/>
        </w:rPr>
      </w:pPr>
      <w:r>
        <w:rPr>
          <w:rStyle w:val="1"/>
        </w:rPr>
        <w:t xml:space="preserve">1. Jornada escolar continua.</w:t>
      </w:r>
    </w:p>
    <w:p>
      <w:pPr>
        <w:pStyle w:val="0"/>
        <w:ind w:firstLine="0" w:left="510.236"/>
        <w:suppressAutoHyphens w:val="false"/>
        <w:rPr>
          <w:rStyle w:val="1"/>
          <w:i w:val="true"/>
        </w:rPr>
      </w:pPr>
      <w:r>
        <w:rPr>
          <w:rStyle w:val="1"/>
          <w:i w:val="true"/>
        </w:rPr>
        <w:t xml:space="preserve">8. …la implantación de la jornada continua tendrá carácter temporal y se ceñirá al curso 2017-2018, debiendo plantearse su mantenimiento o revocación para el curso siguiente.</w:t>
      </w:r>
    </w:p>
    <w:p>
      <w:pPr>
        <w:pStyle w:val="0"/>
        <w:suppressAutoHyphens w:val="false"/>
        <w:rPr>
          <w:rStyle w:val="1"/>
        </w:rPr>
      </w:pPr>
      <w:r>
        <w:rPr>
          <w:rStyle w:val="1"/>
        </w:rPr>
        <w:t xml:space="preserve">El Departamento de Educación elaboró la mencionada Resolución bajo dos premisas:</w:t>
      </w:r>
    </w:p>
    <w:p>
      <w:pPr>
        <w:pStyle w:val="0"/>
        <w:suppressAutoHyphens w:val="false"/>
        <w:rPr>
          <w:rStyle w:val="1"/>
        </w:rPr>
      </w:pPr>
      <w:r>
        <w:rPr>
          <w:rStyle w:val="1"/>
        </w:rPr>
        <w:t xml:space="preserve">1.- La adopción de la nueva jornada NUNCA podría suponer perjuicio alguno al alumnado con respecto a los derechos adquiridos en la jornada que se abandona. Es decir el Departamento deberá garantizar la atención del alumnado, tanto en el período lectivo como en el extraescolar que, como resultado de sus circunstancias, no pudiera adaptarse al nuevo horario resultante de la implantación de la nueva jornada.</w:t>
      </w:r>
    </w:p>
    <w:p>
      <w:pPr>
        <w:pStyle w:val="0"/>
        <w:suppressAutoHyphens w:val="false"/>
        <w:rPr>
          <w:rStyle w:val="1"/>
        </w:rPr>
      </w:pPr>
      <w:r>
        <w:rPr>
          <w:rStyle w:val="1"/>
        </w:rPr>
        <w:t xml:space="preserve">Por este motivo el Departamento debe garantizar, sin modificar, los horarios de los servicios de comedor y transporte escolar en el momento en el que un solo alumno o alumna pueda verse perjudicado. Para garantizar la correcta atención de la totalidad del alumnado el centro deberá presentar en su proyecto la relación de actividades extraescolares en horario de tarde.</w:t>
      </w:r>
    </w:p>
    <w:p>
      <w:pPr>
        <w:pStyle w:val="0"/>
        <w:ind w:firstLine="0" w:left="510.236"/>
        <w:suppressAutoHyphens w:val="false"/>
        <w:rPr>
          <w:rStyle w:val="1"/>
        </w:rPr>
      </w:pPr>
      <w:r>
        <w:rPr>
          <w:rStyle w:val="1"/>
        </w:rPr>
        <w:t xml:space="preserve">1. Jornada escolar continua.</w:t>
      </w:r>
    </w:p>
    <w:p>
      <w:pPr>
        <w:pStyle w:val="0"/>
        <w:ind w:firstLine="0" w:left="510.236"/>
        <w:suppressAutoHyphens w:val="false"/>
        <w:rPr>
          <w:rStyle w:val="1"/>
          <w:i w:val="true"/>
        </w:rPr>
      </w:pPr>
      <w:r>
        <w:rPr>
          <w:rStyle w:val="1"/>
          <w:i w:val="true"/>
        </w:rPr>
        <w:t xml:space="preserve">6. Se deberá garantizar la continuidad del servicio de comedor y del servicio de transporte escolar, en coordinación con aquellos centros con los que lo compartan. No se podrá modificar los horarios de los servicios complementarios en perjuicio del alumnado.</w:t>
      </w:r>
    </w:p>
    <w:p>
      <w:pPr>
        <w:pStyle w:val="0"/>
        <w:suppressAutoHyphens w:val="false"/>
        <w:rPr>
          <w:rStyle w:val="1"/>
        </w:rPr>
      </w:pPr>
      <w:r>
        <w:rPr>
          <w:rStyle w:val="1"/>
        </w:rPr>
        <w:t xml:space="preserve">2.- Optimización de recursos. El Departamento de Educación, partiendo del principio de optimización de recursos, no podía permitir que la implantación de la nueva jornada supusiera incremento en los gastos de funcionamiento. </w:t>
      </w:r>
    </w:p>
    <w:p>
      <w:pPr>
        <w:pStyle w:val="0"/>
        <w:ind w:firstLine="0" w:left="510.236"/>
        <w:suppressAutoHyphens w:val="false"/>
        <w:rPr>
          <w:rStyle w:val="1"/>
        </w:rPr>
      </w:pPr>
      <w:r>
        <w:rPr>
          <w:rStyle w:val="1"/>
        </w:rPr>
        <w:t xml:space="preserve">1. Jornada escolar continua.</w:t>
      </w:r>
    </w:p>
    <w:p>
      <w:pPr>
        <w:pStyle w:val="0"/>
        <w:ind w:firstLine="0" w:left="510.236"/>
        <w:suppressAutoHyphens w:val="false"/>
        <w:rPr>
          <w:rStyle w:val="1"/>
          <w:i w:val="true"/>
        </w:rPr>
      </w:pPr>
      <w:r>
        <w:rPr>
          <w:rStyle w:val="1"/>
          <w:i w:val="true"/>
        </w:rPr>
        <w:t xml:space="preserve">7. Para los centros públicos, la adopción de la jornada escolar continua no supondrá en ningún caso incremento de recursos humanos ni incremento de los gastos de funcionamiento.</w:t>
      </w:r>
    </w:p>
    <w:p>
      <w:pPr>
        <w:pStyle w:val="0"/>
        <w:suppressAutoHyphens w:val="false"/>
        <w:rPr>
          <w:rStyle w:val="1"/>
        </w:rPr>
      </w:pPr>
      <w:r>
        <w:rPr>
          <w:rStyle w:val="1"/>
        </w:rPr>
        <w:t xml:space="preserve">La compatibilización de ambos principios son los que llevaron al Departamento a garantizar la salida del transporte a la finalización de las actividades de la tarde (la optimización de recursos, ante la imposibilidad de duplicar transporte) y la programación de una serie de actividades por la tarde acordes con los intereses de la totalidad del alumnado (no perjudicar los intereses de aquellos alumnos que como resultado de la implantación de la nueva jornada les resultara imposible no asistir a las actividades de la tarde ). No obstante, el Departamento permitió que si la TOTALIDAD (totalidad para que NI UN SOLO ALUMNO se viera perjudicado) de los alumnos transportados decidiera modificar el horario de salida del servicio de transporte así se pueda hacer.</w:t>
      </w:r>
    </w:p>
    <w:p>
      <w:pPr>
        <w:pStyle w:val="0"/>
        <w:suppressAutoHyphens w:val="false"/>
        <w:rPr>
          <w:rStyle w:val="1"/>
        </w:rPr>
      </w:pPr>
      <w:r>
        <w:rPr>
          <w:rStyle w:val="1"/>
        </w:rPr>
        <w:t xml:space="preserve">Por todo lo anteriormente expuesto la mencionada resolución igualmente detalla el proceso participativo por el que las propias comunidades educativas toman la decisión de adoptar el tipo de jornada que consideren más adecuado para su propio centro escolar. En dicho proceso los centros educativos han presentado sus planes y horarios y han realizado las campañas informativas pertinentes en un claro ejercicio de autonomía de gestión de los centros y las comunidades escolares.</w:t>
      </w:r>
    </w:p>
    <w:p>
      <w:pPr>
        <w:pStyle w:val="0"/>
        <w:suppressAutoHyphens w:val="false"/>
        <w:rPr>
          <w:rStyle w:val="1"/>
        </w:rPr>
      </w:pPr>
      <w:r>
        <w:rPr>
          <w:rStyle w:val="1"/>
        </w:rPr>
        <w:t xml:space="preserve">Es de destacar la alta participación y la gran acogida que esta resolución ha tenido por parte de los 3 sectores implicados: Claustro, Consejo Escolar y todas las familias del alumnado. Alta participación de centros que han optado por el cambio de jornada, tras muchos años en los que no han tenido dicha opción autonomía de gestión, muy alta participación de familias que con su voto han elegido la jornada escolar de sus hijas e hijos. </w:t>
      </w:r>
    </w:p>
    <w:p>
      <w:pPr>
        <w:pStyle w:val="0"/>
        <w:suppressAutoHyphens w:val="false"/>
        <w:rPr>
          <w:rStyle w:val="1"/>
        </w:rPr>
      </w:pPr>
      <w:r>
        <w:rPr>
          <w:rStyle w:val="1"/>
        </w:rPr>
        <w:t xml:space="preserve">Son 59 los centros que han elegido, de acuerdo todos ellos con el proyecto de centro presentado previamente a la votación, implantar la jornada continua en Navarra para el curso 2017/18. Todos estos centros, es decir, su profesorado y familias, han elegido un horario y unas condiciones previamente conocidas que deberían ser respetadas hasta que estas sean evaluadas según prevé la propia resolución.</w:t>
      </w:r>
    </w:p>
    <w:p>
      <w:pPr>
        <w:pStyle w:val="0"/>
        <w:suppressAutoHyphens w:val="false"/>
        <w:rPr>
          <w:rStyle w:val="1"/>
        </w:rPr>
      </w:pPr>
      <w:r>
        <w:rPr>
          <w:rStyle w:val="1"/>
        </w:rPr>
        <w:t xml:space="preserve">Centros seleccionados para implantar la jornada continua, durante el curso 2017/2018,</w:t>
      </w:r>
    </w:p>
    <w:p>
      <w:pPr>
        <w:pStyle w:val="3"/>
        <w:spacing w:after="56.693" w:before="113.386" w:line="180" w:lineRule="exact"/>
        <w:suppressAutoHyphens w:val="false"/>
        <w:tabs>
          <w:tab w:leader="none" w:pos="283.464" w:val="left"/>
          <w:tab w:leader="none" w:pos="2390" w:val="left"/>
          <w:tab w:leader="none" w:pos="3270" w:val="left"/>
        </w:tabs>
        <w:rPr>
          <w:sz w:val="14"/>
        </w:rPr>
      </w:pPr>
      <w:r>
        <w:rPr>
          <w:sz w:val="14"/>
        </w:rPr>
        <w:tab/>
        <w:t xml:space="preserve">Centro</w:t>
        <w:tab/>
        <w:t xml:space="preserve">Tipo</w:t>
        <w:tab/>
        <w:t xml:space="preserve">Localidad</w:t>
      </w:r>
    </w:p>
    <w:p>
      <w:pPr>
        <w:pStyle w:val="4"/>
        <w:spacing w:after="56.693" w:before="0" w:line="180" w:lineRule="exact"/>
        <w:suppressAutoHyphens w:val="false"/>
        <w:tabs>
          <w:tab w:leader="none" w:pos="283.464" w:val="left"/>
          <w:tab w:leader="none" w:pos="2390" w:val="left"/>
          <w:tab w:leader="none" w:pos="3270" w:val="left"/>
        </w:tabs>
        <w:rPr>
          <w:rStyle w:val="1"/>
          <w:sz w:val="14"/>
        </w:rPr>
      </w:pPr>
      <w:r>
        <w:rPr>
          <w:sz w:val="14"/>
        </w:rPr>
        <w:t xml:space="preserve">1</w:t>
        <w:tab/>
      </w:r>
      <w:r>
        <w:rPr>
          <w:rStyle w:val="1"/>
          <w:sz w:val="14"/>
        </w:rPr>
        <w:t xml:space="preserve">C.P. San Babil</w:t>
        <w:tab/>
        <w:t xml:space="preserve">Público</w:t>
        <w:tab/>
        <w:t xml:space="preserve">Ablitas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w:t>
        <w:tab/>
        <w:t xml:space="preserve">C.P. Zelandi</w:t>
        <w:tab/>
        <w:t xml:space="preserve">Público</w:t>
        <w:tab/>
        <w:t xml:space="preserve">Altsasu/Alsasua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w:t>
        <w:tab/>
        <w:t xml:space="preserve">C.P. Virgen de la Cerca</w:t>
        <w:tab/>
        <w:t xml:space="preserve">Público</w:t>
        <w:tab/>
        <w:t xml:space="preserve">Andosilla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w:t>
        <w:tab/>
        <w:t xml:space="preserve">C.P. Añorbe</w:t>
        <w:tab/>
        <w:t xml:space="preserve">Público</w:t>
        <w:tab/>
        <w:t xml:space="preserve">Añorbe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w:t>
        <w:tab/>
        <w:t xml:space="preserve">C.P. Sancho Ramirez</w:t>
        <w:tab/>
        <w:t xml:space="preserve">Público</w:t>
        <w:tab/>
        <w:t xml:space="preserve">Arguedas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6</w:t>
        <w:tab/>
        <w:t xml:space="preserve">C.P. Urraca Reina</w:t>
        <w:tab/>
        <w:t xml:space="preserve">Público</w:t>
        <w:tab/>
        <w:t xml:space="preserve">Artajona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7</w:t>
        <w:tab/>
        <w:t xml:space="preserve">C.P. Francisco Arbeloa</w:t>
        <w:tab/>
        <w:t xml:space="preserve">Público</w:t>
        <w:tab/>
        <w:t xml:space="preserve">Azagra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8</w:t>
        <w:tab/>
        <w:t xml:space="preserve">C.P. Beire</w:t>
        <w:tab/>
        <w:t xml:space="preserve">Público</w:t>
        <w:tab/>
        <w:t xml:space="preserve">Beire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9</w:t>
        <w:tab/>
        <w:t xml:space="preserve">C.P. Río Arga</w:t>
        <w:tab/>
        <w:t xml:space="preserve">Público</w:t>
        <w:tab/>
        <w:t xml:space="preserve">Berbinzana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10</w:t>
        <w:tab/>
        <w:t xml:space="preserve">C.P. Beriáin</w:t>
        <w:tab/>
        <w:t xml:space="preserve">Público</w:t>
        <w:tab/>
        <w:t xml:space="preserve">Beriáin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11</w:t>
        <w:tab/>
        <w:t xml:space="preserve">C.P. Santa Ana</w:t>
        <w:tab/>
        <w:t xml:space="preserve">Público</w:t>
        <w:tab/>
        <w:t xml:space="preserve">Buñuel</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12</w:t>
        <w:tab/>
        <w:t xml:space="preserve">C.P. Ermitaberri</w:t>
        <w:tab/>
        <w:t xml:space="preserve">Público</w:t>
        <w:tab/>
        <w:t xml:space="preserve">Burlada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13</w:t>
        <w:tab/>
        <w:t xml:space="preserve">C.P. Teresa Bertrán de Lis</w:t>
        <w:tab/>
        <w:t xml:space="preserve">Público</w:t>
        <w:tab/>
        <w:t xml:space="preserve">Cadreita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14</w:t>
        <w:tab/>
        <w:t xml:space="preserve">C.P. Virgen de la Oliva</w:t>
        <w:tab/>
        <w:t xml:space="preserve">Público</w:t>
        <w:tab/>
        <w:t xml:space="preserve">Carcastillo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15</w:t>
        <w:tab/>
        <w:t xml:space="preserve">C.P. Santa Vicenta M.ª</w:t>
        <w:tab/>
        <w:t xml:space="preserve">Público</w:t>
        <w:tab/>
        <w:t xml:space="preserve">Cascante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16</w:t>
        <w:tab/>
        <w:t xml:space="preserve">C.P. Fco. Javier Sáenz de Oiza</w:t>
        <w:tab/>
        <w:t xml:space="preserve">Público</w:t>
        <w:tab/>
        <w:t xml:space="preserve">Cáseda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17</w:t>
        <w:tab/>
        <w:t xml:space="preserve">C.P. Otero de Navascués</w:t>
        <w:tab/>
        <w:t xml:space="preserve">Público</w:t>
        <w:tab/>
        <w:t xml:space="preserve">Cintruénigo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18</w:t>
        <w:tab/>
        <w:t xml:space="preserve">C.P. José Luis de Arrese</w:t>
        <w:tab/>
        <w:t xml:space="preserve">Público</w:t>
        <w:tab/>
        <w:t xml:space="preserve">Corella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19</w:t>
        <w:tab/>
        <w:t xml:space="preserve">C.P. Cerro de la Cruz</w:t>
        <w:tab/>
        <w:t xml:space="preserve">Público</w:t>
        <w:tab/>
        <w:t xml:space="preserve">Cortes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20</w:t>
        <w:tab/>
        <w:t xml:space="preserve">C.P. Juan de Palafox</w:t>
        <w:tab/>
        <w:t xml:space="preserve">Público</w:t>
        <w:tab/>
        <w:t xml:space="preserve">Fitero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21</w:t>
        <w:tab/>
        <w:t xml:space="preserve">C.P. Elías Terés Sádaba</w:t>
        <w:tab/>
        <w:t xml:space="preserve">Público</w:t>
        <w:tab/>
        <w:t xml:space="preserve">Funes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22</w:t>
        <w:tab/>
        <w:t xml:space="preserve">C.P. Santos Justo y Pastor</w:t>
        <w:tab/>
        <w:t xml:space="preserve">Público</w:t>
        <w:tab/>
        <w:t xml:space="preserve">Fustiñana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23</w:t>
        <w:tab/>
        <w:t xml:space="preserve">C.P. Atakondoa</w:t>
        <w:tab/>
        <w:t xml:space="preserve">Público</w:t>
        <w:tab/>
        <w:t xml:space="preserve">Irurzun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24</w:t>
        <w:tab/>
        <w:t xml:space="preserve">C.P. Doña Blanca de Navarra</w:t>
        <w:tab/>
        <w:t xml:space="preserve">Público</w:t>
        <w:tab/>
        <w:t xml:space="preserve">Lerín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25</w:t>
        <w:tab/>
        <w:t xml:space="preserve">C.P. Angel M. Baigorri</w:t>
        <w:tab/>
        <w:t xml:space="preserve">Público</w:t>
        <w:tab/>
        <w:t xml:space="preserve">Lodosa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26</w:t>
        <w:tab/>
        <w:t xml:space="preserve">C.P. San Juan</w:t>
        <w:tab/>
        <w:t xml:space="preserve">Público</w:t>
        <w:tab/>
        <w:t xml:space="preserve">Lumbier</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27</w:t>
        <w:tab/>
        <w:t xml:space="preserve">C.P. San Bartolomé</w:t>
        <w:tab/>
        <w:t xml:space="preserve">Público</w:t>
        <w:tab/>
        <w:t xml:space="preserve">Marcilla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28</w:t>
        <w:tab/>
        <w:t xml:space="preserve">C.P. Santa Ana</w:t>
        <w:tab/>
        <w:t xml:space="preserve">Público</w:t>
        <w:tab/>
        <w:t xml:space="preserve">Mélida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29</w:t>
        <w:tab/>
        <w:t xml:space="preserve">Centro Ntra. Sra. de los Dolores</w:t>
        <w:tab/>
        <w:t xml:space="preserve">Concertado</w:t>
        <w:tab/>
        <w:t xml:space="preserve">Mendavia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30</w:t>
        <w:tab/>
        <w:t xml:space="preserve">C.P. San Francisco Javier</w:t>
        <w:tab/>
        <w:t xml:space="preserve">Público</w:t>
        <w:tab/>
        <w:t xml:space="preserve">Mendavia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31</w:t>
        <w:tab/>
        <w:t xml:space="preserve">C.P. Julián M.ª Espinal Olcoz</w:t>
        <w:tab/>
        <w:t xml:space="preserve">Público</w:t>
        <w:tab/>
        <w:t xml:space="preserve">Mendigorría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32</w:t>
        <w:tab/>
        <w:t xml:space="preserve">C.P. Ntra. Sra. del Patrocinio</w:t>
        <w:tab/>
        <w:t xml:space="preserve">Público</w:t>
        <w:tab/>
        <w:t xml:space="preserve">Milagro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33</w:t>
        <w:tab/>
        <w:t xml:space="preserve">C.P. Honorio Galilea</w:t>
        <w:tab/>
        <w:t xml:space="preserve">Público</w:t>
        <w:tab/>
        <w:t xml:space="preserve">Monteagudo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34</w:t>
        <w:tab/>
        <w:t xml:space="preserve">C.P. Mardones y Magaña</w:t>
        <w:tab/>
        <w:t xml:space="preserve">Público</w:t>
        <w:tab/>
        <w:t xml:space="preserve">Murchante</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35</w:t>
        <w:tab/>
        <w:t xml:space="preserve">C.P. Raimundo Lanas</w:t>
        <w:tab/>
        <w:t xml:space="preserve">Público</w:t>
        <w:tab/>
        <w:t xml:space="preserve">Murillo el Fruto</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36</w:t>
        <w:tab/>
        <w:t xml:space="preserve">C.P. San Miguel</w:t>
        <w:tab/>
        <w:t xml:space="preserve">Público</w:t>
        <w:tab/>
        <w:t xml:space="preserve">Noáin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37</w:t>
        <w:tab/>
        <w:t xml:space="preserve">C.P. Obanos</w:t>
        <w:tab/>
        <w:t xml:space="preserve">Público</w:t>
        <w:tab/>
        <w:t xml:space="preserve">Obanos</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38</w:t>
        <w:tab/>
        <w:t xml:space="preserve">C.P. San Salvador</w:t>
        <w:tab/>
        <w:t xml:space="preserve">Público</w:t>
        <w:tab/>
        <w:t xml:space="preserve">Oteiza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39</w:t>
        <w:tab/>
        <w:t xml:space="preserve">C.P. San Jorge</w:t>
        <w:tab/>
        <w:t xml:space="preserve">Público</w:t>
        <w:tab/>
        <w:t xml:space="preserve">Pamplona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40</w:t>
        <w:tab/>
        <w:t xml:space="preserve">C.P. Iturrama</w:t>
        <w:tab/>
        <w:t xml:space="preserve">Público</w:t>
        <w:tab/>
        <w:t xml:space="preserve">Pamplona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41</w:t>
        <w:tab/>
        <w:t xml:space="preserve">C.P Mendigoiti</w:t>
        <w:tab/>
        <w:t xml:space="preserve">Público</w:t>
        <w:tab/>
        <w:t xml:space="preserve">Pamplona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42</w:t>
        <w:tab/>
        <w:t xml:space="preserve">C.P. García Galdeano</w:t>
        <w:tab/>
        <w:t xml:space="preserve">Público</w:t>
        <w:tab/>
        <w:t xml:space="preserve">Pamplona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43</w:t>
        <w:tab/>
        <w:t xml:space="preserve">C.P. Juan Bautista Irurzun</w:t>
        <w:tab/>
        <w:t xml:space="preserve">Público</w:t>
        <w:tab/>
        <w:t xml:space="preserve">Peralta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44</w:t>
        <w:tab/>
        <w:t xml:space="preserve">C.P. Ximénez de Rada</w:t>
        <w:tab/>
        <w:t xml:space="preserve">Público</w:t>
        <w:tab/>
        <w:t xml:space="preserve">Rada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45</w:t>
        <w:tab/>
        <w:t xml:space="preserve">C.P. San Bartolomé</w:t>
        <w:tab/>
        <w:t xml:space="preserve">Público</w:t>
        <w:tab/>
        <w:t xml:space="preserve">Ribaforada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46</w:t>
        <w:tab/>
        <w:t xml:space="preserve">C.P. Alfonso X “El Sabio”</w:t>
        <w:tab/>
        <w:t xml:space="preserve">Público</w:t>
        <w:tab/>
        <w:t xml:space="preserve">San Adrián</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47</w:t>
        <w:tab/>
        <w:t xml:space="preserve">C.P. Luis Gil</w:t>
        <w:tab/>
        <w:t xml:space="preserve">Público</w:t>
        <w:tab/>
        <w:t xml:space="preserve">Sangüesa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48</w:t>
        <w:tab/>
        <w:t xml:space="preserve">C.P. Ntra. Sra. de la Asunción</w:t>
        <w:tab/>
        <w:t xml:space="preserve">Público</w:t>
        <w:tab/>
        <w:t xml:space="preserve">Santacara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49</w:t>
        <w:tab/>
        <w:t xml:space="preserve">C.P. Virgen de las Nievas</w:t>
        <w:tab/>
        <w:t xml:space="preserve">Público</w:t>
        <w:tab/>
        <w:t xml:space="preserve">Sesma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50</w:t>
        <w:tab/>
        <w:t xml:space="preserve">C.P. Marqués de la Real Defensa</w:t>
        <w:tab/>
        <w:t xml:space="preserve">Público</w:t>
        <w:tab/>
        <w:t xml:space="preserve">Tafalla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51</w:t>
        <w:tab/>
        <w:t xml:space="preserve">Ikastola Garcés de los Fayos</w:t>
        <w:tab/>
        <w:t xml:space="preserve">Concertado</w:t>
        <w:tab/>
        <w:t xml:space="preserve">Tafalla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52</w:t>
        <w:tab/>
        <w:t xml:space="preserve">C.P. Monte San Julián</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53</w:t>
        <w:tab/>
        <w:t xml:space="preserve">C.P. Elvira España</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54</w:t>
        <w:tab/>
        <w:t xml:space="preserve">C.P. Griseras</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55</w:t>
        <w:tab/>
        <w:t xml:space="preserve">C.P. Torre Monreal</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56</w:t>
        <w:tab/>
        <w:t xml:space="preserve">C.P. Huertas Mayores</w:t>
        <w:tab/>
        <w:t xml:space="preserve">Público</w:t>
        <w:tab/>
        <w:t xml:space="preserve">Tudela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57</w:t>
        <w:tab/>
        <w:t xml:space="preserve">C.P. Félix Zapatero</w:t>
        <w:tab/>
        <w:t xml:space="preserve">Público</w:t>
        <w:tab/>
        <w:t xml:space="preserve">Valtierra</w:t>
      </w:r>
    </w:p>
    <w:p>
      <w:pPr>
        <w:pStyle w:val="4"/>
        <w:spacing w:after="56.693" w:before="0" w:line="180" w:lineRule="exact"/>
        <w:suppressAutoHyphens w:val="false"/>
        <w:tabs>
          <w:tab w:leader="none" w:pos="283.464" w:val="left"/>
          <w:tab w:leader="none" w:pos="2390" w:val="left"/>
          <w:tab w:leader="none" w:pos="3270" w:val="left"/>
        </w:tabs>
        <w:rPr>
          <w:sz w:val="14"/>
        </w:rPr>
      </w:pPr>
      <w:r>
        <w:rPr>
          <w:sz w:val="14"/>
        </w:rPr>
        <w:t xml:space="preserve">58</w:t>
        <w:tab/>
        <w:t xml:space="preserve">C.P. El Castellar</w:t>
        <w:tab/>
        <w:t xml:space="preserve">Público</w:t>
        <w:tab/>
        <w:t xml:space="preserve">Villafranca</w:t>
      </w:r>
    </w:p>
    <w:p>
      <w:pPr>
        <w:pStyle w:val="5"/>
        <w:spacing w:after="113.386" w:before="0" w:line="180" w:lineRule="exact"/>
        <w:suppressAutoHyphens w:val="false"/>
        <w:tabs>
          <w:tab w:leader="none" w:pos="283.464" w:val="left"/>
          <w:tab w:leader="none" w:pos="2390" w:val="left"/>
          <w:tab w:leader="none" w:pos="3270" w:val="left"/>
        </w:tabs>
        <w:rPr/>
      </w:pPr>
      <w:r>
        <w:rPr>
          <w:sz w:val="14"/>
        </w:rPr>
        <w:t xml:space="preserve">59</w:t>
        <w:tab/>
        <w:t xml:space="preserve">C.P. San Veremundo</w:t>
        <w:tab/>
        <w:t xml:space="preserve">Público</w:t>
        <w:tab/>
        <w:t xml:space="preserve">Villatuerta</w:t>
      </w:r>
      <w:r>
        <w:rPr/>
      </w:r>
    </w:p>
    <w:p>
      <w:pPr>
        <w:pStyle w:val="6"/>
        <w:suppressAutoHyphens w:val="false"/>
        <w:rPr/>
      </w:pPr>
      <w:r>
        <w:rPr/>
        <w:t xml:space="preserve">En todos los casos, como se establecía en la resolución, se informó antes de realizar las votaciones, tanto sobre el proyecto diseñado por el centro, como las condiciones de servicios complementarios. A las familias que además, de la información aportada por el centro, solicitaron información directamente al departamento se transmitió claramente las condiciones en las que se iba a regular el servicio de transporte.</w:t>
      </w:r>
    </w:p>
    <w:p>
      <w:pPr>
        <w:pStyle w:val="0"/>
        <w:suppressAutoHyphens w:val="false"/>
        <w:rPr>
          <w:rStyle w:val="1"/>
        </w:rPr>
      </w:pPr>
      <w:r>
        <w:rPr>
          <w:rStyle w:val="1"/>
        </w:rPr>
        <w:t xml:space="preserve">A estas alturas, establecer distinciones entre centros y modificar las situaciones establecidas en un principio, rompería las reglas de juego con las que se estableció este proceso de implantación de jornada continua.</w:t>
      </w:r>
    </w:p>
    <w:p>
      <w:pPr>
        <w:pStyle w:val="0"/>
        <w:suppressAutoHyphens w:val="false"/>
        <w:rPr>
          <w:rStyle w:val="1"/>
        </w:rPr>
      </w:pPr>
      <w:r>
        <w:rPr>
          <w:rStyle w:val="1"/>
        </w:rPr>
        <w:t xml:space="preserve">Iruñean, 2017ko abuztuaren 21ean / En Pamplona, a 21 de agosto de 2017</w:t>
      </w:r>
    </w:p>
    <w:p>
      <w:pPr>
        <w:pStyle w:val="0"/>
        <w:suppressAutoHyphens w:val="false"/>
        <w:rPr>
          <w:rStyle w:val="1"/>
        </w:rPr>
      </w:pPr>
      <w:r>
        <w:rPr>
          <w:rStyle w:val="1"/>
        </w:rPr>
        <w:t xml:space="preserve">Hezkuntza Departamentuko Kontseilaria eta Gobernuko Eleduna/La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6" w:type="paragraph">
    <w:name w:val="Tab6"/>
    <w:basedOn w:val="0"/>
    <w:next w:val="6"/>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5" w:type="paragraph">
    <w:name w:val="Tab7"/>
    <w:basedOn w:val="3"/>
    <w:next w:val="5"/>
    <w:qFormat w:val="true"/>
    <w:pPr>
      <w:jc w:val="left"/>
      <w:ind w:firstLine="0"/>
      <w:spacing w:after="113.386" w:before="0" w:line="230" w:lineRule="exact"/>
      <w:keepNext w:val="false"/>
      <w:keepLines w:val="true"/>
      <w:textFlow w:val="lrTb"/>
      <w:textAlignment w:val="baseline"/>
      <w:suppressAutoHyphens w:val="false"/>
    </w:pPr>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
    <w:basedOn w:val="0"/>
    <w:next w:val="3"/>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