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242" w:rsidRDefault="003626C1" w:rsidP="00113242">
      <w:pPr>
        <w:pStyle w:val="DICTA-TITULO"/>
      </w:pPr>
      <w:r>
        <w:t>2018rako Nafarroako Aurrekontu Orokorrei buruzko Foru Legea</w:t>
      </w:r>
    </w:p>
    <w:p w:rsidR="003E6891" w:rsidRDefault="003E6891" w:rsidP="003E6891">
      <w:pPr>
        <w:pStyle w:val="NormalWeb"/>
        <w:spacing w:before="0" w:beforeAutospacing="0" w:after="300" w:afterAutospacing="0" w:line="340" w:lineRule="exact"/>
        <w:jc w:val="center"/>
        <w:rPr>
          <w:rFonts w:ascii="Arial" w:hAnsi="Arial" w:cs="Arial"/>
          <w:b/>
          <w:bCs/>
        </w:rPr>
      </w:pPr>
      <w:r>
        <w:rPr>
          <w:rFonts w:ascii="Arial" w:hAnsi="Arial"/>
          <w:b/>
          <w:bCs/>
        </w:rPr>
        <w:t>I. TITULUA</w:t>
      </w:r>
    </w:p>
    <w:p w:rsidR="003E6891" w:rsidRDefault="003E6891" w:rsidP="003E6891">
      <w:pPr>
        <w:pStyle w:val="NormalWeb"/>
        <w:spacing w:before="0" w:beforeAutospacing="0" w:after="300" w:afterAutospacing="0" w:line="340" w:lineRule="exact"/>
        <w:jc w:val="center"/>
        <w:rPr>
          <w:rFonts w:ascii="Arial" w:hAnsi="Arial" w:cs="Arial"/>
        </w:rPr>
      </w:pPr>
      <w:r>
        <w:rPr>
          <w:rFonts w:ascii="Arial" w:hAnsi="Arial"/>
          <w:b/>
          <w:bCs/>
        </w:rPr>
        <w:t>Kredituak eta horien aldaketak</w:t>
      </w:r>
    </w:p>
    <w:p w:rsidR="003E6891" w:rsidRDefault="003E6891" w:rsidP="003E6891">
      <w:pPr>
        <w:pStyle w:val="NormalWeb"/>
        <w:spacing w:before="0" w:beforeAutospacing="0" w:after="300" w:afterAutospacing="0" w:line="340" w:lineRule="exact"/>
        <w:jc w:val="center"/>
        <w:rPr>
          <w:rFonts w:ascii="Arial" w:hAnsi="Arial" w:cs="Arial"/>
          <w:b/>
          <w:bCs/>
        </w:rPr>
      </w:pPr>
      <w:r>
        <w:rPr>
          <w:rFonts w:ascii="Arial" w:hAnsi="Arial"/>
          <w:b/>
          <w:bCs/>
        </w:rPr>
        <w:t>I. KAPITULUA</w:t>
      </w:r>
    </w:p>
    <w:p w:rsidR="003E6891" w:rsidRDefault="003E6891" w:rsidP="003E6891">
      <w:pPr>
        <w:pStyle w:val="NormalWeb"/>
        <w:spacing w:before="0" w:beforeAutospacing="0" w:after="300" w:afterAutospacing="0" w:line="340" w:lineRule="exact"/>
        <w:jc w:val="center"/>
        <w:rPr>
          <w:rFonts w:ascii="Arial" w:hAnsi="Arial" w:cs="Arial"/>
        </w:rPr>
      </w:pPr>
      <w:r>
        <w:rPr>
          <w:rFonts w:ascii="Arial" w:hAnsi="Arial"/>
          <w:b/>
          <w:bCs/>
        </w:rPr>
        <w:t>Hasierako kredituak eta haien finantzaketa</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0" w:name="Ar.1"/>
      <w:bookmarkEnd w:id="0"/>
      <w:r>
        <w:rPr>
          <w:rFonts w:ascii="Arial" w:hAnsi="Arial"/>
          <w:b/>
          <w:bCs/>
        </w:rPr>
        <w:t>1. artikulua.</w:t>
      </w:r>
      <w:r>
        <w:rPr>
          <w:rFonts w:ascii="Arial" w:hAnsi="Arial"/>
        </w:rPr>
        <w:t xml:space="preserve"> </w:t>
      </w:r>
      <w:r>
        <w:rPr>
          <w:rFonts w:ascii="Arial" w:hAnsi="Arial"/>
          <w:iCs/>
        </w:rPr>
        <w:t>Nafarroako Aurrekontu Orokorren esparrua.</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Onetsi egiten dira 2018rako Nafarroako Aurrekontu Orokorrak. Atal hauek dituzte:</w:t>
      </w:r>
    </w:p>
    <w:p w:rsidR="003E6891" w:rsidRDefault="003E6891" w:rsidP="003E6891">
      <w:pPr>
        <w:pStyle w:val="xl2"/>
        <w:spacing w:before="0" w:beforeAutospacing="0" w:after="300" w:afterAutospacing="0" w:line="340" w:lineRule="exact"/>
        <w:ind w:firstLine="567"/>
        <w:jc w:val="both"/>
        <w:rPr>
          <w:rFonts w:ascii="Arial" w:hAnsi="Arial" w:cs="Arial"/>
        </w:rPr>
      </w:pPr>
      <w:r>
        <w:rPr>
          <w:rFonts w:ascii="Arial" w:hAnsi="Arial"/>
        </w:rPr>
        <w:t>1. Nafarroako Parlamentuaren, Kontuen Ganberaren eta Arartekoaren erakundearen aurrekontua.</w:t>
      </w:r>
    </w:p>
    <w:p w:rsidR="003E6891" w:rsidRDefault="003E6891" w:rsidP="003E6891">
      <w:pPr>
        <w:pStyle w:val="xl2"/>
        <w:spacing w:before="0" w:beforeAutospacing="0" w:after="300" w:afterAutospacing="0" w:line="340" w:lineRule="exact"/>
        <w:ind w:firstLine="567"/>
        <w:jc w:val="both"/>
        <w:rPr>
          <w:rFonts w:ascii="Arial" w:hAnsi="Arial" w:cs="Arial"/>
        </w:rPr>
      </w:pPr>
      <w:r>
        <w:rPr>
          <w:rFonts w:ascii="Arial" w:hAnsi="Arial"/>
        </w:rPr>
        <w:t>2. Foru Komunitateko Administrazioaren eta haren erakunde autonomoen aurrekontua.</w:t>
      </w:r>
    </w:p>
    <w:p w:rsidR="003E6891" w:rsidRDefault="003E6891" w:rsidP="003E6891">
      <w:pPr>
        <w:pStyle w:val="xl2"/>
        <w:spacing w:before="0" w:beforeAutospacing="0" w:after="300" w:afterAutospacing="0" w:line="340" w:lineRule="exact"/>
        <w:ind w:firstLine="567"/>
        <w:jc w:val="both"/>
        <w:rPr>
          <w:rFonts w:ascii="Arial" w:hAnsi="Arial" w:cs="Arial"/>
        </w:rPr>
      </w:pPr>
      <w:r>
        <w:rPr>
          <w:rFonts w:ascii="Arial" w:hAnsi="Arial"/>
        </w:rPr>
        <w:t>3. Nafarroako Kontseiluaren aurrekontua.</w:t>
      </w:r>
    </w:p>
    <w:p w:rsidR="003E6891" w:rsidRDefault="003E6891" w:rsidP="003E6891">
      <w:pPr>
        <w:pStyle w:val="xl2"/>
        <w:spacing w:before="0" w:beforeAutospacing="0" w:after="300" w:afterAutospacing="0" w:line="340" w:lineRule="exact"/>
        <w:ind w:firstLine="567"/>
        <w:jc w:val="both"/>
        <w:rPr>
          <w:rFonts w:ascii="Arial" w:hAnsi="Arial" w:cs="Arial"/>
        </w:rPr>
      </w:pPr>
      <w:r>
        <w:rPr>
          <w:rFonts w:ascii="Arial" w:hAnsi="Arial"/>
        </w:rPr>
        <w:t>4. Foru Komunitateko fundazio publikoen aurrekontuak.</w:t>
      </w:r>
    </w:p>
    <w:p w:rsidR="003E6891" w:rsidRDefault="003E6891" w:rsidP="003E6891">
      <w:pPr>
        <w:pStyle w:val="xl2"/>
        <w:spacing w:before="0" w:beforeAutospacing="0" w:after="300" w:afterAutospacing="0" w:line="340" w:lineRule="exact"/>
        <w:ind w:firstLine="567"/>
        <w:jc w:val="both"/>
        <w:rPr>
          <w:rFonts w:ascii="Arial" w:hAnsi="Arial" w:cs="Arial"/>
        </w:rPr>
      </w:pPr>
      <w:r>
        <w:rPr>
          <w:rFonts w:ascii="Arial" w:hAnsi="Arial"/>
        </w:rPr>
        <w:t>5. Foru Komunitateko sozietate publikoen aurrekontuak.</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1" w:name="Ar.2"/>
      <w:bookmarkEnd w:id="1"/>
      <w:r>
        <w:rPr>
          <w:rFonts w:ascii="Arial" w:hAnsi="Arial"/>
          <w:b/>
          <w:bCs/>
        </w:rPr>
        <w:t>2. artikulua.</w:t>
      </w:r>
      <w:r>
        <w:rPr>
          <w:rFonts w:ascii="Arial" w:hAnsi="Arial"/>
        </w:rPr>
        <w:t xml:space="preserve"> </w:t>
      </w:r>
      <w:r>
        <w:rPr>
          <w:rFonts w:ascii="Arial" w:hAnsi="Arial"/>
          <w:iCs/>
        </w:rPr>
        <w:t>Kreditu eta eskubide ekonomikoen zenbatekoa.</w:t>
      </w: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t>1. Aurreko artikuluan aipatutako aurrekontuetako gastuen egoera-orrietan sartutako programak betetze aldera, 4.164.135.407 euroko zenbateko bateratua duten kredituak onesten dira.</w:t>
      </w:r>
    </w:p>
    <w:p w:rsidR="00936F6F"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t>2. Aurreko artikuluan aipatutako aurrekontuetako diru-sarreren egoera-orrietan, aurrekontu ekitaldi honetan asmoz likidatuko diren eskubide ekonomikoen zenbatespenak agertzen dira; hain zuzen ere, 4.164.135.407 euro egiten dute, bateratuta.</w:t>
      </w: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lastRenderedPageBreak/>
        <w:t>3. Nafarroako Ogasun Publikoari buruzko apirilaren 4ko 13/2007 Foru Legearen 34. artikuluan arautzen den gastu ez-finantzarioaren muga 3.889.805.200 eurokoa da.</w:t>
      </w: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t>4. Aurrekontu-egonkortasuneko helburuak betetze aldera, eta Aurrekontuaren Egonkortasunari eta Finantza Iraunkortasunari buruzko apirilaren 27ko 2/2012 Lege Organikoaren 30. artikuluan ezarritakoaren arabera, gastu ez-finantzarioaren muga, Toki Ogasunen Funtsa eta Estatuarentzako ekarpena deskontatu ondoren, 3.128.683.717 euroan ezarrita geratzen da.</w:t>
      </w:r>
    </w:p>
    <w:p w:rsidR="003E6891" w:rsidRDefault="003E6891" w:rsidP="002A5212">
      <w:pPr>
        <w:pStyle w:val="DICTA-CAPITULO"/>
      </w:pPr>
      <w:r>
        <w:t>II. KAPITULUA</w:t>
      </w:r>
    </w:p>
    <w:p w:rsidR="003E6891" w:rsidRDefault="003E6891" w:rsidP="002A5212">
      <w:pPr>
        <w:pStyle w:val="DICTA-SUBTITULO2"/>
      </w:pPr>
      <w:r>
        <w:t>Aurrekontu-kredituen aldaketa</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2" w:name="Ar.3"/>
      <w:bookmarkEnd w:id="2"/>
      <w:r>
        <w:rPr>
          <w:rFonts w:ascii="Arial" w:hAnsi="Arial"/>
          <w:b/>
          <w:bCs/>
        </w:rPr>
        <w:t>3. artikulua.</w:t>
      </w:r>
      <w:r>
        <w:rPr>
          <w:rFonts w:ascii="Arial" w:hAnsi="Arial"/>
        </w:rPr>
        <w:t xml:space="preserve"> </w:t>
      </w:r>
      <w:r>
        <w:rPr>
          <w:rFonts w:ascii="Arial" w:hAnsi="Arial"/>
          <w:iCs/>
        </w:rPr>
        <w:t>Aurrekontu-kredituen aldaketa.</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Aurrekontuetako kredituen aldaketak Nafarroako Ogasun Publikoari buruzko apirilaren 4ko 13/2007 Foru Legearen aginduen araberakoak izanen dira, foru lege honek agindu horiek aldatzen ez dituen heinean.</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 xml:space="preserve">Aurrekoa gorabehera, ez dira aurrekontu-aldaketatzat hartuko partiden arteko funts mugimenduak, baldin eta, partidetan agertzen diren kredituek helburu bera izanik, partida ezberdinetan kokatuta badaude Europar Batasunak gastuen erabilera hobeto kontrolatzearren halaxe eskatzeagatik, gastuak hein batean hark </w:t>
      </w:r>
      <w:proofErr w:type="spellStart"/>
      <w:r>
        <w:rPr>
          <w:rFonts w:ascii="Arial" w:hAnsi="Arial"/>
        </w:rPr>
        <w:t>kofinantzatuak</w:t>
      </w:r>
      <w:proofErr w:type="spellEnd"/>
      <w:r>
        <w:rPr>
          <w:rFonts w:ascii="Arial" w:hAnsi="Arial"/>
        </w:rPr>
        <w:t xml:space="preserve"> izatearen ondorioz.</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Partida zer departamenturi dagokion, haren titularrak izanen du funts mugimendu horiek baimentzeko eskumena. Bi departamenturi badagokie, eskumena Ogasuneko eta Finantza Politikako Departamentuaren titularrarena izanen da, ukitutako departamentuek aldez aurretik adostasuna emanik.</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3" w:name="Ar.4"/>
      <w:bookmarkEnd w:id="3"/>
      <w:r>
        <w:rPr>
          <w:rFonts w:ascii="Arial" w:hAnsi="Arial"/>
          <w:b/>
          <w:bCs/>
        </w:rPr>
        <w:t>4. artikulua.</w:t>
      </w:r>
      <w:r>
        <w:rPr>
          <w:rFonts w:ascii="Arial" w:hAnsi="Arial"/>
        </w:rPr>
        <w:t xml:space="preserve"> </w:t>
      </w:r>
      <w:r>
        <w:rPr>
          <w:rFonts w:ascii="Arial" w:hAnsi="Arial"/>
          <w:iCs/>
        </w:rPr>
        <w:t>Europar Batasuneko programen aurrekontuetako aldaketak.</w:t>
      </w: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t xml:space="preserve">1. Nafarroako Gobernuak, Ogasuneko eta Finantza Politikako kontseilariak proposaturik, eta Politika Ekonomiko eta </w:t>
      </w:r>
      <w:proofErr w:type="spellStart"/>
      <w:r>
        <w:rPr>
          <w:rFonts w:ascii="Arial" w:hAnsi="Arial"/>
        </w:rPr>
        <w:t>Enpresarialaren</w:t>
      </w:r>
      <w:proofErr w:type="spellEnd"/>
      <w:r>
        <w:rPr>
          <w:rFonts w:ascii="Arial" w:hAnsi="Arial"/>
        </w:rPr>
        <w:t xml:space="preserve"> eta Lanaren zuzendari nagusiak txostena egin ondoren, aurrekontuetan behar diren aldaketak egiteko baimena ematen ahal du, Europar Batasunak </w:t>
      </w:r>
      <w:proofErr w:type="spellStart"/>
      <w:r>
        <w:rPr>
          <w:rFonts w:ascii="Arial" w:hAnsi="Arial"/>
        </w:rPr>
        <w:t>kofinantzatutako</w:t>
      </w:r>
      <w:proofErr w:type="spellEnd"/>
      <w:r>
        <w:rPr>
          <w:rFonts w:ascii="Arial" w:hAnsi="Arial"/>
        </w:rPr>
        <w:t xml:space="preserve"> programa eta proiektuak ekitaldian zehar ahalik eta hobekien betetzeko, Europako Batzordeak hasierako dokumentuan onetsitakoari edo ondoren jarraipen batzordeek edo Batzordeak berak eginiko aldaketei jarraituz. Aurrekontu-aldaketa horiek gastuen </w:t>
      </w:r>
      <w:r>
        <w:rPr>
          <w:rFonts w:ascii="Arial" w:hAnsi="Arial"/>
        </w:rPr>
        <w:lastRenderedPageBreak/>
        <w:t>egoera-orrietan agertzen diren edozein motatako kredituen bidez finantzatu beharko dira.</w:t>
      </w: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t xml:space="preserve">2. Europar Batasunak </w:t>
      </w:r>
      <w:proofErr w:type="spellStart"/>
      <w:r>
        <w:rPr>
          <w:rFonts w:ascii="Arial" w:hAnsi="Arial"/>
        </w:rPr>
        <w:t>kofinantzatzen</w:t>
      </w:r>
      <w:proofErr w:type="spellEnd"/>
      <w:r>
        <w:rPr>
          <w:rFonts w:ascii="Arial" w:hAnsi="Arial"/>
        </w:rPr>
        <w:t xml:space="preserve"> dituen proiektuak biltzen dituzten partidetan eragin zuzena duen kreditu aldaketa oro egiteko, aldez aurretik Politika Ekonomiko eta </w:t>
      </w:r>
      <w:proofErr w:type="spellStart"/>
      <w:r>
        <w:rPr>
          <w:rFonts w:ascii="Arial" w:hAnsi="Arial"/>
        </w:rPr>
        <w:t>Enpresarialaren</w:t>
      </w:r>
      <w:proofErr w:type="spellEnd"/>
      <w:r>
        <w:rPr>
          <w:rFonts w:ascii="Arial" w:hAnsi="Arial"/>
        </w:rPr>
        <w:t xml:space="preserve"> eta Lanaren Zuzendaritza Nagusiaren txostena beharko da. Salbuetsirik daude Landa Garapenerako Europako Nekazaritza Funtsak (LGENF) </w:t>
      </w:r>
      <w:proofErr w:type="spellStart"/>
      <w:r>
        <w:rPr>
          <w:rFonts w:ascii="Arial" w:hAnsi="Arial"/>
        </w:rPr>
        <w:t>kofinantzatutako</w:t>
      </w:r>
      <w:proofErr w:type="spellEnd"/>
      <w:r>
        <w:rPr>
          <w:rFonts w:ascii="Arial" w:hAnsi="Arial"/>
        </w:rPr>
        <w:t xml:space="preserve"> kredituei eragiten dieten aldaketak.</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4" w:name="Ar.5"/>
      <w:bookmarkEnd w:id="4"/>
      <w:r>
        <w:rPr>
          <w:rFonts w:ascii="Arial" w:hAnsi="Arial"/>
          <w:b/>
          <w:bCs/>
        </w:rPr>
        <w:t>5. artikulua.</w:t>
      </w:r>
      <w:r>
        <w:rPr>
          <w:rFonts w:ascii="Arial" w:hAnsi="Arial"/>
        </w:rPr>
        <w:t xml:space="preserve"> </w:t>
      </w:r>
      <w:r>
        <w:rPr>
          <w:rFonts w:ascii="Arial" w:hAnsi="Arial"/>
          <w:iCs/>
        </w:rPr>
        <w:t>Kreditu gehikuntzak.</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Nafarroako Ogasun Publikoari buruzko apirilaren 4ko 13/2007 Foru Legearen 47. artikuluko a)tik g)</w:t>
      </w:r>
      <w:proofErr w:type="spellStart"/>
      <w:r>
        <w:rPr>
          <w:rFonts w:ascii="Arial" w:hAnsi="Arial"/>
        </w:rPr>
        <w:t>ra</w:t>
      </w:r>
      <w:proofErr w:type="spellEnd"/>
      <w:r>
        <w:rPr>
          <w:rFonts w:ascii="Arial" w:hAnsi="Arial"/>
        </w:rPr>
        <w:t xml:space="preserve"> bitarteko letretan aipatutako kredituez gain, gehikuntza izaten ahalko dute, 2018ko ekitaldiari dagokionez, partida hauek edo ekitaldian zehar helburu hauekin sortu beharrekoek: terrorismoaren biktimak edo indarreko araudian zehaztutako motibazio politikoko ekintzen biktimak aintzatestearen eta horiei kalte-ordainak ematearen ondorioz onets litezkeen diru-laguntza eta maileguak emateko partida guztiek, eta Gizarte Segurantzako kotizazioen ordainketari dagozkion partida guztiek.</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Aurrekoez gainera, ondorengoek ere gehikuntza izaten ahal dute:</w:t>
      </w:r>
    </w:p>
    <w:p w:rsidR="003E6891" w:rsidRDefault="003E6891" w:rsidP="003E6891">
      <w:pPr>
        <w:pStyle w:val="xl2"/>
        <w:spacing w:before="0" w:beforeAutospacing="0" w:after="300" w:afterAutospacing="0" w:line="340" w:lineRule="exact"/>
        <w:ind w:firstLine="567"/>
        <w:jc w:val="both"/>
        <w:rPr>
          <w:rFonts w:ascii="Arial" w:hAnsi="Arial" w:cs="Arial"/>
        </w:rPr>
      </w:pPr>
      <w:r>
        <w:rPr>
          <w:rFonts w:ascii="Arial" w:hAnsi="Arial"/>
        </w:rPr>
        <w:t>1. Lehendakaritzako, Funtzio Publikoko, Barneko eta Justiziako Departamentuko partidok:</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a) 010001-01000-2275-921100 partida, "Hauteskundeak" izenekoa. Partida horri aplikatzen ahalko zaizkio hauteskundeak egiteko behar diren lan eta inbertsioekin zerikusia daukaten edonolako gastuak.</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b) 020002-04100-1001-921400 partida, “Lehendakari ohi, kontseilari ohi eta Nafarroako Gobernuko beste goi kargudun batzuentzako prestazioak” izenekoa.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c) 020002-04100-1620-921400 partida, “Langileen arloko erabakiak aplikatzeko funtsa” izenekoa.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d) 020002-04100-1800-921400 partida, "Zerbitzuen onarpenak, osagarri berriak, familia-laguntza, gradua, antzinatasuna, eszedentzian egondakoen itzultzeak eta beste batzuk" izenekoa.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lastRenderedPageBreak/>
        <w:t>e) 020002-04100-1810-921400 partida, "Langileen ordainsariak, aurreko ekitaldietakoak" izenekoa.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f) 020002-04100-1820-921403 partida, “Lan istripuengatik jaso beharreko kalte-ordainak” izenekoa.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g) 020002-04300-1614-211100 partida, "Aldez aurretik erretiratzeagatik jaso beharreko kalte-ordainak" izenekoa.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h) 030001-03000-4819-112100 partida, "Lanbide elkargoentzako transferentziak" izenekoa.</w:t>
      </w:r>
    </w:p>
    <w:p w:rsidR="003E6891" w:rsidRDefault="003E6891" w:rsidP="003E6891">
      <w:pPr>
        <w:keepLines/>
        <w:spacing w:after="300" w:line="340" w:lineRule="exact"/>
        <w:ind w:firstLine="567"/>
        <w:jc w:val="both"/>
        <w:rPr>
          <w:rFonts w:ascii="Arial" w:hAnsi="Arial" w:cs="Arial"/>
        </w:rPr>
      </w:pPr>
      <w:r>
        <w:rPr>
          <w:rFonts w:ascii="Arial" w:hAnsi="Arial"/>
        </w:rPr>
        <w:t>i) 051000-02100-1800-132100 partida, "Nafarroako Poliziei buruzko Foru Legearen aplikazioa" izenekoa.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j) 051000-02100-2274-132103 partida, “Genero indarkeriatik babesteko segurtasun zerbitzuak” izenekoa.</w:t>
      </w:r>
    </w:p>
    <w:p w:rsidR="0053520B" w:rsidRDefault="007B537A" w:rsidP="007B537A">
      <w:pPr>
        <w:pStyle w:val="DICTA-ENMIENDA"/>
      </w:pPr>
      <w:r>
        <w:tab/>
      </w:r>
      <w:r>
        <w:tab/>
        <w:t>k) 051000 partida, “Erretiro-adinarengatiko koefiziente murriztailea zabaltzea” izenekoa.</w:t>
      </w:r>
    </w:p>
    <w:p w:rsidR="003E6891" w:rsidRDefault="003E6891" w:rsidP="003E6891">
      <w:pPr>
        <w:pStyle w:val="xl2"/>
        <w:spacing w:before="0" w:beforeAutospacing="0" w:after="300" w:afterAutospacing="0" w:line="340" w:lineRule="exact"/>
        <w:ind w:firstLine="567"/>
        <w:jc w:val="both"/>
        <w:rPr>
          <w:rFonts w:ascii="Arial" w:hAnsi="Arial" w:cs="Arial"/>
        </w:rPr>
      </w:pPr>
      <w:r>
        <w:rPr>
          <w:rFonts w:ascii="Arial" w:hAnsi="Arial"/>
        </w:rPr>
        <w:t>2. Ogasuneko eta Finantza Politikako Departamentuko partidok:</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a) 100000-10000-4709-441100 partida, "AUDENASA. Merkataritza-politika" izenekoa.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b) 111002-11300-6002-923100 partida, "Lurrak eta natur ondasunak" izenekoa.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c) 111002-11300-6020-923100 partida, "Instalazio berriko eraikuntza eta obrak, ondare higiezina birmoldatzea eta janztea".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 xml:space="preserve">d) 111002-11300-6020-923104 </w:t>
      </w:r>
      <w:r w:rsidR="00AC7450">
        <w:rPr>
          <w:rFonts w:ascii="Arial" w:hAnsi="Arial"/>
        </w:rPr>
        <w:t>partida</w:t>
      </w:r>
      <w:r>
        <w:rPr>
          <w:rFonts w:ascii="Arial" w:hAnsi="Arial"/>
        </w:rPr>
        <w:t>, “Higiezinei buruzko Plana. Administrazio bulegoak” izenekoa.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e) 111002-11300-8500-923100 partida, “Sektore publikoko akzioak erostea” izenekoa.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f) 150000-17000-6094-923400 partida, "Iruzur fiskalaren aurkako plana" izenekoa.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lastRenderedPageBreak/>
        <w:t>g) 151000-17330-2273-923400 partida, "Enkargua TRACASA Instrumental sozietateari. Tributuen arloko informazio sistemetan datu fiskalak jaso eta integratzeko zerbitzuak" izenekoa.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h) 155003-17830-2272-932103 partida, “Zordun fiskalen ondasunen gaineko kargak eskuratzea” izenekoa.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i) 155003-17830-3501-932100 partida, “Berandutze-interesak zergen itzulketetan” izenekoa.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j) 155003-17830-3501-932102 partida, “Berandutze-interesak bidegabeko diru-sarreren itzulketengatik” izenekoa.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k) 160000-17100-2269-941100 partida, “Transferentzia berriak eskuratzearen ondoriozko gastuak” izenekoa.</w:t>
      </w:r>
    </w:p>
    <w:p w:rsidR="003E6891" w:rsidRDefault="003E6891" w:rsidP="003E6891">
      <w:pPr>
        <w:pStyle w:val="xl2"/>
        <w:spacing w:before="0" w:beforeAutospacing="0" w:after="300" w:afterAutospacing="0" w:line="340" w:lineRule="exact"/>
        <w:ind w:firstLine="567"/>
        <w:jc w:val="both"/>
        <w:rPr>
          <w:rFonts w:ascii="Arial" w:hAnsi="Arial" w:cs="Arial"/>
        </w:rPr>
      </w:pPr>
      <w:r>
        <w:rPr>
          <w:rFonts w:ascii="Arial" w:hAnsi="Arial"/>
        </w:rPr>
        <w:t>3. Hezkuntza Departamentuko partidok:</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a) 400000-41000-1220-322000 partida, "Aldi baterako kontratatutako langileen ordainsariak" izenekoa.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b) 400000-41000-1800-322000 partida, "Zerbitzuen onarpenak, osagarri berriak, familia-laguntza, gradua, antzinatasuna, eszedentzian egondakoen itzultzeak eta beste batzuk" izenekoa.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c) 400000-41000-1810-322000 partida, "Langileen ordainsariak, aurreko ekitaldietakoak" izenekoa.</w:t>
      </w:r>
    </w:p>
    <w:p w:rsidR="003E6891" w:rsidRDefault="007B537A" w:rsidP="0053520B">
      <w:pPr>
        <w:pStyle w:val="DICTA-ENMIENDA"/>
      </w:pPr>
      <w:r>
        <w:tab/>
      </w:r>
      <w:r>
        <w:tab/>
        <w:t>d) 400000-41000-1820-322000 partida, “Epaiak betearaztea eta beste kalte-ordain batzuk” izenekoa.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e) 410000-41100-2290-322000 partida, "Unibertsitatez kanpoko ikastetxeen funtzionamenduaren finantzaketa" izenekoa.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f) 410002-41140-4609-322D00 partida, “Eskola-kontzentrazioen eta hezkuntzarako erabiltzen diren udal eraikinen funtzionamendurako diru-laguntza” izenekoa.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g) 410002-41140-6081-321100 partida, "Testuliburuak doan jasotzeko plana" izenekoa.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lastRenderedPageBreak/>
        <w:t>h) 410002-41140-7811-321100 partida, "Ikasliburuak doan jasotzeko programa" izenekoa.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i) 410004-41830-2210-324100 partida, “Jantokiak” izenekoa.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j) 410004-41830-2230-324100 partida, “Eskola garraioa” izenekoa.</w:t>
      </w:r>
    </w:p>
    <w:p w:rsidR="003E6891" w:rsidRDefault="003E6891" w:rsidP="003E6891">
      <w:pPr>
        <w:keepLines/>
        <w:spacing w:after="300" w:line="340" w:lineRule="exact"/>
        <w:ind w:firstLine="567"/>
        <w:jc w:val="both"/>
        <w:rPr>
          <w:rFonts w:ascii="Arial" w:hAnsi="Arial" w:cs="Arial"/>
        </w:rPr>
      </w:pPr>
      <w:r>
        <w:rPr>
          <w:rFonts w:ascii="Arial" w:hAnsi="Arial"/>
        </w:rPr>
        <w:t>k) 410004-41830-4800-324100 partida, “Eskola garraiorako banakako laguntzak” izenekoa.</w:t>
      </w:r>
    </w:p>
    <w:p w:rsidR="003E6891" w:rsidRDefault="003E6891" w:rsidP="003E6891">
      <w:pPr>
        <w:keepLines/>
        <w:spacing w:after="300" w:line="340" w:lineRule="exact"/>
        <w:ind w:firstLine="567"/>
        <w:jc w:val="both"/>
        <w:rPr>
          <w:rFonts w:ascii="Arial" w:hAnsi="Arial" w:cs="Arial"/>
        </w:rPr>
      </w:pPr>
      <w:r>
        <w:rPr>
          <w:rFonts w:ascii="Arial" w:hAnsi="Arial"/>
        </w:rPr>
        <w:t>l) 410004-41830-4800-324102 partida, “Jantokietarako banakako laguntzak” izenekoa.</w:t>
      </w:r>
    </w:p>
    <w:p w:rsidR="0053520B" w:rsidRDefault="007B537A" w:rsidP="007B537A">
      <w:pPr>
        <w:pStyle w:val="DICTA-ENMIENDA"/>
      </w:pPr>
      <w:r>
        <w:tab/>
      </w:r>
      <w:r>
        <w:tab/>
        <w:t xml:space="preserve">m) 411001-41210-6001-325100 </w:t>
      </w:r>
      <w:proofErr w:type="spellStart"/>
      <w:r>
        <w:t>kontusaila</w:t>
      </w:r>
      <w:proofErr w:type="spellEnd"/>
      <w:r>
        <w:t>, “Nafarroako Unibertsitate Publikoarentzako desjabetzeak” izenekoa.</w:t>
      </w:r>
    </w:p>
    <w:p w:rsidR="00D32B36" w:rsidRDefault="007B537A" w:rsidP="007B537A">
      <w:pPr>
        <w:pStyle w:val="DICTA-ENMIENDA"/>
      </w:pPr>
      <w:r>
        <w:tab/>
      </w:r>
      <w:r>
        <w:tab/>
        <w:t xml:space="preserve">n) 420002-42120-4609-322100 </w:t>
      </w:r>
      <w:r w:rsidR="00AC7450">
        <w:t>partida</w:t>
      </w:r>
      <w:r>
        <w:t>, “Udalekin hitzarmenak, 0 eta 3 urte bitarteko haurrak eskolatzeko” izenekoa.</w:t>
      </w:r>
    </w:p>
    <w:p w:rsidR="003E6891" w:rsidRDefault="003E6891" w:rsidP="003E6891">
      <w:pPr>
        <w:pStyle w:val="xl2"/>
        <w:spacing w:before="0" w:beforeAutospacing="0" w:after="300" w:afterAutospacing="0" w:line="340" w:lineRule="exact"/>
        <w:ind w:firstLine="567"/>
        <w:jc w:val="both"/>
        <w:rPr>
          <w:rFonts w:ascii="Arial" w:hAnsi="Arial" w:cs="Arial"/>
        </w:rPr>
      </w:pPr>
      <w:r>
        <w:rPr>
          <w:rFonts w:ascii="Arial" w:hAnsi="Arial"/>
        </w:rPr>
        <w:t>4. Osasun Departamentuko partidok:</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a) 54. programa-multzokoak, kode ekonomiko hauei dagozkienak: 2213, 2214, 2215, 2216, 2286, 2287 eta 2500; bai eta 52. programa-multzoaren barruan 2215 kode ekonomikoari dagozkionak ere.</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 xml:space="preserve">b) 540000-52000-1800-311100 </w:t>
      </w:r>
      <w:r w:rsidR="00AC7450">
        <w:rPr>
          <w:rFonts w:ascii="Arial" w:hAnsi="Arial"/>
        </w:rPr>
        <w:t>partida</w:t>
      </w:r>
      <w:r>
        <w:rPr>
          <w:rFonts w:ascii="Arial" w:hAnsi="Arial"/>
        </w:rPr>
        <w:t>, "Zerbitzuen onarpenak, osagarri berriak, familia-laguntza, gradua, antzinatasuna, eszedentzian egondakoen itzultzeak eta beste batzuk" izenekoa.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 xml:space="preserve">c) 540000-52000-1810-311100 </w:t>
      </w:r>
      <w:r w:rsidR="00AC7450">
        <w:rPr>
          <w:rFonts w:ascii="Arial" w:hAnsi="Arial"/>
        </w:rPr>
        <w:t>partida</w:t>
      </w:r>
      <w:r>
        <w:rPr>
          <w:rFonts w:ascii="Arial" w:hAnsi="Arial"/>
        </w:rPr>
        <w:t>, "Langileen lansariak, aurreko ekitaldietakoak" izenekoa.</w:t>
      </w:r>
    </w:p>
    <w:p w:rsidR="00413797" w:rsidRDefault="002F10F6" w:rsidP="003E6891">
      <w:pPr>
        <w:pStyle w:val="xl3"/>
        <w:spacing w:before="0" w:beforeAutospacing="0" w:after="300" w:afterAutospacing="0" w:line="340" w:lineRule="exact"/>
        <w:ind w:firstLine="567"/>
        <w:jc w:val="both"/>
        <w:rPr>
          <w:rFonts w:ascii="Arial" w:hAnsi="Arial" w:cs="Arial"/>
        </w:rPr>
      </w:pPr>
      <w:r>
        <w:rPr>
          <w:rFonts w:ascii="Arial" w:hAnsi="Arial"/>
        </w:rPr>
        <w:t xml:space="preserve">d) 540002-52824-4809-311104 </w:t>
      </w:r>
      <w:proofErr w:type="spellStart"/>
      <w:r>
        <w:rPr>
          <w:rFonts w:ascii="Arial" w:hAnsi="Arial"/>
        </w:rPr>
        <w:t>kontusaila</w:t>
      </w:r>
      <w:proofErr w:type="spellEnd"/>
      <w:r>
        <w:rPr>
          <w:rFonts w:ascii="Arial" w:hAnsi="Arial"/>
        </w:rPr>
        <w:t xml:space="preserve">, "Protesiak, </w:t>
      </w:r>
      <w:proofErr w:type="spellStart"/>
      <w:r>
        <w:rPr>
          <w:rFonts w:ascii="Arial" w:hAnsi="Arial"/>
        </w:rPr>
        <w:t>ortesiak</w:t>
      </w:r>
      <w:proofErr w:type="spellEnd"/>
      <w:r>
        <w:rPr>
          <w:rFonts w:ascii="Arial" w:hAnsi="Arial"/>
        </w:rPr>
        <w:t xml:space="preserve"> eta ezinduentzako ibilgailuak" izenekoa. </w:t>
      </w:r>
    </w:p>
    <w:p w:rsidR="003E6891" w:rsidRDefault="002F10F6" w:rsidP="003E6891">
      <w:pPr>
        <w:pStyle w:val="xl3"/>
        <w:spacing w:before="0" w:beforeAutospacing="0" w:after="300" w:afterAutospacing="0" w:line="340" w:lineRule="exact"/>
        <w:ind w:firstLine="567"/>
        <w:jc w:val="both"/>
        <w:rPr>
          <w:rFonts w:ascii="Arial" w:hAnsi="Arial" w:cs="Arial"/>
        </w:rPr>
      </w:pPr>
      <w:r>
        <w:rPr>
          <w:rFonts w:ascii="Arial" w:hAnsi="Arial"/>
        </w:rPr>
        <w:t xml:space="preserve">e) 540005-52831-4809-313100 </w:t>
      </w:r>
      <w:proofErr w:type="spellStart"/>
      <w:r>
        <w:rPr>
          <w:rFonts w:ascii="Arial" w:hAnsi="Arial"/>
        </w:rPr>
        <w:t>kontusaila</w:t>
      </w:r>
      <w:proofErr w:type="spellEnd"/>
      <w:r>
        <w:rPr>
          <w:rFonts w:ascii="Arial" w:hAnsi="Arial"/>
        </w:rPr>
        <w:t>, “Farmaziako prestazioak” izenekoa.</w:t>
      </w:r>
    </w:p>
    <w:p w:rsidR="003E6891" w:rsidRDefault="002F10F6" w:rsidP="003E6891">
      <w:pPr>
        <w:pStyle w:val="xl3"/>
        <w:spacing w:before="0" w:beforeAutospacing="0" w:after="300" w:afterAutospacing="0" w:line="340" w:lineRule="exact"/>
        <w:ind w:firstLine="567"/>
        <w:jc w:val="both"/>
        <w:rPr>
          <w:rFonts w:ascii="Arial" w:hAnsi="Arial" w:cs="Arial"/>
        </w:rPr>
      </w:pPr>
      <w:r>
        <w:rPr>
          <w:rFonts w:ascii="Arial" w:hAnsi="Arial"/>
        </w:rPr>
        <w:t xml:space="preserve">f) 540005-52831-4809-313102 </w:t>
      </w:r>
      <w:proofErr w:type="spellStart"/>
      <w:r>
        <w:rPr>
          <w:rFonts w:ascii="Arial" w:hAnsi="Arial"/>
        </w:rPr>
        <w:t>kontusaila</w:t>
      </w:r>
      <w:proofErr w:type="spellEnd"/>
      <w:r>
        <w:rPr>
          <w:rFonts w:ascii="Arial" w:hAnsi="Arial"/>
        </w:rPr>
        <w:t>, “Zurgatzaileak eta beste osasun-produktu batzuk” izenekoa.</w:t>
      </w:r>
    </w:p>
    <w:p w:rsidR="003E6891" w:rsidRDefault="002F10F6" w:rsidP="003E6891">
      <w:pPr>
        <w:pStyle w:val="xl3"/>
        <w:spacing w:before="0" w:beforeAutospacing="0" w:after="300" w:afterAutospacing="0" w:line="340" w:lineRule="exact"/>
        <w:ind w:firstLine="567"/>
        <w:jc w:val="both"/>
        <w:rPr>
          <w:rFonts w:ascii="Arial" w:hAnsi="Arial" w:cs="Arial"/>
        </w:rPr>
      </w:pPr>
      <w:r>
        <w:rPr>
          <w:rFonts w:ascii="Arial" w:hAnsi="Arial"/>
        </w:rPr>
        <w:lastRenderedPageBreak/>
        <w:t xml:space="preserve">g) 540005-52831-4809-313103 </w:t>
      </w:r>
      <w:r w:rsidR="00AC7450">
        <w:rPr>
          <w:rFonts w:ascii="Arial" w:hAnsi="Arial"/>
        </w:rPr>
        <w:t>partida</w:t>
      </w:r>
      <w:r>
        <w:rPr>
          <w:rFonts w:ascii="Arial" w:hAnsi="Arial"/>
        </w:rPr>
        <w:t xml:space="preserve">, “Farmazia-prestazioak - </w:t>
      </w:r>
      <w:proofErr w:type="spellStart"/>
      <w:r>
        <w:rPr>
          <w:rFonts w:ascii="Arial" w:hAnsi="Arial"/>
        </w:rPr>
        <w:t>koordainketa</w:t>
      </w:r>
      <w:proofErr w:type="spellEnd"/>
      <w:r>
        <w:rPr>
          <w:rFonts w:ascii="Arial" w:hAnsi="Arial"/>
        </w:rPr>
        <w:t xml:space="preserve"> arautzea” izenekoa.</w:t>
      </w:r>
    </w:p>
    <w:p w:rsidR="003E6891" w:rsidRDefault="002F10F6" w:rsidP="003E6891">
      <w:pPr>
        <w:pStyle w:val="xl3"/>
        <w:spacing w:before="0" w:beforeAutospacing="0" w:after="300" w:afterAutospacing="0" w:line="340" w:lineRule="exact"/>
        <w:ind w:firstLine="567"/>
        <w:jc w:val="both"/>
        <w:rPr>
          <w:rFonts w:ascii="Arial" w:hAnsi="Arial" w:cs="Arial"/>
        </w:rPr>
      </w:pPr>
      <w:r>
        <w:rPr>
          <w:rFonts w:ascii="Arial" w:hAnsi="Arial"/>
        </w:rPr>
        <w:t>h) 543004-52214-2276-312700 partida, "Plasma zatitzeko lanak, farmakoak ekoizteko" izenekoa.</w:t>
      </w:r>
    </w:p>
    <w:p w:rsidR="003E6891" w:rsidRDefault="003E6891" w:rsidP="003E6891">
      <w:pPr>
        <w:pStyle w:val="xl2"/>
        <w:spacing w:before="0" w:beforeAutospacing="0" w:after="300" w:afterAutospacing="0" w:line="340" w:lineRule="exact"/>
        <w:ind w:firstLine="567"/>
        <w:jc w:val="both"/>
        <w:rPr>
          <w:rFonts w:ascii="Arial" w:hAnsi="Arial" w:cs="Arial"/>
        </w:rPr>
      </w:pPr>
      <w:r>
        <w:rPr>
          <w:rFonts w:ascii="Arial" w:hAnsi="Arial"/>
        </w:rPr>
        <w:t>5. Landa Garapeneko, Ingurumeneko eta Toki Administrazioko Departamentuko partidok:</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a) 710000-71210-4700-412100 partida, "Landaketak erauzteagatiko kalte-ordainak" izenekoa.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b) 710000-71210-4700-412107 partida, "Azpiegitura pribatuetan izaniko kalteak eta errenta-galera arintzeko laguntzak" izenekoa.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c) 710000-71210-7700-412100 partida, "Azpiegitura pribatuetan izaniko kalteak eta errenta-galera arintzeko laguntzak" izenekoa.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d) 710004-71320-2279-412205 partida, "Larrialdiko txertaketa ofizialak" izenekoa.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 xml:space="preserve">e) 710004-71320-7700-412200 partida, "Kalte-ordaina abereak epizootien ondorioz hil behar izateagatik, eta azienda mugitzeko debekuaren ondoriozko irabazi </w:t>
      </w:r>
      <w:proofErr w:type="spellStart"/>
      <w:r>
        <w:rPr>
          <w:rFonts w:ascii="Arial" w:hAnsi="Arial"/>
        </w:rPr>
        <w:t>lortugabeagatik</w:t>
      </w:r>
      <w:proofErr w:type="spellEnd"/>
      <w:r>
        <w:rPr>
          <w:rFonts w:ascii="Arial" w:hAnsi="Arial"/>
        </w:rPr>
        <w:t>" izenekoa.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f) 720000-71510-4700-414100 partida, “Nafarroako Ubidearen bidezko ureztaketen kanona” izenekoa.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 xml:space="preserve">g) 720000-71510-4700-414102 </w:t>
      </w:r>
      <w:r w:rsidR="00AC7450">
        <w:rPr>
          <w:rFonts w:ascii="Arial" w:hAnsi="Arial"/>
        </w:rPr>
        <w:t>partida</w:t>
      </w:r>
      <w:r>
        <w:rPr>
          <w:rFonts w:ascii="Arial" w:hAnsi="Arial"/>
        </w:rPr>
        <w:t>, “Nafarroako Ubidetiko ureztaketen kanona” izenekoa. Handitzearen 1. fasea”.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h) 720000-71510-7609-414400 partida, "Titulartasun publikoko nekazaritza azpiegiturak konpontzeko laguntzak, aparteko uholdeengatik” izenekoa.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i) 720000-71510-7819-414100 partida, "Ureztatzaileen elkarteen nekazaritza-azpiegituren konponketa, aparteko uholdeengatik” izenekoa.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j) 740002-74200-7609-456704 partida, "Titulartasun publikoko oihan azpiegiturak konpontzeko laguntzak, kalteengatik” izenekoa.</w:t>
      </w:r>
    </w:p>
    <w:p w:rsidR="003E6891" w:rsidRDefault="003E6891" w:rsidP="003E6891">
      <w:pPr>
        <w:spacing w:after="300" w:line="340" w:lineRule="exact"/>
        <w:ind w:firstLine="567"/>
        <w:jc w:val="both"/>
        <w:rPr>
          <w:rFonts w:ascii="Arial" w:hAnsi="Arial" w:cs="Arial"/>
        </w:rPr>
      </w:pPr>
      <w:r>
        <w:rPr>
          <w:rFonts w:ascii="Arial" w:hAnsi="Arial"/>
        </w:rPr>
        <w:lastRenderedPageBreak/>
        <w:t>k) 780001-78100-4609-942300 partida, "Toki entitateentzako konpentsazioa tributuetako hobariengatik" izenekoa.</w:t>
      </w:r>
    </w:p>
    <w:p w:rsidR="00D32B36" w:rsidRDefault="007B537A" w:rsidP="007B537A">
      <w:pPr>
        <w:pStyle w:val="DICTA-ENMIENDA"/>
      </w:pPr>
      <w:r>
        <w:tab/>
      </w:r>
      <w:r>
        <w:tab/>
        <w:t xml:space="preserve">l) 780001-78300-4609-942300 </w:t>
      </w:r>
      <w:r w:rsidR="00AC7450">
        <w:t>partida</w:t>
      </w:r>
      <w:r>
        <w:t>, "</w:t>
      </w:r>
      <w:proofErr w:type="spellStart"/>
      <w:r>
        <w:t>Iruñerriko</w:t>
      </w:r>
      <w:proofErr w:type="spellEnd"/>
      <w:r>
        <w:t xml:space="preserve"> Mankomunitatearekiko finantzaketa-hitzarmena, </w:t>
      </w:r>
      <w:proofErr w:type="spellStart"/>
      <w:r>
        <w:t>Canasaren</w:t>
      </w:r>
      <w:proofErr w:type="spellEnd"/>
      <w:r>
        <w:t xml:space="preserve"> ura finantzatzeko”.</w:t>
      </w:r>
    </w:p>
    <w:p w:rsidR="003E6891" w:rsidRDefault="003E6891" w:rsidP="003E6891">
      <w:pPr>
        <w:pStyle w:val="xl2"/>
        <w:spacing w:before="0" w:beforeAutospacing="0" w:after="300" w:afterAutospacing="0" w:line="340" w:lineRule="exact"/>
        <w:ind w:firstLine="567"/>
        <w:jc w:val="both"/>
        <w:rPr>
          <w:rFonts w:ascii="Arial" w:hAnsi="Arial" w:cs="Arial"/>
        </w:rPr>
      </w:pPr>
      <w:r>
        <w:rPr>
          <w:rFonts w:ascii="Arial" w:hAnsi="Arial"/>
        </w:rPr>
        <w:t>6. Garapen Ekonomikorako Departamentuko partidok:</w:t>
      </w:r>
    </w:p>
    <w:p w:rsidR="003E6891" w:rsidRDefault="003E6891" w:rsidP="003E6891">
      <w:pPr>
        <w:pStyle w:val="DICTA-TEXTO"/>
        <w:rPr>
          <w:rFonts w:cs="Arial"/>
          <w:szCs w:val="24"/>
        </w:rPr>
      </w:pPr>
      <w:r>
        <w:t xml:space="preserve">a)  820005-82100-7309-467300 partida, “Energiaren arloko I+G+b. </w:t>
      </w:r>
      <w:proofErr w:type="spellStart"/>
      <w:r>
        <w:t>CENER-CIEMAT</w:t>
      </w:r>
      <w:proofErr w:type="spellEnd"/>
      <w:r>
        <w:t xml:space="preserve"> Fundazioari funtsak ematea maileguen amortizaziorako” izenekoa. </w:t>
      </w:r>
    </w:p>
    <w:p w:rsidR="004628EB" w:rsidRDefault="004628EB" w:rsidP="00413797">
      <w:pPr>
        <w:pStyle w:val="DICTA-ENMIENDA"/>
      </w:pPr>
      <w:r>
        <w:tab/>
      </w:r>
      <w:r>
        <w:tab/>
        <w:t xml:space="preserve">b) 830002 -8322 -432100 </w:t>
      </w:r>
      <w:r w:rsidR="00AC7450">
        <w:t>partida</w:t>
      </w:r>
      <w:r>
        <w:t>, “ITURISSA. Pirinioetako erromatarren galtzada baskoien lurraldean barna proiektua” izenekoa.</w:t>
      </w:r>
    </w:p>
    <w:p w:rsidR="003E6891" w:rsidRDefault="00D065AC" w:rsidP="003E6891">
      <w:pPr>
        <w:pStyle w:val="xl3"/>
        <w:spacing w:before="0" w:beforeAutospacing="0" w:after="300" w:afterAutospacing="0" w:line="340" w:lineRule="exact"/>
        <w:ind w:firstLine="567"/>
        <w:jc w:val="both"/>
        <w:rPr>
          <w:rFonts w:ascii="Arial" w:hAnsi="Arial" w:cs="Arial"/>
        </w:rPr>
      </w:pPr>
      <w:r>
        <w:rPr>
          <w:rFonts w:ascii="Arial" w:hAnsi="Arial"/>
        </w:rPr>
        <w:t xml:space="preserve">c) 840000-84000-6010-453300 </w:t>
      </w:r>
      <w:r w:rsidR="00AC7450">
        <w:rPr>
          <w:rFonts w:ascii="Arial" w:hAnsi="Arial"/>
        </w:rPr>
        <w:t>partida</w:t>
      </w:r>
      <w:r>
        <w:rPr>
          <w:rFonts w:ascii="Arial" w:hAnsi="Arial"/>
        </w:rPr>
        <w:t>, "Prezio-berrikuspena" izenekoa.</w:t>
      </w:r>
    </w:p>
    <w:p w:rsidR="003E6891" w:rsidRDefault="00D065AC" w:rsidP="003E6891">
      <w:pPr>
        <w:pStyle w:val="xl3"/>
        <w:spacing w:before="0" w:beforeAutospacing="0" w:after="300" w:afterAutospacing="0" w:line="340" w:lineRule="exact"/>
        <w:ind w:firstLine="567"/>
        <w:jc w:val="both"/>
        <w:rPr>
          <w:rFonts w:ascii="Arial" w:hAnsi="Arial" w:cs="Arial"/>
        </w:rPr>
      </w:pPr>
      <w:r>
        <w:rPr>
          <w:rFonts w:ascii="Arial" w:hAnsi="Arial"/>
        </w:rPr>
        <w:t xml:space="preserve">d) 840003-84200-2090-453200 </w:t>
      </w:r>
      <w:r w:rsidR="00AC7450">
        <w:rPr>
          <w:rFonts w:ascii="Arial" w:hAnsi="Arial"/>
        </w:rPr>
        <w:t>partida</w:t>
      </w:r>
      <w:r>
        <w:rPr>
          <w:rFonts w:ascii="Arial" w:hAnsi="Arial"/>
        </w:rPr>
        <w:t>, “</w:t>
      </w:r>
      <w:proofErr w:type="spellStart"/>
      <w:r>
        <w:rPr>
          <w:rFonts w:ascii="Arial" w:hAnsi="Arial"/>
        </w:rPr>
        <w:t>Iruña-Logroño</w:t>
      </w:r>
      <w:proofErr w:type="spellEnd"/>
      <w:r>
        <w:rPr>
          <w:rFonts w:ascii="Arial" w:hAnsi="Arial"/>
        </w:rPr>
        <w:t xml:space="preserve"> A-12 autobiaren kanona” izenekoa.</w:t>
      </w:r>
    </w:p>
    <w:p w:rsidR="003E6891" w:rsidRDefault="00D065AC" w:rsidP="003E6891">
      <w:pPr>
        <w:pStyle w:val="xl3"/>
        <w:spacing w:before="0" w:beforeAutospacing="0" w:after="300" w:afterAutospacing="0" w:line="340" w:lineRule="exact"/>
        <w:ind w:firstLine="567"/>
        <w:jc w:val="both"/>
        <w:rPr>
          <w:rFonts w:ascii="Arial" w:hAnsi="Arial" w:cs="Arial"/>
        </w:rPr>
      </w:pPr>
      <w:r>
        <w:rPr>
          <w:rFonts w:ascii="Arial" w:hAnsi="Arial"/>
        </w:rPr>
        <w:t xml:space="preserve">e) 840003-84200-2090-453202 </w:t>
      </w:r>
      <w:r w:rsidR="00AC7450">
        <w:rPr>
          <w:rFonts w:ascii="Arial" w:hAnsi="Arial"/>
        </w:rPr>
        <w:t>partida</w:t>
      </w:r>
      <w:r>
        <w:rPr>
          <w:rFonts w:ascii="Arial" w:hAnsi="Arial"/>
        </w:rPr>
        <w:t>, "A-21 Pirinioetako autobiaren kanona" izenekoa.</w:t>
      </w:r>
    </w:p>
    <w:p w:rsidR="003E6891" w:rsidRDefault="00D065AC" w:rsidP="003E6891">
      <w:pPr>
        <w:pStyle w:val="xl3"/>
        <w:spacing w:before="0" w:beforeAutospacing="0" w:after="300" w:afterAutospacing="0" w:line="340" w:lineRule="exact"/>
        <w:ind w:firstLine="567"/>
        <w:jc w:val="both"/>
        <w:rPr>
          <w:rFonts w:ascii="Arial" w:hAnsi="Arial" w:cs="Arial"/>
        </w:rPr>
      </w:pPr>
      <w:r>
        <w:rPr>
          <w:rFonts w:ascii="Arial" w:hAnsi="Arial"/>
        </w:rPr>
        <w:t xml:space="preserve">f) 840003-84210-6010-453305 </w:t>
      </w:r>
      <w:r w:rsidR="00AC7450">
        <w:rPr>
          <w:rFonts w:ascii="Arial" w:hAnsi="Arial"/>
        </w:rPr>
        <w:t>partida</w:t>
      </w:r>
      <w:r>
        <w:rPr>
          <w:rFonts w:ascii="Arial" w:hAnsi="Arial"/>
        </w:rPr>
        <w:t>, “Errepide sarea eta kontrol zentroa kontserbatzea” izenekoa.</w:t>
      </w:r>
    </w:p>
    <w:p w:rsidR="003E6891" w:rsidRDefault="00D065AC" w:rsidP="003E6891">
      <w:pPr>
        <w:pStyle w:val="xl3"/>
        <w:spacing w:before="0" w:beforeAutospacing="0" w:after="300" w:afterAutospacing="0" w:line="340" w:lineRule="exact"/>
        <w:ind w:firstLine="567"/>
        <w:jc w:val="both"/>
        <w:rPr>
          <w:rFonts w:ascii="Arial" w:hAnsi="Arial" w:cs="Arial"/>
        </w:rPr>
      </w:pPr>
      <w:r>
        <w:rPr>
          <w:rFonts w:ascii="Arial" w:hAnsi="Arial"/>
        </w:rPr>
        <w:t xml:space="preserve">g) 840003-84210-6010-453306 </w:t>
      </w:r>
      <w:r w:rsidR="00AC7450">
        <w:rPr>
          <w:rFonts w:ascii="Arial" w:hAnsi="Arial"/>
        </w:rPr>
        <w:t>partida</w:t>
      </w:r>
      <w:r>
        <w:rPr>
          <w:rFonts w:ascii="Arial" w:hAnsi="Arial"/>
        </w:rPr>
        <w:t>, “Zoruak sendotzea” izenekoa.</w:t>
      </w:r>
    </w:p>
    <w:p w:rsidR="00D32B36" w:rsidRDefault="007B537A" w:rsidP="007B537A">
      <w:pPr>
        <w:pStyle w:val="DICTA-ENMIENDA"/>
      </w:pPr>
      <w:r>
        <w:tab/>
      </w:r>
      <w:r>
        <w:tab/>
        <w:t xml:space="preserve">h) 841000 6010 453211 </w:t>
      </w:r>
      <w:r w:rsidR="00AC7450">
        <w:t>partida</w:t>
      </w:r>
      <w:r>
        <w:t>, “N-121-A errepidea 2+1 errepide bihurtzeko jarduketak”.</w:t>
      </w:r>
    </w:p>
    <w:p w:rsidR="003E6891" w:rsidRDefault="003E6891" w:rsidP="003E6891">
      <w:pPr>
        <w:pStyle w:val="xl2"/>
        <w:spacing w:before="0" w:beforeAutospacing="0" w:after="300" w:afterAutospacing="0" w:line="340" w:lineRule="exact"/>
        <w:ind w:firstLine="567"/>
        <w:jc w:val="both"/>
        <w:rPr>
          <w:rFonts w:ascii="Arial" w:hAnsi="Arial" w:cs="Arial"/>
        </w:rPr>
      </w:pPr>
      <w:r>
        <w:rPr>
          <w:rFonts w:ascii="Arial" w:hAnsi="Arial"/>
        </w:rPr>
        <w:t>7. Eskubide Sozialetako Departamentuko partidok:</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a) 2600 kode ekonomikokoak, Gizarte Zerbitzuei buruzko abenduaren 14ko 15/2006 Foru Legean aurreikusitako gizarte zerbitzu orokorren zorroa onetsi zuen ekainaren 17ko 69/2008 Foru Dekretuan ezarritako prestazio bermatuak finantzatzeko direnak eta 900003, 920005 eta 920008 proiektuetan daudenak.</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b) 900002-91100-4809-212100 partida, “Kotizazio gabeko pentsioak” izenekoa.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c) 900002-91100-4809-231500 partida, "Errenta bermatua" izenekoa.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lastRenderedPageBreak/>
        <w:t>d) 900002-91100-4809-231502 partida, “Laguntza bereziak gizarteratzeko” izenekoa.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e) 900003-91600-4609-231500 partida, “Etxegabeentzako harrera zerbitzua” izenekoa.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f) 900003-91600-4609-231502 partida, “Oinarrizko Gizarte Zerbitzuak” izenekoa.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g) 900003-91600-4609-231503 partida, “Larrialdi sozialeko laguntzak” izenekoa.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 xml:space="preserve">h) 900003-91600-4609-231602 </w:t>
      </w:r>
      <w:r w:rsidR="00AC7450">
        <w:rPr>
          <w:rFonts w:ascii="Arial" w:hAnsi="Arial"/>
        </w:rPr>
        <w:t>partida</w:t>
      </w:r>
      <w:r>
        <w:rPr>
          <w:rFonts w:ascii="Arial" w:hAnsi="Arial"/>
        </w:rPr>
        <w:t>, "Enplegu sozial babestua" izenekoa. PO FSE 2014-2020”.</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i) 900004-91100-4819-143103 partida, "Nazioarteko larrialdietarako laguntzak" izenekoa.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j) 900007-91200-4809-261400 partida, “Etxebizitzen errentarientzako diru-laguntzak” izenekoa.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 xml:space="preserve">k) 900007-91200-7800-261400 partida, "Etxebizitzaren arloko jardueretarako diru-laguntzak eta </w:t>
      </w:r>
      <w:proofErr w:type="spellStart"/>
      <w:r>
        <w:rPr>
          <w:rFonts w:ascii="Arial" w:hAnsi="Arial"/>
        </w:rPr>
        <w:t>subsidioak</w:t>
      </w:r>
      <w:proofErr w:type="spellEnd"/>
      <w:r>
        <w:rPr>
          <w:rFonts w:ascii="Arial" w:hAnsi="Arial"/>
        </w:rPr>
        <w:t>" izenekoa.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l) 920004-93200-4809-231B00 partida, "Zerbitzuari lotutako laguntzak" izenekoa.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m) 920004-93200-4809-231B02 partida, “Zerbitzu pertsonalei erantzuteko laguntzak” izenekoa.</w:t>
      </w:r>
    </w:p>
    <w:p w:rsidR="00D32B36" w:rsidRDefault="007B537A" w:rsidP="007B537A">
      <w:pPr>
        <w:pStyle w:val="DICTA-ENMIENDA"/>
      </w:pPr>
      <w:r>
        <w:tab/>
      </w:r>
      <w:r>
        <w:tab/>
        <w:t>n) 920004-93200-4809-231B06 partida, “</w:t>
      </w:r>
      <w:proofErr w:type="spellStart"/>
      <w:r>
        <w:t>Desgaitasuna</w:t>
      </w:r>
      <w:proofErr w:type="spellEnd"/>
      <w:r>
        <w:t xml:space="preserve"> duten pertsonek bizimodu independentea izateko laguntzaileak kontratatzea” izenekoa.</w:t>
      </w:r>
    </w:p>
    <w:p w:rsidR="003E6891" w:rsidRDefault="00161D61" w:rsidP="003E6891">
      <w:pPr>
        <w:pStyle w:val="xl3"/>
        <w:spacing w:before="0" w:beforeAutospacing="0" w:after="300" w:afterAutospacing="0" w:line="340" w:lineRule="exact"/>
        <w:ind w:firstLine="567"/>
        <w:jc w:val="both"/>
        <w:rPr>
          <w:rFonts w:ascii="Arial" w:hAnsi="Arial" w:cs="Arial"/>
        </w:rPr>
      </w:pPr>
      <w:r>
        <w:rPr>
          <w:rFonts w:ascii="Arial" w:hAnsi="Arial"/>
        </w:rPr>
        <w:t>ñ) 920008-93300-4809-231700 partida, "Zailtasun edo gatazka egoeran dauden adingabeen autonomiarako baliabideak" izenekoa.</w:t>
      </w:r>
    </w:p>
    <w:p w:rsidR="003E6891" w:rsidRDefault="00161D61" w:rsidP="003E6891">
      <w:pPr>
        <w:pStyle w:val="xl3"/>
        <w:spacing w:before="0" w:beforeAutospacing="0" w:after="300" w:afterAutospacing="0" w:line="340" w:lineRule="exact"/>
        <w:ind w:firstLine="567"/>
        <w:jc w:val="both"/>
        <w:rPr>
          <w:rFonts w:ascii="Arial" w:hAnsi="Arial" w:cs="Arial"/>
        </w:rPr>
      </w:pPr>
      <w:r>
        <w:rPr>
          <w:rFonts w:ascii="Arial" w:hAnsi="Arial"/>
        </w:rPr>
        <w:t xml:space="preserve">o) 920008-93300-4809-231702 </w:t>
      </w:r>
      <w:r w:rsidR="00AC7450">
        <w:rPr>
          <w:rFonts w:ascii="Arial" w:hAnsi="Arial"/>
        </w:rPr>
        <w:t>partida</w:t>
      </w:r>
      <w:r>
        <w:rPr>
          <w:rFonts w:ascii="Arial" w:hAnsi="Arial"/>
        </w:rPr>
        <w:t>, “Familientzako prestazio ekonomikoak” izenekoa.</w:t>
      </w:r>
    </w:p>
    <w:p w:rsidR="003E6891" w:rsidRDefault="00161D61" w:rsidP="003E6891">
      <w:pPr>
        <w:pStyle w:val="xl3"/>
        <w:spacing w:before="0" w:beforeAutospacing="0" w:after="300" w:afterAutospacing="0" w:line="340" w:lineRule="exact"/>
        <w:ind w:firstLine="567"/>
        <w:jc w:val="both"/>
        <w:rPr>
          <w:rFonts w:ascii="Arial" w:hAnsi="Arial" w:cs="Arial"/>
        </w:rPr>
      </w:pPr>
      <w:r>
        <w:rPr>
          <w:rFonts w:ascii="Arial" w:hAnsi="Arial"/>
        </w:rPr>
        <w:lastRenderedPageBreak/>
        <w:t xml:space="preserve">p) 920008-93300-4809-231704 </w:t>
      </w:r>
      <w:r w:rsidR="00AC7450">
        <w:rPr>
          <w:rFonts w:ascii="Arial" w:hAnsi="Arial"/>
        </w:rPr>
        <w:t>partida</w:t>
      </w:r>
      <w:r>
        <w:rPr>
          <w:rFonts w:ascii="Arial" w:hAnsi="Arial"/>
        </w:rPr>
        <w:t>, “Kanpoko ikastetxeetako haurren kuota” izenekoa.</w:t>
      </w:r>
    </w:p>
    <w:p w:rsidR="003E6891" w:rsidRDefault="00161D61" w:rsidP="003E6891">
      <w:pPr>
        <w:pStyle w:val="xl3"/>
        <w:spacing w:before="0" w:beforeAutospacing="0" w:after="300" w:afterAutospacing="0" w:line="340" w:lineRule="exact"/>
        <w:ind w:firstLine="567"/>
        <w:jc w:val="both"/>
        <w:rPr>
          <w:rFonts w:ascii="Arial" w:hAnsi="Arial" w:cs="Arial"/>
        </w:rPr>
      </w:pPr>
      <w:r>
        <w:rPr>
          <w:rFonts w:ascii="Arial" w:hAnsi="Arial"/>
        </w:rPr>
        <w:t>q) 950001-96100-4709-241109 partida, "Enplegu zentro berezietarako laguntzak. EGF" izenekoa.</w:t>
      </w:r>
    </w:p>
    <w:p w:rsidR="003E6891" w:rsidRDefault="00161D61" w:rsidP="003E6891">
      <w:pPr>
        <w:pStyle w:val="xl3"/>
        <w:spacing w:before="0" w:beforeAutospacing="0" w:after="300" w:afterAutospacing="0" w:line="340" w:lineRule="exact"/>
        <w:ind w:firstLine="567"/>
        <w:jc w:val="both"/>
        <w:rPr>
          <w:rFonts w:ascii="Arial" w:hAnsi="Arial" w:cs="Arial"/>
        </w:rPr>
      </w:pPr>
      <w:r>
        <w:rPr>
          <w:rFonts w:ascii="Arial" w:hAnsi="Arial"/>
        </w:rPr>
        <w:t>r) 950001-96100-4709-241204 partida, “Errenta bermatuaren hartzaileak kontratatzeko pizgarriak” izenekoa.</w:t>
      </w:r>
    </w:p>
    <w:p w:rsidR="003E6891" w:rsidRDefault="00161D61" w:rsidP="003E6891">
      <w:pPr>
        <w:pStyle w:val="xl3"/>
        <w:spacing w:before="0" w:beforeAutospacing="0" w:after="300" w:afterAutospacing="0" w:line="340" w:lineRule="exact"/>
        <w:ind w:firstLine="567"/>
        <w:jc w:val="both"/>
        <w:rPr>
          <w:rFonts w:ascii="Arial" w:hAnsi="Arial" w:cs="Arial"/>
        </w:rPr>
      </w:pPr>
      <w:r>
        <w:rPr>
          <w:rFonts w:ascii="Arial" w:hAnsi="Arial"/>
        </w:rPr>
        <w:t>s) 950001-96100-4809-241107 partida, “</w:t>
      </w:r>
      <w:proofErr w:type="spellStart"/>
      <w:r>
        <w:rPr>
          <w:rFonts w:ascii="Arial" w:hAnsi="Arial"/>
        </w:rPr>
        <w:t>Autoenplegua</w:t>
      </w:r>
      <w:proofErr w:type="spellEnd"/>
      <w:r>
        <w:rPr>
          <w:rFonts w:ascii="Arial" w:hAnsi="Arial"/>
        </w:rPr>
        <w:t xml:space="preserve"> sustatzeko laguntzak” izenekoa.</w:t>
      </w:r>
    </w:p>
    <w:p w:rsidR="003E6891" w:rsidRDefault="00161D61" w:rsidP="003E6891">
      <w:pPr>
        <w:pStyle w:val="xl3"/>
        <w:spacing w:before="0" w:beforeAutospacing="0" w:after="300" w:afterAutospacing="0" w:line="340" w:lineRule="exact"/>
        <w:ind w:firstLine="567"/>
        <w:jc w:val="both"/>
        <w:rPr>
          <w:rFonts w:ascii="Arial" w:hAnsi="Arial" w:cs="Arial"/>
        </w:rPr>
      </w:pPr>
      <w:r>
        <w:rPr>
          <w:rFonts w:ascii="Arial" w:hAnsi="Arial"/>
        </w:rPr>
        <w:t>t) 950001-96100-4819-241104 partida, “Zailtasun gehiago dituzten kolektiboen gizarteratze eta laneratze programetarako laguntzak. Konferentzia sektoriala eta EGF” izenekoa.</w:t>
      </w:r>
    </w:p>
    <w:p w:rsidR="003E6891" w:rsidRDefault="003E6891" w:rsidP="003E6891">
      <w:pPr>
        <w:pStyle w:val="xl2"/>
        <w:spacing w:before="0" w:beforeAutospacing="0" w:after="300" w:afterAutospacing="0" w:line="340" w:lineRule="exact"/>
        <w:ind w:firstLine="567"/>
        <w:jc w:val="both"/>
        <w:rPr>
          <w:rFonts w:ascii="Arial" w:hAnsi="Arial" w:cs="Arial"/>
        </w:rPr>
      </w:pPr>
      <w:r>
        <w:rPr>
          <w:rFonts w:ascii="Arial" w:hAnsi="Arial"/>
        </w:rPr>
        <w:t>8. Herritarrekiko eta Erakundeekiko Harremanetako Departamentuko partidok:</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a) B40001-B4100-2269-232202 partida, “LGTBI+ pertsonen berdintasun sozialari buruzko eta sexu-joeragatik, genero-adierazpenarengatik eta genero-identitatearengatik diskriminatzearen aurkako Legea” izenekoa.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b) 2600 kode ekonomikokoak, B40002 proiektuan daudenak, Gizarte Zerbitzuei buruzko abenduaren 14ko 15/2006 Foru Legean aurreikusitako gizarte zerbitzu orokorren zorroa onetsi zuen ekainaren 17ko 69/2008 Foru Dekretuan ezarritako prestazio bermatuak finantzatzeko direnak. Helburu hori duen berariazko partidarik ez badago, legea zuzen aplikatzeko beharrezkoak direnak sortzen ahalko dira.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c) B40002-B4200-4809-232300 partida, “Genero indarkeriaren biktimak izan eta enplegua aurkitzeko zailtasunak dituztenentzako laguntzak” izenekoa.</w:t>
      </w:r>
    </w:p>
    <w:p w:rsidR="003E6891" w:rsidRDefault="003E6891" w:rsidP="003E6891">
      <w:pPr>
        <w:pStyle w:val="xl3"/>
        <w:spacing w:before="0" w:beforeAutospacing="0" w:after="300" w:afterAutospacing="0" w:line="340" w:lineRule="exact"/>
        <w:ind w:firstLine="567"/>
        <w:jc w:val="both"/>
        <w:rPr>
          <w:rFonts w:ascii="Arial" w:hAnsi="Arial" w:cs="Arial"/>
        </w:rPr>
      </w:pPr>
      <w:r>
        <w:rPr>
          <w:rFonts w:ascii="Arial" w:hAnsi="Arial"/>
        </w:rPr>
        <w:t>d) B40002-B4200-4819-232300 partida, “Larrialdi sozialeko laguntzak” izenekoa.</w:t>
      </w:r>
    </w:p>
    <w:p w:rsidR="003E6891" w:rsidRDefault="003E6891" w:rsidP="002A5212">
      <w:pPr>
        <w:pStyle w:val="DICTA-CAPITULO"/>
      </w:pPr>
      <w:r>
        <w:t>II. TITULUA</w:t>
      </w:r>
    </w:p>
    <w:p w:rsidR="003E6891" w:rsidRDefault="003E6891" w:rsidP="002A5212">
      <w:pPr>
        <w:pStyle w:val="DICTA-SUBTITULO2"/>
      </w:pPr>
      <w:r>
        <w:t>Langileria gastuak</w:t>
      </w:r>
    </w:p>
    <w:p w:rsidR="003E6891" w:rsidRDefault="003E6891" w:rsidP="002A5212">
      <w:pPr>
        <w:pStyle w:val="DICTA-CAPITULO"/>
      </w:pPr>
      <w:r>
        <w:t>I. KAPITULUA</w:t>
      </w:r>
    </w:p>
    <w:p w:rsidR="003E6891" w:rsidRDefault="003E6891" w:rsidP="002A5212">
      <w:pPr>
        <w:pStyle w:val="DICTA-SUBTITULO2"/>
      </w:pPr>
      <w:r>
        <w:t>Jarduneko langileen ordainsariak</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5" w:name="Ar.6"/>
      <w:bookmarkEnd w:id="5"/>
      <w:r>
        <w:rPr>
          <w:rFonts w:ascii="Arial" w:hAnsi="Arial"/>
          <w:b/>
          <w:bCs/>
        </w:rPr>
        <w:lastRenderedPageBreak/>
        <w:t>6. artikulua.</w:t>
      </w:r>
      <w:r>
        <w:rPr>
          <w:rFonts w:ascii="Arial" w:hAnsi="Arial"/>
        </w:rPr>
        <w:t xml:space="preserve"> </w:t>
      </w:r>
      <w:r>
        <w:rPr>
          <w:rFonts w:ascii="Arial" w:hAnsi="Arial"/>
          <w:iCs/>
        </w:rPr>
        <w:t>Nafarroako administrazio publikoetako funtzionarioen eta estatutupeko langileen ordainsariak.</w:t>
      </w: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t>1. 2018ko urtarrilaren 1etik aurrerako ondorioekin, Nafarroako administrazio publikoen zerbitzuko funtzionarioen eta estatutupeko langileen ordainsariek gehikuntza izanen dute; hain zuzen ere, Estatuko legediak sektore publikoaren zerbitzuko langileentzat 2018rako ezartzen duen gehieneko gehikuntza globala. Horrek ez du ezertan galaraziko beharrezkoak diren ordainsari-doikuntzak egitea kasua bada, halatan ziurtatzeko ezen lanpostu bakoitzari esleitutakoak behar bezalako zerikusia daukala lanpostu horren edukiarekin, zeina zailtasun tekniko, lanaldi, erantzukizun, arriskugarritasun edo nekagarritasun berezikoa izan baitaiteke.</w:t>
      </w: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t>2. Maila bakoitzaren hasierako soldatak urteko zenbateko hau izanen du 2018an:</w:t>
      </w:r>
    </w:p>
    <w:tbl>
      <w:tblPr>
        <w:tblW w:w="4218" w:type="dxa"/>
        <w:jc w:val="center"/>
        <w:tblInd w:w="3027" w:type="dxa"/>
        <w:tblLook w:val="04A0" w:firstRow="1" w:lastRow="0" w:firstColumn="1" w:lastColumn="0" w:noHBand="0" w:noVBand="1"/>
      </w:tblPr>
      <w:tblGrid>
        <w:gridCol w:w="1443"/>
        <w:gridCol w:w="2775"/>
      </w:tblGrid>
      <w:tr w:rsidR="003E6891" w:rsidRPr="002225AD" w:rsidTr="002225AD">
        <w:trPr>
          <w:jc w:val="center"/>
        </w:trPr>
        <w:tc>
          <w:tcPr>
            <w:tcW w:w="1443" w:type="dxa"/>
            <w:tcBorders>
              <w:top w:val="single" w:sz="8" w:space="0" w:color="000000"/>
              <w:left w:val="single" w:sz="8" w:space="0" w:color="000000"/>
              <w:bottom w:val="single" w:sz="8" w:space="0" w:color="000000"/>
              <w:right w:val="single" w:sz="8" w:space="0" w:color="000000"/>
            </w:tcBorders>
            <w:shd w:val="clear" w:color="auto" w:fill="C6D9F1" w:themeFill="text2" w:themeFillTint="33"/>
            <w:noWrap/>
            <w:tcMar>
              <w:top w:w="15" w:type="dxa"/>
              <w:left w:w="15" w:type="dxa"/>
              <w:bottom w:w="15" w:type="dxa"/>
              <w:right w:w="15" w:type="dxa"/>
            </w:tcMar>
            <w:hideMark/>
          </w:tcPr>
          <w:p w:rsidR="003E6891" w:rsidRPr="002225AD" w:rsidRDefault="003E6891" w:rsidP="002225AD">
            <w:pPr>
              <w:tabs>
                <w:tab w:val="left" w:pos="2163"/>
              </w:tabs>
              <w:spacing w:before="20" w:after="20"/>
              <w:jc w:val="center"/>
              <w:rPr>
                <w:rFonts w:asciiTheme="minorHAnsi" w:hAnsiTheme="minorHAnsi" w:cs="Arial"/>
                <w:b/>
                <w:sz w:val="18"/>
                <w:szCs w:val="18"/>
              </w:rPr>
            </w:pPr>
            <w:r w:rsidRPr="002225AD">
              <w:rPr>
                <w:rFonts w:asciiTheme="minorHAnsi" w:hAnsiTheme="minorHAnsi"/>
                <w:b/>
                <w:sz w:val="18"/>
                <w:szCs w:val="18"/>
              </w:rPr>
              <w:t>Maila</w:t>
            </w:r>
          </w:p>
        </w:tc>
        <w:tc>
          <w:tcPr>
            <w:tcW w:w="277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5" w:type="dxa"/>
              <w:bottom w:w="15" w:type="dxa"/>
              <w:right w:w="15" w:type="dxa"/>
            </w:tcMar>
            <w:vAlign w:val="center"/>
            <w:hideMark/>
          </w:tcPr>
          <w:p w:rsidR="003E6891" w:rsidRPr="002225AD" w:rsidRDefault="003E6891" w:rsidP="002225AD">
            <w:pPr>
              <w:spacing w:before="20" w:after="20"/>
              <w:jc w:val="center"/>
              <w:rPr>
                <w:rFonts w:asciiTheme="minorHAnsi" w:hAnsiTheme="minorHAnsi" w:cs="Arial"/>
                <w:b/>
                <w:sz w:val="18"/>
                <w:szCs w:val="18"/>
              </w:rPr>
            </w:pPr>
            <w:r w:rsidRPr="002225AD">
              <w:rPr>
                <w:rFonts w:asciiTheme="minorHAnsi" w:hAnsiTheme="minorHAnsi"/>
                <w:b/>
                <w:sz w:val="18"/>
                <w:szCs w:val="18"/>
              </w:rPr>
              <w:t>Urteko zenbatekoa</w:t>
            </w:r>
          </w:p>
        </w:tc>
      </w:tr>
      <w:tr w:rsidR="003E6891" w:rsidRPr="002225AD" w:rsidTr="002225AD">
        <w:trPr>
          <w:jc w:val="center"/>
        </w:trPr>
        <w:tc>
          <w:tcPr>
            <w:tcW w:w="144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3E6891" w:rsidRPr="002225AD" w:rsidRDefault="003E6891" w:rsidP="002225AD">
            <w:pPr>
              <w:spacing w:before="20" w:after="20"/>
              <w:jc w:val="center"/>
              <w:rPr>
                <w:rFonts w:asciiTheme="minorHAnsi" w:hAnsiTheme="minorHAnsi" w:cs="Arial"/>
                <w:sz w:val="18"/>
                <w:szCs w:val="18"/>
              </w:rPr>
            </w:pPr>
            <w:r w:rsidRPr="002225AD">
              <w:rPr>
                <w:rFonts w:asciiTheme="minorHAnsi" w:hAnsiTheme="minorHAnsi"/>
                <w:sz w:val="18"/>
                <w:szCs w:val="18"/>
              </w:rPr>
              <w:t>A</w:t>
            </w:r>
          </w:p>
        </w:tc>
        <w:tc>
          <w:tcPr>
            <w:tcW w:w="277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3E6891" w:rsidRPr="002225AD" w:rsidRDefault="003E6891" w:rsidP="002225AD">
            <w:pPr>
              <w:spacing w:before="20" w:after="20"/>
              <w:jc w:val="center"/>
              <w:rPr>
                <w:rFonts w:asciiTheme="minorHAnsi" w:hAnsiTheme="minorHAnsi" w:cs="Arial"/>
                <w:sz w:val="18"/>
                <w:szCs w:val="18"/>
              </w:rPr>
            </w:pPr>
            <w:r w:rsidRPr="002225AD">
              <w:rPr>
                <w:rFonts w:asciiTheme="minorHAnsi" w:hAnsiTheme="minorHAnsi"/>
                <w:sz w:val="18"/>
                <w:szCs w:val="18"/>
              </w:rPr>
              <w:t>25.789,96 euro</w:t>
            </w:r>
          </w:p>
        </w:tc>
      </w:tr>
      <w:tr w:rsidR="003E6891" w:rsidRPr="002225AD" w:rsidTr="002225AD">
        <w:trPr>
          <w:jc w:val="center"/>
        </w:trPr>
        <w:tc>
          <w:tcPr>
            <w:tcW w:w="144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3E6891" w:rsidRPr="002225AD" w:rsidRDefault="003E6891" w:rsidP="002225AD">
            <w:pPr>
              <w:spacing w:before="20" w:after="20"/>
              <w:jc w:val="center"/>
              <w:rPr>
                <w:rFonts w:asciiTheme="minorHAnsi" w:hAnsiTheme="minorHAnsi" w:cs="Arial"/>
                <w:sz w:val="18"/>
                <w:szCs w:val="18"/>
              </w:rPr>
            </w:pPr>
            <w:r w:rsidRPr="002225AD">
              <w:rPr>
                <w:rFonts w:asciiTheme="minorHAnsi" w:hAnsiTheme="minorHAnsi"/>
                <w:sz w:val="18"/>
                <w:szCs w:val="18"/>
              </w:rPr>
              <w:t>B</w:t>
            </w:r>
          </w:p>
        </w:tc>
        <w:tc>
          <w:tcPr>
            <w:tcW w:w="277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3E6891" w:rsidRPr="002225AD" w:rsidRDefault="003E6891" w:rsidP="002225AD">
            <w:pPr>
              <w:spacing w:before="20" w:after="20"/>
              <w:jc w:val="center"/>
              <w:rPr>
                <w:rFonts w:asciiTheme="minorHAnsi" w:hAnsiTheme="minorHAnsi" w:cs="Arial"/>
                <w:sz w:val="18"/>
                <w:szCs w:val="18"/>
              </w:rPr>
            </w:pPr>
            <w:r w:rsidRPr="002225AD">
              <w:rPr>
                <w:rFonts w:asciiTheme="minorHAnsi" w:hAnsiTheme="minorHAnsi"/>
                <w:sz w:val="18"/>
                <w:szCs w:val="18"/>
              </w:rPr>
              <w:t>21.696,22 euro</w:t>
            </w:r>
          </w:p>
        </w:tc>
      </w:tr>
      <w:tr w:rsidR="003E6891" w:rsidRPr="002225AD" w:rsidTr="002225AD">
        <w:trPr>
          <w:jc w:val="center"/>
        </w:trPr>
        <w:tc>
          <w:tcPr>
            <w:tcW w:w="144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3E6891" w:rsidRPr="002225AD" w:rsidRDefault="003E6891" w:rsidP="002225AD">
            <w:pPr>
              <w:spacing w:before="20" w:after="20"/>
              <w:jc w:val="center"/>
              <w:rPr>
                <w:rFonts w:asciiTheme="minorHAnsi" w:hAnsiTheme="minorHAnsi" w:cs="Arial"/>
                <w:sz w:val="18"/>
                <w:szCs w:val="18"/>
              </w:rPr>
            </w:pPr>
            <w:r w:rsidRPr="002225AD">
              <w:rPr>
                <w:rFonts w:asciiTheme="minorHAnsi" w:hAnsiTheme="minorHAnsi"/>
                <w:sz w:val="18"/>
                <w:szCs w:val="18"/>
              </w:rPr>
              <w:t>C</w:t>
            </w:r>
          </w:p>
        </w:tc>
        <w:tc>
          <w:tcPr>
            <w:tcW w:w="277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3E6891" w:rsidRPr="002225AD" w:rsidRDefault="003E6891" w:rsidP="002225AD">
            <w:pPr>
              <w:spacing w:before="20" w:after="20"/>
              <w:jc w:val="center"/>
              <w:rPr>
                <w:rFonts w:asciiTheme="minorHAnsi" w:hAnsiTheme="minorHAnsi" w:cs="Arial"/>
                <w:sz w:val="18"/>
                <w:szCs w:val="18"/>
              </w:rPr>
            </w:pPr>
            <w:r w:rsidRPr="002225AD">
              <w:rPr>
                <w:rFonts w:asciiTheme="minorHAnsi" w:hAnsiTheme="minorHAnsi"/>
                <w:sz w:val="18"/>
                <w:szCs w:val="18"/>
              </w:rPr>
              <w:t>17.997,84 euro</w:t>
            </w:r>
          </w:p>
        </w:tc>
      </w:tr>
      <w:tr w:rsidR="003E6891" w:rsidRPr="002225AD" w:rsidTr="002225AD">
        <w:trPr>
          <w:jc w:val="center"/>
        </w:trPr>
        <w:tc>
          <w:tcPr>
            <w:tcW w:w="144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3E6891" w:rsidRPr="002225AD" w:rsidRDefault="003E6891" w:rsidP="002225AD">
            <w:pPr>
              <w:spacing w:before="20" w:after="20"/>
              <w:jc w:val="center"/>
              <w:rPr>
                <w:rFonts w:asciiTheme="minorHAnsi" w:hAnsiTheme="minorHAnsi" w:cs="Arial"/>
                <w:sz w:val="18"/>
                <w:szCs w:val="18"/>
              </w:rPr>
            </w:pPr>
            <w:r w:rsidRPr="002225AD">
              <w:rPr>
                <w:rFonts w:asciiTheme="minorHAnsi" w:hAnsiTheme="minorHAnsi"/>
                <w:sz w:val="18"/>
                <w:szCs w:val="18"/>
              </w:rPr>
              <w:t>D</w:t>
            </w:r>
          </w:p>
        </w:tc>
        <w:tc>
          <w:tcPr>
            <w:tcW w:w="277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3E6891" w:rsidRPr="002225AD" w:rsidRDefault="003E6891" w:rsidP="002225AD">
            <w:pPr>
              <w:spacing w:before="20" w:after="20"/>
              <w:jc w:val="center"/>
              <w:rPr>
                <w:rFonts w:asciiTheme="minorHAnsi" w:hAnsiTheme="minorHAnsi" w:cs="Arial"/>
                <w:sz w:val="18"/>
                <w:szCs w:val="18"/>
              </w:rPr>
            </w:pPr>
            <w:r w:rsidRPr="002225AD">
              <w:rPr>
                <w:rFonts w:asciiTheme="minorHAnsi" w:hAnsiTheme="minorHAnsi"/>
                <w:sz w:val="18"/>
                <w:szCs w:val="18"/>
              </w:rPr>
              <w:t>15.674,82 euro</w:t>
            </w:r>
          </w:p>
        </w:tc>
      </w:tr>
      <w:tr w:rsidR="003E6891" w:rsidRPr="002225AD" w:rsidTr="002225AD">
        <w:trPr>
          <w:jc w:val="center"/>
        </w:trPr>
        <w:tc>
          <w:tcPr>
            <w:tcW w:w="144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3E6891" w:rsidRPr="002225AD" w:rsidRDefault="003E6891" w:rsidP="002225AD">
            <w:pPr>
              <w:spacing w:before="20" w:after="20"/>
              <w:jc w:val="center"/>
              <w:rPr>
                <w:rFonts w:asciiTheme="minorHAnsi" w:hAnsiTheme="minorHAnsi" w:cs="Arial"/>
                <w:sz w:val="18"/>
                <w:szCs w:val="18"/>
              </w:rPr>
            </w:pPr>
            <w:r w:rsidRPr="002225AD">
              <w:rPr>
                <w:rFonts w:asciiTheme="minorHAnsi" w:hAnsiTheme="minorHAnsi"/>
                <w:sz w:val="18"/>
                <w:szCs w:val="18"/>
              </w:rPr>
              <w:t>E</w:t>
            </w:r>
          </w:p>
        </w:tc>
        <w:tc>
          <w:tcPr>
            <w:tcW w:w="277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3E6891" w:rsidRPr="002225AD" w:rsidRDefault="003E6891" w:rsidP="002225AD">
            <w:pPr>
              <w:spacing w:before="20" w:after="20"/>
              <w:jc w:val="center"/>
              <w:rPr>
                <w:rFonts w:asciiTheme="minorHAnsi" w:hAnsiTheme="minorHAnsi" w:cs="Arial"/>
                <w:sz w:val="18"/>
                <w:szCs w:val="18"/>
              </w:rPr>
            </w:pPr>
            <w:r w:rsidRPr="002225AD">
              <w:rPr>
                <w:rFonts w:asciiTheme="minorHAnsi" w:hAnsiTheme="minorHAnsi"/>
                <w:sz w:val="18"/>
                <w:szCs w:val="18"/>
              </w:rPr>
              <w:t>13.787,76 euro</w:t>
            </w:r>
          </w:p>
        </w:tc>
      </w:tr>
    </w:tbl>
    <w:p w:rsidR="002A5212" w:rsidRDefault="002A5212" w:rsidP="003E6891">
      <w:pPr>
        <w:pStyle w:val="NormalWeb"/>
        <w:spacing w:before="0" w:beforeAutospacing="0" w:after="300" w:afterAutospacing="0" w:line="340" w:lineRule="exact"/>
        <w:ind w:firstLine="567"/>
        <w:jc w:val="both"/>
        <w:rPr>
          <w:rFonts w:ascii="Arial" w:hAnsi="Arial" w:cs="Arial"/>
          <w:b/>
          <w:bCs/>
          <w:lang w:val="es-ES_tradnl"/>
        </w:rPr>
      </w:pPr>
    </w:p>
    <w:p w:rsidR="003E6891" w:rsidRDefault="003E6891" w:rsidP="003E6891">
      <w:pPr>
        <w:pStyle w:val="NormalWeb"/>
        <w:spacing w:before="0" w:beforeAutospacing="0" w:after="300" w:afterAutospacing="0" w:line="340" w:lineRule="exact"/>
        <w:ind w:firstLine="567"/>
        <w:jc w:val="both"/>
        <w:rPr>
          <w:rFonts w:ascii="Arial" w:hAnsi="Arial" w:cs="Arial"/>
        </w:rPr>
      </w:pPr>
      <w:r>
        <w:rPr>
          <w:rFonts w:ascii="Arial" w:hAnsi="Arial"/>
          <w:b/>
          <w:bCs/>
        </w:rPr>
        <w:t>7. artikulua.</w:t>
      </w:r>
      <w:r>
        <w:rPr>
          <w:rFonts w:ascii="Arial" w:hAnsi="Arial"/>
        </w:rPr>
        <w:t xml:space="preserve"> </w:t>
      </w:r>
      <w:r>
        <w:rPr>
          <w:rFonts w:ascii="Arial" w:hAnsi="Arial"/>
          <w:iCs/>
        </w:rPr>
        <w:t>Nafarroako Administrazio Publikoetako lan-kontratudunen lansariak.</w:t>
      </w: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t>1. 2018ko urtarrilaren 1etik aurrerako ondorioekin, Nafarroako Foru Komunitateko Administrazioaren eta haren erakunde autonomoen zerbitzuko lan-kontratudunen ordainsariak haien hitzarmen kolektiboan zehazten direnak izanen dira, foru lege honetan funtzionarioentzat finkatutako irizpideei jarraikiz.</w:t>
      </w: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t>2. Nafarroako gainerako administrazio publikoen zerbitzuko lan-kontratudunen ordainsariak, berriz, administrazio publiko bakoitzak bere aurrekontuetan ezartzen dituenak izanen dira, betiere foru lege honetan funtzionarioentzat ezarritako irizpideei jarraituz.</w:t>
      </w:r>
    </w:p>
    <w:p w:rsidR="003E6891" w:rsidRDefault="003E6891" w:rsidP="003E6891">
      <w:pPr>
        <w:keepLines/>
        <w:spacing w:after="300" w:line="340" w:lineRule="exact"/>
        <w:ind w:firstLine="567"/>
        <w:jc w:val="both"/>
        <w:rPr>
          <w:rFonts w:ascii="Arial" w:hAnsi="Arial" w:cs="Arial"/>
        </w:rPr>
      </w:pPr>
      <w:bookmarkStart w:id="6" w:name="Ar.8"/>
      <w:bookmarkEnd w:id="6"/>
      <w:r>
        <w:rPr>
          <w:rFonts w:ascii="Arial" w:hAnsi="Arial"/>
          <w:b/>
        </w:rPr>
        <w:t>8. artikulua.</w:t>
      </w:r>
      <w:r>
        <w:rPr>
          <w:rFonts w:ascii="Arial" w:hAnsi="Arial"/>
        </w:rPr>
        <w:t xml:space="preserve"> Nafarroako Foru Komunitateko Administrazioko eta haren erakunde autonomoetako izendapen libreko zuzendaritza karguen ordainsariak.</w:t>
      </w:r>
    </w:p>
    <w:p w:rsidR="003E6891" w:rsidRDefault="003E6891" w:rsidP="003E6891">
      <w:pPr>
        <w:keepLines/>
        <w:spacing w:after="300" w:line="340" w:lineRule="exact"/>
        <w:ind w:firstLine="567"/>
        <w:jc w:val="both"/>
        <w:rPr>
          <w:rFonts w:ascii="Arial" w:hAnsi="Arial" w:cs="Arial"/>
        </w:rPr>
      </w:pPr>
      <w:r>
        <w:rPr>
          <w:rFonts w:ascii="Arial" w:hAnsi="Arial"/>
        </w:rPr>
        <w:lastRenderedPageBreak/>
        <w:t xml:space="preserve">1. Nafarroako Foru Komunitateko Administrazioko zerbitzuburuek eta haren erakunde autonomoetan haiekin parekaturikoek 51.514,68 euroko ordainsariak izanen dituzte 2018an, hamalau hilekotan banatuta, araudi indardunaren arabera funtzionarioei legozkiekeen gradu, antzinatasun eta familia-laguntzako ordainsari pertsonalez gainera, eta ezertan galarazi gabe jatorriz izan zuten izendapenagatik edo beren zerbitzu-ematearen baldintza bereziengatik </w:t>
      </w:r>
      <w:proofErr w:type="spellStart"/>
      <w:r>
        <w:rPr>
          <w:rFonts w:ascii="Arial" w:hAnsi="Arial"/>
        </w:rPr>
        <w:t>plantilla</w:t>
      </w:r>
      <w:proofErr w:type="spellEnd"/>
      <w:r>
        <w:rPr>
          <w:rFonts w:ascii="Arial" w:hAnsi="Arial"/>
        </w:rPr>
        <w:t xml:space="preserve"> organikoan espezifikoki esleituta izan litzaketen ordainsari osagarriak.</w:t>
      </w:r>
    </w:p>
    <w:p w:rsidR="003E6891" w:rsidRDefault="003E6891" w:rsidP="003E6891">
      <w:pPr>
        <w:keepLines/>
        <w:spacing w:after="300" w:line="340" w:lineRule="exact"/>
        <w:ind w:firstLine="567"/>
        <w:jc w:val="both"/>
        <w:rPr>
          <w:rFonts w:ascii="Arial" w:hAnsi="Arial" w:cs="Arial"/>
        </w:rPr>
      </w:pPr>
      <w:r>
        <w:rPr>
          <w:rFonts w:ascii="Arial" w:hAnsi="Arial"/>
        </w:rPr>
        <w:t>Zerbitzuetako zuzendariek beren lana erabateko eskuragarritasunez eta dedikazio osoz eginen dute.</w:t>
      </w:r>
    </w:p>
    <w:p w:rsidR="003E6891" w:rsidRDefault="003E6891" w:rsidP="003E6891">
      <w:pPr>
        <w:keepLines/>
        <w:spacing w:after="300" w:line="340" w:lineRule="exact"/>
        <w:ind w:firstLine="567"/>
        <w:jc w:val="both"/>
        <w:rPr>
          <w:rFonts w:ascii="Arial" w:hAnsi="Arial" w:cs="Arial"/>
        </w:rPr>
      </w:pPr>
      <w:r>
        <w:rPr>
          <w:rFonts w:ascii="Arial" w:hAnsi="Arial"/>
        </w:rPr>
        <w:t xml:space="preserve">2. </w:t>
      </w:r>
      <w:proofErr w:type="spellStart"/>
      <w:r>
        <w:rPr>
          <w:rFonts w:ascii="Arial" w:hAnsi="Arial"/>
        </w:rPr>
        <w:t>Osasunbidea-Nafarroako</w:t>
      </w:r>
      <w:proofErr w:type="spellEnd"/>
      <w:r>
        <w:rPr>
          <w:rFonts w:ascii="Arial" w:hAnsi="Arial"/>
        </w:rPr>
        <w:t xml:space="preserve"> Osasun Zerbitzuko eta Nafarroako Osasun Publikoaren eta Nafarroako Lan Osasunaren Institutuetako izendapen libreko zuzendaritza karguen ordainsariek ondotik zehazten diren zenbatekoak izanen dituzte 2018an, hamalau hilekotan banatuta, araudi indardunaren arabera legozkiekeen gradu, antzinatasun eta familia laguntzaren ordainsari pertsonalez gainera:</w:t>
      </w:r>
    </w:p>
    <w:p w:rsidR="003E6891" w:rsidRDefault="003E6891" w:rsidP="003E6891">
      <w:pPr>
        <w:keepLines/>
        <w:spacing w:after="300" w:line="340" w:lineRule="exact"/>
        <w:ind w:firstLine="567"/>
        <w:jc w:val="both"/>
        <w:rPr>
          <w:rFonts w:ascii="Arial" w:hAnsi="Arial" w:cs="Arial"/>
        </w:rPr>
      </w:pPr>
      <w:r>
        <w:rPr>
          <w:rFonts w:ascii="Arial" w:hAnsi="Arial"/>
        </w:rPr>
        <w:t xml:space="preserve">a) Farmazia Prestazioaren Kudeaketarako Zerbitzua; Osasun Mentaleko Kudeaketa Ekonomikoaren eta Profesionalen Zerbitzua; Nafarroako </w:t>
      </w:r>
      <w:proofErr w:type="spellStart"/>
      <w:r>
        <w:rPr>
          <w:rFonts w:ascii="Arial" w:hAnsi="Arial"/>
        </w:rPr>
        <w:t>Ospitaleguneko</w:t>
      </w:r>
      <w:proofErr w:type="spellEnd"/>
      <w:r>
        <w:rPr>
          <w:rFonts w:ascii="Arial" w:hAnsi="Arial"/>
        </w:rPr>
        <w:t xml:space="preserve"> Langileen eta Lan Harremanen Zerbitzua eta Administrazioaren eta Zerbitzu Orokorren Zerbitzua; Tuterako eta Lizarrako Osasun Barrutietako Oinarrizko Osasun Laguntzako Kudeaketa Ekonomikoaren eta Zerbitzu Orokorren zerbitzuak eta Profesionalen zerbitzuak; Ospitalez kanpoko Larrialdietarako Zerbitzua; Tuterako eta Lizarrako Oinarrizko Osasun Laguntzaren eta Laguntzaren Jarraitutasunerako zerbitzuak; Oinarrizko Osasun Laguntzako Kudeaketa Klinikoari Laguntzeko eta Laguntzaren Jarraitutasunerako Zerbitzua; Gizarte Osasuna Sustatzeko Zerbitzua eta </w:t>
      </w:r>
      <w:proofErr w:type="spellStart"/>
      <w:r>
        <w:rPr>
          <w:rFonts w:ascii="Arial" w:hAnsi="Arial"/>
        </w:rPr>
        <w:t>Epidemiologiaren</w:t>
      </w:r>
      <w:proofErr w:type="spellEnd"/>
      <w:r>
        <w:rPr>
          <w:rFonts w:ascii="Arial" w:hAnsi="Arial"/>
        </w:rPr>
        <w:t xml:space="preserve"> eta Osasun Prebentzioaren Zerbitzua; Osasuneko Informazio Sistemen Zerbitzua: 52.356,50. euro.</w:t>
      </w:r>
    </w:p>
    <w:p w:rsidR="003E6891" w:rsidRDefault="003E6891" w:rsidP="003E6891">
      <w:pPr>
        <w:keepLines/>
        <w:spacing w:after="300" w:line="340" w:lineRule="exact"/>
        <w:ind w:firstLine="567"/>
        <w:jc w:val="both"/>
        <w:rPr>
          <w:rFonts w:ascii="Arial" w:hAnsi="Arial" w:cs="Arial"/>
        </w:rPr>
      </w:pPr>
      <w:bookmarkStart w:id="7" w:name="OLE_LINK1"/>
      <w:r>
        <w:rPr>
          <w:rFonts w:ascii="Arial" w:hAnsi="Arial"/>
        </w:rPr>
        <w:t>b) Araubide Juridikoaren Zerbitzua: 51.514,68. euro.</w:t>
      </w:r>
    </w:p>
    <w:p w:rsidR="003E6891" w:rsidRDefault="003E6891" w:rsidP="003E6891">
      <w:pPr>
        <w:keepLines/>
        <w:spacing w:after="300" w:line="340" w:lineRule="exact"/>
        <w:ind w:firstLine="567"/>
        <w:jc w:val="both"/>
        <w:rPr>
          <w:rFonts w:ascii="Arial" w:hAnsi="Arial" w:cs="Arial"/>
        </w:rPr>
      </w:pPr>
      <w:r>
        <w:rPr>
          <w:rFonts w:ascii="Arial" w:hAnsi="Arial"/>
        </w:rPr>
        <w:t>c) A mailako langileek betetzen dituzten beste zerbitzu batzuk: 48.161,26. euro.</w:t>
      </w:r>
    </w:p>
    <w:bookmarkEnd w:id="7"/>
    <w:p w:rsidR="003E6891" w:rsidRDefault="003E6891" w:rsidP="003E6891">
      <w:pPr>
        <w:keepLines/>
        <w:spacing w:after="300" w:line="340" w:lineRule="exact"/>
        <w:ind w:firstLine="567"/>
        <w:jc w:val="both"/>
        <w:rPr>
          <w:rFonts w:ascii="Arial" w:hAnsi="Arial" w:cs="Arial"/>
        </w:rPr>
      </w:pPr>
      <w:r>
        <w:rPr>
          <w:rFonts w:ascii="Arial" w:hAnsi="Arial"/>
        </w:rPr>
        <w:t xml:space="preserve">d) Tuterako eta Lizarrako osasun barrutietako Zainketa </w:t>
      </w:r>
      <w:proofErr w:type="spellStart"/>
      <w:r>
        <w:rPr>
          <w:rFonts w:ascii="Arial" w:hAnsi="Arial"/>
        </w:rPr>
        <w:t>Asistentzialen</w:t>
      </w:r>
      <w:proofErr w:type="spellEnd"/>
      <w:r>
        <w:rPr>
          <w:rFonts w:ascii="Arial" w:hAnsi="Arial"/>
        </w:rPr>
        <w:t xml:space="preserve"> zerbitzuak, Zainketa </w:t>
      </w:r>
      <w:proofErr w:type="spellStart"/>
      <w:r>
        <w:rPr>
          <w:rFonts w:ascii="Arial" w:hAnsi="Arial"/>
        </w:rPr>
        <w:t>Asistentzialetarako</w:t>
      </w:r>
      <w:proofErr w:type="spellEnd"/>
      <w:r>
        <w:rPr>
          <w:rFonts w:ascii="Arial" w:hAnsi="Arial"/>
        </w:rPr>
        <w:t xml:space="preserve"> eta Etxeko Arretarako Zerbitzua eta Osasun Mentaleko Zainketa </w:t>
      </w:r>
      <w:proofErr w:type="spellStart"/>
      <w:r>
        <w:rPr>
          <w:rFonts w:ascii="Arial" w:hAnsi="Arial"/>
        </w:rPr>
        <w:t>Asistentzialen</w:t>
      </w:r>
      <w:proofErr w:type="spellEnd"/>
      <w:r>
        <w:rPr>
          <w:rFonts w:ascii="Arial" w:hAnsi="Arial"/>
        </w:rPr>
        <w:t xml:space="preserve"> Zerbitzua: 47.114,48 euro.</w:t>
      </w:r>
    </w:p>
    <w:p w:rsidR="003E6891" w:rsidRDefault="003E6891" w:rsidP="003E6891">
      <w:pPr>
        <w:keepLines/>
        <w:spacing w:after="300" w:line="340" w:lineRule="exact"/>
        <w:ind w:firstLine="567"/>
        <w:jc w:val="both"/>
        <w:rPr>
          <w:rFonts w:ascii="Arial" w:hAnsi="Arial" w:cs="Arial"/>
        </w:rPr>
      </w:pPr>
      <w:r>
        <w:rPr>
          <w:rFonts w:ascii="Arial" w:hAnsi="Arial"/>
        </w:rPr>
        <w:lastRenderedPageBreak/>
        <w:t>e) Gainerako mailetako langileek betetzen dituzten beste zerbitzu batzuk: 43.976,10. euro.</w:t>
      </w:r>
    </w:p>
    <w:p w:rsidR="003E6891" w:rsidRDefault="003E6891" w:rsidP="003E6891">
      <w:pPr>
        <w:keepLines/>
        <w:spacing w:after="300" w:line="340" w:lineRule="exact"/>
        <w:ind w:firstLine="567"/>
        <w:jc w:val="both"/>
        <w:rPr>
          <w:rFonts w:ascii="Arial" w:hAnsi="Arial" w:cs="Arial"/>
        </w:rPr>
      </w:pPr>
      <w:r>
        <w:rPr>
          <w:rFonts w:ascii="Arial" w:hAnsi="Arial"/>
        </w:rPr>
        <w:t xml:space="preserve">Baldin eta gaur egun </w:t>
      </w:r>
      <w:proofErr w:type="spellStart"/>
      <w:r>
        <w:rPr>
          <w:rFonts w:ascii="Arial" w:hAnsi="Arial"/>
        </w:rPr>
        <w:t>Osasunbidea-Nafarroako</w:t>
      </w:r>
      <w:proofErr w:type="spellEnd"/>
      <w:r>
        <w:rPr>
          <w:rFonts w:ascii="Arial" w:hAnsi="Arial"/>
        </w:rPr>
        <w:t xml:space="preserve"> Osasun Zerbitzuko eta Nafarroako Osasun Publikoaren eta Lan Osasunaren Institutuko zuzendaritza kargu horien titularren batek artikulu honetan jasotako zenbatekoa baino gehiago jasotzen badu gaur egun, aldeagatik konpentsazio pertsonal bat ordainduko zaio, kargu horretan diharduen bitartean.</w:t>
      </w:r>
    </w:p>
    <w:p w:rsidR="003E6891" w:rsidRDefault="003E6891" w:rsidP="003E6891">
      <w:pPr>
        <w:keepLines/>
        <w:spacing w:after="300" w:line="340" w:lineRule="exact"/>
        <w:ind w:firstLine="567"/>
        <w:jc w:val="both"/>
        <w:rPr>
          <w:rFonts w:ascii="Arial" w:hAnsi="Arial" w:cs="Arial"/>
        </w:rPr>
      </w:pPr>
      <w:r>
        <w:rPr>
          <w:rFonts w:ascii="Arial" w:hAnsi="Arial"/>
        </w:rPr>
        <w:t xml:space="preserve">3. Nafarroako Foru Komunitateko Administrazioan eta haren erakunde autonomoetan zuzendaritza karguetan aritzen diren izendapen libreko langileen ordainsariek 6. artikuluan xedatutakoaren aplikazioak eragindako igoera bera izanen dute. </w:t>
      </w:r>
    </w:p>
    <w:p w:rsidR="003E6891" w:rsidRDefault="003E6891" w:rsidP="003E6891">
      <w:pPr>
        <w:keepLines/>
        <w:spacing w:after="300" w:line="340" w:lineRule="exact"/>
        <w:ind w:firstLine="567"/>
        <w:jc w:val="both"/>
        <w:rPr>
          <w:rFonts w:ascii="Arial" w:hAnsi="Arial" w:cs="Arial"/>
        </w:rPr>
      </w:pPr>
      <w:r>
        <w:rPr>
          <w:rFonts w:ascii="Arial" w:hAnsi="Arial"/>
          <w:b/>
        </w:rPr>
        <w:t>9. artikulua.</w:t>
      </w:r>
      <w:r>
        <w:rPr>
          <w:rFonts w:ascii="Arial" w:hAnsi="Arial"/>
        </w:rPr>
        <w:t xml:space="preserve"> Nafarroako Gobernuko kideen, Nafarroako Foru Komunitateko Administrazioko goi kargudunen eta gainerako behin-behineko langileen ordainsariak.</w:t>
      </w:r>
    </w:p>
    <w:p w:rsidR="003E6891" w:rsidRDefault="003E6891" w:rsidP="003E6891">
      <w:pPr>
        <w:keepLines/>
        <w:spacing w:after="300" w:line="340" w:lineRule="exact"/>
        <w:ind w:firstLine="567"/>
        <w:jc w:val="both"/>
        <w:rPr>
          <w:rFonts w:ascii="Arial" w:hAnsi="Arial" w:cs="Arial"/>
        </w:rPr>
      </w:pPr>
      <w:r>
        <w:rPr>
          <w:rFonts w:ascii="Arial" w:hAnsi="Arial"/>
        </w:rPr>
        <w:t>1. Nafarroako Gobernua osatzen duten kideek, zuzendari nagusiek, erakunde, sozietate eta fundazio publikoetako zuzendaritza karguek eta Nafarroako Foru Komunitateko Administrazioko gainerako behin-behineko langileek hurrengo apartatuetan zehazten diren ordainsariak jasoko dituzten 2018an.</w:t>
      </w:r>
    </w:p>
    <w:p w:rsidR="003E6891" w:rsidRDefault="003E6891" w:rsidP="003E6891">
      <w:pPr>
        <w:keepLines/>
        <w:spacing w:after="300" w:line="340" w:lineRule="exact"/>
        <w:ind w:firstLine="567"/>
        <w:jc w:val="both"/>
        <w:rPr>
          <w:rFonts w:ascii="Arial" w:hAnsi="Arial" w:cs="Arial"/>
        </w:rPr>
      </w:pPr>
      <w:r>
        <w:rPr>
          <w:rFonts w:ascii="Arial" w:hAnsi="Arial"/>
        </w:rPr>
        <w:t>2. Nafarroako Gobernuari eta Lehendakariari buruzko abenduaren 3ko 14/2004 Foru Legearen 35. eta 45. artikuluetan ezarritakoari jarraikiz, Nafarroako Gobernua osatzen duten kideek, 2018. urtean, ondoren zehazten diren urteko ordainsariak izanen dituzte, hamalau hilekotan banatuta, araudi indardunaren arabera funtzionarioei legozkiekeen gradu- eta antzinatasun-ordainsariez gainera:</w:t>
      </w:r>
    </w:p>
    <w:p w:rsidR="003E6891" w:rsidRDefault="003E6891" w:rsidP="003E6891">
      <w:pPr>
        <w:keepLines/>
        <w:spacing w:after="300" w:line="340" w:lineRule="exact"/>
        <w:ind w:firstLine="567"/>
        <w:jc w:val="both"/>
        <w:rPr>
          <w:rFonts w:ascii="Arial" w:hAnsi="Arial" w:cs="Arial"/>
        </w:rPr>
      </w:pPr>
      <w:r>
        <w:rPr>
          <w:rFonts w:ascii="Arial" w:hAnsi="Arial"/>
        </w:rPr>
        <w:t>– Nafarroako Gobernuko lehendakaria: 70.748,44 euro.</w:t>
      </w:r>
    </w:p>
    <w:p w:rsidR="003E6891" w:rsidRDefault="003E6891" w:rsidP="003E6891">
      <w:pPr>
        <w:keepLines/>
        <w:spacing w:after="300" w:line="340" w:lineRule="exact"/>
        <w:ind w:firstLine="567"/>
        <w:jc w:val="both"/>
        <w:rPr>
          <w:rFonts w:ascii="Arial" w:hAnsi="Arial" w:cs="Arial"/>
        </w:rPr>
      </w:pPr>
      <w:r>
        <w:rPr>
          <w:rFonts w:ascii="Arial" w:hAnsi="Arial"/>
        </w:rPr>
        <w:t>– Kontseilaria: 65.840,46. euro.</w:t>
      </w:r>
    </w:p>
    <w:p w:rsidR="003E6891" w:rsidRDefault="003E6891" w:rsidP="003E6891">
      <w:pPr>
        <w:keepLines/>
        <w:spacing w:after="300" w:line="340" w:lineRule="exact"/>
        <w:ind w:firstLine="567"/>
        <w:jc w:val="both"/>
        <w:rPr>
          <w:rFonts w:ascii="Arial" w:hAnsi="Arial" w:cs="Arial"/>
        </w:rPr>
      </w:pPr>
      <w:r>
        <w:rPr>
          <w:rFonts w:ascii="Arial" w:hAnsi="Arial"/>
        </w:rPr>
        <w:t>3. Lehendakariaren eta Nafarroako Gobernuko departamentuetako titularren kabineteetan goi kargudunaren izaera duten langileek ondoren zehazten diren urteko ordainsariak izanen dituzte 2018. urtean, hamalau hilekotan banatuta, araudi indardunaren arabera funtzionarioei legozkiekeen gradu- eta antzinatasun-ordainsariez gainera:</w:t>
      </w:r>
    </w:p>
    <w:p w:rsidR="003E6891" w:rsidRDefault="003E6891" w:rsidP="003E6891">
      <w:pPr>
        <w:keepLines/>
        <w:spacing w:after="300" w:line="340" w:lineRule="exact"/>
        <w:ind w:firstLine="567"/>
        <w:jc w:val="both"/>
        <w:rPr>
          <w:rFonts w:ascii="Arial" w:hAnsi="Arial" w:cs="Arial"/>
        </w:rPr>
      </w:pPr>
      <w:r>
        <w:rPr>
          <w:rFonts w:ascii="Arial" w:hAnsi="Arial"/>
        </w:rPr>
        <w:lastRenderedPageBreak/>
        <w:t>– Lehendakariaren aholkularia: 56.414,26 euro.</w:t>
      </w:r>
    </w:p>
    <w:p w:rsidR="003E6891" w:rsidRDefault="003E6891" w:rsidP="003E6891">
      <w:pPr>
        <w:keepLines/>
        <w:spacing w:after="300" w:line="340" w:lineRule="exact"/>
        <w:ind w:firstLine="567"/>
        <w:jc w:val="both"/>
        <w:rPr>
          <w:rFonts w:ascii="Arial" w:hAnsi="Arial" w:cs="Arial"/>
        </w:rPr>
      </w:pPr>
      <w:r>
        <w:rPr>
          <w:rFonts w:ascii="Arial" w:hAnsi="Arial"/>
        </w:rPr>
        <w:t xml:space="preserve">– Kontseilarien </w:t>
      </w:r>
      <w:proofErr w:type="spellStart"/>
      <w:r>
        <w:rPr>
          <w:rFonts w:ascii="Arial" w:hAnsi="Arial"/>
        </w:rPr>
        <w:t>kabineteburuak</w:t>
      </w:r>
      <w:proofErr w:type="spellEnd"/>
      <w:r>
        <w:rPr>
          <w:rFonts w:ascii="Arial" w:hAnsi="Arial"/>
        </w:rPr>
        <w:t>: 52.507,98. euro.</w:t>
      </w:r>
    </w:p>
    <w:p w:rsidR="003E6891" w:rsidRDefault="003E6891" w:rsidP="003E6891">
      <w:pPr>
        <w:keepLines/>
        <w:spacing w:after="300" w:line="340" w:lineRule="exact"/>
        <w:ind w:firstLine="567"/>
        <w:jc w:val="both"/>
        <w:rPr>
          <w:rFonts w:ascii="Arial" w:hAnsi="Arial" w:cs="Arial"/>
        </w:rPr>
      </w:pPr>
      <w:r>
        <w:rPr>
          <w:rFonts w:ascii="Arial" w:hAnsi="Arial"/>
        </w:rPr>
        <w:t>4. Nafarroako Foru Komunitateko Administrazioari buruzko abenduaren 3ko 15/2004 Foru Legearen 22.4  artikuluan ezarritakoari jarraikiz, zuzendari nagusiek 56.414,26 euroko ordainsariak izanen dituzte 2018. urtean, hamalau hilekotan banatuta, araudi indardunaren arabera funtzionarioei legozkiekeen gradu- eta antzinatasun-ordainsariez gainera.</w:t>
      </w:r>
    </w:p>
    <w:p w:rsidR="003E6891" w:rsidRDefault="003E6891" w:rsidP="003E6891">
      <w:pPr>
        <w:keepLines/>
        <w:spacing w:after="300" w:line="340" w:lineRule="exact"/>
        <w:ind w:firstLine="567"/>
        <w:jc w:val="both"/>
        <w:rPr>
          <w:rFonts w:ascii="Arial" w:hAnsi="Arial" w:cs="Arial"/>
        </w:rPr>
      </w:pPr>
      <w:r>
        <w:rPr>
          <w:rFonts w:ascii="Arial" w:hAnsi="Arial"/>
        </w:rPr>
        <w:t>5. Nafarroako Gobernuak Bruselan duen ordezkariak 76.925,24 euroko ordainsariak izanen ditu 2018. urtean, hamalau hilekotan banatuta, araudi indardunaren arabera funtzionarioei legozkiekeen gradu- eta antzinatasun-ordainsariez gainera.</w:t>
      </w:r>
    </w:p>
    <w:p w:rsidR="003E6891" w:rsidRDefault="003E6891" w:rsidP="003E6891">
      <w:pPr>
        <w:keepLines/>
        <w:spacing w:after="300" w:line="340" w:lineRule="exact"/>
        <w:ind w:firstLine="567"/>
        <w:jc w:val="both"/>
        <w:rPr>
          <w:rFonts w:ascii="Arial" w:hAnsi="Arial" w:cs="Arial"/>
        </w:rPr>
      </w:pPr>
      <w:r>
        <w:rPr>
          <w:rFonts w:ascii="Arial" w:hAnsi="Arial"/>
        </w:rPr>
        <w:t>6. Nafarroako Foru Komunitateko Administrazioari buruzko abenduaren 3ko 15/2004 Foru Legearen 109.1 artikuluan ezarritakoari jarraikiz, erakunde publikoetako zuzendariek 2018. urtean, ondotik zehazten diren ordainsariak izanen dituzte, hamalau hilekotan banatuta, araudi indardunaren arabera funtzionarioei legozkiekeen gradu- eta antzinatasun-ordainsariez gainera:</w:t>
      </w:r>
    </w:p>
    <w:p w:rsidR="003E6891" w:rsidRDefault="003E6891" w:rsidP="003E6891">
      <w:pPr>
        <w:keepLines/>
        <w:spacing w:after="300" w:line="340" w:lineRule="exact"/>
        <w:ind w:firstLine="567"/>
        <w:jc w:val="both"/>
        <w:rPr>
          <w:rFonts w:ascii="Arial" w:hAnsi="Arial" w:cs="Arial"/>
        </w:rPr>
      </w:pPr>
      <w:r>
        <w:rPr>
          <w:rFonts w:ascii="Arial" w:hAnsi="Arial"/>
        </w:rPr>
        <w:t>a) Erakunde autonomo bateko zuzendari kudeatzailea, ondoko b), c) eta d) apartatuetan xedatutakoa salbu: 56.414,26 euro.</w:t>
      </w:r>
    </w:p>
    <w:p w:rsidR="003E6891" w:rsidRDefault="003E6891" w:rsidP="003E6891">
      <w:pPr>
        <w:keepLines/>
        <w:spacing w:after="300" w:line="340" w:lineRule="exact"/>
        <w:ind w:firstLine="567"/>
        <w:jc w:val="both"/>
        <w:rPr>
          <w:rFonts w:ascii="Arial" w:hAnsi="Arial" w:cs="Arial"/>
        </w:rPr>
      </w:pPr>
      <w:r>
        <w:rPr>
          <w:rFonts w:ascii="Arial" w:hAnsi="Arial"/>
        </w:rPr>
        <w:t xml:space="preserve">b) </w:t>
      </w:r>
      <w:proofErr w:type="spellStart"/>
      <w:r>
        <w:rPr>
          <w:rFonts w:ascii="Arial" w:hAnsi="Arial"/>
        </w:rPr>
        <w:t>Osasunbidea-Nafarroako</w:t>
      </w:r>
      <w:proofErr w:type="spellEnd"/>
      <w:r>
        <w:rPr>
          <w:rFonts w:ascii="Arial" w:hAnsi="Arial"/>
        </w:rPr>
        <w:t xml:space="preserve"> Osasun Zerbitzuko eta Nafarroako Zerga Ogasuneko zuzendari kudeatzaileak: 87.162,88. euro.</w:t>
      </w:r>
    </w:p>
    <w:p w:rsidR="003E6891" w:rsidRDefault="003E6891" w:rsidP="003E6891">
      <w:pPr>
        <w:keepLines/>
        <w:spacing w:after="300" w:line="340" w:lineRule="exact"/>
        <w:ind w:firstLine="567"/>
        <w:jc w:val="both"/>
        <w:rPr>
          <w:rFonts w:ascii="Arial" w:hAnsi="Arial" w:cs="Arial"/>
        </w:rPr>
      </w:pPr>
      <w:r>
        <w:rPr>
          <w:rFonts w:ascii="Arial" w:hAnsi="Arial"/>
        </w:rPr>
        <w:t>c) Nafarroako Enplegu Zerbitzuko zuzendari kudeatzailea: 66.643,78 euro.</w:t>
      </w:r>
    </w:p>
    <w:p w:rsidR="003E6891" w:rsidRDefault="003E6891" w:rsidP="003E6891">
      <w:pPr>
        <w:keepLines/>
        <w:spacing w:after="300" w:line="340" w:lineRule="exact"/>
        <w:ind w:firstLine="567"/>
        <w:jc w:val="both"/>
        <w:rPr>
          <w:rFonts w:ascii="Arial" w:hAnsi="Arial" w:cs="Arial"/>
        </w:rPr>
      </w:pPr>
      <w:r>
        <w:rPr>
          <w:rFonts w:ascii="Arial" w:hAnsi="Arial"/>
        </w:rPr>
        <w:t>d) Pertsonen Autonomiarako eta Garapenerako Nafarroako Agentziako zuzendari kudeatzailea: 55.120,10 euro.</w:t>
      </w:r>
    </w:p>
    <w:p w:rsidR="003E6891" w:rsidRDefault="003E6891" w:rsidP="003E6891">
      <w:pPr>
        <w:keepLines/>
        <w:spacing w:after="300" w:line="340" w:lineRule="exact"/>
        <w:ind w:firstLine="567"/>
        <w:jc w:val="both"/>
        <w:rPr>
          <w:rFonts w:ascii="Arial" w:hAnsi="Arial" w:cs="Arial"/>
        </w:rPr>
      </w:pPr>
      <w:r>
        <w:rPr>
          <w:rFonts w:ascii="Arial" w:hAnsi="Arial"/>
        </w:rPr>
        <w:t>e) Erakunde autonomo bateko zuzendariordea: 51.514,68 euro.</w:t>
      </w:r>
    </w:p>
    <w:p w:rsidR="003E6891" w:rsidRDefault="003E6891" w:rsidP="003E6891">
      <w:pPr>
        <w:keepLines/>
        <w:spacing w:after="300" w:line="340" w:lineRule="exact"/>
        <w:ind w:firstLine="567"/>
        <w:jc w:val="both"/>
        <w:rPr>
          <w:rFonts w:ascii="Arial" w:hAnsi="Arial" w:cs="Arial"/>
        </w:rPr>
      </w:pPr>
      <w:r>
        <w:rPr>
          <w:rFonts w:ascii="Arial" w:hAnsi="Arial"/>
        </w:rPr>
        <w:t xml:space="preserve">f) </w:t>
      </w:r>
      <w:proofErr w:type="spellStart"/>
      <w:r>
        <w:rPr>
          <w:rFonts w:ascii="Arial" w:hAnsi="Arial"/>
        </w:rPr>
        <w:t>Osasunbidea-Nafarroako</w:t>
      </w:r>
      <w:proofErr w:type="spellEnd"/>
      <w:r>
        <w:rPr>
          <w:rFonts w:ascii="Arial" w:hAnsi="Arial"/>
        </w:rPr>
        <w:t xml:space="preserve"> Osasun Zerbitzuko zuzendaritzako kideak:</w:t>
      </w:r>
    </w:p>
    <w:p w:rsidR="003E6891" w:rsidRDefault="003E6891" w:rsidP="003E6891">
      <w:pPr>
        <w:keepLines/>
        <w:spacing w:after="300" w:line="340" w:lineRule="exact"/>
        <w:ind w:firstLine="567"/>
        <w:jc w:val="both"/>
        <w:rPr>
          <w:rFonts w:ascii="Arial" w:hAnsi="Arial" w:cs="Arial"/>
        </w:rPr>
      </w:pPr>
      <w:r>
        <w:rPr>
          <w:rFonts w:ascii="Arial" w:hAnsi="Arial"/>
        </w:rPr>
        <w:t xml:space="preserve">– Oinarrizko Osasun Laguntzako kudeatzailea, Nafarroako </w:t>
      </w:r>
      <w:proofErr w:type="spellStart"/>
      <w:r>
        <w:rPr>
          <w:rFonts w:ascii="Arial" w:hAnsi="Arial"/>
        </w:rPr>
        <w:t>Ospitaleguneko</w:t>
      </w:r>
      <w:proofErr w:type="spellEnd"/>
      <w:r>
        <w:rPr>
          <w:rFonts w:ascii="Arial" w:hAnsi="Arial"/>
        </w:rPr>
        <w:t xml:space="preserve"> kudeatzailea, Profesionalen zuzendaria, Kudeaketa Ekonomikoaren eta Zerbitzu Orokorren zuzendaria eta Eriaren Osasun Laguntzarako zuzendaria: 66.605,00 euro.</w:t>
      </w:r>
    </w:p>
    <w:p w:rsidR="003E6891" w:rsidRDefault="003E6891" w:rsidP="003E6891">
      <w:pPr>
        <w:keepLines/>
        <w:spacing w:after="300" w:line="340" w:lineRule="exact"/>
        <w:ind w:firstLine="567"/>
        <w:jc w:val="both"/>
        <w:rPr>
          <w:rFonts w:ascii="Arial" w:hAnsi="Arial" w:cs="Arial"/>
        </w:rPr>
      </w:pPr>
      <w:r>
        <w:rPr>
          <w:rFonts w:ascii="Arial" w:hAnsi="Arial"/>
        </w:rPr>
        <w:lastRenderedPageBreak/>
        <w:t xml:space="preserve">– Tuterako Osasun Barrutiko kudeatzailea, Lizarrako Osasun Barrutiko kudeatzailea eta Nafarroako </w:t>
      </w:r>
      <w:proofErr w:type="spellStart"/>
      <w:r>
        <w:rPr>
          <w:rFonts w:ascii="Arial" w:hAnsi="Arial"/>
        </w:rPr>
        <w:t>Ospitaleguneko</w:t>
      </w:r>
      <w:proofErr w:type="spellEnd"/>
      <w:r>
        <w:rPr>
          <w:rFonts w:ascii="Arial" w:hAnsi="Arial"/>
        </w:rPr>
        <w:t xml:space="preserve"> zuzendari </w:t>
      </w:r>
      <w:proofErr w:type="spellStart"/>
      <w:r>
        <w:rPr>
          <w:rFonts w:ascii="Arial" w:hAnsi="Arial"/>
        </w:rPr>
        <w:t>asistentziala</w:t>
      </w:r>
      <w:proofErr w:type="spellEnd"/>
      <w:r>
        <w:rPr>
          <w:rFonts w:ascii="Arial" w:hAnsi="Arial"/>
        </w:rPr>
        <w:t>: 58.216,48 euro.</w:t>
      </w:r>
    </w:p>
    <w:p w:rsidR="003E6891" w:rsidRDefault="003E6891" w:rsidP="003E6891">
      <w:pPr>
        <w:keepLines/>
        <w:spacing w:after="300" w:line="340" w:lineRule="exact"/>
        <w:ind w:firstLine="567"/>
        <w:jc w:val="both"/>
        <w:rPr>
          <w:rFonts w:ascii="Arial" w:hAnsi="Arial" w:cs="Arial"/>
        </w:rPr>
      </w:pPr>
      <w:r>
        <w:rPr>
          <w:rFonts w:ascii="Arial" w:hAnsi="Arial"/>
        </w:rPr>
        <w:t xml:space="preserve">– Osasun Mentaleko kudeatzailea, Nafarroako Odol eta Ehun Bankuko zuzendaria, Nafarroako </w:t>
      </w:r>
      <w:proofErr w:type="spellStart"/>
      <w:r>
        <w:rPr>
          <w:rFonts w:ascii="Arial" w:hAnsi="Arial"/>
        </w:rPr>
        <w:t>Ospitaleguneko</w:t>
      </w:r>
      <w:proofErr w:type="spellEnd"/>
      <w:r>
        <w:rPr>
          <w:rFonts w:ascii="Arial" w:hAnsi="Arial"/>
        </w:rPr>
        <w:t xml:space="preserve"> zuzendariorde </w:t>
      </w:r>
      <w:proofErr w:type="spellStart"/>
      <w:r>
        <w:rPr>
          <w:rFonts w:ascii="Arial" w:hAnsi="Arial"/>
        </w:rPr>
        <w:t>asistentzialak</w:t>
      </w:r>
      <w:proofErr w:type="spellEnd"/>
      <w:r>
        <w:rPr>
          <w:rFonts w:ascii="Arial" w:hAnsi="Arial"/>
        </w:rPr>
        <w:t xml:space="preserve">, Tuterako eta Lizarrako osasun barrutietako zuzendari </w:t>
      </w:r>
      <w:proofErr w:type="spellStart"/>
      <w:r>
        <w:rPr>
          <w:rFonts w:ascii="Arial" w:hAnsi="Arial"/>
        </w:rPr>
        <w:t>asistentzialak</w:t>
      </w:r>
      <w:proofErr w:type="spellEnd"/>
      <w:r>
        <w:rPr>
          <w:rFonts w:ascii="Arial" w:hAnsi="Arial"/>
        </w:rPr>
        <w:t xml:space="preserve"> eta Oinarrizko Osasun Laguntzako zuzendariordea eta Laguntzaren Jarraitutasunerako zuzendariordea: 56.696,78 euro.</w:t>
      </w:r>
    </w:p>
    <w:p w:rsidR="003E6891" w:rsidRDefault="003E6891" w:rsidP="003E6891">
      <w:pPr>
        <w:keepLines/>
        <w:spacing w:after="300" w:line="340" w:lineRule="exact"/>
        <w:ind w:firstLine="567"/>
        <w:jc w:val="both"/>
        <w:rPr>
          <w:rFonts w:ascii="Arial" w:hAnsi="Arial" w:cs="Arial"/>
        </w:rPr>
      </w:pPr>
      <w:r>
        <w:rPr>
          <w:rFonts w:ascii="Arial" w:hAnsi="Arial"/>
        </w:rPr>
        <w:t>– Zerbitzu Zentraletako zuzendariordeak: 55.672,54 euro.</w:t>
      </w:r>
    </w:p>
    <w:p w:rsidR="003E6891" w:rsidRDefault="003E6891" w:rsidP="003E6891">
      <w:pPr>
        <w:keepLines/>
        <w:spacing w:after="300" w:line="340" w:lineRule="exact"/>
        <w:ind w:firstLine="567"/>
        <w:jc w:val="both"/>
        <w:rPr>
          <w:rFonts w:ascii="Arial" w:hAnsi="Arial" w:cs="Arial"/>
        </w:rPr>
      </w:pPr>
      <w:r>
        <w:rPr>
          <w:rFonts w:ascii="Arial" w:hAnsi="Arial"/>
        </w:rPr>
        <w:t xml:space="preserve">– Nafarroako </w:t>
      </w:r>
      <w:proofErr w:type="spellStart"/>
      <w:r>
        <w:rPr>
          <w:rFonts w:ascii="Arial" w:hAnsi="Arial"/>
        </w:rPr>
        <w:t>Ospitaleguneko</w:t>
      </w:r>
      <w:proofErr w:type="spellEnd"/>
      <w:r>
        <w:rPr>
          <w:rFonts w:ascii="Arial" w:hAnsi="Arial"/>
        </w:rPr>
        <w:t xml:space="preserve"> Profesionalen zuzendaria, Kudeaketa Ekonomikoaren eta Zerbitzu Orokorren zuzendaria eta Osasun Zainketen zuzendaria: 53.153,10 euro.</w:t>
      </w:r>
    </w:p>
    <w:p w:rsidR="003E6891" w:rsidRDefault="003E6891" w:rsidP="003E6891">
      <w:pPr>
        <w:keepLines/>
        <w:spacing w:after="300" w:line="340" w:lineRule="exact"/>
        <w:ind w:firstLine="567"/>
        <w:jc w:val="both"/>
        <w:rPr>
          <w:rFonts w:ascii="Arial" w:hAnsi="Arial" w:cs="Arial"/>
        </w:rPr>
      </w:pPr>
      <w:r>
        <w:rPr>
          <w:rFonts w:ascii="Arial" w:hAnsi="Arial"/>
        </w:rPr>
        <w:t xml:space="preserve">– Nafarroako Laguntza </w:t>
      </w:r>
      <w:proofErr w:type="spellStart"/>
      <w:r>
        <w:rPr>
          <w:rFonts w:ascii="Arial" w:hAnsi="Arial"/>
        </w:rPr>
        <w:t>Soziosanitarioko</w:t>
      </w:r>
      <w:proofErr w:type="spellEnd"/>
      <w:r>
        <w:rPr>
          <w:rFonts w:ascii="Arial" w:hAnsi="Arial"/>
        </w:rPr>
        <w:t xml:space="preserve"> Planaren koordinatzailea eta Nafarroako </w:t>
      </w:r>
      <w:proofErr w:type="spellStart"/>
      <w:r>
        <w:rPr>
          <w:rFonts w:ascii="Arial" w:hAnsi="Arial"/>
        </w:rPr>
        <w:t>Ospitaleguneko</w:t>
      </w:r>
      <w:proofErr w:type="spellEnd"/>
      <w:r>
        <w:rPr>
          <w:rFonts w:ascii="Arial" w:hAnsi="Arial"/>
        </w:rPr>
        <w:t xml:space="preserve"> zainketa sanitarioen zuzendariordeak: 48.161,26 euro.</w:t>
      </w:r>
    </w:p>
    <w:p w:rsidR="003E6891" w:rsidRDefault="003E6891" w:rsidP="003E6891">
      <w:pPr>
        <w:keepLines/>
        <w:spacing w:after="300" w:line="340" w:lineRule="exact"/>
        <w:ind w:firstLine="567"/>
        <w:jc w:val="both"/>
        <w:rPr>
          <w:rFonts w:ascii="Arial" w:hAnsi="Arial" w:cs="Arial"/>
        </w:rPr>
      </w:pPr>
      <w:r>
        <w:rPr>
          <w:rFonts w:ascii="Arial" w:hAnsi="Arial"/>
        </w:rPr>
        <w:t>7. Lehendakariaren eta Nafarroako Gobernua osatzen duten kideen kabineteetako gainontzeko behin-behineko langileek ondoren zehazten diren urteko ordainsariak izanen dituzte 2018. urtean, hamalau hilekotan banatuta, araudi indardunaren arabera legozkiekeen gradu- eta antzinatasun-ordainsariez gainera:</w:t>
      </w:r>
    </w:p>
    <w:p w:rsidR="003E6891" w:rsidRDefault="003E6891" w:rsidP="003E6891">
      <w:pPr>
        <w:keepLines/>
        <w:spacing w:after="300" w:line="340" w:lineRule="exact"/>
        <w:ind w:firstLine="567"/>
        <w:jc w:val="both"/>
        <w:rPr>
          <w:rFonts w:ascii="Arial" w:hAnsi="Arial" w:cs="Arial"/>
        </w:rPr>
      </w:pPr>
      <w:r>
        <w:rPr>
          <w:rFonts w:ascii="Arial" w:hAnsi="Arial"/>
        </w:rPr>
        <w:t>– Lehendakariaren idazkaria: 34.831,58 euro.</w:t>
      </w:r>
    </w:p>
    <w:p w:rsidR="003E6891" w:rsidRDefault="003E6891" w:rsidP="003E6891">
      <w:pPr>
        <w:keepLines/>
        <w:spacing w:after="300" w:line="340" w:lineRule="exact"/>
        <w:ind w:firstLine="567"/>
        <w:jc w:val="both"/>
        <w:rPr>
          <w:rFonts w:ascii="Arial" w:hAnsi="Arial" w:cs="Arial"/>
        </w:rPr>
      </w:pPr>
      <w:r>
        <w:rPr>
          <w:rFonts w:ascii="Arial" w:hAnsi="Arial"/>
        </w:rPr>
        <w:t>– Kontseilariaren idazkaria: 31.749,20. euro.</w:t>
      </w:r>
    </w:p>
    <w:p w:rsidR="003E6891" w:rsidRDefault="003E6891" w:rsidP="003E6891">
      <w:pPr>
        <w:keepLines/>
        <w:spacing w:after="300" w:line="340" w:lineRule="exact"/>
        <w:ind w:firstLine="567"/>
        <w:jc w:val="both"/>
        <w:rPr>
          <w:rFonts w:ascii="Arial" w:hAnsi="Arial" w:cs="Arial"/>
        </w:rPr>
      </w:pPr>
      <w:r>
        <w:rPr>
          <w:rFonts w:ascii="Arial" w:hAnsi="Arial"/>
        </w:rPr>
        <w:t>– Kabineteko laguntzailea: 27.808,20 euro.</w:t>
      </w:r>
    </w:p>
    <w:p w:rsidR="003E6891" w:rsidRDefault="003E6891" w:rsidP="003E6891">
      <w:pPr>
        <w:keepLines/>
        <w:spacing w:after="300" w:line="340" w:lineRule="exact"/>
        <w:ind w:firstLine="567"/>
        <w:jc w:val="both"/>
        <w:rPr>
          <w:rFonts w:ascii="Arial" w:hAnsi="Arial" w:cs="Arial"/>
        </w:rPr>
      </w:pPr>
      <w:r>
        <w:rPr>
          <w:rFonts w:ascii="Arial" w:hAnsi="Arial"/>
        </w:rPr>
        <w:t>8. Aurreko apartatuetan araututako behin-behineko langileek, funtzionario ez direnek, Nafarroako administrazio publikoetako funtzionarioei dagokien antzinatasun-saria jasoko dute, eta horretarako, kontuan hartuko da behin-behineko lanpostuetan lanean emandako denbora.</w:t>
      </w:r>
    </w:p>
    <w:p w:rsidR="003E6891" w:rsidRDefault="003E6891" w:rsidP="003E6891">
      <w:pPr>
        <w:keepLines/>
        <w:spacing w:after="300" w:line="340" w:lineRule="exact"/>
        <w:ind w:firstLine="567"/>
        <w:jc w:val="both"/>
        <w:rPr>
          <w:rFonts w:ascii="Arial" w:hAnsi="Arial" w:cs="Arial"/>
        </w:rPr>
      </w:pPr>
      <w:r>
        <w:rPr>
          <w:rFonts w:ascii="Arial" w:hAnsi="Arial"/>
        </w:rPr>
        <w:t>9. Nafarroako Enpresa Korporazio Publikoan sartuta dauden Nafarroako Foru Komunitateko Administrazioko sozietate publikoetako zuzendaritza-kideek, goi kargudunaren izaera dutenek, ordainsari hauek izanen dituzte 2018an:</w:t>
      </w:r>
    </w:p>
    <w:p w:rsidR="003E6891" w:rsidRDefault="003E6891" w:rsidP="003E6891">
      <w:pPr>
        <w:keepLines/>
        <w:spacing w:after="300" w:line="340" w:lineRule="exact"/>
        <w:ind w:firstLine="567"/>
        <w:jc w:val="both"/>
        <w:rPr>
          <w:rFonts w:ascii="Arial" w:hAnsi="Arial" w:cs="Arial"/>
        </w:rPr>
      </w:pPr>
      <w:r>
        <w:rPr>
          <w:rFonts w:ascii="Arial" w:hAnsi="Arial"/>
        </w:rPr>
        <w:lastRenderedPageBreak/>
        <w:t>Zuzendari kudeatzaileentzat, urteko oinarrizko ordainsari gordina, hamalau hilekotan banatuta, 55.550 eurokoa izanen da. Urteko ordainsari hori doitu eginen da kudeatu beharreko enpresa publikoaren konplexutasunaren arabera, taula honi jarraituz:</w:t>
      </w:r>
    </w:p>
    <w:tbl>
      <w:tblPr>
        <w:tblW w:w="6095" w:type="dxa"/>
        <w:jc w:val="center"/>
        <w:tblInd w:w="-224" w:type="dxa"/>
        <w:tblLook w:val="04A0" w:firstRow="1" w:lastRow="0" w:firstColumn="1" w:lastColumn="0" w:noHBand="0" w:noVBand="1"/>
      </w:tblPr>
      <w:tblGrid>
        <w:gridCol w:w="1623"/>
        <w:gridCol w:w="2287"/>
        <w:gridCol w:w="2185"/>
      </w:tblGrid>
      <w:tr w:rsidR="003E6891" w:rsidRPr="002225AD" w:rsidTr="002225AD">
        <w:trPr>
          <w:jc w:val="center"/>
        </w:trPr>
        <w:tc>
          <w:tcPr>
            <w:tcW w:w="1623" w:type="dxa"/>
            <w:tcBorders>
              <w:top w:val="double" w:sz="6" w:space="0" w:color="000000"/>
              <w:left w:val="double" w:sz="6" w:space="0" w:color="000000"/>
              <w:bottom w:val="double" w:sz="6" w:space="0" w:color="000000"/>
              <w:right w:val="double" w:sz="6" w:space="0" w:color="000000"/>
            </w:tcBorders>
            <w:shd w:val="clear" w:color="auto" w:fill="C6D9F1" w:themeFill="text2" w:themeFillTint="33"/>
            <w:noWrap/>
            <w:tcMar>
              <w:top w:w="15" w:type="dxa"/>
              <w:left w:w="15" w:type="dxa"/>
              <w:bottom w:w="15" w:type="dxa"/>
              <w:right w:w="15" w:type="dxa"/>
            </w:tcMar>
            <w:vAlign w:val="center"/>
            <w:hideMark/>
          </w:tcPr>
          <w:p w:rsidR="003E6891" w:rsidRPr="002225AD" w:rsidRDefault="003E6891" w:rsidP="002225AD">
            <w:pPr>
              <w:keepLines/>
              <w:spacing w:before="20" w:after="20"/>
              <w:jc w:val="center"/>
              <w:rPr>
                <w:rFonts w:asciiTheme="minorHAnsi" w:hAnsiTheme="minorHAnsi" w:cs="Arial"/>
                <w:b/>
                <w:sz w:val="18"/>
                <w:szCs w:val="18"/>
              </w:rPr>
            </w:pPr>
            <w:r w:rsidRPr="002225AD">
              <w:rPr>
                <w:rFonts w:asciiTheme="minorHAnsi" w:hAnsiTheme="minorHAnsi"/>
                <w:b/>
                <w:sz w:val="18"/>
                <w:szCs w:val="18"/>
              </w:rPr>
              <w:t>SOZIETATE MOTA</w:t>
            </w:r>
          </w:p>
        </w:tc>
        <w:tc>
          <w:tcPr>
            <w:tcW w:w="2287" w:type="dxa"/>
            <w:tcBorders>
              <w:top w:val="double" w:sz="6" w:space="0" w:color="000000"/>
              <w:left w:val="double" w:sz="6" w:space="0" w:color="000000"/>
              <w:bottom w:val="double" w:sz="6" w:space="0" w:color="000000"/>
              <w:right w:val="double" w:sz="6" w:space="0" w:color="000000"/>
            </w:tcBorders>
            <w:shd w:val="clear" w:color="auto" w:fill="C6D9F1" w:themeFill="text2" w:themeFillTint="33"/>
            <w:tcMar>
              <w:top w:w="15" w:type="dxa"/>
              <w:left w:w="15" w:type="dxa"/>
              <w:bottom w:w="15" w:type="dxa"/>
              <w:right w:w="15" w:type="dxa"/>
            </w:tcMar>
            <w:vAlign w:val="center"/>
            <w:hideMark/>
          </w:tcPr>
          <w:p w:rsidR="003E6891" w:rsidRPr="002225AD" w:rsidRDefault="003E6891" w:rsidP="002225AD">
            <w:pPr>
              <w:keepLines/>
              <w:spacing w:before="20" w:after="20"/>
              <w:jc w:val="center"/>
              <w:rPr>
                <w:rFonts w:asciiTheme="minorHAnsi" w:hAnsiTheme="minorHAnsi" w:cs="Arial"/>
                <w:b/>
                <w:sz w:val="18"/>
                <w:szCs w:val="18"/>
              </w:rPr>
            </w:pPr>
            <w:r w:rsidRPr="002225AD">
              <w:rPr>
                <w:rFonts w:asciiTheme="minorHAnsi" w:hAnsiTheme="minorHAnsi"/>
                <w:b/>
                <w:sz w:val="18"/>
                <w:szCs w:val="18"/>
              </w:rPr>
              <w:t>KONPLEXUTASUNAREN ARABERAKO OSAGARRIA</w:t>
            </w:r>
          </w:p>
        </w:tc>
        <w:tc>
          <w:tcPr>
            <w:tcW w:w="2185" w:type="dxa"/>
            <w:tcBorders>
              <w:top w:val="double" w:sz="6" w:space="0" w:color="000000"/>
              <w:left w:val="double" w:sz="6" w:space="0" w:color="000000"/>
              <w:bottom w:val="double" w:sz="6" w:space="0" w:color="000000"/>
              <w:right w:val="double" w:sz="6" w:space="0" w:color="000000"/>
            </w:tcBorders>
            <w:shd w:val="clear" w:color="auto" w:fill="C6D9F1" w:themeFill="text2" w:themeFillTint="33"/>
            <w:tcMar>
              <w:top w:w="15" w:type="dxa"/>
              <w:left w:w="15" w:type="dxa"/>
              <w:bottom w:w="15" w:type="dxa"/>
              <w:right w:w="15" w:type="dxa"/>
            </w:tcMar>
            <w:vAlign w:val="center"/>
            <w:hideMark/>
          </w:tcPr>
          <w:p w:rsidR="003E6891" w:rsidRPr="002225AD" w:rsidRDefault="003E6891" w:rsidP="002225AD">
            <w:pPr>
              <w:keepLines/>
              <w:spacing w:before="20" w:after="20"/>
              <w:jc w:val="center"/>
              <w:rPr>
                <w:rFonts w:asciiTheme="minorHAnsi" w:hAnsiTheme="minorHAnsi" w:cs="Arial"/>
                <w:b/>
                <w:sz w:val="18"/>
                <w:szCs w:val="18"/>
              </w:rPr>
            </w:pPr>
            <w:r w:rsidRPr="002225AD">
              <w:rPr>
                <w:rFonts w:asciiTheme="minorHAnsi" w:hAnsiTheme="minorHAnsi"/>
                <w:b/>
                <w:sz w:val="18"/>
                <w:szCs w:val="18"/>
              </w:rPr>
              <w:t>URTEKO OINARRIZKO SOLDATA GORDINA, EUROTAN</w:t>
            </w:r>
          </w:p>
        </w:tc>
      </w:tr>
      <w:tr w:rsidR="003E6891" w:rsidRPr="002225AD" w:rsidTr="002225AD">
        <w:trPr>
          <w:jc w:val="center"/>
        </w:trPr>
        <w:tc>
          <w:tcPr>
            <w:tcW w:w="1623" w:type="dxa"/>
            <w:tcBorders>
              <w:top w:val="double" w:sz="6" w:space="0" w:color="000000"/>
              <w:left w:val="double" w:sz="6" w:space="0" w:color="000000"/>
              <w:bottom w:val="double" w:sz="6" w:space="0" w:color="000000"/>
              <w:right w:val="double" w:sz="6" w:space="0" w:color="000000"/>
            </w:tcBorders>
            <w:tcMar>
              <w:top w:w="15" w:type="dxa"/>
              <w:left w:w="15" w:type="dxa"/>
              <w:bottom w:w="15" w:type="dxa"/>
              <w:right w:w="15" w:type="dxa"/>
            </w:tcMar>
            <w:vAlign w:val="center"/>
            <w:hideMark/>
          </w:tcPr>
          <w:p w:rsidR="003E6891" w:rsidRPr="002225AD" w:rsidRDefault="003E6891" w:rsidP="002225AD">
            <w:pPr>
              <w:keepLines/>
              <w:spacing w:before="20" w:after="20"/>
              <w:jc w:val="center"/>
              <w:rPr>
                <w:rFonts w:asciiTheme="minorHAnsi" w:hAnsiTheme="minorHAnsi" w:cs="Arial"/>
                <w:sz w:val="18"/>
                <w:szCs w:val="18"/>
              </w:rPr>
            </w:pPr>
            <w:r w:rsidRPr="002225AD">
              <w:rPr>
                <w:rFonts w:asciiTheme="minorHAnsi" w:hAnsiTheme="minorHAnsi"/>
                <w:sz w:val="18"/>
                <w:szCs w:val="18"/>
              </w:rPr>
              <w:t>D</w:t>
            </w:r>
          </w:p>
        </w:tc>
        <w:tc>
          <w:tcPr>
            <w:tcW w:w="2287" w:type="dxa"/>
            <w:tcBorders>
              <w:top w:val="double" w:sz="6" w:space="0" w:color="000000"/>
              <w:left w:val="double" w:sz="6" w:space="0" w:color="000000"/>
              <w:bottom w:val="double" w:sz="6" w:space="0" w:color="000000"/>
              <w:right w:val="double" w:sz="6" w:space="0" w:color="000000"/>
            </w:tcBorders>
            <w:tcMar>
              <w:top w:w="15" w:type="dxa"/>
              <w:left w:w="15" w:type="dxa"/>
              <w:bottom w:w="15" w:type="dxa"/>
              <w:right w:w="15" w:type="dxa"/>
            </w:tcMar>
            <w:vAlign w:val="center"/>
            <w:hideMark/>
          </w:tcPr>
          <w:p w:rsidR="003E6891" w:rsidRPr="002225AD" w:rsidRDefault="003E6891" w:rsidP="002225AD">
            <w:pPr>
              <w:keepLines/>
              <w:spacing w:before="20" w:after="20"/>
              <w:jc w:val="center"/>
              <w:rPr>
                <w:rFonts w:asciiTheme="minorHAnsi" w:hAnsiTheme="minorHAnsi" w:cs="Arial"/>
                <w:sz w:val="18"/>
                <w:szCs w:val="18"/>
              </w:rPr>
            </w:pPr>
            <w:r w:rsidRPr="002225AD">
              <w:rPr>
                <w:rFonts w:asciiTheme="minorHAnsi" w:hAnsiTheme="minorHAnsi"/>
                <w:sz w:val="18"/>
                <w:szCs w:val="18"/>
              </w:rPr>
              <w:t>% 0</w:t>
            </w:r>
          </w:p>
        </w:tc>
        <w:tc>
          <w:tcPr>
            <w:tcW w:w="2185" w:type="dxa"/>
            <w:tcBorders>
              <w:top w:val="double" w:sz="6" w:space="0" w:color="000000"/>
              <w:left w:val="double" w:sz="6" w:space="0" w:color="000000"/>
              <w:bottom w:val="double" w:sz="6" w:space="0" w:color="000000"/>
              <w:right w:val="double" w:sz="6" w:space="0" w:color="000000"/>
            </w:tcBorders>
            <w:tcMar>
              <w:top w:w="15" w:type="dxa"/>
              <w:left w:w="15" w:type="dxa"/>
              <w:bottom w:w="15" w:type="dxa"/>
              <w:right w:w="15" w:type="dxa"/>
            </w:tcMar>
            <w:vAlign w:val="center"/>
            <w:hideMark/>
          </w:tcPr>
          <w:p w:rsidR="003E6891" w:rsidRPr="002225AD" w:rsidRDefault="003E6891" w:rsidP="002225AD">
            <w:pPr>
              <w:keepLines/>
              <w:spacing w:before="20" w:after="20"/>
              <w:jc w:val="center"/>
              <w:rPr>
                <w:rFonts w:asciiTheme="minorHAnsi" w:hAnsiTheme="minorHAnsi" w:cs="Arial"/>
                <w:sz w:val="18"/>
                <w:szCs w:val="18"/>
              </w:rPr>
            </w:pPr>
            <w:r w:rsidRPr="002225AD">
              <w:rPr>
                <w:rFonts w:asciiTheme="minorHAnsi" w:hAnsiTheme="minorHAnsi"/>
                <w:sz w:val="18"/>
                <w:szCs w:val="18"/>
              </w:rPr>
              <w:t>55.550,00</w:t>
            </w:r>
          </w:p>
        </w:tc>
      </w:tr>
      <w:tr w:rsidR="003E6891" w:rsidRPr="002225AD" w:rsidTr="002225AD">
        <w:trPr>
          <w:jc w:val="center"/>
        </w:trPr>
        <w:tc>
          <w:tcPr>
            <w:tcW w:w="1623" w:type="dxa"/>
            <w:tcBorders>
              <w:top w:val="double" w:sz="6" w:space="0" w:color="000000"/>
              <w:left w:val="double" w:sz="6" w:space="0" w:color="000000"/>
              <w:bottom w:val="double" w:sz="6" w:space="0" w:color="000000"/>
              <w:right w:val="double" w:sz="6" w:space="0" w:color="000000"/>
            </w:tcBorders>
            <w:tcMar>
              <w:top w:w="15" w:type="dxa"/>
              <w:left w:w="15" w:type="dxa"/>
              <w:bottom w:w="15" w:type="dxa"/>
              <w:right w:w="15" w:type="dxa"/>
            </w:tcMar>
            <w:vAlign w:val="center"/>
            <w:hideMark/>
          </w:tcPr>
          <w:p w:rsidR="003E6891" w:rsidRPr="002225AD" w:rsidRDefault="003E6891" w:rsidP="002225AD">
            <w:pPr>
              <w:keepLines/>
              <w:spacing w:before="20" w:after="20"/>
              <w:jc w:val="center"/>
              <w:rPr>
                <w:rFonts w:asciiTheme="minorHAnsi" w:hAnsiTheme="minorHAnsi" w:cs="Arial"/>
                <w:sz w:val="18"/>
                <w:szCs w:val="18"/>
              </w:rPr>
            </w:pPr>
            <w:r w:rsidRPr="002225AD">
              <w:rPr>
                <w:rFonts w:asciiTheme="minorHAnsi" w:hAnsiTheme="minorHAnsi"/>
                <w:sz w:val="18"/>
                <w:szCs w:val="18"/>
              </w:rPr>
              <w:t>C</w:t>
            </w:r>
          </w:p>
        </w:tc>
        <w:tc>
          <w:tcPr>
            <w:tcW w:w="2287" w:type="dxa"/>
            <w:tcBorders>
              <w:top w:val="double" w:sz="6" w:space="0" w:color="000000"/>
              <w:left w:val="double" w:sz="6" w:space="0" w:color="000000"/>
              <w:bottom w:val="double" w:sz="6" w:space="0" w:color="000000"/>
              <w:right w:val="double" w:sz="6" w:space="0" w:color="000000"/>
            </w:tcBorders>
            <w:tcMar>
              <w:top w:w="15" w:type="dxa"/>
              <w:left w:w="15" w:type="dxa"/>
              <w:bottom w:w="15" w:type="dxa"/>
              <w:right w:w="15" w:type="dxa"/>
            </w:tcMar>
            <w:vAlign w:val="center"/>
            <w:hideMark/>
          </w:tcPr>
          <w:p w:rsidR="003E6891" w:rsidRPr="002225AD" w:rsidRDefault="003E6891" w:rsidP="002225AD">
            <w:pPr>
              <w:keepLines/>
              <w:spacing w:before="20" w:after="20"/>
              <w:jc w:val="center"/>
              <w:rPr>
                <w:rFonts w:asciiTheme="minorHAnsi" w:hAnsiTheme="minorHAnsi" w:cs="Arial"/>
                <w:sz w:val="18"/>
                <w:szCs w:val="18"/>
              </w:rPr>
            </w:pPr>
            <w:r w:rsidRPr="002225AD">
              <w:rPr>
                <w:rFonts w:asciiTheme="minorHAnsi" w:hAnsiTheme="minorHAnsi"/>
                <w:sz w:val="18"/>
                <w:szCs w:val="18"/>
              </w:rPr>
              <w:t>% 10</w:t>
            </w:r>
          </w:p>
        </w:tc>
        <w:tc>
          <w:tcPr>
            <w:tcW w:w="2185" w:type="dxa"/>
            <w:tcBorders>
              <w:top w:val="double" w:sz="6" w:space="0" w:color="000000"/>
              <w:left w:val="double" w:sz="6" w:space="0" w:color="000000"/>
              <w:bottom w:val="double" w:sz="6" w:space="0" w:color="000000"/>
              <w:right w:val="double" w:sz="6" w:space="0" w:color="000000"/>
            </w:tcBorders>
            <w:tcMar>
              <w:top w:w="15" w:type="dxa"/>
              <w:left w:w="15" w:type="dxa"/>
              <w:bottom w:w="15" w:type="dxa"/>
              <w:right w:w="15" w:type="dxa"/>
            </w:tcMar>
            <w:vAlign w:val="center"/>
            <w:hideMark/>
          </w:tcPr>
          <w:p w:rsidR="003E6891" w:rsidRPr="002225AD" w:rsidRDefault="003E6891" w:rsidP="002225AD">
            <w:pPr>
              <w:keepLines/>
              <w:spacing w:before="20" w:after="20"/>
              <w:jc w:val="center"/>
              <w:rPr>
                <w:rFonts w:asciiTheme="minorHAnsi" w:hAnsiTheme="minorHAnsi" w:cs="Arial"/>
                <w:sz w:val="18"/>
                <w:szCs w:val="18"/>
              </w:rPr>
            </w:pPr>
            <w:r w:rsidRPr="002225AD">
              <w:rPr>
                <w:rFonts w:asciiTheme="minorHAnsi" w:hAnsiTheme="minorHAnsi"/>
                <w:sz w:val="18"/>
                <w:szCs w:val="18"/>
              </w:rPr>
              <w:t>61.105,00</w:t>
            </w:r>
          </w:p>
        </w:tc>
      </w:tr>
      <w:tr w:rsidR="003E6891" w:rsidRPr="002225AD" w:rsidTr="002225AD">
        <w:trPr>
          <w:jc w:val="center"/>
        </w:trPr>
        <w:tc>
          <w:tcPr>
            <w:tcW w:w="1623" w:type="dxa"/>
            <w:tcBorders>
              <w:top w:val="double" w:sz="6" w:space="0" w:color="000000"/>
              <w:left w:val="double" w:sz="6" w:space="0" w:color="000000"/>
              <w:bottom w:val="double" w:sz="6" w:space="0" w:color="000000"/>
              <w:right w:val="double" w:sz="6" w:space="0" w:color="000000"/>
            </w:tcBorders>
            <w:tcMar>
              <w:top w:w="15" w:type="dxa"/>
              <w:left w:w="15" w:type="dxa"/>
              <w:bottom w:w="15" w:type="dxa"/>
              <w:right w:w="15" w:type="dxa"/>
            </w:tcMar>
            <w:vAlign w:val="center"/>
            <w:hideMark/>
          </w:tcPr>
          <w:p w:rsidR="003E6891" w:rsidRPr="002225AD" w:rsidRDefault="003E6891" w:rsidP="002225AD">
            <w:pPr>
              <w:keepLines/>
              <w:spacing w:before="20" w:after="20"/>
              <w:jc w:val="center"/>
              <w:rPr>
                <w:rFonts w:asciiTheme="minorHAnsi" w:hAnsiTheme="minorHAnsi" w:cs="Arial"/>
                <w:sz w:val="18"/>
                <w:szCs w:val="18"/>
              </w:rPr>
            </w:pPr>
            <w:r w:rsidRPr="002225AD">
              <w:rPr>
                <w:rFonts w:asciiTheme="minorHAnsi" w:hAnsiTheme="minorHAnsi"/>
                <w:sz w:val="18"/>
                <w:szCs w:val="18"/>
              </w:rPr>
              <w:t>B</w:t>
            </w:r>
          </w:p>
        </w:tc>
        <w:tc>
          <w:tcPr>
            <w:tcW w:w="2287" w:type="dxa"/>
            <w:tcBorders>
              <w:top w:val="double" w:sz="6" w:space="0" w:color="000000"/>
              <w:left w:val="double" w:sz="6" w:space="0" w:color="000000"/>
              <w:bottom w:val="double" w:sz="6" w:space="0" w:color="000000"/>
              <w:right w:val="double" w:sz="6" w:space="0" w:color="000000"/>
            </w:tcBorders>
            <w:tcMar>
              <w:top w:w="15" w:type="dxa"/>
              <w:left w:w="15" w:type="dxa"/>
              <w:bottom w:w="15" w:type="dxa"/>
              <w:right w:w="15" w:type="dxa"/>
            </w:tcMar>
            <w:vAlign w:val="center"/>
            <w:hideMark/>
          </w:tcPr>
          <w:p w:rsidR="003E6891" w:rsidRPr="002225AD" w:rsidRDefault="003E6891" w:rsidP="002225AD">
            <w:pPr>
              <w:keepLines/>
              <w:spacing w:before="20" w:after="20"/>
              <w:jc w:val="center"/>
              <w:rPr>
                <w:rFonts w:asciiTheme="minorHAnsi" w:hAnsiTheme="minorHAnsi" w:cs="Arial"/>
                <w:sz w:val="18"/>
                <w:szCs w:val="18"/>
              </w:rPr>
            </w:pPr>
            <w:r w:rsidRPr="002225AD">
              <w:rPr>
                <w:rFonts w:asciiTheme="minorHAnsi" w:hAnsiTheme="minorHAnsi"/>
                <w:sz w:val="18"/>
                <w:szCs w:val="18"/>
              </w:rPr>
              <w:t>% 30</w:t>
            </w:r>
          </w:p>
        </w:tc>
        <w:tc>
          <w:tcPr>
            <w:tcW w:w="2185" w:type="dxa"/>
            <w:tcBorders>
              <w:top w:val="double" w:sz="6" w:space="0" w:color="000000"/>
              <w:left w:val="double" w:sz="6" w:space="0" w:color="000000"/>
              <w:bottom w:val="double" w:sz="6" w:space="0" w:color="000000"/>
              <w:right w:val="double" w:sz="6" w:space="0" w:color="000000"/>
            </w:tcBorders>
            <w:tcMar>
              <w:top w:w="15" w:type="dxa"/>
              <w:left w:w="15" w:type="dxa"/>
              <w:bottom w:w="15" w:type="dxa"/>
              <w:right w:w="15" w:type="dxa"/>
            </w:tcMar>
            <w:vAlign w:val="center"/>
            <w:hideMark/>
          </w:tcPr>
          <w:p w:rsidR="003E6891" w:rsidRPr="002225AD" w:rsidRDefault="003E6891" w:rsidP="002225AD">
            <w:pPr>
              <w:keepLines/>
              <w:spacing w:before="20" w:after="20"/>
              <w:jc w:val="center"/>
              <w:rPr>
                <w:rFonts w:asciiTheme="minorHAnsi" w:hAnsiTheme="minorHAnsi" w:cs="Arial"/>
                <w:sz w:val="18"/>
                <w:szCs w:val="18"/>
              </w:rPr>
            </w:pPr>
            <w:r w:rsidRPr="002225AD">
              <w:rPr>
                <w:rFonts w:asciiTheme="minorHAnsi" w:hAnsiTheme="minorHAnsi"/>
                <w:sz w:val="18"/>
                <w:szCs w:val="18"/>
              </w:rPr>
              <w:t>72.215,00</w:t>
            </w:r>
          </w:p>
        </w:tc>
      </w:tr>
      <w:tr w:rsidR="003E6891" w:rsidRPr="002225AD" w:rsidTr="002225AD">
        <w:trPr>
          <w:jc w:val="center"/>
        </w:trPr>
        <w:tc>
          <w:tcPr>
            <w:tcW w:w="1623" w:type="dxa"/>
            <w:tcBorders>
              <w:top w:val="double" w:sz="6" w:space="0" w:color="000000"/>
              <w:left w:val="double" w:sz="6" w:space="0" w:color="000000"/>
              <w:bottom w:val="double" w:sz="6" w:space="0" w:color="000000"/>
              <w:right w:val="double" w:sz="6" w:space="0" w:color="000000"/>
            </w:tcBorders>
            <w:tcMar>
              <w:top w:w="15" w:type="dxa"/>
              <w:left w:w="15" w:type="dxa"/>
              <w:bottom w:w="15" w:type="dxa"/>
              <w:right w:w="15" w:type="dxa"/>
            </w:tcMar>
            <w:vAlign w:val="center"/>
            <w:hideMark/>
          </w:tcPr>
          <w:p w:rsidR="003E6891" w:rsidRPr="002225AD" w:rsidRDefault="003E6891" w:rsidP="002225AD">
            <w:pPr>
              <w:keepLines/>
              <w:spacing w:before="20" w:after="20"/>
              <w:jc w:val="center"/>
              <w:rPr>
                <w:rFonts w:asciiTheme="minorHAnsi" w:hAnsiTheme="minorHAnsi" w:cs="Arial"/>
                <w:sz w:val="18"/>
                <w:szCs w:val="18"/>
              </w:rPr>
            </w:pPr>
            <w:r w:rsidRPr="002225AD">
              <w:rPr>
                <w:rFonts w:asciiTheme="minorHAnsi" w:hAnsiTheme="minorHAnsi"/>
                <w:sz w:val="18"/>
                <w:szCs w:val="18"/>
              </w:rPr>
              <w:t>A</w:t>
            </w:r>
          </w:p>
        </w:tc>
        <w:tc>
          <w:tcPr>
            <w:tcW w:w="2287" w:type="dxa"/>
            <w:tcBorders>
              <w:top w:val="double" w:sz="6" w:space="0" w:color="000000"/>
              <w:left w:val="double" w:sz="6" w:space="0" w:color="000000"/>
              <w:bottom w:val="double" w:sz="6" w:space="0" w:color="000000"/>
              <w:right w:val="double" w:sz="6" w:space="0" w:color="000000"/>
            </w:tcBorders>
            <w:tcMar>
              <w:top w:w="15" w:type="dxa"/>
              <w:left w:w="15" w:type="dxa"/>
              <w:bottom w:w="15" w:type="dxa"/>
              <w:right w:w="15" w:type="dxa"/>
            </w:tcMar>
            <w:vAlign w:val="center"/>
            <w:hideMark/>
          </w:tcPr>
          <w:p w:rsidR="003E6891" w:rsidRPr="002225AD" w:rsidRDefault="003E6891" w:rsidP="002225AD">
            <w:pPr>
              <w:keepLines/>
              <w:spacing w:before="20" w:after="20"/>
              <w:jc w:val="center"/>
              <w:rPr>
                <w:rFonts w:asciiTheme="minorHAnsi" w:hAnsiTheme="minorHAnsi" w:cs="Arial"/>
                <w:sz w:val="18"/>
                <w:szCs w:val="18"/>
              </w:rPr>
            </w:pPr>
            <w:r w:rsidRPr="002225AD">
              <w:rPr>
                <w:rFonts w:asciiTheme="minorHAnsi" w:hAnsiTheme="minorHAnsi"/>
                <w:sz w:val="18"/>
                <w:szCs w:val="18"/>
              </w:rPr>
              <w:t>% 55</w:t>
            </w:r>
          </w:p>
        </w:tc>
        <w:tc>
          <w:tcPr>
            <w:tcW w:w="2185" w:type="dxa"/>
            <w:tcBorders>
              <w:top w:val="double" w:sz="6" w:space="0" w:color="000000"/>
              <w:left w:val="double" w:sz="6" w:space="0" w:color="000000"/>
              <w:bottom w:val="double" w:sz="6" w:space="0" w:color="000000"/>
              <w:right w:val="double" w:sz="6" w:space="0" w:color="000000"/>
            </w:tcBorders>
            <w:tcMar>
              <w:top w:w="15" w:type="dxa"/>
              <w:left w:w="15" w:type="dxa"/>
              <w:bottom w:w="15" w:type="dxa"/>
              <w:right w:w="15" w:type="dxa"/>
            </w:tcMar>
            <w:vAlign w:val="center"/>
            <w:hideMark/>
          </w:tcPr>
          <w:p w:rsidR="003E6891" w:rsidRPr="002225AD" w:rsidRDefault="003E6891" w:rsidP="002225AD">
            <w:pPr>
              <w:keepLines/>
              <w:spacing w:before="20" w:after="20"/>
              <w:jc w:val="center"/>
              <w:rPr>
                <w:rFonts w:asciiTheme="minorHAnsi" w:hAnsiTheme="minorHAnsi" w:cs="Arial"/>
                <w:sz w:val="18"/>
                <w:szCs w:val="18"/>
              </w:rPr>
            </w:pPr>
            <w:r w:rsidRPr="002225AD">
              <w:rPr>
                <w:rFonts w:asciiTheme="minorHAnsi" w:hAnsiTheme="minorHAnsi"/>
                <w:sz w:val="18"/>
                <w:szCs w:val="18"/>
              </w:rPr>
              <w:t>86.103,00</w:t>
            </w:r>
          </w:p>
        </w:tc>
      </w:tr>
    </w:tbl>
    <w:p w:rsidR="003E6891" w:rsidRPr="002A5212" w:rsidRDefault="003E6891" w:rsidP="003E6891">
      <w:pPr>
        <w:keepLines/>
        <w:spacing w:after="300" w:line="340" w:lineRule="exact"/>
        <w:ind w:firstLine="567"/>
        <w:jc w:val="both"/>
        <w:rPr>
          <w:rFonts w:ascii="Arial" w:hAnsi="Arial" w:cs="Arial"/>
          <w:lang w:val="es-ES_tradnl"/>
        </w:rPr>
      </w:pPr>
    </w:p>
    <w:p w:rsidR="003E6891" w:rsidRDefault="003E6891" w:rsidP="003E6891">
      <w:pPr>
        <w:keepLines/>
        <w:spacing w:after="300" w:line="340" w:lineRule="exact"/>
        <w:ind w:firstLine="567"/>
        <w:jc w:val="both"/>
        <w:rPr>
          <w:rFonts w:ascii="Arial" w:hAnsi="Arial" w:cs="Arial"/>
        </w:rPr>
      </w:pPr>
      <w:r>
        <w:rPr>
          <w:rFonts w:ascii="Arial" w:hAnsi="Arial"/>
        </w:rPr>
        <w:t>Nafarroako Gobernuaren erabaki baten bidez sailkatuko dira sozietateak mota ezberdinetan.</w:t>
      </w:r>
    </w:p>
    <w:p w:rsidR="003E6891" w:rsidRDefault="003E6891" w:rsidP="003E6891">
      <w:pPr>
        <w:keepLines/>
        <w:spacing w:after="300" w:line="340" w:lineRule="exact"/>
        <w:ind w:firstLine="567"/>
        <w:jc w:val="both"/>
        <w:rPr>
          <w:rFonts w:ascii="Arial" w:hAnsi="Arial" w:cs="Arial"/>
        </w:rPr>
      </w:pPr>
      <w:r>
        <w:rPr>
          <w:rFonts w:ascii="Arial" w:hAnsi="Arial"/>
        </w:rPr>
        <w:t>10. Nafarroako Foru Komunitateko Administrazioaren fundazio publikoetako zuzendariek urteko ordainsari hauek izanen dituzte 2018an, hamalau hilekotan banatuta:</w:t>
      </w:r>
    </w:p>
    <w:p w:rsidR="003E6891" w:rsidRDefault="003E6891" w:rsidP="003E6891">
      <w:pPr>
        <w:keepLines/>
        <w:spacing w:after="300" w:line="340" w:lineRule="exact"/>
        <w:ind w:firstLine="567"/>
        <w:jc w:val="both"/>
        <w:rPr>
          <w:rFonts w:ascii="Arial" w:hAnsi="Arial" w:cs="Arial"/>
        </w:rPr>
      </w:pPr>
      <w:r>
        <w:rPr>
          <w:rFonts w:ascii="Arial" w:hAnsi="Arial"/>
        </w:rPr>
        <w:t xml:space="preserve">– Miguel </w:t>
      </w:r>
      <w:proofErr w:type="spellStart"/>
      <w:r>
        <w:rPr>
          <w:rFonts w:ascii="Arial" w:hAnsi="Arial"/>
        </w:rPr>
        <w:t>Servet</w:t>
      </w:r>
      <w:proofErr w:type="spellEnd"/>
      <w:r>
        <w:rPr>
          <w:rFonts w:ascii="Arial" w:hAnsi="Arial"/>
        </w:rPr>
        <w:t xml:space="preserve"> Fundazioa: 55.672,61 euro.</w:t>
      </w:r>
    </w:p>
    <w:p w:rsidR="003E6891" w:rsidRDefault="003E6891" w:rsidP="003E6891">
      <w:pPr>
        <w:keepLines/>
        <w:spacing w:after="300" w:line="340" w:lineRule="exact"/>
        <w:ind w:firstLine="567"/>
        <w:jc w:val="both"/>
        <w:rPr>
          <w:rFonts w:ascii="Arial" w:hAnsi="Arial" w:cs="Arial"/>
        </w:rPr>
      </w:pPr>
      <w:r>
        <w:rPr>
          <w:rFonts w:ascii="Arial" w:hAnsi="Arial"/>
        </w:rPr>
        <w:t xml:space="preserve">– Nafarroako Pertsona Helduak </w:t>
      </w:r>
      <w:proofErr w:type="spellStart"/>
      <w:r>
        <w:rPr>
          <w:rFonts w:ascii="Arial" w:hAnsi="Arial"/>
        </w:rPr>
        <w:t>Tutelatzeko</w:t>
      </w:r>
      <w:proofErr w:type="spellEnd"/>
      <w:r>
        <w:rPr>
          <w:rFonts w:ascii="Arial" w:hAnsi="Arial"/>
        </w:rPr>
        <w:t xml:space="preserve"> Fundazioa: 48.839,56 euro.</w:t>
      </w:r>
    </w:p>
    <w:p w:rsidR="003E6891" w:rsidRDefault="003E6891" w:rsidP="003E6891">
      <w:pPr>
        <w:keepLines/>
        <w:spacing w:after="300" w:line="340" w:lineRule="exact"/>
        <w:ind w:firstLine="567"/>
        <w:jc w:val="both"/>
        <w:rPr>
          <w:rFonts w:ascii="Arial" w:hAnsi="Arial" w:cs="Arial"/>
        </w:rPr>
      </w:pPr>
      <w:r>
        <w:rPr>
          <w:rFonts w:ascii="Arial" w:hAnsi="Arial"/>
        </w:rPr>
        <w:t xml:space="preserve">– </w:t>
      </w:r>
      <w:proofErr w:type="spellStart"/>
      <w:r>
        <w:rPr>
          <w:rFonts w:ascii="Arial" w:hAnsi="Arial"/>
        </w:rPr>
        <w:t>Baluarte</w:t>
      </w:r>
      <w:proofErr w:type="spellEnd"/>
      <w:r>
        <w:rPr>
          <w:rFonts w:ascii="Arial" w:hAnsi="Arial"/>
        </w:rPr>
        <w:t xml:space="preserve"> Fundazioa: 61.105,00. euro.</w:t>
      </w:r>
    </w:p>
    <w:p w:rsidR="00351857" w:rsidRDefault="003E6891" w:rsidP="003E6891">
      <w:pPr>
        <w:keepLines/>
        <w:spacing w:after="300" w:line="340" w:lineRule="exact"/>
        <w:ind w:firstLine="567"/>
        <w:jc w:val="both"/>
        <w:rPr>
          <w:rFonts w:ascii="Arial" w:hAnsi="Arial" w:cs="Arial"/>
        </w:rPr>
      </w:pPr>
      <w:r>
        <w:rPr>
          <w:rFonts w:ascii="Arial" w:hAnsi="Arial"/>
        </w:rPr>
        <w:t>11. Nafarroako Gobernuko kide den inork, ez eta Nafarroako Foru Komunitateko gainerako goi kargudunek ere, ez dute dieta pertsonalik jasoko inolako entitate publiko edo pribatutik administrazio kontseiluen nahiz kide anitzeko inolako organoren bileretara joateagatik. Dietak jasotzen badituzte betetzen duten ordezkaritzaren karietara, horiek ordaintzen dituen sozietateak edo erakundeak dirua zuzenean sartuko du Nafarroako Foru Komunitateko Administrazioaren kasuan kasuko aurrekontu- edo sozietate-kontuan.</w:t>
      </w:r>
    </w:p>
    <w:p w:rsidR="003E6891" w:rsidRDefault="003E6891" w:rsidP="003E6891">
      <w:pPr>
        <w:keepLines/>
        <w:spacing w:after="300" w:line="340" w:lineRule="exact"/>
        <w:ind w:firstLine="567"/>
        <w:jc w:val="both"/>
        <w:rPr>
          <w:rFonts w:ascii="Arial" w:hAnsi="Arial" w:cs="Arial"/>
        </w:rPr>
      </w:pPr>
      <w:r>
        <w:rPr>
          <w:rFonts w:ascii="Arial" w:hAnsi="Arial"/>
        </w:rPr>
        <w:t>12. Nafarroako Gobernua osatzen duten kideen, Nafarroako Foru Komunitateko Administrazioaren goi kargudunen eta gainerako behin-behineko langileen ordainsariek 6. artikuluan xedatutakoaren aplikazioak eragindako igoera bera izanen dute.</w:t>
      </w:r>
    </w:p>
    <w:p w:rsidR="003E6891" w:rsidRDefault="003E6891" w:rsidP="002A5212">
      <w:pPr>
        <w:pStyle w:val="DICTA-CAPITULO"/>
      </w:pPr>
      <w:r>
        <w:lastRenderedPageBreak/>
        <w:t>II. KAPITULUA</w:t>
      </w:r>
    </w:p>
    <w:p w:rsidR="003E6891" w:rsidRDefault="003E6891" w:rsidP="002A5212">
      <w:pPr>
        <w:pStyle w:val="DICTA-SUBTITULO2"/>
      </w:pPr>
      <w:r>
        <w:t xml:space="preserve">Nafarroako administrazio publikoen </w:t>
      </w:r>
      <w:proofErr w:type="spellStart"/>
      <w:r>
        <w:t>montepioetako</w:t>
      </w:r>
      <w:proofErr w:type="spellEnd"/>
      <w:r>
        <w:t xml:space="preserve"> funtzionarioen eskubide pasiboak</w:t>
      </w:r>
    </w:p>
    <w:p w:rsidR="003E6891" w:rsidRDefault="003E6891" w:rsidP="003E6891">
      <w:pPr>
        <w:keepLines/>
        <w:spacing w:after="300" w:line="340" w:lineRule="exact"/>
        <w:ind w:firstLine="567"/>
        <w:jc w:val="both"/>
        <w:rPr>
          <w:rFonts w:ascii="Arial" w:hAnsi="Arial" w:cs="Arial"/>
        </w:rPr>
      </w:pPr>
      <w:r>
        <w:rPr>
          <w:rFonts w:ascii="Arial" w:hAnsi="Arial"/>
          <w:b/>
        </w:rPr>
        <w:t>10. artikulua.</w:t>
      </w:r>
      <w:r>
        <w:rPr>
          <w:rFonts w:ascii="Arial" w:hAnsi="Arial"/>
        </w:rPr>
        <w:t xml:space="preserve"> Nafarroako administrazio publikoen </w:t>
      </w:r>
      <w:proofErr w:type="spellStart"/>
      <w:r>
        <w:rPr>
          <w:rFonts w:ascii="Arial" w:hAnsi="Arial"/>
        </w:rPr>
        <w:t>montepioetako</w:t>
      </w:r>
      <w:proofErr w:type="spellEnd"/>
      <w:r>
        <w:rPr>
          <w:rFonts w:ascii="Arial" w:hAnsi="Arial"/>
        </w:rPr>
        <w:t xml:space="preserve"> funtzionarioen klase pasiboen pentsioak eguneratzea.</w:t>
      </w:r>
    </w:p>
    <w:p w:rsidR="003E6891" w:rsidRDefault="003E6891" w:rsidP="003E6891">
      <w:pPr>
        <w:keepLines/>
        <w:spacing w:after="300" w:line="340" w:lineRule="exact"/>
        <w:ind w:firstLine="567"/>
        <w:jc w:val="both"/>
        <w:rPr>
          <w:rFonts w:ascii="Arial" w:hAnsi="Arial" w:cs="Arial"/>
        </w:rPr>
      </w:pPr>
      <w:r>
        <w:rPr>
          <w:rFonts w:ascii="Arial" w:hAnsi="Arial"/>
        </w:rPr>
        <w:t xml:space="preserve">1. 2018ko urtarrilaren 1etik aurrerako ondorioekin, Nafarroako administrazio publikoen </w:t>
      </w:r>
      <w:proofErr w:type="spellStart"/>
      <w:r>
        <w:rPr>
          <w:rFonts w:ascii="Arial" w:hAnsi="Arial"/>
        </w:rPr>
        <w:t>montepioetako</w:t>
      </w:r>
      <w:proofErr w:type="spellEnd"/>
      <w:r>
        <w:rPr>
          <w:rFonts w:ascii="Arial" w:hAnsi="Arial"/>
        </w:rPr>
        <w:t xml:space="preserve"> funtzionarioen klase pasiboen pentsioek, indarreko araudiaren arabera eguneratzeko eskubidea dutenek, pentsio publikoek urte horretan duten igoera bera izanen dute.</w:t>
      </w:r>
    </w:p>
    <w:p w:rsidR="003E6891" w:rsidRDefault="003E6891" w:rsidP="003E6891">
      <w:pPr>
        <w:keepLines/>
        <w:spacing w:after="300" w:line="340" w:lineRule="exact"/>
        <w:ind w:firstLine="567"/>
        <w:jc w:val="both"/>
        <w:rPr>
          <w:rFonts w:ascii="Arial" w:hAnsi="Arial" w:cs="Arial"/>
        </w:rPr>
      </w:pPr>
      <w:r>
        <w:rPr>
          <w:rFonts w:ascii="Arial" w:hAnsi="Arial"/>
        </w:rPr>
        <w:t>2. Pentsio publikoen arloko araudi indardunari jarraituz, eguneraketa ez zaie aplikatuko jadanik aitortuta dauden edo etorkizunean aitortuko diren pentsioei, baldin eta, berek bakarrik nahiz haiei onuradun berak kasua bada jasotzen dituen beste pentsio publiko batzuen zenbatekoa baturik, pentsio publikoetarako ezartzen den urteko gehieneko zenbatekoa gainditzen badute.</w:t>
      </w:r>
    </w:p>
    <w:p w:rsidR="003E6891" w:rsidRDefault="003E6891" w:rsidP="003E6891">
      <w:pPr>
        <w:keepLines/>
        <w:spacing w:after="300" w:line="340" w:lineRule="exact"/>
        <w:ind w:firstLine="567"/>
        <w:jc w:val="both"/>
        <w:rPr>
          <w:rFonts w:ascii="Arial" w:hAnsi="Arial" w:cs="Arial"/>
        </w:rPr>
      </w:pPr>
      <w:r>
        <w:rPr>
          <w:rFonts w:ascii="Arial" w:hAnsi="Arial"/>
          <w:b/>
        </w:rPr>
        <w:t>11</w:t>
      </w:r>
      <w:r w:rsidR="002C5ECE">
        <w:rPr>
          <w:rFonts w:ascii="Arial" w:hAnsi="Arial"/>
          <w:b/>
        </w:rPr>
        <w:t>.</w:t>
      </w:r>
      <w:r>
        <w:rPr>
          <w:rFonts w:ascii="Arial" w:hAnsi="Arial"/>
          <w:b/>
        </w:rPr>
        <w:t xml:space="preserve"> artikulua.</w:t>
      </w:r>
      <w:r>
        <w:rPr>
          <w:rFonts w:ascii="Arial" w:hAnsi="Arial"/>
        </w:rPr>
        <w:t xml:space="preserve"> Nafarroako administrazio publikoen </w:t>
      </w:r>
      <w:proofErr w:type="spellStart"/>
      <w:r>
        <w:rPr>
          <w:rFonts w:ascii="Arial" w:hAnsi="Arial"/>
        </w:rPr>
        <w:t>montepioetako</w:t>
      </w:r>
      <w:proofErr w:type="spellEnd"/>
      <w:r>
        <w:rPr>
          <w:rFonts w:ascii="Arial" w:hAnsi="Arial"/>
        </w:rPr>
        <w:t xml:space="preserve"> funtzionarioen eskubide pasiboen araubide iragankorrari buruzko martxoaren 5eko 10/2003 Foru Legearen aurreko sisteman jarraitzen duten funtzionarioen eskubide pasiboen araubideari aplikatzekoak zaizkion arauak.</w:t>
      </w:r>
    </w:p>
    <w:p w:rsidR="003E6891" w:rsidRDefault="003E6891" w:rsidP="003E6891">
      <w:pPr>
        <w:keepLines/>
        <w:spacing w:after="300" w:line="340" w:lineRule="exact"/>
        <w:ind w:firstLine="567"/>
        <w:jc w:val="both"/>
        <w:rPr>
          <w:rFonts w:ascii="Arial" w:hAnsi="Arial" w:cs="Arial"/>
        </w:rPr>
      </w:pPr>
      <w:r>
        <w:rPr>
          <w:rFonts w:ascii="Arial" w:hAnsi="Arial"/>
        </w:rPr>
        <w:t>1. Artikulu honetan aipatzen den funtzionarioen eskubide pasiboen araubidea egokituko zaie martxoaren 30eko 13/1983 Foru Legeak indarra hartu baino lehen indarra zuten xedapenei. Soldata erregulatzailea zehazteko, aintzakotzat hartuko dira foru lege horren aurretiko eta horren betearazpenerako emandako behin-behineko ordainsari-erregelamenduaren aurretiko sistemaren arabera funtzionarioek jasotako ordainsari handiagoak, geroko ekitaldietako Nafarroako Aurrekontu Orokorrei buruzko foru legeetan adierazitako portzentajeetan gehituak. Salbuespena izanen da artikulu honek lan istripuagatik edo gaixotasun profesionalagatik eskuratutako pentsioei buruz xedatutakoa.</w:t>
      </w:r>
    </w:p>
    <w:p w:rsidR="003E6891" w:rsidRDefault="003E6891" w:rsidP="003E6891">
      <w:pPr>
        <w:keepLines/>
        <w:spacing w:after="300" w:line="340" w:lineRule="exact"/>
        <w:ind w:firstLine="567"/>
        <w:jc w:val="both"/>
        <w:rPr>
          <w:rFonts w:ascii="Arial" w:hAnsi="Arial" w:cs="Arial"/>
        </w:rPr>
      </w:pPr>
      <w:r>
        <w:rPr>
          <w:rFonts w:ascii="Arial" w:hAnsi="Arial"/>
        </w:rPr>
        <w:lastRenderedPageBreak/>
        <w:t xml:space="preserve">2. Aurreko apartatuan aipaturiko xedapenen ildotik, erretiro eta pentsioen ondorioetarako </w:t>
      </w:r>
      <w:proofErr w:type="spellStart"/>
      <w:r>
        <w:rPr>
          <w:rFonts w:ascii="Arial" w:hAnsi="Arial"/>
        </w:rPr>
        <w:t>zerbitzualdia</w:t>
      </w:r>
      <w:proofErr w:type="spellEnd"/>
      <w:r>
        <w:rPr>
          <w:rFonts w:ascii="Arial" w:hAnsi="Arial"/>
        </w:rPr>
        <w:t xml:space="preserve"> zenbatzeko, funtzionarioek zerbitzuan egiazki emandako zerbitzu-urteak bakarrik hartuko dira kontuan. Urte horien barrenean sartuko dira Administrazio Publikoan egiazki egindako urteak, betiere behar den administrazioak aitortuak, Foru Diputazioak 1981eko urriaren 29an eta 2001eko otsailaren 5ean hartutako Erabakiei eta apirilaren 14ko 21/1983 Foru Dekretuari jarraikiz.</w:t>
      </w:r>
    </w:p>
    <w:p w:rsidR="003E6891" w:rsidRDefault="003E6891" w:rsidP="003E6891">
      <w:pPr>
        <w:keepLines/>
        <w:spacing w:after="300" w:line="340" w:lineRule="exact"/>
        <w:ind w:firstLine="567"/>
        <w:jc w:val="both"/>
        <w:rPr>
          <w:rFonts w:ascii="Arial" w:hAnsi="Arial" w:cs="Arial"/>
        </w:rPr>
      </w:pPr>
      <w:r>
        <w:rPr>
          <w:rFonts w:ascii="Arial" w:hAnsi="Arial"/>
        </w:rPr>
        <w:t xml:space="preserve">Hala ere, Nafarroako Foru Komunitateko Administrazioaren edo Nafarroako toki entitateen </w:t>
      </w:r>
      <w:proofErr w:type="spellStart"/>
      <w:r>
        <w:rPr>
          <w:rFonts w:ascii="Arial" w:hAnsi="Arial"/>
        </w:rPr>
        <w:t>montepioetakoren</w:t>
      </w:r>
      <w:proofErr w:type="spellEnd"/>
      <w:r>
        <w:rPr>
          <w:rFonts w:ascii="Arial" w:hAnsi="Arial"/>
        </w:rPr>
        <w:t xml:space="preserve"> bati atxikitako funtzionarioek sortutako erretiro-, alargun- eta umezurtz-pentsioen kasuan, foru lege honek indarra hartu ondoren jardunean hil edo erretiratutakoak badira, honako hauek zenbatuko dira, eta pentsioaren zio den egintza gertatutako egunetik aurrera izanen dute eragina: aipatutako funtzionarioek Gizarte Segurantzaren araubide ezberdinetan kotizatutako aldiak; betiere, aldi horiek </w:t>
      </w:r>
      <w:proofErr w:type="spellStart"/>
      <w:r>
        <w:rPr>
          <w:rFonts w:ascii="Arial" w:hAnsi="Arial"/>
        </w:rPr>
        <w:t>montepioei</w:t>
      </w:r>
      <w:proofErr w:type="spellEnd"/>
      <w:r>
        <w:rPr>
          <w:rFonts w:ascii="Arial" w:hAnsi="Arial"/>
        </w:rPr>
        <w:t xml:space="preserve"> kotizatutako beste batzuekin gainjartzen ez badira, honako hauek finkatzeko ondorioetarako soilik: eskubide pasiboetarako baliabide zenbagarriak eta dagokion pentsioa kalkulatzeko kotizazio- edo zerbitzu-urteengatiko ehunekoa edo kuota.</w:t>
      </w:r>
    </w:p>
    <w:p w:rsidR="003E6891" w:rsidRDefault="003E6891" w:rsidP="003E6891">
      <w:pPr>
        <w:keepLines/>
        <w:spacing w:after="300" w:line="340" w:lineRule="exact"/>
        <w:ind w:firstLine="567"/>
        <w:jc w:val="both"/>
        <w:rPr>
          <w:rFonts w:ascii="Arial" w:hAnsi="Arial" w:cs="Arial"/>
        </w:rPr>
      </w:pPr>
      <w:r>
        <w:rPr>
          <w:rFonts w:ascii="Arial" w:hAnsi="Arial"/>
        </w:rPr>
        <w:t>Aurreko paragrafoan aipatu funtzionarioek sortutako erretiro-, alargun- eta umezurtz-pentsioetarako, inola ere ez dira hurrengoak zenbatuko: aipatu funtzionarioek Gizarte Segurantzaren araubide ezberdinetan kotizatutako aldiak, baldin eta aipatu aldiek, beste batzuekin batuta, hala badagokio, aipaturiko araubideetan pentsiorako eskubiderik sortu badute. Salbuespen izanen dira SOVI delakoaren prestazioetarako eskubidea sortzen duen kotizazioa duten aldiak, zenbatu eginen baitira horiek.</w:t>
      </w:r>
    </w:p>
    <w:p w:rsidR="003E6891" w:rsidRDefault="003E6891" w:rsidP="003E6891">
      <w:pPr>
        <w:keepLines/>
        <w:spacing w:after="300" w:line="340" w:lineRule="exact"/>
        <w:ind w:firstLine="567"/>
        <w:jc w:val="both"/>
        <w:rPr>
          <w:rFonts w:ascii="Arial" w:hAnsi="Arial" w:cs="Arial"/>
        </w:rPr>
      </w:pPr>
      <w:r>
        <w:rPr>
          <w:rFonts w:ascii="Arial" w:hAnsi="Arial"/>
        </w:rPr>
        <w:t xml:space="preserve">Bikote egonkorrentzako berdintasun juridikoari buruzko uztailaren 3ko 6/2000 Foru Legearekin bat, Nafarroako Foru Komunitateko Administrazioak edo Nafarroako toki entitateek dituzten </w:t>
      </w:r>
      <w:proofErr w:type="spellStart"/>
      <w:r>
        <w:rPr>
          <w:rFonts w:ascii="Arial" w:hAnsi="Arial"/>
        </w:rPr>
        <w:t>montepioetakoren</w:t>
      </w:r>
      <w:proofErr w:type="spellEnd"/>
      <w:r>
        <w:rPr>
          <w:rFonts w:ascii="Arial" w:hAnsi="Arial"/>
        </w:rPr>
        <w:t xml:space="preserve"> baten babesean dauden funtzionarioek alargun-pentsioa sortuz gero, bikotekide egonkorrek ere izanen dituzte eskubide pasibo horiek.</w:t>
      </w:r>
    </w:p>
    <w:p w:rsidR="003E6891" w:rsidRDefault="003E6891" w:rsidP="003E6891">
      <w:pPr>
        <w:keepLines/>
        <w:spacing w:after="300" w:line="340" w:lineRule="exact"/>
        <w:ind w:firstLine="567"/>
        <w:jc w:val="both"/>
        <w:rPr>
          <w:rFonts w:ascii="Arial" w:hAnsi="Arial" w:cs="Arial"/>
        </w:rPr>
      </w:pPr>
      <w:r>
        <w:rPr>
          <w:rFonts w:ascii="Arial" w:hAnsi="Arial"/>
        </w:rPr>
        <w:t>3. Artikulu honen 1. apartatuan xedatutakoa betez, eta Nafarroako administrazio publikoen zerbitzuko langileen Estatutuaren aplikazio-esparruaren barnean dauden funtzionario publikoek 2018. urtean sortutako erretiroak eta pentsioak finkatzeko, honako hau hartuko da kontuan:</w:t>
      </w:r>
    </w:p>
    <w:p w:rsidR="003E6891" w:rsidRDefault="003E6891" w:rsidP="003E6891">
      <w:pPr>
        <w:keepLines/>
        <w:spacing w:after="300" w:line="340" w:lineRule="exact"/>
        <w:ind w:firstLine="567"/>
        <w:jc w:val="both"/>
        <w:rPr>
          <w:rFonts w:ascii="Arial" w:hAnsi="Arial" w:cs="Arial"/>
        </w:rPr>
      </w:pPr>
      <w:r>
        <w:rPr>
          <w:rFonts w:ascii="Arial" w:hAnsi="Arial"/>
        </w:rPr>
        <w:lastRenderedPageBreak/>
        <w:t>a) Eskubide pasiboetan eragina duten ordainsari-kontzeptuen zenbatekoak 2018. urteari dagozkionak izanen dira; hau da, 1983. urtekoei geroko aurrekontuei buruzko foru legeek finkatutako gehikuntzak aplikatzetik sortzen direnak.</w:t>
      </w:r>
    </w:p>
    <w:p w:rsidR="003E6891" w:rsidRDefault="003E6891" w:rsidP="003E6891">
      <w:pPr>
        <w:keepLines/>
        <w:spacing w:after="300" w:line="340" w:lineRule="exact"/>
        <w:ind w:firstLine="567"/>
        <w:jc w:val="both"/>
        <w:rPr>
          <w:rFonts w:ascii="Arial" w:hAnsi="Arial" w:cs="Arial"/>
        </w:rPr>
      </w:pPr>
      <w:r>
        <w:rPr>
          <w:rFonts w:ascii="Arial" w:hAnsi="Arial"/>
        </w:rPr>
        <w:t xml:space="preserve">Salbuespen gisa, lan istripu edo gaixotasun profesionalaren ondoriozko </w:t>
      </w:r>
      <w:proofErr w:type="spellStart"/>
      <w:r>
        <w:rPr>
          <w:rFonts w:ascii="Arial" w:hAnsi="Arial"/>
        </w:rPr>
        <w:t>desgaitasunagatiko</w:t>
      </w:r>
      <w:proofErr w:type="spellEnd"/>
      <w:r>
        <w:rPr>
          <w:rFonts w:ascii="Arial" w:hAnsi="Arial"/>
        </w:rPr>
        <w:t xml:space="preserve"> erretiro-pentsioen kasuan, bai eta lan istripuz edo gaixotasun profesional bat dela-eta hiltzearen ondoriozko alargun- edo umezurtz-pentsioenean ere, baliabide arautzailea osatuko dute erretiroa edo heriotza gertatu den unearen aurreko urtean funtzionarioak bere lanpostuagatik jasotako ordainsariek.</w:t>
      </w:r>
    </w:p>
    <w:p w:rsidR="003E6891" w:rsidRDefault="003E6891" w:rsidP="003E6891">
      <w:pPr>
        <w:keepLines/>
        <w:spacing w:after="300" w:line="340" w:lineRule="exact"/>
        <w:ind w:firstLine="567"/>
        <w:jc w:val="both"/>
        <w:rPr>
          <w:rFonts w:ascii="Arial" w:hAnsi="Arial" w:cs="Arial"/>
        </w:rPr>
      </w:pPr>
      <w:r>
        <w:rPr>
          <w:rFonts w:ascii="Arial" w:hAnsi="Arial"/>
        </w:rPr>
        <w:t>b) 1980ko urtarrilaren 29ko Parekatze Arautik sortutako ordainsari-sistematik kanpo geratu ziren udal funtzionarioentzat, horren bigarren xedapen gehigarriko bigarren paragrafoan emandako ahalmenari jarraikiz, pasiboetan eragina duten ordainsari kontzeptuen zenbatekoa honakoa izanen da: funtzionario horientzako 1983ko zenbatekoari hurrengo urteetan izandako gehikuntzak erantsiz ateratzen dena.</w:t>
      </w:r>
    </w:p>
    <w:p w:rsidR="003E6891" w:rsidRDefault="003E6891" w:rsidP="003E6891">
      <w:pPr>
        <w:keepLines/>
        <w:spacing w:after="300" w:line="340" w:lineRule="exact"/>
        <w:ind w:firstLine="567"/>
        <w:jc w:val="both"/>
        <w:rPr>
          <w:rFonts w:ascii="Arial" w:hAnsi="Arial" w:cs="Arial"/>
        </w:rPr>
      </w:pPr>
      <w:r>
        <w:rPr>
          <w:rFonts w:ascii="Arial" w:hAnsi="Arial"/>
        </w:rPr>
        <w:t xml:space="preserve">4. Funtzionarioek pentsio araubidearen finantzaketan parte hartuko dute 13/1983 Foru Legearen aurreko araudia aplikatzetik ateratzen den zenbatekoarekin, </w:t>
      </w:r>
      <w:proofErr w:type="spellStart"/>
      <w:r>
        <w:rPr>
          <w:rFonts w:ascii="Arial" w:hAnsi="Arial"/>
        </w:rPr>
        <w:t>zenbateko</w:t>
      </w:r>
      <w:proofErr w:type="spellEnd"/>
      <w:r>
        <w:rPr>
          <w:rFonts w:ascii="Arial" w:hAnsi="Arial"/>
        </w:rPr>
        <w:t xml:space="preserve"> horri ondorengo urteetako Nafarroako Aurrekontu Orokorrei buruzko foru legeetan ezarritako pentsio-igoerako portzentajeak erantsirik.</w:t>
      </w:r>
    </w:p>
    <w:p w:rsidR="003E6891" w:rsidRDefault="003E6891" w:rsidP="003E6891">
      <w:pPr>
        <w:keepLines/>
        <w:spacing w:after="300" w:line="340" w:lineRule="exact"/>
        <w:ind w:firstLine="567"/>
        <w:jc w:val="both"/>
        <w:rPr>
          <w:rFonts w:ascii="Arial" w:hAnsi="Arial" w:cs="Arial"/>
        </w:rPr>
      </w:pPr>
      <w:r>
        <w:rPr>
          <w:rFonts w:ascii="Arial" w:hAnsi="Arial"/>
        </w:rPr>
        <w:t xml:space="preserve">5. 2018ko urtarrilaren 1etik aurrerako ondorioekin, Nafarroako administrazio publikoetako </w:t>
      </w:r>
      <w:proofErr w:type="spellStart"/>
      <w:r>
        <w:rPr>
          <w:rFonts w:ascii="Arial" w:hAnsi="Arial"/>
        </w:rPr>
        <w:t>montepioen</w:t>
      </w:r>
      <w:proofErr w:type="spellEnd"/>
      <w:r>
        <w:rPr>
          <w:rFonts w:ascii="Arial" w:hAnsi="Arial"/>
        </w:rPr>
        <w:t xml:space="preserve"> gutxieneko erretiro-pentsioa, bai martxoaren 5eko 10/2003 Foru Legearen aurreko sisteman jarraitzen duten funtzionarioena, bai aipatu foru legean aurreikusitakoari atxikitakoenena, 2017. urterako ezarritakoa izanen da, zeina 14.616,00 eurokoa baita, baina 2018ra eguneratua, pentsio publikoek urte horretan oro har izanen duten igoera aplikaturik.</w:t>
      </w:r>
    </w:p>
    <w:p w:rsidR="003E6891" w:rsidRDefault="003E6891" w:rsidP="003E6891">
      <w:pPr>
        <w:keepLines/>
        <w:spacing w:after="300" w:line="340" w:lineRule="exact"/>
        <w:ind w:firstLine="567"/>
        <w:jc w:val="both"/>
        <w:rPr>
          <w:rFonts w:ascii="Arial" w:hAnsi="Arial" w:cs="Arial"/>
        </w:rPr>
      </w:pPr>
      <w:r>
        <w:rPr>
          <w:rFonts w:ascii="Arial" w:hAnsi="Arial"/>
        </w:rPr>
        <w:t xml:space="preserve">70 urte betetzen dituztenetik aurrera, honakoei ere aitortuko zaie arestiko paragrafoan ezarritako gutxieneko pentsioaren baliokidea den zenbatekoa jasotzeko eskubidea: beren borondatez erretiratu eta, martxoaren 5eko 10/2003 Foru Legearen aurretik zegoen eskubide pasiboen sisteman jarraituta, dagokien administrazio publikoan 30 urtetik beherako </w:t>
      </w:r>
      <w:proofErr w:type="spellStart"/>
      <w:r>
        <w:rPr>
          <w:rFonts w:ascii="Arial" w:hAnsi="Arial"/>
        </w:rPr>
        <w:t>zerbitzualdi</w:t>
      </w:r>
      <w:proofErr w:type="spellEnd"/>
      <w:r>
        <w:rPr>
          <w:rFonts w:ascii="Arial" w:hAnsi="Arial"/>
        </w:rPr>
        <w:t xml:space="preserve"> aitortua frogatzeagatik eguneratze-eskubiderik gabeko pentsioa sortu dutenek.</w:t>
      </w:r>
    </w:p>
    <w:p w:rsidR="003E6891" w:rsidRDefault="003E6891" w:rsidP="003E6891">
      <w:pPr>
        <w:keepLines/>
        <w:spacing w:after="300" w:line="340" w:lineRule="exact"/>
        <w:ind w:firstLine="567"/>
        <w:jc w:val="both"/>
        <w:rPr>
          <w:rFonts w:ascii="Arial" w:hAnsi="Arial" w:cs="Arial"/>
        </w:rPr>
      </w:pPr>
      <w:r>
        <w:rPr>
          <w:rFonts w:ascii="Arial" w:hAnsi="Arial"/>
        </w:rPr>
        <w:t>6. 2018ko urtarrilaren 1etik aurrerako ondorioekin, gutxieneko alargun-pentsioaren zenbatekoa izanen da ekitaldi horretarako ezarriko den lanbide arteko gutxieneko soldataren adinako urteko zenbatekoa.</w:t>
      </w:r>
    </w:p>
    <w:p w:rsidR="003E6891" w:rsidRDefault="003E6891" w:rsidP="003E6891">
      <w:pPr>
        <w:keepLines/>
        <w:spacing w:after="300" w:line="340" w:lineRule="exact"/>
        <w:ind w:firstLine="567"/>
        <w:jc w:val="both"/>
        <w:rPr>
          <w:rFonts w:ascii="Arial" w:hAnsi="Arial" w:cs="Arial"/>
        </w:rPr>
      </w:pPr>
      <w:r>
        <w:rPr>
          <w:rFonts w:ascii="Arial" w:hAnsi="Arial"/>
        </w:rPr>
        <w:lastRenderedPageBreak/>
        <w:t xml:space="preserve">7. Artikulu honen 6. apartatuan xedatutakoa aplikatuko zaie, halaber, martxoaren 5eko 10/2003 Foru Legearen aurreko eskubide pasiboen sistema aplikatuz emandako umezurtz-pentsioei, Nafarroako administrazio publikoen </w:t>
      </w:r>
      <w:proofErr w:type="spellStart"/>
      <w:r>
        <w:rPr>
          <w:rFonts w:ascii="Arial" w:hAnsi="Arial"/>
        </w:rPr>
        <w:t>montepioetako</w:t>
      </w:r>
      <w:proofErr w:type="spellEnd"/>
      <w:r>
        <w:rPr>
          <w:rFonts w:ascii="Arial" w:hAnsi="Arial"/>
        </w:rPr>
        <w:t xml:space="preserve"> edozeinen kargura, zein bere erregelamenduaren arabera, 1991ko ekitaldirako Nafarroako Aurrekontu Orokorrei buruzko otsailaren 26ko 5/1991 Foru Legearen hemezortzigarren xedapen gehigarriak emandako testua oinarri harturik.</w:t>
      </w:r>
    </w:p>
    <w:p w:rsidR="003E6891" w:rsidRDefault="003E6891" w:rsidP="003E6891">
      <w:pPr>
        <w:keepLines/>
        <w:spacing w:after="300" w:line="340" w:lineRule="exact"/>
        <w:ind w:firstLine="567"/>
        <w:jc w:val="both"/>
        <w:rPr>
          <w:rFonts w:ascii="Arial" w:hAnsi="Arial" w:cs="Arial"/>
        </w:rPr>
      </w:pPr>
      <w:r>
        <w:rPr>
          <w:rFonts w:ascii="Arial" w:hAnsi="Arial"/>
        </w:rPr>
        <w:t>Aurreko paragrafoan xedatutakotik baztertu egiten dira, beraz, aipatu 5/1991 Foru Legean ezarritako aldaketaren aurretik aplikatzekoa zen araudiaren arabera emandako umezurtz-pentsio guztiak, onuradunaren ezintasun egoerarengatik onartu zirenak izan ezik.</w:t>
      </w:r>
    </w:p>
    <w:p w:rsidR="003E6891" w:rsidRDefault="003E6891" w:rsidP="003E6891">
      <w:pPr>
        <w:keepLines/>
        <w:spacing w:after="300" w:line="340" w:lineRule="exact"/>
        <w:ind w:firstLine="567"/>
        <w:jc w:val="both"/>
        <w:rPr>
          <w:rFonts w:ascii="Arial" w:hAnsi="Arial" w:cs="Arial"/>
        </w:rPr>
      </w:pPr>
      <w:r>
        <w:rPr>
          <w:rFonts w:ascii="Arial" w:hAnsi="Arial"/>
        </w:rPr>
        <w:t xml:space="preserve">8. Foru Diputazioko funtzionarioen erretiroei eta pentsioei buruzko Erregelamenduaren 8. artikuluko 3. apartatuan eta udal funtzionarioen eskubide pasiboei buruzko Erregelamenduaren 10. artikuluan aipatzen diren umezurtz-pentsioak, bai eta udal </w:t>
      </w:r>
      <w:proofErr w:type="spellStart"/>
      <w:r>
        <w:rPr>
          <w:rFonts w:ascii="Arial" w:hAnsi="Arial"/>
        </w:rPr>
        <w:t>montepio</w:t>
      </w:r>
      <w:proofErr w:type="spellEnd"/>
      <w:r>
        <w:rPr>
          <w:rFonts w:ascii="Arial" w:hAnsi="Arial"/>
        </w:rPr>
        <w:t xml:space="preserve"> partikularretan ezaugarri berak dituzten umezurtz-pentsioak ere, onartu eginen dira baldin eta pentsio horiek eskuratzeko bete beharreko baldintza guztiak betetzen badira pentsioa sorrarazten duen pertsona edo, bestela, alargun-pentsioa jasotzen duen ezkontidea edo bikotekide egonkorra hiltzen den egunean.</w:t>
      </w:r>
    </w:p>
    <w:p w:rsidR="003E6891" w:rsidRDefault="003E6891" w:rsidP="003E6891">
      <w:pPr>
        <w:keepLines/>
        <w:spacing w:after="300" w:line="340" w:lineRule="exact"/>
        <w:ind w:firstLine="567"/>
        <w:jc w:val="both"/>
        <w:rPr>
          <w:rFonts w:ascii="Arial" w:hAnsi="Arial" w:cs="Arial"/>
        </w:rPr>
      </w:pPr>
      <w:r>
        <w:rPr>
          <w:rFonts w:ascii="Arial" w:hAnsi="Arial"/>
        </w:rPr>
        <w:t xml:space="preserve">9. Nafarroako administrazio publikoetako </w:t>
      </w:r>
      <w:proofErr w:type="spellStart"/>
      <w:r>
        <w:rPr>
          <w:rFonts w:ascii="Arial" w:hAnsi="Arial"/>
        </w:rPr>
        <w:t>montepioen</w:t>
      </w:r>
      <w:proofErr w:type="spellEnd"/>
      <w:r>
        <w:rPr>
          <w:rFonts w:ascii="Arial" w:hAnsi="Arial"/>
        </w:rPr>
        <w:t xml:space="preserve"> alargun-pentsioak bateragarriak dira bai norberak egindako lanarengatik jasotako diru-sarrerekin bai erretiro-pentsioarekin.</w:t>
      </w:r>
    </w:p>
    <w:p w:rsidR="003E6891" w:rsidRDefault="003E6891" w:rsidP="003E6891">
      <w:pPr>
        <w:keepLines/>
        <w:spacing w:after="300" w:line="340" w:lineRule="exact"/>
        <w:ind w:firstLine="567"/>
        <w:jc w:val="both"/>
        <w:rPr>
          <w:rFonts w:ascii="Arial" w:hAnsi="Arial" w:cs="Arial"/>
        </w:rPr>
      </w:pPr>
      <w:r>
        <w:rPr>
          <w:rFonts w:ascii="Arial" w:hAnsi="Arial"/>
        </w:rPr>
        <w:t>10. Ezintasun iraunkorraren deklarazioak, bai eta haren graduenak ere, berrikusten ahalko dira, baldin eta onuraduna 65 urtetik beherakoa baldin bada, dela egoera larriagotzeagatik dela hobetzeagatik, edo diagnostikoaren akatsaren ondorioz, betiere arau hauei jarraikiz:</w:t>
      </w:r>
    </w:p>
    <w:p w:rsidR="003E6891" w:rsidRDefault="003E6891" w:rsidP="003E6891">
      <w:pPr>
        <w:keepLines/>
        <w:spacing w:after="300" w:line="340" w:lineRule="exact"/>
        <w:ind w:firstLine="567"/>
        <w:jc w:val="both"/>
        <w:rPr>
          <w:rFonts w:ascii="Arial" w:hAnsi="Arial" w:cs="Arial"/>
        </w:rPr>
      </w:pPr>
      <w:r>
        <w:rPr>
          <w:rFonts w:ascii="Arial" w:hAnsi="Arial"/>
        </w:rPr>
        <w:t>a) Ezintasun gradua berrikusteko espedientea ofizioz edo interesdunak eskatuta irekitzen ahalko da, eta Nafarroako Ezintasunak Baloratzeko Epaimahai Medikoak horri buruzko proposamen loteslea eginen du.</w:t>
      </w:r>
    </w:p>
    <w:p w:rsidR="003E6891" w:rsidRDefault="003E6891" w:rsidP="003E6891">
      <w:pPr>
        <w:keepLines/>
        <w:spacing w:after="300" w:line="340" w:lineRule="exact"/>
        <w:ind w:firstLine="567"/>
        <w:jc w:val="both"/>
        <w:rPr>
          <w:rFonts w:ascii="Arial" w:hAnsi="Arial" w:cs="Arial"/>
        </w:rPr>
      </w:pPr>
      <w:r>
        <w:rPr>
          <w:rFonts w:ascii="Arial" w:hAnsi="Arial"/>
        </w:rPr>
        <w:t>b) Funtzionarioari deklaratutako ezintasun iraunkorraren gradua aldatu eta handiagoa emanez gero, egoera larriagotu delako edo diagnostikoaren akats baten ondorioz, berrikusteko espedientea ebatzi eta hurrengo hilabetearen lehendabiziko egunetik aurrera izanen ditu ondorioak pentsio berriak.</w:t>
      </w:r>
    </w:p>
    <w:p w:rsidR="003E6891" w:rsidRDefault="003E6891" w:rsidP="003E6891">
      <w:pPr>
        <w:keepLines/>
        <w:spacing w:after="300" w:line="340" w:lineRule="exact"/>
        <w:ind w:firstLine="567"/>
        <w:jc w:val="both"/>
        <w:rPr>
          <w:rFonts w:ascii="Arial" w:hAnsi="Arial" w:cs="Arial"/>
        </w:rPr>
      </w:pPr>
      <w:r>
        <w:rPr>
          <w:rFonts w:ascii="Arial" w:hAnsi="Arial"/>
        </w:rPr>
        <w:lastRenderedPageBreak/>
        <w:t>Kalifikazio berria diagnostikoaren akats baten ondorioa denean, espedientea ebatzi arte jasotakoaren eta ezintasun gradu altuagoa aitortuta jaso beharrekoaren arteko aldeak egiten duen zenbatekoa jasotzeko eskubidea izanen du, betiere lau urte gehienez.</w:t>
      </w:r>
    </w:p>
    <w:p w:rsidR="003E6891" w:rsidRDefault="003E6891" w:rsidP="003E6891">
      <w:pPr>
        <w:keepLines/>
        <w:spacing w:after="300" w:line="340" w:lineRule="exact"/>
        <w:ind w:firstLine="567"/>
        <w:jc w:val="both"/>
        <w:rPr>
          <w:rFonts w:ascii="Arial" w:hAnsi="Arial" w:cs="Arial"/>
        </w:rPr>
      </w:pPr>
      <w:r>
        <w:rPr>
          <w:rFonts w:ascii="Arial" w:hAnsi="Arial"/>
        </w:rPr>
        <w:t>c) Aurreko apartatuetan aipatzen den berrikuspenak Foru Diputazioaren 1970eko apirilaren 17ko eta 1972ko azaroaren 24ko erabakietan ezarritako ondorioak izanen ditu, erabaki horiek indarra izaten jarraituko baitute foru lege honetan ezarritakoaren aurka ez doan guztian.</w:t>
      </w:r>
    </w:p>
    <w:p w:rsidR="003E6891" w:rsidRDefault="003E6891" w:rsidP="002A5212">
      <w:pPr>
        <w:pStyle w:val="DICTA-CAPITULO"/>
      </w:pPr>
      <w:r>
        <w:t>III. KAPITULUA</w:t>
      </w:r>
    </w:p>
    <w:p w:rsidR="003E6891" w:rsidRDefault="003E6891" w:rsidP="002A5212">
      <w:pPr>
        <w:pStyle w:val="DICTA-SUBTITULO2"/>
      </w:pPr>
      <w:r>
        <w:t>Bestelako xedapenak</w:t>
      </w:r>
    </w:p>
    <w:p w:rsidR="003E6891" w:rsidRDefault="003E6891" w:rsidP="003E6891">
      <w:pPr>
        <w:keepLines/>
        <w:spacing w:after="300" w:line="340" w:lineRule="exact"/>
        <w:ind w:firstLine="567"/>
        <w:jc w:val="both"/>
        <w:rPr>
          <w:rFonts w:ascii="Arial" w:hAnsi="Arial" w:cs="Arial"/>
        </w:rPr>
      </w:pPr>
      <w:r>
        <w:rPr>
          <w:rFonts w:ascii="Arial" w:hAnsi="Arial"/>
          <w:b/>
        </w:rPr>
        <w:t>12. artikulua.</w:t>
      </w:r>
      <w:r>
        <w:rPr>
          <w:rFonts w:ascii="Arial" w:hAnsi="Arial"/>
        </w:rPr>
        <w:t xml:space="preserve"> Nafarroako administrazio publikoen zerbitzuko langileen arloko presako neurriak.</w:t>
      </w:r>
    </w:p>
    <w:p w:rsidR="003E6891" w:rsidRDefault="003E6891" w:rsidP="003E6891">
      <w:pPr>
        <w:keepLines/>
        <w:spacing w:after="300" w:line="340" w:lineRule="exact"/>
        <w:ind w:firstLine="567"/>
        <w:jc w:val="both"/>
        <w:rPr>
          <w:rFonts w:ascii="Arial" w:hAnsi="Arial" w:cs="Arial"/>
        </w:rPr>
      </w:pPr>
      <w:r>
        <w:rPr>
          <w:rFonts w:ascii="Arial" w:hAnsi="Arial"/>
        </w:rPr>
        <w:t>2018. urtera luzatzen dira Nafarroako administrazio publikoen zerbitzuko langileei dagokienez ekainaren 21eko 13/2012 Foru Legearen 1., 5. eta 8. artikuluetan aurreikusitako presako neurriak.</w:t>
      </w:r>
    </w:p>
    <w:p w:rsidR="003E6891" w:rsidRDefault="003E6891" w:rsidP="003E6891">
      <w:pPr>
        <w:keepLines/>
        <w:spacing w:after="300" w:line="340" w:lineRule="exact"/>
        <w:ind w:firstLine="567"/>
        <w:jc w:val="both"/>
        <w:rPr>
          <w:rFonts w:ascii="Arial" w:hAnsi="Arial" w:cs="Arial"/>
        </w:rPr>
      </w:pPr>
      <w:r>
        <w:rPr>
          <w:rFonts w:ascii="Arial" w:hAnsi="Arial"/>
        </w:rPr>
        <w:t xml:space="preserve">Erretiroa hartzeko gehieneko adinari dagokionez arestiko paragrafoan aipatutako 1. artikuluaren aplikazioak funtzionario guztiak hartuko ditu, funtzionarioa atxikita dagoen gizarte-aurreikuspeneko sistema zein ere den, Nafarroako administrazio publikoen </w:t>
      </w:r>
      <w:proofErr w:type="spellStart"/>
      <w:r>
        <w:rPr>
          <w:rFonts w:ascii="Arial" w:hAnsi="Arial"/>
        </w:rPr>
        <w:t>montepioetako</w:t>
      </w:r>
      <w:proofErr w:type="spellEnd"/>
      <w:r>
        <w:rPr>
          <w:rFonts w:ascii="Arial" w:hAnsi="Arial"/>
        </w:rPr>
        <w:t xml:space="preserve"> funtzionarioen eskubide pasiboen araubide iragankorrari buruzko martxoaren 5eko 10/2003 Foru Legearen aurreko sistemari atxikiak eta araubide horri atxikiak barne.</w:t>
      </w:r>
    </w:p>
    <w:p w:rsidR="003E6891" w:rsidRDefault="003E6891" w:rsidP="003E6891">
      <w:pPr>
        <w:keepLines/>
        <w:spacing w:after="300" w:line="340" w:lineRule="exact"/>
        <w:ind w:firstLine="567"/>
        <w:jc w:val="both"/>
        <w:rPr>
          <w:rFonts w:ascii="Arial" w:hAnsi="Arial" w:cs="Arial"/>
        </w:rPr>
      </w:pPr>
      <w:r>
        <w:rPr>
          <w:rFonts w:ascii="Arial" w:hAnsi="Arial"/>
          <w:b/>
        </w:rPr>
        <w:t>13. artikulua.</w:t>
      </w:r>
      <w:r>
        <w:rPr>
          <w:rFonts w:ascii="Arial" w:hAnsi="Arial"/>
        </w:rPr>
        <w:t xml:space="preserve"> Lanpostuak egokitzea.</w:t>
      </w:r>
    </w:p>
    <w:p w:rsidR="003E6891" w:rsidRDefault="003E6891" w:rsidP="003E6891">
      <w:pPr>
        <w:keepLines/>
        <w:spacing w:after="300" w:line="340" w:lineRule="exact"/>
        <w:ind w:firstLine="567"/>
        <w:jc w:val="both"/>
        <w:rPr>
          <w:rFonts w:ascii="Arial" w:hAnsi="Arial" w:cs="Arial"/>
        </w:rPr>
      </w:pPr>
      <w:r>
        <w:rPr>
          <w:rFonts w:ascii="Arial" w:hAnsi="Arial"/>
        </w:rPr>
        <w:t xml:space="preserve">1. Nafarroako Gobernuari baimena ematen zaio behar diren neurriak har ditzan, </w:t>
      </w:r>
      <w:proofErr w:type="spellStart"/>
      <w:r>
        <w:rPr>
          <w:rFonts w:ascii="Arial" w:hAnsi="Arial"/>
        </w:rPr>
        <w:t>plantilla</w:t>
      </w:r>
      <w:proofErr w:type="spellEnd"/>
      <w:r>
        <w:rPr>
          <w:rFonts w:ascii="Arial" w:hAnsi="Arial"/>
        </w:rPr>
        <w:t xml:space="preserve"> berregituratzeagatik edo eman beharreko zerbitzuengatik edukirik gabe gelditutako lanpostuak, </w:t>
      </w:r>
      <w:proofErr w:type="spellStart"/>
      <w:r>
        <w:rPr>
          <w:rFonts w:ascii="Arial" w:hAnsi="Arial"/>
        </w:rPr>
        <w:t>betegabeak</w:t>
      </w:r>
      <w:proofErr w:type="spellEnd"/>
      <w:r>
        <w:rPr>
          <w:rFonts w:ascii="Arial" w:hAnsi="Arial"/>
        </w:rPr>
        <w:t xml:space="preserve"> ez direnak, bestelako lanpostuetan eraldatzeko. Eginkizunen berresleipenak eta horren ondoriozko lekualdatzeak, maila beraren barnean, salbuespen kasuetan baino ez dira eginen, eta Lehendakaritzako, Funtzio Publikoko, Barneko eta Justiziako Departamentuak berak zuzenean eginen ditu, sindikatuetako ordezkariei entzun ondoren eta ukitutako langileen adostasunarekin.</w:t>
      </w:r>
    </w:p>
    <w:p w:rsidR="003E6891" w:rsidRDefault="003E6891" w:rsidP="003E6891">
      <w:pPr>
        <w:keepLines/>
        <w:spacing w:after="300" w:line="340" w:lineRule="exact"/>
        <w:ind w:firstLine="567"/>
        <w:jc w:val="both"/>
        <w:rPr>
          <w:rFonts w:ascii="Arial" w:hAnsi="Arial" w:cs="Arial"/>
        </w:rPr>
      </w:pPr>
      <w:r>
        <w:rPr>
          <w:rFonts w:ascii="Arial" w:hAnsi="Arial"/>
        </w:rPr>
        <w:lastRenderedPageBreak/>
        <w:t>2. Lanpostu horiek maila bereko bestelako lanpostuetan eraldatzerik ez badago, salbuespen gisa baimena ematen ahalko da beste maila bateko lanpostuei dagozkien eginkizunak berresleitzeko, baldin eta ukitutako langileek horiek betetzeko lanbide kualifikazioa eta gainerako baldintzak betetzen badituzte. Berresleipen hori aldi baterako izanen da beti, gehienez ere harik eta langilearen mailan atxiki edo birmoldatzeko aukera izan arte, eta beti bermatuko da aurretik betetzen zuen lanpostuari zegozkion oinarrizko ordainsari eta ordainsari osagarriak jasoko dituela.</w:t>
      </w:r>
    </w:p>
    <w:p w:rsidR="003E6891" w:rsidRDefault="003E6891" w:rsidP="003E6891">
      <w:pPr>
        <w:keepLines/>
        <w:spacing w:after="300" w:line="340" w:lineRule="exact"/>
        <w:ind w:firstLine="567"/>
        <w:jc w:val="both"/>
        <w:rPr>
          <w:rFonts w:ascii="Arial" w:hAnsi="Arial" w:cs="Arial"/>
        </w:rPr>
      </w:pPr>
      <w:r>
        <w:rPr>
          <w:rFonts w:ascii="Arial" w:hAnsi="Arial"/>
          <w:b/>
        </w:rPr>
        <w:t>14. artikulua.</w:t>
      </w:r>
      <w:r>
        <w:rPr>
          <w:rFonts w:ascii="Arial" w:hAnsi="Arial"/>
        </w:rPr>
        <w:t xml:space="preserve"> Udal funtzionarioen </w:t>
      </w:r>
      <w:proofErr w:type="spellStart"/>
      <w:r>
        <w:rPr>
          <w:rFonts w:ascii="Arial" w:hAnsi="Arial"/>
        </w:rPr>
        <w:t>montepioen</w:t>
      </w:r>
      <w:proofErr w:type="spellEnd"/>
      <w:r>
        <w:rPr>
          <w:rFonts w:ascii="Arial" w:hAnsi="Arial"/>
        </w:rPr>
        <w:t xml:space="preserve"> finantzaketa.</w:t>
      </w:r>
    </w:p>
    <w:p w:rsidR="003E6891" w:rsidRDefault="003E6891" w:rsidP="003E6891">
      <w:pPr>
        <w:keepLines/>
        <w:spacing w:after="300" w:line="340" w:lineRule="exact"/>
        <w:ind w:firstLine="567"/>
        <w:jc w:val="both"/>
        <w:rPr>
          <w:rFonts w:ascii="Arial" w:hAnsi="Arial" w:cs="Arial"/>
        </w:rPr>
      </w:pPr>
      <w:r>
        <w:rPr>
          <w:rFonts w:ascii="Arial" w:hAnsi="Arial"/>
        </w:rPr>
        <w:t xml:space="preserve">1. Nafarroako Gobernuak ekarpena eginen du Nafarroako toki entitateetako funtzionarioen pentsioak finantzatzeko, Udal Funtzionarioen </w:t>
      </w:r>
      <w:proofErr w:type="spellStart"/>
      <w:r>
        <w:rPr>
          <w:rFonts w:ascii="Arial" w:hAnsi="Arial"/>
        </w:rPr>
        <w:t>Montepio</w:t>
      </w:r>
      <w:proofErr w:type="spellEnd"/>
      <w:r>
        <w:rPr>
          <w:rFonts w:ascii="Arial" w:hAnsi="Arial"/>
        </w:rPr>
        <w:t xml:space="preserve"> Orokorrekoak direnen kasuan; ekarpen hori banatuko da Udal Funtzionarioen </w:t>
      </w:r>
      <w:proofErr w:type="spellStart"/>
      <w:r>
        <w:rPr>
          <w:rFonts w:ascii="Arial" w:hAnsi="Arial"/>
        </w:rPr>
        <w:t>Montepio</w:t>
      </w:r>
      <w:proofErr w:type="spellEnd"/>
      <w:r>
        <w:rPr>
          <w:rFonts w:ascii="Arial" w:hAnsi="Arial"/>
        </w:rPr>
        <w:t xml:space="preserve"> Orokorraren kudeaketagatik 2017ko ekitaldian sortutako kostuen ordainketari dagokionez udal bakoitzari esleitu zaion kuotaren araberako proportzioan.</w:t>
      </w:r>
    </w:p>
    <w:p w:rsidR="003E6891" w:rsidRDefault="003E6891" w:rsidP="003E6891">
      <w:pPr>
        <w:keepLines/>
        <w:spacing w:after="300" w:line="340" w:lineRule="exact"/>
        <w:ind w:firstLine="567"/>
        <w:jc w:val="both"/>
        <w:rPr>
          <w:rFonts w:ascii="Arial" w:hAnsi="Arial" w:cs="Arial"/>
        </w:rPr>
      </w:pPr>
      <w:r>
        <w:rPr>
          <w:rFonts w:ascii="Arial" w:hAnsi="Arial"/>
        </w:rPr>
        <w:t xml:space="preserve">2. Halaber, Nafarroako Gobernuak ekarpen bana eginen die Iruñeko, Tuterako eta Tafallako udalei, beraien </w:t>
      </w:r>
      <w:proofErr w:type="spellStart"/>
      <w:r>
        <w:rPr>
          <w:rFonts w:ascii="Arial" w:hAnsi="Arial"/>
        </w:rPr>
        <w:t>montepioen</w:t>
      </w:r>
      <w:proofErr w:type="spellEnd"/>
      <w:r>
        <w:rPr>
          <w:rFonts w:ascii="Arial" w:hAnsi="Arial"/>
        </w:rPr>
        <w:t xml:space="preserve"> kudeaketak 2017ko ekitaldian sortutako kostuen arabera.</w:t>
      </w:r>
    </w:p>
    <w:p w:rsidR="003E6891" w:rsidRDefault="003E6891" w:rsidP="003E6891">
      <w:pPr>
        <w:keepLines/>
        <w:spacing w:after="300" w:line="340" w:lineRule="exact"/>
        <w:ind w:firstLine="567"/>
        <w:jc w:val="both"/>
        <w:rPr>
          <w:rFonts w:ascii="Arial" w:hAnsi="Arial" w:cs="Arial"/>
        </w:rPr>
      </w:pPr>
      <w:r>
        <w:rPr>
          <w:rFonts w:ascii="Arial" w:hAnsi="Arial"/>
        </w:rPr>
        <w:t xml:space="preserve">3. Aurreko apartatuetan ezarritako ekarpenen zenbatekoa izanen da Nafarroako Administrazio Publikoen </w:t>
      </w:r>
      <w:proofErr w:type="spellStart"/>
      <w:r>
        <w:rPr>
          <w:rFonts w:ascii="Arial" w:hAnsi="Arial"/>
        </w:rPr>
        <w:t>montepioetako</w:t>
      </w:r>
      <w:proofErr w:type="spellEnd"/>
      <w:r>
        <w:rPr>
          <w:rFonts w:ascii="Arial" w:hAnsi="Arial"/>
        </w:rPr>
        <w:t xml:space="preserve"> funtzionarioen eskubide pasiboen araubide iragankorrari buruzko martxoaren 5eko 10/2003 Foru Legearen hamargarren xedapen gehigarria aplikatzetik ateratzen dena.</w:t>
      </w:r>
    </w:p>
    <w:p w:rsidR="003E6891" w:rsidRDefault="003E6891" w:rsidP="002A5212">
      <w:pPr>
        <w:pStyle w:val="DICTA-CAPITULO"/>
      </w:pPr>
      <w:r>
        <w:t>III. TITULUA</w:t>
      </w:r>
    </w:p>
    <w:p w:rsidR="003E6891" w:rsidRDefault="003E6891" w:rsidP="002A5212">
      <w:pPr>
        <w:pStyle w:val="DICTA-SUBTITULO2"/>
      </w:pPr>
      <w:r>
        <w:t>Finantza eragiketak</w:t>
      </w:r>
    </w:p>
    <w:p w:rsidR="003E6891" w:rsidRDefault="003E6891" w:rsidP="002A5212">
      <w:pPr>
        <w:pStyle w:val="DICTA-CAPITULO"/>
      </w:pPr>
      <w:r>
        <w:t>I. KAPITULUA</w:t>
      </w:r>
    </w:p>
    <w:p w:rsidR="003E6891" w:rsidRDefault="003E6891" w:rsidP="002A5212">
      <w:pPr>
        <w:pStyle w:val="DICTA-SUBTITULO2"/>
      </w:pPr>
      <w:r>
        <w:t>Abalak eta maileguak ematea</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8" w:name="Ar.15"/>
      <w:bookmarkEnd w:id="8"/>
      <w:r>
        <w:rPr>
          <w:rFonts w:ascii="Arial" w:hAnsi="Arial"/>
          <w:b/>
          <w:bCs/>
        </w:rPr>
        <w:t>15</w:t>
      </w:r>
      <w:r w:rsidR="002225AD">
        <w:rPr>
          <w:rFonts w:ascii="Arial" w:hAnsi="Arial"/>
          <w:b/>
          <w:bCs/>
        </w:rPr>
        <w:t>.</w:t>
      </w:r>
      <w:r>
        <w:rPr>
          <w:rFonts w:ascii="Arial" w:hAnsi="Arial"/>
          <w:b/>
          <w:bCs/>
        </w:rPr>
        <w:t xml:space="preserve"> artikulua.</w:t>
      </w:r>
      <w:r>
        <w:rPr>
          <w:rFonts w:ascii="Arial" w:hAnsi="Arial"/>
        </w:rPr>
        <w:t xml:space="preserve"> </w:t>
      </w:r>
      <w:r>
        <w:rPr>
          <w:rFonts w:ascii="Arial" w:hAnsi="Arial"/>
          <w:iCs/>
        </w:rPr>
        <w:t>Abalak eta maileguak ematea.</w:t>
      </w: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t>1. Nafarroako Gobernuak abalak edo antzeko beste berme batzuk ematen ahalko ditu, gehienez ere 20 milioi euroko zenbatekoa egin arte.</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 xml:space="preserve">Aurreko paragrafoko mugaren barruan, Garapen Ekonomikorako Departamentuari baimena ematen zaio abalak eta </w:t>
      </w:r>
      <w:proofErr w:type="spellStart"/>
      <w:r>
        <w:rPr>
          <w:rFonts w:ascii="Arial" w:hAnsi="Arial"/>
        </w:rPr>
        <w:t>birrabalak</w:t>
      </w:r>
      <w:proofErr w:type="spellEnd"/>
      <w:r>
        <w:rPr>
          <w:rFonts w:ascii="Arial" w:hAnsi="Arial"/>
        </w:rPr>
        <w:t xml:space="preserve"> emateko, enpresei </w:t>
      </w:r>
      <w:r>
        <w:rPr>
          <w:rFonts w:ascii="Arial" w:hAnsi="Arial"/>
        </w:rPr>
        <w:lastRenderedPageBreak/>
        <w:t>finantzaketa eskuratzea errazteko; horretarako, behar diren hitzarmenak izenpetzen ahalko ditu elkar bermatzeko sozietateekin eta finantza-entitateekin.</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Ondare Zerbitzuak txostena emanen du horien guztien gehieneko zenbatekoei buruz.</w:t>
      </w: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t>2. Enpresa-entitate publikoek, fundazio publikoek eta sozietate publikoek abalak edo antzeko beste berme batzuk ematen ahalko dituzte, Nafarroako Gobernuak aldez aurretik baimenduta eta Ogasuneko eta Finantza Politikako Departamentuak proposatuta. Gehienez ere 31 milioi euroko zenbatekoa eginen dute.</w:t>
      </w: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t>3. Nafarroako Ogasun Publikoari buruzko apirilaren 4ko 13/2007 Foru Legearen 75.1 artikuluan ezarritakoaren ondorioetarako, Nafarroako Foru Komunitateko Administrazioak ematen dituen abalen edo gisako beste bermeen gehieneko arrisku bizia 40 milioi euro izanen da. Enpresa-entitate publikoen, fundazio publikoen eta sozietate publikoen kasuan, gehieneko arrisku bizia 111 milioi eurokoa izanen da.</w:t>
      </w: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t>4. Enpresa-entitate publikoek, fundazio publikoek eta sozietate publikoek maileguak ematen ahalko dituzte, Nafarroako Gobernuak aldez aurretik baimenduta eta Ogasuneko eta Finantza Politikako kontseilariak proposatuta. Gehienez ere 25 milioi euroko zenbatekoa eginen dute.</w:t>
      </w: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t xml:space="preserve">5. Nafarroako Ogasun Publikoari buruzko apirilaren 4ko 13/2007 Foru Legearen 82 </w:t>
      </w:r>
      <w:proofErr w:type="spellStart"/>
      <w:r>
        <w:rPr>
          <w:rFonts w:ascii="Arial" w:hAnsi="Arial"/>
        </w:rPr>
        <w:t>ter</w:t>
      </w:r>
      <w:proofErr w:type="spellEnd"/>
      <w:r>
        <w:rPr>
          <w:rFonts w:ascii="Arial" w:hAnsi="Arial"/>
        </w:rPr>
        <w:t xml:space="preserve"> artikuluan ezarritakoaren ondorioetarako, Nafarroako Foru Komunitateko Administrazioak ematen dituen maileguen gehieneko arrisku bizia 50 milioi eurokoa izanen da. Enpresa-entitate publikoen, fundazio publikoen eta sozietate publikoen kasuan, gehieneko arrisku bizia 141 milioi eurokoa izanen da.</w:t>
      </w: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t>6. Artikulu honetan ezarritako mugen kontaketatik kanpo daude Nafarroako Gobernuaren eta bere sozietate publikoen artean nahiz sozietate publiko desberdinek elkarren artean egindako eragiketak, bai maileguenak bai abalenak.</w:t>
      </w: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t>7. Ogasuneko eta Finantza Politikako Departamentuak behar diren prozedurak ezarriko ditu, araudiak finantza zuhurtziaren printzipioari dagokionez ezartzen dituen mugak betetzen direla bermatzeko. Printzipio hori Aurrekontuaren Egonkortasunari eta Finantza Iraunkortasunari buruzko apirilaren 27ko 2/2012 Lege Organikoan zehazturik dago.</w:t>
      </w:r>
    </w:p>
    <w:p w:rsidR="003E6891" w:rsidRDefault="003E6891" w:rsidP="002A5212">
      <w:pPr>
        <w:pStyle w:val="DICTA-CAPITULO"/>
      </w:pPr>
      <w:r>
        <w:lastRenderedPageBreak/>
        <w:t>II. KAPITULUA</w:t>
      </w:r>
    </w:p>
    <w:p w:rsidR="003E6891" w:rsidRDefault="003E6891" w:rsidP="002A5212">
      <w:pPr>
        <w:pStyle w:val="DICTA-SUBTITULO2"/>
      </w:pPr>
      <w:r>
        <w:t>Zorpetzea</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9" w:name="Ar.16"/>
      <w:bookmarkEnd w:id="9"/>
      <w:r>
        <w:rPr>
          <w:rFonts w:ascii="Arial" w:hAnsi="Arial"/>
          <w:b/>
          <w:bCs/>
        </w:rPr>
        <w:t>16. artikulua.</w:t>
      </w:r>
      <w:r>
        <w:rPr>
          <w:rFonts w:ascii="Arial" w:hAnsi="Arial"/>
        </w:rPr>
        <w:t xml:space="preserve"> </w:t>
      </w:r>
      <w:r>
        <w:rPr>
          <w:rFonts w:ascii="Arial" w:hAnsi="Arial"/>
          <w:iCs/>
        </w:rPr>
        <w:t>Zor Publikoa jaulki edo maileguak nahiz kredituak ituntzeko baimena.</w:t>
      </w: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t xml:space="preserve">1. Zorpetze-eragiketak egiteko baimena ematen zaio Nafarroako Gobernuari, muga batekin; alegia, Europako Kontuen Sistemaren arabera (SEC 2010) Nafarroako Foru Komunitateko Administrazioaren azpisektorea osatzen duten entitateen 2018ko abenduaren 31ko saldo biziak ez dezala 82.832.463 euro baino gehiagoko aldeaz gainditu 2018ko urtarrilaren 1ekoa (aurreikusitako defizita </w:t>
      </w:r>
      <w:proofErr w:type="spellStart"/>
      <w:r>
        <w:rPr>
          <w:rFonts w:ascii="Arial" w:hAnsi="Arial"/>
        </w:rPr>
        <w:t>–BPGaren</w:t>
      </w:r>
      <w:proofErr w:type="spellEnd"/>
      <w:r>
        <w:rPr>
          <w:rFonts w:ascii="Arial" w:hAnsi="Arial"/>
        </w:rPr>
        <w:t xml:space="preserve"> %0,4– finantzatzeko).</w:t>
      </w: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t>2. Artikulu honen lehen apartatuan ezarritako muga gainditzen ahalko da baldin eta, hasiera batean aurreikusita ez bazegoen ere, aktibo finantzarioak eratzen badira, betiere Europako Kontuen Sistemak ezarritako irizpideak betetzen badituzte; halaber, Nafarroako Gobernuak eta Ogasuneko eta Administrazio Publikoetako Ministerioak hitzar litzaketen bestelako zorpetze-eragiketak egiteko, Hitzarmen Ekonomikoan xedatutakoaren baitan eta aurrekontu-egonkortasunari buruzko arauek ezartzen dituzten mugak gainditu gabe.</w:t>
      </w: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t>3. Era berean, artikulu honen lehen apartatuan ezarritako muga gainditzen ahalko da Estatuko Administrazio Orokorrarekin sinatutako esparru-hitzarmen baten indarrez egin beharreko azpiegiturak finantzatzeko behar den zenbatekoan.</w:t>
      </w: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t>4. Aurreko apartatuan jasotako zorpetze-eragiketen jaulkipena eta, kasua bada, formalizazioa, eragiketa batean edo batzuetan gauzatzen ahalko dira, eta 2018ko ekitalditik aurrera ere egiten ahalko dira.</w:t>
      </w: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t>5. Nolanahi ere, Nafarroako Gobernuak behar den zorpetze-estrategia hartuko du baimentzen den gehieneko zorpetze-bolumena ez dadila izan Nafarroako Gobernuak eta Ogasuneko eta Administrazio Publikoetako Ministerioak aurrekontuen egonkortasuna dela-eta adostutako mugatik gorakoa.</w:t>
      </w: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t>6. Nafarroako Gobernuak, hiru hilabetean behin, aurreko apartatuetan aurreikusitako zorpetze-eragiketen jaulkipen edo formalizazio guztien berri emanen dio Nafarroako Parlamentuari.</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10" w:name="Ar.17"/>
      <w:bookmarkEnd w:id="10"/>
      <w:r>
        <w:rPr>
          <w:rFonts w:ascii="Arial" w:hAnsi="Arial"/>
          <w:b/>
          <w:bCs/>
        </w:rPr>
        <w:lastRenderedPageBreak/>
        <w:t>17. artikulua.</w:t>
      </w:r>
      <w:r>
        <w:rPr>
          <w:rFonts w:ascii="Arial" w:hAnsi="Arial"/>
        </w:rPr>
        <w:t xml:space="preserve"> </w:t>
      </w:r>
      <w:r>
        <w:rPr>
          <w:rFonts w:ascii="Arial" w:hAnsi="Arial"/>
          <w:iCs/>
        </w:rPr>
        <w:t>Nafarroako Foru Komunitateko administrazio publikoen sektoreko gainerako entitateen zorpetzea.</w:t>
      </w: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t>1. Europako Kontuen Sistemaren arabera Nafarroako Foru Komunitateko administrazio publikoen sektorekoak diren entitateek Ogasuneko eta Finantza Politikako Departamentuaren baimena lortu beharko dute beren zorpetze-eragiketak formalizatu aurretik, eta baimen hori izan gabe hartutako erabakiak erabat deusezak izanen dira.</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Hiru hilabetean behin, Ogasuneko eta Finantza Politikako Departamentuak zorpetze-eragiketa horietarako baimen guztien berri emanen dio Nafarroako Parlamentuari.</w:t>
      </w: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t>2. Aurreko apartatuko entitateei baimenduko zaien gehieneko zorpetze-bolumenak ez ditu gaindituko Nafarroako Gobernuak eta Ogasuneko eta Administrazio Publikoetako Ministerioak aurrekontuen egonkortasuna dela-eta adostutako mugak.</w:t>
      </w: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t>3. Artikulu honen 1. apartatuan aipatzen diren entitateen arduradunak behartuta egonen dira informazioa ematera Ogasuneko eta Finantza Politikako Departamentuak eskatzen dien moduan eta epean, halatan bete egin daitezen Nafarroako Gobernuak eta Ogasuneko eta Administrazio Publikoetako Ministerioak aurrekontuen egonkortasuna dela-eta adostutako konpromisoak.</w:t>
      </w:r>
    </w:p>
    <w:p w:rsidR="003E6891" w:rsidRDefault="003E6891" w:rsidP="002A5212">
      <w:pPr>
        <w:pStyle w:val="DICTA-CAPITULO"/>
      </w:pPr>
      <w:r>
        <w:t>IV. TITULUA</w:t>
      </w:r>
    </w:p>
    <w:p w:rsidR="003E6891" w:rsidRDefault="003E6891" w:rsidP="002A5212">
      <w:pPr>
        <w:pStyle w:val="DICTA-SUBTITULO2"/>
      </w:pPr>
      <w:r>
        <w:t>Toki entitateak</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11" w:name="Ar.18"/>
      <w:bookmarkEnd w:id="11"/>
      <w:r>
        <w:rPr>
          <w:rFonts w:ascii="Arial" w:hAnsi="Arial"/>
          <w:b/>
          <w:bCs/>
        </w:rPr>
        <w:t>18. artikulua.</w:t>
      </w:r>
      <w:r>
        <w:rPr>
          <w:rFonts w:ascii="Arial" w:hAnsi="Arial"/>
        </w:rPr>
        <w:t xml:space="preserve"> </w:t>
      </w:r>
      <w:r>
        <w:rPr>
          <w:rFonts w:ascii="Arial" w:hAnsi="Arial"/>
          <w:iCs/>
        </w:rPr>
        <w:t>Elkarte tradizionalen inbertsioetarako diru-laguntza eta onurak.</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Errege Bardeako Komunitateak eta Erronkari, Zaraitzu eta Aezkoako batzarrek zilegi izanen dute Nafarroako Aurrekontu Orokorretan Nafarroako Ogasun Publikoaren kargura ezarritako ekarpenak eta gainerako onurak jasotzea, beren organo eskudunek onesten dituzten inbertsioetarako.</w:t>
      </w:r>
    </w:p>
    <w:p w:rsidR="003E6891" w:rsidRDefault="003E6891" w:rsidP="002A5212">
      <w:pPr>
        <w:pStyle w:val="DICTA-CAPITULO"/>
      </w:pPr>
      <w:r>
        <w:t>V. TITULUA</w:t>
      </w:r>
    </w:p>
    <w:p w:rsidR="003E6891" w:rsidRDefault="003E6891" w:rsidP="002A5212">
      <w:pPr>
        <w:pStyle w:val="DICTA-SUBTITULO2"/>
      </w:pPr>
      <w:r>
        <w:t>Aurrekontuen kudeaketa</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12" w:name="Ar.19"/>
      <w:bookmarkEnd w:id="12"/>
      <w:r>
        <w:rPr>
          <w:rFonts w:ascii="Arial" w:hAnsi="Arial"/>
          <w:b/>
          <w:bCs/>
        </w:rPr>
        <w:t>19. artikulua.</w:t>
      </w:r>
      <w:r>
        <w:rPr>
          <w:rFonts w:ascii="Arial" w:hAnsi="Arial"/>
        </w:rPr>
        <w:t xml:space="preserve"> </w:t>
      </w:r>
      <w:r>
        <w:rPr>
          <w:rFonts w:ascii="Arial" w:hAnsi="Arial"/>
          <w:iCs/>
        </w:rPr>
        <w:t>Aurreikusitako diru-sarrera handiagoen bidez finantzatzen diren aurrekontu-aldaketak.</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lastRenderedPageBreak/>
        <w:t>Nafarroako Ogasun Publikoari buruzko apirilaren 4ko 13/2007 Foru Legearen II. tituluko I. kapituluko 2. atalean ezarritakoari jarraituz, hasieran aurreikusitakoak baino handiagoak diren diru-sarreren ondorioz kredituak handitzen dituzten aurrekontu-aldaketak onartzeko, haiek gauzatuta egon beharko dute.</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Salbuespen gisa, beste administrazio edo entitate publiko batzuek finantzatutako gastuak direnean, aurrekontuko gastuen egoera-orrian kredituak handitzen ahalko dira kasuko diru-sarrera gertatu gabe, baldin eta dokumentuz frogatzen bada funtsak jarri behar dituen entitatearen edo administrazioaren finantzaketa-konpromisoa, kasu hauetan:</w:t>
      </w:r>
    </w:p>
    <w:p w:rsidR="003E6891" w:rsidRDefault="003E6891" w:rsidP="003E6891">
      <w:pPr>
        <w:pStyle w:val="xl2"/>
        <w:spacing w:before="0" w:beforeAutospacing="0" w:after="300" w:afterAutospacing="0" w:line="340" w:lineRule="exact"/>
        <w:ind w:firstLine="567"/>
        <w:jc w:val="both"/>
        <w:rPr>
          <w:rFonts w:ascii="Arial" w:hAnsi="Arial" w:cs="Arial"/>
        </w:rPr>
      </w:pPr>
      <w:r>
        <w:rPr>
          <w:rFonts w:ascii="Arial" w:hAnsi="Arial"/>
        </w:rPr>
        <w:t>a) Langileria-gastuei aurre egiteko beharrezkoak direnean.</w:t>
      </w:r>
    </w:p>
    <w:p w:rsidR="003E6891" w:rsidRDefault="003E6891" w:rsidP="003E6891">
      <w:pPr>
        <w:pStyle w:val="xl2"/>
        <w:spacing w:before="0" w:beforeAutospacing="0" w:after="300" w:afterAutospacing="0" w:line="340" w:lineRule="exact"/>
        <w:ind w:firstLine="567"/>
        <w:jc w:val="both"/>
        <w:rPr>
          <w:rFonts w:ascii="Arial" w:hAnsi="Arial" w:cs="Arial"/>
        </w:rPr>
      </w:pPr>
      <w:r>
        <w:rPr>
          <w:rFonts w:ascii="Arial" w:hAnsi="Arial"/>
        </w:rPr>
        <w:t>b) Laguntza pertsonaleko edo sozialeko prestazioak helburutzat dituzten aldizkako diru-laguntzei dagozkienean.</w:t>
      </w:r>
    </w:p>
    <w:p w:rsidR="003E6891" w:rsidRDefault="003E6891" w:rsidP="003E6891">
      <w:pPr>
        <w:pStyle w:val="xl2"/>
        <w:spacing w:before="0" w:beforeAutospacing="0" w:after="300" w:afterAutospacing="0" w:line="340" w:lineRule="exact"/>
        <w:ind w:firstLine="567"/>
        <w:jc w:val="both"/>
        <w:rPr>
          <w:rFonts w:ascii="Arial" w:hAnsi="Arial" w:cs="Arial"/>
        </w:rPr>
      </w:pPr>
      <w:r>
        <w:rPr>
          <w:rFonts w:ascii="Arial" w:hAnsi="Arial"/>
        </w:rPr>
        <w:t>c) Finantzaketa diru-itzultze baten bidez jasotzen duten programei dagozkienean. Egiazki izandako gastuek frogatuta egon beharko dute.</w:t>
      </w:r>
    </w:p>
    <w:p w:rsidR="003E6891" w:rsidRDefault="003E6891" w:rsidP="003E6891">
      <w:pPr>
        <w:pStyle w:val="xl2"/>
        <w:spacing w:before="0" w:beforeAutospacing="0" w:after="300" w:afterAutospacing="0" w:line="340" w:lineRule="exact"/>
        <w:ind w:firstLine="567"/>
        <w:jc w:val="both"/>
        <w:rPr>
          <w:rFonts w:ascii="Arial" w:hAnsi="Arial" w:cs="Arial"/>
        </w:rPr>
      </w:pPr>
      <w:r>
        <w:rPr>
          <w:rFonts w:ascii="Arial" w:hAnsi="Arial"/>
        </w:rPr>
        <w:t>d) Beste kasu batzuetan; behar bezala frogatuta eta Nafarroako Gobernuak baimenduta egon beharko dute, eta aurrekontuen arloko departamentu eskudunak txostena egina izan beharko du aurretiaz.</w:t>
      </w:r>
    </w:p>
    <w:p w:rsidR="003E6891" w:rsidRDefault="003E6891" w:rsidP="003E6891">
      <w:pPr>
        <w:keepLines/>
        <w:spacing w:after="300" w:line="340" w:lineRule="exact"/>
        <w:ind w:firstLine="567"/>
        <w:jc w:val="both"/>
        <w:rPr>
          <w:rFonts w:ascii="Arial" w:hAnsi="Arial" w:cs="Arial"/>
        </w:rPr>
      </w:pPr>
      <w:bookmarkStart w:id="13" w:name="Ar.20"/>
      <w:bookmarkEnd w:id="13"/>
      <w:r>
        <w:rPr>
          <w:rFonts w:ascii="Arial" w:hAnsi="Arial"/>
        </w:rPr>
        <w:t>20. artikulua. Ordainsari-igoeren ondoriozko aurrekontu-aldaketak.</w:t>
      </w:r>
    </w:p>
    <w:p w:rsidR="003E6891" w:rsidRDefault="003E6891" w:rsidP="003E6891">
      <w:pPr>
        <w:keepLines/>
        <w:spacing w:after="300" w:line="340" w:lineRule="exact"/>
        <w:ind w:firstLine="567"/>
        <w:jc w:val="both"/>
        <w:rPr>
          <w:rFonts w:ascii="Arial" w:hAnsi="Arial" w:cs="Arial"/>
        </w:rPr>
      </w:pPr>
      <w:r>
        <w:rPr>
          <w:rFonts w:ascii="Arial" w:hAnsi="Arial"/>
        </w:rPr>
        <w:t>6., 7., 8. eta 9. artikuluetan aurreikusitako ordainsari-igoeraren ondoriozko gastuaren egozpena hartzen duten partidak finantzatzeko asmoz “Ordainsari igoera” izeneko 020002-04100-1800-921402 partidaren kargura egiten diren funts mugimenduek ez dituzte bete beharko Nafarroako Ogasun Publikoari buruzko apirilaren 4ko 13/2007 Foru Legearen II. tituluko I. kapituluko 2. ataleko artikuluetan ezarritako mugak.</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14" w:name="Ar.21"/>
      <w:bookmarkEnd w:id="14"/>
      <w:r>
        <w:rPr>
          <w:rFonts w:ascii="Arial" w:hAnsi="Arial"/>
          <w:b/>
          <w:bCs/>
        </w:rPr>
        <w:t>21</w:t>
      </w:r>
      <w:r w:rsidR="00AB751E">
        <w:rPr>
          <w:rFonts w:ascii="Arial" w:hAnsi="Arial"/>
          <w:b/>
          <w:bCs/>
        </w:rPr>
        <w:t>.</w:t>
      </w:r>
      <w:r>
        <w:rPr>
          <w:rFonts w:ascii="Arial" w:hAnsi="Arial"/>
          <w:b/>
          <w:bCs/>
        </w:rPr>
        <w:t xml:space="preserve"> artikulua.</w:t>
      </w:r>
      <w:r>
        <w:rPr>
          <w:rFonts w:ascii="Arial" w:hAnsi="Arial"/>
        </w:rPr>
        <w:t xml:space="preserve"> </w:t>
      </w:r>
      <w:r>
        <w:rPr>
          <w:rFonts w:ascii="Arial" w:hAnsi="Arial"/>
          <w:iCs/>
        </w:rPr>
        <w:t>Nafarroako Parlamentuaren, Kontuen Ganberaren, Arartekoaren eta Nafarroako Kontseiluaren aurrekontu-zuzkidurak.</w:t>
      </w: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t>1. Nafarroako Parlamentuaren, Kontuen Ganberaren eta Arartekoaren aurrekontu-zuzkidurak kasuko Mahaiak, lehendakariak edo arartekoak eskatu ahala gauzatuko dira, irmoki eta aldizka.</w:t>
      </w: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lastRenderedPageBreak/>
        <w:t>2. Nafarroako Kontseilua, bere independentzia organiko eta funtzionalarentzako kalterik gabe, Foru Komunitateko Administrazioaren ekonomia- eta aurrekontu-kudeaketari buruzko araudi orokorraren menpe egonen da.</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 xml:space="preserve">Halaber, haren ekonomia- eta aurrekontu-jarduna Nafarroako Gobernuaren </w:t>
      </w:r>
      <w:proofErr w:type="spellStart"/>
      <w:r>
        <w:rPr>
          <w:rFonts w:ascii="Arial" w:hAnsi="Arial"/>
        </w:rPr>
        <w:t>Kontu-hartzailetza</w:t>
      </w:r>
      <w:proofErr w:type="spellEnd"/>
      <w:r>
        <w:rPr>
          <w:rFonts w:ascii="Arial" w:hAnsi="Arial"/>
        </w:rPr>
        <w:t xml:space="preserve"> Orokorraren kontrolpean egonen da, Nafarroako Foru Komunitateko Administrazioarentzat eta haren erakunde autonomoentzat ezarrita dauden baldintza beretan.</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Nafarroako Kontseiluarentzako transferentzia arruntak, oro har, hiru hilabeteko aurrerapenarekin eginen dira, salbu eta behar handiagoak justifikatzen badira.</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Kapital transferentziak haren lehendakariak eskatzen dituen neurrian eginen dira, eskatze hori eragin duen gastuaren beharra justifikatuta.</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15" w:name="Ar.22"/>
      <w:bookmarkEnd w:id="15"/>
      <w:r>
        <w:rPr>
          <w:rFonts w:ascii="Arial" w:hAnsi="Arial"/>
          <w:b/>
          <w:bCs/>
        </w:rPr>
        <w:t>22. artikulua.</w:t>
      </w:r>
      <w:r>
        <w:rPr>
          <w:rFonts w:ascii="Arial" w:hAnsi="Arial"/>
        </w:rPr>
        <w:t xml:space="preserve"> </w:t>
      </w:r>
      <w:r>
        <w:rPr>
          <w:rFonts w:ascii="Arial" w:hAnsi="Arial"/>
          <w:iCs/>
        </w:rPr>
        <w:t>Funts mugimenduak zorraren interesengatik.</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Aurrekontuaren zuzendari nagusiak baimena ematen ahalko du funts mugimenduak egin daitezen interesak ordaintzekoak diren partiden artean, berdin delarik horien sortzapen-arrazoia zorra, maileguak ala diruzaintzako eragiketak izatea. Ez zaizkie aplikatuko Nafarroako Ogasun Publikoari buruzko apirilaren 4ko 13/2007 Foru Legearen 38. artikuluan eta 44.etik 50.era bitartekoetan ezarritako mugak.</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16" w:name="Ar.23"/>
      <w:bookmarkEnd w:id="16"/>
      <w:r>
        <w:rPr>
          <w:rFonts w:ascii="Arial" w:hAnsi="Arial"/>
          <w:b/>
          <w:bCs/>
        </w:rPr>
        <w:t>23. artikulua.</w:t>
      </w:r>
      <w:r>
        <w:rPr>
          <w:rFonts w:ascii="Arial" w:hAnsi="Arial"/>
        </w:rPr>
        <w:t xml:space="preserve"> </w:t>
      </w:r>
      <w:r>
        <w:rPr>
          <w:rFonts w:ascii="Arial" w:hAnsi="Arial"/>
          <w:iCs/>
        </w:rPr>
        <w:t>Nafarroako Gobernuak Bruselan duen ordezkaritza.</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Nafarroako Gobernuak Bruselan duen ordezkaritzaren ohiko jardunerako behar diren gastu guztiak kutxa finkoko aurrerakinekin edo, hala bada, justifikatu beharreko ordain-aginduekin ordainduko dira.</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17" w:name="Ar.24"/>
      <w:bookmarkStart w:id="18" w:name="Ar.25"/>
      <w:bookmarkEnd w:id="17"/>
      <w:bookmarkEnd w:id="18"/>
      <w:r>
        <w:rPr>
          <w:rFonts w:ascii="Arial" w:hAnsi="Arial"/>
          <w:b/>
          <w:bCs/>
        </w:rPr>
        <w:t>24. artikulua.</w:t>
      </w:r>
      <w:r>
        <w:rPr>
          <w:rFonts w:ascii="Arial" w:hAnsi="Arial"/>
        </w:rPr>
        <w:t xml:space="preserve"> </w:t>
      </w:r>
      <w:r>
        <w:rPr>
          <w:rFonts w:ascii="Arial" w:hAnsi="Arial"/>
          <w:iCs/>
        </w:rPr>
        <w:t>Eskola-ikasliburuen finantzaketa.</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Ikasliburuak eta hezkuntza materiala finantzatzekoak diren kontu-sailen artean edo horien finantzaketa egokirako sortu beharrekoen artean funts mugimenduak egiten ahalko dira, eta mugimendu horiei ez zaizkie aplikatuko Nafarroako Ogasun Publikoari buruzko apirilaren 4ko 13/2007 Foru Legearen 38. artikuluan eta 44.etik 50.era bitartekoetan ezarritako mugak.</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lastRenderedPageBreak/>
        <w:t>Hezkuntza Departamentuko Unibertsitateen eta Hezkuntza Baliabideen zuzendari nagusiak izanen du funts mugimendu horiek baimentzeko eskumena.</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19" w:name="Ar.26"/>
      <w:bookmarkEnd w:id="19"/>
      <w:r>
        <w:rPr>
          <w:rFonts w:ascii="Arial" w:hAnsi="Arial"/>
          <w:b/>
          <w:bCs/>
        </w:rPr>
        <w:t>25. artikulua.</w:t>
      </w:r>
      <w:r>
        <w:rPr>
          <w:rFonts w:ascii="Arial" w:hAnsi="Arial"/>
        </w:rPr>
        <w:t xml:space="preserve"> </w:t>
      </w:r>
      <w:r>
        <w:rPr>
          <w:rFonts w:ascii="Arial" w:hAnsi="Arial"/>
          <w:iCs/>
        </w:rPr>
        <w:t>Funts mugimenduak, unibertsitatez kanpoko ikastetxeen funtzionamendu-gastuen eta ikastetxe publikoen hornikuntza-gastuen artean.</w:t>
      </w:r>
    </w:p>
    <w:p w:rsidR="003E6891" w:rsidRDefault="003E6891" w:rsidP="003E6891">
      <w:pPr>
        <w:spacing w:after="300" w:line="340" w:lineRule="exact"/>
        <w:ind w:firstLine="567"/>
        <w:jc w:val="both"/>
        <w:rPr>
          <w:rFonts w:ascii="Arial" w:hAnsi="Arial" w:cs="Arial"/>
        </w:rPr>
      </w:pPr>
      <w:r>
        <w:rPr>
          <w:rFonts w:ascii="Arial" w:hAnsi="Arial"/>
        </w:rPr>
        <w:t xml:space="preserve">Hezkuntza Departamentuko Unibertsitateen eta Hezkuntza Baliabideen zuzendari nagusiak funts mugimenduak baimentzen ahalko ditu, baldin eta "Unibertsitatez kanpoko ikastetxeen funtzionamenduaren finantzaketa" izeneko 410000-41100-2290-322000 partidaren eta </w:t>
      </w:r>
      <w:r>
        <w:rPr>
          <w:rStyle w:val="Normal1"/>
          <w:rFonts w:ascii="Arial" w:hAnsi="Arial"/>
          <w:sz w:val="24"/>
        </w:rPr>
        <w:t xml:space="preserve">"Ikastetxe publikoen hornikuntza" izeneko 410001-41830-6059-325100 partidaren eta “Lanbide Heziketako ikastetxe publikoen hornikuntza” izeneko 410001-42600-6059-325100 partidaren artekoak badira; eta </w:t>
      </w:r>
      <w:r>
        <w:rPr>
          <w:rFonts w:ascii="Arial" w:hAnsi="Arial"/>
        </w:rPr>
        <w:t>ez zaizkie aplikatuko Nafarroako Ogasun Publikoari buruzko apirilaren 4ko 13/2007 Foru Legeak 38. artikuluan eta 44.etik 50.era bitarteko artikuluetan ezarritako mugak, baldin eta uztailaren 6ko 250/1992 Foru Dekretuaren 17. artikuluari jarraikiz ikastetxeek eginiko eskaeren ondorioz erabakitako mugimenduak badira. Foru dekretu horren bidez Nafarroako Foru Komunitateko ikastetxe publiko ez-unibertsitarioen funtzionamenduak sortzen dituen diru-sarrera eta gastuen araubidea arautu zen.</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20" w:name="Ar.27"/>
      <w:bookmarkEnd w:id="20"/>
      <w:r>
        <w:rPr>
          <w:rFonts w:ascii="Arial" w:hAnsi="Arial"/>
          <w:b/>
          <w:bCs/>
        </w:rPr>
        <w:t>26</w:t>
      </w:r>
      <w:r w:rsidR="00063DA7">
        <w:rPr>
          <w:rFonts w:ascii="Arial" w:hAnsi="Arial"/>
          <w:b/>
          <w:bCs/>
        </w:rPr>
        <w:t>.</w:t>
      </w:r>
      <w:r>
        <w:rPr>
          <w:rFonts w:ascii="Arial" w:hAnsi="Arial"/>
          <w:b/>
          <w:bCs/>
        </w:rPr>
        <w:t xml:space="preserve"> artikulua.</w:t>
      </w:r>
      <w:r>
        <w:rPr>
          <w:rFonts w:ascii="Arial" w:hAnsi="Arial"/>
        </w:rPr>
        <w:t xml:space="preserve"> </w:t>
      </w:r>
      <w:r>
        <w:rPr>
          <w:rFonts w:ascii="Arial" w:hAnsi="Arial"/>
          <w:iCs/>
        </w:rPr>
        <w:t>Eskola-garraioa eta -jantokiak.</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Hezkuntza Departamentuko Unibertsitateen eta Hezkuntza Baliabideen zuzendari nagusiak baimena ematen ahalko du funts mugimenduak egin daitezen eskola-garraiorakoak diren partiden eta eskola-jantokietarakoak direnen eta exekuzio egokirako sortu behar direnen artean, eta funts mugimendu horiei ez zaizkie aplikatuko Nafarroako Ogasun Publikoari buruzko apirilaren 4ko 13/2007 Foru Legearen 38. artikuluan eta 44.etik 50.era bitartekoetan ezarritako mugak.</w:t>
      </w:r>
    </w:p>
    <w:p w:rsidR="00D32B36" w:rsidRDefault="00351857" w:rsidP="007B537A">
      <w:pPr>
        <w:pStyle w:val="DICTA-ENMIENDA"/>
      </w:pPr>
      <w:r>
        <w:tab/>
      </w:r>
      <w:r>
        <w:tab/>
      </w:r>
      <w:r>
        <w:rPr>
          <w:b/>
        </w:rPr>
        <w:t>27. artikulua.</w:t>
      </w:r>
      <w:r>
        <w:t xml:space="preserve"> Ikastetxeak eraikitzea.</w:t>
      </w:r>
    </w:p>
    <w:p w:rsidR="00D32B36" w:rsidRPr="00D32B36" w:rsidRDefault="00D32B36" w:rsidP="00D32B36">
      <w:pPr>
        <w:pStyle w:val="DICTA-ENMIENDA"/>
      </w:pPr>
      <w:r>
        <w:tab/>
      </w:r>
      <w:r>
        <w:tab/>
        <w:t>1. Nafarroako Gobernuko Hezkuntza Departamentuko kontseilariari ahalmena ematen zaio urte anitzeko gastu konpromisoak har ditzan, ikastetxeak, bigarren hezkuntzako institutuak eta lanbide heziketako ikastetxeak eraikitzeko partiden kargura.</w:t>
      </w:r>
    </w:p>
    <w:p w:rsidR="00D32B36" w:rsidRDefault="00D32B36" w:rsidP="007B537A">
      <w:pPr>
        <w:pStyle w:val="DICTA-ENMIENDA"/>
      </w:pPr>
      <w:r>
        <w:tab/>
      </w:r>
      <w:r>
        <w:tab/>
        <w:t xml:space="preserve">2. Hezkuntza Departamentuko Unibertsitateen eta Hezkuntza Baliabideen zuzendari nagusiak baimena ematen ahalko du funts mugimenduak egin daitezen ikastetxeak eta bigarren hezkuntzako institutuak eta  lanbide heziketako ikastetxeak </w:t>
      </w:r>
      <w:r>
        <w:lastRenderedPageBreak/>
        <w:t>eraikitzekoak diren partiden artean, eta funts mugimendu horiei ez zaizkie aplikatuko Nafarroako Ogasun Publikoari buruzko apirilaren 4ko 13/2007 Foru Legearen 38. artikuluan eta 44.etik 50.era bitartekoetan ezarritako mugak.</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21" w:name="Ar.28"/>
      <w:bookmarkEnd w:id="21"/>
      <w:r>
        <w:rPr>
          <w:rFonts w:ascii="Arial" w:hAnsi="Arial"/>
          <w:b/>
          <w:bCs/>
        </w:rPr>
        <w:t>28</w:t>
      </w:r>
      <w:r w:rsidR="00063DA7">
        <w:rPr>
          <w:rFonts w:ascii="Arial" w:hAnsi="Arial"/>
          <w:b/>
          <w:bCs/>
        </w:rPr>
        <w:t>.</w:t>
      </w:r>
      <w:r>
        <w:rPr>
          <w:rFonts w:ascii="Arial" w:hAnsi="Arial"/>
          <w:b/>
          <w:bCs/>
        </w:rPr>
        <w:t xml:space="preserve"> artikulua.</w:t>
      </w:r>
      <w:r>
        <w:rPr>
          <w:rFonts w:ascii="Arial" w:hAnsi="Arial"/>
        </w:rPr>
        <w:t xml:space="preserve"> </w:t>
      </w:r>
      <w:r>
        <w:rPr>
          <w:rFonts w:ascii="Arial" w:hAnsi="Arial"/>
          <w:iCs/>
        </w:rPr>
        <w:t>Ikastetxeen kudeaketa ekonomikoa.</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Hezkuntzari buruzko maiatzaren 3ko 2/2006 Lege Organikoan ezarritako kudeaketa ekonomikoaren autonomiaren barruan, ikastetxe publikoek egindako kontratazioei ez zaizkie aplikatuko Kontratu Publikoei buruzko ekainaren 9ko 6/2006 Foru legearen 73.6 artikuluan ezarritako mugak, eta ez dira kontatuko muga horiek betetzearen ondorioetarako.</w:t>
      </w:r>
    </w:p>
    <w:p w:rsidR="003E6891" w:rsidRDefault="003E6891" w:rsidP="003E6891">
      <w:pPr>
        <w:pStyle w:val="NormalWeb"/>
        <w:spacing w:before="0" w:beforeAutospacing="0" w:after="300" w:afterAutospacing="0" w:line="340" w:lineRule="exact"/>
        <w:ind w:firstLine="567"/>
        <w:jc w:val="both"/>
        <w:rPr>
          <w:rFonts w:ascii="Arial" w:hAnsi="Arial" w:cs="Arial"/>
          <w:iCs/>
        </w:rPr>
      </w:pPr>
      <w:bookmarkStart w:id="22" w:name="Ar.29"/>
      <w:bookmarkEnd w:id="22"/>
      <w:r>
        <w:rPr>
          <w:rFonts w:ascii="Arial" w:hAnsi="Arial"/>
          <w:b/>
          <w:bCs/>
        </w:rPr>
        <w:t>29. artikulua.</w:t>
      </w:r>
      <w:r>
        <w:rPr>
          <w:rFonts w:ascii="Arial" w:hAnsi="Arial"/>
        </w:rPr>
        <w:t xml:space="preserve"> </w:t>
      </w:r>
      <w:r>
        <w:rPr>
          <w:rFonts w:ascii="Arial" w:hAnsi="Arial"/>
          <w:iCs/>
        </w:rPr>
        <w:t>Nafarroako Unibertsitate Publikoaren aurrekontu zuzkidura.</w:t>
      </w:r>
    </w:p>
    <w:p w:rsidR="003E6891" w:rsidRDefault="003E6891" w:rsidP="003E6891">
      <w:pPr>
        <w:keepLines/>
        <w:spacing w:after="300" w:line="340" w:lineRule="exact"/>
        <w:ind w:firstLine="567"/>
        <w:jc w:val="both"/>
        <w:rPr>
          <w:rFonts w:ascii="Arial" w:hAnsi="Arial" w:cs="Arial"/>
        </w:rPr>
      </w:pPr>
      <w:r>
        <w:rPr>
          <w:rFonts w:ascii="Arial" w:hAnsi="Arial"/>
        </w:rPr>
        <w:t>Nafarroako Unibertsitate Publikoaren finantzaketa, hainbat aurrekontu-partidatan jasota dagoena, Nafarroako Gobernuaren eta Nafarroako Unibertsitate Publikoaren arteko finantzaketa-hitzarmenari jarraikiz gauzatuko da.</w:t>
      </w:r>
    </w:p>
    <w:p w:rsidR="003E6891" w:rsidRDefault="003E6891" w:rsidP="003E6891">
      <w:pPr>
        <w:keepLines/>
        <w:spacing w:after="300" w:line="340" w:lineRule="exact"/>
        <w:ind w:firstLine="567"/>
        <w:jc w:val="both"/>
        <w:rPr>
          <w:rFonts w:ascii="Arial" w:hAnsi="Arial" w:cs="Arial"/>
        </w:rPr>
      </w:pPr>
      <w:r>
        <w:rPr>
          <w:rFonts w:ascii="Arial" w:hAnsi="Arial"/>
        </w:rPr>
        <w:t>Transferentzia arruntak, oro har, funtsak aurreratuz ordainduko dira, hiruhilekotan.</w:t>
      </w:r>
    </w:p>
    <w:p w:rsidR="003E6891" w:rsidRDefault="003E6891" w:rsidP="003E6891">
      <w:pPr>
        <w:keepLines/>
        <w:spacing w:after="300" w:line="340" w:lineRule="exact"/>
        <w:ind w:firstLine="567"/>
        <w:jc w:val="both"/>
        <w:rPr>
          <w:rFonts w:ascii="Arial" w:hAnsi="Arial" w:cs="Arial"/>
        </w:rPr>
      </w:pPr>
      <w:r>
        <w:rPr>
          <w:rFonts w:ascii="Arial" w:hAnsi="Arial"/>
        </w:rPr>
        <w:t xml:space="preserve">Kapital-transferentziek finantzatutako inbertsio-proiektuak Nafarroako Unibertsitate Publikoaren </w:t>
      </w:r>
      <w:proofErr w:type="spellStart"/>
      <w:r>
        <w:rPr>
          <w:rFonts w:ascii="Arial" w:hAnsi="Arial"/>
        </w:rPr>
        <w:t>Kudeatzailetzak</w:t>
      </w:r>
      <w:proofErr w:type="spellEnd"/>
      <w:r>
        <w:rPr>
          <w:rFonts w:ascii="Arial" w:hAnsi="Arial"/>
        </w:rPr>
        <w:t xml:space="preserve"> aurretik eskatuta ordainduko dira. Eskaera horri erantsi beharko zaio kasuko gastua gauzatu beharra frogatzen duen dokumentazioa. Gastu horrek Nafarroako Unibertsitate Publikoaren </w:t>
      </w:r>
      <w:proofErr w:type="spellStart"/>
      <w:r>
        <w:rPr>
          <w:rFonts w:ascii="Arial" w:hAnsi="Arial"/>
        </w:rPr>
        <w:t>Kontu-hartzailetzaren</w:t>
      </w:r>
      <w:proofErr w:type="spellEnd"/>
      <w:r>
        <w:rPr>
          <w:rFonts w:ascii="Arial" w:hAnsi="Arial"/>
        </w:rPr>
        <w:t xml:space="preserve"> onespena izan beharko du.</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23" w:name="Ar.30"/>
      <w:bookmarkEnd w:id="23"/>
      <w:r>
        <w:rPr>
          <w:rFonts w:ascii="Arial" w:hAnsi="Arial"/>
          <w:b/>
          <w:bCs/>
        </w:rPr>
        <w:t>30</w:t>
      </w:r>
      <w:r w:rsidR="00CE5DA3">
        <w:rPr>
          <w:rFonts w:ascii="Arial" w:hAnsi="Arial"/>
          <w:b/>
          <w:bCs/>
        </w:rPr>
        <w:t>.</w:t>
      </w:r>
      <w:r>
        <w:rPr>
          <w:rFonts w:ascii="Arial" w:hAnsi="Arial"/>
          <w:b/>
          <w:bCs/>
        </w:rPr>
        <w:t xml:space="preserve"> artikulua.</w:t>
      </w:r>
      <w:r>
        <w:rPr>
          <w:rFonts w:ascii="Arial" w:hAnsi="Arial"/>
        </w:rPr>
        <w:t xml:space="preserve"> </w:t>
      </w:r>
      <w:r>
        <w:rPr>
          <w:rFonts w:ascii="Arial" w:hAnsi="Arial"/>
          <w:iCs/>
        </w:rPr>
        <w:t>Urrutiko Hezkuntzarako Unibertsitate Nazionalaren ikastetxe elkartuen aurrekontuko zuzkidura.</w:t>
      </w:r>
    </w:p>
    <w:p w:rsidR="003E6891" w:rsidRDefault="003E6891" w:rsidP="003E6891">
      <w:pPr>
        <w:pStyle w:val="xa1"/>
        <w:spacing w:before="0" w:beforeAutospacing="0" w:after="300" w:afterAutospacing="0" w:line="340" w:lineRule="exact"/>
        <w:ind w:firstLine="567"/>
        <w:jc w:val="both"/>
        <w:rPr>
          <w:rFonts w:ascii="Arial" w:hAnsi="Arial" w:cs="Arial"/>
        </w:rPr>
      </w:pPr>
      <w:proofErr w:type="spellStart"/>
      <w:r>
        <w:rPr>
          <w:rFonts w:ascii="Arial" w:hAnsi="Arial"/>
        </w:rPr>
        <w:t>UHUNen</w:t>
      </w:r>
      <w:proofErr w:type="spellEnd"/>
      <w:r>
        <w:rPr>
          <w:rFonts w:ascii="Arial" w:hAnsi="Arial"/>
        </w:rPr>
        <w:t xml:space="preserve"> Iruñeko eta Tuterako ikastetxe elkartuen finantzaketarako transferentzia arruntak, oro har, hiru hilabeteko aurrerapenarekin libratuko dira.</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24" w:name="Ar.31"/>
      <w:bookmarkEnd w:id="24"/>
      <w:r>
        <w:rPr>
          <w:rFonts w:ascii="Arial" w:hAnsi="Arial"/>
          <w:b/>
          <w:bCs/>
        </w:rPr>
        <w:t>31. artikulua.</w:t>
      </w:r>
      <w:r>
        <w:rPr>
          <w:rFonts w:ascii="Arial" w:hAnsi="Arial"/>
        </w:rPr>
        <w:t xml:space="preserve"> </w:t>
      </w:r>
      <w:r>
        <w:rPr>
          <w:rFonts w:ascii="Arial" w:hAnsi="Arial"/>
          <w:iCs/>
        </w:rPr>
        <w:t>Diruz lagundutako eta itundutako ikastetxeen sostengua.</w:t>
      </w: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t xml:space="preserve">1. Hezkuntzari buruzko maiatzaren 3ko 2/2006 Lege Organikoaren 117. artikuluan ezarritakoaren arabera, eskola unitate bakoitzeko modulu ekonomikoaren diru kopurua bigarren xedapen gehigarrian ezarritakoa izanen da 2018. urterako, </w:t>
      </w:r>
      <w:r>
        <w:rPr>
          <w:rFonts w:ascii="Arial" w:hAnsi="Arial"/>
        </w:rPr>
        <w:lastRenderedPageBreak/>
        <w:t>diruz lagundutako eta itundutako ikastetxeen sostengurako funts publikoen zenbateko osoa banatzeari dagokionez.</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Nafarroako Gobernuari ahalmena ematen zaio, irakaskuntza itunduaren sektorearekin negoziatu ondoren eta Ogasuneko eta Finantza Politikako Departamentuak aldeko txostena eman ondoren, bigarren xedapen gehigarriko modulu ekonomikoak eta ratioak eta artikulu honen bosgarren apartatuan finkatutako zenbatekoa aldatzeko, bai eta aldaketaren eraginkortasun eguna ezartzeko eta harekin lotutako funts mugimenduak egiteko ere.</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Funts mugimendu horiei ez zaizkie aplikatuko Nafarroako Ogasun Publikoari buruzko apirilaren 4ko 13/2007 Foru Legearen 38. artikuluan eta 44.etik 50.era bitartekoetan ezarritako mugak.</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Irakaskuntzako langileentzat bigarren xedapen gehigarrian jasotako ordainsariei buruzko aurreikuspenek 2018ko urtarrilaren 1etik hasita hartuko dute indarra, Irakaskuntza Pribatuaren Talde Hitzarmenak noiz izenpetzen diren, horretan eraginik izan gabe. Administrazioak konturako ordainketak onartzen ahalko ditu ugazaben erakunde guztiek espresuki horrela eskatu eta sindikatuek esaten dutena entzun ondoren, kasuan kasuko hitzarmena izenpetu arte; konturako ordainketa horiek 2018ko urtarrilaren 1etik aurrera izanen dute eragina.</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"Bestelako gastuetarako" eta, hala balitz, langile osagarrietarako moduluko osagaiak, bigarren xedapen gehigarrian jasotakoak, 2018ko urtarrilaren 1etik aurrera izanen ditu ondorioak.</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Administrazioak, ordainketa eskuordetuaren bidez, zuzenean ordainduko ditu irakasleen soldatentzat adierazita dauden zenbatekoak, karga sozialak barne, irakasleen eta dagokien ikastetxeko titularraren arteko lan harremana galarazi gabe.</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"Bestelako gastuetarako" zenbatekoak ikastetxe itunduei ordainduko zaizkie, eta horiek ikasturte bakoitzaren amaieran justifikatu beharko dute aplikatu direla.</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"Gastu aldakorrak" osatzen dituzten zenbatekoen banaketa eginen da itunen araubideari buruzko xedapenetan ezarritakoaren arabera.</w:t>
      </w: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t xml:space="preserve">2. Egun, Nafarroan irakasten ez direnez berariazko lanbide heziketako titulu guztiak, Hezkuntza Departamentuak behin-behinekoz finkatuko ditu 2018-2019 ikasturtean lehenengo aldiz ezarriko diren eta bigarren xedapen gehigarrian sarturik </w:t>
      </w:r>
      <w:r>
        <w:rPr>
          <w:rFonts w:ascii="Arial" w:hAnsi="Arial"/>
        </w:rPr>
        <w:lastRenderedPageBreak/>
        <w:t>ez dauden erdi edo goi mailako heziketa zikloetako, oinarrizko lanbide heziketako eta lanbide lantegietako modulu ekonomikoak, eta aipaturiko xedapen gehigarri horretan sartutakoak behin-behinekoz aldatzen ahalko ditu; aldaketa horiek 2018-2019 ikasturtearen hasieran izanen dituzte ondorioak, haien ezarpena zein den ikusita.</w:t>
      </w: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t>3. Derrigorrezko Bigarren Hezkuntzako lehen eta bigarren zikloa, Batxilergoa, Goi Mailako edo Erdi Mailako Heziketa Zikloak, Oinarrizko Lanbide Heziketa eta Lanbide Lantegiak ezarri dituzten ikastetxe itunduei finantzaketa emanen zaie Hezkuntzari buruzko maiatzaren 3ko 2/2006 Lege Organikoaren 2.2 artikuluak aipatzen dituen hezkuntza-, psikopedagogia- eta lanbide-orientazioko zerbitzu espezializatuetarako. Finantzaketa hori honako proportzioan eginen da: eginkizun horietan aritzeko gai den profesionalaren lanegun oso bat, aipatu hezkuntza maila horietako 25 unitate itunduko. Hortaz, ikastetxe itunduek eskubidea izanen dute aipatu profesionalaren lanegun horren finantzaketa jasotzeko, maila horretan itunduta daukaten unitate kopuruaren arabera.</w:t>
      </w:r>
    </w:p>
    <w:p w:rsidR="00310F74" w:rsidRDefault="003E6891" w:rsidP="00310F74">
      <w:pPr>
        <w:pStyle w:val="xl1"/>
        <w:spacing w:before="0" w:beforeAutospacing="0" w:after="300" w:afterAutospacing="0" w:line="340" w:lineRule="exact"/>
        <w:ind w:firstLine="567"/>
        <w:jc w:val="both"/>
        <w:rPr>
          <w:rFonts w:ascii="Arial" w:hAnsi="Arial" w:cs="Arial"/>
        </w:rPr>
      </w:pPr>
      <w:r>
        <w:rPr>
          <w:rFonts w:ascii="Arial" w:hAnsi="Arial"/>
        </w:rPr>
        <w:t xml:space="preserve">4. Goi mailako heziketa zikloetako itun berezia partziala izanen da; beraz, derrigorrezkoa ez den mailarako </w:t>
      </w:r>
      <w:proofErr w:type="spellStart"/>
      <w:r>
        <w:rPr>
          <w:rFonts w:ascii="Arial" w:hAnsi="Arial"/>
        </w:rPr>
        <w:t>–goi</w:t>
      </w:r>
      <w:proofErr w:type="spellEnd"/>
      <w:r>
        <w:rPr>
          <w:rFonts w:ascii="Arial" w:hAnsi="Arial"/>
        </w:rPr>
        <w:t xml:space="preserve"> mailako heziketa zikloetarako- izenpeturiko itun berezi partzialen araubideari esleitzen zaizkion funts publikoetatik lorturiko finantzaketaren osagarri gisa ikasleengandik jaso beharreko zenbatekoak, arauturiko irakaskuntza kontzeptuan esklusiboki, hau izanen da: 36 euro ikasle eta hileko, 10 hilabetez, 2018ko urtarrilaren 1etik urte bereko ekainaren 30era arte, eta 2018ko irailaren 1etik urte bereko abenduaren 31ra arte; horretatik kanpo daude Lantokietako Lanbide Heziketakoa baizik ez den ikasturte batean matrikulatuta dauden ikasleak. Horiek 32,45 euro ordainduko dute ikasle eta hileko, 2018-2019 ikasturteko Lantokietako Lanbide Heziketak irauten duen hiru hilean.</w:t>
      </w:r>
    </w:p>
    <w:p w:rsidR="003E6891" w:rsidRDefault="003E6891" w:rsidP="00310F74">
      <w:pPr>
        <w:pStyle w:val="xl1"/>
        <w:spacing w:before="0" w:beforeAutospacing="0" w:after="300" w:afterAutospacing="0" w:line="340" w:lineRule="exact"/>
        <w:ind w:firstLine="567"/>
        <w:jc w:val="both"/>
        <w:rPr>
          <w:rFonts w:ascii="Arial" w:hAnsi="Arial" w:cs="Arial"/>
        </w:rPr>
      </w:pPr>
      <w:r>
        <w:rPr>
          <w:rFonts w:ascii="Arial" w:hAnsi="Arial"/>
        </w:rPr>
        <w:t xml:space="preserve">On </w:t>
      </w:r>
      <w:proofErr w:type="spellStart"/>
      <w:r>
        <w:rPr>
          <w:rFonts w:ascii="Arial" w:hAnsi="Arial"/>
        </w:rPr>
        <w:t>line</w:t>
      </w:r>
      <w:proofErr w:type="spellEnd"/>
      <w:r>
        <w:rPr>
          <w:rFonts w:ascii="Arial" w:hAnsi="Arial"/>
        </w:rPr>
        <w:t xml:space="preserve"> egiten diren goi mailako heziketa zikloetako itun berezia partziala izanen da; hortaz, goi mailako heziketa zikloetako derrigorrezko irakaskuntzakoa ez den mailarako izenpetzen diren itun berezi partzialen araubideari esleitutako funts publikoetatik datorren finantzaketaren </w:t>
      </w:r>
      <w:proofErr w:type="spellStart"/>
      <w:r>
        <w:rPr>
          <w:rFonts w:ascii="Arial" w:hAnsi="Arial"/>
        </w:rPr>
        <w:t>finantzaketa</w:t>
      </w:r>
      <w:proofErr w:type="spellEnd"/>
      <w:r>
        <w:rPr>
          <w:rFonts w:ascii="Arial" w:hAnsi="Arial"/>
        </w:rPr>
        <w:t xml:space="preserve"> osagarriaren kontzeptuan ikasleengandik jasotzekoa den kopurua, irakaskuntza arautuko kontzeptuan soilik, hileko 11,01 eurokoa izanen da ikasleko, eta hamar hilabetez emanen da, 2018ko urtarrilaren 1etik urte bereko ekainaren 30era arte, eta urte bereko irailaren 1etik abenduaren 31ra bitarte. Salbuetsirik daude Lantokietako Lanbide Heziketa baizik ez duen ikastaroan matrikulaturiko ikasleak. Horiek 9,90 euro ordainduko dute ikasle eta hileko, 2018-2019 ikasturteko Lantokietako Lanbide Heziketak irauten duen hiru hilean.</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lastRenderedPageBreak/>
        <w:t>Ikastetxeek ikasleei diru kopuru horiek kobratzearen ondorioz eskuraturiko finantzaketa erabiliko da modulu ekonomikoko "bestelako gastuak" deitutako kapitulurako eta, beraz, Administrazioak "bestelako gastuak" delako atalaren zenbatekoa osatzeko falta den kopurua baizik ez du ordainduko.</w:t>
      </w: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t>5. Zuzendaritzako eginkizunetan laguntzeko, Hezkuntzari buruzko maiatzaren 3ko 2/2006 Lege Organikoaren hogeita zazpigarren xedapen gehigarrian ezarritakoarekin bat, finantzaketaren beharra dago. Hori dela eta, hezkuntza maila eta modalitate ezberdinetako eskola-unitate bakoitzeko modulu ekonomiko guztiek (foru lege honen bosgarren xedapen gehigarria), lantokietako prestakuntza soileko unitateek izan ezik, "bestelako gastuak" kontzeptuan 771,51 euroko kopurua daukate urtean</w:t>
      </w:r>
      <w:r>
        <w:rPr>
          <w:rStyle w:val="Normal1"/>
          <w:rFonts w:ascii="Arial" w:hAnsi="Arial"/>
          <w:sz w:val="24"/>
        </w:rPr>
        <w:t xml:space="preserve">(514,34 euro on </w:t>
      </w:r>
      <w:proofErr w:type="spellStart"/>
      <w:r>
        <w:rPr>
          <w:rStyle w:val="Normal1"/>
          <w:rFonts w:ascii="Arial" w:hAnsi="Arial"/>
          <w:sz w:val="24"/>
        </w:rPr>
        <w:t>line</w:t>
      </w:r>
      <w:proofErr w:type="spellEnd"/>
      <w:r>
        <w:rPr>
          <w:rStyle w:val="Normal1"/>
          <w:rFonts w:ascii="Arial" w:hAnsi="Arial"/>
          <w:sz w:val="24"/>
        </w:rPr>
        <w:t xml:space="preserve"> egiten diren goi mailako heziketa zikloetan)</w:t>
      </w:r>
      <w:r>
        <w:rPr>
          <w:rFonts w:ascii="Arial" w:hAnsi="Arial"/>
        </w:rPr>
        <w:t xml:space="preserve"> zuzendaritza </w:t>
      </w:r>
      <w:proofErr w:type="spellStart"/>
      <w:r>
        <w:rPr>
          <w:rFonts w:ascii="Arial" w:hAnsi="Arial"/>
        </w:rPr>
        <w:t>eta/edo</w:t>
      </w:r>
      <w:proofErr w:type="spellEnd"/>
      <w:r>
        <w:rPr>
          <w:rFonts w:ascii="Arial" w:hAnsi="Arial"/>
        </w:rPr>
        <w:t xml:space="preserve"> pedagogiako eginkizunetako beste kargu batzuk finantzatzeko. Hori zuzendaritza-osagarriaz gain, zeinak "gastu aldakorrak" izeneko atalean baitirau.</w:t>
      </w: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t xml:space="preserve">6. Haur Hezkuntzako eta derrigorrezko irakaskuntzetako ikastetxe itunduek, hezkuntza premia bereziak dituzten edo gizarte edo kultur egoera ahulean dauden ikasleak artatzen dituztenean, bestelako giza baliabideak eta baliabide ekonomikoak izanen dituzte: ikasle horiei arreta emateko laguntza-irakasleak, </w:t>
      </w:r>
      <w:proofErr w:type="spellStart"/>
      <w:r>
        <w:rPr>
          <w:rFonts w:ascii="Arial" w:hAnsi="Arial"/>
        </w:rPr>
        <w:t>logopedia</w:t>
      </w:r>
      <w:proofErr w:type="spellEnd"/>
      <w:r>
        <w:rPr>
          <w:rFonts w:ascii="Arial" w:hAnsi="Arial"/>
        </w:rPr>
        <w:t xml:space="preserve"> zerbitzuak, eta zaindariak edo bestelako pertsonal osagarria.</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Baliabide horien esleipena eginen da behar diren txosten teknikoak izanda, Hezkuntza Departamentuak deialdi publikoa onetsi ondoren.</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25" w:name="Ar.32"/>
      <w:bookmarkEnd w:id="25"/>
      <w:r>
        <w:rPr>
          <w:rFonts w:ascii="Arial" w:hAnsi="Arial"/>
          <w:b/>
          <w:bCs/>
        </w:rPr>
        <w:t>32. artikulua.</w:t>
      </w:r>
      <w:r>
        <w:rPr>
          <w:rFonts w:ascii="Arial" w:hAnsi="Arial"/>
        </w:rPr>
        <w:t xml:space="preserve"> </w:t>
      </w:r>
      <w:r>
        <w:rPr>
          <w:rFonts w:ascii="Arial" w:hAnsi="Arial"/>
          <w:iCs/>
        </w:rPr>
        <w:t>Nafarroako Gobernuko Hezkuntza Departamentuak diruz lagundutako eskola jantokietan zerbitzuak ematen dituzten irakaskuntzako langileen diru-konpentsazioak.</w:t>
      </w: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t>1. Derrigorrezko irakaskuntza mailetan Nafarroako ikastetxe publiko ez-unibertsitarioetako eskola-jantokiak arautzen dituen uztailaren 24ko 246/1991 Foru Dekretuan eta dekretu horretan xedatutakoa garatzeko Hezkuntza eta Kultura kontseilariak emandako maiatzaren 11ko 186/1993 Foru Aginduan xedatutakoari jarraikiz jantokiko administratzaile, arduradun edo zaintzaile lanetan aritzen diren irakasleek honako ordainsari gordin hauek jasoko dituzte zeregin horretan emandako egun bakoitzeko:</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2470"/>
        <w:gridCol w:w="2459"/>
        <w:gridCol w:w="2277"/>
        <w:gridCol w:w="1559"/>
      </w:tblGrid>
      <w:tr w:rsidR="003E6891" w:rsidRPr="00CE5DA3" w:rsidTr="00CE5DA3">
        <w:trPr>
          <w:tblCellSpacing w:w="15" w:type="dxa"/>
          <w:jc w:val="center"/>
        </w:trPr>
        <w:tc>
          <w:tcPr>
            <w:tcW w:w="2425" w:type="dxa"/>
            <w:tcBorders>
              <w:top w:val="outset" w:sz="6" w:space="0" w:color="auto"/>
              <w:left w:val="single" w:sz="4" w:space="0" w:color="auto"/>
              <w:bottom w:val="outset" w:sz="6" w:space="0" w:color="auto"/>
              <w:right w:val="outset" w:sz="6" w:space="0" w:color="auto"/>
            </w:tcBorders>
            <w:shd w:val="clear" w:color="auto" w:fill="C6D9F1" w:themeFill="text2" w:themeFillTint="33"/>
            <w:tcMar>
              <w:top w:w="15" w:type="dxa"/>
              <w:left w:w="15" w:type="dxa"/>
              <w:bottom w:w="15" w:type="dxa"/>
              <w:right w:w="15" w:type="dxa"/>
            </w:tcMar>
            <w:vAlign w:val="center"/>
            <w:hideMark/>
          </w:tcPr>
          <w:p w:rsidR="003E6891" w:rsidRPr="00CE5DA3" w:rsidRDefault="003E6891" w:rsidP="00CE5DA3">
            <w:pPr>
              <w:spacing w:before="20" w:after="20"/>
              <w:jc w:val="center"/>
              <w:rPr>
                <w:rFonts w:asciiTheme="minorHAnsi" w:hAnsiTheme="minorHAnsi" w:cs="Arial"/>
                <w:b/>
                <w:sz w:val="18"/>
                <w:szCs w:val="18"/>
              </w:rPr>
            </w:pPr>
            <w:r w:rsidRPr="00CE5DA3">
              <w:rPr>
                <w:rFonts w:asciiTheme="minorHAnsi" w:hAnsiTheme="minorHAnsi"/>
                <w:b/>
                <w:sz w:val="18"/>
                <w:szCs w:val="18"/>
              </w:rPr>
              <w:t>BAZKALTIAR KOPURUA</w:t>
            </w:r>
          </w:p>
        </w:tc>
        <w:tc>
          <w:tcPr>
            <w:tcW w:w="2429" w:type="dxa"/>
            <w:tcBorders>
              <w:top w:val="outset" w:sz="6" w:space="0" w:color="auto"/>
              <w:left w:val="outset" w:sz="6" w:space="0" w:color="auto"/>
              <w:bottom w:val="outset" w:sz="6" w:space="0" w:color="auto"/>
              <w:right w:val="outset" w:sz="6" w:space="0" w:color="auto"/>
            </w:tcBorders>
            <w:shd w:val="clear" w:color="auto" w:fill="C6D9F1" w:themeFill="text2" w:themeFillTint="33"/>
            <w:tcMar>
              <w:top w:w="15" w:type="dxa"/>
              <w:left w:w="15" w:type="dxa"/>
              <w:bottom w:w="15" w:type="dxa"/>
              <w:right w:w="15" w:type="dxa"/>
            </w:tcMar>
            <w:vAlign w:val="center"/>
            <w:hideMark/>
          </w:tcPr>
          <w:p w:rsidR="003E6891" w:rsidRPr="00CE5DA3" w:rsidRDefault="003E6891" w:rsidP="00CE5DA3">
            <w:pPr>
              <w:spacing w:before="20" w:after="20"/>
              <w:jc w:val="center"/>
              <w:rPr>
                <w:rFonts w:asciiTheme="minorHAnsi" w:hAnsiTheme="minorHAnsi" w:cs="Arial"/>
                <w:b/>
                <w:sz w:val="18"/>
                <w:szCs w:val="18"/>
              </w:rPr>
            </w:pPr>
            <w:r w:rsidRPr="00CE5DA3">
              <w:rPr>
                <w:rFonts w:asciiTheme="minorHAnsi" w:hAnsiTheme="minorHAnsi"/>
                <w:b/>
                <w:sz w:val="18"/>
                <w:szCs w:val="18"/>
              </w:rPr>
              <w:t>JANTOKIKO ARDURADUNA</w:t>
            </w:r>
          </w:p>
        </w:tc>
        <w:tc>
          <w:tcPr>
            <w:tcW w:w="2247" w:type="dxa"/>
            <w:tcBorders>
              <w:top w:val="outset" w:sz="6" w:space="0" w:color="auto"/>
              <w:left w:val="outset" w:sz="6" w:space="0" w:color="auto"/>
              <w:bottom w:val="outset" w:sz="6" w:space="0" w:color="auto"/>
              <w:right w:val="outset" w:sz="6" w:space="0" w:color="auto"/>
            </w:tcBorders>
            <w:shd w:val="clear" w:color="auto" w:fill="C6D9F1" w:themeFill="text2" w:themeFillTint="33"/>
            <w:tcMar>
              <w:top w:w="15" w:type="dxa"/>
              <w:left w:w="15" w:type="dxa"/>
              <w:bottom w:w="15" w:type="dxa"/>
              <w:right w:w="15" w:type="dxa"/>
            </w:tcMar>
            <w:vAlign w:val="center"/>
            <w:hideMark/>
          </w:tcPr>
          <w:p w:rsidR="003E6891" w:rsidRPr="00CE5DA3" w:rsidRDefault="003E6891" w:rsidP="00CE5DA3">
            <w:pPr>
              <w:spacing w:before="20" w:after="20"/>
              <w:jc w:val="center"/>
              <w:rPr>
                <w:rFonts w:asciiTheme="minorHAnsi" w:hAnsiTheme="minorHAnsi" w:cs="Arial"/>
                <w:b/>
                <w:sz w:val="18"/>
                <w:szCs w:val="18"/>
              </w:rPr>
            </w:pPr>
            <w:r w:rsidRPr="00CE5DA3">
              <w:rPr>
                <w:rFonts w:asciiTheme="minorHAnsi" w:hAnsiTheme="minorHAnsi"/>
                <w:b/>
                <w:sz w:val="18"/>
                <w:szCs w:val="18"/>
              </w:rPr>
              <w:t>ADMINISTRATZAILEA</w:t>
            </w:r>
          </w:p>
        </w:tc>
        <w:tc>
          <w:tcPr>
            <w:tcW w:w="1514" w:type="dxa"/>
            <w:tcBorders>
              <w:top w:val="outset" w:sz="6" w:space="0" w:color="auto"/>
              <w:left w:val="outset" w:sz="6" w:space="0" w:color="auto"/>
              <w:bottom w:val="outset" w:sz="6" w:space="0" w:color="auto"/>
              <w:right w:val="nil"/>
            </w:tcBorders>
            <w:shd w:val="clear" w:color="auto" w:fill="C6D9F1" w:themeFill="text2" w:themeFillTint="33"/>
            <w:tcMar>
              <w:top w:w="15" w:type="dxa"/>
              <w:left w:w="15" w:type="dxa"/>
              <w:bottom w:w="15" w:type="dxa"/>
              <w:right w:w="15" w:type="dxa"/>
            </w:tcMar>
            <w:vAlign w:val="center"/>
            <w:hideMark/>
          </w:tcPr>
          <w:p w:rsidR="003E6891" w:rsidRPr="00CE5DA3" w:rsidRDefault="003E6891" w:rsidP="00CE5DA3">
            <w:pPr>
              <w:spacing w:before="20" w:after="20"/>
              <w:jc w:val="center"/>
              <w:rPr>
                <w:rFonts w:asciiTheme="minorHAnsi" w:hAnsiTheme="minorHAnsi" w:cs="Arial"/>
                <w:b/>
                <w:sz w:val="18"/>
                <w:szCs w:val="18"/>
              </w:rPr>
            </w:pPr>
            <w:r w:rsidRPr="00CE5DA3">
              <w:rPr>
                <w:rFonts w:asciiTheme="minorHAnsi" w:hAnsiTheme="minorHAnsi"/>
                <w:b/>
                <w:sz w:val="18"/>
                <w:szCs w:val="18"/>
              </w:rPr>
              <w:t>ZAINTZAILE BAKOITZA</w:t>
            </w:r>
          </w:p>
        </w:tc>
      </w:tr>
      <w:tr w:rsidR="003E6891" w:rsidRPr="00CE5DA3" w:rsidTr="00CE5DA3">
        <w:trPr>
          <w:tblCellSpacing w:w="15" w:type="dxa"/>
          <w:jc w:val="center"/>
        </w:trPr>
        <w:tc>
          <w:tcPr>
            <w:tcW w:w="2425" w:type="dxa"/>
            <w:tcBorders>
              <w:top w:val="outset" w:sz="6" w:space="0" w:color="auto"/>
              <w:left w:val="single" w:sz="4" w:space="0" w:color="auto"/>
              <w:bottom w:val="outset" w:sz="6" w:space="0" w:color="auto"/>
              <w:right w:val="outset" w:sz="6" w:space="0" w:color="auto"/>
            </w:tcBorders>
            <w:tcMar>
              <w:top w:w="15" w:type="dxa"/>
              <w:left w:w="15" w:type="dxa"/>
              <w:bottom w:w="15" w:type="dxa"/>
              <w:right w:w="15" w:type="dxa"/>
            </w:tcMar>
            <w:vAlign w:val="center"/>
            <w:hideMark/>
          </w:tcPr>
          <w:p w:rsidR="003E6891" w:rsidRPr="00CE5DA3" w:rsidRDefault="00CE5DA3" w:rsidP="00CE5DA3">
            <w:pPr>
              <w:spacing w:before="20" w:after="20"/>
              <w:jc w:val="center"/>
              <w:rPr>
                <w:rFonts w:asciiTheme="minorHAnsi" w:hAnsiTheme="minorHAnsi" w:cs="Arial"/>
                <w:sz w:val="18"/>
                <w:szCs w:val="18"/>
              </w:rPr>
            </w:pPr>
            <w:r>
              <w:rPr>
                <w:rFonts w:asciiTheme="minorHAnsi" w:hAnsiTheme="minorHAnsi"/>
                <w:sz w:val="18"/>
                <w:szCs w:val="18"/>
              </w:rPr>
              <w:tab/>
            </w:r>
            <w:r w:rsidR="003E6891" w:rsidRPr="00CE5DA3">
              <w:rPr>
                <w:rFonts w:asciiTheme="minorHAnsi" w:hAnsiTheme="minorHAnsi"/>
                <w:sz w:val="18"/>
                <w:szCs w:val="18"/>
              </w:rPr>
              <w:t>0-80</w:t>
            </w:r>
          </w:p>
        </w:tc>
        <w:tc>
          <w:tcPr>
            <w:tcW w:w="24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E6891" w:rsidRPr="00CE5DA3" w:rsidRDefault="003E6891" w:rsidP="00CE5DA3">
            <w:pPr>
              <w:spacing w:before="20" w:after="20"/>
              <w:jc w:val="center"/>
              <w:rPr>
                <w:rFonts w:asciiTheme="minorHAnsi" w:hAnsiTheme="minorHAnsi" w:cs="Arial"/>
                <w:sz w:val="18"/>
                <w:szCs w:val="18"/>
              </w:rPr>
            </w:pPr>
            <w:r w:rsidRPr="00CE5DA3">
              <w:rPr>
                <w:rFonts w:asciiTheme="minorHAnsi" w:hAnsiTheme="minorHAnsi"/>
                <w:sz w:val="18"/>
                <w:szCs w:val="18"/>
              </w:rPr>
              <w:t>16,63 euro</w:t>
            </w:r>
          </w:p>
        </w:tc>
        <w:tc>
          <w:tcPr>
            <w:tcW w:w="22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E6891" w:rsidRPr="00CE5DA3" w:rsidRDefault="003E6891" w:rsidP="00CE5DA3">
            <w:pPr>
              <w:spacing w:before="20" w:after="20"/>
              <w:jc w:val="center"/>
              <w:rPr>
                <w:rFonts w:asciiTheme="minorHAnsi" w:hAnsiTheme="minorHAnsi" w:cs="Arial"/>
                <w:sz w:val="18"/>
                <w:szCs w:val="18"/>
              </w:rPr>
            </w:pPr>
            <w:r w:rsidRPr="00CE5DA3">
              <w:rPr>
                <w:rFonts w:asciiTheme="minorHAnsi" w:hAnsiTheme="minorHAnsi"/>
                <w:sz w:val="18"/>
                <w:szCs w:val="18"/>
              </w:rPr>
              <w:t>14,71 euro</w:t>
            </w:r>
          </w:p>
        </w:tc>
        <w:tc>
          <w:tcPr>
            <w:tcW w:w="1514"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3E6891" w:rsidRPr="00CE5DA3" w:rsidRDefault="003E6891" w:rsidP="00CE5DA3">
            <w:pPr>
              <w:spacing w:before="20" w:after="20"/>
              <w:jc w:val="center"/>
              <w:rPr>
                <w:rFonts w:asciiTheme="minorHAnsi" w:hAnsiTheme="minorHAnsi" w:cs="Arial"/>
                <w:sz w:val="18"/>
                <w:szCs w:val="18"/>
              </w:rPr>
            </w:pPr>
            <w:r w:rsidRPr="00CE5DA3">
              <w:rPr>
                <w:rFonts w:asciiTheme="minorHAnsi" w:hAnsiTheme="minorHAnsi"/>
                <w:sz w:val="18"/>
                <w:szCs w:val="18"/>
              </w:rPr>
              <w:t>16,63 euro</w:t>
            </w:r>
          </w:p>
        </w:tc>
      </w:tr>
      <w:tr w:rsidR="003E6891" w:rsidRPr="00CE5DA3" w:rsidTr="00CE5DA3">
        <w:trPr>
          <w:tblCellSpacing w:w="15" w:type="dxa"/>
          <w:jc w:val="center"/>
        </w:trPr>
        <w:tc>
          <w:tcPr>
            <w:tcW w:w="2425" w:type="dxa"/>
            <w:tcBorders>
              <w:top w:val="outset" w:sz="6" w:space="0" w:color="auto"/>
              <w:left w:val="single" w:sz="4" w:space="0" w:color="auto"/>
              <w:bottom w:val="outset" w:sz="6" w:space="0" w:color="auto"/>
              <w:right w:val="outset" w:sz="6" w:space="0" w:color="auto"/>
            </w:tcBorders>
            <w:tcMar>
              <w:top w:w="15" w:type="dxa"/>
              <w:left w:w="15" w:type="dxa"/>
              <w:bottom w:w="15" w:type="dxa"/>
              <w:right w:w="15" w:type="dxa"/>
            </w:tcMar>
            <w:vAlign w:val="center"/>
            <w:hideMark/>
          </w:tcPr>
          <w:p w:rsidR="003E6891" w:rsidRPr="00CE5DA3" w:rsidRDefault="003E6891" w:rsidP="00CE5DA3">
            <w:pPr>
              <w:spacing w:before="20" w:after="20"/>
              <w:jc w:val="center"/>
              <w:rPr>
                <w:rFonts w:asciiTheme="minorHAnsi" w:hAnsiTheme="minorHAnsi" w:cs="Arial"/>
                <w:sz w:val="18"/>
                <w:szCs w:val="18"/>
              </w:rPr>
            </w:pPr>
            <w:r w:rsidRPr="00CE5DA3">
              <w:rPr>
                <w:rFonts w:asciiTheme="minorHAnsi" w:hAnsiTheme="minorHAnsi"/>
                <w:sz w:val="18"/>
                <w:szCs w:val="18"/>
              </w:rPr>
              <w:lastRenderedPageBreak/>
              <w:t>81-160</w:t>
            </w:r>
          </w:p>
        </w:tc>
        <w:tc>
          <w:tcPr>
            <w:tcW w:w="24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E6891" w:rsidRPr="00CE5DA3" w:rsidRDefault="003E6891" w:rsidP="00CE5DA3">
            <w:pPr>
              <w:spacing w:before="20" w:after="20"/>
              <w:jc w:val="center"/>
              <w:rPr>
                <w:rFonts w:asciiTheme="minorHAnsi" w:hAnsiTheme="minorHAnsi" w:cs="Arial"/>
                <w:sz w:val="18"/>
                <w:szCs w:val="18"/>
              </w:rPr>
            </w:pPr>
            <w:r w:rsidRPr="00CE5DA3">
              <w:rPr>
                <w:rFonts w:asciiTheme="minorHAnsi" w:hAnsiTheme="minorHAnsi"/>
                <w:sz w:val="18"/>
                <w:szCs w:val="18"/>
              </w:rPr>
              <w:t>18,58 euro</w:t>
            </w:r>
          </w:p>
        </w:tc>
        <w:tc>
          <w:tcPr>
            <w:tcW w:w="22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E6891" w:rsidRPr="00CE5DA3" w:rsidRDefault="003E6891" w:rsidP="00CE5DA3">
            <w:pPr>
              <w:spacing w:before="20" w:after="20"/>
              <w:jc w:val="center"/>
              <w:rPr>
                <w:rFonts w:asciiTheme="minorHAnsi" w:hAnsiTheme="minorHAnsi" w:cs="Arial"/>
                <w:sz w:val="18"/>
                <w:szCs w:val="18"/>
              </w:rPr>
            </w:pPr>
            <w:r w:rsidRPr="00CE5DA3">
              <w:rPr>
                <w:rFonts w:asciiTheme="minorHAnsi" w:hAnsiTheme="minorHAnsi"/>
                <w:sz w:val="18"/>
                <w:szCs w:val="18"/>
              </w:rPr>
              <w:t>14,71 euro</w:t>
            </w:r>
          </w:p>
        </w:tc>
        <w:tc>
          <w:tcPr>
            <w:tcW w:w="1514"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3E6891" w:rsidRPr="00CE5DA3" w:rsidRDefault="003E6891" w:rsidP="00CE5DA3">
            <w:pPr>
              <w:spacing w:before="20" w:after="20"/>
              <w:jc w:val="center"/>
              <w:rPr>
                <w:rFonts w:asciiTheme="minorHAnsi" w:hAnsiTheme="minorHAnsi" w:cs="Arial"/>
                <w:sz w:val="18"/>
                <w:szCs w:val="18"/>
              </w:rPr>
            </w:pPr>
            <w:r w:rsidRPr="00CE5DA3">
              <w:rPr>
                <w:rFonts w:asciiTheme="minorHAnsi" w:hAnsiTheme="minorHAnsi"/>
                <w:sz w:val="18"/>
                <w:szCs w:val="18"/>
              </w:rPr>
              <w:t>16,63 euro</w:t>
            </w:r>
          </w:p>
        </w:tc>
      </w:tr>
      <w:tr w:rsidR="003E6891" w:rsidRPr="00CE5DA3" w:rsidTr="00CE5DA3">
        <w:trPr>
          <w:tblCellSpacing w:w="15" w:type="dxa"/>
          <w:jc w:val="center"/>
        </w:trPr>
        <w:tc>
          <w:tcPr>
            <w:tcW w:w="2425" w:type="dxa"/>
            <w:tcBorders>
              <w:top w:val="outset" w:sz="6" w:space="0" w:color="auto"/>
              <w:left w:val="single" w:sz="4" w:space="0" w:color="auto"/>
              <w:bottom w:val="outset" w:sz="6" w:space="0" w:color="auto"/>
              <w:right w:val="outset" w:sz="6" w:space="0" w:color="auto"/>
            </w:tcBorders>
            <w:tcMar>
              <w:top w:w="15" w:type="dxa"/>
              <w:left w:w="15" w:type="dxa"/>
              <w:bottom w:w="15" w:type="dxa"/>
              <w:right w:w="15" w:type="dxa"/>
            </w:tcMar>
            <w:vAlign w:val="center"/>
            <w:hideMark/>
          </w:tcPr>
          <w:p w:rsidR="003E6891" w:rsidRPr="00CE5DA3" w:rsidRDefault="003E6891" w:rsidP="00CE5DA3">
            <w:pPr>
              <w:spacing w:before="20" w:after="20"/>
              <w:jc w:val="center"/>
              <w:rPr>
                <w:rFonts w:asciiTheme="minorHAnsi" w:hAnsiTheme="minorHAnsi" w:cs="Arial"/>
                <w:sz w:val="18"/>
                <w:szCs w:val="18"/>
              </w:rPr>
            </w:pPr>
            <w:r w:rsidRPr="00CE5DA3">
              <w:rPr>
                <w:rFonts w:asciiTheme="minorHAnsi" w:hAnsiTheme="minorHAnsi"/>
                <w:sz w:val="18"/>
                <w:szCs w:val="18"/>
              </w:rPr>
              <w:t>161-240</w:t>
            </w:r>
          </w:p>
        </w:tc>
        <w:tc>
          <w:tcPr>
            <w:tcW w:w="24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E6891" w:rsidRPr="00CE5DA3" w:rsidRDefault="003E6891" w:rsidP="00CE5DA3">
            <w:pPr>
              <w:spacing w:before="20" w:after="20"/>
              <w:jc w:val="center"/>
              <w:rPr>
                <w:rFonts w:asciiTheme="minorHAnsi" w:hAnsiTheme="minorHAnsi" w:cs="Arial"/>
                <w:sz w:val="18"/>
                <w:szCs w:val="18"/>
              </w:rPr>
            </w:pPr>
            <w:r w:rsidRPr="00CE5DA3">
              <w:rPr>
                <w:rFonts w:asciiTheme="minorHAnsi" w:hAnsiTheme="minorHAnsi"/>
                <w:sz w:val="18"/>
                <w:szCs w:val="18"/>
              </w:rPr>
              <w:t>19,92 euro</w:t>
            </w:r>
          </w:p>
        </w:tc>
        <w:tc>
          <w:tcPr>
            <w:tcW w:w="22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E6891" w:rsidRPr="00CE5DA3" w:rsidRDefault="003E6891" w:rsidP="00CE5DA3">
            <w:pPr>
              <w:spacing w:before="20" w:after="20"/>
              <w:jc w:val="center"/>
              <w:rPr>
                <w:rFonts w:asciiTheme="minorHAnsi" w:hAnsiTheme="minorHAnsi" w:cs="Arial"/>
                <w:sz w:val="18"/>
                <w:szCs w:val="18"/>
              </w:rPr>
            </w:pPr>
            <w:r w:rsidRPr="00CE5DA3">
              <w:rPr>
                <w:rFonts w:asciiTheme="minorHAnsi" w:hAnsiTheme="minorHAnsi"/>
                <w:sz w:val="18"/>
                <w:szCs w:val="18"/>
              </w:rPr>
              <w:t>16,48 euro</w:t>
            </w:r>
          </w:p>
        </w:tc>
        <w:tc>
          <w:tcPr>
            <w:tcW w:w="1514"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3E6891" w:rsidRPr="00CE5DA3" w:rsidRDefault="003E6891" w:rsidP="00CE5DA3">
            <w:pPr>
              <w:spacing w:before="20" w:after="20"/>
              <w:jc w:val="center"/>
              <w:rPr>
                <w:rFonts w:asciiTheme="minorHAnsi" w:hAnsiTheme="minorHAnsi" w:cs="Arial"/>
                <w:sz w:val="18"/>
                <w:szCs w:val="18"/>
              </w:rPr>
            </w:pPr>
            <w:r w:rsidRPr="00CE5DA3">
              <w:rPr>
                <w:rFonts w:asciiTheme="minorHAnsi" w:hAnsiTheme="minorHAnsi"/>
                <w:sz w:val="18"/>
                <w:szCs w:val="18"/>
              </w:rPr>
              <w:t>16,63 euro</w:t>
            </w:r>
          </w:p>
        </w:tc>
      </w:tr>
      <w:tr w:rsidR="003E6891" w:rsidRPr="00CE5DA3" w:rsidTr="00CE5DA3">
        <w:trPr>
          <w:tblCellSpacing w:w="15" w:type="dxa"/>
          <w:jc w:val="center"/>
        </w:trPr>
        <w:tc>
          <w:tcPr>
            <w:tcW w:w="2425" w:type="dxa"/>
            <w:tcBorders>
              <w:top w:val="outset" w:sz="6" w:space="0" w:color="auto"/>
              <w:left w:val="single" w:sz="4" w:space="0" w:color="auto"/>
              <w:bottom w:val="outset" w:sz="6" w:space="0" w:color="auto"/>
              <w:right w:val="outset" w:sz="6" w:space="0" w:color="auto"/>
            </w:tcBorders>
            <w:tcMar>
              <w:top w:w="15" w:type="dxa"/>
              <w:left w:w="15" w:type="dxa"/>
              <w:bottom w:w="15" w:type="dxa"/>
              <w:right w:w="15" w:type="dxa"/>
            </w:tcMar>
            <w:vAlign w:val="center"/>
            <w:hideMark/>
          </w:tcPr>
          <w:p w:rsidR="003E6891" w:rsidRPr="00CE5DA3" w:rsidRDefault="003E6891" w:rsidP="00CE5DA3">
            <w:pPr>
              <w:spacing w:before="20" w:after="20"/>
              <w:jc w:val="center"/>
              <w:rPr>
                <w:rFonts w:asciiTheme="minorHAnsi" w:hAnsiTheme="minorHAnsi" w:cs="Arial"/>
                <w:sz w:val="18"/>
                <w:szCs w:val="18"/>
              </w:rPr>
            </w:pPr>
            <w:r w:rsidRPr="00CE5DA3">
              <w:rPr>
                <w:rFonts w:asciiTheme="minorHAnsi" w:hAnsiTheme="minorHAnsi"/>
                <w:sz w:val="18"/>
                <w:szCs w:val="18"/>
              </w:rPr>
              <w:t>+240</w:t>
            </w:r>
          </w:p>
        </w:tc>
        <w:tc>
          <w:tcPr>
            <w:tcW w:w="24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E6891" w:rsidRPr="00CE5DA3" w:rsidRDefault="003E6891" w:rsidP="00CE5DA3">
            <w:pPr>
              <w:spacing w:before="20" w:after="20"/>
              <w:jc w:val="center"/>
              <w:rPr>
                <w:rFonts w:asciiTheme="minorHAnsi" w:hAnsiTheme="minorHAnsi" w:cs="Arial"/>
                <w:sz w:val="18"/>
                <w:szCs w:val="18"/>
              </w:rPr>
            </w:pPr>
            <w:r w:rsidRPr="00CE5DA3">
              <w:rPr>
                <w:rFonts w:asciiTheme="minorHAnsi" w:hAnsiTheme="minorHAnsi"/>
                <w:sz w:val="18"/>
                <w:szCs w:val="18"/>
              </w:rPr>
              <w:t>20,61 euro</w:t>
            </w:r>
          </w:p>
        </w:tc>
        <w:tc>
          <w:tcPr>
            <w:tcW w:w="22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E6891" w:rsidRPr="00CE5DA3" w:rsidRDefault="003E6891" w:rsidP="00CE5DA3">
            <w:pPr>
              <w:spacing w:before="20" w:after="20"/>
              <w:jc w:val="center"/>
              <w:rPr>
                <w:rFonts w:asciiTheme="minorHAnsi" w:hAnsiTheme="minorHAnsi" w:cs="Arial"/>
                <w:sz w:val="18"/>
                <w:szCs w:val="18"/>
              </w:rPr>
            </w:pPr>
            <w:r w:rsidRPr="00CE5DA3">
              <w:rPr>
                <w:rFonts w:asciiTheme="minorHAnsi" w:hAnsiTheme="minorHAnsi"/>
                <w:sz w:val="18"/>
                <w:szCs w:val="18"/>
              </w:rPr>
              <w:t>18,88 euro</w:t>
            </w:r>
          </w:p>
        </w:tc>
        <w:tc>
          <w:tcPr>
            <w:tcW w:w="1514"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3E6891" w:rsidRPr="00CE5DA3" w:rsidRDefault="003E6891" w:rsidP="00CE5DA3">
            <w:pPr>
              <w:spacing w:before="20" w:after="20"/>
              <w:jc w:val="center"/>
              <w:rPr>
                <w:rFonts w:asciiTheme="minorHAnsi" w:hAnsiTheme="minorHAnsi" w:cs="Arial"/>
                <w:sz w:val="18"/>
                <w:szCs w:val="18"/>
              </w:rPr>
            </w:pPr>
            <w:r w:rsidRPr="00CE5DA3">
              <w:rPr>
                <w:rFonts w:asciiTheme="minorHAnsi" w:hAnsiTheme="minorHAnsi"/>
                <w:sz w:val="18"/>
                <w:szCs w:val="18"/>
              </w:rPr>
              <w:t>16,63 euro</w:t>
            </w:r>
          </w:p>
        </w:tc>
      </w:tr>
    </w:tbl>
    <w:p w:rsidR="00310F74" w:rsidRDefault="00310F74" w:rsidP="003E6891">
      <w:pPr>
        <w:pStyle w:val="xl1"/>
        <w:spacing w:before="0" w:beforeAutospacing="0" w:after="300" w:afterAutospacing="0" w:line="340" w:lineRule="exact"/>
        <w:ind w:firstLine="567"/>
        <w:jc w:val="both"/>
        <w:rPr>
          <w:rFonts w:ascii="Arial" w:hAnsi="Arial" w:cs="Arial"/>
          <w:lang w:val="es-ES_tradnl"/>
        </w:rPr>
      </w:pP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t>2. 40 bazkaltiar arteko jantokietan, jantokiko arduradunaren eta administratzailearen eginkizunak pertsona berak beteko ditu, eta eginkizun horietako bakar batengatik jasoko ditu bere ordainsariak.</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26" w:name="Ar.33"/>
      <w:bookmarkEnd w:id="26"/>
      <w:r>
        <w:rPr>
          <w:rFonts w:ascii="Arial" w:hAnsi="Arial"/>
          <w:b/>
          <w:bCs/>
        </w:rPr>
        <w:t>33</w:t>
      </w:r>
      <w:r w:rsidR="00CE5DA3">
        <w:rPr>
          <w:rFonts w:ascii="Arial" w:hAnsi="Arial"/>
          <w:b/>
          <w:bCs/>
        </w:rPr>
        <w:t>.</w:t>
      </w:r>
      <w:r>
        <w:rPr>
          <w:rFonts w:ascii="Arial" w:hAnsi="Arial"/>
          <w:b/>
          <w:bCs/>
        </w:rPr>
        <w:t xml:space="preserve"> artikulua.</w:t>
      </w:r>
      <w:r>
        <w:rPr>
          <w:rFonts w:ascii="Arial" w:hAnsi="Arial"/>
        </w:rPr>
        <w:t xml:space="preserve"> </w:t>
      </w:r>
      <w:r>
        <w:rPr>
          <w:rFonts w:ascii="Arial" w:hAnsi="Arial"/>
          <w:iCs/>
        </w:rPr>
        <w:t>Irakasleei prestakuntza ikastaroak emateagatiko ordainsariak.</w:t>
      </w: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t>1. Nafarroako Foru Komunitateko Administrazioko eta haren erakunde autonomoetako langileek prestakuntza jardueraren batean irakasle gisa parte hartzen badute, dela Hezkuntza Departamentuak urtero prestatzen duen Irakasleak Prestatzeko Planean jasotakoetan, dela zuzenean Hezkuntza Zuzendaritza Nagusiak edo Irakasleentzako Laguntza Zentroek antolatutakoetan, ordainsaria jasotzen ahalko dute, betiere jarduera hori beren lanalditik kanpora egiten badute. Aipaturiko ordainsariak honakoak izanen dira:</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 xml:space="preserve">Prestakuntza </w:t>
      </w:r>
      <w:proofErr w:type="spellStart"/>
      <w:r>
        <w:rPr>
          <w:rFonts w:ascii="Arial" w:hAnsi="Arial"/>
        </w:rPr>
        <w:t>presentziala</w:t>
      </w:r>
      <w:proofErr w:type="spellEnd"/>
      <w:r>
        <w:rPr>
          <w:rFonts w:ascii="Arial" w:hAnsi="Arial"/>
        </w:rPr>
        <w:t>:</w:t>
      </w:r>
    </w:p>
    <w:p w:rsidR="003E6891" w:rsidRDefault="003E6891" w:rsidP="003E6891">
      <w:pPr>
        <w:pStyle w:val="xl2"/>
        <w:spacing w:before="0" w:beforeAutospacing="0" w:after="300" w:afterAutospacing="0" w:line="340" w:lineRule="exact"/>
        <w:ind w:firstLine="567"/>
        <w:jc w:val="both"/>
        <w:rPr>
          <w:rFonts w:ascii="Arial" w:hAnsi="Arial" w:cs="Arial"/>
        </w:rPr>
      </w:pPr>
      <w:r>
        <w:rPr>
          <w:rFonts w:ascii="Arial" w:hAnsi="Arial"/>
        </w:rPr>
        <w:t xml:space="preserve">a.1: Ponentzia bakoitzeko, hots, aditu batek prestakuntza jarduera batean ematen duen eskola ordu bakoitzeko, </w:t>
      </w:r>
      <w:r>
        <w:rPr>
          <w:rStyle w:val="Normal1"/>
          <w:rFonts w:ascii="Arial" w:hAnsi="Arial"/>
        </w:rPr>
        <w:t>59,25</w:t>
      </w:r>
      <w:r>
        <w:rPr>
          <w:rFonts w:ascii="Arial" w:hAnsi="Arial"/>
        </w:rPr>
        <w:t xml:space="preserve"> euro ordainduko dira, gehienez.</w:t>
      </w:r>
    </w:p>
    <w:p w:rsidR="003E6891" w:rsidRDefault="003E6891" w:rsidP="003E6891">
      <w:pPr>
        <w:pStyle w:val="xl2"/>
        <w:spacing w:before="0" w:beforeAutospacing="0" w:after="300" w:afterAutospacing="0" w:line="340" w:lineRule="exact"/>
        <w:ind w:firstLine="567"/>
        <w:jc w:val="both"/>
        <w:rPr>
          <w:rFonts w:ascii="Arial" w:hAnsi="Arial" w:cs="Arial"/>
        </w:rPr>
      </w:pPr>
      <w:r>
        <w:rPr>
          <w:rFonts w:ascii="Arial" w:hAnsi="Arial"/>
        </w:rPr>
        <w:t xml:space="preserve">a.2: Konferentzia bakoitzeko, hots, aditu batek zientzia, teknologia edo gizarte gai interesgarri bati buruz ematen duen jendaurreko hitzaldia, 90 minututik gorakoa, </w:t>
      </w:r>
      <w:r>
        <w:rPr>
          <w:rStyle w:val="Normal1"/>
          <w:rFonts w:ascii="Arial" w:hAnsi="Arial"/>
        </w:rPr>
        <w:t>361,76</w:t>
      </w:r>
      <w:r>
        <w:rPr>
          <w:rFonts w:ascii="Arial" w:hAnsi="Arial"/>
        </w:rPr>
        <w:t xml:space="preserve"> euro ordainduko da gehienez.</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Urrutiko prestakuntza:</w:t>
      </w:r>
    </w:p>
    <w:p w:rsidR="003E6891" w:rsidRDefault="003E6891" w:rsidP="003E6891">
      <w:pPr>
        <w:pStyle w:val="xl2"/>
        <w:spacing w:before="0" w:beforeAutospacing="0" w:after="300" w:afterAutospacing="0" w:line="340" w:lineRule="exact"/>
        <w:ind w:firstLine="567"/>
        <w:jc w:val="both"/>
        <w:rPr>
          <w:rFonts w:ascii="Arial" w:hAnsi="Arial" w:cs="Arial"/>
        </w:rPr>
      </w:pPr>
      <w:r>
        <w:rPr>
          <w:rFonts w:ascii="Arial" w:hAnsi="Arial"/>
        </w:rPr>
        <w:t xml:space="preserve">b.1: Urrutiko prestakuntza jardueretan koordinatzaile telematiko gisa parte hartzeagatik </w:t>
      </w:r>
      <w:r>
        <w:rPr>
          <w:rStyle w:val="Normal1"/>
          <w:rFonts w:ascii="Arial" w:hAnsi="Arial"/>
        </w:rPr>
        <w:t>1.049,11</w:t>
      </w:r>
      <w:r>
        <w:rPr>
          <w:rFonts w:ascii="Arial" w:hAnsi="Arial"/>
        </w:rPr>
        <w:t xml:space="preserve"> euroko ordaina emanen da gehienez, guztira bost tutore koordinatzeagatik. Koordinatu beharreko tutoreak bost baino gutxiago baldin badira, koordinatzailearentzako ordainsaria proportzioan kalkulatuko da. Koordinatu beharreko tutoreak bost baino gehiago baldin badira, koordinatzaile telematikoak </w:t>
      </w:r>
      <w:r>
        <w:rPr>
          <w:rStyle w:val="Normal1"/>
          <w:rFonts w:ascii="Arial" w:hAnsi="Arial"/>
        </w:rPr>
        <w:t>98,35</w:t>
      </w:r>
      <w:r>
        <w:rPr>
          <w:rFonts w:ascii="Arial" w:hAnsi="Arial"/>
        </w:rPr>
        <w:t xml:space="preserve"> euroko ordainsaria jasoko du tutore bakoitzeko, bosgarren tutoretik aurrera.</w:t>
      </w:r>
    </w:p>
    <w:p w:rsidR="003E6891" w:rsidRDefault="003E6891" w:rsidP="003E6891">
      <w:pPr>
        <w:pStyle w:val="xl2"/>
        <w:spacing w:before="0" w:beforeAutospacing="0" w:after="300" w:afterAutospacing="0" w:line="340" w:lineRule="exact"/>
        <w:ind w:firstLine="567"/>
        <w:jc w:val="both"/>
        <w:rPr>
          <w:rFonts w:ascii="Arial" w:hAnsi="Arial" w:cs="Arial"/>
        </w:rPr>
      </w:pPr>
      <w:r>
        <w:rPr>
          <w:rFonts w:ascii="Arial" w:hAnsi="Arial"/>
        </w:rPr>
        <w:t xml:space="preserve">b.2: Urrutiko prestakuntza jardueretan tutore telematiko gisa parte hartzeagatik </w:t>
      </w:r>
      <w:r>
        <w:rPr>
          <w:rStyle w:val="Normal1"/>
          <w:rFonts w:ascii="Arial" w:hAnsi="Arial"/>
        </w:rPr>
        <w:t>46,99</w:t>
      </w:r>
      <w:r>
        <w:rPr>
          <w:rFonts w:ascii="Arial" w:hAnsi="Arial"/>
        </w:rPr>
        <w:t xml:space="preserve"> euroko ordaina emanen da gehienez, tutoretzapeko ikasle bakoitzeko.</w:t>
      </w: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lastRenderedPageBreak/>
        <w:t>2. Aurreko apartatuan adierazitakoa ez zaie aplikatuko Irakasleentzako Laguntza Zentroetan edo irakaskuntza ez-unibertsitarioko prestakuntza jarduerak diseinatu eta garatzen dituzten unitate organikoetan destinoa duten irakasleei.</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27" w:name="Ar.34"/>
      <w:bookmarkEnd w:id="27"/>
      <w:r>
        <w:rPr>
          <w:rFonts w:ascii="Arial" w:hAnsi="Arial"/>
          <w:b/>
          <w:bCs/>
        </w:rPr>
        <w:t>34. artikulua.</w:t>
      </w:r>
      <w:r>
        <w:rPr>
          <w:rFonts w:ascii="Arial" w:hAnsi="Arial"/>
        </w:rPr>
        <w:t xml:space="preserve"> </w:t>
      </w:r>
      <w:r>
        <w:rPr>
          <w:rFonts w:ascii="Arial" w:hAnsi="Arial"/>
          <w:iCs/>
        </w:rPr>
        <w:t>Nafarroako Goi Mailako Musika Kontserbatorioko ordainsariak eta osagarriak.</w:t>
      </w: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t>1. Nafarroako Goi Mailako Musika Kontserbatorioan beren irakastordu guztiak ematen dituzten Musikako eta Arte Eszenikoetako irakasleei esleitutako irakaskuntzako osagarri berariazkoa Musika eta Arte Eszenikoetako katedradunen kidegoko funtzionarioek jasotzen duten bera izanen da.</w:t>
      </w: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t>2. Nafarroako Goi Mailako Musika Kontserbatorioan beren ordutegiaren parte bat ematen duten Musikako eta Arte Eszenikoetako irakasleen kasuan, Musika eta Arte Eszenikoetako katedradunei esleitutako irakaskuntzako osagarri berariazkoaren eta Musikako eta Arte Eszenikoetako irakasleen kidegoari esleitutakoaren arteko aldea jasoko dute, zentro horretan egindako lanaldiaren ehunekoaren arabera.</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28" w:name="Ar.35"/>
      <w:bookmarkEnd w:id="28"/>
      <w:r>
        <w:rPr>
          <w:rFonts w:ascii="Arial" w:hAnsi="Arial"/>
          <w:b/>
          <w:bCs/>
        </w:rPr>
        <w:t>35</w:t>
      </w:r>
      <w:r w:rsidR="00CE5DA3">
        <w:rPr>
          <w:rFonts w:ascii="Arial" w:hAnsi="Arial"/>
          <w:b/>
          <w:bCs/>
        </w:rPr>
        <w:t>.</w:t>
      </w:r>
      <w:r>
        <w:rPr>
          <w:rFonts w:ascii="Arial" w:hAnsi="Arial"/>
          <w:b/>
          <w:bCs/>
        </w:rPr>
        <w:t xml:space="preserve"> artikulua.</w:t>
      </w:r>
      <w:r>
        <w:rPr>
          <w:rFonts w:ascii="Arial" w:hAnsi="Arial"/>
        </w:rPr>
        <w:t xml:space="preserve"> </w:t>
      </w:r>
      <w:r>
        <w:rPr>
          <w:rFonts w:ascii="Arial" w:hAnsi="Arial"/>
          <w:iCs/>
        </w:rPr>
        <w:t>Kilometroengatiko diru-ordaina, prestakuntza jardueretara joandako irakasleentzat.</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Hezkuntzako zuzendari nagusiaren ebazpenaren  bidez deitutako prestakuntza jardueretara joateko kilometroei dagokien ordainsaria jasotzeko eskubidea izanen dute haietara hezkuntza administrazioak espresuki aginduta joan behar duten irakasleek, betiere eskubide hori espresuki aurreikusirik badago kasuan kasuko ebazpenean.</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29" w:name="Ar.36"/>
      <w:bookmarkEnd w:id="29"/>
      <w:r>
        <w:rPr>
          <w:rFonts w:ascii="Arial" w:hAnsi="Arial"/>
          <w:b/>
          <w:bCs/>
        </w:rPr>
        <w:t>36. artikulua.</w:t>
      </w:r>
      <w:r>
        <w:rPr>
          <w:rFonts w:ascii="Arial" w:hAnsi="Arial"/>
        </w:rPr>
        <w:t xml:space="preserve"> </w:t>
      </w:r>
      <w:r>
        <w:rPr>
          <w:rFonts w:ascii="Arial" w:hAnsi="Arial"/>
          <w:iCs/>
        </w:rPr>
        <w:t>Irakaskuntzako praktiketan dauden funtzionarioen ordainsariak.</w:t>
      </w: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t>1. Irakasle kidegoetan sartzeko izangaiek, praktiketako funtzionario izendatuak badira, honako ordainsari hauek jasoko dituzte, izaera horrek dirauen bitartean: betetzen duten lanpostuaren mailari dagokion oinarrizko soldata eta ordainsari osagarriak, bai eta antzinatasun saria ere, eta Nafarroako Foru Komunitatearen Administrazioan administrazio-araubidean kontrataturiko langileentzat arau orokor gisa ezartzen den beste edozein ordainsari.</w:t>
      </w: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t xml:space="preserve">2. Hautatutako izangaiek, jadanik karrerako irakasle funtzionario izanik </w:t>
      </w:r>
      <w:proofErr w:type="spellStart"/>
      <w:r>
        <w:rPr>
          <w:rFonts w:ascii="Arial" w:hAnsi="Arial"/>
        </w:rPr>
        <w:t>praktikaldia</w:t>
      </w:r>
      <w:proofErr w:type="spellEnd"/>
      <w:r>
        <w:rPr>
          <w:rFonts w:ascii="Arial" w:hAnsi="Arial"/>
        </w:rPr>
        <w:t xml:space="preserve"> egitera doazenek, honako ordainsarien artean aukeratu beharko dute </w:t>
      </w:r>
      <w:proofErr w:type="spellStart"/>
      <w:r>
        <w:rPr>
          <w:rFonts w:ascii="Arial" w:hAnsi="Arial"/>
        </w:rPr>
        <w:t>praktikaldia</w:t>
      </w:r>
      <w:proofErr w:type="spellEnd"/>
      <w:r>
        <w:rPr>
          <w:rFonts w:ascii="Arial" w:hAnsi="Arial"/>
        </w:rPr>
        <w:t xml:space="preserve"> egin bitartean jasotzeko:</w:t>
      </w:r>
    </w:p>
    <w:p w:rsidR="003E6891" w:rsidRDefault="003E6891" w:rsidP="003E6891">
      <w:pPr>
        <w:pStyle w:val="xl2"/>
        <w:spacing w:before="0" w:beforeAutospacing="0" w:after="300" w:afterAutospacing="0" w:line="340" w:lineRule="exact"/>
        <w:ind w:firstLine="567"/>
        <w:jc w:val="both"/>
        <w:rPr>
          <w:rFonts w:ascii="Arial" w:hAnsi="Arial" w:cs="Arial"/>
        </w:rPr>
      </w:pPr>
      <w:r>
        <w:rPr>
          <w:rFonts w:ascii="Arial" w:hAnsi="Arial"/>
        </w:rPr>
        <w:lastRenderedPageBreak/>
        <w:t>a) Lanpostu berdinean eta antzinatasun berarekin karrerako irakasle funtzionario batek Nafarroako Foru Komunitateko Administrazioan osotara jasotzen dituen ordainsariak.</w:t>
      </w:r>
    </w:p>
    <w:p w:rsidR="003E6891" w:rsidRDefault="003E6891" w:rsidP="003E6891">
      <w:pPr>
        <w:pStyle w:val="xl2"/>
        <w:spacing w:before="0" w:beforeAutospacing="0" w:after="300" w:afterAutospacing="0" w:line="340" w:lineRule="exact"/>
        <w:ind w:firstLine="567"/>
        <w:jc w:val="both"/>
        <w:rPr>
          <w:rFonts w:ascii="Arial" w:hAnsi="Arial" w:cs="Arial"/>
        </w:rPr>
      </w:pPr>
      <w:r>
        <w:rPr>
          <w:rFonts w:ascii="Arial" w:hAnsi="Arial"/>
        </w:rPr>
        <w:t xml:space="preserve">b) </w:t>
      </w:r>
      <w:proofErr w:type="spellStart"/>
      <w:r>
        <w:rPr>
          <w:rFonts w:ascii="Arial" w:hAnsi="Arial"/>
        </w:rPr>
        <w:t>Praktikaldiko</w:t>
      </w:r>
      <w:proofErr w:type="spellEnd"/>
      <w:r>
        <w:rPr>
          <w:rFonts w:ascii="Arial" w:hAnsi="Arial"/>
        </w:rPr>
        <w:t xml:space="preserve"> funtzionario izendatuak direneko mailako oinarrizko soldata eta betetzen duten lanpostuaren ordainsari osagarriak; halaber, antzinatasun saria eta Nafarroako Foru Komunitateko Administrazioko administrazio-kontratupeko langileentzat arau orokor gisa ezartzen den beste edozein ordainsari.</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30" w:name="Ar.37"/>
      <w:bookmarkEnd w:id="30"/>
      <w:r>
        <w:rPr>
          <w:rFonts w:ascii="Arial" w:hAnsi="Arial"/>
          <w:b/>
          <w:bCs/>
        </w:rPr>
        <w:t>37. artikulua.</w:t>
      </w:r>
      <w:r>
        <w:rPr>
          <w:rFonts w:ascii="Arial" w:hAnsi="Arial"/>
        </w:rPr>
        <w:t xml:space="preserve"> </w:t>
      </w:r>
      <w:r>
        <w:rPr>
          <w:rFonts w:ascii="Arial" w:hAnsi="Arial"/>
          <w:iCs/>
        </w:rPr>
        <w:t>Irakaskuntzako zenbait lanposturen ordainsari osagarrien aldaketa.</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Nafarroako Gobernuari baimena ematen zaio Maisu-maistren kidegoko funtzionarioen irakaskuntzako osagarri berariazkoaren esleipena aldatzeko, Bigarren Hezkuntzan aniztasunari erantzuteko eginkizunak bete ditzaketen espezialitateetan, baldin eta aurretiaz azterketa bat egiten bada ikastetxeetan jakiteko zenbat diren lanpostu horiek, eta nolakoak, eta, betiere, azterketa horrek guztirako gastua handitzerik ekartzen ez badu.</w:t>
      </w:r>
    </w:p>
    <w:p w:rsidR="003E6891" w:rsidRDefault="003E6891" w:rsidP="003E6891">
      <w:pPr>
        <w:pStyle w:val="NormalWeb"/>
        <w:spacing w:before="0" w:beforeAutospacing="0" w:after="300" w:afterAutospacing="0" w:line="340" w:lineRule="exact"/>
        <w:ind w:firstLine="567"/>
        <w:jc w:val="both"/>
        <w:rPr>
          <w:rFonts w:ascii="Arial" w:hAnsi="Arial" w:cs="Arial"/>
          <w:b/>
          <w:bCs/>
        </w:rPr>
      </w:pPr>
      <w:bookmarkStart w:id="31" w:name="Ar.38"/>
      <w:bookmarkEnd w:id="31"/>
      <w:r>
        <w:rPr>
          <w:rFonts w:ascii="Arial" w:hAnsi="Arial"/>
          <w:b/>
          <w:bCs/>
        </w:rPr>
        <w:t xml:space="preserve">38. artikulua. </w:t>
      </w:r>
      <w:r>
        <w:rPr>
          <w:rFonts w:ascii="Arial" w:hAnsi="Arial"/>
          <w:iCs/>
        </w:rPr>
        <w:t>Ikerkuntzaren sustapena.</w:t>
      </w:r>
    </w:p>
    <w:p w:rsidR="003E6891" w:rsidRDefault="003E6891" w:rsidP="003E6891">
      <w:pPr>
        <w:tabs>
          <w:tab w:val="left" w:pos="284"/>
          <w:tab w:val="left" w:pos="567"/>
          <w:tab w:val="left" w:pos="992"/>
        </w:tabs>
        <w:spacing w:after="300" w:line="340" w:lineRule="exact"/>
        <w:ind w:firstLine="567"/>
        <w:jc w:val="both"/>
        <w:rPr>
          <w:rFonts w:ascii="Arial" w:hAnsi="Arial" w:cs="Arial"/>
        </w:rPr>
      </w:pPr>
      <w:r>
        <w:rPr>
          <w:rFonts w:ascii="Arial" w:hAnsi="Arial"/>
        </w:rPr>
        <w:t>Osasun zientzietan Osasun Departamentuak sustatzen dituen ikerketa-proiektuak haren inbertsio berekitzat joko dira, eta ez zaie aplikatuko azaroaren 9ko 11/2005 Foru Legea, Diru-laguntzei buruzkoa, salbu eta aurrerakinei dagokienez, zeinak arau horretan ezarritakoaren arabera antolatuko baitira.</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32" w:name="Ar.39"/>
      <w:bookmarkEnd w:id="32"/>
      <w:r>
        <w:rPr>
          <w:rFonts w:ascii="Arial" w:hAnsi="Arial"/>
          <w:b/>
          <w:bCs/>
        </w:rPr>
        <w:t>39. artikulua.</w:t>
      </w:r>
      <w:r>
        <w:rPr>
          <w:rFonts w:ascii="Arial" w:hAnsi="Arial"/>
        </w:rPr>
        <w:t xml:space="preserve"> </w:t>
      </w:r>
      <w:r>
        <w:rPr>
          <w:rFonts w:ascii="Arial" w:hAnsi="Arial"/>
          <w:iCs/>
        </w:rPr>
        <w:t>Organoen transplanteen sustapena.</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Ospitaleek organoen transplanteak sustatzeko jasotzen duten diru kopuru helburuduna ondasun arruntetako eta zerbitzuetako gastuetan nahiz ondasun inbentariagarrietako gastuetan erabiltzen ahalko da, jasotako diru horren helburuarekin zerikusia baldin badute betiere.</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33" w:name="Ar.40"/>
      <w:bookmarkEnd w:id="33"/>
      <w:r>
        <w:rPr>
          <w:rFonts w:ascii="Arial" w:hAnsi="Arial"/>
          <w:b/>
          <w:bCs/>
        </w:rPr>
        <w:t>40. artikulua.</w:t>
      </w:r>
      <w:r>
        <w:rPr>
          <w:rFonts w:ascii="Arial" w:hAnsi="Arial"/>
        </w:rPr>
        <w:t xml:space="preserve"> </w:t>
      </w:r>
      <w:r>
        <w:rPr>
          <w:rFonts w:ascii="Arial" w:hAnsi="Arial"/>
          <w:iCs/>
        </w:rPr>
        <w:t xml:space="preserve">Gehikuntza izan dezaketen kredituen kudeaketa </w:t>
      </w:r>
      <w:proofErr w:type="spellStart"/>
      <w:r>
        <w:rPr>
          <w:rFonts w:ascii="Arial" w:hAnsi="Arial"/>
          <w:iCs/>
        </w:rPr>
        <w:t>Osasunbidea-Nafarroako</w:t>
      </w:r>
      <w:proofErr w:type="spellEnd"/>
      <w:r>
        <w:rPr>
          <w:rFonts w:ascii="Arial" w:hAnsi="Arial"/>
          <w:iCs/>
        </w:rPr>
        <w:t xml:space="preserve"> Osasun Zerbitzuan.</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 xml:space="preserve">Foru lege honen 5. artikuluko 4. apartatuan, a) eta g) letretan, 54 programa-multzoko zenbait partidak gehikuntza izan dezakete, eta </w:t>
      </w:r>
      <w:proofErr w:type="spellStart"/>
      <w:r>
        <w:rPr>
          <w:rFonts w:ascii="Arial" w:hAnsi="Arial"/>
        </w:rPr>
        <w:t>Osasunbidea-Nafarroako</w:t>
      </w:r>
      <w:proofErr w:type="spellEnd"/>
      <w:r>
        <w:rPr>
          <w:rFonts w:ascii="Arial" w:hAnsi="Arial"/>
        </w:rPr>
        <w:t xml:space="preserve"> Osasun Zerbitzuko zuzendari kudeatzaileak horien artean funts mugimenduak </w:t>
      </w:r>
      <w:r>
        <w:rPr>
          <w:rFonts w:ascii="Arial" w:hAnsi="Arial"/>
        </w:rPr>
        <w:lastRenderedPageBreak/>
        <w:t>egiteko baimena eman dezake, Nafarroako Ogasun Publikoari buruzko apirilaren 4ko 13/2007 Foru Legearen 38. artikuluan eta 44.etik 50.era bitartekoetan ezarritako mugak bete beharrik gabe.</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34" w:name="Ar.41"/>
      <w:bookmarkEnd w:id="34"/>
      <w:r>
        <w:rPr>
          <w:rFonts w:ascii="Arial" w:hAnsi="Arial"/>
          <w:b/>
          <w:bCs/>
        </w:rPr>
        <w:t>41. artikulua.</w:t>
      </w:r>
      <w:r>
        <w:rPr>
          <w:rFonts w:ascii="Arial" w:hAnsi="Arial"/>
        </w:rPr>
        <w:t xml:space="preserve"> </w:t>
      </w:r>
      <w:r>
        <w:rPr>
          <w:rFonts w:ascii="Arial" w:hAnsi="Arial"/>
          <w:iCs/>
        </w:rPr>
        <w:t>Sindikatuak eta enpresaburuen elkarteak.</w:t>
      </w:r>
    </w:p>
    <w:p w:rsidR="003E6891" w:rsidRPr="002A5212"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 xml:space="preserve">Garapen Ekonomikorako Departamentuaren aurrekontuko  810012-81500-4819-494108 partida, "Sindikatuentzako transferentziak, haien </w:t>
      </w:r>
      <w:proofErr w:type="spellStart"/>
      <w:r>
        <w:rPr>
          <w:rFonts w:ascii="Arial" w:hAnsi="Arial"/>
        </w:rPr>
        <w:t>ordezkaritasunaren</w:t>
      </w:r>
      <w:proofErr w:type="spellEnd"/>
      <w:r>
        <w:rPr>
          <w:rFonts w:ascii="Arial" w:hAnsi="Arial"/>
        </w:rPr>
        <w:t xml:space="preserve"> arabera" izenekoa, haien guztien artean banatuko da bakoitzak Foru Komunitatean duen ordezkaritzaren arabera, eta horretarako 2014ko urtarrilaren 1etik 2017ko abenduaren 31ra bitarte egindako hauteskundeetako eta boto-kontaketetako aktetan adierazitako emaitzak hartuko dira kontuan. Ordezkaritza-agintea indardun izan beharko dute azken data horretan, hala ezarrita baitago </w:t>
      </w:r>
      <w:r>
        <w:rPr>
          <w:rStyle w:val="Normal1"/>
          <w:rFonts w:ascii="Arial" w:hAnsi="Arial"/>
          <w:sz w:val="24"/>
        </w:rPr>
        <w:t>Garapen Ekonomikorako kontseilariaren ekainaren 16ko 26E/2017 Foru Aginduan. Foru agindu horren bidez, sindikatuei beren jarduera arruntak gauzatzeko ematen zaien diru-laguntzaren araubidea ezarri da, Nafarroan lortutako ordezkari kopuruaren arabera.</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810012-81500-4819-494103 partida, “Sindikatuen hauteskunde prozesua jarraitzeko batzordea osatzen duten sindikatuei bertan parte hartzeagatik egin beharreko ordainketa” izenekoa, urriaren 3ko 182/1994 Foru Dekretuaren bidez sorturiko batzorde horretan parte hartzen duten sindikatuen artean banatuko da, bertan duten pertsona kopuruaren proportzioan.</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810012-81500-4819-494114 partida, “Gizarte ekonomiako entitateak sustatu eta mantentzea. ANEL” izenekoa, Nafarroako Lan Enpresen Elkartea (ANEL) izenekoaren azpiegitura- eta mantentze-lanen gastuak ordaintzeko erabiliko da, gizarte ekonomia bultzatu, garatu, sustatu eta indartzeko duen xedea bete ahal izan dezan.</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950002-96200-4819-242106 partida, "Prestakuntza-premiak ikertu eta planifikatzeko jardueretan parte hartzeagatiko konpentsazioa” izenekoa, banatuko da Lan arloan enplegurako lanbide heziketako sistema arautzen duen irailaren 9ko 30/2015 Legean aurreikusitakoari jarraikiz.</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 xml:space="preserve">810012-81500-4819-494113 partida, "Enpresa erakundeentzako transferentzia, haien </w:t>
      </w:r>
      <w:proofErr w:type="spellStart"/>
      <w:r>
        <w:rPr>
          <w:rFonts w:ascii="Arial" w:hAnsi="Arial"/>
        </w:rPr>
        <w:t>ordezkaritasunaren</w:t>
      </w:r>
      <w:proofErr w:type="spellEnd"/>
      <w:r>
        <w:rPr>
          <w:rFonts w:ascii="Arial" w:hAnsi="Arial"/>
        </w:rPr>
        <w:t xml:space="preserve"> arabera. CEN" izenekoa, Nafarroako Enpresaburuen Konfederazioaren azpiegitura- eta funtzionamendu-gastuak ordaintzeko izanen da.</w:t>
      </w:r>
    </w:p>
    <w:p w:rsidR="003E6891" w:rsidRDefault="003E6891" w:rsidP="003E6891">
      <w:pPr>
        <w:keepLines/>
        <w:spacing w:after="300" w:line="340" w:lineRule="exact"/>
        <w:ind w:firstLine="567"/>
        <w:jc w:val="both"/>
        <w:rPr>
          <w:rFonts w:ascii="Arial" w:hAnsi="Arial" w:cs="Arial"/>
        </w:rPr>
      </w:pPr>
      <w:r>
        <w:rPr>
          <w:rFonts w:ascii="Arial" w:hAnsi="Arial"/>
        </w:rPr>
        <w:lastRenderedPageBreak/>
        <w:t xml:space="preserve">810012-81500-4819-494111 partida, “Eragile sozial eta </w:t>
      </w:r>
      <w:proofErr w:type="spellStart"/>
      <w:r>
        <w:rPr>
          <w:rFonts w:ascii="Arial" w:hAnsi="Arial"/>
        </w:rPr>
        <w:t>enpresarialentzako</w:t>
      </w:r>
      <w:proofErr w:type="spellEnd"/>
      <w:r>
        <w:rPr>
          <w:rFonts w:ascii="Arial" w:hAnsi="Arial"/>
        </w:rPr>
        <w:t xml:space="preserve"> transferentzia, haien parte-hartzearen araberakoa” izenekoa, eragile sozialen eta </w:t>
      </w:r>
      <w:proofErr w:type="spellStart"/>
      <w:r>
        <w:rPr>
          <w:rFonts w:ascii="Arial" w:hAnsi="Arial"/>
        </w:rPr>
        <w:t>enpresarialen</w:t>
      </w:r>
      <w:proofErr w:type="spellEnd"/>
      <w:r>
        <w:rPr>
          <w:rFonts w:ascii="Arial" w:hAnsi="Arial"/>
        </w:rPr>
        <w:t xml:space="preserve"> parte-hartze instituzionala sustatzeko izanen da, hala ezarrita baitago Garapen Ekonomikorako kontseilariaren 222/2016 Foru Aginduan. Foru agindu horren bidez erakunde sindikalek eta enpresaburuen erakundeek parte hartzeagatik jasoko dituzten konpentsazioak arautzen dira.</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35" w:name="Ar.42"/>
      <w:bookmarkEnd w:id="35"/>
      <w:r>
        <w:rPr>
          <w:rFonts w:ascii="Arial" w:hAnsi="Arial"/>
          <w:b/>
          <w:bCs/>
        </w:rPr>
        <w:t>42</w:t>
      </w:r>
      <w:r w:rsidR="00CE5DA3">
        <w:rPr>
          <w:rFonts w:ascii="Arial" w:hAnsi="Arial"/>
          <w:b/>
          <w:bCs/>
        </w:rPr>
        <w:t>.</w:t>
      </w:r>
      <w:r>
        <w:rPr>
          <w:rFonts w:ascii="Arial" w:hAnsi="Arial"/>
          <w:b/>
          <w:bCs/>
        </w:rPr>
        <w:t xml:space="preserve"> artikulua.</w:t>
      </w:r>
      <w:r>
        <w:rPr>
          <w:rFonts w:ascii="Arial" w:hAnsi="Arial"/>
        </w:rPr>
        <w:t xml:space="preserve"> </w:t>
      </w:r>
      <w:r>
        <w:rPr>
          <w:rFonts w:ascii="Arial" w:hAnsi="Arial"/>
          <w:iCs/>
        </w:rPr>
        <w:t>Gastu konpromisoak etorkizuneko aurrekontuen kargura.</w:t>
      </w: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t>1. Nafarroako Gobernuak zilegi izanen du urte anitzeko gastu konpromisoak hartzeko baimena ematea, Nafarroako Ogasun Publikoari buruzko apirilaren 4ko 13/2007 Foru Legeak baimentzen dituenaz gain, kasu hauetan:</w:t>
      </w:r>
    </w:p>
    <w:p w:rsidR="003E6891" w:rsidRDefault="003E6891" w:rsidP="003E6891">
      <w:pPr>
        <w:pStyle w:val="xl2"/>
        <w:spacing w:before="0" w:beforeAutospacing="0" w:after="300" w:afterAutospacing="0" w:line="340" w:lineRule="exact"/>
        <w:ind w:firstLine="567"/>
        <w:jc w:val="both"/>
        <w:rPr>
          <w:rFonts w:ascii="Arial" w:hAnsi="Arial" w:cs="Arial"/>
        </w:rPr>
      </w:pPr>
      <w:r>
        <w:rPr>
          <w:rFonts w:ascii="Arial" w:hAnsi="Arial"/>
        </w:rPr>
        <w:t>a) Etxebizitza babestuen sustatzaileei, eskuratzaileei, erabiltzaileei eta esleipen-hartzaileei diru-laguntzak emateko, eta etxebizitzak birgaitzeko, baldin eta ez badira gainditzen aurreko ekitaldian helburu horretarako ezarritako zenbatekoak.</w:t>
      </w:r>
    </w:p>
    <w:p w:rsidR="003E6891" w:rsidRDefault="003E6891" w:rsidP="003E6891">
      <w:pPr>
        <w:pStyle w:val="xl2"/>
        <w:spacing w:before="0" w:beforeAutospacing="0" w:after="300" w:afterAutospacing="0" w:line="340" w:lineRule="exact"/>
        <w:ind w:firstLine="567"/>
        <w:jc w:val="both"/>
        <w:rPr>
          <w:rFonts w:ascii="Arial" w:hAnsi="Arial" w:cs="Arial"/>
        </w:rPr>
      </w:pPr>
      <w:r>
        <w:rPr>
          <w:rFonts w:ascii="Arial" w:hAnsi="Arial"/>
        </w:rPr>
        <w:t>b) Ondasun higiezinen errentamendua egiteko.</w:t>
      </w:r>
    </w:p>
    <w:p w:rsidR="003E6891" w:rsidRDefault="003E6891" w:rsidP="003E6891">
      <w:pPr>
        <w:pStyle w:val="xl2"/>
        <w:spacing w:before="0" w:beforeAutospacing="0" w:after="300" w:afterAutospacing="0" w:line="340" w:lineRule="exact"/>
        <w:ind w:firstLine="567"/>
        <w:jc w:val="both"/>
        <w:rPr>
          <w:rFonts w:ascii="Arial" w:hAnsi="Arial" w:cs="Arial"/>
        </w:rPr>
      </w:pPr>
      <w:r>
        <w:rPr>
          <w:rFonts w:ascii="Arial" w:hAnsi="Arial"/>
        </w:rPr>
        <w:t>c) Esparru-akordio edo -kontratuak egiteko, baldin eta kontratazio publikoari buruzko araudiak haietarako baimendu egiten badu indarraldi luzeagoa izatea Nafarroako Ogasun Publikoari buruzko apirilaren 4ko 13/2007 Foru Legeak urte anitzeko gastuetarako ezartzen duena baino.</w:t>
      </w:r>
    </w:p>
    <w:p w:rsidR="003E6891" w:rsidRDefault="003E6891" w:rsidP="003E6891">
      <w:pPr>
        <w:pStyle w:val="xl2"/>
        <w:spacing w:before="0" w:beforeAutospacing="0" w:after="300" w:afterAutospacing="0" w:line="340" w:lineRule="exact"/>
        <w:ind w:firstLine="567"/>
        <w:jc w:val="both"/>
        <w:rPr>
          <w:rFonts w:ascii="Arial" w:hAnsi="Arial" w:cs="Arial"/>
        </w:rPr>
      </w:pPr>
      <w:r>
        <w:rPr>
          <w:rFonts w:ascii="Arial" w:hAnsi="Arial"/>
        </w:rPr>
        <w:t xml:space="preserve">d) Europar Batasunak </w:t>
      </w:r>
      <w:proofErr w:type="spellStart"/>
      <w:r>
        <w:rPr>
          <w:rFonts w:ascii="Arial" w:hAnsi="Arial"/>
        </w:rPr>
        <w:t>eta/edo</w:t>
      </w:r>
      <w:proofErr w:type="spellEnd"/>
      <w:r>
        <w:rPr>
          <w:rFonts w:ascii="Arial" w:hAnsi="Arial"/>
        </w:rPr>
        <w:t xml:space="preserve"> Estatuko Administrazio Orokorrak </w:t>
      </w:r>
      <w:proofErr w:type="spellStart"/>
      <w:r>
        <w:rPr>
          <w:rFonts w:ascii="Arial" w:hAnsi="Arial"/>
        </w:rPr>
        <w:t>kofinantzatzen</w:t>
      </w:r>
      <w:proofErr w:type="spellEnd"/>
      <w:r>
        <w:rPr>
          <w:rFonts w:ascii="Arial" w:hAnsi="Arial"/>
        </w:rPr>
        <w:t xml:space="preserve"> dituzten planei, programei eta ekimenei aurre egiteko, bai eta haiek sortutako betebeharrei aurre egiteko ere, hiru urtetik goitiko plangintza behar badute.</w:t>
      </w:r>
    </w:p>
    <w:p w:rsidR="003E6891" w:rsidRDefault="003E6891" w:rsidP="003E6891">
      <w:pPr>
        <w:pStyle w:val="xl2"/>
        <w:spacing w:before="0" w:beforeAutospacing="0" w:after="300" w:afterAutospacing="0" w:line="340" w:lineRule="exact"/>
        <w:ind w:firstLine="567"/>
        <w:jc w:val="both"/>
        <w:rPr>
          <w:rFonts w:ascii="Arial" w:hAnsi="Arial" w:cs="Arial"/>
        </w:rPr>
      </w:pPr>
      <w:r>
        <w:rPr>
          <w:rFonts w:ascii="Arial" w:hAnsi="Arial"/>
        </w:rPr>
        <w:t>e) Laguntzak emate aldera, zeinak gauzatuta egonen baitira I+G+B proiektuak finantzatzeko asmoz eta zentro teknologikoei eta azpiegitura zientifiko eta teknologiko bereziei diru-laguntzak emateko asmoz enpresek hitzartzen dituzten kreditu edo maileguen interesetarako hobarietan.</w:t>
      </w:r>
    </w:p>
    <w:p w:rsidR="003E6891" w:rsidRDefault="003E6891" w:rsidP="003E6891">
      <w:pPr>
        <w:pStyle w:val="xl2"/>
        <w:spacing w:before="0" w:beforeAutospacing="0" w:after="300" w:afterAutospacing="0" w:line="340" w:lineRule="exact"/>
        <w:ind w:firstLine="567"/>
        <w:jc w:val="both"/>
        <w:rPr>
          <w:rFonts w:ascii="Arial" w:hAnsi="Arial" w:cs="Arial"/>
        </w:rPr>
      </w:pPr>
      <w:r>
        <w:rPr>
          <w:rFonts w:ascii="Arial" w:hAnsi="Arial"/>
        </w:rPr>
        <w:t>f) Telekomunikazioetako edo informatikako sareekin edo azpiegiturekin zerikusia duten zerbitzuak kontratatu edo enkargatzeko.</w:t>
      </w:r>
    </w:p>
    <w:p w:rsidR="003E6891" w:rsidRDefault="003E6891" w:rsidP="003E6891">
      <w:pPr>
        <w:pStyle w:val="xl2"/>
        <w:spacing w:before="0" w:beforeAutospacing="0" w:after="300" w:afterAutospacing="0" w:line="340" w:lineRule="exact"/>
        <w:ind w:firstLine="567"/>
        <w:jc w:val="both"/>
        <w:rPr>
          <w:rFonts w:ascii="Arial" w:hAnsi="Arial" w:cs="Arial"/>
        </w:rPr>
      </w:pPr>
      <w:r>
        <w:rPr>
          <w:rFonts w:ascii="Arial" w:hAnsi="Arial"/>
        </w:rPr>
        <w:t xml:space="preserve">g) Otsailaren 26ko 196/2010 Errege Dekretuak ezarritako diru-laguntzak emateko. Dekretu horren bidez, enplegua erregulatzeko 2001eko martxoaren 8ko 76/2000 eta 2001eko uztailaren 31ko 25/2001 espedienteek ukitutako langileak </w:t>
      </w:r>
      <w:r>
        <w:rPr>
          <w:rFonts w:ascii="Arial" w:hAnsi="Arial"/>
        </w:rPr>
        <w:lastRenderedPageBreak/>
        <w:t>laneratzen laguntzeko eta haientzako laguntza bereziak ezartzeko neurriak hartu ziren, eta abenduaren 16ko 1783/2011 Errege Dekretuaren bitartez aldatu zen.</w:t>
      </w:r>
    </w:p>
    <w:p w:rsidR="003E6891" w:rsidRDefault="003E6891" w:rsidP="003E6891">
      <w:pPr>
        <w:pStyle w:val="xl2"/>
        <w:spacing w:before="0" w:beforeAutospacing="0" w:after="300" w:afterAutospacing="0" w:line="340" w:lineRule="exact"/>
        <w:ind w:firstLine="567"/>
        <w:jc w:val="both"/>
        <w:rPr>
          <w:rFonts w:ascii="Arial" w:hAnsi="Arial" w:cs="Arial"/>
        </w:rPr>
      </w:pPr>
      <w:r>
        <w:rPr>
          <w:rFonts w:ascii="Arial" w:hAnsi="Arial"/>
        </w:rPr>
        <w:t>h) Hezkuntzaren Kalitatea Hobetzeari buruzko abenduaren 9ko 8/2013 Lege Organikoan ezarritakoa betetzeko beharrezkoak direnak, hezkuntza itunak berritzeari dagokionez.</w:t>
      </w:r>
    </w:p>
    <w:p w:rsidR="003E6891" w:rsidRDefault="003E6891" w:rsidP="003E6891">
      <w:pPr>
        <w:pStyle w:val="xl2"/>
        <w:spacing w:before="0" w:beforeAutospacing="0" w:after="300" w:afterAutospacing="0" w:line="340" w:lineRule="exact"/>
        <w:ind w:firstLine="567"/>
        <w:jc w:val="both"/>
        <w:rPr>
          <w:rFonts w:ascii="Arial" w:hAnsi="Arial" w:cs="Arial"/>
        </w:rPr>
      </w:pPr>
      <w:r>
        <w:rPr>
          <w:rFonts w:ascii="Arial" w:hAnsi="Arial"/>
        </w:rPr>
        <w:t>i) Toki entitateei laguntzak eman behar zaizkienean bakoitzaren udal plan orokorrak hirigintzako araudira egokitzeko.</w:t>
      </w: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t>2. Hezkuntza Departamentuak zilegi izanen du bekak eta laguntzak eman eta eskola-garraioa eta eskola-jantokien zerbitzua kontratatzea, hurrengo ekitaldiko aurrekontuaren kargura gastu konpromisoak hartuta, betiere konpromiso horiek aurrekontuko ekitaldia ez den urteko aldi bati badagozkio, ikasturtearen beharrei erantzunez.</w:t>
      </w:r>
    </w:p>
    <w:p w:rsidR="003E6891" w:rsidRDefault="003E6891" w:rsidP="003E6891">
      <w:pPr>
        <w:pStyle w:val="NormalWeb"/>
        <w:spacing w:before="0" w:beforeAutospacing="0" w:after="300" w:afterAutospacing="0" w:line="340" w:lineRule="exact"/>
        <w:ind w:firstLine="567"/>
        <w:jc w:val="both"/>
        <w:rPr>
          <w:rFonts w:ascii="Arial" w:hAnsi="Arial" w:cs="Arial"/>
        </w:rPr>
      </w:pPr>
      <w:r>
        <w:rPr>
          <w:rFonts w:ascii="Arial" w:hAnsi="Arial"/>
          <w:b/>
          <w:bCs/>
        </w:rPr>
        <w:t>43. artikulua.</w:t>
      </w:r>
      <w:r>
        <w:rPr>
          <w:rFonts w:ascii="Arial" w:hAnsi="Arial"/>
        </w:rPr>
        <w:t xml:space="preserve"> </w:t>
      </w:r>
      <w:r>
        <w:rPr>
          <w:rFonts w:ascii="Arial" w:hAnsi="Arial"/>
          <w:iCs/>
        </w:rPr>
        <w:t>Kreditua sortzea diru-sarreren bidez.</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Nafarroako Ogasun Publikoari buruzko apirilaren 4ko 13/2007 Foru Legearen 46. artikuluan ezarritakoa galarazi gabe, "Ondarearen kudeaketa" izeneko 111. programako lursailen eta ondasun higigarri nahiz higiezinen salmentak sortutako diru-sarrerek kreditua sortzen ahalko dute "Lursailak eta natur ondasunak" izeneko 111002-11300-6002-923100 gastu partidan.</w:t>
      </w:r>
    </w:p>
    <w:p w:rsidR="003E6891" w:rsidRDefault="003E6891" w:rsidP="003E6891">
      <w:pPr>
        <w:keepLines/>
        <w:spacing w:after="300" w:line="340" w:lineRule="exact"/>
        <w:ind w:firstLine="567"/>
        <w:jc w:val="both"/>
        <w:rPr>
          <w:rFonts w:ascii="Arial" w:hAnsi="Arial" w:cs="Arial"/>
        </w:rPr>
      </w:pPr>
      <w:bookmarkStart w:id="36" w:name="Ar.43"/>
      <w:bookmarkStart w:id="37" w:name="Ar.44"/>
      <w:bookmarkEnd w:id="36"/>
      <w:bookmarkEnd w:id="37"/>
      <w:r>
        <w:rPr>
          <w:rFonts w:ascii="Arial" w:hAnsi="Arial"/>
        </w:rPr>
        <w:t>44. artikulua. Eskubide Sozialetako Departamentuaren PFEZaren %0,7ko funtseko kredituak kudeatzea.</w:t>
      </w:r>
    </w:p>
    <w:p w:rsidR="003E6891" w:rsidRDefault="003E6891" w:rsidP="003E6891">
      <w:pPr>
        <w:keepLines/>
        <w:spacing w:after="300" w:line="340" w:lineRule="exact"/>
        <w:ind w:firstLine="567"/>
        <w:jc w:val="both"/>
        <w:rPr>
          <w:rFonts w:ascii="Arial" w:hAnsi="Arial" w:cs="Arial"/>
        </w:rPr>
      </w:pPr>
      <w:r>
        <w:rPr>
          <w:rFonts w:ascii="Arial" w:hAnsi="Arial"/>
        </w:rPr>
        <w:t>Funts mugimenduak egiten ahalko dira honako partida hauen artean:</w:t>
      </w:r>
    </w:p>
    <w:p w:rsidR="003E6891" w:rsidRDefault="003E6891" w:rsidP="003E6891">
      <w:pPr>
        <w:keepLines/>
        <w:spacing w:after="300" w:line="340" w:lineRule="exact"/>
        <w:ind w:firstLine="567"/>
        <w:jc w:val="both"/>
        <w:rPr>
          <w:rFonts w:ascii="Arial" w:hAnsi="Arial" w:cs="Arial"/>
        </w:rPr>
      </w:pPr>
      <w:r>
        <w:rPr>
          <w:rFonts w:ascii="Arial" w:hAnsi="Arial"/>
        </w:rPr>
        <w:t xml:space="preserve">a) 920005-93100-4819-231B09, "PFEZaren %0,7ko funtsa. Boluntarioen ekintzak" izenekoa. </w:t>
      </w:r>
      <w:proofErr w:type="spellStart"/>
      <w:r>
        <w:rPr>
          <w:rFonts w:ascii="Arial" w:hAnsi="Arial"/>
        </w:rPr>
        <w:t>Desgaitasuna</w:t>
      </w:r>
      <w:proofErr w:type="spellEnd"/>
      <w:r>
        <w:rPr>
          <w:rFonts w:ascii="Arial" w:hAnsi="Arial"/>
        </w:rPr>
        <w:t xml:space="preserve"> duten pertsonen arloko entitateak. Programetarako diru-laguntzak</w:t>
      </w:r>
    </w:p>
    <w:p w:rsidR="003E6891" w:rsidRDefault="003E6891" w:rsidP="003E6891">
      <w:pPr>
        <w:keepLines/>
        <w:spacing w:after="300" w:line="340" w:lineRule="exact"/>
        <w:ind w:firstLine="567"/>
        <w:jc w:val="both"/>
        <w:rPr>
          <w:rFonts w:ascii="Arial" w:hAnsi="Arial" w:cs="Arial"/>
        </w:rPr>
      </w:pPr>
      <w:r>
        <w:rPr>
          <w:rFonts w:ascii="Arial" w:hAnsi="Arial"/>
        </w:rPr>
        <w:t>b) 920005-93100-4819-231B35, "PFEZaren %0,7ko funtsa. Boluntarioen ekintzak" izenekoa. Zaharren elkarteak. Funtzionamendurako diru-laguntzak”.</w:t>
      </w:r>
    </w:p>
    <w:p w:rsidR="003E6891" w:rsidRDefault="003E6891" w:rsidP="003E6891">
      <w:pPr>
        <w:keepLines/>
        <w:spacing w:after="300" w:line="340" w:lineRule="exact"/>
        <w:ind w:firstLine="567"/>
        <w:jc w:val="both"/>
        <w:rPr>
          <w:rFonts w:ascii="Arial" w:hAnsi="Arial" w:cs="Arial"/>
        </w:rPr>
      </w:pPr>
      <w:r>
        <w:rPr>
          <w:rFonts w:ascii="Arial" w:hAnsi="Arial"/>
        </w:rPr>
        <w:t>c) 920005-93100-4819-231B36, "PFEZaren %0,7ko funtsa. Boluntarioen ekintzak" izenekoa. Zaharren elkarteak. Programetarako diru-laguntzak</w:t>
      </w:r>
    </w:p>
    <w:p w:rsidR="003E6891" w:rsidRDefault="003E6891" w:rsidP="003E6891">
      <w:pPr>
        <w:keepLines/>
        <w:spacing w:after="300" w:line="340" w:lineRule="exact"/>
        <w:ind w:firstLine="567"/>
        <w:jc w:val="both"/>
        <w:rPr>
          <w:rFonts w:ascii="Arial" w:hAnsi="Arial" w:cs="Arial"/>
        </w:rPr>
      </w:pPr>
      <w:r>
        <w:rPr>
          <w:rFonts w:ascii="Arial" w:hAnsi="Arial"/>
        </w:rPr>
        <w:lastRenderedPageBreak/>
        <w:t xml:space="preserve">d) 920008-93300-4819-231702 </w:t>
      </w:r>
      <w:proofErr w:type="spellStart"/>
      <w:r>
        <w:rPr>
          <w:rFonts w:ascii="Arial" w:hAnsi="Arial"/>
        </w:rPr>
        <w:t>kontusaila</w:t>
      </w:r>
      <w:proofErr w:type="spellEnd"/>
      <w:r>
        <w:rPr>
          <w:rFonts w:ascii="Arial" w:hAnsi="Arial"/>
        </w:rPr>
        <w:t>, "Kotizazio gabeko pentsioak" izenekoa. Adingabearen arloko diru-laguntzetarako deialdia”.</w:t>
      </w:r>
    </w:p>
    <w:p w:rsidR="003E6891" w:rsidRDefault="003E6891" w:rsidP="003E6891">
      <w:pPr>
        <w:keepLines/>
        <w:spacing w:after="300" w:line="340" w:lineRule="exact"/>
        <w:ind w:firstLine="567"/>
        <w:jc w:val="both"/>
        <w:rPr>
          <w:rFonts w:ascii="Arial" w:hAnsi="Arial" w:cs="Arial"/>
        </w:rPr>
      </w:pPr>
      <w:r>
        <w:rPr>
          <w:rFonts w:ascii="Arial" w:hAnsi="Arial"/>
        </w:rPr>
        <w:t>e) 900003-91600-4819-231504, “PFEZaren %0,7ko funtsa. Diru-laguntzak bazterketa sozialaren eta gutxiengo etnikoak sustatzearen arloetako entitateentzat" izenekoa.</w:t>
      </w:r>
    </w:p>
    <w:p w:rsidR="003E6891" w:rsidRDefault="003E6891" w:rsidP="003E6891">
      <w:pPr>
        <w:keepLines/>
        <w:spacing w:after="300" w:line="340" w:lineRule="exact"/>
        <w:ind w:firstLine="567"/>
        <w:jc w:val="both"/>
        <w:rPr>
          <w:rFonts w:ascii="Arial" w:hAnsi="Arial" w:cs="Arial"/>
        </w:rPr>
      </w:pPr>
      <w:r>
        <w:rPr>
          <w:rFonts w:ascii="Arial" w:hAnsi="Arial"/>
        </w:rPr>
        <w:t>f) 900003-91600-4819-231612, “PFEZaren %0,7ko funtsa. Europar Batasunaren interes sozialeko enplegu programetarako diru-laguntzak, entitate sozialen bidezkoak” izenekoa.</w:t>
      </w:r>
    </w:p>
    <w:p w:rsidR="003E6891" w:rsidRDefault="003E6891" w:rsidP="003E6891">
      <w:pPr>
        <w:keepLines/>
        <w:spacing w:after="300" w:line="340" w:lineRule="exact"/>
        <w:ind w:firstLine="567"/>
        <w:jc w:val="both"/>
        <w:rPr>
          <w:rFonts w:ascii="Arial" w:hAnsi="Arial" w:cs="Arial"/>
        </w:rPr>
      </w:pPr>
      <w:r>
        <w:rPr>
          <w:rFonts w:ascii="Arial" w:hAnsi="Arial"/>
        </w:rPr>
        <w:t>g) 900004-91100-4819-143105, “PFEZaren %0,7ko funtsa. Garapenerako nazioarteko lankidetza" izenekoa.</w:t>
      </w:r>
    </w:p>
    <w:p w:rsidR="003E6891" w:rsidRDefault="003E6891" w:rsidP="003E6891">
      <w:pPr>
        <w:keepLines/>
        <w:spacing w:after="300" w:line="340" w:lineRule="exact"/>
        <w:ind w:firstLine="567"/>
        <w:jc w:val="both"/>
        <w:rPr>
          <w:rFonts w:ascii="Arial" w:hAnsi="Arial" w:cs="Arial"/>
        </w:rPr>
      </w:pPr>
      <w:r>
        <w:rPr>
          <w:rFonts w:ascii="Arial" w:hAnsi="Arial"/>
        </w:rPr>
        <w:t xml:space="preserve">h) 920005-93100-4819-231B11, "PFEZaren %0,7ko funtsa </w:t>
      </w:r>
      <w:proofErr w:type="spellStart"/>
      <w:r>
        <w:rPr>
          <w:rFonts w:ascii="Arial" w:hAnsi="Arial"/>
        </w:rPr>
        <w:t>Desgaitasunak</w:t>
      </w:r>
      <w:proofErr w:type="spellEnd"/>
      <w:r>
        <w:rPr>
          <w:rFonts w:ascii="Arial" w:hAnsi="Arial"/>
        </w:rPr>
        <w:t xml:space="preserve"> dituzten pertsonen arloko entitateak. Funtzionamendurako diru-laguntzak" izenekoa.</w:t>
      </w:r>
    </w:p>
    <w:p w:rsidR="003E6891" w:rsidRDefault="003E6891" w:rsidP="003E6891">
      <w:pPr>
        <w:keepLines/>
        <w:spacing w:after="300" w:line="340" w:lineRule="exact"/>
        <w:ind w:firstLine="567"/>
        <w:jc w:val="both"/>
        <w:rPr>
          <w:rFonts w:ascii="Arial" w:hAnsi="Arial" w:cs="Arial"/>
        </w:rPr>
      </w:pPr>
      <w:r>
        <w:rPr>
          <w:rFonts w:ascii="Arial" w:hAnsi="Arial"/>
        </w:rPr>
        <w:t>Mugimendu horiek ez dituzte Nafarroako Ogasun Publikoari buruzko apirilaren 4ko 13/2007 Foru Legean ezarritako mugak izanen, 38. artikuluan eta 44. artikulutik 50. artikulura bitartean ezarritakoak, hain zuzen.</w:t>
      </w:r>
    </w:p>
    <w:p w:rsidR="003E6891" w:rsidRDefault="003E6891" w:rsidP="003E6891">
      <w:pPr>
        <w:keepLines/>
        <w:spacing w:after="300" w:line="340" w:lineRule="exact"/>
        <w:ind w:firstLine="567"/>
        <w:jc w:val="both"/>
        <w:rPr>
          <w:rFonts w:ascii="Arial" w:hAnsi="Arial" w:cs="Arial"/>
        </w:rPr>
      </w:pPr>
      <w:r>
        <w:rPr>
          <w:rFonts w:ascii="Arial" w:hAnsi="Arial"/>
        </w:rPr>
        <w:t>Eskubide Sozialetako Departamentuko titularrak izanen du funts mugimendu horiek baimentzeko eskumena.</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38" w:name="Ar.45"/>
      <w:bookmarkEnd w:id="38"/>
      <w:r>
        <w:rPr>
          <w:rFonts w:ascii="Arial" w:hAnsi="Arial"/>
          <w:b/>
          <w:bCs/>
        </w:rPr>
        <w:t>45. artikulua.</w:t>
      </w:r>
      <w:r>
        <w:rPr>
          <w:rFonts w:ascii="Arial" w:hAnsi="Arial"/>
        </w:rPr>
        <w:t xml:space="preserve"> </w:t>
      </w:r>
      <w:r>
        <w:rPr>
          <w:rFonts w:ascii="Arial" w:hAnsi="Arial"/>
          <w:iCs/>
        </w:rPr>
        <w:t>Gizarteratze-prestazioetarako kredituen kudeaketa.</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Funts mugimenduak egiten ahalko dira “Laguntza bereziak gizarteratzerako” izeneko 900002-91100-4809-231502 partidaren eta  "Gizarte larrialdietako laguntzak" izeneko 900003-91600-4609-231503 partidaren artean.</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Funts mugimendu horiek baimentzeko eskumena Eskubide Sozialetako Departamentuaren titularrak izanen du.</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39" w:name="Ar.46"/>
      <w:bookmarkEnd w:id="39"/>
      <w:r>
        <w:rPr>
          <w:rFonts w:ascii="Arial" w:hAnsi="Arial"/>
          <w:b/>
          <w:bCs/>
        </w:rPr>
        <w:t>46. artikulua.</w:t>
      </w:r>
      <w:r>
        <w:rPr>
          <w:rFonts w:ascii="Arial" w:hAnsi="Arial"/>
        </w:rPr>
        <w:t xml:space="preserve"> </w:t>
      </w:r>
      <w:r>
        <w:rPr>
          <w:rFonts w:ascii="Arial" w:hAnsi="Arial"/>
          <w:iCs/>
        </w:rPr>
        <w:t xml:space="preserve">Gizarte Zerbitzuen Zorroak mendekotasunaren, </w:t>
      </w:r>
      <w:proofErr w:type="spellStart"/>
      <w:r>
        <w:rPr>
          <w:rFonts w:ascii="Arial" w:hAnsi="Arial"/>
          <w:iCs/>
        </w:rPr>
        <w:t>desgaitasunaren</w:t>
      </w:r>
      <w:proofErr w:type="spellEnd"/>
      <w:r>
        <w:rPr>
          <w:rFonts w:ascii="Arial" w:hAnsi="Arial"/>
          <w:iCs/>
        </w:rPr>
        <w:t xml:space="preserve"> eta gaixotasun mentalaren arretarako bermatzen dituen prestazioetara zuzendutako kredituen kudeaketa.</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Funts mugimenduak egiten ahalko dira honako partida hauen artean:</w:t>
      </w:r>
    </w:p>
    <w:p w:rsidR="003E6891" w:rsidRDefault="003E6891" w:rsidP="003E6891">
      <w:pPr>
        <w:pStyle w:val="xl2"/>
        <w:spacing w:before="0" w:beforeAutospacing="0" w:after="300" w:afterAutospacing="0" w:line="340" w:lineRule="exact"/>
        <w:ind w:firstLine="567"/>
        <w:jc w:val="both"/>
        <w:rPr>
          <w:rFonts w:ascii="Arial" w:hAnsi="Arial" w:cs="Arial"/>
        </w:rPr>
      </w:pPr>
      <w:r>
        <w:rPr>
          <w:rFonts w:ascii="Arial" w:hAnsi="Arial"/>
        </w:rPr>
        <w:lastRenderedPageBreak/>
        <w:t>a) 920005-93100-2600-231B04 partida, "Zaharrentzako zentroen kudeaketa" izenekoa.</w:t>
      </w:r>
    </w:p>
    <w:p w:rsidR="003E6891" w:rsidRDefault="003E6891" w:rsidP="003E6891">
      <w:pPr>
        <w:pStyle w:val="xl2"/>
        <w:spacing w:before="0" w:beforeAutospacing="0" w:after="300" w:afterAutospacing="0" w:line="340" w:lineRule="exact"/>
        <w:ind w:firstLine="567"/>
        <w:jc w:val="both"/>
        <w:rPr>
          <w:rFonts w:ascii="Arial" w:hAnsi="Arial" w:cs="Arial"/>
        </w:rPr>
      </w:pPr>
      <w:r>
        <w:rPr>
          <w:rFonts w:ascii="Arial" w:hAnsi="Arial"/>
        </w:rPr>
        <w:t>b) 920005-93100-2600-231B05 partida, "</w:t>
      </w:r>
      <w:proofErr w:type="spellStart"/>
      <w:r>
        <w:rPr>
          <w:rFonts w:ascii="Arial" w:hAnsi="Arial"/>
        </w:rPr>
        <w:t>Desgaitasuna</w:t>
      </w:r>
      <w:proofErr w:type="spellEnd"/>
      <w:r>
        <w:rPr>
          <w:rFonts w:ascii="Arial" w:hAnsi="Arial"/>
        </w:rPr>
        <w:t xml:space="preserve"> duten pertsonen zentroen kudeaketa" izenekoa.</w:t>
      </w:r>
    </w:p>
    <w:p w:rsidR="003E6891" w:rsidRDefault="003E6891" w:rsidP="003E6891">
      <w:pPr>
        <w:pStyle w:val="xl2"/>
        <w:spacing w:before="0" w:beforeAutospacing="0" w:after="300" w:afterAutospacing="0" w:line="340" w:lineRule="exact"/>
        <w:ind w:firstLine="567"/>
        <w:jc w:val="both"/>
        <w:rPr>
          <w:rFonts w:ascii="Arial" w:hAnsi="Arial" w:cs="Arial"/>
        </w:rPr>
      </w:pPr>
      <w:r>
        <w:rPr>
          <w:rFonts w:ascii="Arial" w:hAnsi="Arial"/>
        </w:rPr>
        <w:t>c) 920005-93100-2600-231B06 partida, "Gaixotasun mentaletarako zentroen kudeaketa" izenekoa.</w:t>
      </w:r>
    </w:p>
    <w:p w:rsidR="003E6891" w:rsidRDefault="003E6891" w:rsidP="003E6891">
      <w:pPr>
        <w:pStyle w:val="xl2"/>
        <w:spacing w:before="0" w:beforeAutospacing="0" w:after="300" w:afterAutospacing="0" w:line="340" w:lineRule="exact"/>
        <w:ind w:firstLine="567"/>
        <w:jc w:val="both"/>
        <w:rPr>
          <w:rFonts w:ascii="Arial" w:hAnsi="Arial" w:cs="Arial"/>
        </w:rPr>
      </w:pPr>
      <w:r>
        <w:rPr>
          <w:rFonts w:ascii="Arial" w:hAnsi="Arial"/>
        </w:rPr>
        <w:t>d) 920004-93200-4809-231B00 partida, "Zerbitzuari lotutako laguntzak" izenekoa.</w:t>
      </w:r>
    </w:p>
    <w:p w:rsidR="003E6891" w:rsidRDefault="003E6891" w:rsidP="003E6891">
      <w:pPr>
        <w:pStyle w:val="xl2"/>
        <w:spacing w:before="0" w:beforeAutospacing="0" w:after="300" w:afterAutospacing="0" w:line="340" w:lineRule="exact"/>
        <w:ind w:firstLine="567"/>
        <w:jc w:val="both"/>
        <w:rPr>
          <w:rFonts w:ascii="Arial" w:hAnsi="Arial" w:cs="Arial"/>
        </w:rPr>
      </w:pPr>
      <w:r>
        <w:rPr>
          <w:rFonts w:ascii="Arial" w:hAnsi="Arial"/>
        </w:rPr>
        <w:t>e) 920004-93200-4809-231B02 partida, “Zerbitzu pertsonalei erantzuteko laguntzak” izenekoa.</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Mugimendu horiek ez dituzte Nafarroako Ogasun Publikoari buruzko apirilaren 4ko 13/2007 Foru Legean ezarritako mugak izanen, 38. artikuluan eta 44. artikulutik 50. artikulura bitartean ezarritakoak, hain zuzen.</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Funts mugimendu horiek baimentzeko eskumena Eskubide Sozialetako Departamentuaren titularrak izanen du.</w:t>
      </w:r>
    </w:p>
    <w:p w:rsidR="003E6891" w:rsidRDefault="003E6891" w:rsidP="003E6891">
      <w:pPr>
        <w:keepLines/>
        <w:spacing w:after="300" w:line="340" w:lineRule="exact"/>
        <w:ind w:firstLine="567"/>
        <w:jc w:val="both"/>
        <w:rPr>
          <w:rFonts w:ascii="Arial" w:hAnsi="Arial" w:cs="Arial"/>
        </w:rPr>
      </w:pPr>
      <w:bookmarkStart w:id="40" w:name="Ar.47"/>
      <w:bookmarkStart w:id="41" w:name="Ar.48"/>
      <w:bookmarkEnd w:id="40"/>
      <w:bookmarkEnd w:id="41"/>
      <w:r>
        <w:rPr>
          <w:rFonts w:ascii="Arial" w:hAnsi="Arial"/>
        </w:rPr>
        <w:t>47. artikulua. Gizarte Zerbitzuen Zorroak haurrei eta nerabeei arreta emateko bermatzen dituen prestazioetara zuzendutako kredituen kudeaketa.</w:t>
      </w:r>
    </w:p>
    <w:p w:rsidR="003E6891" w:rsidRDefault="003E6891" w:rsidP="003E6891">
      <w:pPr>
        <w:keepLines/>
        <w:spacing w:after="300" w:line="340" w:lineRule="exact"/>
        <w:ind w:firstLine="567"/>
        <w:jc w:val="both"/>
        <w:rPr>
          <w:rFonts w:ascii="Arial" w:hAnsi="Arial" w:cs="Arial"/>
        </w:rPr>
      </w:pPr>
      <w:r>
        <w:rPr>
          <w:rFonts w:ascii="Arial" w:hAnsi="Arial"/>
        </w:rPr>
        <w:t xml:space="preserve">920008 proiektuko partiden artean, foru lege honen 5. artikuluko 7. apartatuan zabalgarri deklaratutakoen artean, funts mugimenduak egiten ahalko dira, eta ez dira Nafarroako Ogasun Publikoari buruzko apirilaren 4ko 13/2007 Foru Legearen 38. artikuluan eta 44.etik 50.era bitartekoetan ezarritako mugen menpe egonen. </w:t>
      </w:r>
    </w:p>
    <w:p w:rsidR="003E6891" w:rsidRDefault="003E6891" w:rsidP="003E6891">
      <w:pPr>
        <w:keepLines/>
        <w:spacing w:after="300" w:line="340" w:lineRule="exact"/>
        <w:ind w:firstLine="567"/>
        <w:jc w:val="both"/>
        <w:rPr>
          <w:rFonts w:ascii="Arial" w:hAnsi="Arial" w:cs="Arial"/>
        </w:rPr>
      </w:pPr>
      <w:r>
        <w:rPr>
          <w:rFonts w:ascii="Arial" w:hAnsi="Arial"/>
        </w:rPr>
        <w:t>Funts mugimendu horiek baimentzeko eskumena Eskubide Sozialetako Departamentuaren titularrak izanen du.</w:t>
      </w:r>
    </w:p>
    <w:p w:rsidR="003E6891" w:rsidRDefault="003E6891" w:rsidP="003E6891">
      <w:pPr>
        <w:pStyle w:val="NormalWeb"/>
        <w:spacing w:before="0" w:beforeAutospacing="0" w:after="300" w:afterAutospacing="0" w:line="340" w:lineRule="exact"/>
        <w:ind w:firstLine="567"/>
        <w:jc w:val="both"/>
        <w:rPr>
          <w:rFonts w:ascii="Arial" w:hAnsi="Arial" w:cs="Arial"/>
        </w:rPr>
      </w:pPr>
      <w:r>
        <w:rPr>
          <w:rFonts w:ascii="Arial" w:hAnsi="Arial"/>
          <w:b/>
          <w:bCs/>
        </w:rPr>
        <w:t>48. artikulua.</w:t>
      </w:r>
      <w:r>
        <w:rPr>
          <w:rFonts w:ascii="Arial" w:hAnsi="Arial"/>
        </w:rPr>
        <w:t xml:space="preserve"> </w:t>
      </w:r>
      <w:r>
        <w:rPr>
          <w:rFonts w:ascii="Arial" w:hAnsi="Arial"/>
          <w:iCs/>
        </w:rPr>
        <w:t>ERSISI proiekturako kredituen kudeaketa.</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 xml:space="preserve">ERSISI proiektuko partiden artean funts mugimenduak egiten ahalko dira, eta ez dituzte bete beharko Nafarroako Ogasun Publikoari buruzko apirilaren 4ko 13/2007 Foru Legearen 38. artikuluan eta 44. artikulutik 50.era bitartekoetan </w:t>
      </w:r>
      <w:r>
        <w:rPr>
          <w:rFonts w:ascii="Arial" w:hAnsi="Arial"/>
        </w:rPr>
        <w:lastRenderedPageBreak/>
        <w:t>ezarritako mugak. Zilegi izanen da gastuak hobeki doitzeko beharrezkoak diren partidak sortzea.</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Funts mugimendu horiek baimentzeko eskumena Eskubide Sozialetako Departamentuaren titularrak izanen du.</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42" w:name="Ar.49"/>
      <w:bookmarkEnd w:id="42"/>
      <w:r>
        <w:rPr>
          <w:rFonts w:ascii="Arial" w:hAnsi="Arial"/>
          <w:b/>
          <w:bCs/>
        </w:rPr>
        <w:t>49. artikulua.</w:t>
      </w:r>
      <w:r>
        <w:rPr>
          <w:rFonts w:ascii="Arial" w:hAnsi="Arial"/>
        </w:rPr>
        <w:t xml:space="preserve"> </w:t>
      </w:r>
      <w:r>
        <w:rPr>
          <w:rFonts w:ascii="Arial" w:hAnsi="Arial"/>
          <w:iCs/>
        </w:rPr>
        <w:t>Errenta bermatua jasotzen duten pertsonen kontrataziorako kredituen kudeaketa.</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"Errenta bermatua" izeneko 900002-91100-4809-231500 partidaren eta “Errenta bermatuaren hartzaileen kontrataziorako pizgarriak” izeneko 950001-96100-4709-241204 partidaren artean funts mugimenduak egiten ahalko dira, eta ez dituzte bete beharko Nafarroako Ogasun Publikoari buruzko apirilaren 4ko 13/2007 Foru Legearen 38. artikuluan eta 44.etik 50.era bitartekoetan ezarritako mugak.</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Funts mugimendu horiek baimentzeko eskumena Eskubide Sozialetako Departamentuaren titularrak izanen du.</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43" w:name="Ar.50"/>
      <w:bookmarkEnd w:id="43"/>
      <w:r>
        <w:rPr>
          <w:rFonts w:ascii="Arial" w:hAnsi="Arial"/>
          <w:b/>
          <w:bCs/>
        </w:rPr>
        <w:t>50. artikulua.</w:t>
      </w:r>
      <w:r>
        <w:rPr>
          <w:rFonts w:ascii="Arial" w:hAnsi="Arial"/>
        </w:rPr>
        <w:t xml:space="preserve"> </w:t>
      </w:r>
      <w:r>
        <w:rPr>
          <w:rFonts w:ascii="Arial" w:hAnsi="Arial"/>
          <w:iCs/>
        </w:rPr>
        <w:t>Nafarroako Landa Garapenerako 2014‑2020 Programa finantzatzeko kredituen kudeaketa.</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Funts mugimenduak egiten ahalko dira Nafarroako Landa Garapenerako 2014‑2020 Programa finantzatzeko partiden artean edo hura egokiro betetzeko sortu beharrekoen artean, eta mugimendu horiek ez dituzte bete beharko Nafarroako Ogasun Publikoari buruzko apirilaren 4ko 13/2007 Foru Legearen 38. artikuluan eta 44. artikulutik 50. artikulura bitartean ezarritako mugak.</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Partida zer departamenturi dagokion, haren titularrak izanen du funts mugimendu horiek baimentzeko eskumena. Bi departamenturi badagokie, Ogasuneko eta Finantza Politikako Departamentuaren titularraren eskumena izanen da, ukitutako departamentuek aldez aurretik adostasuna emanik.</w:t>
      </w:r>
    </w:p>
    <w:p w:rsidR="003E6891" w:rsidRDefault="003E6891" w:rsidP="003E6891">
      <w:pPr>
        <w:keepLines/>
        <w:spacing w:after="300" w:line="340" w:lineRule="exact"/>
        <w:ind w:firstLine="567"/>
        <w:jc w:val="both"/>
        <w:rPr>
          <w:rFonts w:ascii="Arial" w:hAnsi="Arial" w:cs="Arial"/>
        </w:rPr>
      </w:pPr>
      <w:bookmarkStart w:id="44" w:name="Ar.51"/>
      <w:bookmarkStart w:id="45" w:name="Ar.52"/>
      <w:bookmarkEnd w:id="44"/>
      <w:bookmarkEnd w:id="45"/>
      <w:r>
        <w:rPr>
          <w:rFonts w:ascii="Arial" w:hAnsi="Arial"/>
          <w:b/>
        </w:rPr>
        <w:t xml:space="preserve">51. artikulua. </w:t>
      </w:r>
      <w:r>
        <w:rPr>
          <w:rFonts w:ascii="Arial" w:hAnsi="Arial"/>
        </w:rPr>
        <w:t xml:space="preserve">Tuterako Udalaren "Fernando </w:t>
      </w:r>
      <w:proofErr w:type="spellStart"/>
      <w:r>
        <w:rPr>
          <w:rFonts w:ascii="Arial" w:hAnsi="Arial"/>
        </w:rPr>
        <w:t>Remacha</w:t>
      </w:r>
      <w:proofErr w:type="spellEnd"/>
      <w:r>
        <w:rPr>
          <w:rFonts w:ascii="Arial" w:hAnsi="Arial"/>
        </w:rPr>
        <w:t>" Musika Kontserbatorioa.</w:t>
      </w:r>
    </w:p>
    <w:p w:rsidR="003E6891" w:rsidRDefault="003E6891" w:rsidP="003E6891">
      <w:pPr>
        <w:keepLines/>
        <w:spacing w:after="300" w:line="340" w:lineRule="exact"/>
        <w:ind w:firstLine="567"/>
        <w:jc w:val="both"/>
        <w:rPr>
          <w:rFonts w:ascii="Arial" w:hAnsi="Arial" w:cs="Arial"/>
        </w:rPr>
      </w:pPr>
      <w:r>
        <w:rPr>
          <w:rFonts w:ascii="Arial" w:hAnsi="Arial"/>
        </w:rPr>
        <w:lastRenderedPageBreak/>
        <w:t>2018-2020 aldiko ekitaldietako bakoitzean, Nafarroako Gobernuak behar den gastua baimentzen ahalko du Tuterako Udalaren eta Hezkuntza Departamentuaren artean sinatzen den hitzarmenaren ondoriozko betebeharrei erantzuteko, “Tuterako Udalarekiko hitzarmena musikako udal kontserbatorioaren funtzionamendurako” izeneko 420001-42440-4609-322503 partidaren kargura.</w:t>
      </w:r>
    </w:p>
    <w:p w:rsidR="003E6891" w:rsidRDefault="003E6891" w:rsidP="003E6891">
      <w:pPr>
        <w:keepLines/>
        <w:spacing w:after="300" w:line="340" w:lineRule="exact"/>
        <w:ind w:firstLine="567"/>
        <w:jc w:val="both"/>
        <w:rPr>
          <w:rFonts w:ascii="Arial" w:hAnsi="Arial" w:cs="Arial"/>
        </w:rPr>
      </w:pPr>
      <w:r>
        <w:rPr>
          <w:rFonts w:ascii="Arial" w:hAnsi="Arial"/>
        </w:rPr>
        <w:t>2018rako ezarritako kopurua, hots, 370.331 euro, 2019an eta 2020an eguneratuko da, hitzarmenetik datozen konpromisoen finantzaketa bermatzeko behar adina.</w:t>
      </w:r>
    </w:p>
    <w:p w:rsidR="003E6891" w:rsidRDefault="003E6891" w:rsidP="003E6891">
      <w:pPr>
        <w:keepLines/>
        <w:spacing w:after="300" w:line="340" w:lineRule="exact"/>
        <w:ind w:firstLine="567"/>
        <w:jc w:val="both"/>
        <w:rPr>
          <w:rFonts w:ascii="Arial" w:hAnsi="Arial" w:cs="Arial"/>
        </w:rPr>
      </w:pPr>
      <w:bookmarkStart w:id="46" w:name="Ar.53"/>
      <w:bookmarkStart w:id="47" w:name="Ar.54"/>
      <w:bookmarkEnd w:id="46"/>
      <w:bookmarkEnd w:id="47"/>
      <w:r w:rsidRPr="00CE5DA3">
        <w:rPr>
          <w:rFonts w:ascii="Arial" w:hAnsi="Arial"/>
          <w:b/>
        </w:rPr>
        <w:t>52</w:t>
      </w:r>
      <w:r w:rsidR="00CE5DA3" w:rsidRPr="00CE5DA3">
        <w:rPr>
          <w:rFonts w:ascii="Arial" w:hAnsi="Arial"/>
          <w:b/>
        </w:rPr>
        <w:t>.</w:t>
      </w:r>
      <w:r w:rsidRPr="00CE5DA3">
        <w:rPr>
          <w:rFonts w:ascii="Arial" w:hAnsi="Arial"/>
          <w:b/>
        </w:rPr>
        <w:t xml:space="preserve"> artikulua.</w:t>
      </w:r>
      <w:r>
        <w:rPr>
          <w:rFonts w:ascii="Arial" w:hAnsi="Arial"/>
        </w:rPr>
        <w:t xml:space="preserve"> Nafarroako Poliziei buruzko apirilaren 10eko 15/2015 Foru Legearen aplikazioa finantzatzeko kredituen kudeaketa.</w:t>
      </w:r>
    </w:p>
    <w:p w:rsidR="003E6891" w:rsidRDefault="003E6891" w:rsidP="003E6891">
      <w:pPr>
        <w:keepLines/>
        <w:spacing w:after="300" w:line="340" w:lineRule="exact"/>
        <w:ind w:firstLine="567"/>
        <w:jc w:val="both"/>
        <w:rPr>
          <w:rFonts w:ascii="Arial" w:hAnsi="Arial" w:cs="Arial"/>
        </w:rPr>
      </w:pPr>
      <w:r>
        <w:rPr>
          <w:rFonts w:ascii="Arial" w:hAnsi="Arial"/>
        </w:rPr>
        <w:t>"Nafarroako Poliziei buruzko Foru Legearen aplikazioa" izeneko 051000-02100-1800-132100 partida zabalgarriaren kargura egiten diren funts mugimenduek, Nafarroako Poliziei buruzko 15/2015 Foru Legearen aplikaziotik eratorritako gastua exekutatzeko partidak finantzatzeko direnenean, ez dituzte bete beharko Nafarroako Ogasun Publikoari buruzko apirilaren 4ko 13/2007 Foru Legearen 38. artikuluan eta 44. artikulutik 50.era bitartekoetan ezarritako mugak.</w:t>
      </w:r>
    </w:p>
    <w:p w:rsidR="003E6891" w:rsidRDefault="003E6891" w:rsidP="003E6891">
      <w:pPr>
        <w:pStyle w:val="Acuerdos"/>
        <w:spacing w:after="300" w:line="340" w:lineRule="exact"/>
        <w:ind w:firstLine="567"/>
        <w:rPr>
          <w:rFonts w:ascii="Arial" w:hAnsi="Arial" w:cs="Arial"/>
          <w:szCs w:val="24"/>
        </w:rPr>
      </w:pPr>
      <w:r>
        <w:rPr>
          <w:rFonts w:ascii="Arial" w:hAnsi="Arial"/>
          <w:b/>
          <w:szCs w:val="24"/>
        </w:rPr>
        <w:t>53</w:t>
      </w:r>
      <w:r w:rsidR="00CE5DA3">
        <w:rPr>
          <w:rFonts w:ascii="Arial" w:hAnsi="Arial"/>
          <w:b/>
          <w:szCs w:val="24"/>
        </w:rPr>
        <w:t>.</w:t>
      </w:r>
      <w:r>
        <w:rPr>
          <w:rFonts w:ascii="Arial" w:hAnsi="Arial"/>
          <w:b/>
          <w:szCs w:val="24"/>
        </w:rPr>
        <w:t xml:space="preserve"> artikulua.</w:t>
      </w:r>
      <w:r>
        <w:rPr>
          <w:rFonts w:ascii="Arial" w:hAnsi="Arial"/>
          <w:szCs w:val="24"/>
        </w:rPr>
        <w:t xml:space="preserve"> Kreditu-gehikuntzak Foru Komunitateko zergadunek gizarte-intereseko beste xede batzuetarako bideratzen duten tributuen %0,7 arautzeari buruzko ekainaren 5eko 7/2009 Foru Legeari dagozkion baina exekutatzen ez diren gastu-konpromisoengatik.</w:t>
      </w:r>
    </w:p>
    <w:p w:rsidR="003E6891" w:rsidRDefault="003E6891" w:rsidP="003E6891">
      <w:pPr>
        <w:pStyle w:val="Acuerdos"/>
        <w:spacing w:after="300" w:line="340" w:lineRule="exact"/>
        <w:ind w:firstLine="567"/>
        <w:rPr>
          <w:rFonts w:ascii="Arial" w:hAnsi="Arial" w:cs="Arial"/>
          <w:szCs w:val="24"/>
        </w:rPr>
      </w:pPr>
      <w:r>
        <w:rPr>
          <w:rFonts w:ascii="Arial" w:hAnsi="Arial"/>
          <w:szCs w:val="24"/>
        </w:rPr>
        <w:t xml:space="preserve">Foru Komunitateko zergadunek gizarte-intereseko beste xede batzuetarako bideratzen duten tributuen %0,7 arautzeari buruzko ekainaren 5eko 7/2009 Foru Legetik datozen kredituak 2018ko ekitaldira igarotzen direnean Nafarroako Ogasun Publikoari buruzko apirilaren 4ko 13/2007 Foru Legearen 49. artikuluan ezarritakoaren babesean, Ogasuneko eta Finantza Politikako kontseilariaren ekainaren 22ko 83/2017 Foru Aginduaren aplikazioa dela-eta, atxikitako diruzaintzako </w:t>
      </w:r>
      <w:proofErr w:type="spellStart"/>
      <w:r>
        <w:rPr>
          <w:rFonts w:ascii="Arial" w:hAnsi="Arial"/>
          <w:szCs w:val="24"/>
        </w:rPr>
        <w:t>gerakintzat</w:t>
      </w:r>
      <w:proofErr w:type="spellEnd"/>
      <w:r>
        <w:rPr>
          <w:rFonts w:ascii="Arial" w:hAnsi="Arial"/>
          <w:szCs w:val="24"/>
        </w:rPr>
        <w:t xml:space="preserve"> hartuko dira, izan ere, 83/2017 Foru Agindu horren bidez Nafarroako Aurrekontu Orokorrak ixteko eta likidatzeko arauak onetsi ziren.</w:t>
      </w:r>
    </w:p>
    <w:p w:rsidR="00316925" w:rsidRDefault="00C02732" w:rsidP="007B537A">
      <w:pPr>
        <w:pStyle w:val="DICTA-ENMIENDA"/>
      </w:pPr>
      <w:r>
        <w:rPr>
          <w:noProof/>
          <w:lang w:val="es-ES"/>
        </w:rPr>
        <mc:AlternateContent>
          <mc:Choice Requires="wps">
            <w:drawing>
              <wp:anchor distT="0" distB="0" distL="114300" distR="114300" simplePos="0" relativeHeight="251659264" behindDoc="0" locked="0" layoutInCell="1" allowOverlap="1" wp14:anchorId="06CA02F6" wp14:editId="0EE05A0F">
                <wp:simplePos x="0" y="0"/>
                <wp:positionH relativeFrom="column">
                  <wp:posOffset>-2550795</wp:posOffset>
                </wp:positionH>
                <wp:positionV relativeFrom="paragraph">
                  <wp:posOffset>180340</wp:posOffset>
                </wp:positionV>
                <wp:extent cx="464820" cy="632460"/>
                <wp:effectExtent l="0" t="0" r="11430" b="15240"/>
                <wp:wrapNone/>
                <wp:docPr id="1" name="1 Cuadro de texto"/>
                <wp:cNvGraphicFramePr/>
                <a:graphic xmlns:a="http://schemas.openxmlformats.org/drawingml/2006/main">
                  <a:graphicData uri="http://schemas.microsoft.com/office/word/2010/wordprocessingShape">
                    <wps:wsp>
                      <wps:cNvSpPr txBox="1"/>
                      <wps:spPr>
                        <a:xfrm>
                          <a:off x="0" y="0"/>
                          <a:ext cx="464820" cy="632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3797" w:rsidRDefault="00413797">
                            <w:r>
                              <w:t>Zuzenketa teknikoa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left:0;text-align:left;margin-left:-200.85pt;margin-top:14.2pt;width:36.6pt;height:4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" fillcolor="white [3201]" strokeweight=".5pt">
                <v:textbox>
                  <w:txbxContent>
                    <w:p w:rsidR="00413797" w:rsidRDefault="00413797">
                      <w:r>
                        <w:t>Zuzenketa teknikoa</w:t>
                      </w:r>
                    </w:p>
                  </w:txbxContent>
                </v:textbox>
              </v:shape>
            </w:pict>
          </mc:Fallback>
        </mc:AlternateContent>
      </w:r>
      <w:r>
        <w:tab/>
      </w:r>
      <w:r>
        <w:tab/>
      </w:r>
      <w:r>
        <w:rPr>
          <w:b/>
        </w:rPr>
        <w:t xml:space="preserve">54. artikulua. </w:t>
      </w:r>
      <w:r>
        <w:t>"Itxarote-zerrendetarako kontrataturiko aldi baterako langileen ordainsariak" izeneko 540000520001220311102 partidaren kudeaketa</w:t>
      </w:r>
    </w:p>
    <w:p w:rsidR="00316925" w:rsidRPr="00316925" w:rsidRDefault="00316925" w:rsidP="00316925">
      <w:pPr>
        <w:pStyle w:val="DICTA-ENMIENDA"/>
      </w:pPr>
      <w:r>
        <w:tab/>
      </w:r>
      <w:r>
        <w:tab/>
      </w:r>
      <w:proofErr w:type="spellStart"/>
      <w:r>
        <w:t>Osasunbidea-Nafarroako</w:t>
      </w:r>
      <w:proofErr w:type="spellEnd"/>
      <w:r>
        <w:t xml:space="preserve"> Osasun Zerbitzuaren zentroetan edozein kontratazio-mota finantzatzera bideratuko da "Itxarote-zerrendetarako kontrataturiko aldi </w:t>
      </w:r>
      <w:r>
        <w:lastRenderedPageBreak/>
        <w:t xml:space="preserve">baterako langileen ordainsariak" izeneko 540000520001220311102 partida, baldin eta horren xedea itxarote-zerrendak murriztea bada. Helburu hori lortzeko, 1. kapituluko kredituak gaitzen </w:t>
      </w:r>
      <w:proofErr w:type="spellStart"/>
      <w:r>
        <w:t>edo/eta</w:t>
      </w:r>
      <w:proofErr w:type="spellEnd"/>
      <w:r>
        <w:t xml:space="preserve"> handitzen ahalko dira 543000, 545000 eta 546000 aurrekontu-proiektuetan, eta aurrekontu-partida horren bidez finantzatuko dira. </w:t>
      </w:r>
    </w:p>
    <w:p w:rsidR="00316925" w:rsidRPr="00316925" w:rsidRDefault="00316925" w:rsidP="00316925">
      <w:pPr>
        <w:pStyle w:val="DICTA-ENMIENDA"/>
      </w:pPr>
      <w:r>
        <w:tab/>
      </w:r>
      <w:r>
        <w:tab/>
        <w:t xml:space="preserve">Gaitze </w:t>
      </w:r>
      <w:proofErr w:type="spellStart"/>
      <w:r>
        <w:t>eta/edo</w:t>
      </w:r>
      <w:proofErr w:type="spellEnd"/>
      <w:r>
        <w:t xml:space="preserve"> gehitze horiek ez dira inola ere hartuko aurrekontu aldaketatzat, eta ez dira aplikatzekoak izanen Nafarroako Ogasun Publikoari buruzko apirilaren 4ko 13/2007ko Foru Legean ezarritako mugak. </w:t>
      </w:r>
    </w:p>
    <w:p w:rsidR="00316925" w:rsidRPr="007B537A" w:rsidRDefault="00316925" w:rsidP="007B537A">
      <w:pPr>
        <w:pStyle w:val="DICTA-ENMIENDA"/>
      </w:pPr>
      <w:r>
        <w:tab/>
      </w:r>
      <w:r>
        <w:tab/>
        <w:t xml:space="preserve">Funts-mugimendu horiek egiteko eskumena </w:t>
      </w:r>
      <w:proofErr w:type="spellStart"/>
      <w:r>
        <w:t>Osasunbidea-Nafarroako</w:t>
      </w:r>
      <w:proofErr w:type="spellEnd"/>
      <w:r>
        <w:t xml:space="preserve"> Osasun Zerbitzuko kudeatzailearena izanen da, Funtzio Publikoaren Zuzendaritza Nagusiak, kasua bada, aldez aurretik baimena emanda.</w:t>
      </w:r>
    </w:p>
    <w:p w:rsidR="003E6891" w:rsidRDefault="003E6891" w:rsidP="002A5212">
      <w:pPr>
        <w:pStyle w:val="DICTA-CAPITULO"/>
      </w:pPr>
      <w:r>
        <w:t>VI. TITULUA</w:t>
      </w:r>
    </w:p>
    <w:p w:rsidR="003E6891" w:rsidRDefault="003E6891" w:rsidP="002A5212">
      <w:pPr>
        <w:pStyle w:val="DICTA-SUBTITULO2"/>
      </w:pPr>
      <w:r>
        <w:t>Kontratazioa</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48" w:name="Ar.55"/>
      <w:bookmarkEnd w:id="48"/>
      <w:r>
        <w:rPr>
          <w:rFonts w:ascii="Arial" w:hAnsi="Arial"/>
          <w:b/>
          <w:bCs/>
        </w:rPr>
        <w:t>55. artikulua.</w:t>
      </w:r>
      <w:r>
        <w:rPr>
          <w:rFonts w:ascii="Arial" w:hAnsi="Arial"/>
        </w:rPr>
        <w:t xml:space="preserve"> </w:t>
      </w:r>
      <w:r>
        <w:rPr>
          <w:rFonts w:ascii="Arial" w:hAnsi="Arial"/>
          <w:iCs/>
        </w:rPr>
        <w:t>Garraioaren arloko eskudantziak.</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Garraio zerbitzuak kontratatzeko eta garraio jarduerak xede dituzten diru-laguntzak emateko, Garapen Ekonomikorako Departamentuko Herri Lan Zuzendaritza Nagusiak aldeko txostena eman beharko du aurretiaz, betiere.</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49" w:name="Ar.56"/>
      <w:bookmarkEnd w:id="49"/>
      <w:r>
        <w:rPr>
          <w:rFonts w:ascii="Arial" w:hAnsi="Arial"/>
          <w:b/>
          <w:bCs/>
        </w:rPr>
        <w:t>56. artikulua.</w:t>
      </w:r>
      <w:r>
        <w:rPr>
          <w:rFonts w:ascii="Arial" w:hAnsi="Arial"/>
        </w:rPr>
        <w:t xml:space="preserve"> </w:t>
      </w:r>
      <w:r>
        <w:rPr>
          <w:rFonts w:ascii="Arial" w:hAnsi="Arial"/>
          <w:iCs/>
        </w:rPr>
        <w:t>Erakunde autonomo jakin batzuetako hornidura kontratuak.</w:t>
      </w: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t xml:space="preserve">1. </w:t>
      </w:r>
      <w:proofErr w:type="spellStart"/>
      <w:r>
        <w:rPr>
          <w:rFonts w:ascii="Arial" w:hAnsi="Arial"/>
        </w:rPr>
        <w:t>Osasunbidea-Nafarroako</w:t>
      </w:r>
      <w:proofErr w:type="spellEnd"/>
      <w:r>
        <w:rPr>
          <w:rFonts w:ascii="Arial" w:hAnsi="Arial"/>
        </w:rPr>
        <w:t xml:space="preserve"> Osasun Zerbitzuaren menpeko zentroek zilegi izanen dute hornitzaileei hamabost egunean behin eskaintzak eskatuz erostea produktu freskoak, urte osorako esleipen batera jo beharrik gabe.</w:t>
      </w: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t>2. Pertsonen Autonomiarako eta Garapenerako Nafarroako Agentziak zilegi izanen du hornitzaileei bi, hiru edo lau hilean behin eskaintzak eskatuz erostea bere menpeko zentroetarako produktuak, urte osorako esleipen batera jo beharrik gabe eta aplikatzekoak izan gabe Kontratu publikoei buruzko ekainaren 6ko 6/2006 Foru Legeak 73. artikuluaren 6. apartatuan eta 74. artikuluaren 5. apartatuan ezarritako mugak eta betekizuna.</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50" w:name="Ar.57"/>
      <w:bookmarkEnd w:id="50"/>
      <w:r>
        <w:rPr>
          <w:rFonts w:ascii="Arial" w:hAnsi="Arial"/>
          <w:b/>
          <w:bCs/>
        </w:rPr>
        <w:t>57. artikulua.</w:t>
      </w:r>
      <w:r>
        <w:rPr>
          <w:rFonts w:ascii="Arial" w:hAnsi="Arial"/>
        </w:rPr>
        <w:t xml:space="preserve"> </w:t>
      </w:r>
      <w:r>
        <w:rPr>
          <w:rFonts w:ascii="Arial" w:hAnsi="Arial"/>
          <w:iCs/>
        </w:rPr>
        <w:t>Nekazaritzako estatistika-lanetan laguntzeagatiko kalte-ordainak.</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lastRenderedPageBreak/>
        <w:t>Landa Garapeneko, Ingurumeneko eta Toki Administrazioko Departamentuak kalte-ordainak ematen ahal izanen dizkie nekazaritzaren arloko estatistikan laguntzen duten pertsonei, laguntza horrek sortzen dizkien gastuengatik. Kalte-ordainek gehieneko diru-muga hauek izanen dituzte (eurotan, urtero):</w:t>
      </w:r>
    </w:p>
    <w:tbl>
      <w:tblPr>
        <w:tblW w:w="0" w:type="auto"/>
        <w:jc w:val="center"/>
        <w:tblCellSpacing w:w="15" w:type="dxa"/>
        <w:tblBorders>
          <w:left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5300"/>
        <w:gridCol w:w="516"/>
      </w:tblGrid>
      <w:tr w:rsidR="003E6891" w:rsidRPr="00CE5DA3" w:rsidTr="003D0858">
        <w:trPr>
          <w:tblCellSpacing w:w="15" w:type="dxa"/>
          <w:jc w:val="center"/>
        </w:trPr>
        <w:tc>
          <w:tcPr>
            <w:tcW w:w="0" w:type="auto"/>
            <w:tcMar>
              <w:top w:w="15" w:type="dxa"/>
              <w:left w:w="15" w:type="dxa"/>
              <w:bottom w:w="15" w:type="dxa"/>
              <w:right w:w="15" w:type="dxa"/>
            </w:tcMar>
            <w:vAlign w:val="center"/>
            <w:hideMark/>
          </w:tcPr>
          <w:p w:rsidR="003E6891" w:rsidRPr="00CE5DA3" w:rsidRDefault="003E6891" w:rsidP="00CE5DA3">
            <w:pPr>
              <w:spacing w:before="20" w:after="20"/>
              <w:rPr>
                <w:rFonts w:asciiTheme="minorHAnsi" w:hAnsiTheme="minorHAnsi" w:cs="Arial"/>
                <w:sz w:val="18"/>
                <w:szCs w:val="18"/>
              </w:rPr>
            </w:pPr>
            <w:r w:rsidRPr="00CE5DA3">
              <w:rPr>
                <w:rFonts w:asciiTheme="minorHAnsi" w:hAnsiTheme="minorHAnsi"/>
                <w:sz w:val="18"/>
                <w:szCs w:val="18"/>
              </w:rPr>
              <w:t>Laboreen urteko azalerak</w:t>
            </w:r>
          </w:p>
        </w:tc>
        <w:tc>
          <w:tcPr>
            <w:tcW w:w="0" w:type="auto"/>
            <w:tcMar>
              <w:top w:w="15" w:type="dxa"/>
              <w:left w:w="15" w:type="dxa"/>
              <w:bottom w:w="15" w:type="dxa"/>
              <w:right w:w="15" w:type="dxa"/>
            </w:tcMar>
            <w:vAlign w:val="center"/>
            <w:hideMark/>
          </w:tcPr>
          <w:p w:rsidR="003E6891" w:rsidRPr="00CE5DA3" w:rsidRDefault="003E6891" w:rsidP="00CE5DA3">
            <w:pPr>
              <w:spacing w:before="20" w:after="20"/>
              <w:jc w:val="right"/>
              <w:rPr>
                <w:rFonts w:asciiTheme="minorHAnsi" w:hAnsiTheme="minorHAnsi" w:cs="Arial"/>
                <w:sz w:val="18"/>
                <w:szCs w:val="18"/>
              </w:rPr>
            </w:pPr>
            <w:r w:rsidRPr="00CE5DA3">
              <w:rPr>
                <w:rFonts w:asciiTheme="minorHAnsi" w:hAnsiTheme="minorHAnsi"/>
                <w:sz w:val="18"/>
                <w:szCs w:val="18"/>
              </w:rPr>
              <w:t>75</w:t>
            </w:r>
          </w:p>
        </w:tc>
      </w:tr>
      <w:tr w:rsidR="003E6891" w:rsidRPr="00CE5DA3" w:rsidTr="003D0858">
        <w:trPr>
          <w:tblCellSpacing w:w="15" w:type="dxa"/>
          <w:jc w:val="center"/>
        </w:trPr>
        <w:tc>
          <w:tcPr>
            <w:tcW w:w="0" w:type="auto"/>
            <w:tcMar>
              <w:top w:w="15" w:type="dxa"/>
              <w:left w:w="15" w:type="dxa"/>
              <w:bottom w:w="15" w:type="dxa"/>
              <w:right w:w="15" w:type="dxa"/>
            </w:tcMar>
            <w:vAlign w:val="center"/>
            <w:hideMark/>
          </w:tcPr>
          <w:p w:rsidR="003E6891" w:rsidRPr="00CE5DA3" w:rsidRDefault="003E6891" w:rsidP="00CE5DA3">
            <w:pPr>
              <w:spacing w:before="20" w:after="20"/>
              <w:rPr>
                <w:rFonts w:asciiTheme="minorHAnsi" w:hAnsiTheme="minorHAnsi" w:cs="Arial"/>
                <w:sz w:val="18"/>
                <w:szCs w:val="18"/>
              </w:rPr>
            </w:pPr>
            <w:r w:rsidRPr="00CE5DA3">
              <w:rPr>
                <w:rFonts w:asciiTheme="minorHAnsi" w:hAnsiTheme="minorHAnsi"/>
                <w:sz w:val="18"/>
                <w:szCs w:val="18"/>
              </w:rPr>
              <w:t>Laboreen urteko ekoizpenak</w:t>
            </w:r>
          </w:p>
        </w:tc>
        <w:tc>
          <w:tcPr>
            <w:tcW w:w="0" w:type="auto"/>
            <w:tcMar>
              <w:top w:w="15" w:type="dxa"/>
              <w:left w:w="15" w:type="dxa"/>
              <w:bottom w:w="15" w:type="dxa"/>
              <w:right w:w="15" w:type="dxa"/>
            </w:tcMar>
            <w:vAlign w:val="center"/>
            <w:hideMark/>
          </w:tcPr>
          <w:p w:rsidR="003E6891" w:rsidRPr="00CE5DA3" w:rsidRDefault="003E6891" w:rsidP="00CE5DA3">
            <w:pPr>
              <w:spacing w:before="20" w:after="20"/>
              <w:jc w:val="right"/>
              <w:rPr>
                <w:rFonts w:asciiTheme="minorHAnsi" w:hAnsiTheme="minorHAnsi" w:cs="Arial"/>
                <w:sz w:val="18"/>
                <w:szCs w:val="18"/>
              </w:rPr>
            </w:pPr>
            <w:r w:rsidRPr="00CE5DA3">
              <w:rPr>
                <w:rFonts w:asciiTheme="minorHAnsi" w:hAnsiTheme="minorHAnsi"/>
                <w:sz w:val="18"/>
                <w:szCs w:val="18"/>
              </w:rPr>
              <w:t>75</w:t>
            </w:r>
          </w:p>
        </w:tc>
      </w:tr>
      <w:tr w:rsidR="003E6891" w:rsidRPr="00CE5DA3" w:rsidTr="003D0858">
        <w:trPr>
          <w:tblCellSpacing w:w="15" w:type="dxa"/>
          <w:jc w:val="center"/>
        </w:trPr>
        <w:tc>
          <w:tcPr>
            <w:tcW w:w="0" w:type="auto"/>
            <w:tcMar>
              <w:top w:w="15" w:type="dxa"/>
              <w:left w:w="15" w:type="dxa"/>
              <w:bottom w:w="15" w:type="dxa"/>
              <w:right w:w="15" w:type="dxa"/>
            </w:tcMar>
            <w:vAlign w:val="center"/>
            <w:hideMark/>
          </w:tcPr>
          <w:p w:rsidR="003E6891" w:rsidRPr="00CE5DA3" w:rsidRDefault="003E6891" w:rsidP="00CE5DA3">
            <w:pPr>
              <w:spacing w:before="20" w:after="20"/>
              <w:rPr>
                <w:rFonts w:asciiTheme="minorHAnsi" w:hAnsiTheme="minorHAnsi" w:cs="Arial"/>
                <w:sz w:val="18"/>
                <w:szCs w:val="18"/>
              </w:rPr>
            </w:pPr>
            <w:r w:rsidRPr="00CE5DA3">
              <w:rPr>
                <w:rFonts w:asciiTheme="minorHAnsi" w:hAnsiTheme="minorHAnsi"/>
                <w:sz w:val="18"/>
                <w:szCs w:val="18"/>
              </w:rPr>
              <w:t>Abeltzaintzako beste ekoizpen batzuen ebaluazioa</w:t>
            </w:r>
          </w:p>
        </w:tc>
        <w:tc>
          <w:tcPr>
            <w:tcW w:w="0" w:type="auto"/>
            <w:tcMar>
              <w:top w:w="15" w:type="dxa"/>
              <w:left w:w="15" w:type="dxa"/>
              <w:bottom w:w="15" w:type="dxa"/>
              <w:right w:w="15" w:type="dxa"/>
            </w:tcMar>
            <w:vAlign w:val="center"/>
            <w:hideMark/>
          </w:tcPr>
          <w:p w:rsidR="003E6891" w:rsidRPr="00CE5DA3" w:rsidRDefault="003E6891" w:rsidP="00CE5DA3">
            <w:pPr>
              <w:spacing w:before="20" w:after="20"/>
              <w:jc w:val="right"/>
              <w:rPr>
                <w:rFonts w:asciiTheme="minorHAnsi" w:hAnsiTheme="minorHAnsi" w:cs="Arial"/>
                <w:sz w:val="18"/>
                <w:szCs w:val="18"/>
              </w:rPr>
            </w:pPr>
            <w:r w:rsidRPr="00CE5DA3">
              <w:rPr>
                <w:rFonts w:asciiTheme="minorHAnsi" w:hAnsiTheme="minorHAnsi"/>
                <w:sz w:val="18"/>
                <w:szCs w:val="18"/>
              </w:rPr>
              <w:t>250</w:t>
            </w:r>
          </w:p>
        </w:tc>
      </w:tr>
      <w:tr w:rsidR="003E6891" w:rsidRPr="00CE5DA3" w:rsidTr="003D0858">
        <w:trPr>
          <w:tblCellSpacing w:w="15" w:type="dxa"/>
          <w:jc w:val="center"/>
        </w:trPr>
        <w:tc>
          <w:tcPr>
            <w:tcW w:w="0" w:type="auto"/>
            <w:tcMar>
              <w:top w:w="15" w:type="dxa"/>
              <w:left w:w="15" w:type="dxa"/>
              <w:bottom w:w="15" w:type="dxa"/>
              <w:right w:w="15" w:type="dxa"/>
            </w:tcMar>
            <w:vAlign w:val="center"/>
            <w:hideMark/>
          </w:tcPr>
          <w:p w:rsidR="003E6891" w:rsidRPr="00CE5DA3" w:rsidRDefault="003E6891" w:rsidP="00CE5DA3">
            <w:pPr>
              <w:spacing w:before="20" w:after="20"/>
              <w:rPr>
                <w:rFonts w:asciiTheme="minorHAnsi" w:hAnsiTheme="minorHAnsi" w:cs="Arial"/>
                <w:sz w:val="18"/>
                <w:szCs w:val="18"/>
              </w:rPr>
            </w:pPr>
            <w:r w:rsidRPr="00CE5DA3">
              <w:rPr>
                <w:rFonts w:asciiTheme="minorHAnsi" w:hAnsiTheme="minorHAnsi"/>
                <w:sz w:val="18"/>
                <w:szCs w:val="18"/>
              </w:rPr>
              <w:t>Lurraren prezioak</w:t>
            </w:r>
          </w:p>
        </w:tc>
        <w:tc>
          <w:tcPr>
            <w:tcW w:w="0" w:type="auto"/>
            <w:tcMar>
              <w:top w:w="15" w:type="dxa"/>
              <w:left w:w="15" w:type="dxa"/>
              <w:bottom w:w="15" w:type="dxa"/>
              <w:right w:w="15" w:type="dxa"/>
            </w:tcMar>
            <w:vAlign w:val="center"/>
            <w:hideMark/>
          </w:tcPr>
          <w:p w:rsidR="003E6891" w:rsidRPr="00CE5DA3" w:rsidRDefault="003E6891" w:rsidP="00CE5DA3">
            <w:pPr>
              <w:spacing w:before="20" w:after="20"/>
              <w:jc w:val="right"/>
              <w:rPr>
                <w:rFonts w:asciiTheme="minorHAnsi" w:hAnsiTheme="minorHAnsi" w:cs="Arial"/>
                <w:sz w:val="18"/>
                <w:szCs w:val="18"/>
              </w:rPr>
            </w:pPr>
            <w:r w:rsidRPr="00CE5DA3">
              <w:rPr>
                <w:rFonts w:asciiTheme="minorHAnsi" w:hAnsiTheme="minorHAnsi"/>
                <w:sz w:val="18"/>
                <w:szCs w:val="18"/>
              </w:rPr>
              <w:t>1.300</w:t>
            </w:r>
          </w:p>
        </w:tc>
      </w:tr>
      <w:tr w:rsidR="003E6891" w:rsidRPr="00CE5DA3" w:rsidTr="003D0858">
        <w:trPr>
          <w:tblCellSpacing w:w="15" w:type="dxa"/>
          <w:jc w:val="center"/>
        </w:trPr>
        <w:tc>
          <w:tcPr>
            <w:tcW w:w="0" w:type="auto"/>
            <w:tcMar>
              <w:top w:w="15" w:type="dxa"/>
              <w:left w:w="15" w:type="dxa"/>
              <w:bottom w:w="15" w:type="dxa"/>
              <w:right w:w="15" w:type="dxa"/>
            </w:tcMar>
            <w:vAlign w:val="center"/>
            <w:hideMark/>
          </w:tcPr>
          <w:p w:rsidR="003E6891" w:rsidRPr="00CE5DA3" w:rsidRDefault="003E6891" w:rsidP="00CE5DA3">
            <w:pPr>
              <w:spacing w:before="20" w:after="20"/>
              <w:rPr>
                <w:rFonts w:asciiTheme="minorHAnsi" w:hAnsiTheme="minorHAnsi" w:cs="Arial"/>
                <w:sz w:val="18"/>
                <w:szCs w:val="18"/>
              </w:rPr>
            </w:pPr>
            <w:r w:rsidRPr="00CE5DA3">
              <w:rPr>
                <w:rFonts w:asciiTheme="minorHAnsi" w:hAnsiTheme="minorHAnsi"/>
                <w:sz w:val="18"/>
                <w:szCs w:val="18"/>
              </w:rPr>
              <w:t>Landa errentamenduen kanonak</w:t>
            </w:r>
          </w:p>
        </w:tc>
        <w:tc>
          <w:tcPr>
            <w:tcW w:w="0" w:type="auto"/>
            <w:tcMar>
              <w:top w:w="15" w:type="dxa"/>
              <w:left w:w="15" w:type="dxa"/>
              <w:bottom w:w="15" w:type="dxa"/>
              <w:right w:w="15" w:type="dxa"/>
            </w:tcMar>
            <w:vAlign w:val="center"/>
            <w:hideMark/>
          </w:tcPr>
          <w:p w:rsidR="003E6891" w:rsidRPr="00CE5DA3" w:rsidRDefault="003E6891" w:rsidP="00CE5DA3">
            <w:pPr>
              <w:spacing w:before="20" w:after="20"/>
              <w:jc w:val="right"/>
              <w:rPr>
                <w:rFonts w:asciiTheme="minorHAnsi" w:hAnsiTheme="minorHAnsi" w:cs="Arial"/>
                <w:sz w:val="18"/>
                <w:szCs w:val="18"/>
              </w:rPr>
            </w:pPr>
            <w:r w:rsidRPr="00CE5DA3">
              <w:rPr>
                <w:rFonts w:asciiTheme="minorHAnsi" w:hAnsiTheme="minorHAnsi"/>
                <w:sz w:val="18"/>
                <w:szCs w:val="18"/>
              </w:rPr>
              <w:t>350</w:t>
            </w:r>
          </w:p>
        </w:tc>
      </w:tr>
      <w:tr w:rsidR="003E6891" w:rsidRPr="00CE5DA3" w:rsidTr="003D0858">
        <w:trPr>
          <w:tblCellSpacing w:w="15" w:type="dxa"/>
          <w:jc w:val="center"/>
        </w:trPr>
        <w:tc>
          <w:tcPr>
            <w:tcW w:w="0" w:type="auto"/>
            <w:tcMar>
              <w:top w:w="15" w:type="dxa"/>
              <w:left w:w="15" w:type="dxa"/>
              <w:bottom w:w="15" w:type="dxa"/>
              <w:right w:w="15" w:type="dxa"/>
            </w:tcMar>
            <w:vAlign w:val="center"/>
            <w:hideMark/>
          </w:tcPr>
          <w:p w:rsidR="003E6891" w:rsidRPr="00CE5DA3" w:rsidRDefault="003E6891" w:rsidP="00CE5DA3">
            <w:pPr>
              <w:spacing w:before="20" w:after="20"/>
              <w:rPr>
                <w:rFonts w:asciiTheme="minorHAnsi" w:hAnsiTheme="minorHAnsi" w:cs="Arial"/>
                <w:sz w:val="18"/>
                <w:szCs w:val="18"/>
              </w:rPr>
            </w:pPr>
            <w:r w:rsidRPr="00CE5DA3">
              <w:rPr>
                <w:rFonts w:asciiTheme="minorHAnsi" w:hAnsiTheme="minorHAnsi"/>
                <w:sz w:val="18"/>
                <w:szCs w:val="18"/>
              </w:rPr>
              <w:t>Nekazaritzako eta abeltzaintzako produktuen asteko prezioak</w:t>
            </w:r>
          </w:p>
        </w:tc>
        <w:tc>
          <w:tcPr>
            <w:tcW w:w="0" w:type="auto"/>
            <w:tcMar>
              <w:top w:w="15" w:type="dxa"/>
              <w:left w:w="15" w:type="dxa"/>
              <w:bottom w:w="15" w:type="dxa"/>
              <w:right w:w="15" w:type="dxa"/>
            </w:tcMar>
            <w:vAlign w:val="center"/>
            <w:hideMark/>
          </w:tcPr>
          <w:p w:rsidR="003E6891" w:rsidRPr="00CE5DA3" w:rsidRDefault="003E6891" w:rsidP="00CE5DA3">
            <w:pPr>
              <w:spacing w:before="20" w:after="20"/>
              <w:jc w:val="right"/>
              <w:rPr>
                <w:rFonts w:asciiTheme="minorHAnsi" w:hAnsiTheme="minorHAnsi" w:cs="Arial"/>
                <w:sz w:val="18"/>
                <w:szCs w:val="18"/>
              </w:rPr>
            </w:pPr>
            <w:r w:rsidRPr="00CE5DA3">
              <w:rPr>
                <w:rFonts w:asciiTheme="minorHAnsi" w:hAnsiTheme="minorHAnsi"/>
                <w:sz w:val="18"/>
                <w:szCs w:val="18"/>
              </w:rPr>
              <w:t>1.750</w:t>
            </w:r>
          </w:p>
        </w:tc>
      </w:tr>
      <w:tr w:rsidR="003E6891" w:rsidRPr="00CE5DA3" w:rsidTr="003D0858">
        <w:trPr>
          <w:tblCellSpacing w:w="15" w:type="dxa"/>
          <w:jc w:val="center"/>
        </w:trPr>
        <w:tc>
          <w:tcPr>
            <w:tcW w:w="0" w:type="auto"/>
            <w:tcMar>
              <w:top w:w="15" w:type="dxa"/>
              <w:left w:w="15" w:type="dxa"/>
              <w:bottom w:w="15" w:type="dxa"/>
              <w:right w:w="15" w:type="dxa"/>
            </w:tcMar>
            <w:vAlign w:val="center"/>
            <w:hideMark/>
          </w:tcPr>
          <w:p w:rsidR="003E6891" w:rsidRPr="00CE5DA3" w:rsidRDefault="003E6891" w:rsidP="00CE5DA3">
            <w:pPr>
              <w:spacing w:before="20" w:after="20"/>
              <w:rPr>
                <w:rFonts w:asciiTheme="minorHAnsi" w:hAnsiTheme="minorHAnsi" w:cs="Arial"/>
                <w:sz w:val="18"/>
                <w:szCs w:val="18"/>
              </w:rPr>
            </w:pPr>
            <w:r w:rsidRPr="00CE5DA3">
              <w:rPr>
                <w:rFonts w:asciiTheme="minorHAnsi" w:hAnsiTheme="minorHAnsi"/>
                <w:sz w:val="18"/>
                <w:szCs w:val="18"/>
              </w:rPr>
              <w:t>Nekazariek eta abeltzainek jasotako prezioak</w:t>
            </w:r>
          </w:p>
        </w:tc>
        <w:tc>
          <w:tcPr>
            <w:tcW w:w="0" w:type="auto"/>
            <w:tcMar>
              <w:top w:w="15" w:type="dxa"/>
              <w:left w:w="15" w:type="dxa"/>
              <w:bottom w:w="15" w:type="dxa"/>
              <w:right w:w="15" w:type="dxa"/>
            </w:tcMar>
            <w:vAlign w:val="center"/>
            <w:hideMark/>
          </w:tcPr>
          <w:p w:rsidR="003E6891" w:rsidRPr="00CE5DA3" w:rsidRDefault="003E6891" w:rsidP="00CE5DA3">
            <w:pPr>
              <w:spacing w:before="20" w:after="20"/>
              <w:jc w:val="right"/>
              <w:rPr>
                <w:rFonts w:asciiTheme="minorHAnsi" w:hAnsiTheme="minorHAnsi" w:cs="Arial"/>
                <w:sz w:val="18"/>
                <w:szCs w:val="18"/>
              </w:rPr>
            </w:pPr>
            <w:r w:rsidRPr="00CE5DA3">
              <w:rPr>
                <w:rFonts w:asciiTheme="minorHAnsi" w:hAnsiTheme="minorHAnsi"/>
                <w:sz w:val="18"/>
                <w:szCs w:val="18"/>
              </w:rPr>
              <w:t>1.100</w:t>
            </w:r>
          </w:p>
        </w:tc>
      </w:tr>
      <w:tr w:rsidR="003E6891" w:rsidRPr="00CE5DA3" w:rsidTr="003D0858">
        <w:trPr>
          <w:tblCellSpacing w:w="15" w:type="dxa"/>
          <w:jc w:val="center"/>
        </w:trPr>
        <w:tc>
          <w:tcPr>
            <w:tcW w:w="0" w:type="auto"/>
            <w:tcMar>
              <w:top w:w="15" w:type="dxa"/>
              <w:left w:w="15" w:type="dxa"/>
              <w:bottom w:w="15" w:type="dxa"/>
              <w:right w:w="15" w:type="dxa"/>
            </w:tcMar>
            <w:vAlign w:val="center"/>
            <w:hideMark/>
          </w:tcPr>
          <w:p w:rsidR="003E6891" w:rsidRPr="00CE5DA3" w:rsidRDefault="003E6891" w:rsidP="00CE5DA3">
            <w:pPr>
              <w:spacing w:before="20" w:after="20"/>
              <w:rPr>
                <w:rFonts w:asciiTheme="minorHAnsi" w:hAnsiTheme="minorHAnsi" w:cs="Arial"/>
                <w:sz w:val="18"/>
                <w:szCs w:val="18"/>
              </w:rPr>
            </w:pPr>
            <w:r w:rsidRPr="00CE5DA3">
              <w:rPr>
                <w:rFonts w:asciiTheme="minorHAnsi" w:hAnsiTheme="minorHAnsi"/>
                <w:sz w:val="18"/>
                <w:szCs w:val="18"/>
              </w:rPr>
              <w:t>Nekazariek eta abeltzainek ordaindutako prezioak</w:t>
            </w:r>
          </w:p>
        </w:tc>
        <w:tc>
          <w:tcPr>
            <w:tcW w:w="0" w:type="auto"/>
            <w:tcMar>
              <w:top w:w="15" w:type="dxa"/>
              <w:left w:w="15" w:type="dxa"/>
              <w:bottom w:w="15" w:type="dxa"/>
              <w:right w:w="15" w:type="dxa"/>
            </w:tcMar>
            <w:vAlign w:val="center"/>
            <w:hideMark/>
          </w:tcPr>
          <w:p w:rsidR="003E6891" w:rsidRPr="00CE5DA3" w:rsidRDefault="003E6891" w:rsidP="00CE5DA3">
            <w:pPr>
              <w:spacing w:before="20" w:after="20"/>
              <w:jc w:val="right"/>
              <w:rPr>
                <w:rFonts w:asciiTheme="minorHAnsi" w:hAnsiTheme="minorHAnsi" w:cs="Arial"/>
                <w:sz w:val="18"/>
                <w:szCs w:val="18"/>
              </w:rPr>
            </w:pPr>
            <w:r w:rsidRPr="00CE5DA3">
              <w:rPr>
                <w:rFonts w:asciiTheme="minorHAnsi" w:hAnsiTheme="minorHAnsi"/>
                <w:sz w:val="18"/>
                <w:szCs w:val="18"/>
              </w:rPr>
              <w:t>600</w:t>
            </w:r>
          </w:p>
        </w:tc>
      </w:tr>
      <w:tr w:rsidR="003E6891" w:rsidRPr="00CE5DA3" w:rsidTr="003D0858">
        <w:trPr>
          <w:tblCellSpacing w:w="15" w:type="dxa"/>
          <w:jc w:val="center"/>
        </w:trPr>
        <w:tc>
          <w:tcPr>
            <w:tcW w:w="0" w:type="auto"/>
            <w:tcMar>
              <w:top w:w="15" w:type="dxa"/>
              <w:left w:w="15" w:type="dxa"/>
              <w:bottom w:w="15" w:type="dxa"/>
              <w:right w:w="15" w:type="dxa"/>
            </w:tcMar>
            <w:vAlign w:val="center"/>
            <w:hideMark/>
          </w:tcPr>
          <w:p w:rsidR="003E6891" w:rsidRPr="00CE5DA3" w:rsidRDefault="003E6891" w:rsidP="00CE5DA3">
            <w:pPr>
              <w:spacing w:before="20" w:after="20"/>
              <w:rPr>
                <w:rFonts w:asciiTheme="minorHAnsi" w:hAnsiTheme="minorHAnsi" w:cs="Arial"/>
                <w:sz w:val="18"/>
                <w:szCs w:val="18"/>
              </w:rPr>
            </w:pPr>
            <w:r w:rsidRPr="00CE5DA3">
              <w:rPr>
                <w:rFonts w:asciiTheme="minorHAnsi" w:hAnsiTheme="minorHAnsi"/>
                <w:sz w:val="18"/>
                <w:szCs w:val="18"/>
              </w:rPr>
              <w:t>Munta gutxiko produktuen prezioak</w:t>
            </w:r>
          </w:p>
        </w:tc>
        <w:tc>
          <w:tcPr>
            <w:tcW w:w="0" w:type="auto"/>
            <w:tcMar>
              <w:top w:w="15" w:type="dxa"/>
              <w:left w:w="15" w:type="dxa"/>
              <w:bottom w:w="15" w:type="dxa"/>
              <w:right w:w="15" w:type="dxa"/>
            </w:tcMar>
            <w:vAlign w:val="center"/>
            <w:hideMark/>
          </w:tcPr>
          <w:p w:rsidR="003E6891" w:rsidRPr="00CE5DA3" w:rsidRDefault="003E6891" w:rsidP="00CE5DA3">
            <w:pPr>
              <w:spacing w:before="20" w:after="20"/>
              <w:jc w:val="right"/>
              <w:rPr>
                <w:rFonts w:asciiTheme="minorHAnsi" w:hAnsiTheme="minorHAnsi" w:cs="Arial"/>
                <w:sz w:val="18"/>
                <w:szCs w:val="18"/>
              </w:rPr>
            </w:pPr>
            <w:r w:rsidRPr="00CE5DA3">
              <w:rPr>
                <w:rFonts w:asciiTheme="minorHAnsi" w:hAnsiTheme="minorHAnsi"/>
                <w:sz w:val="18"/>
                <w:szCs w:val="18"/>
              </w:rPr>
              <w:t>300</w:t>
            </w:r>
          </w:p>
        </w:tc>
      </w:tr>
      <w:tr w:rsidR="003E6891" w:rsidRPr="00CE5DA3" w:rsidTr="003D0858">
        <w:trPr>
          <w:tblCellSpacing w:w="15" w:type="dxa"/>
          <w:jc w:val="center"/>
        </w:trPr>
        <w:tc>
          <w:tcPr>
            <w:tcW w:w="0" w:type="auto"/>
            <w:tcMar>
              <w:top w:w="15" w:type="dxa"/>
              <w:left w:w="15" w:type="dxa"/>
              <w:bottom w:w="15" w:type="dxa"/>
              <w:right w:w="15" w:type="dxa"/>
            </w:tcMar>
            <w:vAlign w:val="center"/>
            <w:hideMark/>
          </w:tcPr>
          <w:p w:rsidR="003E6891" w:rsidRPr="00CE5DA3" w:rsidRDefault="003E6891" w:rsidP="00CE5DA3">
            <w:pPr>
              <w:spacing w:before="20" w:after="20"/>
              <w:rPr>
                <w:rFonts w:asciiTheme="minorHAnsi" w:hAnsiTheme="minorHAnsi" w:cs="Arial"/>
                <w:sz w:val="18"/>
                <w:szCs w:val="18"/>
              </w:rPr>
            </w:pPr>
            <w:r w:rsidRPr="00CE5DA3">
              <w:rPr>
                <w:rFonts w:asciiTheme="minorHAnsi" w:hAnsiTheme="minorHAnsi"/>
                <w:sz w:val="18"/>
                <w:szCs w:val="18"/>
              </w:rPr>
              <w:t>Nekazaritzako ordainsariak</w:t>
            </w:r>
          </w:p>
        </w:tc>
        <w:tc>
          <w:tcPr>
            <w:tcW w:w="0" w:type="auto"/>
            <w:tcMar>
              <w:top w:w="15" w:type="dxa"/>
              <w:left w:w="15" w:type="dxa"/>
              <w:bottom w:w="15" w:type="dxa"/>
              <w:right w:w="15" w:type="dxa"/>
            </w:tcMar>
            <w:vAlign w:val="center"/>
            <w:hideMark/>
          </w:tcPr>
          <w:p w:rsidR="003E6891" w:rsidRPr="00CE5DA3" w:rsidRDefault="003E6891" w:rsidP="00CE5DA3">
            <w:pPr>
              <w:spacing w:before="20" w:after="20"/>
              <w:jc w:val="right"/>
              <w:rPr>
                <w:rFonts w:asciiTheme="minorHAnsi" w:hAnsiTheme="minorHAnsi" w:cs="Arial"/>
                <w:sz w:val="18"/>
                <w:szCs w:val="18"/>
              </w:rPr>
            </w:pPr>
            <w:r w:rsidRPr="00CE5DA3">
              <w:rPr>
                <w:rFonts w:asciiTheme="minorHAnsi" w:hAnsiTheme="minorHAnsi"/>
                <w:sz w:val="18"/>
                <w:szCs w:val="18"/>
              </w:rPr>
              <w:t>200</w:t>
            </w:r>
          </w:p>
        </w:tc>
      </w:tr>
      <w:tr w:rsidR="003E6891" w:rsidRPr="00CE5DA3" w:rsidTr="003D0858">
        <w:trPr>
          <w:tblCellSpacing w:w="15" w:type="dxa"/>
          <w:jc w:val="center"/>
        </w:trPr>
        <w:tc>
          <w:tcPr>
            <w:tcW w:w="0" w:type="auto"/>
            <w:tcMar>
              <w:top w:w="15" w:type="dxa"/>
              <w:left w:w="15" w:type="dxa"/>
              <w:bottom w:w="15" w:type="dxa"/>
              <w:right w:w="15" w:type="dxa"/>
            </w:tcMar>
            <w:vAlign w:val="center"/>
            <w:hideMark/>
          </w:tcPr>
          <w:p w:rsidR="003E6891" w:rsidRPr="00CE5DA3" w:rsidRDefault="003E6891" w:rsidP="00CE5DA3">
            <w:pPr>
              <w:spacing w:before="20" w:after="20"/>
              <w:rPr>
                <w:rFonts w:asciiTheme="minorHAnsi" w:hAnsiTheme="minorHAnsi" w:cs="Arial"/>
                <w:sz w:val="18"/>
                <w:szCs w:val="18"/>
              </w:rPr>
            </w:pPr>
            <w:r w:rsidRPr="00CE5DA3">
              <w:rPr>
                <w:rFonts w:asciiTheme="minorHAnsi" w:hAnsiTheme="minorHAnsi"/>
                <w:sz w:val="18"/>
                <w:szCs w:val="18"/>
              </w:rPr>
              <w:t xml:space="preserve">Kontu </w:t>
            </w:r>
            <w:proofErr w:type="spellStart"/>
            <w:r w:rsidRPr="00CE5DA3">
              <w:rPr>
                <w:rFonts w:asciiTheme="minorHAnsi" w:hAnsiTheme="minorHAnsi"/>
                <w:sz w:val="18"/>
                <w:szCs w:val="18"/>
              </w:rPr>
              <w:t>makroekonomikoak</w:t>
            </w:r>
            <w:proofErr w:type="spellEnd"/>
          </w:p>
        </w:tc>
        <w:tc>
          <w:tcPr>
            <w:tcW w:w="0" w:type="auto"/>
            <w:tcMar>
              <w:top w:w="15" w:type="dxa"/>
              <w:left w:w="15" w:type="dxa"/>
              <w:bottom w:w="15" w:type="dxa"/>
              <w:right w:w="15" w:type="dxa"/>
            </w:tcMar>
            <w:vAlign w:val="center"/>
            <w:hideMark/>
          </w:tcPr>
          <w:p w:rsidR="003E6891" w:rsidRPr="00CE5DA3" w:rsidRDefault="003E6891" w:rsidP="00CE5DA3">
            <w:pPr>
              <w:spacing w:before="20" w:after="20"/>
              <w:jc w:val="right"/>
              <w:rPr>
                <w:rFonts w:asciiTheme="minorHAnsi" w:hAnsiTheme="minorHAnsi" w:cs="Arial"/>
                <w:sz w:val="18"/>
                <w:szCs w:val="18"/>
              </w:rPr>
            </w:pPr>
            <w:r w:rsidRPr="00CE5DA3">
              <w:rPr>
                <w:rFonts w:asciiTheme="minorHAnsi" w:hAnsiTheme="minorHAnsi"/>
                <w:sz w:val="18"/>
                <w:szCs w:val="18"/>
              </w:rPr>
              <w:t>200</w:t>
            </w:r>
          </w:p>
        </w:tc>
      </w:tr>
      <w:tr w:rsidR="003E6891" w:rsidRPr="00CE5DA3" w:rsidTr="003D0858">
        <w:trPr>
          <w:tblCellSpacing w:w="15" w:type="dxa"/>
          <w:jc w:val="center"/>
        </w:trPr>
        <w:tc>
          <w:tcPr>
            <w:tcW w:w="0" w:type="auto"/>
            <w:tcMar>
              <w:top w:w="15" w:type="dxa"/>
              <w:left w:w="15" w:type="dxa"/>
              <w:bottom w:w="15" w:type="dxa"/>
              <w:right w:w="15" w:type="dxa"/>
            </w:tcMar>
            <w:vAlign w:val="center"/>
            <w:hideMark/>
          </w:tcPr>
          <w:p w:rsidR="003E6891" w:rsidRPr="00CE5DA3" w:rsidRDefault="003E6891" w:rsidP="00CE5DA3">
            <w:pPr>
              <w:spacing w:before="20" w:after="20"/>
              <w:rPr>
                <w:rFonts w:asciiTheme="minorHAnsi" w:hAnsiTheme="minorHAnsi" w:cs="Arial"/>
                <w:sz w:val="18"/>
                <w:szCs w:val="18"/>
              </w:rPr>
            </w:pPr>
            <w:proofErr w:type="spellStart"/>
            <w:r w:rsidRPr="00CE5DA3">
              <w:rPr>
                <w:rFonts w:asciiTheme="minorHAnsi" w:hAnsiTheme="minorHAnsi"/>
                <w:sz w:val="18"/>
                <w:szCs w:val="18"/>
              </w:rPr>
              <w:t>Meteorologia-Osoa</w:t>
            </w:r>
            <w:proofErr w:type="spellEnd"/>
          </w:p>
        </w:tc>
        <w:tc>
          <w:tcPr>
            <w:tcW w:w="0" w:type="auto"/>
            <w:tcMar>
              <w:top w:w="15" w:type="dxa"/>
              <w:left w:w="15" w:type="dxa"/>
              <w:bottom w:w="15" w:type="dxa"/>
              <w:right w:w="15" w:type="dxa"/>
            </w:tcMar>
            <w:vAlign w:val="center"/>
            <w:hideMark/>
          </w:tcPr>
          <w:p w:rsidR="003E6891" w:rsidRPr="00CE5DA3" w:rsidRDefault="003E6891" w:rsidP="00CE5DA3">
            <w:pPr>
              <w:spacing w:before="20" w:after="20"/>
              <w:jc w:val="right"/>
              <w:rPr>
                <w:rFonts w:asciiTheme="minorHAnsi" w:hAnsiTheme="minorHAnsi" w:cs="Arial"/>
                <w:sz w:val="18"/>
                <w:szCs w:val="18"/>
              </w:rPr>
            </w:pPr>
            <w:r w:rsidRPr="00CE5DA3">
              <w:rPr>
                <w:rFonts w:asciiTheme="minorHAnsi" w:hAnsiTheme="minorHAnsi"/>
                <w:sz w:val="18"/>
                <w:szCs w:val="18"/>
              </w:rPr>
              <w:t>1.325</w:t>
            </w:r>
          </w:p>
        </w:tc>
      </w:tr>
      <w:tr w:rsidR="003E6891" w:rsidRPr="00CE5DA3" w:rsidTr="003D0858">
        <w:trPr>
          <w:tblCellSpacing w:w="15" w:type="dxa"/>
          <w:jc w:val="center"/>
        </w:trPr>
        <w:tc>
          <w:tcPr>
            <w:tcW w:w="0" w:type="auto"/>
            <w:tcMar>
              <w:top w:w="15" w:type="dxa"/>
              <w:left w:w="15" w:type="dxa"/>
              <w:bottom w:w="15" w:type="dxa"/>
              <w:right w:w="15" w:type="dxa"/>
            </w:tcMar>
            <w:vAlign w:val="center"/>
            <w:hideMark/>
          </w:tcPr>
          <w:p w:rsidR="003E6891" w:rsidRPr="00CE5DA3" w:rsidRDefault="003E6891" w:rsidP="00CE5DA3">
            <w:pPr>
              <w:spacing w:before="20" w:after="20"/>
              <w:rPr>
                <w:rFonts w:asciiTheme="minorHAnsi" w:hAnsiTheme="minorHAnsi" w:cs="Arial"/>
                <w:sz w:val="18"/>
                <w:szCs w:val="18"/>
              </w:rPr>
            </w:pPr>
            <w:proofErr w:type="spellStart"/>
            <w:r w:rsidRPr="00CE5DA3">
              <w:rPr>
                <w:rFonts w:asciiTheme="minorHAnsi" w:hAnsiTheme="minorHAnsi"/>
                <w:sz w:val="18"/>
                <w:szCs w:val="18"/>
              </w:rPr>
              <w:t>Meteorologia-Erdizka</w:t>
            </w:r>
            <w:proofErr w:type="spellEnd"/>
          </w:p>
        </w:tc>
        <w:tc>
          <w:tcPr>
            <w:tcW w:w="0" w:type="auto"/>
            <w:tcMar>
              <w:top w:w="15" w:type="dxa"/>
              <w:left w:w="15" w:type="dxa"/>
              <w:bottom w:w="15" w:type="dxa"/>
              <w:right w:w="15" w:type="dxa"/>
            </w:tcMar>
            <w:vAlign w:val="center"/>
            <w:hideMark/>
          </w:tcPr>
          <w:p w:rsidR="003E6891" w:rsidRPr="00CE5DA3" w:rsidRDefault="003E6891" w:rsidP="00CE5DA3">
            <w:pPr>
              <w:spacing w:before="20" w:after="20"/>
              <w:jc w:val="right"/>
              <w:rPr>
                <w:rFonts w:asciiTheme="minorHAnsi" w:hAnsiTheme="minorHAnsi" w:cs="Arial"/>
                <w:sz w:val="18"/>
                <w:szCs w:val="18"/>
              </w:rPr>
            </w:pPr>
            <w:r w:rsidRPr="00CE5DA3">
              <w:rPr>
                <w:rFonts w:asciiTheme="minorHAnsi" w:hAnsiTheme="minorHAnsi"/>
                <w:sz w:val="18"/>
                <w:szCs w:val="18"/>
              </w:rPr>
              <w:t>1.175</w:t>
            </w:r>
          </w:p>
        </w:tc>
      </w:tr>
      <w:tr w:rsidR="003E6891" w:rsidRPr="00CE5DA3" w:rsidTr="003D0858">
        <w:trPr>
          <w:tblCellSpacing w:w="15" w:type="dxa"/>
          <w:jc w:val="center"/>
        </w:trPr>
        <w:tc>
          <w:tcPr>
            <w:tcW w:w="0" w:type="auto"/>
            <w:tcMar>
              <w:top w:w="15" w:type="dxa"/>
              <w:left w:w="15" w:type="dxa"/>
              <w:bottom w:w="15" w:type="dxa"/>
              <w:right w:w="15" w:type="dxa"/>
            </w:tcMar>
            <w:vAlign w:val="center"/>
            <w:hideMark/>
          </w:tcPr>
          <w:p w:rsidR="003E6891" w:rsidRPr="00CE5DA3" w:rsidRDefault="003E6891" w:rsidP="00CE5DA3">
            <w:pPr>
              <w:spacing w:before="20" w:after="20"/>
              <w:rPr>
                <w:rFonts w:asciiTheme="minorHAnsi" w:hAnsiTheme="minorHAnsi" w:cs="Arial"/>
                <w:sz w:val="18"/>
                <w:szCs w:val="18"/>
              </w:rPr>
            </w:pPr>
            <w:proofErr w:type="spellStart"/>
            <w:r w:rsidRPr="00CE5DA3">
              <w:rPr>
                <w:rFonts w:asciiTheme="minorHAnsi" w:hAnsiTheme="minorHAnsi"/>
                <w:sz w:val="18"/>
                <w:szCs w:val="18"/>
              </w:rPr>
              <w:t>Meteorologia-Termoplubiometrikoa</w:t>
            </w:r>
            <w:proofErr w:type="spellEnd"/>
            <w:r w:rsidRPr="00CE5DA3">
              <w:rPr>
                <w:rFonts w:asciiTheme="minorHAnsi" w:hAnsiTheme="minorHAnsi"/>
                <w:sz w:val="18"/>
                <w:szCs w:val="18"/>
              </w:rPr>
              <w:t>, elurrari buruzko informazioarekin</w:t>
            </w:r>
          </w:p>
        </w:tc>
        <w:tc>
          <w:tcPr>
            <w:tcW w:w="0" w:type="auto"/>
            <w:tcMar>
              <w:top w:w="15" w:type="dxa"/>
              <w:left w:w="15" w:type="dxa"/>
              <w:bottom w:w="15" w:type="dxa"/>
              <w:right w:w="15" w:type="dxa"/>
            </w:tcMar>
            <w:vAlign w:val="center"/>
            <w:hideMark/>
          </w:tcPr>
          <w:p w:rsidR="003E6891" w:rsidRPr="00CE5DA3" w:rsidRDefault="003E6891" w:rsidP="00CE5DA3">
            <w:pPr>
              <w:spacing w:before="20" w:after="20"/>
              <w:jc w:val="right"/>
              <w:rPr>
                <w:rFonts w:asciiTheme="minorHAnsi" w:hAnsiTheme="minorHAnsi" w:cs="Arial"/>
                <w:sz w:val="18"/>
                <w:szCs w:val="18"/>
              </w:rPr>
            </w:pPr>
            <w:r w:rsidRPr="00CE5DA3">
              <w:rPr>
                <w:rFonts w:asciiTheme="minorHAnsi" w:hAnsiTheme="minorHAnsi"/>
                <w:sz w:val="18"/>
                <w:szCs w:val="18"/>
              </w:rPr>
              <w:t>980</w:t>
            </w:r>
          </w:p>
        </w:tc>
      </w:tr>
      <w:tr w:rsidR="003E6891" w:rsidRPr="00CE5DA3" w:rsidTr="003D0858">
        <w:trPr>
          <w:tblCellSpacing w:w="15" w:type="dxa"/>
          <w:jc w:val="center"/>
        </w:trPr>
        <w:tc>
          <w:tcPr>
            <w:tcW w:w="0" w:type="auto"/>
            <w:tcMar>
              <w:top w:w="15" w:type="dxa"/>
              <w:left w:w="15" w:type="dxa"/>
              <w:bottom w:w="15" w:type="dxa"/>
              <w:right w:w="15" w:type="dxa"/>
            </w:tcMar>
            <w:vAlign w:val="center"/>
            <w:hideMark/>
          </w:tcPr>
          <w:p w:rsidR="003E6891" w:rsidRPr="00CE5DA3" w:rsidRDefault="003E6891" w:rsidP="00CE5DA3">
            <w:pPr>
              <w:spacing w:before="20" w:after="20"/>
              <w:rPr>
                <w:rFonts w:asciiTheme="minorHAnsi" w:hAnsiTheme="minorHAnsi" w:cs="Arial"/>
                <w:sz w:val="18"/>
                <w:szCs w:val="18"/>
              </w:rPr>
            </w:pPr>
            <w:proofErr w:type="spellStart"/>
            <w:r w:rsidRPr="00CE5DA3">
              <w:rPr>
                <w:rFonts w:asciiTheme="minorHAnsi" w:hAnsiTheme="minorHAnsi"/>
                <w:sz w:val="18"/>
                <w:szCs w:val="18"/>
              </w:rPr>
              <w:t>Meteorologia-Termoplubiometrikoa</w:t>
            </w:r>
            <w:proofErr w:type="spellEnd"/>
          </w:p>
        </w:tc>
        <w:tc>
          <w:tcPr>
            <w:tcW w:w="0" w:type="auto"/>
            <w:tcMar>
              <w:top w:w="15" w:type="dxa"/>
              <w:left w:w="15" w:type="dxa"/>
              <w:bottom w:w="15" w:type="dxa"/>
              <w:right w:w="15" w:type="dxa"/>
            </w:tcMar>
            <w:vAlign w:val="center"/>
            <w:hideMark/>
          </w:tcPr>
          <w:p w:rsidR="003E6891" w:rsidRPr="00CE5DA3" w:rsidRDefault="003E6891" w:rsidP="00CE5DA3">
            <w:pPr>
              <w:spacing w:before="20" w:after="20"/>
              <w:jc w:val="right"/>
              <w:rPr>
                <w:rFonts w:asciiTheme="minorHAnsi" w:hAnsiTheme="minorHAnsi" w:cs="Arial"/>
                <w:sz w:val="18"/>
                <w:szCs w:val="18"/>
              </w:rPr>
            </w:pPr>
            <w:r w:rsidRPr="00CE5DA3">
              <w:rPr>
                <w:rFonts w:asciiTheme="minorHAnsi" w:hAnsiTheme="minorHAnsi"/>
                <w:sz w:val="18"/>
                <w:szCs w:val="18"/>
              </w:rPr>
              <w:t>750</w:t>
            </w:r>
          </w:p>
        </w:tc>
      </w:tr>
      <w:tr w:rsidR="003E6891" w:rsidRPr="00CE5DA3" w:rsidTr="003D0858">
        <w:trPr>
          <w:tblCellSpacing w:w="15" w:type="dxa"/>
          <w:jc w:val="center"/>
        </w:trPr>
        <w:tc>
          <w:tcPr>
            <w:tcW w:w="0" w:type="auto"/>
            <w:tcMar>
              <w:top w:w="15" w:type="dxa"/>
              <w:left w:w="15" w:type="dxa"/>
              <w:bottom w:w="15" w:type="dxa"/>
              <w:right w:w="15" w:type="dxa"/>
            </w:tcMar>
            <w:vAlign w:val="center"/>
            <w:hideMark/>
          </w:tcPr>
          <w:p w:rsidR="003E6891" w:rsidRPr="00CE5DA3" w:rsidRDefault="003E6891" w:rsidP="00CE5DA3">
            <w:pPr>
              <w:spacing w:before="20" w:after="20"/>
              <w:rPr>
                <w:rFonts w:asciiTheme="minorHAnsi" w:hAnsiTheme="minorHAnsi" w:cs="Arial"/>
                <w:sz w:val="18"/>
                <w:szCs w:val="18"/>
              </w:rPr>
            </w:pPr>
            <w:proofErr w:type="spellStart"/>
            <w:r w:rsidRPr="00CE5DA3">
              <w:rPr>
                <w:rFonts w:asciiTheme="minorHAnsi" w:hAnsiTheme="minorHAnsi"/>
                <w:sz w:val="18"/>
                <w:szCs w:val="18"/>
              </w:rPr>
              <w:t>Meteorologia-Plubiometrikoa</w:t>
            </w:r>
            <w:proofErr w:type="spellEnd"/>
          </w:p>
        </w:tc>
        <w:tc>
          <w:tcPr>
            <w:tcW w:w="0" w:type="auto"/>
            <w:tcMar>
              <w:top w:w="15" w:type="dxa"/>
              <w:left w:w="15" w:type="dxa"/>
              <w:bottom w:w="15" w:type="dxa"/>
              <w:right w:w="15" w:type="dxa"/>
            </w:tcMar>
            <w:vAlign w:val="center"/>
            <w:hideMark/>
          </w:tcPr>
          <w:p w:rsidR="003E6891" w:rsidRPr="00CE5DA3" w:rsidRDefault="003E6891" w:rsidP="00CE5DA3">
            <w:pPr>
              <w:spacing w:before="20" w:after="20"/>
              <w:jc w:val="right"/>
              <w:rPr>
                <w:rFonts w:asciiTheme="minorHAnsi" w:hAnsiTheme="minorHAnsi" w:cs="Arial"/>
                <w:sz w:val="18"/>
                <w:szCs w:val="18"/>
              </w:rPr>
            </w:pPr>
            <w:r w:rsidRPr="00CE5DA3">
              <w:rPr>
                <w:rFonts w:asciiTheme="minorHAnsi" w:hAnsiTheme="minorHAnsi"/>
                <w:sz w:val="18"/>
                <w:szCs w:val="18"/>
              </w:rPr>
              <w:t>665</w:t>
            </w:r>
          </w:p>
        </w:tc>
      </w:tr>
      <w:tr w:rsidR="003E6891" w:rsidRPr="00CE5DA3" w:rsidTr="002C5ECE">
        <w:trPr>
          <w:tblCellSpacing w:w="15" w:type="dxa"/>
          <w:jc w:val="center"/>
        </w:trPr>
        <w:tc>
          <w:tcPr>
            <w:tcW w:w="0" w:type="auto"/>
            <w:tcBorders>
              <w:top w:val="outset" w:sz="6" w:space="0" w:color="auto"/>
              <w:bottom w:val="single" w:sz="4" w:space="0" w:color="auto"/>
            </w:tcBorders>
            <w:tcMar>
              <w:top w:w="15" w:type="dxa"/>
              <w:left w:w="15" w:type="dxa"/>
              <w:bottom w:w="15" w:type="dxa"/>
              <w:right w:w="15" w:type="dxa"/>
            </w:tcMar>
            <w:vAlign w:val="center"/>
            <w:hideMark/>
          </w:tcPr>
          <w:p w:rsidR="003E6891" w:rsidRPr="00CE5DA3" w:rsidRDefault="003E6891" w:rsidP="00CE5DA3">
            <w:pPr>
              <w:spacing w:before="20" w:after="20"/>
              <w:rPr>
                <w:rFonts w:asciiTheme="minorHAnsi" w:hAnsiTheme="minorHAnsi" w:cs="Arial"/>
                <w:sz w:val="18"/>
                <w:szCs w:val="18"/>
              </w:rPr>
            </w:pPr>
            <w:proofErr w:type="spellStart"/>
            <w:r w:rsidRPr="00CE5DA3">
              <w:rPr>
                <w:rFonts w:asciiTheme="minorHAnsi" w:hAnsiTheme="minorHAnsi"/>
                <w:sz w:val="18"/>
                <w:szCs w:val="18"/>
              </w:rPr>
              <w:t>Meteorologia-Erdizka</w:t>
            </w:r>
            <w:proofErr w:type="spellEnd"/>
            <w:r w:rsidRPr="00CE5DA3">
              <w:rPr>
                <w:rFonts w:asciiTheme="minorHAnsi" w:hAnsiTheme="minorHAnsi"/>
                <w:sz w:val="18"/>
                <w:szCs w:val="18"/>
              </w:rPr>
              <w:t>, elurrari buruzko informazioarekin</w:t>
            </w:r>
          </w:p>
        </w:tc>
        <w:tc>
          <w:tcPr>
            <w:tcW w:w="0" w:type="auto"/>
            <w:tcBorders>
              <w:top w:val="outset" w:sz="6" w:space="0" w:color="auto"/>
              <w:bottom w:val="single" w:sz="4" w:space="0" w:color="auto"/>
            </w:tcBorders>
            <w:tcMar>
              <w:top w:w="15" w:type="dxa"/>
              <w:left w:w="15" w:type="dxa"/>
              <w:bottom w:w="15" w:type="dxa"/>
              <w:right w:w="15" w:type="dxa"/>
            </w:tcMar>
            <w:vAlign w:val="center"/>
            <w:hideMark/>
          </w:tcPr>
          <w:p w:rsidR="003E6891" w:rsidRPr="00CE5DA3" w:rsidRDefault="003E6891" w:rsidP="00CE5DA3">
            <w:pPr>
              <w:spacing w:before="20" w:after="20"/>
              <w:jc w:val="right"/>
              <w:rPr>
                <w:rFonts w:asciiTheme="minorHAnsi" w:hAnsiTheme="minorHAnsi" w:cs="Arial"/>
                <w:sz w:val="18"/>
                <w:szCs w:val="18"/>
              </w:rPr>
            </w:pPr>
            <w:r w:rsidRPr="00CE5DA3">
              <w:rPr>
                <w:rFonts w:asciiTheme="minorHAnsi" w:hAnsiTheme="minorHAnsi"/>
                <w:sz w:val="18"/>
                <w:szCs w:val="18"/>
              </w:rPr>
              <w:t>1.405</w:t>
            </w:r>
          </w:p>
        </w:tc>
      </w:tr>
    </w:tbl>
    <w:p w:rsidR="003E6891" w:rsidRPr="002A5212" w:rsidRDefault="003E6891" w:rsidP="003E6891">
      <w:pPr>
        <w:pStyle w:val="xa1"/>
        <w:spacing w:before="0" w:beforeAutospacing="0" w:after="300" w:afterAutospacing="0" w:line="340" w:lineRule="exact"/>
        <w:ind w:firstLine="567"/>
        <w:jc w:val="both"/>
        <w:rPr>
          <w:rFonts w:ascii="Arial" w:hAnsi="Arial" w:cs="Arial"/>
          <w:lang w:val="es-ES_tradnl"/>
        </w:rPr>
      </w:pPr>
    </w:p>
    <w:p w:rsidR="003E6891" w:rsidRDefault="003E6891" w:rsidP="003E6891">
      <w:pPr>
        <w:pStyle w:val="NormalWeb"/>
        <w:spacing w:before="0" w:beforeAutospacing="0" w:after="300" w:afterAutospacing="0" w:line="340" w:lineRule="exact"/>
        <w:ind w:firstLine="567"/>
        <w:jc w:val="both"/>
        <w:rPr>
          <w:rFonts w:ascii="Arial" w:hAnsi="Arial" w:cs="Arial"/>
        </w:rPr>
      </w:pPr>
      <w:r>
        <w:rPr>
          <w:rFonts w:ascii="Arial" w:hAnsi="Arial"/>
          <w:b/>
          <w:bCs/>
        </w:rPr>
        <w:t>58. artikulua.</w:t>
      </w:r>
      <w:r>
        <w:rPr>
          <w:rFonts w:ascii="Arial" w:hAnsi="Arial"/>
        </w:rPr>
        <w:t xml:space="preserve"> </w:t>
      </w:r>
      <w:r>
        <w:rPr>
          <w:rFonts w:ascii="Arial" w:hAnsi="Arial"/>
          <w:iCs/>
        </w:rPr>
        <w:t>Osasun Departamenturako eta haren erakunde autonomoetarako ondasun eta zerbitzuak erostea, informazio sistemen eta zerbitzu eta aplikazio informatikoen arlokoak.</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 xml:space="preserve">Osasun Departamenturako eta haren erakunde autonomoetarako ondasun eta zerbitzuak, informazio sistemen eta zerbitzu eta aplikazio informatikoen arlokoak, Lehendakaritza, Funtzio Publiko, Barne eta Justiziako Departamentuko Informatikaren, Telekomunikazioen eta Berrikuntza Publikoaren Zuzendaritza Nagusiak erosiko ditu, </w:t>
      </w:r>
      <w:proofErr w:type="spellStart"/>
      <w:r>
        <w:rPr>
          <w:rFonts w:ascii="Arial" w:hAnsi="Arial"/>
        </w:rPr>
        <w:t>Osasunbidea-Nafarroako</w:t>
      </w:r>
      <w:proofErr w:type="spellEnd"/>
      <w:r>
        <w:rPr>
          <w:rFonts w:ascii="Arial" w:hAnsi="Arial"/>
        </w:rPr>
        <w:t xml:space="preserve"> Osasun Zerbitzuaren partiden kargura finantzatuta.</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51" w:name="Ar.60"/>
      <w:bookmarkEnd w:id="51"/>
      <w:r>
        <w:rPr>
          <w:rFonts w:ascii="Arial" w:hAnsi="Arial"/>
          <w:b/>
          <w:bCs/>
        </w:rPr>
        <w:t>59. artikulua.</w:t>
      </w:r>
      <w:r>
        <w:rPr>
          <w:rFonts w:ascii="Arial" w:hAnsi="Arial"/>
        </w:rPr>
        <w:t xml:space="preserve"> </w:t>
      </w:r>
      <w:r>
        <w:rPr>
          <w:rFonts w:ascii="Arial" w:hAnsi="Arial"/>
          <w:iCs/>
        </w:rPr>
        <w:t>Nekazaritza Bermatzeko Europako Funtsetik (FEAGA) eta Landa Garapenerako Europako Nekazaritza Funtsetik (FEADER) heldu diren laguntzak kontrolatzeko laguntza kontratuak.</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lastRenderedPageBreak/>
        <w:t>Bermatze aldera bete eginen direla Europako FEAGA eta FEADER funtsen kontuak kitatzeko prozedurari dagokionez Kontseiluaren 1290/2005 (EE) Erregelamendua aplikatzeko xedapenak ezartzen dituen Europako Batzordearen ekainaren 21eko 885/2006 (EE) Erregelamenduaren ondoriozko betebeharrak, Landa Garapeneko, Ingurumeneko eta Toki Administrazioko Departamentuak laguntza kontratuak egiten ahalko ditu, Europako funts horietatik heldu diren laguntzen eskatzaileei ordainketak egiteko oinarri gisa hartzen diren egitateak kontrolatu eta egiaztatzeko, edo Nafarroako Foru Komunitateko Erakunde Ordaintzailearen funtzioak betetzen laguntzeko. Era berean, eginkizun horiek betetzeko mandatua eman diezaieke Nafarroako Foru Komunitateko Administrazioaren entitate instrumentalei.</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52" w:name="Da.Primera"/>
      <w:bookmarkEnd w:id="52"/>
      <w:r>
        <w:rPr>
          <w:rFonts w:ascii="Arial" w:hAnsi="Arial"/>
          <w:b/>
          <w:bCs/>
        </w:rPr>
        <w:t>Lehenbiziko xedapen gehigarria.</w:t>
      </w:r>
      <w:r>
        <w:rPr>
          <w:rFonts w:ascii="Arial" w:hAnsi="Arial"/>
        </w:rPr>
        <w:t xml:space="preserve"> </w:t>
      </w:r>
      <w:r>
        <w:rPr>
          <w:rFonts w:ascii="Arial" w:hAnsi="Arial"/>
          <w:iCs/>
        </w:rPr>
        <w:t>Toki entitateen partaidetza funtsaren tratamendua.</w:t>
      </w:r>
    </w:p>
    <w:p w:rsidR="003E6891" w:rsidRDefault="003E6891" w:rsidP="003E6891">
      <w:pPr>
        <w:tabs>
          <w:tab w:val="left" w:pos="709"/>
          <w:tab w:val="center" w:pos="3856"/>
        </w:tabs>
        <w:spacing w:after="300" w:line="340" w:lineRule="exact"/>
        <w:ind w:firstLine="567"/>
        <w:jc w:val="both"/>
        <w:rPr>
          <w:rFonts w:ascii="Arial" w:hAnsi="Arial" w:cs="Arial"/>
        </w:rPr>
      </w:pPr>
      <w:r>
        <w:rPr>
          <w:rFonts w:ascii="Arial" w:hAnsi="Arial"/>
        </w:rPr>
        <w:t xml:space="preserve">1. Nafarroako Parlamentuak onesten dituen kredituak, toki entitateek Nafarroako tributuetan parte hartzeko funtsa osatzen dutenak (kapital transferentzia gisakoak), ekitaldi-itxieran aurrekontu-erabilerarik gabe gelditzen badira, eta jatorria ekitaldi itxietako ekonomietan dutenak, bai eta Toki Inbertsioen Planaren araudia aplikatuz itzulitako kopuruak ere, funts horri atxikitako </w:t>
      </w:r>
      <w:proofErr w:type="spellStart"/>
      <w:r>
        <w:rPr>
          <w:rFonts w:ascii="Arial" w:hAnsi="Arial"/>
        </w:rPr>
        <w:t>diruzaintza-gerakintzat</w:t>
      </w:r>
      <w:proofErr w:type="spellEnd"/>
      <w:r>
        <w:rPr>
          <w:rFonts w:ascii="Arial" w:hAnsi="Arial"/>
        </w:rPr>
        <w:t xml:space="preserve"> hartuko dira. </w:t>
      </w:r>
      <w:proofErr w:type="spellStart"/>
      <w:r>
        <w:rPr>
          <w:rFonts w:ascii="Arial" w:hAnsi="Arial"/>
        </w:rPr>
        <w:t>Gerakin</w:t>
      </w:r>
      <w:proofErr w:type="spellEnd"/>
      <w:r>
        <w:rPr>
          <w:rFonts w:ascii="Arial" w:hAnsi="Arial"/>
        </w:rPr>
        <w:t xml:space="preserve"> hori ekitaldi bakoitzeko aurrekontu-kredituarekin batera esleitzen ahalko da, aurrekontuaren exekuzio mailaren arabera eta diru-sarreren aurreikuspenek horretarako bidea ematen badute, Planean sartutako obren exekuziorako toki entitateei ematen zaizkien diru-laguntzak finantzatzeko.</w:t>
      </w:r>
    </w:p>
    <w:p w:rsidR="003E6891" w:rsidRDefault="003E6891" w:rsidP="003E6891">
      <w:pPr>
        <w:tabs>
          <w:tab w:val="left" w:pos="709"/>
          <w:tab w:val="center" w:pos="3856"/>
        </w:tabs>
        <w:spacing w:after="300" w:line="340" w:lineRule="exact"/>
        <w:ind w:firstLine="567"/>
        <w:jc w:val="both"/>
        <w:rPr>
          <w:rFonts w:ascii="Arial" w:hAnsi="Arial" w:cs="Arial"/>
        </w:rPr>
      </w:pPr>
      <w:r>
        <w:rPr>
          <w:rFonts w:ascii="Arial" w:hAnsi="Arial"/>
        </w:rPr>
        <w:t>2. Toki Inbertsioen Planeko partiden arteko doikuntzak egiten ahalko dira, programaren helburuak betetzeko beharrezkotzat jotzen direnean. Era berean, toki entitateek Nafarroako tributuetan parte hartzeko funtsaren partidetan sartutako kredituen artean ere doikuntzak egiten ahalko dira, kapital transferentzien arloan, hala inbertsio plan bereko aurrekontu-partiden artean, nola plan desberdinetako partiden artean.</w:t>
      </w:r>
    </w:p>
    <w:p w:rsidR="003E6891" w:rsidRDefault="003E6891" w:rsidP="003E6891">
      <w:pPr>
        <w:tabs>
          <w:tab w:val="left" w:pos="709"/>
          <w:tab w:val="center" w:pos="3856"/>
        </w:tabs>
        <w:spacing w:after="300" w:line="340" w:lineRule="exact"/>
        <w:ind w:firstLine="567"/>
        <w:jc w:val="both"/>
        <w:rPr>
          <w:rFonts w:ascii="Arial" w:hAnsi="Arial" w:cs="Arial"/>
        </w:rPr>
      </w:pPr>
      <w:r>
        <w:rPr>
          <w:rFonts w:ascii="Arial" w:hAnsi="Arial"/>
        </w:rPr>
        <w:t>3. 2017-2019 aldirako Toki Inbertsioen Planaren ekarpenen banaketari dagokionez, aldi horretarako Toki Inbertsioen Plana arautzen duen abenduaren 13ko 18/2016 Foru Legearen 4. artikuluak xedatzen duenari jarraikiz, foru lege horren 10. eta 15. artikuluetan aipatzen diren ebazpenak eman ondoren, zuzkidurak berriz atxikiko zaizkie Inbertsioen Programaren eta Toki Programazioaren ataleko kontzeptuei.</w:t>
      </w:r>
    </w:p>
    <w:p w:rsidR="003E6891" w:rsidRDefault="003E6891" w:rsidP="003E6891">
      <w:pPr>
        <w:tabs>
          <w:tab w:val="left" w:pos="709"/>
          <w:tab w:val="center" w:pos="3856"/>
        </w:tabs>
        <w:spacing w:after="300" w:line="340" w:lineRule="exact"/>
        <w:ind w:firstLine="567"/>
        <w:jc w:val="both"/>
        <w:rPr>
          <w:rFonts w:ascii="Arial" w:hAnsi="Arial" w:cs="Arial"/>
        </w:rPr>
      </w:pPr>
      <w:r>
        <w:rPr>
          <w:rFonts w:ascii="Arial" w:hAnsi="Arial"/>
        </w:rPr>
        <w:lastRenderedPageBreak/>
        <w:t xml:space="preserve">4. Toki Administrazioko Zuzendaritza Nagusiak bere gain hartuko du Toki Inbertsioen Planeko kredituetatik plan zuzentzaileetako azterlan eta proiektuak finantzatzeko direnak kudeatzeko lana, dela </w:t>
      </w:r>
      <w:proofErr w:type="spellStart"/>
      <w:r>
        <w:rPr>
          <w:rFonts w:ascii="Arial" w:hAnsi="Arial"/>
        </w:rPr>
        <w:t>ente</w:t>
      </w:r>
      <w:proofErr w:type="spellEnd"/>
      <w:r>
        <w:rPr>
          <w:rFonts w:ascii="Arial" w:hAnsi="Arial"/>
        </w:rPr>
        <w:t xml:space="preserve"> instrumental bati enkargua emanez, dela kontratu publikoei buruzko foru legeriaren araberako kontratazio baten bidez, horren barne delarik haiek garatu eta gauzatzeko beharrezkotzat jotzen diren zerbitzu, inbertsio eta jarduketekin lotura duen edozein gastu. Edozein kasutan, ulertuko da Gastuen Aurrekontuan kudeaketa horretarako onartzen diren betebeharrak Toki Inbertsioen Planaren gastu berekia direla.</w:t>
      </w:r>
    </w:p>
    <w:p w:rsidR="003E6891" w:rsidRDefault="003E6891" w:rsidP="003E6891">
      <w:pPr>
        <w:tabs>
          <w:tab w:val="left" w:pos="709"/>
          <w:tab w:val="center" w:pos="3856"/>
        </w:tabs>
        <w:spacing w:after="300" w:line="340" w:lineRule="exact"/>
        <w:ind w:firstLine="567"/>
        <w:jc w:val="both"/>
        <w:rPr>
          <w:rFonts w:ascii="Arial" w:hAnsi="Arial" w:cs="Arial"/>
        </w:rPr>
      </w:pPr>
      <w:r>
        <w:rPr>
          <w:rFonts w:ascii="Arial" w:hAnsi="Arial"/>
        </w:rPr>
        <w:t>5. 2009-2012 aldirako Toki Inbertsioen Planari buruzko urriaren 24ko 16/2008 Foru Legearen 4. artikuluan aurreikusitako finantzaketa ez duten hiri zeharbideen urbanizazio proiektuen kostuaren kasuan, Toki Administrazioko Zuzendaritza Nagusiak finantzatu beharko lukeen kostuaren zatia plan horren kredituen kargura ordainduko da, kasuan kasuko fakturak aurkeztu ondoren.</w:t>
      </w:r>
    </w:p>
    <w:p w:rsidR="003E6891" w:rsidRDefault="003E6891" w:rsidP="003E6891">
      <w:pPr>
        <w:tabs>
          <w:tab w:val="left" w:pos="709"/>
          <w:tab w:val="center" w:pos="3856"/>
        </w:tabs>
        <w:spacing w:after="300" w:line="340" w:lineRule="exact"/>
        <w:ind w:firstLine="567"/>
        <w:jc w:val="both"/>
        <w:rPr>
          <w:rFonts w:ascii="Arial" w:hAnsi="Arial" w:cs="Arial"/>
        </w:rPr>
      </w:pPr>
      <w:r>
        <w:rPr>
          <w:rFonts w:ascii="Arial" w:hAnsi="Arial"/>
        </w:rPr>
        <w:t xml:space="preserve">6. Toki ogasunek transferentzia arrunten bidez Nafarroako tributuetan parte hartzeko duten funtsaren zenbatekoa eta banaketa 2018ko eta 2019ko aurrekontu-ekitaldietarako ezartzen dituen foru legean, </w:t>
      </w:r>
      <w:proofErr w:type="spellStart"/>
      <w:r>
        <w:rPr>
          <w:rFonts w:ascii="Arial" w:hAnsi="Arial"/>
        </w:rPr>
        <w:t>Montepioaren</w:t>
      </w:r>
      <w:proofErr w:type="spellEnd"/>
      <w:r>
        <w:rPr>
          <w:rFonts w:ascii="Arial" w:hAnsi="Arial"/>
        </w:rPr>
        <w:t xml:space="preserve"> defizitagatik finantzaketa-araubide berri bat arautuko da.</w:t>
      </w:r>
    </w:p>
    <w:p w:rsidR="00316925" w:rsidRDefault="00161D61" w:rsidP="007B537A">
      <w:pPr>
        <w:pStyle w:val="DICTA-ENMIENDA"/>
      </w:pPr>
      <w:r>
        <w:rPr>
          <w:noProof/>
          <w:lang w:val="es-ES"/>
        </w:rPr>
        <mc:AlternateContent>
          <mc:Choice Requires="wps">
            <w:drawing>
              <wp:anchor distT="0" distB="0" distL="114300" distR="114300" simplePos="0" relativeHeight="251660288" behindDoc="0" locked="0" layoutInCell="1" allowOverlap="1" wp14:anchorId="5DF5CC8B" wp14:editId="39B4D414">
                <wp:simplePos x="0" y="0"/>
                <wp:positionH relativeFrom="column">
                  <wp:posOffset>-2695575</wp:posOffset>
                </wp:positionH>
                <wp:positionV relativeFrom="paragraph">
                  <wp:posOffset>345440</wp:posOffset>
                </wp:positionV>
                <wp:extent cx="777240" cy="449580"/>
                <wp:effectExtent l="0" t="0" r="22860" b="26670"/>
                <wp:wrapNone/>
                <wp:docPr id="3" name="3 Cuadro de texto"/>
                <wp:cNvGraphicFramePr/>
                <a:graphic xmlns:a="http://schemas.openxmlformats.org/drawingml/2006/main">
                  <a:graphicData uri="http://schemas.microsoft.com/office/word/2010/wordprocessingShape">
                    <wps:wsp>
                      <wps:cNvSpPr txBox="1"/>
                      <wps:spPr>
                        <a:xfrm>
                          <a:off x="0" y="0"/>
                          <a:ext cx="777240" cy="449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3797" w:rsidRDefault="00413797">
                            <w:r>
                              <w:t>Zuzenketa teknikoa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 Cuadro de texto" o:spid="_x0000_s1027" type="#_x0000_t202" style="position:absolute;left:0;text-align:left;margin-left:-212.25pt;margin-top:27.2pt;width:61.2pt;height:3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" fillcolor="white [3201]" strokeweight=".5pt">
                <v:textbox>
                  <w:txbxContent>
                    <w:p w:rsidR="00413797" w:rsidRDefault="00413797">
                      <w:r>
                        <w:t>Zuzenketa teknikoa</w:t>
                      </w:r>
                    </w:p>
                  </w:txbxContent>
                </v:textbox>
              </v:shape>
            </w:pict>
          </mc:Fallback>
        </mc:AlternateContent>
      </w:r>
      <w:r>
        <w:t xml:space="preserve"> Bigarren xedapen gehigarria.</w:t>
      </w:r>
      <w:r>
        <w:rPr>
          <w:b/>
        </w:rPr>
        <w:t xml:space="preserve"> </w:t>
      </w:r>
      <w:r>
        <w:t>18/2016 Foru Legea, abenduaren 13koa, 2017-2019 aldirako toki inbertsioen plana arautzen duena, aldatzea.</w:t>
      </w:r>
    </w:p>
    <w:p w:rsidR="0000569E" w:rsidRDefault="00161D61" w:rsidP="0000569E">
      <w:pPr>
        <w:pStyle w:val="DICTA-ENMIENDA"/>
      </w:pPr>
      <w:r>
        <w:tab/>
      </w:r>
      <w:r>
        <w:tab/>
        <w:t>2017-2019 aldirako toki inbertsioen plana arautzen duen abenduaren 13ko 18/2016 Foru Legearen honako artikulu hauek honela geldituko dira idatzita:</w:t>
      </w:r>
    </w:p>
    <w:p w:rsidR="00316925" w:rsidRPr="00316925" w:rsidRDefault="00316925" w:rsidP="00316925">
      <w:pPr>
        <w:pStyle w:val="DICTA-ENMIENDA"/>
      </w:pPr>
      <w:r>
        <w:tab/>
      </w:r>
      <w:r>
        <w:tab/>
        <w:t>1. 4. artikuluaren 4. apartatua aldatzen da:</w:t>
      </w:r>
    </w:p>
    <w:p w:rsidR="00316925" w:rsidRDefault="00316925" w:rsidP="007B537A">
      <w:pPr>
        <w:pStyle w:val="DICTA-ENMIENDA"/>
      </w:pPr>
      <w:r>
        <w:tab/>
      </w:r>
      <w:r>
        <w:tab/>
        <w:t>“4. Konprometitu gabeko diru kopuruen bidez eta 28. artikuluan xedatutakoarekin bat askatutakoen bidez finantzatuko dira, aurrekontuko mugak gainditu gabe, Inbertsioen Programetan aurreikusitako kostuen balizko gehikuntzak eta Toki Programazioaren % 10 arteko gehikuntzak, artikulu honen 2. zenbakian biltzen direnak. Behin erreserba horiek aski izanda behin-behinekoz sartutako eta gehieneko ekarpen ekonomikoa finkatzearen zain dauden inbertsioen gehikuntzak bermatu ahal izateko, beste jarduketa batzuei ekinen zaie, erreserbako inbertsioen lehentasun-ordenaren arabera, zeina Toki Administrazioko zuzendari nagusiaren ebazpenaren bidez ezarriko baita”.</w:t>
      </w:r>
    </w:p>
    <w:p w:rsidR="0000569E" w:rsidRDefault="0000569E" w:rsidP="0000569E">
      <w:pPr>
        <w:pStyle w:val="DICTA-ENMIENDA"/>
      </w:pPr>
      <w:r>
        <w:rPr>
          <w:noProof/>
          <w:lang w:val="es-ES"/>
        </w:rPr>
        <mc:AlternateContent>
          <mc:Choice Requires="wps">
            <w:drawing>
              <wp:anchor distT="0" distB="0" distL="114300" distR="114300" simplePos="0" relativeHeight="251661312" behindDoc="0" locked="0" layoutInCell="1" allowOverlap="1" wp14:anchorId="6C1BE1C8" wp14:editId="04B19857">
                <wp:simplePos x="0" y="0"/>
                <wp:positionH relativeFrom="column">
                  <wp:posOffset>-2596515</wp:posOffset>
                </wp:positionH>
                <wp:positionV relativeFrom="paragraph">
                  <wp:posOffset>396240</wp:posOffset>
                </wp:positionV>
                <wp:extent cx="899160" cy="411480"/>
                <wp:effectExtent l="0" t="0" r="15240" b="26670"/>
                <wp:wrapNone/>
                <wp:docPr id="4" name="4 Cuadro de texto"/>
                <wp:cNvGraphicFramePr/>
                <a:graphic xmlns:a="http://schemas.openxmlformats.org/drawingml/2006/main">
                  <a:graphicData uri="http://schemas.microsoft.com/office/word/2010/wordprocessingShape">
                    <wps:wsp>
                      <wps:cNvSpPr txBox="1"/>
                      <wps:spPr>
                        <a:xfrm>
                          <a:off x="0" y="0"/>
                          <a:ext cx="899160" cy="411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3797" w:rsidRDefault="00413797">
                            <w:r>
                              <w:t>Zuzenketa teknikoa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4 Cuadro de texto" o:spid="_x0000_s1028" type="#_x0000_t202" style="position:absolute;left:0;text-align:left;margin-left:-204.45pt;margin-top:31.2pt;width:70.8pt;height:3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" fillcolor="white [3201]" strokeweight=".5pt">
                <v:textbox>
                  <w:txbxContent>
                    <w:p w:rsidR="00413797" w:rsidRDefault="00413797">
                      <w:r>
                        <w:t>Zuzenketa teknikoa</w:t>
                      </w:r>
                    </w:p>
                  </w:txbxContent>
                </v:textbox>
              </v:shape>
            </w:pict>
          </mc:Fallback>
        </mc:AlternateContent>
      </w:r>
      <w:r>
        <w:tab/>
      </w:r>
      <w:r>
        <w:tab/>
        <w:t xml:space="preserve">2. 4. artikuluaren 15. apartatua aldatzen da: </w:t>
      </w:r>
    </w:p>
    <w:p w:rsidR="00316925" w:rsidRDefault="00316925" w:rsidP="007B537A">
      <w:pPr>
        <w:pStyle w:val="DICTA-ENMIENDA"/>
      </w:pPr>
      <w:r>
        <w:lastRenderedPageBreak/>
        <w:tab/>
      </w:r>
      <w:r>
        <w:tab/>
        <w:t>“4. Aurreko zenbakian aipatzen den ebazpena argitaratu eta hiru hilabeteko epean, bertako A) letran aipatzen diren toki entitateek IV. eranskineko 4. atalean adierazitako dokumentazioa aurkeztu beharko dute. 2019an egin beharreko inbertsioen kasuan, aipatu epea 2018ko maiatzaren 31n bukatuko da”.</w:t>
      </w:r>
    </w:p>
    <w:p w:rsidR="0000569E" w:rsidRDefault="0000569E" w:rsidP="0000569E">
      <w:pPr>
        <w:pStyle w:val="DICTA-ENMIENDA"/>
      </w:pPr>
      <w:r>
        <w:rPr>
          <w:noProof/>
          <w:lang w:val="es-ES"/>
        </w:rPr>
        <mc:AlternateContent>
          <mc:Choice Requires="wps">
            <w:drawing>
              <wp:anchor distT="0" distB="0" distL="114300" distR="114300" simplePos="0" relativeHeight="251662336" behindDoc="0" locked="0" layoutInCell="1" allowOverlap="1" wp14:anchorId="3306DEFA" wp14:editId="29A4FA8F">
                <wp:simplePos x="0" y="0"/>
                <wp:positionH relativeFrom="column">
                  <wp:posOffset>-2802255</wp:posOffset>
                </wp:positionH>
                <wp:positionV relativeFrom="paragraph">
                  <wp:posOffset>345440</wp:posOffset>
                </wp:positionV>
                <wp:extent cx="1150620" cy="487680"/>
                <wp:effectExtent l="0" t="0" r="11430" b="26670"/>
                <wp:wrapNone/>
                <wp:docPr id="5" name="5 Cuadro de texto"/>
                <wp:cNvGraphicFramePr/>
                <a:graphic xmlns:a="http://schemas.openxmlformats.org/drawingml/2006/main">
                  <a:graphicData uri="http://schemas.microsoft.com/office/word/2010/wordprocessingShape">
                    <wps:wsp>
                      <wps:cNvSpPr txBox="1"/>
                      <wps:spPr>
                        <a:xfrm flipH="1">
                          <a:off x="0" y="0"/>
                          <a:ext cx="1150620" cy="487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3797" w:rsidRDefault="00413797">
                            <w:r>
                              <w:t>Zuzenketa teknikoa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Cuadro de texto" o:spid="_x0000_s1029" type="#_x0000_t202" style="position:absolute;left:0;text-align:left;margin-left:-220.65pt;margin-top:27.2pt;width:90.6pt;height:38.4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" fillcolor="white [3201]" strokeweight=".5pt">
                <v:textbox>
                  <w:txbxContent>
                    <w:p w:rsidR="00413797" w:rsidRDefault="00413797">
                      <w:r>
                        <w:t>Zuzenketa teknikoa</w:t>
                      </w:r>
                    </w:p>
                  </w:txbxContent>
                </v:textbox>
              </v:shape>
            </w:pict>
          </mc:Fallback>
        </mc:AlternateContent>
      </w:r>
      <w:r>
        <w:tab/>
      </w:r>
      <w:r>
        <w:tab/>
        <w:t>3. 1. artikuluaren 32. apartatua aldatzen da:</w:t>
      </w:r>
    </w:p>
    <w:p w:rsidR="00057311" w:rsidRPr="007B537A" w:rsidRDefault="0000569E" w:rsidP="007B537A">
      <w:pPr>
        <w:pStyle w:val="DICTA-ENMIENDA"/>
      </w:pPr>
      <w:r>
        <w:tab/>
      </w:r>
      <w:r>
        <w:tab/>
        <w:t>"1 Toki entitateek zilegi izanen dute libreki erabaki beharrekoen ataleko ekarpena finantza pasiboak amortizatzeko erabiltzea, jatorria dutenak finantza entitateekin edo beste administrazio publiko batzuekin epe luzera hitzartutako aurrekontu izaerako eragiketetan”.</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53" w:name="Da.Segunda"/>
      <w:bookmarkEnd w:id="53"/>
      <w:r>
        <w:rPr>
          <w:rFonts w:ascii="Arial" w:hAnsi="Arial"/>
          <w:b/>
          <w:bCs/>
        </w:rPr>
        <w:t>Hirugarren xedapen gehigarria</w:t>
      </w:r>
      <w:r>
        <w:rPr>
          <w:rFonts w:ascii="Arial" w:hAnsi="Arial"/>
        </w:rPr>
        <w:t>. Itunpeko ikastetxeei eusteko funts publikoak banatzeko modulu ekonomikoak.</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Hezkuntza maila nahiz modalitate ezberdinetan ikastetxe itunduen eskola unitate bakoitzeko modulu ekonomikoen urteko zenbatekoak honela daude banatuta: "Irakasleen soldatak, gizarte-prestazioen kargak barne", unitate itundu bakoitzeko irakasle titular eta agregatuen ratioa zehaztuta; "Gastu aldakorrak" eta "Bestelako gastuak", kontzeptu bakoitzak modulu osoan duen portzentajea adierazita. Zenbateko horiek I. eranskinean ageri dira.</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"Irakasleen soldatak, gizarte-prestazioen kargak barne" kontzeptuan biltzen da irakasleen ordainsarien eta haien gizarte-kargen ondoriozko kostua, irakaskuntza mailen arabera.</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"Gastu Aldakorrak" kontzeptuan honako hauek azaltzen dira: irakasleen antzinatasunaren kostua eta Gizarte Segurantzan duen eragina, irakasleen ordezkapenen kostua, zuzendaritza-osagarriarena eta Langileen Estatutuaren 68.e) artikuluan ezarritakoaren ondoriozko betebeharrena.</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 xml:space="preserve">Diru kopuru horiek funts orokor batean bilduko dira, zeina irakaslez </w:t>
      </w:r>
      <w:proofErr w:type="spellStart"/>
      <w:r>
        <w:rPr>
          <w:rFonts w:ascii="Arial" w:hAnsi="Arial"/>
        </w:rPr>
        <w:t>irakasle</w:t>
      </w:r>
      <w:proofErr w:type="spellEnd"/>
      <w:r>
        <w:rPr>
          <w:rFonts w:ascii="Arial" w:hAnsi="Arial"/>
        </w:rPr>
        <w:t xml:space="preserve"> banatuko baita ikastetxe itunduetako irakasleen artean, irakasle bakoitzaren egoeraren arabera.</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54" w:name="Da.Tercera"/>
      <w:bookmarkEnd w:id="54"/>
      <w:r>
        <w:rPr>
          <w:rFonts w:ascii="Arial" w:hAnsi="Arial"/>
          <w:b/>
          <w:bCs/>
        </w:rPr>
        <w:t>Laugarren xedapen gehigarria.</w:t>
      </w:r>
      <w:r>
        <w:rPr>
          <w:rFonts w:ascii="Arial" w:hAnsi="Arial"/>
        </w:rPr>
        <w:t xml:space="preserve"> </w:t>
      </w:r>
      <w:r>
        <w:rPr>
          <w:rFonts w:ascii="Arial" w:hAnsi="Arial"/>
          <w:iCs/>
        </w:rPr>
        <w:t>Testuliburuen doakotasunari buruzko programako liburuen salmenta.</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lastRenderedPageBreak/>
        <w:t>Testuliburuen doakotasunari buruzko programako liburuak saltzen ahalko dira liburu-salmentan jarduteko gaikuntza ematen dien baimena daukaten establezimenduetan soilik.</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55" w:name="Da.Cuarta"/>
      <w:bookmarkEnd w:id="55"/>
      <w:r>
        <w:rPr>
          <w:rFonts w:ascii="Arial" w:hAnsi="Arial"/>
          <w:b/>
          <w:bCs/>
        </w:rPr>
        <w:t>Bosgarren xedapen gehigarria.</w:t>
      </w:r>
      <w:r>
        <w:rPr>
          <w:rFonts w:ascii="Arial" w:hAnsi="Arial"/>
        </w:rPr>
        <w:t xml:space="preserve"> </w:t>
      </w:r>
      <w:r>
        <w:rPr>
          <w:rFonts w:ascii="Arial" w:hAnsi="Arial"/>
          <w:iCs/>
        </w:rPr>
        <w:t>Irakasleen irakastorduak zehaztea.</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Irakasle-lanpostuak ikasturte bakoitzaren hasieran dauden beharrizanen arabera betetze aldera, eta baldin eta kasuan kasuko espezialitatean ez badago irakastordu nahikorik, unibertsitateaz kanpoko irakasleek beste espezialitate batzuetan irakatsiz osatuko dute beren ordutegia, Hezkuntza Departamentuak ezarritako kasuetan eta baldintzetan betiere.</w:t>
      </w:r>
    </w:p>
    <w:p w:rsidR="003E6891" w:rsidRDefault="00351857" w:rsidP="003E6891">
      <w:pPr>
        <w:pStyle w:val="NormalWeb"/>
        <w:spacing w:before="0" w:beforeAutospacing="0" w:after="300" w:afterAutospacing="0" w:line="340" w:lineRule="exact"/>
        <w:ind w:firstLine="567"/>
        <w:jc w:val="both"/>
        <w:rPr>
          <w:rFonts w:ascii="Arial" w:hAnsi="Arial" w:cs="Arial"/>
        </w:rPr>
      </w:pPr>
      <w:bookmarkStart w:id="56" w:name="Da.Quinta"/>
      <w:bookmarkEnd w:id="56"/>
      <w:r>
        <w:rPr>
          <w:rFonts w:ascii="Arial" w:hAnsi="Arial"/>
          <w:b/>
          <w:bCs/>
        </w:rPr>
        <w:t>Seigarren xedapen gehigarria.</w:t>
      </w:r>
      <w:r>
        <w:rPr>
          <w:rFonts w:ascii="Arial" w:hAnsi="Arial"/>
        </w:rPr>
        <w:t xml:space="preserve"> </w:t>
      </w:r>
      <w:r>
        <w:rPr>
          <w:rFonts w:ascii="Arial" w:hAnsi="Arial"/>
          <w:iCs/>
        </w:rPr>
        <w:t>Ikastetxe publiko berriak.</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Ikastetxe publiko bat sortu baino lau hilabete lehenago izendatzen ahalko ditu Hezkuntza Departamentuak irakaskuntzako zuzendaritza karguak, zeinek erregelamendu organikoetan ezarrita dauden eginkizunak beteko baitituzte.</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57" w:name="Da.Sexta"/>
      <w:bookmarkEnd w:id="57"/>
      <w:r>
        <w:rPr>
          <w:rFonts w:ascii="Arial" w:hAnsi="Arial"/>
          <w:b/>
          <w:bCs/>
        </w:rPr>
        <w:t>Zazpigarren xedapen gehigarria.</w:t>
      </w:r>
      <w:r>
        <w:rPr>
          <w:rFonts w:ascii="Arial" w:hAnsi="Arial"/>
        </w:rPr>
        <w:t xml:space="preserve"> </w:t>
      </w:r>
      <w:r>
        <w:rPr>
          <w:rFonts w:ascii="Arial" w:hAnsi="Arial"/>
          <w:iCs/>
        </w:rPr>
        <w:t>Lanbide karrerako maila aitortua Osasun Sistema Nazionaletik etorritako langileei aplikatzea.</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 xml:space="preserve">Osasun Departamentuan eta haren erakunde autonomoetan lanpostu finkoa lortzen duten fakultatiboei Osasun Sistema Nazionaleko beste osasun zerbitzu batean egiaztatutako karrera-graduak aitortuko zaizkie espezialitate, lanbide kategoria edo titulazio-talde berei dagokienez. Gradu horien ordainsariak apirilaren 6ko 11/1999 Foru Legean ezarritakoaren arabera ordainduko dira. Foru lege horren bidez arautu zen </w:t>
      </w:r>
      <w:proofErr w:type="spellStart"/>
      <w:r>
        <w:rPr>
          <w:rFonts w:ascii="Arial" w:hAnsi="Arial"/>
        </w:rPr>
        <w:t>Osasunbidea-Nafarroako</w:t>
      </w:r>
      <w:proofErr w:type="spellEnd"/>
      <w:r>
        <w:rPr>
          <w:rFonts w:ascii="Arial" w:hAnsi="Arial"/>
        </w:rPr>
        <w:t xml:space="preserve"> Osasun Zerbitzuko langile fakultatiboen lanbide karrerako sistema eta hori garatzeko araudia.</w:t>
      </w:r>
    </w:p>
    <w:p w:rsidR="00316925" w:rsidRDefault="00351857" w:rsidP="007B537A">
      <w:pPr>
        <w:pStyle w:val="DICTA-ENMIENDA"/>
      </w:pPr>
      <w:r>
        <w:tab/>
      </w:r>
      <w:r>
        <w:tab/>
        <w:t xml:space="preserve">Osasun sistema Nazionaleko beste zerbitzu batzuetatik iritsitako langileei, Osasun Departamentuko erakunde autonomoetan lanpostu bat zerbitzu eginkizunetan betetzen badute, Osasun Sistema Nazionaleko beste osasun zerbitzu batean egiaztatutako karrera-graduak aitortzen zaizkie. Gradu horien ordainsariak </w:t>
      </w:r>
      <w:proofErr w:type="spellStart"/>
      <w:r>
        <w:t>Osasunbidea-Nafarroako</w:t>
      </w:r>
      <w:proofErr w:type="spellEnd"/>
      <w:r>
        <w:t xml:space="preserve"> Osasun Zerbitzuko osasun-langileen lanbide karrerako araudian ezarritakoaren arabera ordainduko dira.</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58" w:name="Da.Séptima"/>
      <w:bookmarkStart w:id="59" w:name="Da.Octava"/>
      <w:bookmarkEnd w:id="58"/>
      <w:bookmarkEnd w:id="59"/>
      <w:r>
        <w:rPr>
          <w:rFonts w:ascii="Arial" w:hAnsi="Arial"/>
          <w:b/>
          <w:bCs/>
        </w:rPr>
        <w:t>Zortzigarren xedapen gehigarria.</w:t>
      </w:r>
      <w:r>
        <w:rPr>
          <w:rFonts w:ascii="Arial" w:hAnsi="Arial"/>
        </w:rPr>
        <w:t xml:space="preserve"> </w:t>
      </w:r>
      <w:r>
        <w:rPr>
          <w:rFonts w:ascii="Arial" w:hAnsi="Arial"/>
          <w:iCs/>
        </w:rPr>
        <w:t>Arazoak dituzten enpresei zorrak geroratzeko baldintza bereziak.</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lastRenderedPageBreak/>
        <w:t>Zuzendaritza nagusi eskudunak proposaturik, Nafarroako Gobernuak baldintza bereziak onartzen ahalko ditu Ekonomia, Ogasun, Industria eta Enpleguko kontseilariaren irailaren 3ko 397/2012 Foru Aginduan arazoak dituzten enpresentzat ezarritako laguntza araubideari edo horren ordez onesten den arauren bati atxikitzen zaizkion enpresentzat, Nafarroako Foru Komunitatearekin dituzten zorrak zatitu eta gerora ditzaten, enpresa bere bitartekoak erabiliz bideragarria izateko behar diren amortizazio-epe eta -sistemari dagokienez. Halakoetan, aplikatuko den interes-tasa ez da izanen legezko interes indardunaren ehuneko 50etik gorakoa. Gainerako baldintzei dagokienez, zorrak zatikatzeko eta geroratzeko oro har ezarritakoak izanen dira.</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60" w:name="Da.Novena"/>
      <w:bookmarkEnd w:id="60"/>
      <w:r>
        <w:rPr>
          <w:rFonts w:ascii="Arial" w:hAnsi="Arial"/>
          <w:b/>
          <w:bCs/>
        </w:rPr>
        <w:t>Bederatzigarren xedapen gehigarria.</w:t>
      </w:r>
      <w:r>
        <w:rPr>
          <w:rFonts w:ascii="Arial" w:hAnsi="Arial"/>
        </w:rPr>
        <w:t xml:space="preserve"> </w:t>
      </w:r>
      <w:r>
        <w:rPr>
          <w:rFonts w:ascii="Arial" w:hAnsi="Arial"/>
          <w:iCs/>
        </w:rPr>
        <w:t>Gizarte eskubideen arloko prestazio bidegabeki jasotakoak itzultzea.</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Gizarteratzeko eta Babes Sozialerako Zuzendaritza Nagusiak, Pertsonen Autonomiarako eta Garapenerako Nafarroako Agentziak eta Nafarroako Berdintasunerako Institutuak ordaintzen dituzten aldizkako prestazio eta pentsio gisa bidegabeki jasotako kopuruen zatikako itzultzea erabakiko du Ogasuneko eta Finantza Politikako Departamentuak, aipatu diren erakunde autonomoak eta zuzendaritza nagusiak proposatuta, kasua bada, eta ez du ez interesik ez bermerik eskatuko.</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61" w:name="Da.Décima"/>
      <w:bookmarkEnd w:id="61"/>
      <w:r>
        <w:rPr>
          <w:rFonts w:ascii="Arial" w:hAnsi="Arial"/>
          <w:b/>
          <w:bCs/>
        </w:rPr>
        <w:t>Hamargarren xedapen gehigarria.</w:t>
      </w:r>
      <w:r>
        <w:rPr>
          <w:rFonts w:ascii="Arial" w:hAnsi="Arial"/>
        </w:rPr>
        <w:t xml:space="preserve"> </w:t>
      </w:r>
      <w:r>
        <w:rPr>
          <w:rFonts w:ascii="Arial" w:hAnsi="Arial"/>
          <w:iCs/>
        </w:rPr>
        <w:t>Osasun zentroen funtzionamendurako transferentziak.</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 xml:space="preserve">547001-52300-4609-312200 proiektuko partidan, "Osasun zentroen funtzionamendurako transferentziak" izenekoan, Nafarroako udalen jabetzakoak diren herrietako kontsultategien eta kontsultategi osagarrien funtzionamendurako den horretan, dagoen zenbatekoa banatzeko, </w:t>
      </w:r>
      <w:proofErr w:type="spellStart"/>
      <w:r>
        <w:rPr>
          <w:rFonts w:ascii="Arial" w:hAnsi="Arial"/>
        </w:rPr>
        <w:t>Osasunbidea-Nafarroako</w:t>
      </w:r>
      <w:proofErr w:type="spellEnd"/>
      <w:r>
        <w:rPr>
          <w:rFonts w:ascii="Arial" w:hAnsi="Arial"/>
        </w:rPr>
        <w:t xml:space="preserve"> Osasun Zerbitzuko zuzendari kudeatzaileak urtero onesten dituen gehieneko zenbatekoak eta moduluak hartuko dira kontuan, eta ez zaio aplikatuko Diru-laguntzei buruzko azaroaren 9ko 11/2005 Foru Legea.</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Edozein kasutan, kontsultategi mota eta azalera hartuko dira kontuan modulu horietan.</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 xml:space="preserve">Herrietako kontsultategien ekipamenduaz </w:t>
      </w:r>
      <w:proofErr w:type="spellStart"/>
      <w:r>
        <w:rPr>
          <w:rFonts w:ascii="Arial" w:hAnsi="Arial"/>
        </w:rPr>
        <w:t>Osasunbidea-Nafarroako</w:t>
      </w:r>
      <w:proofErr w:type="spellEnd"/>
      <w:r>
        <w:rPr>
          <w:rFonts w:ascii="Arial" w:hAnsi="Arial"/>
        </w:rPr>
        <w:t xml:space="preserve"> Osasun Zerbitzua arduratuko da, kasua bada.</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62" w:name="Da.Décima_Primera"/>
      <w:bookmarkEnd w:id="62"/>
      <w:r>
        <w:rPr>
          <w:rFonts w:ascii="Arial" w:hAnsi="Arial"/>
          <w:b/>
          <w:bCs/>
        </w:rPr>
        <w:lastRenderedPageBreak/>
        <w:t>Hamaikagarren xedapen gehigarria.</w:t>
      </w:r>
      <w:r>
        <w:rPr>
          <w:rFonts w:ascii="Arial" w:hAnsi="Arial"/>
        </w:rPr>
        <w:t xml:space="preserve"> </w:t>
      </w:r>
      <w:r>
        <w:rPr>
          <w:rFonts w:ascii="Arial" w:hAnsi="Arial"/>
          <w:iCs/>
        </w:rPr>
        <w:t>Transferentzien Batzordea.</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Abenduaren 19ko 2356/1984 Errege Dekretuaren bidez eratutako Transferentzien Batzarrean Nafarroako Gobernuak duen ordezkaritzan tokia izanen dute propio eskatu duten edo eskatuko duten parlamentu-talde guztiek. Estatuko zerbitzuen transferentziari Nafarroako Gobernuaren ordezkaritzak adostasuna emateko, talde parlamentarioen ordezkari gehienen aldeko botoa beharko da, eta horretarako, ordezkari bakoitzak bere taldea osatzen duten foru parlamentari adina boto izanen du.</w:t>
      </w:r>
    </w:p>
    <w:p w:rsidR="003E6891" w:rsidRDefault="0000569E" w:rsidP="003E6891">
      <w:pPr>
        <w:pStyle w:val="NormalWeb"/>
        <w:spacing w:before="0" w:beforeAutospacing="0" w:after="300" w:afterAutospacing="0" w:line="340" w:lineRule="exact"/>
        <w:ind w:firstLine="567"/>
        <w:jc w:val="both"/>
        <w:rPr>
          <w:rFonts w:ascii="Arial" w:hAnsi="Arial" w:cs="Arial"/>
          <w:iCs/>
        </w:rPr>
      </w:pPr>
      <w:bookmarkStart w:id="63" w:name="Da.Décima_Segunda"/>
      <w:bookmarkStart w:id="64" w:name="Da.Décima_Tercera"/>
      <w:bookmarkStart w:id="65" w:name="Da.Décima_Quinta"/>
      <w:bookmarkEnd w:id="63"/>
      <w:bookmarkEnd w:id="64"/>
      <w:bookmarkEnd w:id="65"/>
      <w:r>
        <w:rPr>
          <w:rFonts w:ascii="Arial" w:hAnsi="Arial"/>
          <w:b/>
          <w:bCs/>
          <w:noProof/>
          <w:lang w:val="es-ES"/>
        </w:rPr>
        <mc:AlternateContent>
          <mc:Choice Requires="wps">
            <w:drawing>
              <wp:anchor distT="0" distB="0" distL="114300" distR="114300" simplePos="0" relativeHeight="251663360" behindDoc="0" locked="0" layoutInCell="1" allowOverlap="1" wp14:anchorId="2B1E1154" wp14:editId="3B8B80BC">
                <wp:simplePos x="0" y="0"/>
                <wp:positionH relativeFrom="column">
                  <wp:posOffset>-2466975</wp:posOffset>
                </wp:positionH>
                <wp:positionV relativeFrom="paragraph">
                  <wp:posOffset>398780</wp:posOffset>
                </wp:positionV>
                <wp:extent cx="807720" cy="449580"/>
                <wp:effectExtent l="0" t="0" r="11430" b="26670"/>
                <wp:wrapNone/>
                <wp:docPr id="6" name="6 Cuadro de texto"/>
                <wp:cNvGraphicFramePr/>
                <a:graphic xmlns:a="http://schemas.openxmlformats.org/drawingml/2006/main">
                  <a:graphicData uri="http://schemas.microsoft.com/office/word/2010/wordprocessingShape">
                    <wps:wsp>
                      <wps:cNvSpPr txBox="1"/>
                      <wps:spPr>
                        <a:xfrm>
                          <a:off x="0" y="0"/>
                          <a:ext cx="807720" cy="449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3797" w:rsidRDefault="00413797">
                            <w:r>
                              <w:t xml:space="preserve">Zuzenketa teknikoa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6 Cuadro de texto" o:spid="_x0000_s1030" type="#_x0000_t202" style="position:absolute;left:0;text-align:left;margin-left:-194.25pt;margin-top:31.4pt;width:63.6pt;height:35.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" fillcolor="white [3201]" strokeweight=".5pt">
                <v:textbox>
                  <w:txbxContent>
                    <w:p w:rsidR="00413797" w:rsidRDefault="00413797">
                      <w:r>
                        <w:t xml:space="preserve">Zuzenketa teknikoa </w:t>
                      </w:r>
                    </w:p>
                  </w:txbxContent>
                </v:textbox>
              </v:shape>
            </w:pict>
          </mc:Fallback>
        </mc:AlternateContent>
      </w:r>
      <w:r>
        <w:rPr>
          <w:rFonts w:ascii="Arial" w:hAnsi="Arial"/>
          <w:b/>
          <w:bCs/>
        </w:rPr>
        <w:t>Hamabigarren xedapen gehigarria.</w:t>
      </w:r>
      <w:r>
        <w:rPr>
          <w:rFonts w:ascii="Arial" w:hAnsi="Arial"/>
        </w:rPr>
        <w:t xml:space="preserve"> </w:t>
      </w:r>
      <w:r>
        <w:rPr>
          <w:rFonts w:ascii="Arial" w:hAnsi="Arial"/>
          <w:iCs/>
        </w:rPr>
        <w:t>Diru-laguntzei buruzko azaroaren 9ko 11/2005 Foru Legearen aldaketa.</w:t>
      </w:r>
    </w:p>
    <w:p w:rsidR="00686F7A" w:rsidRDefault="00686F7A" w:rsidP="00686F7A">
      <w:pPr>
        <w:pStyle w:val="NormalWeb"/>
        <w:spacing w:before="0" w:beforeAutospacing="0" w:after="300" w:afterAutospacing="0" w:line="340" w:lineRule="exact"/>
        <w:ind w:firstLine="567"/>
        <w:jc w:val="both"/>
        <w:rPr>
          <w:rFonts w:ascii="Arial" w:hAnsi="Arial" w:cs="Arial"/>
          <w:iCs/>
        </w:rPr>
      </w:pPr>
      <w:r>
        <w:rPr>
          <w:rFonts w:ascii="Arial" w:hAnsi="Arial"/>
          <w:iCs/>
        </w:rPr>
        <w:t>Diru-laguntzei buruzko azaroaren 9ko 11/2005 Foru Legearen honako artikulu hauek honela geldituko dira idatzita:</w:t>
      </w:r>
    </w:p>
    <w:p w:rsidR="003E6891" w:rsidRDefault="003E6891" w:rsidP="003E6891">
      <w:pPr>
        <w:pStyle w:val="NormalWeb"/>
        <w:spacing w:before="0" w:beforeAutospacing="0" w:after="300" w:afterAutospacing="0" w:line="340" w:lineRule="exact"/>
        <w:ind w:firstLine="567"/>
        <w:jc w:val="both"/>
        <w:rPr>
          <w:rFonts w:ascii="Arial" w:hAnsi="Arial" w:cs="Arial"/>
        </w:rPr>
      </w:pPr>
      <w:r>
        <w:rPr>
          <w:rFonts w:ascii="Arial" w:hAnsi="Arial"/>
        </w:rPr>
        <w:t>1. 2. artikuluaren 2. apartatua aldatzen da:</w:t>
      </w:r>
    </w:p>
    <w:p w:rsidR="003E6891" w:rsidRDefault="00686F7A" w:rsidP="003E6891">
      <w:pPr>
        <w:pStyle w:val="xa1"/>
        <w:spacing w:before="0" w:beforeAutospacing="0" w:after="300" w:afterAutospacing="0" w:line="340" w:lineRule="exact"/>
        <w:ind w:firstLine="567"/>
        <w:jc w:val="both"/>
        <w:rPr>
          <w:rFonts w:ascii="Arial" w:hAnsi="Arial" w:cs="Arial"/>
          <w:i/>
        </w:rPr>
      </w:pPr>
      <w:r>
        <w:rPr>
          <w:rFonts w:ascii="Arial" w:hAnsi="Arial"/>
        </w:rPr>
        <w:t>“2. Foru lege honen aplikazio esparrutik kanpo gelditzen dira sektore publikoa osatzen duten entitateei egindako diruzko ekarpenak, haien aurrekontuak Nafarroako Aurrekontu Orokorretan sartzen badira, hala entitate horien jarduera oro har finantzatzeko erabiltzen direnak, nola esleiturik dituzten eginkizunen esparruan jarduketa zehatzak egiteko erabiltzen direnak, betiere deialdi publiko baten ondoriozkoak ez badira</w:t>
      </w:r>
      <w:r w:rsidR="005E392A">
        <w:rPr>
          <w:rFonts w:ascii="Arial" w:hAnsi="Arial"/>
        </w:rPr>
        <w:t>”.</w:t>
      </w:r>
    </w:p>
    <w:p w:rsidR="003E6891" w:rsidRDefault="00686F7A" w:rsidP="003E6891">
      <w:pPr>
        <w:pStyle w:val="xa1"/>
        <w:spacing w:before="0" w:beforeAutospacing="0" w:after="300" w:afterAutospacing="0" w:line="340" w:lineRule="exact"/>
        <w:ind w:firstLine="567"/>
        <w:jc w:val="both"/>
        <w:rPr>
          <w:rFonts w:ascii="Arial" w:hAnsi="Arial" w:cs="Arial"/>
        </w:rPr>
      </w:pPr>
      <w:r>
        <w:rPr>
          <w:rFonts w:ascii="Arial" w:hAnsi="Arial"/>
        </w:rPr>
        <w:t>2. 33. artikulua aldatzen da.</w:t>
      </w:r>
    </w:p>
    <w:p w:rsidR="003E6891" w:rsidRDefault="003E6891" w:rsidP="003E6891">
      <w:pPr>
        <w:spacing w:after="300" w:line="340" w:lineRule="exact"/>
        <w:ind w:firstLine="567"/>
        <w:jc w:val="both"/>
        <w:rPr>
          <w:rFonts w:ascii="Arial" w:hAnsi="Arial" w:cs="Arial"/>
        </w:rPr>
      </w:pPr>
      <w:r>
        <w:rPr>
          <w:rFonts w:ascii="Arial" w:hAnsi="Arial"/>
        </w:rPr>
        <w:t>“33. artikulua. Diru-laguntzen aurrerapena.</w:t>
      </w:r>
    </w:p>
    <w:p w:rsidR="003E6891" w:rsidRDefault="003E6891" w:rsidP="003E6891">
      <w:pPr>
        <w:spacing w:after="300" w:line="340" w:lineRule="exact"/>
        <w:ind w:firstLine="567"/>
        <w:jc w:val="both"/>
        <w:rPr>
          <w:rFonts w:ascii="Arial" w:hAnsi="Arial" w:cs="Arial"/>
        </w:rPr>
      </w:pPr>
      <w:r>
        <w:rPr>
          <w:rFonts w:ascii="Arial" w:hAnsi="Arial"/>
        </w:rPr>
        <w:t>1. Arau orokor modura, irabazi asmorik gabeko entitateei edota horien federazio, konfederazio edo elkarteei gizarte ekintzako proiektu edo programak finantzatzeko ematen zaizkien diru-laguntzetan ordainketa aurreratua eginen da, baldin eta diruz lagundutako jardueraren gauzatzea aldi baterako finantzatzeko baliabide nahikorik ez badute eta inguruabar hori behar adina frogatzen badute.</w:t>
      </w:r>
    </w:p>
    <w:p w:rsidR="003E6891" w:rsidRDefault="003E6891" w:rsidP="003E6891">
      <w:pPr>
        <w:spacing w:after="300" w:line="340" w:lineRule="exact"/>
        <w:ind w:firstLine="567"/>
        <w:jc w:val="both"/>
        <w:rPr>
          <w:rFonts w:ascii="Arial" w:hAnsi="Arial" w:cs="Arial"/>
        </w:rPr>
      </w:pPr>
      <w:r>
        <w:rPr>
          <w:rFonts w:ascii="Arial" w:hAnsi="Arial"/>
        </w:rPr>
        <w:t>Aurrerakin horiek honela ordainduko dira:</w:t>
      </w:r>
    </w:p>
    <w:p w:rsidR="003E6891" w:rsidRDefault="003E6891" w:rsidP="003E6891">
      <w:pPr>
        <w:spacing w:after="300" w:line="340" w:lineRule="exact"/>
        <w:ind w:firstLine="567"/>
        <w:jc w:val="both"/>
        <w:rPr>
          <w:rFonts w:ascii="Arial" w:hAnsi="Arial" w:cs="Arial"/>
        </w:rPr>
      </w:pPr>
      <w:proofErr w:type="spellStart"/>
      <w:r>
        <w:rPr>
          <w:rFonts w:ascii="Arial" w:hAnsi="Arial"/>
        </w:rPr>
        <w:lastRenderedPageBreak/>
        <w:t>a) Ematen</w:t>
      </w:r>
      <w:proofErr w:type="spellEnd"/>
      <w:r>
        <w:rPr>
          <w:rFonts w:ascii="Arial" w:hAnsi="Arial"/>
        </w:rPr>
        <w:t xml:space="preserve"> den diru-laguntza 60.000 eurokoa edo txikiagoa baldin bada, ordainketa bakarrean ordainduko da dena, aurrerakin gisa, diru-laguntza emateko ebazpenarekin batera.</w:t>
      </w:r>
    </w:p>
    <w:p w:rsidR="003E6891" w:rsidRDefault="003E6891" w:rsidP="003E6891">
      <w:pPr>
        <w:spacing w:after="300" w:line="340" w:lineRule="exact"/>
        <w:ind w:firstLine="567"/>
        <w:jc w:val="both"/>
        <w:rPr>
          <w:rFonts w:ascii="Arial" w:hAnsi="Arial" w:cs="Arial"/>
        </w:rPr>
      </w:pPr>
      <w:r>
        <w:rPr>
          <w:rFonts w:ascii="Arial" w:hAnsi="Arial"/>
        </w:rPr>
        <w:t>b) Emandako diru-laguntza 60.000 eurotik gorakoa bada, gutxienez bi zatitan ordainduko da: horietako lehena diru-laguntza ematea ebaztearekin batera, eta hurrengoa (edo hurrengoak) ebazpen horretan ezartzen diren epeetan edo baldintzetan. Zatitutako ordainketa bakoitza ez da izanen, inolaz ere, 30.000 euro baino gutxiagokoa, azkenekoa izan ezik, diru-laguntza osatu arteko zenbatekoa ez bada kopuru horretara iristen. Nolanahi ere, diru-laguntzaren hurrengo ordainketa egiteko, beharrezkoa izanen da exekuzioari buruzko agiri bidezko justifikazio ekonomikoa aurkeztea, aurretik ordaindutako zenbatekoari dagokiona.</w:t>
      </w:r>
    </w:p>
    <w:p w:rsidR="003E6891" w:rsidRDefault="003E6891" w:rsidP="003E6891">
      <w:pPr>
        <w:spacing w:after="300" w:line="340" w:lineRule="exact"/>
        <w:ind w:firstLine="567"/>
        <w:jc w:val="both"/>
        <w:rPr>
          <w:rFonts w:ascii="Arial" w:hAnsi="Arial" w:cs="Arial"/>
        </w:rPr>
      </w:pPr>
      <w:r>
        <w:rPr>
          <w:rFonts w:ascii="Arial" w:hAnsi="Arial"/>
        </w:rPr>
        <w:t>2. Gainerako onuradunen kasuan, emandako diru-laguntzaren ordainketak aurreratzen ahalko dira diru-laguntzaren oinarri arautzaileetan hori berariaz aurreikusten denean soilik, oinarriok ezarritako muga, baldintza eta, hala egokituz gero, bermeekin, eta, betiere, diru-laguntzaren xedeak betetzeko funts-horniduraren beharra justifikatzen baldin bada.</w:t>
      </w:r>
    </w:p>
    <w:p w:rsidR="003E6891" w:rsidRDefault="003E6891" w:rsidP="003E6891">
      <w:pPr>
        <w:spacing w:after="300" w:line="340" w:lineRule="exact"/>
        <w:ind w:firstLine="567"/>
        <w:jc w:val="both"/>
        <w:rPr>
          <w:rFonts w:ascii="Arial" w:hAnsi="Arial" w:cs="Arial"/>
        </w:rPr>
      </w:pPr>
      <w:r>
        <w:rPr>
          <w:rFonts w:ascii="Arial" w:hAnsi="Arial"/>
        </w:rPr>
        <w:t>Kasu horietan, aurrerakina 60.000 eurotik gorakoa bada, nahitaez bermeak ezarri beharko dira, hurrengo kasuetan salbu:</w:t>
      </w:r>
    </w:p>
    <w:p w:rsidR="003E6891" w:rsidRDefault="003E6891" w:rsidP="003E6891">
      <w:pPr>
        <w:spacing w:after="300" w:line="340" w:lineRule="exact"/>
        <w:ind w:firstLine="567"/>
        <w:jc w:val="both"/>
        <w:rPr>
          <w:rFonts w:ascii="Arial" w:hAnsi="Arial" w:cs="Arial"/>
        </w:rPr>
      </w:pPr>
      <w:r>
        <w:rPr>
          <w:rFonts w:ascii="Arial" w:hAnsi="Arial"/>
        </w:rPr>
        <w:t>a) Onuraduna administrazio publiko bat edo sektore publikoko entitate bat denean.</w:t>
      </w:r>
    </w:p>
    <w:p w:rsidR="003E6891" w:rsidRDefault="003E6891" w:rsidP="003E6891">
      <w:pPr>
        <w:spacing w:after="300" w:line="340" w:lineRule="exact"/>
        <w:ind w:firstLine="567"/>
        <w:jc w:val="both"/>
        <w:rPr>
          <w:rFonts w:ascii="Arial" w:hAnsi="Arial" w:cs="Arial"/>
        </w:rPr>
      </w:pPr>
      <w:r>
        <w:rPr>
          <w:rFonts w:ascii="Arial" w:hAnsi="Arial"/>
        </w:rPr>
        <w:t>b) Etengabeko prestakuntzako programetan kasuko eskubidea aitortua duten enplegu zentro bereziei defizita konpentsatzeko ordainak ematen zaizkienean.</w:t>
      </w:r>
    </w:p>
    <w:p w:rsidR="003E6891" w:rsidRDefault="003E6891" w:rsidP="003E6891">
      <w:pPr>
        <w:spacing w:after="300" w:line="340" w:lineRule="exact"/>
        <w:ind w:firstLine="567"/>
        <w:jc w:val="both"/>
        <w:rPr>
          <w:rFonts w:ascii="Arial" w:hAnsi="Arial" w:cs="Arial"/>
        </w:rPr>
      </w:pPr>
      <w:r>
        <w:rPr>
          <w:rFonts w:ascii="Arial" w:hAnsi="Arial"/>
        </w:rPr>
        <w:t>c) Onuraduna ikerketa-erakunde bat denean, zehazki, ikerketarako eta garapen eta berrikuntzarako estatu-laguntzei buruzko Esparruari buruzko Europako Batzordearen Komunikazioan (2014C 198/01) jasotako definizioaren barrenean sartzen direnak: unibertsitateak, ikerketa zentroak, teknologiaren transferentziarako erakundeak, bitartekoak, berrikuntzakoak, edo ikerkuntzaren arloko elkarlanerako entitate erreal edo birtualak.</w:t>
      </w:r>
    </w:p>
    <w:p w:rsidR="003E6891" w:rsidRDefault="003E6891" w:rsidP="003E6891">
      <w:pPr>
        <w:spacing w:after="300" w:line="340" w:lineRule="exact"/>
        <w:ind w:firstLine="567"/>
        <w:jc w:val="both"/>
        <w:rPr>
          <w:rFonts w:ascii="Arial" w:hAnsi="Arial" w:cs="Arial"/>
        </w:rPr>
      </w:pPr>
      <w:r>
        <w:rPr>
          <w:rFonts w:ascii="Arial" w:hAnsi="Arial"/>
        </w:rPr>
        <w:t xml:space="preserve">3. Halaber, Ogasuneko eta Finantza Politikako kontseilariak hala erabakitzen duenean, zilegi izanen da aurreko apartatuan aipatutako bermea ez eskatzea sindikatuei eta enpresa-erakundeei, “Nafarroako Lan Gatazkak Konpontzeko </w:t>
      </w:r>
      <w:r>
        <w:rPr>
          <w:rFonts w:ascii="Arial" w:hAnsi="Arial"/>
        </w:rPr>
        <w:lastRenderedPageBreak/>
        <w:t>Epaimahaia” fundazioari eta irabazi-asmorik gabeko kultur entitateei, kasu bakoitzaren inguruabar bereziak kontuan izanik.</w:t>
      </w:r>
    </w:p>
    <w:p w:rsidR="003E6891" w:rsidRDefault="003E6891" w:rsidP="003E6891">
      <w:pPr>
        <w:spacing w:after="300" w:line="340" w:lineRule="exact"/>
        <w:ind w:firstLine="567"/>
        <w:jc w:val="both"/>
        <w:rPr>
          <w:rFonts w:ascii="Arial" w:hAnsi="Arial" w:cs="Arial"/>
        </w:rPr>
      </w:pPr>
      <w:r>
        <w:rPr>
          <w:rFonts w:ascii="Arial" w:hAnsi="Arial"/>
        </w:rPr>
        <w:t>4. Ematen den diru-laguntzaren konturako ordainketak egiten ahalko dira, orobat, oinarri arautzaileetan berariaz aurreikusita daudenean, baldin eta oraindik justifikatu gabe dauden gastu arruntetarako edo langileria gastuetarako badira eta diruz lagundutako jardueratik burutu den zatiari badagozkio. Ordainketa horiek ere aurrerakin gisa hartuko dira. Horrelako kasuetan, ez da beharrezkoa izanen justifikatzea diru-funtsen hornidura egitea beharrezkoa dela diru-laguntzaren helburuak betetzeko, eta bermerik ere ez da eskatuko.</w:t>
      </w:r>
    </w:p>
    <w:p w:rsidR="003E6891" w:rsidRDefault="003E6891" w:rsidP="003E6891">
      <w:pPr>
        <w:spacing w:after="300" w:line="340" w:lineRule="exact"/>
        <w:ind w:firstLine="567"/>
        <w:jc w:val="both"/>
        <w:rPr>
          <w:rFonts w:ascii="Arial" w:hAnsi="Arial" w:cs="Arial"/>
        </w:rPr>
      </w:pPr>
      <w:r>
        <w:rPr>
          <w:rFonts w:ascii="Arial" w:hAnsi="Arial"/>
        </w:rPr>
        <w:t>5. Diru-laguntzen aurrerakinak oinarri arautzaileetan ezartzen diren epeetan justifikatu beharko dira, eta diru-laguntzen justifikazioari eta ordainketari buruz adierazitako betebehar berberak bete beharko dira, foru lege honen 32. artikuluko 3. apartatuan aipatutako txostena barne dela.</w:t>
      </w:r>
    </w:p>
    <w:p w:rsidR="003E6891" w:rsidRDefault="003E6891" w:rsidP="003E6891">
      <w:pPr>
        <w:spacing w:after="300" w:line="340" w:lineRule="exact"/>
        <w:ind w:firstLine="567"/>
        <w:jc w:val="both"/>
        <w:rPr>
          <w:rFonts w:ascii="Arial" w:hAnsi="Arial" w:cs="Arial"/>
        </w:rPr>
      </w:pPr>
      <w:r>
        <w:rPr>
          <w:rFonts w:ascii="Arial" w:hAnsi="Arial"/>
        </w:rPr>
        <w:t>Aurreko apartatuan adierazten diren konturako ordainketak oinarri arautzaileetan ezartzen den epean justifikatu eta likidatu beharko dira</w:t>
      </w:r>
      <w:r w:rsidR="005E392A">
        <w:rPr>
          <w:rFonts w:ascii="Arial" w:hAnsi="Arial"/>
        </w:rPr>
        <w:t>”.</w:t>
      </w:r>
    </w:p>
    <w:p w:rsidR="00686F7A" w:rsidRDefault="00686F7A" w:rsidP="007B537A">
      <w:pPr>
        <w:pStyle w:val="DICTA-ENMIENDA"/>
      </w:pPr>
      <w:r>
        <w:rPr>
          <w:noProof/>
          <w:lang w:val="es-ES"/>
        </w:rPr>
        <mc:AlternateContent>
          <mc:Choice Requires="wps">
            <w:drawing>
              <wp:anchor distT="0" distB="0" distL="114300" distR="114300" simplePos="0" relativeHeight="251664384" behindDoc="0" locked="0" layoutInCell="1" allowOverlap="1" wp14:anchorId="67B33C1F" wp14:editId="62166A6B">
                <wp:simplePos x="0" y="0"/>
                <wp:positionH relativeFrom="column">
                  <wp:posOffset>-2291715</wp:posOffset>
                </wp:positionH>
                <wp:positionV relativeFrom="paragraph">
                  <wp:posOffset>358140</wp:posOffset>
                </wp:positionV>
                <wp:extent cx="784860" cy="419100"/>
                <wp:effectExtent l="0" t="0" r="15240" b="19050"/>
                <wp:wrapNone/>
                <wp:docPr id="7" name="7 Cuadro de texto"/>
                <wp:cNvGraphicFramePr/>
                <a:graphic xmlns:a="http://schemas.openxmlformats.org/drawingml/2006/main">
                  <a:graphicData uri="http://schemas.microsoft.com/office/word/2010/wordprocessingShape">
                    <wps:wsp>
                      <wps:cNvSpPr txBox="1"/>
                      <wps:spPr>
                        <a:xfrm>
                          <a:off x="0" y="0"/>
                          <a:ext cx="78486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3797" w:rsidRDefault="00413797">
                            <w:r>
                              <w:t>Zuzenketa teknikoa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7 Cuadro de texto" o:spid="_x0000_s1031" type="#_x0000_t202" style="position:absolute;left:0;text-align:left;margin-left:-180.45pt;margin-top:28.2pt;width:61.8pt;height:3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" fillcolor="white [3201]" strokeweight=".5pt">
                <v:textbox>
                  <w:txbxContent>
                    <w:p w:rsidR="00413797" w:rsidRDefault="00413797">
                      <w:r>
                        <w:t>Zuzenketa teknikoa</w:t>
                      </w:r>
                    </w:p>
                  </w:txbxContent>
                </v:textbox>
              </v:shape>
            </w:pict>
          </mc:Fallback>
        </mc:AlternateContent>
      </w:r>
      <w:r>
        <w:tab/>
      </w:r>
      <w:r>
        <w:tab/>
        <w:t>3. Laugarren xedapen gehigarria gehitu da:</w:t>
      </w:r>
    </w:p>
    <w:p w:rsidR="00656CDD" w:rsidRDefault="00656CDD" w:rsidP="007B537A">
      <w:pPr>
        <w:pStyle w:val="DICTA-ENMIENDA"/>
      </w:pPr>
      <w:r>
        <w:tab/>
      </w:r>
      <w:r>
        <w:tab/>
      </w:r>
      <w:r w:rsidR="00303540">
        <w:t>“</w:t>
      </w:r>
      <w:r>
        <w:t>Laugarren xedapen gehigarria.- Nafarroako Gobernuak sustatuko du hitzarmenak sinatzea toki entitateekin, helburua izanik lankidetza arautzea udal esparruan euskara erabiltzeko eta sustatzeko programak garatzen dituzten toki entitateekin. Hitzarmenetan ezarriko dira laguntza teknikoen baldintzak, planifikazioarenak, koordinazioarenak eta, kasu bada, finantziazio araubidea. Foru dekretu batek arautuko ditu lankidetzaren baldintzak, lankidetzan sartzen diren jarduerak eta Nafarroako Gobernuak emanen dituen laguntzak. Laguntza ekonomikoak urteko deialdi baten bidez emanen dira”.</w:t>
      </w:r>
    </w:p>
    <w:p w:rsidR="003E6891" w:rsidRDefault="00351857" w:rsidP="007B537A">
      <w:pPr>
        <w:pStyle w:val="DICTA-ENMIENDA"/>
      </w:pPr>
      <w:bookmarkStart w:id="66" w:name="Da.Décima_Sexta"/>
      <w:bookmarkStart w:id="67" w:name="Da.Décima_Séptima"/>
      <w:bookmarkEnd w:id="66"/>
      <w:bookmarkEnd w:id="67"/>
      <w:r>
        <w:rPr>
          <w:b/>
          <w:bCs/>
        </w:rPr>
        <w:tab/>
      </w:r>
      <w:r>
        <w:rPr>
          <w:b/>
          <w:bCs/>
        </w:rPr>
        <w:tab/>
        <w:t>Hamahirugarren xedapen gehigarria.</w:t>
      </w:r>
      <w:r>
        <w:t xml:space="preserve"> Nafarroako Ogasun Publikoari buruzko apirilaren 4ko 13/2007 Foru Legea aldatzea.</w:t>
      </w:r>
    </w:p>
    <w:p w:rsidR="00686F7A" w:rsidRDefault="00686F7A" w:rsidP="00686F7A">
      <w:pPr>
        <w:pStyle w:val="DICTA-ENMIENDA"/>
      </w:pPr>
      <w:r>
        <w:tab/>
      </w:r>
      <w:r>
        <w:tab/>
        <w:t>Nafarroako Ogasun Publikoari buruzko apirilaren 4ko 13/2007 Foru Legearen honako artikulu hauek honela geldituko dira idatzita:</w:t>
      </w:r>
    </w:p>
    <w:p w:rsidR="00E9716B" w:rsidRDefault="00E9716B" w:rsidP="003E6891">
      <w:pPr>
        <w:spacing w:after="300" w:line="340" w:lineRule="exact"/>
        <w:ind w:firstLine="567"/>
        <w:jc w:val="both"/>
        <w:rPr>
          <w:rFonts w:ascii="Arial" w:hAnsi="Arial"/>
        </w:rPr>
      </w:pPr>
      <w:r>
        <w:rPr>
          <w:rFonts w:ascii="Arial" w:hAnsi="Arial"/>
        </w:rPr>
        <w:t>1. 40. artikulua aldatzen da.</w:t>
      </w:r>
    </w:p>
    <w:p w:rsidR="003E6891" w:rsidRPr="002A5212" w:rsidRDefault="003E6891" w:rsidP="003E6891">
      <w:pPr>
        <w:spacing w:after="300" w:line="340" w:lineRule="exact"/>
        <w:ind w:firstLine="567"/>
        <w:jc w:val="both"/>
        <w:rPr>
          <w:rFonts w:ascii="Arial" w:hAnsi="Arial" w:cs="Arial"/>
          <w:iCs/>
        </w:rPr>
      </w:pPr>
      <w:r>
        <w:rPr>
          <w:rFonts w:ascii="Arial" w:hAnsi="Arial"/>
          <w:iCs/>
        </w:rPr>
        <w:t>“40. artikulua. Urte anitzeko gastu konpromisoak.</w:t>
      </w:r>
    </w:p>
    <w:p w:rsidR="003E6891" w:rsidRDefault="003E6891" w:rsidP="003E6891">
      <w:pPr>
        <w:numPr>
          <w:ilvl w:val="0"/>
          <w:numId w:val="2"/>
        </w:numPr>
        <w:spacing w:after="300" w:line="340" w:lineRule="exact"/>
        <w:ind w:left="0" w:firstLine="360"/>
        <w:jc w:val="both"/>
        <w:rPr>
          <w:rFonts w:ascii="Arial" w:hAnsi="Arial" w:cs="Arial"/>
        </w:rPr>
      </w:pPr>
      <w:r>
        <w:rPr>
          <w:rFonts w:ascii="Arial" w:hAnsi="Arial"/>
        </w:rPr>
        <w:lastRenderedPageBreak/>
        <w:t>Baimentzen diren ekitalditik haratago doazen gastu konpromisoak hartzen ahalko dira, baldin eta baimentzen diren ekitaldian exekutatzen hasten badira eta hurrengo zenbakian ezartzen diren mugak eta urteak gainditzen ez badituzte. Horren ondorioetarako, kontratuen kasuan, prestazioaren exekuzio materiala hartuko da gastu-exekuziotzat; diru-laguntzetan, berriz, foru lege honen 52.1.c artikuluan aipatutako betebeharra aitortzea.</w:t>
      </w:r>
    </w:p>
    <w:p w:rsidR="003E6891" w:rsidRDefault="003E6891" w:rsidP="003E6891">
      <w:pPr>
        <w:numPr>
          <w:ilvl w:val="0"/>
          <w:numId w:val="2"/>
        </w:numPr>
        <w:spacing w:after="300" w:line="340" w:lineRule="exact"/>
        <w:ind w:left="0" w:firstLine="360"/>
        <w:jc w:val="both"/>
        <w:rPr>
          <w:rFonts w:ascii="Arial" w:hAnsi="Arial" w:cs="Arial"/>
        </w:rPr>
      </w:pPr>
      <w:r>
        <w:rPr>
          <w:rFonts w:ascii="Arial" w:hAnsi="Arial"/>
        </w:rPr>
        <w:t>Gastuak, gehienez, lau ekitalditan egozten ahalko dira. Baimendu ondoko ekitaldietan egozten den gastua ezin da handiagoa izan programa bakoitzeko kapitulu bakoitzaren hasierako kredituen bolumenari ehuneko hauek aplikatzearen ondoriozko zenbatekoa baino: hurren-hurreneko ekitaldian, ehuneko 70; bigarren ekitaldian, ehuneko 60; eta hirugarren eta laugarren ekitaldietan, ehuneko 50.</w:t>
      </w:r>
    </w:p>
    <w:p w:rsidR="003E6891" w:rsidRDefault="003E6891" w:rsidP="003E6891">
      <w:pPr>
        <w:pStyle w:val="Prrafodelista1"/>
        <w:numPr>
          <w:ilvl w:val="0"/>
          <w:numId w:val="2"/>
        </w:numPr>
        <w:spacing w:after="300" w:line="340" w:lineRule="exact"/>
        <w:ind w:left="0" w:firstLine="360"/>
        <w:jc w:val="both"/>
        <w:rPr>
          <w:rFonts w:ascii="Arial" w:hAnsi="Arial" w:cs="Arial"/>
        </w:rPr>
      </w:pPr>
      <w:r>
        <w:rPr>
          <w:rFonts w:ascii="Arial" w:hAnsi="Arial"/>
        </w:rPr>
        <w:t>Epe eta ehuneko horiek lege mailako arau baten bidez aldatzen ahalko dira. Bereziki justifikatuta dauden kasuetan ere, Nafarroako Gobernuak aldatzen ahalko ditu ehuneko horiek. Horrelakoetan, Ogasuneko eta Finantza Politikako Departamentuak, dagokion departamentuak eskatuta, proposamena igorriko dio Nafarroako Gobernuari. Gainera, horren aurretik, Aurrekontuaren Zuzendaritza Nagusiaren txostena beharko da, aldaketa hori epe ertainera begira dagoen aurrekontu-esparruarekin koherentea dela adierazten duena.</w:t>
      </w:r>
    </w:p>
    <w:p w:rsidR="003E6891" w:rsidRPr="00E9716B" w:rsidRDefault="003E6891" w:rsidP="003E6891">
      <w:pPr>
        <w:pStyle w:val="Prrafodelista1"/>
        <w:spacing w:after="300" w:line="340" w:lineRule="exact"/>
        <w:ind w:left="0" w:firstLine="360"/>
        <w:jc w:val="both"/>
        <w:rPr>
          <w:rFonts w:ascii="Arial" w:hAnsi="Arial" w:cs="Arial"/>
        </w:rPr>
      </w:pPr>
    </w:p>
    <w:p w:rsidR="003E6891" w:rsidRDefault="003E6891" w:rsidP="003E6891">
      <w:pPr>
        <w:pStyle w:val="Prrafodelista1"/>
        <w:numPr>
          <w:ilvl w:val="0"/>
          <w:numId w:val="2"/>
        </w:numPr>
        <w:spacing w:after="300" w:line="340" w:lineRule="exact"/>
        <w:ind w:left="0" w:firstLine="360"/>
        <w:jc w:val="both"/>
        <w:rPr>
          <w:rFonts w:ascii="Arial" w:hAnsi="Arial" w:cs="Arial"/>
        </w:rPr>
      </w:pPr>
      <w:r>
        <w:rPr>
          <w:rFonts w:ascii="Arial" w:hAnsi="Arial"/>
        </w:rPr>
        <w:t>Diru-laguntzei buruzko azaroaren 9ko 11/2005 Foru Legearen 17.2.a) artikuluan adierazitako diru-laguntzen kasuan, ezin izanen da geroko ekitaldien kargurako gastu-konpromisorik hartu.</w:t>
      </w:r>
    </w:p>
    <w:p w:rsidR="003E6891" w:rsidRDefault="003E6891" w:rsidP="003E6891">
      <w:pPr>
        <w:pStyle w:val="Prrafodelista1"/>
        <w:numPr>
          <w:ilvl w:val="0"/>
          <w:numId w:val="2"/>
        </w:numPr>
        <w:spacing w:after="300" w:line="340" w:lineRule="exact"/>
        <w:ind w:left="0" w:firstLine="360"/>
        <w:jc w:val="both"/>
        <w:rPr>
          <w:rFonts w:ascii="Arial" w:hAnsi="Arial" w:cs="Arial"/>
        </w:rPr>
      </w:pPr>
      <w:r>
        <w:rPr>
          <w:rFonts w:ascii="Arial" w:hAnsi="Arial"/>
        </w:rPr>
        <w:t>Aldez aurreko tramitazioen kasuan, hala kontratu publikoei aplikatu beharreko arauen menpe dauden kontratazio-espedienteen kasuan, nola gastu-konpromisoak formalizatzeko bidea ematen duen araudiaren menpe dauden gastu-espedienteen kasuan, 1.tik 3.era bitarteko apartatuetan finkatutako muga eta urte kopuruak edo zenbateko baimenduak bete beharko dira.</w:t>
      </w:r>
    </w:p>
    <w:p w:rsidR="003E6891" w:rsidRPr="00E9716B" w:rsidRDefault="003E6891" w:rsidP="003E6891">
      <w:pPr>
        <w:pStyle w:val="Prrafodelista1"/>
        <w:spacing w:after="300" w:line="340" w:lineRule="exact"/>
        <w:ind w:left="0" w:firstLine="360"/>
        <w:jc w:val="both"/>
        <w:rPr>
          <w:rFonts w:ascii="Arial" w:hAnsi="Arial" w:cs="Arial"/>
        </w:rPr>
      </w:pPr>
    </w:p>
    <w:p w:rsidR="003E6891" w:rsidRDefault="003E6891" w:rsidP="003E6891">
      <w:pPr>
        <w:pStyle w:val="Prrafodelista1"/>
        <w:numPr>
          <w:ilvl w:val="0"/>
          <w:numId w:val="2"/>
        </w:numPr>
        <w:spacing w:after="300" w:line="340" w:lineRule="exact"/>
        <w:ind w:left="0" w:firstLine="360"/>
        <w:jc w:val="both"/>
        <w:rPr>
          <w:rFonts w:ascii="Arial" w:hAnsi="Arial" w:cs="Arial"/>
        </w:rPr>
      </w:pPr>
      <w:r>
        <w:rPr>
          <w:rFonts w:ascii="Arial" w:hAnsi="Arial"/>
        </w:rPr>
        <w:t xml:space="preserve">Aurrekontuak exekutatzeko eskumenak erabiltzea deusetan galarazi gabe, lege mailako arau batek berariaz baimendutako kasuetan izan ezik, hurrengo ekitaldietarako gastu-konpromisoa duten espedienteek Nafarroako Gobernuaren aurretiazko baimena beharko dute. </w:t>
      </w:r>
    </w:p>
    <w:p w:rsidR="003E6891" w:rsidRPr="00E9716B" w:rsidRDefault="003E6891" w:rsidP="003E6891">
      <w:pPr>
        <w:pStyle w:val="Prrafodelista1"/>
        <w:spacing w:after="300" w:line="340" w:lineRule="exact"/>
        <w:ind w:left="0" w:firstLine="360"/>
        <w:jc w:val="both"/>
        <w:rPr>
          <w:rFonts w:ascii="Arial" w:hAnsi="Arial" w:cs="Arial"/>
        </w:rPr>
      </w:pPr>
    </w:p>
    <w:p w:rsidR="003E6891" w:rsidRDefault="003E6891" w:rsidP="003E6891">
      <w:pPr>
        <w:pStyle w:val="Prrafodelista1"/>
        <w:spacing w:after="300" w:line="340" w:lineRule="exact"/>
        <w:ind w:left="0" w:firstLine="360"/>
        <w:jc w:val="both"/>
        <w:rPr>
          <w:rFonts w:ascii="Arial" w:hAnsi="Arial" w:cs="Arial"/>
        </w:rPr>
      </w:pPr>
      <w:r>
        <w:rPr>
          <w:rFonts w:ascii="Arial" w:hAnsi="Arial"/>
        </w:rPr>
        <w:t xml:space="preserve">Nafarroako Gobernuak erabaki bakar batean eman dezake urte anitzeko gastu konpromisoak hartzeko baimena eta haien luzapenetarakoa. </w:t>
      </w:r>
    </w:p>
    <w:p w:rsidR="003E6891" w:rsidRPr="00E9716B" w:rsidRDefault="003E6891" w:rsidP="003E6891">
      <w:pPr>
        <w:pStyle w:val="Prrafodelista1"/>
        <w:spacing w:after="300" w:line="340" w:lineRule="exact"/>
        <w:ind w:left="0" w:firstLine="360"/>
        <w:jc w:val="both"/>
        <w:rPr>
          <w:rFonts w:ascii="Arial" w:hAnsi="Arial" w:cs="Arial"/>
        </w:rPr>
      </w:pPr>
    </w:p>
    <w:p w:rsidR="003E6891" w:rsidRDefault="003E6891" w:rsidP="003E6891">
      <w:pPr>
        <w:pStyle w:val="Prrafodelista1"/>
        <w:numPr>
          <w:ilvl w:val="0"/>
          <w:numId w:val="2"/>
        </w:numPr>
        <w:spacing w:after="300" w:line="340" w:lineRule="exact"/>
        <w:ind w:left="0" w:firstLine="360"/>
        <w:jc w:val="both"/>
        <w:rPr>
          <w:rFonts w:ascii="Arial" w:hAnsi="Arial" w:cs="Arial"/>
        </w:rPr>
      </w:pPr>
      <w:r>
        <w:rPr>
          <w:rFonts w:ascii="Arial" w:hAnsi="Arial"/>
        </w:rPr>
        <w:lastRenderedPageBreak/>
        <w:t>Aurrekoa gorabehera, hurrengo ekitaldietarako gastu konpromisoen batura 1.000.000 eurotik beherakoa duten espedienteen kasuetan, ez da Nafarroako Gobernuaren aurretiazko baimena beharko.</w:t>
      </w:r>
    </w:p>
    <w:p w:rsidR="003E6891" w:rsidRPr="00E9716B" w:rsidRDefault="003E6891" w:rsidP="003E6891">
      <w:pPr>
        <w:pStyle w:val="Prrafodelista1"/>
        <w:spacing w:after="300" w:line="340" w:lineRule="exact"/>
        <w:ind w:left="0" w:firstLine="360"/>
        <w:jc w:val="both"/>
        <w:rPr>
          <w:rFonts w:ascii="Arial" w:hAnsi="Arial" w:cs="Arial"/>
        </w:rPr>
      </w:pPr>
    </w:p>
    <w:p w:rsidR="003E6891" w:rsidRDefault="003E6891" w:rsidP="003E6891">
      <w:pPr>
        <w:pStyle w:val="Prrafodelista1"/>
        <w:numPr>
          <w:ilvl w:val="0"/>
          <w:numId w:val="2"/>
        </w:numPr>
        <w:spacing w:after="300" w:line="340" w:lineRule="exact"/>
        <w:ind w:left="0" w:firstLine="360"/>
        <w:jc w:val="both"/>
        <w:rPr>
          <w:rFonts w:ascii="Arial" w:hAnsi="Arial" w:cs="Arial"/>
        </w:rPr>
      </w:pPr>
      <w:r>
        <w:rPr>
          <w:rFonts w:ascii="Arial" w:hAnsi="Arial"/>
        </w:rPr>
        <w:t>Ogasuneko eta Finantza Politikako kontseilariak behar diren jarraibideak emanen ditu urte anitzeko espedienteak tramitatzeko eta horien jarraipena egiteko”.</w:t>
      </w:r>
    </w:p>
    <w:p w:rsidR="003E6891" w:rsidRDefault="003E6891" w:rsidP="003E6891">
      <w:pPr>
        <w:autoSpaceDE w:val="0"/>
        <w:autoSpaceDN w:val="0"/>
        <w:spacing w:after="300" w:line="340" w:lineRule="exact"/>
        <w:ind w:firstLine="567"/>
        <w:jc w:val="both"/>
        <w:rPr>
          <w:rFonts w:ascii="Arial" w:hAnsi="Arial" w:cs="Arial"/>
        </w:rPr>
      </w:pPr>
      <w:r>
        <w:rPr>
          <w:rFonts w:ascii="Arial" w:hAnsi="Arial"/>
        </w:rPr>
        <w:t>2. 42. artikuluaren 1. apartatuari d) letra eransten zaio:</w:t>
      </w:r>
    </w:p>
    <w:p w:rsidR="003E6891" w:rsidRPr="002A5212" w:rsidRDefault="003E6891" w:rsidP="003E6891">
      <w:pPr>
        <w:spacing w:after="300" w:line="340" w:lineRule="exact"/>
        <w:ind w:firstLine="567"/>
        <w:jc w:val="both"/>
        <w:rPr>
          <w:rFonts w:ascii="Arial" w:hAnsi="Arial" w:cs="Arial"/>
        </w:rPr>
      </w:pPr>
      <w:r>
        <w:rPr>
          <w:rFonts w:ascii="Arial" w:hAnsi="Arial"/>
        </w:rPr>
        <w:t>“d) Epai judizialen edo nahitaez bete beharreko ebazpenen ondoriozko betebeharrei erantzuteko beharrezkoak diren kreditu-gehikuntzak langileria gastuen kapituluaren partidetan”.</w:t>
      </w:r>
    </w:p>
    <w:p w:rsidR="003E6891" w:rsidRPr="002A5212" w:rsidRDefault="003E6891" w:rsidP="003E6891">
      <w:pPr>
        <w:spacing w:after="300" w:line="340" w:lineRule="exact"/>
        <w:ind w:firstLine="567"/>
        <w:jc w:val="both"/>
        <w:rPr>
          <w:rFonts w:ascii="Arial" w:hAnsi="Arial" w:cs="Arial"/>
        </w:rPr>
      </w:pPr>
      <w:r>
        <w:rPr>
          <w:rFonts w:ascii="Arial" w:hAnsi="Arial"/>
        </w:rPr>
        <w:t>3. 45. artikulua aldatzen da.</w:t>
      </w:r>
    </w:p>
    <w:p w:rsidR="003E6891" w:rsidRPr="002A5212" w:rsidRDefault="003E6891" w:rsidP="003E6891">
      <w:pPr>
        <w:spacing w:after="300" w:line="340" w:lineRule="exact"/>
        <w:ind w:firstLine="567"/>
        <w:jc w:val="both"/>
        <w:rPr>
          <w:rFonts w:ascii="Arial" w:hAnsi="Arial" w:cs="Arial"/>
          <w:iCs/>
        </w:rPr>
      </w:pPr>
      <w:r>
        <w:rPr>
          <w:rFonts w:ascii="Arial" w:hAnsi="Arial"/>
          <w:iCs/>
        </w:rPr>
        <w:t>“45. artikulua. Kreditu transferentziak, organo eskudunaren arabera</w:t>
      </w: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t xml:space="preserve">1. Nafarroako Gobernuko departamentuetako titularrek, beren departamentuen esparruan, baimena eman dezakete programa beraren kredituen artean transferentziak egiteko. </w:t>
      </w: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t>2. Kapitulu ekonomiko bereko kredituen arteko transferentzien kasuan, departamentu bereko programa desberdinetakoak badira, eskumena Ogasuneko eta Finantza Politikako kontseilariari dagokio, salbu eta transferentziak langileria gastuen kapituluaren partiden artean egiten direnean, izan ere, kasu horretan eskumena Lehendakaritzako, Funtzio Publikoko, Barneko eta Justizia Departamentuko titularrari dagokio.</w:t>
      </w: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t>3. Departamentu berekoak ez diren kapitulu ekonomiko bereko kredituen arteko transferentziak Nafarroako Gobernuak baimendu beharko ditu, Ogasuneko eta Finantza Politikako Departamentuko titularrak proposaturik edo, langileria gastuen kapituluko partidak ukitzen direnean, Lehendakaritzako, Funtzio Publikoko, Barneko eta Justiziako Departamentuko titularrak proposaturik.</w:t>
      </w:r>
    </w:p>
    <w:p w:rsidR="003E6891" w:rsidRDefault="003E6891" w:rsidP="003E6891">
      <w:pPr>
        <w:pStyle w:val="xl1"/>
        <w:spacing w:before="0" w:beforeAutospacing="0" w:after="300" w:afterAutospacing="0" w:line="340" w:lineRule="exact"/>
        <w:ind w:firstLine="567"/>
        <w:jc w:val="both"/>
        <w:rPr>
          <w:rFonts w:ascii="Arial" w:hAnsi="Arial" w:cs="Arial"/>
        </w:rPr>
      </w:pPr>
      <w:r>
        <w:rPr>
          <w:rFonts w:ascii="Arial" w:hAnsi="Arial"/>
        </w:rPr>
        <w:t>4. Langileria gastuen kapituluko kredituak ukitzen dituen edozein aurrekontu aldaketa egiteko, Funtzio Publikoko Zuzendaritza Nagusiaren aurretiko txostena beharko da”.</w:t>
      </w:r>
    </w:p>
    <w:p w:rsidR="00BF6B49" w:rsidRDefault="003E6891" w:rsidP="003E6891">
      <w:pPr>
        <w:autoSpaceDE w:val="0"/>
        <w:autoSpaceDN w:val="0"/>
        <w:spacing w:after="300" w:line="340" w:lineRule="exact"/>
        <w:ind w:firstLine="567"/>
        <w:jc w:val="both"/>
        <w:rPr>
          <w:rFonts w:ascii="Arial" w:hAnsi="Arial" w:cs="Arial"/>
        </w:rPr>
      </w:pPr>
      <w:r>
        <w:rPr>
          <w:rFonts w:ascii="Arial" w:hAnsi="Arial"/>
        </w:rPr>
        <w:t>4. 49.</w:t>
      </w:r>
      <w:r w:rsidR="007E7FFD">
        <w:rPr>
          <w:rFonts w:ascii="Arial" w:hAnsi="Arial"/>
        </w:rPr>
        <w:t xml:space="preserve"> artikuluaren 5.</w:t>
      </w:r>
      <w:r>
        <w:rPr>
          <w:rFonts w:ascii="Arial" w:hAnsi="Arial"/>
        </w:rPr>
        <w:t xml:space="preserve"> apartatua aldatzen da: </w:t>
      </w:r>
    </w:p>
    <w:p w:rsidR="003E6891" w:rsidRDefault="003E6891" w:rsidP="003E6891">
      <w:pPr>
        <w:autoSpaceDE w:val="0"/>
        <w:autoSpaceDN w:val="0"/>
        <w:spacing w:after="300" w:line="340" w:lineRule="exact"/>
        <w:ind w:firstLine="567"/>
        <w:jc w:val="both"/>
        <w:rPr>
          <w:rFonts w:ascii="Arial" w:hAnsi="Arial" w:cs="Arial"/>
        </w:rPr>
      </w:pPr>
      <w:r>
        <w:rPr>
          <w:rFonts w:ascii="Arial" w:hAnsi="Arial"/>
        </w:rPr>
        <w:lastRenderedPageBreak/>
        <w:t xml:space="preserve">“5. Kreditu gehiago gehitzeko, Ogasuneko eta Finantza Politikako kontseilariaren baimena beharko da. Foru lege honen 50. artikuluko 2. apartatuan ezarritakoa deusetan galarazi gabe, kredituak gehituz gero, horien finantzaketa aurrekontuetako beste edozein gastu programatako kreditu erabilgarrien kargura egin beharko da, betiere ukitutako programen helburuak aldatzen ez badira, edo, bestela, ekitaldi ekonomiko bereko diru-sarrera handiagoen kargura (diru-sarrera horiek errealak edo aurreikusitakoak direla ere), jatorrian dagoen gastua egiteari lotutako diruzaintzako </w:t>
      </w:r>
      <w:proofErr w:type="spellStart"/>
      <w:r>
        <w:rPr>
          <w:rFonts w:ascii="Arial" w:hAnsi="Arial"/>
        </w:rPr>
        <w:t>gerakinaren</w:t>
      </w:r>
      <w:proofErr w:type="spellEnd"/>
      <w:r>
        <w:rPr>
          <w:rFonts w:ascii="Arial" w:hAnsi="Arial"/>
        </w:rPr>
        <w:t xml:space="preserve"> aplikazioaren kargura edo gastu orokorretarako diruzaintzako </w:t>
      </w:r>
      <w:proofErr w:type="spellStart"/>
      <w:r>
        <w:rPr>
          <w:rFonts w:ascii="Arial" w:hAnsi="Arial"/>
        </w:rPr>
        <w:t>gerakinaren</w:t>
      </w:r>
      <w:proofErr w:type="spellEnd"/>
      <w:r>
        <w:rPr>
          <w:rFonts w:ascii="Arial" w:hAnsi="Arial"/>
        </w:rPr>
        <w:t xml:space="preserve"> kargura, positiboa denean</w:t>
      </w:r>
      <w:r w:rsidR="005E392A">
        <w:rPr>
          <w:rFonts w:ascii="Arial" w:hAnsi="Arial"/>
        </w:rPr>
        <w:t>”.</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68" w:name="Da.Décima_Octava"/>
      <w:bookmarkStart w:id="69" w:name="Da.Décima_Novena"/>
      <w:bookmarkStart w:id="70" w:name="Da.Vigésima"/>
      <w:bookmarkEnd w:id="68"/>
      <w:bookmarkEnd w:id="69"/>
      <w:bookmarkEnd w:id="70"/>
      <w:r>
        <w:rPr>
          <w:rFonts w:ascii="Arial" w:hAnsi="Arial"/>
          <w:b/>
          <w:bCs/>
        </w:rPr>
        <w:t>Hamalaugarren xedapen gehigarria.</w:t>
      </w:r>
      <w:r>
        <w:rPr>
          <w:rFonts w:ascii="Arial" w:hAnsi="Arial"/>
        </w:rPr>
        <w:t xml:space="preserve"> </w:t>
      </w:r>
      <w:proofErr w:type="spellStart"/>
      <w:r>
        <w:rPr>
          <w:rFonts w:ascii="Arial" w:hAnsi="Arial"/>
          <w:iCs/>
        </w:rPr>
        <w:t>Montepioen</w:t>
      </w:r>
      <w:proofErr w:type="spellEnd"/>
      <w:r>
        <w:rPr>
          <w:rFonts w:ascii="Arial" w:hAnsi="Arial"/>
          <w:iCs/>
        </w:rPr>
        <w:t xml:space="preserve"> araubideari lotuta dauden suhiltzaileen kidegoko funtzionarioak. Koefiziente murriztailea.</w:t>
      </w:r>
    </w:p>
    <w:p w:rsidR="003E6891" w:rsidRDefault="003E6891" w:rsidP="003E6891">
      <w:pPr>
        <w:keepLines/>
        <w:spacing w:after="300" w:line="340" w:lineRule="exact"/>
        <w:ind w:firstLine="567"/>
        <w:jc w:val="both"/>
        <w:rPr>
          <w:rFonts w:ascii="Arial" w:hAnsi="Arial" w:cs="Arial"/>
        </w:rPr>
      </w:pPr>
      <w:bookmarkStart w:id="71" w:name="Da.Vigésima_Primera"/>
      <w:bookmarkEnd w:id="71"/>
      <w:proofErr w:type="spellStart"/>
      <w:r>
        <w:rPr>
          <w:rFonts w:ascii="Arial" w:hAnsi="Arial"/>
        </w:rPr>
        <w:t>Montepioen</w:t>
      </w:r>
      <w:proofErr w:type="spellEnd"/>
      <w:r>
        <w:rPr>
          <w:rFonts w:ascii="Arial" w:hAnsi="Arial"/>
        </w:rPr>
        <w:t xml:space="preserve"> sistema aplikatzen zaien Nafarroako suhiltzaileen kidegoko funtzionarioek, foru lege honek indarra hartu eta bi hilabeteko epean, uko egiten ahalko diote martxoaren 14ko 383/2008 Errege Dekretuan ezarritakoa aplikatzeari (errege dekretu horren bidez erretiro-adinaren murriztapen-koefiziente bat ezarri zen administrazio eta erakunde publikoen zerbitzuan diharduten suhiltzaileen alde). Uko hori behin betikoa eta </w:t>
      </w:r>
      <w:proofErr w:type="spellStart"/>
      <w:r>
        <w:rPr>
          <w:rFonts w:ascii="Arial" w:hAnsi="Arial"/>
        </w:rPr>
        <w:t>errebokaezina</w:t>
      </w:r>
      <w:proofErr w:type="spellEnd"/>
      <w:r>
        <w:rPr>
          <w:rFonts w:ascii="Arial" w:hAnsi="Arial"/>
        </w:rPr>
        <w:t xml:space="preserve"> izanen da.</w:t>
      </w:r>
    </w:p>
    <w:p w:rsidR="003E6891" w:rsidRDefault="003E6891" w:rsidP="003E6891">
      <w:pPr>
        <w:keepLines/>
        <w:spacing w:after="300" w:line="340" w:lineRule="exact"/>
        <w:ind w:firstLine="567"/>
        <w:jc w:val="both"/>
        <w:rPr>
          <w:rFonts w:ascii="Arial" w:hAnsi="Arial" w:cs="Arial"/>
        </w:rPr>
      </w:pPr>
      <w:r>
        <w:rPr>
          <w:rFonts w:ascii="Arial" w:hAnsi="Arial"/>
        </w:rPr>
        <w:t>Hamabosgarren xedapen gehigarria. Ikuskizun Publikoak eta Josteta Jarduerak arautzen dituen martxoaren 13ko 2/1989 Legearen aldaketa.</w:t>
      </w:r>
    </w:p>
    <w:p w:rsidR="00D90741" w:rsidRDefault="00351857" w:rsidP="00D90741">
      <w:pPr>
        <w:keepLines/>
        <w:spacing w:after="300" w:line="340" w:lineRule="exact"/>
        <w:ind w:firstLine="567"/>
        <w:jc w:val="both"/>
        <w:rPr>
          <w:rFonts w:ascii="Arial" w:hAnsi="Arial" w:cs="Arial"/>
        </w:rPr>
      </w:pPr>
      <w:r>
        <w:rPr>
          <w:rFonts w:ascii="Arial" w:hAnsi="Arial"/>
          <w:b/>
          <w:noProof/>
          <w:lang w:val="es-ES"/>
        </w:rPr>
        <mc:AlternateContent>
          <mc:Choice Requires="wps">
            <w:drawing>
              <wp:anchor distT="0" distB="0" distL="114300" distR="114300" simplePos="0" relativeHeight="251667456" behindDoc="0" locked="0" layoutInCell="1" allowOverlap="1" wp14:anchorId="589D2AA7" wp14:editId="207A2F2C">
                <wp:simplePos x="0" y="0"/>
                <wp:positionH relativeFrom="column">
                  <wp:posOffset>-1910715</wp:posOffset>
                </wp:positionH>
                <wp:positionV relativeFrom="paragraph">
                  <wp:posOffset>73660</wp:posOffset>
                </wp:positionV>
                <wp:extent cx="571500" cy="480060"/>
                <wp:effectExtent l="0" t="0" r="19050" b="15240"/>
                <wp:wrapNone/>
                <wp:docPr id="10" name="10 Cuadro de texto"/>
                <wp:cNvGraphicFramePr/>
                <a:graphic xmlns:a="http://schemas.openxmlformats.org/drawingml/2006/main">
                  <a:graphicData uri="http://schemas.microsoft.com/office/word/2010/wordprocessingShape">
                    <wps:wsp>
                      <wps:cNvSpPr txBox="1"/>
                      <wps:spPr>
                        <a:xfrm flipH="1">
                          <a:off x="0" y="0"/>
                          <a:ext cx="571500" cy="480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3797" w:rsidRDefault="00413797">
                            <w:r>
                              <w:t>Zuzenketa teknikoa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0 Cuadro de texto" o:spid="_x0000_s1032" type="#_x0000_t202" style="position:absolute;left:0;text-align:left;margin-left:-150.45pt;margin-top:5.8pt;width:45pt;height:37.8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" fillcolor="white [3201]" strokeweight=".5pt">
                <v:textbox>
                  <w:txbxContent>
                    <w:p w:rsidR="00413797" w:rsidRDefault="00413797">
                      <w:r>
                        <w:t>Zuzenketa teknikoa</w:t>
                      </w:r>
                    </w:p>
                  </w:txbxContent>
                </v:textbox>
              </v:shape>
            </w:pict>
          </mc:Fallback>
        </mc:AlternateContent>
      </w:r>
      <w:r>
        <w:t>Ikuskizun publikoak eta josteta jarduerak arautzen dituen martxoaren 13ko 2/1989 Foru Legearen zenbait artikulu, ondoren aipatzen direnak, honela geldituko dira idatzita:</w:t>
      </w:r>
    </w:p>
    <w:p w:rsidR="00F8430E" w:rsidRDefault="003E6891" w:rsidP="003E6891">
      <w:pPr>
        <w:keepLines/>
        <w:spacing w:after="300" w:line="340" w:lineRule="exact"/>
        <w:ind w:firstLine="567"/>
        <w:jc w:val="both"/>
        <w:rPr>
          <w:rFonts w:ascii="Arial" w:hAnsi="Arial"/>
        </w:rPr>
      </w:pPr>
      <w:r>
        <w:rPr>
          <w:rFonts w:ascii="Arial" w:hAnsi="Arial"/>
        </w:rPr>
        <w:t>1. 22. artikuluko 4., 6. e</w:t>
      </w:r>
      <w:r w:rsidR="00F8430E">
        <w:rPr>
          <w:rFonts w:ascii="Arial" w:hAnsi="Arial"/>
        </w:rPr>
        <w:t>ta 8. apartatuak aldatzen dira.</w:t>
      </w:r>
    </w:p>
    <w:p w:rsidR="003E6891" w:rsidRDefault="003E6891" w:rsidP="003E6891">
      <w:pPr>
        <w:keepLines/>
        <w:spacing w:after="300" w:line="340" w:lineRule="exact"/>
        <w:ind w:firstLine="567"/>
        <w:jc w:val="both"/>
        <w:rPr>
          <w:rFonts w:ascii="Arial" w:hAnsi="Arial" w:cs="Arial"/>
        </w:rPr>
      </w:pPr>
      <w:r>
        <w:rPr>
          <w:rFonts w:ascii="Arial" w:hAnsi="Arial"/>
        </w:rPr>
        <w:t>“4. Arau orokorretan edo administrazio baimenetan ezarritako segurtasun neurriak ez betetzea, betiere egintza horiek arrisku egoerak sortzen badituzte”.</w:t>
      </w:r>
    </w:p>
    <w:p w:rsidR="003E6891" w:rsidRDefault="003E6891" w:rsidP="003E6891">
      <w:pPr>
        <w:keepLines/>
        <w:spacing w:after="300" w:line="340" w:lineRule="exact"/>
        <w:ind w:firstLine="567"/>
        <w:jc w:val="both"/>
        <w:rPr>
          <w:rFonts w:ascii="Arial" w:hAnsi="Arial" w:cs="Arial"/>
        </w:rPr>
      </w:pPr>
      <w:r>
        <w:rPr>
          <w:rFonts w:ascii="Arial" w:hAnsi="Arial"/>
        </w:rPr>
        <w:t>“6. Ebakuazioa galarazten duten jarduketak, jendea ebakuatzeko eskatutako baldintzak betetzen ez direnean”.</w:t>
      </w:r>
    </w:p>
    <w:p w:rsidR="003E6891" w:rsidRDefault="003E6891" w:rsidP="003E6891">
      <w:pPr>
        <w:keepLines/>
        <w:spacing w:after="300" w:line="340" w:lineRule="exact"/>
        <w:ind w:firstLine="567"/>
        <w:jc w:val="both"/>
        <w:rPr>
          <w:rFonts w:ascii="Arial" w:hAnsi="Arial" w:cs="Arial"/>
        </w:rPr>
      </w:pPr>
      <w:r>
        <w:rPr>
          <w:rFonts w:ascii="Arial" w:hAnsi="Arial"/>
        </w:rPr>
        <w:t>"8. Agintaritzako agenteei sartzen ez uztea edo sarbidea oztopatzea, zaintza edo ikuskapen lanetan ari direla”.</w:t>
      </w:r>
    </w:p>
    <w:p w:rsidR="00BC40EE" w:rsidRDefault="003E6891" w:rsidP="003E6891">
      <w:pPr>
        <w:keepLines/>
        <w:spacing w:after="300" w:line="340" w:lineRule="exact"/>
        <w:ind w:firstLine="567"/>
        <w:jc w:val="both"/>
        <w:rPr>
          <w:rFonts w:ascii="Arial" w:hAnsi="Arial"/>
        </w:rPr>
      </w:pPr>
      <w:r>
        <w:rPr>
          <w:rFonts w:ascii="Arial" w:hAnsi="Arial"/>
        </w:rPr>
        <w:t>2. 23. artikuluari 21., 22. eta 2</w:t>
      </w:r>
      <w:r w:rsidR="00BC40EE">
        <w:rPr>
          <w:rFonts w:ascii="Arial" w:hAnsi="Arial"/>
        </w:rPr>
        <w:t>3. apartatuak gehitzen zaizkio:</w:t>
      </w:r>
    </w:p>
    <w:p w:rsidR="003E6891" w:rsidRDefault="003E6891" w:rsidP="003E6891">
      <w:pPr>
        <w:keepLines/>
        <w:spacing w:after="300" w:line="340" w:lineRule="exact"/>
        <w:ind w:firstLine="567"/>
        <w:jc w:val="both"/>
        <w:rPr>
          <w:rFonts w:ascii="Arial" w:hAnsi="Arial" w:cs="Arial"/>
        </w:rPr>
      </w:pPr>
      <w:r>
        <w:rPr>
          <w:rFonts w:ascii="Arial" w:hAnsi="Arial"/>
        </w:rPr>
        <w:lastRenderedPageBreak/>
        <w:t>“21. Ebakuazioa oztopatzen duten jarduketak, jendea ebakuatzeko eskatutako baldintzak betetzen ez direnean.</w:t>
      </w:r>
    </w:p>
    <w:p w:rsidR="003E6891" w:rsidRDefault="003E6891" w:rsidP="003E6891">
      <w:pPr>
        <w:keepLines/>
        <w:spacing w:after="300" w:line="340" w:lineRule="exact"/>
        <w:ind w:firstLine="567"/>
        <w:jc w:val="both"/>
        <w:rPr>
          <w:rFonts w:ascii="Arial" w:hAnsi="Arial" w:cs="Arial"/>
        </w:rPr>
      </w:pPr>
      <w:r>
        <w:rPr>
          <w:rFonts w:ascii="Arial" w:hAnsi="Arial"/>
        </w:rPr>
        <w:t>22. Agintaritzako agenteei sarbidea nola edo hala oztopatzea, zaintza edo ikuskapen lanetan ari direla.</w:t>
      </w:r>
    </w:p>
    <w:p w:rsidR="003E6891" w:rsidRDefault="003E6891" w:rsidP="003E6891">
      <w:pPr>
        <w:keepLines/>
        <w:spacing w:after="300" w:line="340" w:lineRule="exact"/>
        <w:ind w:firstLine="567"/>
        <w:jc w:val="both"/>
        <w:rPr>
          <w:rFonts w:ascii="Arial" w:hAnsi="Arial" w:cs="Arial"/>
        </w:rPr>
      </w:pPr>
      <w:r>
        <w:rPr>
          <w:rFonts w:ascii="Arial" w:hAnsi="Arial"/>
        </w:rPr>
        <w:t>23. Arau orokorretan edo administrazio baimenetan ezarritako segurtasun neurriak ez betetzea, betiere larritzat hartzen ez den kasuetan”.</w:t>
      </w:r>
    </w:p>
    <w:p w:rsidR="00012DC5" w:rsidRDefault="003E6891" w:rsidP="003E6891">
      <w:pPr>
        <w:keepLines/>
        <w:spacing w:after="300" w:line="340" w:lineRule="exact"/>
        <w:ind w:firstLine="567"/>
        <w:jc w:val="both"/>
        <w:rPr>
          <w:rFonts w:ascii="Arial" w:hAnsi="Arial"/>
        </w:rPr>
      </w:pPr>
      <w:r>
        <w:rPr>
          <w:rFonts w:ascii="Arial" w:hAnsi="Arial"/>
        </w:rPr>
        <w:t>3. 26. artikuluko 1.a), 2.a) e</w:t>
      </w:r>
      <w:r w:rsidR="00012DC5">
        <w:rPr>
          <w:rFonts w:ascii="Arial" w:hAnsi="Arial"/>
        </w:rPr>
        <w:t>ta 3. apartatuak aldatzen dira.</w:t>
      </w:r>
    </w:p>
    <w:p w:rsidR="003E6891" w:rsidRDefault="003E6891" w:rsidP="00012DC5">
      <w:pPr>
        <w:keepLines/>
        <w:spacing w:after="300" w:line="340" w:lineRule="exact"/>
        <w:ind w:firstLine="567"/>
        <w:jc w:val="both"/>
        <w:rPr>
          <w:rFonts w:ascii="Arial" w:hAnsi="Arial" w:cs="Arial"/>
        </w:rPr>
      </w:pPr>
      <w:r>
        <w:rPr>
          <w:rFonts w:ascii="Arial" w:hAnsi="Arial"/>
        </w:rPr>
        <w:t>1. “a) 6.001etik 60.000 eurora bitarteko isuna”.</w:t>
      </w:r>
    </w:p>
    <w:p w:rsidR="003E6891" w:rsidRDefault="003E6891" w:rsidP="003E6891">
      <w:pPr>
        <w:keepLines/>
        <w:spacing w:after="300" w:line="340" w:lineRule="exact"/>
        <w:ind w:firstLine="567"/>
        <w:jc w:val="both"/>
        <w:rPr>
          <w:rFonts w:ascii="Arial" w:hAnsi="Arial" w:cs="Arial"/>
        </w:rPr>
      </w:pPr>
      <w:r>
        <w:rPr>
          <w:rFonts w:ascii="Arial" w:hAnsi="Arial"/>
        </w:rPr>
        <w:t>2.  “a) 601etik 6.000 eurora bitarteko isuna”.</w:t>
      </w:r>
    </w:p>
    <w:p w:rsidR="003E6891" w:rsidRDefault="003E6891" w:rsidP="003E6891">
      <w:pPr>
        <w:keepLines/>
        <w:spacing w:after="300" w:line="340" w:lineRule="exact"/>
        <w:ind w:firstLine="567"/>
        <w:jc w:val="both"/>
        <w:rPr>
          <w:rFonts w:ascii="Arial" w:hAnsi="Arial" w:cs="Arial"/>
        </w:rPr>
      </w:pPr>
      <w:r>
        <w:rPr>
          <w:rFonts w:ascii="Arial" w:hAnsi="Arial"/>
        </w:rPr>
        <w:t>“3. Arau-hauste arinak 600 eurora bitarteko isunarekin zigortuko dira”.</w:t>
      </w:r>
    </w:p>
    <w:p w:rsidR="00012DC5" w:rsidRDefault="003E6891" w:rsidP="003E6891">
      <w:pPr>
        <w:keepLines/>
        <w:spacing w:after="300" w:line="340" w:lineRule="exact"/>
        <w:ind w:firstLine="567"/>
        <w:jc w:val="both"/>
        <w:rPr>
          <w:rFonts w:ascii="Arial" w:hAnsi="Arial"/>
        </w:rPr>
      </w:pPr>
      <w:r>
        <w:rPr>
          <w:rFonts w:ascii="Arial" w:hAnsi="Arial"/>
        </w:rPr>
        <w:t xml:space="preserve">4. 31. </w:t>
      </w:r>
      <w:r w:rsidR="00012DC5">
        <w:rPr>
          <w:rFonts w:ascii="Arial" w:hAnsi="Arial"/>
        </w:rPr>
        <w:t>artikulu berri bat gehitzen da:</w:t>
      </w:r>
    </w:p>
    <w:p w:rsidR="003E6891" w:rsidRDefault="003E6891" w:rsidP="003E6891">
      <w:pPr>
        <w:keepLines/>
        <w:spacing w:after="300" w:line="340" w:lineRule="exact"/>
        <w:ind w:firstLine="567"/>
        <w:jc w:val="both"/>
        <w:rPr>
          <w:rFonts w:ascii="Arial" w:hAnsi="Arial" w:cs="Arial"/>
        </w:rPr>
      </w:pPr>
      <w:r>
        <w:rPr>
          <w:rFonts w:ascii="Arial" w:hAnsi="Arial"/>
        </w:rPr>
        <w:t>“31. artikulua. Konkurtso-arauak.</w:t>
      </w:r>
    </w:p>
    <w:p w:rsidR="003E6891" w:rsidRDefault="003E6891" w:rsidP="003E6891">
      <w:pPr>
        <w:keepLines/>
        <w:spacing w:after="300" w:line="340" w:lineRule="exact"/>
        <w:ind w:firstLine="567"/>
        <w:jc w:val="both"/>
        <w:rPr>
          <w:rFonts w:ascii="Arial" w:hAnsi="Arial" w:cs="Arial"/>
        </w:rPr>
      </w:pPr>
      <w:r>
        <w:rPr>
          <w:rFonts w:ascii="Arial" w:hAnsi="Arial"/>
        </w:rPr>
        <w:t xml:space="preserve">1. Lege honen edo beste baten bi aginduri edo gehiagori jarraikiz kalifikatzen ahal diren egintzak zehatzeko orduan, arau hauek beteko dira: </w:t>
      </w:r>
    </w:p>
    <w:p w:rsidR="003E6891" w:rsidRDefault="003E6891" w:rsidP="003E6891">
      <w:pPr>
        <w:keepLines/>
        <w:spacing w:after="300" w:line="340" w:lineRule="exact"/>
        <w:ind w:firstLine="360"/>
        <w:jc w:val="both"/>
        <w:rPr>
          <w:rFonts w:ascii="Arial" w:hAnsi="Arial" w:cs="Arial"/>
        </w:rPr>
      </w:pPr>
      <w:r>
        <w:rPr>
          <w:rFonts w:ascii="Arial" w:hAnsi="Arial"/>
        </w:rPr>
        <w:t>a)</w:t>
      </w:r>
      <w:r>
        <w:rPr>
          <w:rFonts w:ascii="Arial" w:hAnsi="Arial"/>
        </w:rPr>
        <w:tab/>
        <w:t>Agindu berezia orokorraren aurretik aplikatuko da.</w:t>
      </w:r>
    </w:p>
    <w:p w:rsidR="003E6891" w:rsidRDefault="003E6891" w:rsidP="003E6891">
      <w:pPr>
        <w:keepLines/>
        <w:spacing w:after="300" w:line="340" w:lineRule="exact"/>
        <w:ind w:firstLine="360"/>
        <w:jc w:val="both"/>
        <w:rPr>
          <w:rFonts w:ascii="Arial" w:hAnsi="Arial" w:cs="Arial"/>
        </w:rPr>
      </w:pPr>
      <w:r>
        <w:rPr>
          <w:rFonts w:ascii="Arial" w:hAnsi="Arial"/>
        </w:rPr>
        <w:t>b)</w:t>
      </w:r>
      <w:r>
        <w:rPr>
          <w:rFonts w:ascii="Arial" w:hAnsi="Arial"/>
        </w:rPr>
        <w:tab/>
        <w:t>Agindu zabalenak edo konplexuenak bere baitan hartuko du hartan dauden arau-hausteak zehatzen dituena.</w:t>
      </w:r>
    </w:p>
    <w:p w:rsidR="003E6891" w:rsidRDefault="003E6891" w:rsidP="003E6891">
      <w:pPr>
        <w:keepLines/>
        <w:spacing w:after="300" w:line="340" w:lineRule="exact"/>
        <w:ind w:firstLine="360"/>
        <w:jc w:val="both"/>
        <w:rPr>
          <w:rFonts w:ascii="Arial" w:hAnsi="Arial" w:cs="Arial"/>
        </w:rPr>
      </w:pPr>
      <w:r>
        <w:rPr>
          <w:rFonts w:ascii="Arial" w:hAnsi="Arial"/>
        </w:rPr>
        <w:t>c)</w:t>
      </w:r>
      <w:r>
        <w:rPr>
          <w:rFonts w:ascii="Arial" w:hAnsi="Arial"/>
        </w:rPr>
        <w:tab/>
        <w:t>Aurreko irizpideak aplikatu ezin direnean, agindu larrienak bazter utziko ditu zehapen txikiagoa ezartzen dutenak.</w:t>
      </w:r>
    </w:p>
    <w:p w:rsidR="003E6891" w:rsidRDefault="003E6891" w:rsidP="003E6891">
      <w:pPr>
        <w:keepLines/>
        <w:spacing w:after="300" w:line="340" w:lineRule="exact"/>
        <w:ind w:firstLine="567"/>
        <w:jc w:val="both"/>
        <w:rPr>
          <w:rFonts w:ascii="Arial" w:hAnsi="Arial" w:cs="Arial"/>
        </w:rPr>
      </w:pPr>
      <w:r>
        <w:rPr>
          <w:rFonts w:ascii="Arial" w:hAnsi="Arial"/>
        </w:rPr>
        <w:t>2. Baldin eta egintza batek bi arau-hauste edo gehiago biltzen baditu, edo horietako bat bitarteko beharrezkoa bada bestea egiteko, zehapenik handiena aplikatzen duen arau-hausteari dagokion jokabidea zehatuko da.</w:t>
      </w:r>
    </w:p>
    <w:p w:rsidR="003E6891" w:rsidRDefault="003E6891" w:rsidP="003E6891">
      <w:pPr>
        <w:keepLines/>
        <w:spacing w:after="300" w:line="340" w:lineRule="exact"/>
        <w:ind w:firstLine="567"/>
        <w:jc w:val="both"/>
        <w:rPr>
          <w:rFonts w:ascii="Arial" w:hAnsi="Arial" w:cs="Arial"/>
        </w:rPr>
      </w:pPr>
      <w:r>
        <w:rPr>
          <w:rFonts w:ascii="Arial" w:hAnsi="Arial"/>
        </w:rPr>
        <w:t>3. Egite edo ez-egite bat aintzat hartu behar baldin bada zehapena graduatzeko irizpide gisa edo arau-haustea kalifikatzeko inguruabar gisa, ezin izanen da arau-hauste independente gisa zehatu”.</w:t>
      </w:r>
    </w:p>
    <w:p w:rsidR="003E6891" w:rsidRDefault="003E6891" w:rsidP="003E6891">
      <w:pPr>
        <w:autoSpaceDE w:val="0"/>
        <w:autoSpaceDN w:val="0"/>
        <w:adjustRightInd w:val="0"/>
        <w:spacing w:after="300" w:line="340" w:lineRule="exact"/>
        <w:ind w:firstLine="567"/>
        <w:jc w:val="both"/>
        <w:rPr>
          <w:rFonts w:ascii="Arial" w:hAnsi="Arial" w:cs="Arial"/>
          <w:b/>
        </w:rPr>
      </w:pPr>
      <w:r>
        <w:lastRenderedPageBreak/>
        <w:t>Hamaseigarren xedapen gehigarria.</w:t>
      </w:r>
      <w:r>
        <w:rPr>
          <w:rFonts w:ascii="Arial" w:hAnsi="Arial"/>
          <w:b/>
        </w:rPr>
        <w:t xml:space="preserve"> </w:t>
      </w:r>
      <w:r>
        <w:rPr>
          <w:rFonts w:ascii="Arial" w:hAnsi="Arial"/>
        </w:rPr>
        <w:t xml:space="preserve">Nekazaritzako finantzaketari buruzko lege-xedapenen testu </w:t>
      </w:r>
      <w:proofErr w:type="spellStart"/>
      <w:r>
        <w:rPr>
          <w:rFonts w:ascii="Arial" w:hAnsi="Arial"/>
        </w:rPr>
        <w:t>bategina</w:t>
      </w:r>
      <w:proofErr w:type="spellEnd"/>
      <w:r>
        <w:rPr>
          <w:rFonts w:ascii="Arial" w:hAnsi="Arial"/>
        </w:rPr>
        <w:t>, otsailaren 16ko 54/1998 Legegintzako Foru Dekretuak onetsitakoa, aldatzea.</w:t>
      </w:r>
    </w:p>
    <w:p w:rsidR="003E6891" w:rsidRDefault="003E6891" w:rsidP="003E6891">
      <w:pPr>
        <w:autoSpaceDE w:val="0"/>
        <w:autoSpaceDN w:val="0"/>
        <w:adjustRightInd w:val="0"/>
        <w:spacing w:after="300" w:line="340" w:lineRule="exact"/>
        <w:ind w:firstLine="567"/>
        <w:jc w:val="both"/>
        <w:rPr>
          <w:rFonts w:ascii="Arial" w:hAnsi="Arial" w:cs="Arial"/>
        </w:rPr>
      </w:pPr>
      <w:r>
        <w:rPr>
          <w:rFonts w:ascii="Arial" w:hAnsi="Arial"/>
        </w:rPr>
        <w:t xml:space="preserve">Nekazaritzako finantzaketari buruzko lege-xedapenen testu </w:t>
      </w:r>
      <w:proofErr w:type="spellStart"/>
      <w:r>
        <w:rPr>
          <w:rFonts w:ascii="Arial" w:hAnsi="Arial"/>
        </w:rPr>
        <w:t>bateginaren</w:t>
      </w:r>
      <w:proofErr w:type="spellEnd"/>
      <w:r>
        <w:rPr>
          <w:rFonts w:ascii="Arial" w:hAnsi="Arial"/>
        </w:rPr>
        <w:t xml:space="preserve"> otsailaren 16ko 54/1998 Legegintzako Foru Dekretuak onetsitakoaren 20. artikuluari 4. apartatua gehitzen zaio.</w:t>
      </w:r>
    </w:p>
    <w:p w:rsidR="003E6891" w:rsidRDefault="003E6891" w:rsidP="003E6891">
      <w:pPr>
        <w:autoSpaceDE w:val="0"/>
        <w:autoSpaceDN w:val="0"/>
        <w:adjustRightInd w:val="0"/>
        <w:spacing w:after="300" w:line="340" w:lineRule="exact"/>
        <w:ind w:firstLine="567"/>
        <w:jc w:val="both"/>
        <w:rPr>
          <w:rFonts w:ascii="Arial" w:hAnsi="Arial" w:cs="Arial"/>
        </w:rPr>
      </w:pPr>
      <w:r>
        <w:rPr>
          <w:rFonts w:ascii="Arial" w:hAnsi="Arial"/>
        </w:rPr>
        <w:t>“4. Nekazariek ordaindu beharreko primen zenbatekoa osatzeko, Nafarroako Foru Komunitateko Administrazioak egiten dituen ekarpenak nekazariei ordainduko zaizkie zuzenean, Diru-laguntzei buruzko azaroaren 17ko 38/2003 Lege Orokorraren 17.2.b) artikuluan ezarritakoari jarraikiz, non diru-laguntzak emateko prozedura finkatzen baita.</w:t>
      </w:r>
    </w:p>
    <w:p w:rsidR="003E6891" w:rsidRDefault="003E6891" w:rsidP="003E6891">
      <w:pPr>
        <w:autoSpaceDE w:val="0"/>
        <w:autoSpaceDN w:val="0"/>
        <w:adjustRightInd w:val="0"/>
        <w:spacing w:after="300" w:line="340" w:lineRule="exact"/>
        <w:ind w:firstLine="567"/>
        <w:jc w:val="both"/>
        <w:rPr>
          <w:rFonts w:ascii="Arial" w:hAnsi="Arial" w:cs="Arial"/>
        </w:rPr>
      </w:pPr>
      <w:r>
        <w:rPr>
          <w:rFonts w:ascii="Arial" w:hAnsi="Arial"/>
        </w:rPr>
        <w:t>Diru-laguntza horiek emateko, beharrezkoa izanen da Nafarroako Aurrekontu Orokorretako kasuan kasuko aurrekontu-aplikazioan kreditu egokia eta behar adinakoa egotea. Dena dela, dagokion aplikazioa handitzen ahalko da onartzen diren betebeharrak berdindu arte”.</w:t>
      </w:r>
    </w:p>
    <w:p w:rsidR="003E6891" w:rsidRDefault="003E6891" w:rsidP="003E6891">
      <w:pPr>
        <w:autoSpaceDE w:val="0"/>
        <w:autoSpaceDN w:val="0"/>
        <w:adjustRightInd w:val="0"/>
        <w:spacing w:after="300" w:line="340" w:lineRule="exact"/>
        <w:ind w:firstLine="567"/>
        <w:jc w:val="both"/>
        <w:rPr>
          <w:rFonts w:ascii="Arial" w:hAnsi="Arial" w:cs="Arial"/>
          <w:b/>
        </w:rPr>
      </w:pPr>
      <w:r>
        <w:rPr>
          <w:rFonts w:ascii="Arial" w:hAnsi="Arial"/>
        </w:rPr>
        <w:t xml:space="preserve">Hamazazpigarren xedapen gehigarria. Nafarroako Nekazaritza Ustiategien Erregistroari buruzko Foru Legearen testu </w:t>
      </w:r>
      <w:proofErr w:type="spellStart"/>
      <w:r>
        <w:rPr>
          <w:rFonts w:ascii="Arial" w:hAnsi="Arial"/>
        </w:rPr>
        <w:t>bategina</w:t>
      </w:r>
      <w:proofErr w:type="spellEnd"/>
      <w:r>
        <w:rPr>
          <w:rFonts w:ascii="Arial" w:hAnsi="Arial"/>
        </w:rPr>
        <w:t xml:space="preserve"> aldatzen da, uztailaren 2ko 150/2002 Legegintzako Foru Dekretuaren bidez onetsia.</w:t>
      </w:r>
    </w:p>
    <w:p w:rsidR="003E6891" w:rsidRDefault="003E6891" w:rsidP="003E6891">
      <w:pPr>
        <w:tabs>
          <w:tab w:val="decimal" w:pos="8460"/>
        </w:tabs>
        <w:spacing w:after="300" w:line="340" w:lineRule="exact"/>
        <w:ind w:firstLine="567"/>
        <w:jc w:val="both"/>
        <w:rPr>
          <w:rFonts w:ascii="Arial" w:hAnsi="Arial" w:cs="Arial"/>
        </w:rPr>
      </w:pPr>
      <w:r>
        <w:rPr>
          <w:rFonts w:ascii="Arial" w:hAnsi="Arial"/>
        </w:rPr>
        <w:t xml:space="preserve">Uztailaren 2ko 150/2002 Legegintzako Foru Dekretuaren bidez onetsitako Nafarroako Nekazaritza </w:t>
      </w:r>
      <w:proofErr w:type="spellStart"/>
      <w:r>
        <w:rPr>
          <w:rFonts w:ascii="Arial" w:hAnsi="Arial"/>
        </w:rPr>
        <w:t>Ustitategien</w:t>
      </w:r>
      <w:proofErr w:type="spellEnd"/>
      <w:r>
        <w:rPr>
          <w:rFonts w:ascii="Arial" w:hAnsi="Arial"/>
        </w:rPr>
        <w:t xml:space="preserve"> Erregistroari buruzko Foru Legearen testu </w:t>
      </w:r>
      <w:proofErr w:type="spellStart"/>
      <w:r>
        <w:rPr>
          <w:rFonts w:ascii="Arial" w:hAnsi="Arial"/>
        </w:rPr>
        <w:t>bateginaren</w:t>
      </w:r>
      <w:proofErr w:type="spellEnd"/>
      <w:r>
        <w:rPr>
          <w:rFonts w:ascii="Arial" w:hAnsi="Arial"/>
        </w:rPr>
        <w:t xml:space="preserve"> artikulu hauek honela idatzita geldituko dira:</w:t>
      </w:r>
    </w:p>
    <w:p w:rsidR="003E6891" w:rsidRDefault="003E6891" w:rsidP="003E6891">
      <w:pPr>
        <w:tabs>
          <w:tab w:val="decimal" w:pos="8460"/>
        </w:tabs>
        <w:spacing w:after="300" w:line="340" w:lineRule="exact"/>
        <w:ind w:firstLine="567"/>
        <w:jc w:val="both"/>
        <w:rPr>
          <w:rFonts w:ascii="Arial" w:hAnsi="Arial" w:cs="Arial"/>
        </w:rPr>
      </w:pPr>
      <w:r>
        <w:rPr>
          <w:rFonts w:ascii="Arial" w:hAnsi="Arial"/>
        </w:rPr>
        <w:t>1. 3. artikuluaren 5. apartatuko b) letra aldatzen da:</w:t>
      </w:r>
    </w:p>
    <w:p w:rsidR="003E6891" w:rsidRDefault="003E6891" w:rsidP="003E6891">
      <w:pPr>
        <w:tabs>
          <w:tab w:val="decimal" w:pos="8460"/>
        </w:tabs>
        <w:spacing w:after="300" w:line="340" w:lineRule="exact"/>
        <w:ind w:firstLine="567"/>
        <w:jc w:val="both"/>
        <w:rPr>
          <w:rFonts w:ascii="Arial" w:hAnsi="Arial" w:cs="Arial"/>
        </w:rPr>
      </w:pPr>
      <w:r>
        <w:rPr>
          <w:rFonts w:ascii="Arial" w:hAnsi="Arial"/>
        </w:rPr>
        <w:t>“b) Urtero, lortzen duen guztirako errentaren gutxienez 100eko 50 ateratzea bere ustiategian egiten duen nekazaritza jardueratik.</w:t>
      </w:r>
    </w:p>
    <w:p w:rsidR="003E6891" w:rsidRDefault="003E6891" w:rsidP="003E6891">
      <w:pPr>
        <w:tabs>
          <w:tab w:val="decimal" w:pos="8460"/>
        </w:tabs>
        <w:spacing w:after="300" w:line="340" w:lineRule="exact"/>
        <w:ind w:firstLine="567"/>
        <w:jc w:val="both"/>
        <w:rPr>
          <w:rFonts w:ascii="Arial" w:hAnsi="Arial" w:cs="Arial"/>
        </w:rPr>
      </w:pPr>
      <w:r>
        <w:rPr>
          <w:rFonts w:ascii="Arial" w:hAnsi="Arial"/>
        </w:rPr>
        <w:t>Nekazaritza errenta gisa hartuko dira nekazaritza kooperatiben edo bestelako nekazaritza sozietateen nahitaezko zein borondatezko funtsei egindako ekarpenengatik jasotako ordainsariak, betiere titularra sozietate horietako jarduneko bazkidea bada”.</w:t>
      </w:r>
    </w:p>
    <w:p w:rsidR="003E6891" w:rsidRDefault="003E6891" w:rsidP="003E6891">
      <w:pPr>
        <w:tabs>
          <w:tab w:val="decimal" w:pos="8460"/>
        </w:tabs>
        <w:spacing w:after="300" w:line="340" w:lineRule="exact"/>
        <w:ind w:firstLine="567"/>
        <w:jc w:val="both"/>
        <w:rPr>
          <w:rFonts w:ascii="Arial" w:hAnsi="Arial" w:cs="Arial"/>
        </w:rPr>
      </w:pPr>
      <w:r>
        <w:rPr>
          <w:rFonts w:ascii="Arial" w:hAnsi="Arial"/>
        </w:rPr>
        <w:t>2. 3. artikuluaren 5. apartatuari e) letra eransten zaio:</w:t>
      </w:r>
    </w:p>
    <w:p w:rsidR="003E6891" w:rsidRDefault="003E6891" w:rsidP="003E6891">
      <w:pPr>
        <w:tabs>
          <w:tab w:val="decimal" w:pos="8460"/>
        </w:tabs>
        <w:spacing w:after="300" w:line="340" w:lineRule="exact"/>
        <w:ind w:firstLine="567"/>
        <w:jc w:val="both"/>
        <w:rPr>
          <w:rFonts w:ascii="Arial" w:hAnsi="Arial" w:cs="Arial"/>
        </w:rPr>
      </w:pPr>
      <w:r>
        <w:rPr>
          <w:rFonts w:ascii="Arial" w:hAnsi="Arial"/>
        </w:rPr>
        <w:lastRenderedPageBreak/>
        <w:t>“e) Nekazaritza jardueretara edo jarduera osagarrietara bideratutako enplegu-bolumena nekazaritzako lan unitate baten erdia edo handiagoa izatea”.</w:t>
      </w:r>
    </w:p>
    <w:p w:rsidR="003E6891" w:rsidRDefault="003E6891" w:rsidP="003E6891">
      <w:pPr>
        <w:tabs>
          <w:tab w:val="decimal" w:pos="8460"/>
        </w:tabs>
        <w:spacing w:after="300" w:line="340" w:lineRule="exact"/>
        <w:ind w:firstLine="567"/>
        <w:jc w:val="both"/>
        <w:rPr>
          <w:rFonts w:ascii="Arial" w:hAnsi="Arial" w:cs="Arial"/>
        </w:rPr>
      </w:pPr>
      <w:r>
        <w:rPr>
          <w:rFonts w:ascii="Arial" w:hAnsi="Arial"/>
        </w:rPr>
        <w:t>3. 10. artikuluaren 1. apartatuko a) eta b) letrak aldatu dira:</w:t>
      </w:r>
    </w:p>
    <w:p w:rsidR="003E6891" w:rsidRDefault="003E6891" w:rsidP="003E6891">
      <w:pPr>
        <w:tabs>
          <w:tab w:val="decimal" w:pos="8460"/>
        </w:tabs>
        <w:spacing w:after="300" w:line="340" w:lineRule="exact"/>
        <w:ind w:firstLine="567"/>
        <w:jc w:val="both"/>
        <w:rPr>
          <w:rFonts w:ascii="Arial" w:hAnsi="Arial" w:cs="Arial"/>
        </w:rPr>
      </w:pPr>
      <w:r>
        <w:rPr>
          <w:rFonts w:ascii="Arial" w:hAnsi="Arial"/>
        </w:rPr>
        <w:t>“a) Ustiategian, gutxienez, nekazaritzako lan unitate bat okupatzea.</w:t>
      </w:r>
    </w:p>
    <w:p w:rsidR="003E6891" w:rsidRDefault="003E6891" w:rsidP="003E6891">
      <w:pPr>
        <w:tabs>
          <w:tab w:val="decimal" w:pos="8460"/>
        </w:tabs>
        <w:spacing w:after="300" w:line="340" w:lineRule="exact"/>
        <w:ind w:firstLine="567"/>
        <w:jc w:val="both"/>
        <w:rPr>
          <w:rFonts w:ascii="Arial" w:hAnsi="Arial" w:cs="Arial"/>
        </w:rPr>
      </w:pPr>
      <w:r>
        <w:rPr>
          <w:rFonts w:ascii="Arial" w:hAnsi="Arial"/>
        </w:rPr>
        <w:t>b) Nekazaritza ustiategitik lortzen den unitateko lan errenta erreferentziazko errentaren 100eko 35 edo handiagoa izatea, eta haren 100eko 120tik beherakoa”.</w:t>
      </w:r>
    </w:p>
    <w:p w:rsidR="003E6891" w:rsidRDefault="003E6891" w:rsidP="003E6891">
      <w:pPr>
        <w:tabs>
          <w:tab w:val="decimal" w:pos="8460"/>
        </w:tabs>
        <w:spacing w:after="300" w:line="340" w:lineRule="exact"/>
        <w:ind w:firstLine="567"/>
        <w:jc w:val="both"/>
        <w:rPr>
          <w:rFonts w:ascii="Arial" w:hAnsi="Arial" w:cs="Arial"/>
        </w:rPr>
      </w:pPr>
      <w:r>
        <w:rPr>
          <w:rFonts w:ascii="Arial" w:hAnsi="Arial"/>
        </w:rPr>
        <w:t>4. 11. artikuluko e) letra aldatzen da:</w:t>
      </w:r>
    </w:p>
    <w:p w:rsidR="003E6891" w:rsidRDefault="003E6891" w:rsidP="003E6891">
      <w:pPr>
        <w:tabs>
          <w:tab w:val="decimal" w:pos="8460"/>
        </w:tabs>
        <w:spacing w:after="300" w:line="340" w:lineRule="exact"/>
        <w:ind w:firstLine="567"/>
        <w:jc w:val="both"/>
        <w:rPr>
          <w:rFonts w:ascii="Arial" w:hAnsi="Arial" w:cs="Arial"/>
        </w:rPr>
      </w:pPr>
      <w:r>
        <w:rPr>
          <w:rFonts w:ascii="Arial" w:hAnsi="Arial"/>
        </w:rPr>
        <w:t>“e) Nekazaritzako elkartze-ustiategian, gutxienez, nekazaritzako lan unitate bat okupatzea, eta unitate bakoitzaren lan errenta erreferentziazko errentaren 100eko 35 edo handiagoa izatea, eta haren 100eko 120tik beherakoa”.</w:t>
      </w:r>
    </w:p>
    <w:p w:rsidR="003E6891" w:rsidRDefault="003E6891" w:rsidP="003E6891">
      <w:pPr>
        <w:tabs>
          <w:tab w:val="decimal" w:pos="8460"/>
        </w:tabs>
        <w:spacing w:after="300" w:line="340" w:lineRule="exact"/>
        <w:ind w:firstLine="567"/>
        <w:jc w:val="both"/>
        <w:rPr>
          <w:rFonts w:ascii="Arial" w:hAnsi="Arial" w:cs="Arial"/>
        </w:rPr>
      </w:pPr>
      <w:r>
        <w:rPr>
          <w:rFonts w:ascii="Arial" w:hAnsi="Arial"/>
        </w:rPr>
        <w:t>5. Xedapen iragankor bat eransten da, bosgarrena, honako testu hau duena:</w:t>
      </w:r>
    </w:p>
    <w:p w:rsidR="003E6891" w:rsidRDefault="00D90741" w:rsidP="003E6891">
      <w:pPr>
        <w:tabs>
          <w:tab w:val="decimal" w:pos="8460"/>
        </w:tabs>
        <w:spacing w:after="300" w:line="340" w:lineRule="exact"/>
        <w:ind w:firstLine="567"/>
        <w:jc w:val="both"/>
        <w:rPr>
          <w:rFonts w:ascii="Arial" w:hAnsi="Arial" w:cs="Arial"/>
        </w:rPr>
      </w:pPr>
      <w:r>
        <w:rPr>
          <w:rFonts w:ascii="Arial" w:hAnsi="Arial"/>
        </w:rPr>
        <w:t>“Bosgarren xedapen iragankorra.</w:t>
      </w:r>
    </w:p>
    <w:p w:rsidR="003E6891" w:rsidRDefault="003E6891" w:rsidP="003E6891">
      <w:pPr>
        <w:spacing w:before="240" w:line="360" w:lineRule="auto"/>
        <w:ind w:firstLine="567"/>
        <w:jc w:val="both"/>
        <w:rPr>
          <w:rFonts w:ascii="Arial" w:hAnsi="Arial" w:cs="Arial"/>
        </w:rPr>
      </w:pPr>
      <w:r>
        <w:rPr>
          <w:rFonts w:ascii="Arial" w:hAnsi="Arial"/>
        </w:rPr>
        <w:t>2018rako Nafarroako Aurrekontu Orokorrei buruzko Foru Legearen hamaseigarren xedapen gehigarrian xedatutakoa ez da aplikatuko foru legeak indarra hartzen duen egunerako onetsita eta argitaratuta dauden oinarri arautzaileak dituzten laguntza deialdietan”.</w:t>
      </w:r>
    </w:p>
    <w:p w:rsidR="003E6891" w:rsidRDefault="003E6891" w:rsidP="003E6891">
      <w:pPr>
        <w:spacing w:after="300" w:line="340" w:lineRule="exact"/>
        <w:ind w:firstLine="567"/>
        <w:jc w:val="both"/>
        <w:rPr>
          <w:rFonts w:ascii="Arial" w:hAnsi="Arial" w:cs="Arial"/>
        </w:rPr>
      </w:pPr>
      <w:r>
        <w:rPr>
          <w:rFonts w:ascii="Arial" w:hAnsi="Arial"/>
          <w:b/>
        </w:rPr>
        <w:t>Hemezortzigarren xedapen gehigarria.</w:t>
      </w:r>
      <w:r>
        <w:rPr>
          <w:rFonts w:ascii="Arial" w:hAnsi="Arial"/>
        </w:rPr>
        <w:t xml:space="preserve"> </w:t>
      </w:r>
      <w:r>
        <w:rPr>
          <w:rFonts w:ascii="Arial" w:hAnsi="Arial"/>
          <w:iCs/>
        </w:rPr>
        <w:t>Administrazioan sartzeko edo bertako lanpostuak betetzeko hautapen prozesuetarako dokumentazioa telematikoki aurkeztea.</w:t>
      </w:r>
    </w:p>
    <w:p w:rsidR="003E6891" w:rsidRDefault="003E6891" w:rsidP="003E6891">
      <w:pPr>
        <w:spacing w:after="300" w:line="340" w:lineRule="exact"/>
        <w:ind w:firstLine="567"/>
        <w:jc w:val="both"/>
        <w:rPr>
          <w:rFonts w:ascii="Arial" w:hAnsi="Arial" w:cs="Arial"/>
        </w:rPr>
      </w:pPr>
      <w:r>
        <w:rPr>
          <w:rFonts w:ascii="Arial" w:hAnsi="Arial"/>
        </w:rPr>
        <w:t>Nafarroako administrazio publikoei ahalmena ematen zaie Administrazioan sartzeko edo bertako lanpostuak betetzeko hautapen prozesuen deialdietako eskabideak eta gainerako dokumentazioa baliabide elektronikoen bidez aurkez daitezela eskatzeko.</w:t>
      </w:r>
    </w:p>
    <w:p w:rsidR="003E6891" w:rsidRDefault="003E6891" w:rsidP="003E6891">
      <w:pPr>
        <w:spacing w:after="300" w:line="340" w:lineRule="exact"/>
        <w:ind w:firstLine="567"/>
        <w:jc w:val="both"/>
        <w:rPr>
          <w:rFonts w:ascii="Arial" w:hAnsi="Arial" w:cs="Arial"/>
        </w:rPr>
      </w:pPr>
      <w:r>
        <w:rPr>
          <w:rFonts w:ascii="Arial" w:hAnsi="Arial"/>
          <w:b/>
        </w:rPr>
        <w:t>Hemeretzigarren xedapen gehigarria.</w:t>
      </w:r>
      <w:r>
        <w:rPr>
          <w:rFonts w:ascii="Arial" w:hAnsi="Arial"/>
        </w:rPr>
        <w:t xml:space="preserve"> </w:t>
      </w:r>
      <w:proofErr w:type="spellStart"/>
      <w:r>
        <w:rPr>
          <w:rFonts w:ascii="Arial" w:hAnsi="Arial"/>
        </w:rPr>
        <w:t>Osasunbidea-Nafarroako</w:t>
      </w:r>
      <w:proofErr w:type="spellEnd"/>
      <w:r>
        <w:rPr>
          <w:rFonts w:ascii="Arial" w:hAnsi="Arial"/>
        </w:rPr>
        <w:t xml:space="preserve"> Osasun Zerbitzuari atxikitako langileen berariazko erregimenari buruzko urriaren 20ko 11/1992 Foru Legearen 10. artikuluko 4.b) apartatuaren aldaketa.</w:t>
      </w:r>
    </w:p>
    <w:p w:rsidR="003E6891" w:rsidRDefault="00351857" w:rsidP="00656CDD">
      <w:pPr>
        <w:pStyle w:val="DICTA-ENMIENDA"/>
      </w:pPr>
      <w:r>
        <w:tab/>
      </w:r>
      <w:r>
        <w:tab/>
        <w:t>Urriaren 20ko 11/1992 Foru Legearen 10. artikuluko 4.b) apartatua aldatzen da. Honela gelditu da:</w:t>
      </w:r>
    </w:p>
    <w:p w:rsidR="00656CDD" w:rsidRDefault="00D90741" w:rsidP="003E6891">
      <w:pPr>
        <w:spacing w:after="300" w:line="340" w:lineRule="exact"/>
        <w:ind w:firstLine="567"/>
        <w:jc w:val="both"/>
        <w:rPr>
          <w:rFonts w:ascii="Arial" w:hAnsi="Arial" w:cs="Arial"/>
        </w:rPr>
      </w:pPr>
      <w:r>
        <w:rPr>
          <w:rFonts w:ascii="Arial" w:hAnsi="Arial"/>
        </w:rPr>
        <w:lastRenderedPageBreak/>
        <w:t>“b) Aurreko letran ezarritakotik salbuetsita geldituko dira zerbitzuburu, atalburu, arlo klinikoko buru eta oinarrizko osasun laguntzako taldeetako buru diren fakultatibo espezialistak, horiek dedikazio esklusiboko araubidean eman beharko baitute zerbitzua, irakaskuntzaren edo ikerkuntzaren esparruetan jarduteko salbuespenarekin”.</w:t>
      </w:r>
    </w:p>
    <w:p w:rsidR="00413797" w:rsidRPr="00A470DA" w:rsidRDefault="00413797" w:rsidP="00131744">
      <w:pPr>
        <w:pStyle w:val="DICTA-ENMIENDA"/>
        <w:rPr>
          <w:rFonts w:cs="Arial"/>
        </w:rPr>
      </w:pPr>
      <w:r>
        <w:rPr>
          <w:b/>
        </w:rPr>
        <w:tab/>
      </w:r>
      <w:r>
        <w:rPr>
          <w:b/>
        </w:rPr>
        <w:tab/>
        <w:t>Hogeigarren xedapen gehigarria.</w:t>
      </w:r>
      <w:r>
        <w:t xml:space="preserve"> Gizarte Politiketako kontseilariaren urtarrilaren 18ko 62/2013 Foru Agindua aldatzen da. Foru agindu horren bidez mendekotasuna dutenentzako laguntzaren arloko hainbat prestazio eta zerbitzuren arteko bateragarritasun araubidea ezarri zen eta mendekotasuna duten pertsonak etxean gelditu eta haien zaintzaileei sostengua emateko laguntza ekonomikoak arautu ziren.</w:t>
      </w:r>
    </w:p>
    <w:p w:rsidR="00413797" w:rsidRPr="00A470DA" w:rsidRDefault="00413797" w:rsidP="00131744">
      <w:pPr>
        <w:pStyle w:val="DICTA-TEXTO"/>
      </w:pPr>
      <w:r>
        <w:t>Bat.- Aipatu foru aginduaren 5. eta 6. artikuluak horrela geratzen dira idatzita:</w:t>
      </w:r>
    </w:p>
    <w:p w:rsidR="00413797" w:rsidRPr="00A470DA" w:rsidRDefault="00413797" w:rsidP="00131744">
      <w:pPr>
        <w:pStyle w:val="DICTA-TEXTO"/>
      </w:pPr>
      <w:r>
        <w:t>“5. artikulua. Diru-laguntzak jasotzeko baldintzak.</w:t>
      </w:r>
    </w:p>
    <w:p w:rsidR="00413797" w:rsidRPr="00A470DA" w:rsidRDefault="00413797" w:rsidP="00131744">
      <w:pPr>
        <w:pStyle w:val="DICTA-TEXTO"/>
      </w:pPr>
      <w:r>
        <w:t>Foru agindu honetan ezarritako laguntzak eskuratu ahal izateko baldintza batzuk bildu beharko dira eskabidea aurkezten den unean, eta laguntza jasotzen den aldian mantendu. Baldintzak, gizarte zerbitzu orokorren zorroaren I. eranskineko B letrako 24 zenbakian agertzen direnez gain, honako hauek dira:</w:t>
      </w:r>
    </w:p>
    <w:p w:rsidR="00413797" w:rsidRPr="00A470DA" w:rsidRDefault="00413797" w:rsidP="00131744">
      <w:pPr>
        <w:pStyle w:val="DICTA-TEXTO"/>
      </w:pPr>
      <w:r>
        <w:t xml:space="preserve">a) Familia-inguruneko zaintza jasotzen egotea. </w:t>
      </w:r>
    </w:p>
    <w:p w:rsidR="00413797" w:rsidRPr="00A470DA" w:rsidRDefault="00413797" w:rsidP="00131744">
      <w:pPr>
        <w:pStyle w:val="DICTA-TEXTO"/>
      </w:pPr>
      <w:r>
        <w:t>b) Pertsona bat izendatzea zaintzaile nagusi, zeinak zaintza egokiaren ardura hartu beharko duen, ezertan ukatu gabe zaintza horretan beste zaintzaile batzuen laguntza edukitzea, mendetasun-egoeran dagoen pertsona etxebizitzaz aldatuta, edo aldatu gabe.</w:t>
      </w:r>
    </w:p>
    <w:p w:rsidR="00413797" w:rsidRPr="00A470DA" w:rsidRDefault="00413797" w:rsidP="00131744">
      <w:pPr>
        <w:pStyle w:val="DICTA-TEXTO"/>
      </w:pPr>
      <w:r>
        <w:t>c) Egoitza batean modu iraunkorrean ingresatuta ez egotea.</w:t>
      </w:r>
    </w:p>
    <w:p w:rsidR="00413797" w:rsidRPr="00A470DA" w:rsidRDefault="00413797" w:rsidP="00131744">
      <w:pPr>
        <w:pStyle w:val="DICTA-TEXTO"/>
      </w:pPr>
      <w:r>
        <w:t xml:space="preserve">Modu iraunkorrean ingresatuta dagoela ulertzen da zentroa pertsonaren benetako egoitza bada hiru hilabetetik gora, bertan jasoz ostatua, mantenua eta </w:t>
      </w:r>
      <w:proofErr w:type="spellStart"/>
      <w:r>
        <w:t>habilitazio</w:t>
      </w:r>
      <w:proofErr w:type="spellEnd"/>
      <w:r>
        <w:t xml:space="preserve"> edo errehabilitazioko jarduera espezializatuak, pertsona bakoitzaren ezaugarriak kontuan hartuta.</w:t>
      </w:r>
    </w:p>
    <w:p w:rsidR="00413797" w:rsidRPr="00A470DA" w:rsidRDefault="00413797" w:rsidP="00131744">
      <w:pPr>
        <w:pStyle w:val="DICTA-TEXTO"/>
      </w:pPr>
      <w:r>
        <w:t xml:space="preserve"> Salbuetsita egonen dira egoitzan aldi baterako egonaldiak egiteko zerbitzuak. Izan ere, zerbitzu horiek eratu dira egoera iragankor batzuei erantzuteko, bai zaintzaile nagusiaren aldetik (gaixotasuna, ospitaleratzea edo bestelako beharrizan </w:t>
      </w:r>
      <w:r>
        <w:lastRenderedPageBreak/>
        <w:t xml:space="preserve">edo betebehar pertsonalak) bai erabiltzailearen aldetik (ebakuntza kirurgiko batetik sendatzea, gaixotasun larria, susperraldiko aldi baterako </w:t>
      </w:r>
      <w:proofErr w:type="spellStart"/>
      <w:r>
        <w:t>ingresoak</w:t>
      </w:r>
      <w:proofErr w:type="spellEnd"/>
      <w:r>
        <w:t xml:space="preserve">), beti ere bertako egonaldia bada egun betetik hogeita hamarrera bitartekoa zaintzailearen atsedenagatik eta hiru hilabetera bitartekoa onuradunaren indarberritzeagatik </w:t>
      </w:r>
      <w:proofErr w:type="spellStart"/>
      <w:r>
        <w:t>edo/eta</w:t>
      </w:r>
      <w:proofErr w:type="spellEnd"/>
      <w:r>
        <w:t xml:space="preserve"> zaintzailearen ospitaleratzeagatik.</w:t>
      </w:r>
    </w:p>
    <w:p w:rsidR="00413797" w:rsidRPr="00A470DA" w:rsidRDefault="00413797" w:rsidP="00131744">
      <w:pPr>
        <w:pStyle w:val="DICTA-TEXTO"/>
      </w:pPr>
      <w:r>
        <w:t>d) Pertsona bizi den etxebizitzak gutxieneko baldintzak betetzea bizigarritasunaren eta irisgarritasunaren aldetik, norberaren zaintza zuzen garatu ahal izateko.</w:t>
      </w:r>
    </w:p>
    <w:p w:rsidR="00413797" w:rsidRPr="00A470DA" w:rsidRDefault="00413797" w:rsidP="00131744">
      <w:pPr>
        <w:pStyle w:val="DICTA-TEXTO"/>
      </w:pPr>
      <w:r>
        <w:t>6 artikulua. Zaintzaileen egokitasuna.</w:t>
      </w:r>
    </w:p>
    <w:p w:rsidR="00413797" w:rsidRPr="00A470DA" w:rsidRDefault="00413797" w:rsidP="00131744">
      <w:pPr>
        <w:pStyle w:val="DICTA-TEXTO"/>
      </w:pPr>
      <w:r>
        <w:t>1. Zaintzaileek honako baldintza hauek bete beharko dituzte:</w:t>
      </w:r>
    </w:p>
    <w:p w:rsidR="00413797" w:rsidRPr="00A470DA" w:rsidRDefault="00413797" w:rsidP="00131744">
      <w:pPr>
        <w:pStyle w:val="DICTA-TEXTO"/>
      </w:pPr>
      <w:r>
        <w:t xml:space="preserve">a) Hirugarren mailara bitarteko ahaidea izatea. </w:t>
      </w:r>
    </w:p>
    <w:p w:rsidR="00413797" w:rsidRPr="00A470DA" w:rsidRDefault="00413797" w:rsidP="00131744">
      <w:pPr>
        <w:pStyle w:val="DICTA-TEXTO"/>
      </w:pPr>
      <w:r>
        <w:t xml:space="preserve">Familia-harremanaren gisa bereko egoeratzat hartuko dira izatezko bikoteak, tutoreak eta </w:t>
      </w:r>
      <w:proofErr w:type="spellStart"/>
      <w:r>
        <w:t>administratiboki</w:t>
      </w:r>
      <w:proofErr w:type="spellEnd"/>
      <w:r>
        <w:t xml:space="preserve"> edo judizialki izendatutako pertsonak, harrera-eginkizunak dituztenak.</w:t>
      </w:r>
    </w:p>
    <w:p w:rsidR="00413797" w:rsidRPr="00A470DA" w:rsidRDefault="00413797" w:rsidP="00131744">
      <w:pPr>
        <w:pStyle w:val="DICTA-TEXTO"/>
      </w:pPr>
      <w:r>
        <w:t>b) Zaintza eta laguntzako eginkizunetan aritzeko behar den gaitasun fisiko eta psikikoa izatea.</w:t>
      </w:r>
    </w:p>
    <w:p w:rsidR="00413797" w:rsidRPr="00A470DA" w:rsidRDefault="00413797" w:rsidP="00131744">
      <w:pPr>
        <w:pStyle w:val="DICTA-TEXTO"/>
      </w:pPr>
      <w:r>
        <w:t>Mendetasun egoera aitortua duten pertsonak ezin izanen dira mendetasun egoeran dagoen beste baten zaintzaile nagusi izan, non eta ez duten laguntza osagarririk.</w:t>
      </w:r>
    </w:p>
    <w:p w:rsidR="00413797" w:rsidRPr="00A470DA" w:rsidRDefault="00413797" w:rsidP="00131744">
      <w:pPr>
        <w:pStyle w:val="DICTA-TEXTO"/>
      </w:pPr>
      <w:r>
        <w:t>2. Aurreko apartatuko a) letran aurreikusten den baldintza betetzea salbuetsiko da baldin eta mendetasun egoeran dagoen pertsonak ez badu gainerako baldintzak betetzen dituen hirugarren mailara bitarteko ahaiderik, eta hirugarren pertsonen laguntza behar badu bere ingurunean gelditzeko</w:t>
      </w:r>
      <w:r w:rsidR="005E392A">
        <w:t>”.</w:t>
      </w:r>
    </w:p>
    <w:p w:rsidR="00413797" w:rsidRPr="00A470DA" w:rsidRDefault="00413797" w:rsidP="00131744">
      <w:pPr>
        <w:pStyle w:val="DICTA-TEXTO"/>
      </w:pPr>
      <w:r>
        <w:rPr>
          <w:u w:val="single"/>
        </w:rPr>
        <w:t>Bi.</w:t>
      </w:r>
      <w:r>
        <w:t xml:space="preserve"> Edukirik gabe uztea Gizarte Politiketako kontseilariaren urtarrilaren 18ko 62/2013 Foru Aginduaren 7. artikulua.</w:t>
      </w:r>
    </w:p>
    <w:p w:rsidR="00413797" w:rsidRPr="00A470DA" w:rsidRDefault="00413797" w:rsidP="00131744">
      <w:pPr>
        <w:pStyle w:val="DICTA-TEXTO"/>
      </w:pPr>
      <w:r>
        <w:t>Hiru. Aldatutako foru aginduaren babesean emandako laguntzei xedapen gehigarri honetan aurreikusitakoa aplikatuko zaie.</w:t>
      </w:r>
    </w:p>
    <w:p w:rsidR="00413797" w:rsidRDefault="00413797" w:rsidP="00131744">
      <w:pPr>
        <w:pStyle w:val="DICTA-TEXTO"/>
      </w:pPr>
      <w:r>
        <w:rPr>
          <w:u w:val="single"/>
        </w:rPr>
        <w:lastRenderedPageBreak/>
        <w:t>Lau</w:t>
      </w:r>
      <w:r>
        <w:t>. Aldaketa honek ez dakar foru aginduaren maila aldatzea. Maila hori gaian eskumena duen kontseilariak aldatu ahal izanen du.</w:t>
      </w:r>
    </w:p>
    <w:p w:rsidR="002F4524" w:rsidRPr="002F4524" w:rsidRDefault="002F4524" w:rsidP="002F4524">
      <w:pPr>
        <w:pStyle w:val="DICTA-TEXTO"/>
      </w:pPr>
      <w:r>
        <w:rPr>
          <w:b/>
        </w:rPr>
        <w:t xml:space="preserve">Hogeita batgarren xedapen gehigarria. </w:t>
      </w:r>
      <w:r>
        <w:t>Aldi baterako kontratupeko fakultatibo espezialisten eta medikuen esklusibotasun araubidea.</w:t>
      </w:r>
    </w:p>
    <w:p w:rsidR="002F4524" w:rsidRPr="002F4524" w:rsidRDefault="002F4524" w:rsidP="002F4524">
      <w:pPr>
        <w:pStyle w:val="DICTA-TEXTO"/>
      </w:pPr>
      <w:r>
        <w:t xml:space="preserve">2018an, </w:t>
      </w:r>
      <w:proofErr w:type="spellStart"/>
      <w:r>
        <w:t>Osasunbidea-Nafarroako</w:t>
      </w:r>
      <w:proofErr w:type="spellEnd"/>
      <w:r>
        <w:t xml:space="preserve"> Osasun Zerbitzuari atxikitako langileen araubide berezia arautzen duen 11/1992 Foru Legeko A.1 eta A.2.5 estamentuetako langileen aldi baterako kontratazioa dedikazio esklusiboaren araubideaz bestelako batean eginen da. Hartara, kontratatutako profesionalak aukera izanen du bestelako araubide hori hautatzeko, kontratazioaren lehen egunetik hasita, hala nahi badu. Salbuespeneko neurri hori aplikatuko da betetzen zailak diren espezialitate eta lanpostuetan; zerbitzuak hori justifikatzen duen txostena egin beharko du aldez aurretik, eta kontratuek urtebetetik beherakoak eta lanaldi partzialekoak izan beharko dute.</w:t>
      </w:r>
    </w:p>
    <w:p w:rsidR="00413797" w:rsidRDefault="00413797" w:rsidP="00413797">
      <w:pPr>
        <w:pStyle w:val="DICTA-ENMIENDA"/>
      </w:pPr>
      <w:r>
        <w:rPr>
          <w:b/>
        </w:rPr>
        <w:tab/>
      </w:r>
      <w:r>
        <w:rPr>
          <w:b/>
        </w:rPr>
        <w:tab/>
        <w:t xml:space="preserve">Hogeita bigarren xedapen gehigarria. </w:t>
      </w:r>
      <w:r>
        <w:t xml:space="preserve">Osasun-zerbitzuetako langileen </w:t>
      </w:r>
      <w:proofErr w:type="spellStart"/>
      <w:r>
        <w:t>subrogazioa</w:t>
      </w:r>
      <w:proofErr w:type="spellEnd"/>
      <w:r>
        <w:t>.</w:t>
      </w:r>
    </w:p>
    <w:p w:rsidR="00413797" w:rsidRPr="00131744" w:rsidRDefault="00413797" w:rsidP="00131744">
      <w:pPr>
        <w:pStyle w:val="DICTA-ENMIENDA"/>
      </w:pPr>
      <w:r>
        <w:tab/>
      </w:r>
      <w:r>
        <w:tab/>
        <w:t xml:space="preserve">Baldin eta pertsonei zuzeneko arreta emateko interes orokorreko osasun-zerbitzuak 2018an zuzenean kudeatzen badira, zerbitzu horiek ematen ari ziren enpresetako langileak </w:t>
      </w:r>
      <w:proofErr w:type="spellStart"/>
      <w:r>
        <w:t>subrogatu</w:t>
      </w:r>
      <w:proofErr w:type="spellEnd"/>
      <w:r>
        <w:t xml:space="preserve"> eginen dira, beren borondatez hala onartzen badute, Foru Komunitateko Administrazioko langileentzat ezarritako baldintza beretan </w:t>
      </w:r>
      <w:proofErr w:type="spellStart"/>
      <w:r>
        <w:t>subrogatu</w:t>
      </w:r>
      <w:proofErr w:type="spellEnd"/>
      <w:r>
        <w:t xml:space="preserve"> ere, eta lanpostuan mantenduko dira harik eta lanpostuak berdintasun, merezimendu eta gaitasun printzipioekin bat oposizio-lehiaketa bidez edo oposizio bidez betetzen diren arte.</w:t>
      </w:r>
    </w:p>
    <w:p w:rsidR="00413797" w:rsidRPr="007B537A" w:rsidRDefault="00413797" w:rsidP="00413797">
      <w:pPr>
        <w:pStyle w:val="DICTA-ENMIENDA"/>
      </w:pPr>
      <w:r>
        <w:tab/>
      </w:r>
      <w:r>
        <w:tab/>
      </w:r>
      <w:r>
        <w:rPr>
          <w:b/>
        </w:rPr>
        <w:t xml:space="preserve">Hogeita hirugarren xedapen gehigarria. </w:t>
      </w:r>
      <w:r>
        <w:t>Funts-mugimenduak.</w:t>
      </w:r>
    </w:p>
    <w:p w:rsidR="00413797" w:rsidRPr="00656CDD" w:rsidRDefault="00413797" w:rsidP="00413797">
      <w:pPr>
        <w:pStyle w:val="DICTA-ENMIENDA"/>
      </w:pPr>
      <w:r>
        <w:tab/>
      </w:r>
      <w:r>
        <w:tab/>
      </w:r>
      <w:proofErr w:type="spellStart"/>
      <w:r>
        <w:t>Osasunbidea-Nafarroako</w:t>
      </w:r>
      <w:proofErr w:type="spellEnd"/>
      <w:r>
        <w:t xml:space="preserve"> Osasun Zerbitzuan zerbitzuen internalizazioa finantzatzera bideratutako aurrekontu-partidak, edo horiek behar bezala finantzatzeko gaitu beharko liratekeenak, funts-mugimenduen bidez handitzen ahalko dira, eta funts-mugimendu horiei ez zaizkie aplikatuko Nafarroako Ogasun Publikoari buruzko apirilaren 4ko 13/2007 Foru Legearen 38. artikuluan eta 44.etik 50.era bitartekoetan ezarritako mugak.</w:t>
      </w:r>
    </w:p>
    <w:p w:rsidR="00413797" w:rsidRDefault="00413797" w:rsidP="00413797">
      <w:pPr>
        <w:pStyle w:val="DICTA-ENMIENDA"/>
      </w:pPr>
      <w:r>
        <w:tab/>
      </w:r>
      <w:r>
        <w:tab/>
      </w:r>
      <w:proofErr w:type="spellStart"/>
      <w:r>
        <w:t>Osasunbidea-Nafarroako</w:t>
      </w:r>
      <w:proofErr w:type="spellEnd"/>
      <w:r>
        <w:t xml:space="preserve"> Osasun Zerbitzuko zuzendari kudeatzaileak izanen du funts-mugimendu horiek baimentzeko eskumena.</w:t>
      </w:r>
    </w:p>
    <w:p w:rsidR="003E6891" w:rsidRDefault="003E6891" w:rsidP="003E6891">
      <w:pPr>
        <w:keepLines/>
        <w:spacing w:after="300" w:line="340" w:lineRule="exact"/>
        <w:ind w:firstLine="567"/>
        <w:jc w:val="both"/>
        <w:rPr>
          <w:rFonts w:ascii="Arial" w:hAnsi="Arial" w:cs="Arial"/>
        </w:rPr>
      </w:pPr>
      <w:r>
        <w:rPr>
          <w:rFonts w:ascii="Arial" w:hAnsi="Arial"/>
        </w:rPr>
        <w:lastRenderedPageBreak/>
        <w:t>Hogeita laugarren xedapen gehigarria. Nafarroako Foru Komunitateko Administrazioari buruzko abenduaren 3ko 15/2004 Foru Legea aldatzea.</w:t>
      </w:r>
    </w:p>
    <w:p w:rsidR="003E6891" w:rsidRDefault="003E6891" w:rsidP="003E6891">
      <w:pPr>
        <w:tabs>
          <w:tab w:val="decimal" w:pos="8460"/>
        </w:tabs>
        <w:spacing w:after="300" w:line="340" w:lineRule="exact"/>
        <w:ind w:firstLine="567"/>
        <w:jc w:val="both"/>
        <w:rPr>
          <w:rFonts w:ascii="Arial" w:hAnsi="Arial" w:cs="Arial"/>
        </w:rPr>
      </w:pPr>
      <w:r>
        <w:rPr>
          <w:rFonts w:ascii="Arial" w:hAnsi="Arial"/>
        </w:rPr>
        <w:t>Nafarroako Foru Komunitateko Administrazioari buruzko abenduaren 3ko 15/2004 Foru Legearen 74. artikuluaren 1. eta 5. apartatuak aldatu dira, eta aurrerantzean testu hau izanen dute:</w:t>
      </w:r>
    </w:p>
    <w:p w:rsidR="003E6891" w:rsidRDefault="003E6891" w:rsidP="003E6891">
      <w:pPr>
        <w:keepLines/>
        <w:spacing w:after="300" w:line="340" w:lineRule="exact"/>
        <w:ind w:firstLine="567"/>
        <w:jc w:val="both"/>
        <w:rPr>
          <w:rFonts w:ascii="Arial" w:hAnsi="Arial" w:cs="Arial"/>
        </w:rPr>
      </w:pPr>
      <w:r>
        <w:rPr>
          <w:rFonts w:ascii="Arial" w:hAnsi="Arial"/>
        </w:rPr>
        <w:t>"1 Zehapen ahalmena erabiltzeko orduan, prozedura hasteko eskumena duen organoak uste badu behar beste datu badirela arau-haustea arintzat jotzeko, artikulu honetan arautzen den prozedura erraztua izapidetzen ahalko da”.</w:t>
      </w:r>
    </w:p>
    <w:p w:rsidR="00656CDD" w:rsidRPr="00413797" w:rsidRDefault="003E6891" w:rsidP="00413797">
      <w:pPr>
        <w:spacing w:after="300" w:line="340" w:lineRule="exact"/>
        <w:ind w:firstLine="567"/>
        <w:jc w:val="both"/>
        <w:rPr>
          <w:rFonts w:ascii="Arial" w:hAnsi="Arial" w:cs="Arial"/>
        </w:rPr>
      </w:pPr>
      <w:r>
        <w:rPr>
          <w:rFonts w:ascii="Arial" w:hAnsi="Arial"/>
        </w:rPr>
        <w:t xml:space="preserve">“5. Gero, ebazteko eskumena duen organoari igorriko zaio prozedura, hiru eguneko epean ebazpena eman dezan. </w:t>
      </w:r>
      <w:r>
        <w:t>Prozedura hogeita hamar eguneko epean ebatzi beharko da gehienez, prozeduraren izapidetze erraztuaren gaineko erabakia interesdunari jakinarazi eta biharamunetik kontatzen hasita”.</w:t>
      </w:r>
    </w:p>
    <w:p w:rsidR="00656CDD" w:rsidRDefault="00351857" w:rsidP="00656CDD">
      <w:pPr>
        <w:pStyle w:val="DICTA-ENMIENDA"/>
      </w:pPr>
      <w:r>
        <w:tab/>
      </w:r>
      <w:r>
        <w:tab/>
      </w:r>
      <w:r>
        <w:rPr>
          <w:b/>
        </w:rPr>
        <w:t>Hogeita bosgarren xedapen gehigarria.</w:t>
      </w:r>
      <w:r>
        <w:t xml:space="preserve"> Nafarroako Higiezinen Agenteen Erregistroa sortzea.</w:t>
      </w:r>
    </w:p>
    <w:p w:rsidR="00656CDD" w:rsidRPr="00656CDD" w:rsidRDefault="00656CDD" w:rsidP="00656CDD">
      <w:pPr>
        <w:pStyle w:val="DICTA-ENMIENDA"/>
      </w:pPr>
      <w:r>
        <w:tab/>
      </w:r>
      <w:r>
        <w:tab/>
        <w:t xml:space="preserve">Urtebeteko gehieneko epean, Nafarroako Gobernuak Nafarroako Higiezinen Agenteen Erregistroa sortuko du eta erregistro horretan izena emateko baldintzak ezarriko ditu. Erregistroa borondatezkoa, izaera publikokoa eta doakoa izanen da, izaera administratiboa izanen du eta etxebizitzaren arloko departamentu eskudunari atxikirik egonen da. </w:t>
      </w:r>
    </w:p>
    <w:p w:rsidR="00656CDD" w:rsidRDefault="00656CDD" w:rsidP="007B537A">
      <w:pPr>
        <w:pStyle w:val="DICTA-ENMIENDA"/>
      </w:pPr>
      <w:r>
        <w:tab/>
      </w:r>
      <w:r>
        <w:tab/>
        <w:t xml:space="preserve">Horren ondorioetarako, higiezinen agentea izanen da higiezinen arloko bitartekaritza eta aholkularitza zerbitzuak eskuarki eta </w:t>
      </w:r>
      <w:proofErr w:type="spellStart"/>
      <w:r>
        <w:t>kontraprestazio</w:t>
      </w:r>
      <w:proofErr w:type="spellEnd"/>
      <w:r>
        <w:t xml:space="preserve"> baten truke ematen dituen pertsona fisiko edo juridikoa, halako zerbitzutzat joko baitira ondasun higiezinen salerosketa eta errentamendu operazioak, ondasun higiezinak erosteko aukera-operazioak eta horien gaineko eskubideak eratzeko edo lagatzeko operazioak.</w:t>
      </w:r>
    </w:p>
    <w:p w:rsidR="00AB1F94" w:rsidRDefault="00351857" w:rsidP="007B537A">
      <w:pPr>
        <w:pStyle w:val="DICTA-ENMIENDA"/>
      </w:pPr>
      <w:r>
        <w:tab/>
      </w:r>
      <w:r>
        <w:tab/>
      </w:r>
      <w:r>
        <w:rPr>
          <w:b/>
        </w:rPr>
        <w:t>Hogeita seigarren xedapen gehigarria.</w:t>
      </w:r>
      <w:r>
        <w:t xml:space="preserve"> Etxebizitzak zaharberritzeko udal eta eskualdeetako bulegoak.</w:t>
      </w:r>
    </w:p>
    <w:p w:rsidR="00AB1F94" w:rsidRPr="00AB1F94" w:rsidRDefault="00AB1F94" w:rsidP="00AB1F94">
      <w:pPr>
        <w:pStyle w:val="DICTA-ENMIENDA"/>
      </w:pPr>
      <w:r>
        <w:tab/>
      </w:r>
      <w:r>
        <w:tab/>
        <w:t xml:space="preserve">Etxebizitzaren arloko kontseilari eskudunaren foru agindu bidez baimena ematen ahalko da </w:t>
      </w:r>
      <w:proofErr w:type="spellStart"/>
      <w:r>
        <w:t>–Etxebizitzak</w:t>
      </w:r>
      <w:proofErr w:type="spellEnd"/>
      <w:r>
        <w:t xml:space="preserve"> zaharberritzeko udal eta eskualdeetako bulegoen eginkizunak arautu eta haien finantziaziorako laguntzak nola eman xedatzen duen abenduaren 9ko 363/1997 Foru Dekretuan xedatutakoaren arabera finantzatzen </w:t>
      </w:r>
      <w:r>
        <w:lastRenderedPageBreak/>
        <w:t xml:space="preserve">jarraitu ahal izatearen </w:t>
      </w:r>
      <w:proofErr w:type="spellStart"/>
      <w:r>
        <w:t>ondorioetarako–</w:t>
      </w:r>
      <w:proofErr w:type="spellEnd"/>
      <w:r>
        <w:t xml:space="preserve"> aldatzeko zer entitateren mende egon behar duten Etxebizitza babestuaren eskatzaileen zentsua arautzen duen martxoaren 28ko 25/2011 Foru Dekretuaren hamaikagarren xedapen gehigarrian zerrendatuta datozen bulegoek.</w:t>
      </w:r>
    </w:p>
    <w:p w:rsidR="00AB1F94" w:rsidRDefault="00AB1F94" w:rsidP="007B537A">
      <w:pPr>
        <w:pStyle w:val="DICTA-ENMIENDA"/>
      </w:pPr>
      <w:r>
        <w:tab/>
      </w:r>
      <w:r>
        <w:tab/>
        <w:t>Edozein kasutan, entitate horiek toki entitate izan beharko dute, edo horien mendeko nahiz Nafarroako Foru Komunitateko Administrazioaren mendeko sozietate publiko.</w:t>
      </w:r>
    </w:p>
    <w:p w:rsidR="009D6574" w:rsidRDefault="00351857" w:rsidP="001F593F">
      <w:pPr>
        <w:pStyle w:val="DICTA-ENMIENDA"/>
      </w:pPr>
      <w:r>
        <w:tab/>
      </w:r>
      <w:r>
        <w:tab/>
      </w:r>
      <w:r>
        <w:rPr>
          <w:b/>
        </w:rPr>
        <w:t xml:space="preserve">Hogeita zazpigarren xedapen gehigarria. </w:t>
      </w:r>
      <w:r>
        <w:t xml:space="preserve">Lurraldearen Antolamenduari eta Hirigintzari buruzko Foru Legearen testu </w:t>
      </w:r>
      <w:proofErr w:type="spellStart"/>
      <w:r>
        <w:t>bategina</w:t>
      </w:r>
      <w:proofErr w:type="spellEnd"/>
      <w:r>
        <w:t xml:space="preserve"> onesten duen uztailaren 26ko 1/2017 Legegintzako Foru Dekretuaren aldaketa.</w:t>
      </w:r>
    </w:p>
    <w:p w:rsidR="001F593F" w:rsidRPr="00AB1F94" w:rsidRDefault="009D6574" w:rsidP="001F593F">
      <w:pPr>
        <w:pStyle w:val="DICTA-ENMIENDA"/>
      </w:pPr>
      <w:r>
        <w:tab/>
      </w:r>
      <w:r>
        <w:tab/>
        <w:t xml:space="preserve">Lurraldearen Antolamenduari eta Hirigintzari buruzko Foru Legearen testu </w:t>
      </w:r>
      <w:proofErr w:type="spellStart"/>
      <w:r>
        <w:t>bategina</w:t>
      </w:r>
      <w:proofErr w:type="spellEnd"/>
      <w:r>
        <w:t xml:space="preserve"> onesten duen uztailaren 26ko 1/2017 Legegintzako Foru Dekretuaren laugarren xedapen gehigarria aldatzen da, eta honela geldituko da idatzita:</w:t>
      </w:r>
    </w:p>
    <w:p w:rsidR="00AB1F94" w:rsidRPr="00AB1F94" w:rsidRDefault="00AB1F94" w:rsidP="00AB1F94">
      <w:pPr>
        <w:pStyle w:val="DICTA-ENMIENDA"/>
      </w:pPr>
      <w:r>
        <w:tab/>
      </w:r>
      <w:r>
        <w:tab/>
        <w:t>“Laugarren xedapen gehigarria. Planeamenduaren arabera ekipamenduetarako den azalera.</w:t>
      </w:r>
    </w:p>
    <w:p w:rsidR="00AB1F94" w:rsidRDefault="00AB1F94" w:rsidP="007B537A">
      <w:pPr>
        <w:pStyle w:val="DICTA-ENMIENDA"/>
      </w:pPr>
      <w:r>
        <w:t xml:space="preserve"> </w:t>
      </w:r>
      <w:r>
        <w:tab/>
      </w:r>
      <w:r>
        <w:tab/>
        <w:t>Planeamenduan toki zuzkiduretarako gordetako azaleraren 100eko 5 bitarte erabiltzen ahalko dute toki entitateek, horretarako arrazoiak emanez, bertan alokairuaren araubideko etxebizitza babestuak edo erabilera-lagapeneko araubideko etxebizitza babestuak eraikitzeko, foru lege honen 239. artikuluan eta horrekin lotutakoetan aurreikusitako azalera-eskubidearen lagapena baliatuz, edo zuzenbidean onartutako beste edozein bide erabiliz, betiere ziurtatzen bada azalera horrek toki entitatearen ondarekoa izaten jarraituko duela</w:t>
      </w:r>
      <w:r w:rsidR="00012DC5">
        <w:t>”</w:t>
      </w:r>
      <w:r>
        <w:t>.</w:t>
      </w:r>
    </w:p>
    <w:p w:rsidR="00AB1F94" w:rsidRPr="007B537A" w:rsidRDefault="00351857" w:rsidP="007B537A">
      <w:pPr>
        <w:pStyle w:val="DICTA-ENMIENDA"/>
      </w:pPr>
      <w:r>
        <w:tab/>
      </w:r>
      <w:r>
        <w:tab/>
      </w:r>
      <w:r>
        <w:rPr>
          <w:b/>
        </w:rPr>
        <w:t xml:space="preserve">Hogeita zortzigarren xedapen gehigarria. </w:t>
      </w:r>
      <w:r>
        <w:t>Gizarte-entitateekiko itunen finantzaketa.</w:t>
      </w:r>
    </w:p>
    <w:p w:rsidR="00AB1F94" w:rsidRPr="007B537A" w:rsidRDefault="00AB1F94" w:rsidP="00AB1F94">
      <w:pPr>
        <w:pStyle w:val="DICTA-ENMIENDA"/>
      </w:pPr>
      <w:r>
        <w:rPr>
          <w:b/>
        </w:rPr>
        <w:tab/>
      </w:r>
      <w:r>
        <w:rPr>
          <w:b/>
        </w:rPr>
        <w:tab/>
      </w:r>
      <w:r>
        <w:t>“Ondotik aipatzen diren 2018ko ekitaldirako partida izendunetako kredituen bidez finantzatzen ahalko dira Osasunaren eta Gizarte Zerbitzuen arloetako Itun Sozialak arautzen dituen azaroaren 16ko 13/2017 Foru Legearen 5.1 artikuluaren arabera esleitzen diren itunak, baldin eta onuraduna eta esleipen-hartzailea bera badira:</w:t>
      </w:r>
    </w:p>
    <w:p w:rsidR="00AB1F94" w:rsidRPr="007B537A" w:rsidRDefault="00AB1F94" w:rsidP="00AB1F94">
      <w:pPr>
        <w:pStyle w:val="DICTA-ENMIENDA"/>
      </w:pPr>
      <w:r>
        <w:tab/>
      </w:r>
      <w:r>
        <w:tab/>
        <w:t xml:space="preserve">920005 93100 4609 231B00 Leitzako Udalarekiko hitzarmena, </w:t>
      </w:r>
      <w:proofErr w:type="spellStart"/>
      <w:r>
        <w:t>Okile</w:t>
      </w:r>
      <w:proofErr w:type="spellEnd"/>
      <w:r>
        <w:t xml:space="preserve"> lanerako ikastegirako </w:t>
      </w:r>
    </w:p>
    <w:p w:rsidR="00AB1F94" w:rsidRPr="007B537A" w:rsidRDefault="00AB1F94" w:rsidP="00AB1F94">
      <w:pPr>
        <w:pStyle w:val="DICTA-ENMIENDA"/>
      </w:pPr>
      <w:r>
        <w:lastRenderedPageBreak/>
        <w:tab/>
      </w:r>
      <w:r>
        <w:tab/>
        <w:t xml:space="preserve">920005 93100 4709 231B00 </w:t>
      </w:r>
      <w:proofErr w:type="spellStart"/>
      <w:r>
        <w:t>Tasubinsarekiko</w:t>
      </w:r>
      <w:proofErr w:type="spellEnd"/>
      <w:r>
        <w:t xml:space="preserve"> hitzarmena, </w:t>
      </w:r>
      <w:proofErr w:type="spellStart"/>
      <w:r>
        <w:t>desgaitasuna</w:t>
      </w:r>
      <w:proofErr w:type="spellEnd"/>
      <w:r>
        <w:t xml:space="preserve"> duten pertsonentzat dauden lanerako ikastegietarako</w:t>
      </w:r>
    </w:p>
    <w:p w:rsidR="00AB1F94" w:rsidRPr="007B537A" w:rsidRDefault="00AB1F94" w:rsidP="00AB1F94">
      <w:pPr>
        <w:pStyle w:val="DICTA-ENMIENDA"/>
      </w:pPr>
      <w:r>
        <w:tab/>
      </w:r>
      <w:r>
        <w:tab/>
        <w:t xml:space="preserve">920005 93100 4709 231B02 Elkarkiderekiko hitzarmena, </w:t>
      </w:r>
      <w:proofErr w:type="spellStart"/>
      <w:r>
        <w:t>desgaitasuna</w:t>
      </w:r>
      <w:proofErr w:type="spellEnd"/>
      <w:r>
        <w:t xml:space="preserve"> duten pertsonentzat dauden lanerako ikastegietarako </w:t>
      </w:r>
    </w:p>
    <w:p w:rsidR="00AB1F94" w:rsidRPr="007B537A" w:rsidRDefault="00AB1F94" w:rsidP="00AB1F94">
      <w:pPr>
        <w:pStyle w:val="DICTA-ENMIENDA"/>
      </w:pPr>
      <w:r>
        <w:tab/>
      </w:r>
      <w:r>
        <w:tab/>
        <w:t xml:space="preserve">920005 93100 4819 231B02 Itxaropenaren telefonoarentzako diru-laguntza, krisian lagun egitea </w:t>
      </w:r>
    </w:p>
    <w:p w:rsidR="00AB1F94" w:rsidRPr="007B537A" w:rsidRDefault="00AB1F94" w:rsidP="00AB1F94">
      <w:pPr>
        <w:pStyle w:val="DICTA-ENMIENDA"/>
      </w:pPr>
      <w:r>
        <w:tab/>
      </w:r>
      <w:r>
        <w:tab/>
        <w:t xml:space="preserve">920005 93100 4819 231B04 </w:t>
      </w:r>
      <w:proofErr w:type="spellStart"/>
      <w:r>
        <w:t>GIBa</w:t>
      </w:r>
      <w:proofErr w:type="spellEnd"/>
      <w:r>
        <w:t xml:space="preserve"> eta gisako gaixotasunak dituzten gaixoentzako zentroetarako diru-laguntzak, </w:t>
      </w:r>
      <w:proofErr w:type="spellStart"/>
      <w:r>
        <w:t>Zoe</w:t>
      </w:r>
      <w:proofErr w:type="spellEnd"/>
      <w:r>
        <w:t xml:space="preserve"> Etxea </w:t>
      </w:r>
    </w:p>
    <w:p w:rsidR="00AB1F94" w:rsidRPr="007B537A" w:rsidRDefault="00AB1F94" w:rsidP="00AB1F94">
      <w:pPr>
        <w:pStyle w:val="DICTA-ENMIENDA"/>
      </w:pPr>
      <w:r>
        <w:tab/>
      </w:r>
      <w:r>
        <w:tab/>
        <w:t xml:space="preserve">920005 93100 4819 231B05 </w:t>
      </w:r>
      <w:proofErr w:type="spellStart"/>
      <w:r>
        <w:t>FANErekiko</w:t>
      </w:r>
      <w:proofErr w:type="spellEnd"/>
      <w:r>
        <w:t xml:space="preserve"> hitzarmena, garuneko perlesia eta antzeko gaixotasunak dituzten pertsonentzako lanerako zentroetarako </w:t>
      </w:r>
    </w:p>
    <w:p w:rsidR="00AB1F94" w:rsidRPr="007B537A" w:rsidRDefault="00AB1F94" w:rsidP="00AB1F94">
      <w:pPr>
        <w:pStyle w:val="DICTA-ENMIENDA"/>
      </w:pPr>
      <w:r>
        <w:tab/>
      </w:r>
      <w:r>
        <w:tab/>
        <w:t xml:space="preserve">920005 93100 4819 231B06 </w:t>
      </w:r>
      <w:proofErr w:type="spellStart"/>
      <w:r>
        <w:t>El</w:t>
      </w:r>
      <w:proofErr w:type="spellEnd"/>
      <w:r>
        <w:t xml:space="preserve"> </w:t>
      </w:r>
      <w:proofErr w:type="spellStart"/>
      <w:r>
        <w:t>Molinorekiko</w:t>
      </w:r>
      <w:proofErr w:type="spellEnd"/>
      <w:r>
        <w:t xml:space="preserve"> hitzarmena, </w:t>
      </w:r>
      <w:proofErr w:type="spellStart"/>
      <w:r>
        <w:t>desgaitasun</w:t>
      </w:r>
      <w:proofErr w:type="spellEnd"/>
      <w:r>
        <w:t xml:space="preserve"> intelektuala duten pertsonentzako lanerako ikastegirako </w:t>
      </w:r>
    </w:p>
    <w:p w:rsidR="00AB1F94" w:rsidRPr="007B537A" w:rsidRDefault="00AB1F94" w:rsidP="00AB1F94">
      <w:pPr>
        <w:pStyle w:val="DICTA-ENMIENDA"/>
      </w:pPr>
      <w:r>
        <w:tab/>
      </w:r>
      <w:r>
        <w:tab/>
        <w:t xml:space="preserve">920005 93100 4819 231B07 Gure </w:t>
      </w:r>
      <w:proofErr w:type="spellStart"/>
      <w:r>
        <w:t>Sustraiak-ekiko</w:t>
      </w:r>
      <w:proofErr w:type="spellEnd"/>
      <w:r>
        <w:t xml:space="preserve"> hitzarmena, </w:t>
      </w:r>
      <w:proofErr w:type="spellStart"/>
      <w:r>
        <w:t>desgaitasun</w:t>
      </w:r>
      <w:proofErr w:type="spellEnd"/>
      <w:r>
        <w:t xml:space="preserve"> intelektuala duten pertsonentzako lanerako ikastegirako</w:t>
      </w:r>
    </w:p>
    <w:p w:rsidR="00AB1F94" w:rsidRPr="007B537A" w:rsidRDefault="00AB1F94" w:rsidP="00AB1F94">
      <w:pPr>
        <w:pStyle w:val="DICTA-ENMIENDA"/>
      </w:pPr>
      <w:r>
        <w:tab/>
      </w:r>
      <w:r>
        <w:tab/>
        <w:t xml:space="preserve">920005 93100 4819 231B13 Irisgarritasun osorako hitzarmena Eunaterekin </w:t>
      </w:r>
    </w:p>
    <w:p w:rsidR="00AB1F94" w:rsidRPr="007B537A" w:rsidRDefault="00AB1F94" w:rsidP="00AB1F94">
      <w:pPr>
        <w:pStyle w:val="DICTA-ENMIENDA"/>
      </w:pPr>
      <w:r>
        <w:tab/>
      </w:r>
      <w:r>
        <w:tab/>
        <w:t xml:space="preserve">920005 93100 4819 231B19 </w:t>
      </w:r>
      <w:proofErr w:type="spellStart"/>
      <w:r>
        <w:t>CERMINekiko</w:t>
      </w:r>
      <w:proofErr w:type="spellEnd"/>
      <w:r>
        <w:t xml:space="preserve"> hitzarmena </w:t>
      </w:r>
      <w:proofErr w:type="spellStart"/>
      <w:r>
        <w:t>Desgaitasuna</w:t>
      </w:r>
      <w:proofErr w:type="spellEnd"/>
      <w:r>
        <w:t xml:space="preserve"> duten pertsonei laguntza emateko programa </w:t>
      </w:r>
    </w:p>
    <w:p w:rsidR="00AB1F94" w:rsidRPr="007B537A" w:rsidRDefault="00AB1F94" w:rsidP="00AB1F94">
      <w:pPr>
        <w:pStyle w:val="DICTA-ENMIENDA"/>
      </w:pPr>
      <w:r>
        <w:tab/>
      </w:r>
      <w:r>
        <w:tab/>
        <w:t xml:space="preserve">920005 93100 4819 231B21 </w:t>
      </w:r>
      <w:proofErr w:type="spellStart"/>
      <w:r>
        <w:t>ASORNArentzako</w:t>
      </w:r>
      <w:proofErr w:type="spellEnd"/>
      <w:r>
        <w:t xml:space="preserve"> diru-laguntza, pertsona gorren irisgarritasuna sustatzeko </w:t>
      </w:r>
    </w:p>
    <w:p w:rsidR="00AB1F94" w:rsidRPr="007B537A" w:rsidRDefault="00AB1F94" w:rsidP="00AB1F94">
      <w:pPr>
        <w:pStyle w:val="DICTA-ENMIENDA"/>
      </w:pPr>
      <w:r>
        <w:tab/>
      </w:r>
      <w:r>
        <w:tab/>
        <w:t xml:space="preserve">920005 93100 4819 231B38 </w:t>
      </w:r>
      <w:proofErr w:type="spellStart"/>
      <w:r>
        <w:t>Fundación</w:t>
      </w:r>
      <w:proofErr w:type="spellEnd"/>
      <w:r>
        <w:t xml:space="preserve"> </w:t>
      </w:r>
      <w:proofErr w:type="spellStart"/>
      <w:r>
        <w:t>Tutelar</w:t>
      </w:r>
      <w:proofErr w:type="spellEnd"/>
      <w:r>
        <w:t xml:space="preserve"> de Navarrarekiko hitzarmena, </w:t>
      </w:r>
      <w:proofErr w:type="spellStart"/>
      <w:r>
        <w:t>desgaitasun</w:t>
      </w:r>
      <w:proofErr w:type="spellEnd"/>
      <w:r>
        <w:t xml:space="preserve"> intelektuala duten pertsonen tutoretza kudeatzeko </w:t>
      </w:r>
    </w:p>
    <w:p w:rsidR="00AB1F94" w:rsidRDefault="00AB1F94" w:rsidP="007B537A">
      <w:pPr>
        <w:pStyle w:val="DICTA-ENMIENDA"/>
      </w:pPr>
      <w:r>
        <w:tab/>
      </w:r>
      <w:r>
        <w:tab/>
        <w:t xml:space="preserve">920005 93100 4819 231B39 </w:t>
      </w:r>
      <w:proofErr w:type="spellStart"/>
      <w:r>
        <w:t>Down</w:t>
      </w:r>
      <w:proofErr w:type="spellEnd"/>
      <w:r>
        <w:t xml:space="preserve"> Sindromea Elkartearekiko hitzarmena, </w:t>
      </w:r>
      <w:proofErr w:type="spellStart"/>
      <w:r>
        <w:t>desgaitasun</w:t>
      </w:r>
      <w:proofErr w:type="spellEnd"/>
      <w:r>
        <w:t xml:space="preserve"> intelektuala duten pertsonentzako lanerako ikastegirako”.</w:t>
      </w:r>
    </w:p>
    <w:p w:rsidR="00AB1F94" w:rsidRPr="007B537A" w:rsidRDefault="00351857" w:rsidP="007B537A">
      <w:pPr>
        <w:pStyle w:val="DICTA-ENMIENDA"/>
        <w:rPr>
          <w:rFonts w:cs="Arial"/>
          <w:szCs w:val="24"/>
        </w:rPr>
      </w:pPr>
      <w:r>
        <w:tab/>
      </w:r>
      <w:r>
        <w:tab/>
      </w:r>
      <w:r>
        <w:rPr>
          <w:b/>
        </w:rPr>
        <w:t xml:space="preserve">Hogeita bederatzigarren xedapen gehigarria. </w:t>
      </w:r>
      <w:r>
        <w:t>Salerosketa-araubideko etxebizitza babestuak esleitzeko prozeduran parte hartzea Etxebizitza babestuen eskatzaileen zentsuaren bidez.</w:t>
      </w:r>
    </w:p>
    <w:p w:rsidR="00AB1F94" w:rsidRPr="00AB1F94" w:rsidRDefault="00AB1F94" w:rsidP="00AB1F94">
      <w:pPr>
        <w:spacing w:after="300" w:line="340" w:lineRule="exact"/>
        <w:ind w:firstLine="567"/>
        <w:jc w:val="both"/>
        <w:rPr>
          <w:rFonts w:ascii="Arial" w:hAnsi="Arial" w:cs="Arial"/>
        </w:rPr>
      </w:pPr>
      <w:r>
        <w:rPr>
          <w:rFonts w:ascii="Arial" w:hAnsi="Arial"/>
        </w:rPr>
        <w:lastRenderedPageBreak/>
        <w:t>Eskatzaileen zentsuaren bidezko salerosketa-araubideko etxebizitza babestuen esleipen-prozesuan bakarrik parte hartzen ahalko dute sustapen zehatz baterako edo batzuetarako hautua egin duten pertsonek, aldez aurretik azalpen bat emanda egungo sustapenen eskaintzari buruz.</w:t>
      </w:r>
    </w:p>
    <w:p w:rsidR="00AB1F94" w:rsidRDefault="00AB1F94">
      <w:pPr>
        <w:spacing w:after="300" w:line="340" w:lineRule="exact"/>
        <w:ind w:firstLine="567"/>
        <w:jc w:val="both"/>
        <w:rPr>
          <w:rFonts w:ascii="Arial" w:hAnsi="Arial" w:cs="Arial"/>
        </w:rPr>
      </w:pPr>
      <w:r>
        <w:rPr>
          <w:rFonts w:ascii="Arial" w:hAnsi="Arial"/>
        </w:rPr>
        <w:t xml:space="preserve">Nafarroako </w:t>
      </w:r>
      <w:proofErr w:type="spellStart"/>
      <w:r>
        <w:rPr>
          <w:rFonts w:ascii="Arial" w:hAnsi="Arial"/>
        </w:rPr>
        <w:t>Gobernuaari</w:t>
      </w:r>
      <w:proofErr w:type="spellEnd"/>
      <w:r>
        <w:rPr>
          <w:rFonts w:ascii="Arial" w:hAnsi="Arial"/>
        </w:rPr>
        <w:t xml:space="preserve"> esku ematen zaio xedapen honetan xedatutakoa erregelamendu-xedapen bidez aldatzeko.</w:t>
      </w:r>
    </w:p>
    <w:p w:rsidR="003E6891" w:rsidRDefault="003E6891" w:rsidP="003E6891">
      <w:pPr>
        <w:spacing w:after="300" w:line="340" w:lineRule="exact"/>
        <w:ind w:firstLine="567"/>
        <w:jc w:val="both"/>
        <w:rPr>
          <w:rFonts w:ascii="Arial" w:hAnsi="Arial" w:cs="Arial"/>
        </w:rPr>
      </w:pPr>
      <w:r>
        <w:rPr>
          <w:rFonts w:ascii="Arial" w:hAnsi="Arial"/>
          <w:b/>
        </w:rPr>
        <w:t>Lehenengo xedapen iragankorra</w:t>
      </w:r>
      <w:r>
        <w:rPr>
          <w:rFonts w:ascii="Arial" w:hAnsi="Arial"/>
        </w:rPr>
        <w:t xml:space="preserve">. Nafarroako Osasun </w:t>
      </w:r>
      <w:proofErr w:type="spellStart"/>
      <w:r>
        <w:rPr>
          <w:rFonts w:ascii="Arial" w:hAnsi="Arial"/>
        </w:rPr>
        <w:t>Zerbitzua-Osasunbideari</w:t>
      </w:r>
      <w:proofErr w:type="spellEnd"/>
      <w:r>
        <w:rPr>
          <w:rFonts w:ascii="Arial" w:hAnsi="Arial"/>
        </w:rPr>
        <w:t xml:space="preserve"> atxikitako langileen berariazko erregimenari buruzko urriaren 20ko 11/1992 Foru Legearen 10. artikuluaren 4.b) apartatua aldatu izanaren ondorioak.</w:t>
      </w:r>
    </w:p>
    <w:p w:rsidR="003E6891" w:rsidRDefault="00351857" w:rsidP="007B537A">
      <w:pPr>
        <w:pStyle w:val="DICTA-ENMIENDA"/>
      </w:pPr>
      <w:r>
        <w:tab/>
      </w:r>
      <w:r>
        <w:tab/>
        <w:t xml:space="preserve">Nafarroako Osasun </w:t>
      </w:r>
      <w:proofErr w:type="spellStart"/>
      <w:r>
        <w:t>Zerbitzua-Osasunbideari</w:t>
      </w:r>
      <w:proofErr w:type="spellEnd"/>
      <w:r>
        <w:t xml:space="preserve"> atxikitako langileen berariazko erregimenari buruzko urriaren 20ko 11/1992 Foru Legearen 10. artikuluaren 4.b) apartatuari foru lege honen bidez egindako aldaketak eragina izanen du burutza batean dedikazio esklusiboaren araubideaz bestelako batean lanean ari diren zerbitzuburuengan ere, burutza horretan irauten duten bitartean; hartara, sei hilabeteko gehieneko epea ezarriko da burutza horiek lehiaketara ateratzeko, merezimendu eta gaitasun printzipioen arabera, hemeretzigarren xedapen gehigarrian adierazitakoarekin bat.</w:t>
      </w:r>
    </w:p>
    <w:p w:rsidR="004A5912" w:rsidRPr="007B537A" w:rsidRDefault="00351857" w:rsidP="007B537A">
      <w:pPr>
        <w:pStyle w:val="DICTA-ENMIENDA"/>
      </w:pPr>
      <w:r>
        <w:tab/>
      </w:r>
      <w:r>
        <w:tab/>
      </w:r>
      <w:r>
        <w:rPr>
          <w:b/>
        </w:rPr>
        <w:t xml:space="preserve">Bigarren xedapen iragankorra. </w:t>
      </w:r>
      <w:r>
        <w:t>Lan-kostuen kalkulua.</w:t>
      </w:r>
    </w:p>
    <w:p w:rsidR="004A5912" w:rsidRPr="007B537A" w:rsidRDefault="004A5912" w:rsidP="007B537A">
      <w:pPr>
        <w:pStyle w:val="DICTA-ENMIENDA"/>
      </w:pPr>
      <w:r>
        <w:rPr>
          <w:b/>
        </w:rPr>
        <w:tab/>
      </w:r>
      <w:r>
        <w:rPr>
          <w:b/>
        </w:rPr>
        <w:tab/>
      </w:r>
      <w:r>
        <w:t>Nafarroako Foru Komunitateko Administrazioak argitaratzen dituen esleipenen kontratazioaren kontratazio-agirietan, baldin eta lan-kostuen kalkulua egin behar bada, esparru apalagoko sektore-hitzarmen kolektiboan Nafarroako Foru Komunitatean ezarritakoa jaso beharko da. Xedapen hau indarrean egonen da sektore publikoko kontratuei buruzko foru lege berria indarrean sartu arte.</w:t>
      </w:r>
    </w:p>
    <w:p w:rsidR="003E6891" w:rsidRDefault="003E6891" w:rsidP="003E6891">
      <w:pPr>
        <w:pStyle w:val="NormalWeb"/>
        <w:spacing w:before="0" w:beforeAutospacing="0" w:after="300" w:afterAutospacing="0" w:line="340" w:lineRule="exact"/>
        <w:ind w:firstLine="567"/>
        <w:jc w:val="both"/>
        <w:rPr>
          <w:rFonts w:ascii="Arial" w:hAnsi="Arial" w:cs="Arial"/>
        </w:rPr>
      </w:pPr>
      <w:bookmarkStart w:id="72" w:name="Df.Única"/>
      <w:bookmarkEnd w:id="72"/>
      <w:r>
        <w:rPr>
          <w:rFonts w:ascii="Arial" w:hAnsi="Arial"/>
          <w:b/>
          <w:bCs/>
        </w:rPr>
        <w:t>Azken xedapen bakarra.</w:t>
      </w:r>
      <w:r>
        <w:rPr>
          <w:rFonts w:ascii="Arial" w:hAnsi="Arial"/>
        </w:rPr>
        <w:t xml:space="preserve"> </w:t>
      </w:r>
      <w:r>
        <w:rPr>
          <w:rFonts w:ascii="Arial" w:hAnsi="Arial"/>
          <w:iCs/>
        </w:rPr>
        <w:t>Indarra hartzea.</w:t>
      </w:r>
    </w:p>
    <w:p w:rsidR="003E6891" w:rsidRDefault="003E6891" w:rsidP="003E6891">
      <w:pPr>
        <w:pStyle w:val="xa1"/>
        <w:spacing w:before="0" w:beforeAutospacing="0" w:after="300" w:afterAutospacing="0" w:line="340" w:lineRule="exact"/>
        <w:ind w:firstLine="567"/>
        <w:jc w:val="both"/>
        <w:rPr>
          <w:rFonts w:ascii="Arial" w:hAnsi="Arial" w:cs="Arial"/>
        </w:rPr>
      </w:pPr>
      <w:r>
        <w:rPr>
          <w:rFonts w:ascii="Arial" w:hAnsi="Arial"/>
        </w:rPr>
        <w:t>Foru lege honek Nafarroako Aldizkari Ofizialean argitaratu eta biharamunean hartuko du indarra.</w:t>
      </w:r>
    </w:p>
    <w:p w:rsidR="003E6891" w:rsidRPr="00E9716B" w:rsidRDefault="003E6891" w:rsidP="003E6891">
      <w:pPr>
        <w:rPr>
          <w:rFonts w:ascii="Arial" w:hAnsi="Arial" w:cs="Arial"/>
        </w:rPr>
        <w:sectPr w:rsidR="003E6891" w:rsidRPr="00E9716B" w:rsidSect="003E6891">
          <w:footerReference w:type="default" r:id="rId9"/>
          <w:type w:val="continuous"/>
          <w:pgSz w:w="11907" w:h="16840"/>
          <w:pgMar w:top="2268" w:right="1134" w:bottom="1418" w:left="1701" w:header="1134" w:footer="1134" w:gutter="0"/>
          <w:paperSrc w:first="1" w:other="1"/>
          <w:cols w:space="720"/>
        </w:sectPr>
      </w:pPr>
    </w:p>
    <w:p w:rsidR="00666764" w:rsidRPr="00E9716B" w:rsidRDefault="00666764" w:rsidP="003E6891">
      <w:pPr>
        <w:keepLines/>
        <w:spacing w:after="300" w:line="340" w:lineRule="exact"/>
        <w:jc w:val="both"/>
        <w:rPr>
          <w:rFonts w:ascii="Arial" w:hAnsi="Arial" w:cs="Arial"/>
          <w:b/>
        </w:rPr>
      </w:pPr>
    </w:p>
    <w:p w:rsidR="00666764" w:rsidRPr="00E9716B" w:rsidRDefault="00666764" w:rsidP="003E6891">
      <w:pPr>
        <w:keepLines/>
        <w:spacing w:after="300" w:line="340" w:lineRule="exact"/>
        <w:jc w:val="center"/>
        <w:rPr>
          <w:rFonts w:ascii="Arial" w:hAnsi="Arial" w:cs="Arial"/>
          <w:b/>
        </w:rPr>
        <w:sectPr w:rsidR="00666764" w:rsidRPr="00E9716B">
          <w:headerReference w:type="default" r:id="rId10"/>
          <w:type w:val="continuous"/>
          <w:pgSz w:w="11907" w:h="16840" w:code="9"/>
          <w:pgMar w:top="2268" w:right="1418" w:bottom="1418" w:left="2268" w:header="1134" w:footer="1134" w:gutter="0"/>
          <w:paperSrc w:first="1" w:other="1"/>
          <w:cols w:space="720"/>
          <w:titlePg/>
          <w:docGrid w:linePitch="354"/>
        </w:sectPr>
      </w:pPr>
    </w:p>
    <w:p w:rsidR="003E6891" w:rsidRDefault="003E6891" w:rsidP="003E6891">
      <w:pPr>
        <w:keepLines/>
        <w:spacing w:after="300" w:line="340" w:lineRule="exact"/>
        <w:jc w:val="center"/>
        <w:rPr>
          <w:rFonts w:ascii="Arial" w:hAnsi="Arial" w:cs="Arial"/>
          <w:b/>
        </w:rPr>
      </w:pPr>
      <w:r>
        <w:rPr>
          <w:rFonts w:ascii="Arial" w:hAnsi="Arial"/>
          <w:b/>
        </w:rPr>
        <w:lastRenderedPageBreak/>
        <w:t>I. ERANSKINA</w:t>
      </w:r>
    </w:p>
    <w:p w:rsidR="00666764" w:rsidRDefault="00666764" w:rsidP="003E6891">
      <w:pPr>
        <w:keepLines/>
        <w:spacing w:after="300" w:line="340" w:lineRule="exact"/>
        <w:jc w:val="center"/>
        <w:rPr>
          <w:rFonts w:ascii="Arial" w:hAnsi="Arial" w:cs="Arial"/>
          <w:b/>
        </w:rPr>
      </w:pPr>
      <w:r>
        <w:rPr>
          <w:rFonts w:ascii="Arial" w:hAnsi="Arial"/>
          <w:b/>
        </w:rPr>
        <w:t>Hezkuntza mailetako moduluak eta ratioak, 2018. urterako</w:t>
      </w:r>
    </w:p>
    <w:tbl>
      <w:tblPr>
        <w:tblpPr w:leftFromText="141" w:rightFromText="141" w:vertAnchor="text" w:horzAnchor="margin" w:tblpXSpec="center" w:tblpY="549"/>
        <w:tblW w:w="14508" w:type="dxa"/>
        <w:tblCellMar>
          <w:left w:w="70" w:type="dxa"/>
          <w:right w:w="70" w:type="dxa"/>
        </w:tblCellMar>
        <w:tblLook w:val="04A0" w:firstRow="1" w:lastRow="0" w:firstColumn="1" w:lastColumn="0" w:noHBand="0" w:noVBand="1"/>
      </w:tblPr>
      <w:tblGrid>
        <w:gridCol w:w="3168"/>
        <w:gridCol w:w="1221"/>
        <w:gridCol w:w="1311"/>
        <w:gridCol w:w="1329"/>
        <w:gridCol w:w="1167"/>
        <w:gridCol w:w="1591"/>
        <w:gridCol w:w="1163"/>
        <w:gridCol w:w="1412"/>
        <w:gridCol w:w="1090"/>
        <w:gridCol w:w="1185"/>
      </w:tblGrid>
      <w:tr w:rsidR="00666764" w:rsidTr="00666764">
        <w:trPr>
          <w:trHeight w:val="450"/>
        </w:trPr>
        <w:tc>
          <w:tcPr>
            <w:tcW w:w="3168" w:type="dxa"/>
            <w:vMerge w:val="restart"/>
            <w:tcBorders>
              <w:top w:val="single" w:sz="4" w:space="0" w:color="auto"/>
              <w:left w:val="single" w:sz="4" w:space="0" w:color="auto"/>
              <w:bottom w:val="single" w:sz="4" w:space="0" w:color="000000"/>
              <w:right w:val="single" w:sz="4" w:space="0" w:color="auto"/>
            </w:tcBorders>
            <w:vAlign w:val="center"/>
            <w:hideMark/>
          </w:tcPr>
          <w:p w:rsidR="00666764" w:rsidRDefault="00666764" w:rsidP="00666764">
            <w:pPr>
              <w:jc w:val="center"/>
              <w:rPr>
                <w:b/>
                <w:bCs/>
                <w:sz w:val="18"/>
                <w:szCs w:val="18"/>
              </w:rPr>
            </w:pPr>
            <w:r>
              <w:rPr>
                <w:b/>
                <w:bCs/>
                <w:sz w:val="18"/>
                <w:szCs w:val="18"/>
              </w:rPr>
              <w:t>HEZKUNTZA MAILA</w:t>
            </w:r>
          </w:p>
        </w:tc>
        <w:tc>
          <w:tcPr>
            <w:tcW w:w="2410" w:type="dxa"/>
            <w:gridSpan w:val="2"/>
            <w:tcBorders>
              <w:top w:val="single" w:sz="4" w:space="0" w:color="auto"/>
              <w:left w:val="nil"/>
              <w:bottom w:val="single" w:sz="4" w:space="0" w:color="auto"/>
              <w:right w:val="single" w:sz="4" w:space="0" w:color="000000"/>
            </w:tcBorders>
            <w:vAlign w:val="center"/>
            <w:hideMark/>
          </w:tcPr>
          <w:p w:rsidR="00666764" w:rsidRDefault="00666764" w:rsidP="00666764">
            <w:pPr>
              <w:jc w:val="center"/>
              <w:rPr>
                <w:b/>
                <w:bCs/>
                <w:sz w:val="18"/>
                <w:szCs w:val="18"/>
              </w:rPr>
            </w:pPr>
            <w:r>
              <w:rPr>
                <w:b/>
                <w:bCs/>
                <w:sz w:val="18"/>
                <w:szCs w:val="18"/>
              </w:rPr>
              <w:t>IRAKASLE RATIOA</w:t>
            </w:r>
          </w:p>
        </w:tc>
        <w:tc>
          <w:tcPr>
            <w:tcW w:w="1329" w:type="dxa"/>
            <w:tcBorders>
              <w:top w:val="single" w:sz="4" w:space="0" w:color="auto"/>
              <w:left w:val="single" w:sz="4" w:space="0" w:color="auto"/>
              <w:bottom w:val="single" w:sz="4" w:space="0" w:color="000000"/>
              <w:right w:val="single" w:sz="4" w:space="0" w:color="auto"/>
            </w:tcBorders>
            <w:vAlign w:val="center"/>
            <w:hideMark/>
          </w:tcPr>
          <w:p w:rsidR="00666764" w:rsidRDefault="00666764" w:rsidP="00666764">
            <w:pPr>
              <w:jc w:val="center"/>
              <w:rPr>
                <w:b/>
                <w:bCs/>
                <w:sz w:val="18"/>
                <w:szCs w:val="18"/>
              </w:rPr>
            </w:pPr>
            <w:r>
              <w:rPr>
                <w:b/>
                <w:bCs/>
                <w:sz w:val="18"/>
                <w:szCs w:val="18"/>
              </w:rPr>
              <w:t>LANGILEEN SOLDATAK</w:t>
            </w:r>
          </w:p>
        </w:tc>
        <w:tc>
          <w:tcPr>
            <w:tcW w:w="1167" w:type="dxa"/>
            <w:tcBorders>
              <w:top w:val="single" w:sz="4" w:space="0" w:color="auto"/>
              <w:left w:val="single" w:sz="4" w:space="0" w:color="auto"/>
              <w:bottom w:val="single" w:sz="4" w:space="0" w:color="000000"/>
              <w:right w:val="single" w:sz="4" w:space="0" w:color="auto"/>
            </w:tcBorders>
            <w:vAlign w:val="center"/>
            <w:hideMark/>
          </w:tcPr>
          <w:p w:rsidR="00666764" w:rsidRDefault="00666764" w:rsidP="00666764">
            <w:pPr>
              <w:jc w:val="center"/>
              <w:rPr>
                <w:b/>
                <w:bCs/>
                <w:sz w:val="18"/>
                <w:szCs w:val="18"/>
              </w:rPr>
            </w:pPr>
            <w:r>
              <w:rPr>
                <w:b/>
                <w:bCs/>
                <w:sz w:val="18"/>
                <w:szCs w:val="18"/>
              </w:rPr>
              <w:t>MODULUA (%)</w:t>
            </w:r>
          </w:p>
        </w:tc>
        <w:tc>
          <w:tcPr>
            <w:tcW w:w="1591" w:type="dxa"/>
            <w:tcBorders>
              <w:top w:val="single" w:sz="4" w:space="0" w:color="auto"/>
              <w:left w:val="single" w:sz="4" w:space="0" w:color="auto"/>
              <w:bottom w:val="single" w:sz="4" w:space="0" w:color="000000"/>
              <w:right w:val="single" w:sz="4" w:space="0" w:color="auto"/>
            </w:tcBorders>
            <w:vAlign w:val="center"/>
            <w:hideMark/>
          </w:tcPr>
          <w:p w:rsidR="00666764" w:rsidRDefault="00666764" w:rsidP="00666764">
            <w:pPr>
              <w:jc w:val="center"/>
              <w:rPr>
                <w:b/>
                <w:bCs/>
                <w:sz w:val="18"/>
                <w:szCs w:val="18"/>
              </w:rPr>
            </w:pPr>
            <w:r>
              <w:rPr>
                <w:b/>
                <w:bCs/>
                <w:sz w:val="18"/>
                <w:szCs w:val="18"/>
              </w:rPr>
              <w:t>GASTU ALDAKORRAK</w:t>
            </w:r>
          </w:p>
        </w:tc>
        <w:tc>
          <w:tcPr>
            <w:tcW w:w="1163" w:type="dxa"/>
            <w:tcBorders>
              <w:top w:val="single" w:sz="4" w:space="0" w:color="auto"/>
              <w:left w:val="single" w:sz="4" w:space="0" w:color="auto"/>
              <w:bottom w:val="single" w:sz="4" w:space="0" w:color="000000"/>
              <w:right w:val="single" w:sz="4" w:space="0" w:color="auto"/>
            </w:tcBorders>
            <w:vAlign w:val="center"/>
            <w:hideMark/>
          </w:tcPr>
          <w:p w:rsidR="00666764" w:rsidRDefault="00666764" w:rsidP="00666764">
            <w:pPr>
              <w:jc w:val="center"/>
              <w:rPr>
                <w:b/>
                <w:bCs/>
                <w:sz w:val="18"/>
                <w:szCs w:val="18"/>
              </w:rPr>
            </w:pPr>
            <w:r>
              <w:rPr>
                <w:b/>
                <w:bCs/>
                <w:sz w:val="18"/>
                <w:szCs w:val="18"/>
              </w:rPr>
              <w:t>MODULUA (%)</w:t>
            </w:r>
          </w:p>
        </w:tc>
        <w:tc>
          <w:tcPr>
            <w:tcW w:w="1412" w:type="dxa"/>
            <w:tcBorders>
              <w:top w:val="single" w:sz="4" w:space="0" w:color="auto"/>
              <w:left w:val="single" w:sz="4" w:space="0" w:color="auto"/>
              <w:bottom w:val="single" w:sz="4" w:space="0" w:color="000000"/>
              <w:right w:val="single" w:sz="4" w:space="0" w:color="auto"/>
            </w:tcBorders>
            <w:vAlign w:val="center"/>
            <w:hideMark/>
          </w:tcPr>
          <w:p w:rsidR="00666764" w:rsidRDefault="00666764" w:rsidP="00666764">
            <w:pPr>
              <w:jc w:val="center"/>
              <w:rPr>
                <w:b/>
                <w:bCs/>
                <w:sz w:val="18"/>
                <w:szCs w:val="18"/>
              </w:rPr>
            </w:pPr>
            <w:r>
              <w:rPr>
                <w:b/>
                <w:bCs/>
                <w:sz w:val="18"/>
                <w:szCs w:val="18"/>
              </w:rPr>
              <w:t>BESTE GASTU BATZUK</w:t>
            </w:r>
          </w:p>
        </w:tc>
        <w:tc>
          <w:tcPr>
            <w:tcW w:w="1083" w:type="dxa"/>
            <w:tcBorders>
              <w:top w:val="single" w:sz="4" w:space="0" w:color="auto"/>
              <w:left w:val="single" w:sz="4" w:space="0" w:color="auto"/>
              <w:bottom w:val="single" w:sz="4" w:space="0" w:color="000000"/>
              <w:right w:val="single" w:sz="4" w:space="0" w:color="auto"/>
            </w:tcBorders>
            <w:vAlign w:val="center"/>
            <w:hideMark/>
          </w:tcPr>
          <w:p w:rsidR="00666764" w:rsidRDefault="00666764" w:rsidP="00666764">
            <w:pPr>
              <w:jc w:val="center"/>
              <w:rPr>
                <w:b/>
                <w:bCs/>
                <w:sz w:val="18"/>
                <w:szCs w:val="18"/>
              </w:rPr>
            </w:pPr>
            <w:r>
              <w:rPr>
                <w:b/>
                <w:bCs/>
                <w:sz w:val="18"/>
                <w:szCs w:val="18"/>
              </w:rPr>
              <w:t>MODULUA (%)</w:t>
            </w:r>
          </w:p>
        </w:tc>
        <w:tc>
          <w:tcPr>
            <w:tcW w:w="1185" w:type="dxa"/>
            <w:tcBorders>
              <w:top w:val="single" w:sz="4" w:space="0" w:color="auto"/>
              <w:left w:val="single" w:sz="4" w:space="0" w:color="auto"/>
              <w:bottom w:val="single" w:sz="4" w:space="0" w:color="000000"/>
              <w:right w:val="single" w:sz="4" w:space="0" w:color="auto"/>
            </w:tcBorders>
            <w:vAlign w:val="center"/>
            <w:hideMark/>
          </w:tcPr>
          <w:p w:rsidR="00666764" w:rsidRDefault="00666764" w:rsidP="00666764">
            <w:pPr>
              <w:jc w:val="center"/>
              <w:rPr>
                <w:b/>
                <w:bCs/>
                <w:sz w:val="18"/>
                <w:szCs w:val="18"/>
              </w:rPr>
            </w:pPr>
            <w:r>
              <w:rPr>
                <w:b/>
                <w:bCs/>
                <w:sz w:val="18"/>
                <w:szCs w:val="18"/>
              </w:rPr>
              <w:t>MODULUA, GUZTIRA</w:t>
            </w:r>
          </w:p>
        </w:tc>
      </w:tr>
      <w:tr w:rsidR="00666764" w:rsidTr="00666764">
        <w:trPr>
          <w:trHeight w:val="25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66764" w:rsidRDefault="00666764" w:rsidP="00666764">
            <w:pPr>
              <w:rPr>
                <w:b/>
                <w:bCs/>
                <w:sz w:val="18"/>
                <w:szCs w:val="18"/>
                <w:lang w:val="es-ES_tradnl"/>
              </w:rPr>
            </w:pPr>
          </w:p>
        </w:tc>
        <w:tc>
          <w:tcPr>
            <w:tcW w:w="1134" w:type="dxa"/>
            <w:tcBorders>
              <w:top w:val="nil"/>
              <w:left w:val="nil"/>
              <w:bottom w:val="single" w:sz="4" w:space="0" w:color="auto"/>
              <w:right w:val="single" w:sz="4" w:space="0" w:color="auto"/>
            </w:tcBorders>
            <w:noWrap/>
            <w:vAlign w:val="center"/>
            <w:hideMark/>
          </w:tcPr>
          <w:p w:rsidR="00666764" w:rsidRDefault="00666764" w:rsidP="00666764">
            <w:pPr>
              <w:jc w:val="center"/>
              <w:rPr>
                <w:b/>
                <w:bCs/>
                <w:sz w:val="18"/>
                <w:szCs w:val="18"/>
              </w:rPr>
            </w:pPr>
            <w:r>
              <w:rPr>
                <w:b/>
                <w:bCs/>
                <w:sz w:val="18"/>
                <w:szCs w:val="18"/>
              </w:rPr>
              <w:t>TITULARRA</w:t>
            </w:r>
          </w:p>
        </w:tc>
        <w:tc>
          <w:tcPr>
            <w:tcW w:w="1276" w:type="dxa"/>
            <w:tcBorders>
              <w:top w:val="nil"/>
              <w:left w:val="nil"/>
              <w:bottom w:val="single" w:sz="4" w:space="0" w:color="auto"/>
              <w:right w:val="nil"/>
            </w:tcBorders>
            <w:noWrap/>
            <w:vAlign w:val="center"/>
            <w:hideMark/>
          </w:tcPr>
          <w:p w:rsidR="00666764" w:rsidRDefault="00666764" w:rsidP="00666764">
            <w:pPr>
              <w:jc w:val="center"/>
              <w:rPr>
                <w:b/>
                <w:bCs/>
                <w:sz w:val="18"/>
                <w:szCs w:val="18"/>
              </w:rPr>
            </w:pPr>
            <w:r>
              <w:rPr>
                <w:b/>
                <w:bCs/>
                <w:sz w:val="18"/>
                <w:szCs w:val="18"/>
              </w:rPr>
              <w:t>AGREGATUA</w:t>
            </w:r>
          </w:p>
        </w:tc>
        <w:tc>
          <w:tcPr>
            <w:tcW w:w="1329" w:type="dxa"/>
            <w:tcBorders>
              <w:top w:val="single" w:sz="4" w:space="0" w:color="auto"/>
              <w:left w:val="single" w:sz="4" w:space="0" w:color="auto"/>
              <w:bottom w:val="single" w:sz="4" w:space="0" w:color="000000"/>
              <w:right w:val="single" w:sz="4" w:space="0" w:color="auto"/>
            </w:tcBorders>
            <w:vAlign w:val="center"/>
          </w:tcPr>
          <w:p w:rsidR="00666764" w:rsidRDefault="00666764" w:rsidP="00666764">
            <w:pPr>
              <w:rPr>
                <w:b/>
                <w:bCs/>
                <w:sz w:val="18"/>
                <w:szCs w:val="18"/>
                <w:lang w:val="es-ES_tradnl"/>
              </w:rPr>
            </w:pPr>
          </w:p>
        </w:tc>
        <w:tc>
          <w:tcPr>
            <w:tcW w:w="1167" w:type="dxa"/>
            <w:tcBorders>
              <w:top w:val="single" w:sz="4" w:space="0" w:color="auto"/>
              <w:left w:val="single" w:sz="4" w:space="0" w:color="auto"/>
              <w:bottom w:val="single" w:sz="4" w:space="0" w:color="000000"/>
              <w:right w:val="single" w:sz="4" w:space="0" w:color="auto"/>
            </w:tcBorders>
            <w:vAlign w:val="center"/>
          </w:tcPr>
          <w:p w:rsidR="00666764" w:rsidRDefault="00666764" w:rsidP="00666764">
            <w:pPr>
              <w:rPr>
                <w:b/>
                <w:bCs/>
                <w:sz w:val="18"/>
                <w:szCs w:val="18"/>
                <w:lang w:val="es-ES_tradnl"/>
              </w:rPr>
            </w:pPr>
          </w:p>
        </w:tc>
        <w:tc>
          <w:tcPr>
            <w:tcW w:w="1591" w:type="dxa"/>
            <w:tcBorders>
              <w:top w:val="single" w:sz="4" w:space="0" w:color="auto"/>
              <w:left w:val="single" w:sz="4" w:space="0" w:color="auto"/>
              <w:bottom w:val="single" w:sz="4" w:space="0" w:color="000000"/>
              <w:right w:val="single" w:sz="4" w:space="0" w:color="auto"/>
            </w:tcBorders>
            <w:vAlign w:val="center"/>
          </w:tcPr>
          <w:p w:rsidR="00666764" w:rsidRDefault="00666764" w:rsidP="00666764">
            <w:pPr>
              <w:rPr>
                <w:b/>
                <w:bCs/>
                <w:sz w:val="18"/>
                <w:szCs w:val="18"/>
                <w:lang w:val="es-ES_tradnl"/>
              </w:rPr>
            </w:pPr>
          </w:p>
        </w:tc>
        <w:tc>
          <w:tcPr>
            <w:tcW w:w="1163" w:type="dxa"/>
            <w:tcBorders>
              <w:top w:val="single" w:sz="4" w:space="0" w:color="auto"/>
              <w:left w:val="single" w:sz="4" w:space="0" w:color="auto"/>
              <w:bottom w:val="single" w:sz="4" w:space="0" w:color="000000"/>
              <w:right w:val="single" w:sz="4" w:space="0" w:color="auto"/>
            </w:tcBorders>
            <w:vAlign w:val="center"/>
          </w:tcPr>
          <w:p w:rsidR="00666764" w:rsidRDefault="00666764" w:rsidP="00666764">
            <w:pPr>
              <w:rPr>
                <w:b/>
                <w:bCs/>
                <w:sz w:val="18"/>
                <w:szCs w:val="18"/>
                <w:lang w:val="es-ES_tradnl"/>
              </w:rPr>
            </w:pPr>
          </w:p>
        </w:tc>
        <w:tc>
          <w:tcPr>
            <w:tcW w:w="1412" w:type="dxa"/>
            <w:tcBorders>
              <w:top w:val="single" w:sz="4" w:space="0" w:color="auto"/>
              <w:left w:val="single" w:sz="4" w:space="0" w:color="auto"/>
              <w:bottom w:val="single" w:sz="4" w:space="0" w:color="000000"/>
              <w:right w:val="single" w:sz="4" w:space="0" w:color="auto"/>
            </w:tcBorders>
            <w:vAlign w:val="center"/>
          </w:tcPr>
          <w:p w:rsidR="00666764" w:rsidRDefault="00666764" w:rsidP="00666764">
            <w:pPr>
              <w:rPr>
                <w:b/>
                <w:bCs/>
                <w:sz w:val="18"/>
                <w:szCs w:val="18"/>
                <w:lang w:val="es-ES_tradnl"/>
              </w:rPr>
            </w:pPr>
          </w:p>
        </w:tc>
        <w:tc>
          <w:tcPr>
            <w:tcW w:w="1083" w:type="dxa"/>
            <w:tcBorders>
              <w:top w:val="single" w:sz="4" w:space="0" w:color="auto"/>
              <w:left w:val="single" w:sz="4" w:space="0" w:color="auto"/>
              <w:bottom w:val="single" w:sz="4" w:space="0" w:color="000000"/>
              <w:right w:val="single" w:sz="4" w:space="0" w:color="auto"/>
            </w:tcBorders>
            <w:vAlign w:val="center"/>
          </w:tcPr>
          <w:p w:rsidR="00666764" w:rsidRDefault="00666764" w:rsidP="00666764">
            <w:pPr>
              <w:rPr>
                <w:b/>
                <w:bCs/>
                <w:sz w:val="18"/>
                <w:szCs w:val="18"/>
                <w:lang w:val="es-ES_tradnl"/>
              </w:rPr>
            </w:pPr>
          </w:p>
        </w:tc>
        <w:tc>
          <w:tcPr>
            <w:tcW w:w="1185" w:type="dxa"/>
            <w:tcBorders>
              <w:top w:val="single" w:sz="4" w:space="0" w:color="auto"/>
              <w:left w:val="single" w:sz="4" w:space="0" w:color="auto"/>
              <w:bottom w:val="single" w:sz="4" w:space="0" w:color="000000"/>
              <w:right w:val="single" w:sz="4" w:space="0" w:color="auto"/>
            </w:tcBorders>
            <w:vAlign w:val="center"/>
          </w:tcPr>
          <w:p w:rsidR="00666764" w:rsidRDefault="00666764" w:rsidP="00666764">
            <w:pPr>
              <w:rPr>
                <w:b/>
                <w:bCs/>
                <w:sz w:val="18"/>
                <w:szCs w:val="18"/>
                <w:lang w:val="es-ES_tradnl"/>
              </w:rPr>
            </w:pPr>
          </w:p>
        </w:tc>
      </w:tr>
      <w:tr w:rsidR="00666764" w:rsidTr="00666764">
        <w:trPr>
          <w:trHeight w:val="255"/>
        </w:trPr>
        <w:tc>
          <w:tcPr>
            <w:tcW w:w="3168" w:type="dxa"/>
            <w:tcBorders>
              <w:top w:val="nil"/>
              <w:left w:val="single" w:sz="4" w:space="0" w:color="auto"/>
              <w:bottom w:val="single" w:sz="4" w:space="0" w:color="auto"/>
              <w:right w:val="single" w:sz="4" w:space="0" w:color="auto"/>
            </w:tcBorders>
            <w:noWrap/>
            <w:vAlign w:val="bottom"/>
            <w:hideMark/>
          </w:tcPr>
          <w:p w:rsidR="00666764" w:rsidRDefault="00666764" w:rsidP="00666764">
            <w:pPr>
              <w:rPr>
                <w:sz w:val="18"/>
                <w:szCs w:val="18"/>
              </w:rPr>
            </w:pPr>
            <w:r>
              <w:rPr>
                <w:sz w:val="18"/>
                <w:szCs w:val="18"/>
              </w:rPr>
              <w:t>HAUR HEZKUNTZAKO 2. ZIKLOA</w:t>
            </w:r>
          </w:p>
        </w:tc>
        <w:tc>
          <w:tcPr>
            <w:tcW w:w="1134" w:type="dxa"/>
            <w:tcBorders>
              <w:top w:val="nil"/>
              <w:left w:val="nil"/>
              <w:bottom w:val="single" w:sz="4" w:space="0" w:color="auto"/>
              <w:right w:val="single" w:sz="4" w:space="0" w:color="auto"/>
            </w:tcBorders>
            <w:noWrap/>
            <w:vAlign w:val="bottom"/>
            <w:hideMark/>
          </w:tcPr>
          <w:p w:rsidR="00666764" w:rsidRDefault="00666764" w:rsidP="00666764">
            <w:pPr>
              <w:jc w:val="center"/>
              <w:rPr>
                <w:sz w:val="18"/>
                <w:szCs w:val="18"/>
              </w:rPr>
            </w:pPr>
            <w:r>
              <w:rPr>
                <w:sz w:val="18"/>
                <w:szCs w:val="18"/>
              </w:rPr>
              <w:t>1,217</w:t>
            </w:r>
          </w:p>
        </w:tc>
        <w:tc>
          <w:tcPr>
            <w:tcW w:w="1276" w:type="dxa"/>
            <w:tcBorders>
              <w:top w:val="nil"/>
              <w:left w:val="nil"/>
              <w:bottom w:val="single" w:sz="4" w:space="0" w:color="auto"/>
              <w:right w:val="single" w:sz="4" w:space="0" w:color="auto"/>
            </w:tcBorders>
            <w:noWrap/>
            <w:vAlign w:val="bottom"/>
            <w:hideMark/>
          </w:tcPr>
          <w:p w:rsidR="00666764" w:rsidRDefault="00666764" w:rsidP="00666764">
            <w:pPr>
              <w:jc w:val="center"/>
              <w:rPr>
                <w:sz w:val="18"/>
                <w:szCs w:val="18"/>
              </w:rPr>
            </w:pPr>
            <w:r>
              <w:rPr>
                <w:sz w:val="18"/>
                <w:szCs w:val="18"/>
              </w:rPr>
              <w:t>0,000</w:t>
            </w:r>
          </w:p>
        </w:tc>
        <w:tc>
          <w:tcPr>
            <w:tcW w:w="1329" w:type="dxa"/>
            <w:tcBorders>
              <w:top w:val="nil"/>
              <w:left w:val="nil"/>
              <w:bottom w:val="single" w:sz="4" w:space="0" w:color="auto"/>
              <w:right w:val="single" w:sz="4" w:space="0" w:color="auto"/>
            </w:tcBorders>
            <w:noWrap/>
            <w:vAlign w:val="bottom"/>
            <w:hideMark/>
          </w:tcPr>
          <w:p w:rsidR="00666764" w:rsidRDefault="00666764" w:rsidP="00666764">
            <w:pPr>
              <w:ind w:right="158"/>
              <w:jc w:val="right"/>
              <w:rPr>
                <w:sz w:val="18"/>
                <w:szCs w:val="18"/>
              </w:rPr>
            </w:pPr>
            <w:r>
              <w:rPr>
                <w:sz w:val="18"/>
                <w:szCs w:val="18"/>
              </w:rPr>
              <w:t>44.076,40</w:t>
            </w:r>
          </w:p>
        </w:tc>
        <w:tc>
          <w:tcPr>
            <w:tcW w:w="1167" w:type="dxa"/>
            <w:tcBorders>
              <w:top w:val="nil"/>
              <w:left w:val="nil"/>
              <w:bottom w:val="single" w:sz="4" w:space="0" w:color="auto"/>
              <w:right w:val="single" w:sz="4" w:space="0" w:color="auto"/>
            </w:tcBorders>
            <w:noWrap/>
            <w:vAlign w:val="bottom"/>
            <w:hideMark/>
          </w:tcPr>
          <w:p w:rsidR="00666764" w:rsidRDefault="00666764" w:rsidP="00666764">
            <w:pPr>
              <w:jc w:val="center"/>
              <w:rPr>
                <w:sz w:val="18"/>
                <w:szCs w:val="18"/>
              </w:rPr>
            </w:pPr>
            <w:r>
              <w:rPr>
                <w:sz w:val="18"/>
                <w:szCs w:val="18"/>
              </w:rPr>
              <w:t>73,38</w:t>
            </w:r>
          </w:p>
        </w:tc>
        <w:tc>
          <w:tcPr>
            <w:tcW w:w="1591" w:type="dxa"/>
            <w:tcBorders>
              <w:top w:val="nil"/>
              <w:left w:val="nil"/>
              <w:bottom w:val="single" w:sz="4" w:space="0" w:color="auto"/>
              <w:right w:val="single" w:sz="4" w:space="0" w:color="auto"/>
            </w:tcBorders>
            <w:noWrap/>
            <w:vAlign w:val="bottom"/>
            <w:hideMark/>
          </w:tcPr>
          <w:p w:rsidR="00666764" w:rsidRDefault="00666764" w:rsidP="00666764">
            <w:pPr>
              <w:ind w:right="214"/>
              <w:jc w:val="right"/>
              <w:rPr>
                <w:sz w:val="18"/>
                <w:szCs w:val="18"/>
              </w:rPr>
            </w:pPr>
            <w:r>
              <w:rPr>
                <w:sz w:val="18"/>
                <w:szCs w:val="18"/>
              </w:rPr>
              <w:t>5.706,63</w:t>
            </w:r>
          </w:p>
        </w:tc>
        <w:tc>
          <w:tcPr>
            <w:tcW w:w="1163" w:type="dxa"/>
            <w:tcBorders>
              <w:top w:val="nil"/>
              <w:left w:val="nil"/>
              <w:bottom w:val="single" w:sz="4" w:space="0" w:color="auto"/>
              <w:right w:val="single" w:sz="4" w:space="0" w:color="auto"/>
            </w:tcBorders>
            <w:noWrap/>
            <w:vAlign w:val="bottom"/>
            <w:hideMark/>
          </w:tcPr>
          <w:p w:rsidR="00666764" w:rsidRDefault="00666764" w:rsidP="00666764">
            <w:pPr>
              <w:ind w:right="213"/>
              <w:jc w:val="right"/>
              <w:rPr>
                <w:sz w:val="18"/>
                <w:szCs w:val="18"/>
              </w:rPr>
            </w:pPr>
            <w:r>
              <w:rPr>
                <w:sz w:val="18"/>
                <w:szCs w:val="18"/>
              </w:rPr>
              <w:t>9,50</w:t>
            </w:r>
          </w:p>
        </w:tc>
        <w:tc>
          <w:tcPr>
            <w:tcW w:w="1412" w:type="dxa"/>
            <w:tcBorders>
              <w:top w:val="nil"/>
              <w:left w:val="nil"/>
              <w:bottom w:val="single" w:sz="4" w:space="0" w:color="auto"/>
              <w:right w:val="single" w:sz="4" w:space="0" w:color="auto"/>
            </w:tcBorders>
            <w:noWrap/>
            <w:vAlign w:val="bottom"/>
            <w:hideMark/>
          </w:tcPr>
          <w:p w:rsidR="00666764" w:rsidRDefault="00666764" w:rsidP="00666764">
            <w:pPr>
              <w:ind w:right="174"/>
              <w:jc w:val="right"/>
              <w:rPr>
                <w:sz w:val="18"/>
                <w:szCs w:val="18"/>
              </w:rPr>
            </w:pPr>
            <w:r>
              <w:rPr>
                <w:sz w:val="18"/>
                <w:szCs w:val="18"/>
              </w:rPr>
              <w:t>10.279,28</w:t>
            </w:r>
          </w:p>
        </w:tc>
        <w:tc>
          <w:tcPr>
            <w:tcW w:w="1083" w:type="dxa"/>
            <w:tcBorders>
              <w:top w:val="nil"/>
              <w:left w:val="nil"/>
              <w:bottom w:val="single" w:sz="4" w:space="0" w:color="auto"/>
              <w:right w:val="single" w:sz="4" w:space="0" w:color="auto"/>
            </w:tcBorders>
            <w:noWrap/>
            <w:vAlign w:val="bottom"/>
            <w:hideMark/>
          </w:tcPr>
          <w:p w:rsidR="00666764" w:rsidRDefault="00666764" w:rsidP="00666764">
            <w:pPr>
              <w:jc w:val="center"/>
              <w:rPr>
                <w:sz w:val="18"/>
                <w:szCs w:val="18"/>
              </w:rPr>
            </w:pPr>
            <w:r>
              <w:rPr>
                <w:sz w:val="18"/>
                <w:szCs w:val="18"/>
              </w:rPr>
              <w:t>17,11</w:t>
            </w:r>
          </w:p>
        </w:tc>
        <w:tc>
          <w:tcPr>
            <w:tcW w:w="1185" w:type="dxa"/>
            <w:tcBorders>
              <w:top w:val="nil"/>
              <w:left w:val="nil"/>
              <w:bottom w:val="single" w:sz="4" w:space="0" w:color="auto"/>
              <w:right w:val="single" w:sz="4" w:space="0" w:color="auto"/>
            </w:tcBorders>
            <w:noWrap/>
            <w:vAlign w:val="bottom"/>
            <w:hideMark/>
          </w:tcPr>
          <w:p w:rsidR="00666764" w:rsidRDefault="00666764" w:rsidP="00666764">
            <w:pPr>
              <w:ind w:right="214"/>
              <w:jc w:val="right"/>
              <w:rPr>
                <w:sz w:val="18"/>
                <w:szCs w:val="18"/>
              </w:rPr>
            </w:pPr>
            <w:r>
              <w:rPr>
                <w:sz w:val="18"/>
                <w:szCs w:val="18"/>
              </w:rPr>
              <w:t>60.062,31</w:t>
            </w:r>
          </w:p>
        </w:tc>
      </w:tr>
      <w:tr w:rsidR="00666764" w:rsidTr="00666764">
        <w:trPr>
          <w:trHeight w:val="255"/>
        </w:trPr>
        <w:tc>
          <w:tcPr>
            <w:tcW w:w="3168" w:type="dxa"/>
            <w:tcBorders>
              <w:top w:val="nil"/>
              <w:left w:val="single" w:sz="4" w:space="0" w:color="auto"/>
              <w:bottom w:val="single" w:sz="4" w:space="0" w:color="auto"/>
              <w:right w:val="single" w:sz="4" w:space="0" w:color="auto"/>
            </w:tcBorders>
            <w:noWrap/>
            <w:vAlign w:val="bottom"/>
            <w:hideMark/>
          </w:tcPr>
          <w:p w:rsidR="00666764" w:rsidRDefault="00666764" w:rsidP="00666764">
            <w:pPr>
              <w:rPr>
                <w:sz w:val="18"/>
                <w:szCs w:val="18"/>
              </w:rPr>
            </w:pPr>
            <w:r>
              <w:rPr>
                <w:sz w:val="18"/>
                <w:szCs w:val="18"/>
              </w:rPr>
              <w:t>LEHEN HEZKUNTZA</w:t>
            </w:r>
          </w:p>
        </w:tc>
        <w:tc>
          <w:tcPr>
            <w:tcW w:w="1134" w:type="dxa"/>
            <w:tcBorders>
              <w:top w:val="nil"/>
              <w:left w:val="nil"/>
              <w:bottom w:val="single" w:sz="4" w:space="0" w:color="auto"/>
              <w:right w:val="single" w:sz="4" w:space="0" w:color="auto"/>
            </w:tcBorders>
            <w:noWrap/>
            <w:vAlign w:val="bottom"/>
            <w:hideMark/>
          </w:tcPr>
          <w:p w:rsidR="00666764" w:rsidRDefault="00666764" w:rsidP="00666764">
            <w:pPr>
              <w:jc w:val="center"/>
              <w:rPr>
                <w:sz w:val="18"/>
                <w:szCs w:val="18"/>
              </w:rPr>
            </w:pPr>
            <w:r>
              <w:rPr>
                <w:sz w:val="18"/>
                <w:szCs w:val="18"/>
              </w:rPr>
              <w:t>1,391</w:t>
            </w:r>
          </w:p>
        </w:tc>
        <w:tc>
          <w:tcPr>
            <w:tcW w:w="1276" w:type="dxa"/>
            <w:tcBorders>
              <w:top w:val="nil"/>
              <w:left w:val="nil"/>
              <w:bottom w:val="single" w:sz="4" w:space="0" w:color="auto"/>
              <w:right w:val="single" w:sz="4" w:space="0" w:color="auto"/>
            </w:tcBorders>
            <w:noWrap/>
            <w:vAlign w:val="bottom"/>
            <w:hideMark/>
          </w:tcPr>
          <w:p w:rsidR="00666764" w:rsidRDefault="00666764" w:rsidP="00666764">
            <w:pPr>
              <w:jc w:val="center"/>
              <w:rPr>
                <w:sz w:val="18"/>
                <w:szCs w:val="18"/>
              </w:rPr>
            </w:pPr>
            <w:r>
              <w:rPr>
                <w:sz w:val="18"/>
                <w:szCs w:val="18"/>
              </w:rPr>
              <w:t>0,000</w:t>
            </w:r>
          </w:p>
        </w:tc>
        <w:tc>
          <w:tcPr>
            <w:tcW w:w="1329" w:type="dxa"/>
            <w:tcBorders>
              <w:top w:val="nil"/>
              <w:left w:val="nil"/>
              <w:bottom w:val="single" w:sz="4" w:space="0" w:color="auto"/>
              <w:right w:val="single" w:sz="4" w:space="0" w:color="auto"/>
            </w:tcBorders>
            <w:noWrap/>
            <w:vAlign w:val="bottom"/>
            <w:hideMark/>
          </w:tcPr>
          <w:p w:rsidR="00666764" w:rsidRDefault="00666764" w:rsidP="00666764">
            <w:pPr>
              <w:ind w:right="158"/>
              <w:jc w:val="right"/>
              <w:rPr>
                <w:sz w:val="18"/>
                <w:szCs w:val="18"/>
              </w:rPr>
            </w:pPr>
            <w:r>
              <w:rPr>
                <w:sz w:val="18"/>
                <w:szCs w:val="18"/>
              </w:rPr>
              <w:t>50.373,02</w:t>
            </w:r>
          </w:p>
        </w:tc>
        <w:tc>
          <w:tcPr>
            <w:tcW w:w="1167" w:type="dxa"/>
            <w:tcBorders>
              <w:top w:val="nil"/>
              <w:left w:val="nil"/>
              <w:bottom w:val="single" w:sz="4" w:space="0" w:color="auto"/>
              <w:right w:val="single" w:sz="4" w:space="0" w:color="auto"/>
            </w:tcBorders>
            <w:noWrap/>
            <w:vAlign w:val="bottom"/>
            <w:hideMark/>
          </w:tcPr>
          <w:p w:rsidR="00666764" w:rsidRDefault="00666764" w:rsidP="00666764">
            <w:pPr>
              <w:jc w:val="center"/>
              <w:rPr>
                <w:sz w:val="18"/>
                <w:szCs w:val="18"/>
              </w:rPr>
            </w:pPr>
            <w:r>
              <w:rPr>
                <w:sz w:val="18"/>
                <w:szCs w:val="18"/>
              </w:rPr>
              <w:t>72,55</w:t>
            </w:r>
          </w:p>
        </w:tc>
        <w:tc>
          <w:tcPr>
            <w:tcW w:w="1591" w:type="dxa"/>
            <w:tcBorders>
              <w:top w:val="nil"/>
              <w:left w:val="nil"/>
              <w:bottom w:val="single" w:sz="4" w:space="0" w:color="auto"/>
              <w:right w:val="single" w:sz="4" w:space="0" w:color="auto"/>
            </w:tcBorders>
            <w:noWrap/>
            <w:vAlign w:val="bottom"/>
            <w:hideMark/>
          </w:tcPr>
          <w:p w:rsidR="00666764" w:rsidRDefault="00666764" w:rsidP="00666764">
            <w:pPr>
              <w:ind w:right="214"/>
              <w:jc w:val="right"/>
              <w:rPr>
                <w:sz w:val="18"/>
                <w:szCs w:val="18"/>
              </w:rPr>
            </w:pPr>
            <w:r>
              <w:rPr>
                <w:sz w:val="18"/>
                <w:szCs w:val="18"/>
              </w:rPr>
              <w:t>8.163,53</w:t>
            </w:r>
          </w:p>
        </w:tc>
        <w:tc>
          <w:tcPr>
            <w:tcW w:w="1163" w:type="dxa"/>
            <w:tcBorders>
              <w:top w:val="nil"/>
              <w:left w:val="nil"/>
              <w:bottom w:val="single" w:sz="4" w:space="0" w:color="auto"/>
              <w:right w:val="single" w:sz="4" w:space="0" w:color="auto"/>
            </w:tcBorders>
            <w:noWrap/>
            <w:vAlign w:val="bottom"/>
            <w:hideMark/>
          </w:tcPr>
          <w:p w:rsidR="00666764" w:rsidRDefault="00666764" w:rsidP="00666764">
            <w:pPr>
              <w:ind w:right="213"/>
              <w:jc w:val="right"/>
              <w:rPr>
                <w:sz w:val="18"/>
                <w:szCs w:val="18"/>
              </w:rPr>
            </w:pPr>
            <w:r>
              <w:rPr>
                <w:sz w:val="18"/>
                <w:szCs w:val="18"/>
              </w:rPr>
              <w:t>11,76</w:t>
            </w:r>
          </w:p>
        </w:tc>
        <w:tc>
          <w:tcPr>
            <w:tcW w:w="1412" w:type="dxa"/>
            <w:tcBorders>
              <w:top w:val="nil"/>
              <w:left w:val="nil"/>
              <w:bottom w:val="single" w:sz="4" w:space="0" w:color="auto"/>
              <w:right w:val="single" w:sz="4" w:space="0" w:color="auto"/>
            </w:tcBorders>
            <w:noWrap/>
            <w:vAlign w:val="bottom"/>
            <w:hideMark/>
          </w:tcPr>
          <w:p w:rsidR="00666764" w:rsidRDefault="00666764" w:rsidP="00666764">
            <w:pPr>
              <w:ind w:right="174"/>
              <w:jc w:val="right"/>
              <w:rPr>
                <w:sz w:val="18"/>
                <w:szCs w:val="18"/>
              </w:rPr>
            </w:pPr>
            <w:r>
              <w:rPr>
                <w:sz w:val="18"/>
                <w:szCs w:val="18"/>
              </w:rPr>
              <w:t>10.896,15</w:t>
            </w:r>
          </w:p>
        </w:tc>
        <w:tc>
          <w:tcPr>
            <w:tcW w:w="1083" w:type="dxa"/>
            <w:tcBorders>
              <w:top w:val="nil"/>
              <w:left w:val="nil"/>
              <w:bottom w:val="single" w:sz="4" w:space="0" w:color="auto"/>
              <w:right w:val="single" w:sz="4" w:space="0" w:color="auto"/>
            </w:tcBorders>
            <w:noWrap/>
            <w:vAlign w:val="bottom"/>
            <w:hideMark/>
          </w:tcPr>
          <w:p w:rsidR="00666764" w:rsidRDefault="00666764" w:rsidP="00666764">
            <w:pPr>
              <w:jc w:val="center"/>
              <w:rPr>
                <w:sz w:val="18"/>
                <w:szCs w:val="18"/>
              </w:rPr>
            </w:pPr>
            <w:r>
              <w:rPr>
                <w:sz w:val="18"/>
                <w:szCs w:val="18"/>
              </w:rPr>
              <w:t>15,69</w:t>
            </w:r>
          </w:p>
        </w:tc>
        <w:tc>
          <w:tcPr>
            <w:tcW w:w="1185" w:type="dxa"/>
            <w:tcBorders>
              <w:top w:val="nil"/>
              <w:left w:val="nil"/>
              <w:bottom w:val="single" w:sz="4" w:space="0" w:color="auto"/>
              <w:right w:val="single" w:sz="4" w:space="0" w:color="auto"/>
            </w:tcBorders>
            <w:noWrap/>
            <w:vAlign w:val="bottom"/>
            <w:hideMark/>
          </w:tcPr>
          <w:p w:rsidR="00666764" w:rsidRDefault="00666764" w:rsidP="00666764">
            <w:pPr>
              <w:ind w:right="214"/>
              <w:jc w:val="right"/>
              <w:rPr>
                <w:sz w:val="18"/>
                <w:szCs w:val="18"/>
              </w:rPr>
            </w:pPr>
            <w:r>
              <w:rPr>
                <w:sz w:val="18"/>
                <w:szCs w:val="18"/>
              </w:rPr>
              <w:t>69.432,70</w:t>
            </w:r>
          </w:p>
        </w:tc>
      </w:tr>
      <w:tr w:rsidR="00666764" w:rsidTr="00666764">
        <w:trPr>
          <w:trHeight w:val="255"/>
        </w:trPr>
        <w:tc>
          <w:tcPr>
            <w:tcW w:w="3168" w:type="dxa"/>
            <w:tcBorders>
              <w:top w:val="nil"/>
              <w:left w:val="single" w:sz="4" w:space="0" w:color="auto"/>
              <w:bottom w:val="single" w:sz="4" w:space="0" w:color="auto"/>
              <w:right w:val="single" w:sz="4" w:space="0" w:color="auto"/>
            </w:tcBorders>
            <w:noWrap/>
            <w:vAlign w:val="bottom"/>
            <w:hideMark/>
          </w:tcPr>
          <w:p w:rsidR="00666764" w:rsidRDefault="00666764" w:rsidP="00666764">
            <w:pPr>
              <w:rPr>
                <w:sz w:val="18"/>
                <w:szCs w:val="18"/>
              </w:rPr>
            </w:pPr>
            <w:proofErr w:type="spellStart"/>
            <w:r>
              <w:rPr>
                <w:sz w:val="18"/>
                <w:szCs w:val="18"/>
              </w:rPr>
              <w:t>DBHko</w:t>
            </w:r>
            <w:proofErr w:type="spellEnd"/>
            <w:r>
              <w:rPr>
                <w:sz w:val="18"/>
                <w:szCs w:val="18"/>
              </w:rPr>
              <w:t xml:space="preserve"> LEHEN ETA BIGARREN MAILAK</w:t>
            </w:r>
          </w:p>
        </w:tc>
        <w:tc>
          <w:tcPr>
            <w:tcW w:w="1134" w:type="dxa"/>
            <w:tcBorders>
              <w:top w:val="nil"/>
              <w:left w:val="nil"/>
              <w:bottom w:val="single" w:sz="4" w:space="0" w:color="auto"/>
              <w:right w:val="single" w:sz="4" w:space="0" w:color="auto"/>
            </w:tcBorders>
            <w:noWrap/>
            <w:vAlign w:val="bottom"/>
            <w:hideMark/>
          </w:tcPr>
          <w:p w:rsidR="00666764" w:rsidRDefault="00666764" w:rsidP="00666764">
            <w:pPr>
              <w:jc w:val="center"/>
              <w:rPr>
                <w:sz w:val="18"/>
                <w:szCs w:val="18"/>
              </w:rPr>
            </w:pPr>
            <w:r>
              <w:rPr>
                <w:sz w:val="18"/>
                <w:szCs w:val="18"/>
              </w:rPr>
              <w:t>1,652</w:t>
            </w:r>
          </w:p>
        </w:tc>
        <w:tc>
          <w:tcPr>
            <w:tcW w:w="1276" w:type="dxa"/>
            <w:tcBorders>
              <w:top w:val="nil"/>
              <w:left w:val="nil"/>
              <w:bottom w:val="single" w:sz="4" w:space="0" w:color="auto"/>
              <w:right w:val="single" w:sz="4" w:space="0" w:color="auto"/>
            </w:tcBorders>
            <w:noWrap/>
            <w:vAlign w:val="bottom"/>
            <w:hideMark/>
          </w:tcPr>
          <w:p w:rsidR="00666764" w:rsidRDefault="00666764" w:rsidP="00666764">
            <w:pPr>
              <w:jc w:val="center"/>
              <w:rPr>
                <w:sz w:val="18"/>
                <w:szCs w:val="18"/>
              </w:rPr>
            </w:pPr>
            <w:r>
              <w:rPr>
                <w:sz w:val="18"/>
                <w:szCs w:val="18"/>
              </w:rPr>
              <w:t>0,000</w:t>
            </w:r>
          </w:p>
        </w:tc>
        <w:tc>
          <w:tcPr>
            <w:tcW w:w="1329" w:type="dxa"/>
            <w:tcBorders>
              <w:top w:val="nil"/>
              <w:left w:val="nil"/>
              <w:bottom w:val="single" w:sz="4" w:space="0" w:color="auto"/>
              <w:right w:val="single" w:sz="4" w:space="0" w:color="auto"/>
            </w:tcBorders>
            <w:noWrap/>
            <w:vAlign w:val="bottom"/>
            <w:hideMark/>
          </w:tcPr>
          <w:p w:rsidR="00666764" w:rsidRDefault="00666764" w:rsidP="00666764">
            <w:pPr>
              <w:ind w:right="158"/>
              <w:jc w:val="right"/>
              <w:rPr>
                <w:sz w:val="18"/>
                <w:szCs w:val="18"/>
              </w:rPr>
            </w:pPr>
            <w:r>
              <w:rPr>
                <w:sz w:val="18"/>
                <w:szCs w:val="18"/>
              </w:rPr>
              <w:t>63.266,60</w:t>
            </w:r>
          </w:p>
        </w:tc>
        <w:tc>
          <w:tcPr>
            <w:tcW w:w="1167" w:type="dxa"/>
            <w:tcBorders>
              <w:top w:val="nil"/>
              <w:left w:val="nil"/>
              <w:bottom w:val="single" w:sz="4" w:space="0" w:color="auto"/>
              <w:right w:val="single" w:sz="4" w:space="0" w:color="auto"/>
            </w:tcBorders>
            <w:noWrap/>
            <w:vAlign w:val="bottom"/>
            <w:hideMark/>
          </w:tcPr>
          <w:p w:rsidR="00666764" w:rsidRDefault="00666764" w:rsidP="00666764">
            <w:pPr>
              <w:jc w:val="center"/>
              <w:rPr>
                <w:sz w:val="18"/>
                <w:szCs w:val="18"/>
              </w:rPr>
            </w:pPr>
            <w:r>
              <w:rPr>
                <w:sz w:val="18"/>
                <w:szCs w:val="18"/>
              </w:rPr>
              <w:t>74,96</w:t>
            </w:r>
          </w:p>
        </w:tc>
        <w:tc>
          <w:tcPr>
            <w:tcW w:w="1591" w:type="dxa"/>
            <w:tcBorders>
              <w:top w:val="nil"/>
              <w:left w:val="nil"/>
              <w:bottom w:val="single" w:sz="4" w:space="0" w:color="auto"/>
              <w:right w:val="single" w:sz="4" w:space="0" w:color="auto"/>
            </w:tcBorders>
            <w:noWrap/>
            <w:vAlign w:val="bottom"/>
            <w:hideMark/>
          </w:tcPr>
          <w:p w:rsidR="00666764" w:rsidRDefault="00666764" w:rsidP="00666764">
            <w:pPr>
              <w:ind w:right="214"/>
              <w:jc w:val="right"/>
              <w:rPr>
                <w:sz w:val="18"/>
                <w:szCs w:val="18"/>
              </w:rPr>
            </w:pPr>
            <w:r>
              <w:rPr>
                <w:sz w:val="18"/>
                <w:szCs w:val="18"/>
              </w:rPr>
              <w:t>8.223,60</w:t>
            </w:r>
          </w:p>
        </w:tc>
        <w:tc>
          <w:tcPr>
            <w:tcW w:w="1163" w:type="dxa"/>
            <w:tcBorders>
              <w:top w:val="nil"/>
              <w:left w:val="nil"/>
              <w:bottom w:val="single" w:sz="4" w:space="0" w:color="auto"/>
              <w:right w:val="single" w:sz="4" w:space="0" w:color="auto"/>
            </w:tcBorders>
            <w:noWrap/>
            <w:vAlign w:val="bottom"/>
            <w:hideMark/>
          </w:tcPr>
          <w:p w:rsidR="00666764" w:rsidRDefault="00666764" w:rsidP="00666764">
            <w:pPr>
              <w:ind w:right="213"/>
              <w:jc w:val="right"/>
              <w:rPr>
                <w:sz w:val="18"/>
                <w:szCs w:val="18"/>
              </w:rPr>
            </w:pPr>
            <w:r>
              <w:rPr>
                <w:sz w:val="18"/>
                <w:szCs w:val="18"/>
              </w:rPr>
              <w:t>9,74</w:t>
            </w:r>
          </w:p>
        </w:tc>
        <w:tc>
          <w:tcPr>
            <w:tcW w:w="1412" w:type="dxa"/>
            <w:tcBorders>
              <w:top w:val="nil"/>
              <w:left w:val="nil"/>
              <w:bottom w:val="single" w:sz="4" w:space="0" w:color="auto"/>
              <w:right w:val="single" w:sz="4" w:space="0" w:color="auto"/>
            </w:tcBorders>
            <w:noWrap/>
            <w:vAlign w:val="bottom"/>
            <w:hideMark/>
          </w:tcPr>
          <w:p w:rsidR="00666764" w:rsidRDefault="00666764" w:rsidP="00666764">
            <w:pPr>
              <w:ind w:right="174"/>
              <w:jc w:val="right"/>
              <w:rPr>
                <w:sz w:val="18"/>
                <w:szCs w:val="18"/>
              </w:rPr>
            </w:pPr>
            <w:r>
              <w:rPr>
                <w:sz w:val="18"/>
                <w:szCs w:val="18"/>
              </w:rPr>
              <w:t>12.914,77</w:t>
            </w:r>
          </w:p>
        </w:tc>
        <w:tc>
          <w:tcPr>
            <w:tcW w:w="1083" w:type="dxa"/>
            <w:tcBorders>
              <w:top w:val="nil"/>
              <w:left w:val="nil"/>
              <w:bottom w:val="single" w:sz="4" w:space="0" w:color="auto"/>
              <w:right w:val="single" w:sz="4" w:space="0" w:color="auto"/>
            </w:tcBorders>
            <w:noWrap/>
            <w:vAlign w:val="bottom"/>
            <w:hideMark/>
          </w:tcPr>
          <w:p w:rsidR="00666764" w:rsidRDefault="00666764" w:rsidP="00666764">
            <w:pPr>
              <w:jc w:val="center"/>
              <w:rPr>
                <w:sz w:val="18"/>
                <w:szCs w:val="18"/>
              </w:rPr>
            </w:pPr>
            <w:r>
              <w:rPr>
                <w:sz w:val="18"/>
                <w:szCs w:val="18"/>
              </w:rPr>
              <w:t>15,30</w:t>
            </w:r>
          </w:p>
        </w:tc>
        <w:tc>
          <w:tcPr>
            <w:tcW w:w="1185" w:type="dxa"/>
            <w:tcBorders>
              <w:top w:val="nil"/>
              <w:left w:val="nil"/>
              <w:bottom w:val="single" w:sz="4" w:space="0" w:color="auto"/>
              <w:right w:val="single" w:sz="4" w:space="0" w:color="auto"/>
            </w:tcBorders>
            <w:noWrap/>
            <w:vAlign w:val="bottom"/>
            <w:hideMark/>
          </w:tcPr>
          <w:p w:rsidR="00666764" w:rsidRDefault="00666764" w:rsidP="00666764">
            <w:pPr>
              <w:ind w:right="214"/>
              <w:jc w:val="right"/>
              <w:rPr>
                <w:sz w:val="18"/>
                <w:szCs w:val="18"/>
              </w:rPr>
            </w:pPr>
            <w:r>
              <w:rPr>
                <w:sz w:val="18"/>
                <w:szCs w:val="18"/>
              </w:rPr>
              <w:t>84.404,97</w:t>
            </w:r>
          </w:p>
        </w:tc>
      </w:tr>
      <w:tr w:rsidR="00666764" w:rsidTr="00666764">
        <w:trPr>
          <w:trHeight w:val="255"/>
        </w:trPr>
        <w:tc>
          <w:tcPr>
            <w:tcW w:w="3168" w:type="dxa"/>
            <w:tcBorders>
              <w:top w:val="nil"/>
              <w:left w:val="single" w:sz="4" w:space="0" w:color="auto"/>
              <w:bottom w:val="single" w:sz="4" w:space="0" w:color="auto"/>
              <w:right w:val="single" w:sz="4" w:space="0" w:color="auto"/>
            </w:tcBorders>
            <w:noWrap/>
            <w:vAlign w:val="bottom"/>
            <w:hideMark/>
          </w:tcPr>
          <w:p w:rsidR="00666764" w:rsidRDefault="00666764" w:rsidP="00666764">
            <w:pPr>
              <w:rPr>
                <w:sz w:val="18"/>
                <w:szCs w:val="18"/>
              </w:rPr>
            </w:pPr>
            <w:proofErr w:type="spellStart"/>
            <w:r>
              <w:rPr>
                <w:sz w:val="18"/>
                <w:szCs w:val="18"/>
              </w:rPr>
              <w:t>DBHko</w:t>
            </w:r>
            <w:proofErr w:type="spellEnd"/>
            <w:r>
              <w:rPr>
                <w:sz w:val="18"/>
                <w:szCs w:val="18"/>
              </w:rPr>
              <w:t xml:space="preserve"> HIRUGARREN ETA LAUGARREN MAILAK</w:t>
            </w:r>
          </w:p>
        </w:tc>
        <w:tc>
          <w:tcPr>
            <w:tcW w:w="1134" w:type="dxa"/>
            <w:tcBorders>
              <w:top w:val="nil"/>
              <w:left w:val="nil"/>
              <w:bottom w:val="single" w:sz="4" w:space="0" w:color="auto"/>
              <w:right w:val="single" w:sz="4" w:space="0" w:color="auto"/>
            </w:tcBorders>
            <w:noWrap/>
            <w:vAlign w:val="bottom"/>
            <w:hideMark/>
          </w:tcPr>
          <w:p w:rsidR="00666764" w:rsidRDefault="00666764" w:rsidP="00666764">
            <w:pPr>
              <w:jc w:val="center"/>
              <w:rPr>
                <w:sz w:val="18"/>
                <w:szCs w:val="18"/>
              </w:rPr>
            </w:pPr>
            <w:r>
              <w:rPr>
                <w:sz w:val="18"/>
                <w:szCs w:val="18"/>
              </w:rPr>
              <w:t>1,728</w:t>
            </w:r>
          </w:p>
        </w:tc>
        <w:tc>
          <w:tcPr>
            <w:tcW w:w="1276" w:type="dxa"/>
            <w:tcBorders>
              <w:top w:val="nil"/>
              <w:left w:val="nil"/>
              <w:bottom w:val="single" w:sz="4" w:space="0" w:color="auto"/>
              <w:right w:val="single" w:sz="4" w:space="0" w:color="auto"/>
            </w:tcBorders>
            <w:noWrap/>
            <w:vAlign w:val="bottom"/>
            <w:hideMark/>
          </w:tcPr>
          <w:p w:rsidR="00666764" w:rsidRDefault="00666764" w:rsidP="00666764">
            <w:pPr>
              <w:jc w:val="center"/>
              <w:rPr>
                <w:sz w:val="18"/>
                <w:szCs w:val="18"/>
              </w:rPr>
            </w:pPr>
            <w:r>
              <w:rPr>
                <w:sz w:val="18"/>
                <w:szCs w:val="18"/>
              </w:rPr>
              <w:t>0,000</w:t>
            </w:r>
          </w:p>
        </w:tc>
        <w:tc>
          <w:tcPr>
            <w:tcW w:w="1329" w:type="dxa"/>
            <w:tcBorders>
              <w:top w:val="nil"/>
              <w:left w:val="nil"/>
              <w:bottom w:val="single" w:sz="4" w:space="0" w:color="auto"/>
              <w:right w:val="single" w:sz="4" w:space="0" w:color="auto"/>
            </w:tcBorders>
            <w:noWrap/>
            <w:vAlign w:val="bottom"/>
            <w:hideMark/>
          </w:tcPr>
          <w:p w:rsidR="00666764" w:rsidRDefault="00666764" w:rsidP="00666764">
            <w:pPr>
              <w:ind w:right="158"/>
              <w:jc w:val="right"/>
              <w:rPr>
                <w:sz w:val="18"/>
                <w:szCs w:val="18"/>
              </w:rPr>
            </w:pPr>
            <w:r>
              <w:rPr>
                <w:sz w:val="18"/>
                <w:szCs w:val="18"/>
              </w:rPr>
              <w:t>71.906,15</w:t>
            </w:r>
          </w:p>
        </w:tc>
        <w:tc>
          <w:tcPr>
            <w:tcW w:w="1167" w:type="dxa"/>
            <w:tcBorders>
              <w:top w:val="nil"/>
              <w:left w:val="nil"/>
              <w:bottom w:val="single" w:sz="4" w:space="0" w:color="auto"/>
              <w:right w:val="single" w:sz="4" w:space="0" w:color="auto"/>
            </w:tcBorders>
            <w:noWrap/>
            <w:vAlign w:val="bottom"/>
            <w:hideMark/>
          </w:tcPr>
          <w:p w:rsidR="00666764" w:rsidRDefault="00666764" w:rsidP="00666764">
            <w:pPr>
              <w:jc w:val="center"/>
              <w:rPr>
                <w:sz w:val="18"/>
                <w:szCs w:val="18"/>
              </w:rPr>
            </w:pPr>
            <w:r>
              <w:rPr>
                <w:sz w:val="18"/>
                <w:szCs w:val="18"/>
              </w:rPr>
              <w:t>74,34</w:t>
            </w:r>
          </w:p>
        </w:tc>
        <w:tc>
          <w:tcPr>
            <w:tcW w:w="1591" w:type="dxa"/>
            <w:tcBorders>
              <w:top w:val="nil"/>
              <w:left w:val="nil"/>
              <w:bottom w:val="single" w:sz="4" w:space="0" w:color="auto"/>
              <w:right w:val="single" w:sz="4" w:space="0" w:color="auto"/>
            </w:tcBorders>
            <w:noWrap/>
            <w:vAlign w:val="bottom"/>
            <w:hideMark/>
          </w:tcPr>
          <w:p w:rsidR="00666764" w:rsidRDefault="00666764" w:rsidP="00666764">
            <w:pPr>
              <w:ind w:right="214"/>
              <w:jc w:val="right"/>
              <w:rPr>
                <w:sz w:val="18"/>
                <w:szCs w:val="18"/>
              </w:rPr>
            </w:pPr>
            <w:r>
              <w:rPr>
                <w:sz w:val="18"/>
                <w:szCs w:val="18"/>
              </w:rPr>
              <w:t>10.323,02</w:t>
            </w:r>
          </w:p>
        </w:tc>
        <w:tc>
          <w:tcPr>
            <w:tcW w:w="1163" w:type="dxa"/>
            <w:tcBorders>
              <w:top w:val="nil"/>
              <w:left w:val="nil"/>
              <w:bottom w:val="single" w:sz="4" w:space="0" w:color="auto"/>
              <w:right w:val="single" w:sz="4" w:space="0" w:color="auto"/>
            </w:tcBorders>
            <w:noWrap/>
            <w:vAlign w:val="bottom"/>
            <w:hideMark/>
          </w:tcPr>
          <w:p w:rsidR="00666764" w:rsidRDefault="00666764" w:rsidP="00666764">
            <w:pPr>
              <w:ind w:right="213"/>
              <w:jc w:val="right"/>
              <w:rPr>
                <w:sz w:val="18"/>
                <w:szCs w:val="18"/>
              </w:rPr>
            </w:pPr>
            <w:r>
              <w:rPr>
                <w:sz w:val="18"/>
                <w:szCs w:val="18"/>
              </w:rPr>
              <w:t>10,67</w:t>
            </w:r>
          </w:p>
        </w:tc>
        <w:tc>
          <w:tcPr>
            <w:tcW w:w="1412" w:type="dxa"/>
            <w:tcBorders>
              <w:top w:val="nil"/>
              <w:left w:val="nil"/>
              <w:bottom w:val="single" w:sz="4" w:space="0" w:color="auto"/>
              <w:right w:val="single" w:sz="4" w:space="0" w:color="auto"/>
            </w:tcBorders>
            <w:noWrap/>
            <w:vAlign w:val="bottom"/>
            <w:hideMark/>
          </w:tcPr>
          <w:p w:rsidR="00666764" w:rsidRDefault="00666764" w:rsidP="00666764">
            <w:pPr>
              <w:ind w:right="174"/>
              <w:jc w:val="right"/>
              <w:rPr>
                <w:sz w:val="18"/>
                <w:szCs w:val="18"/>
              </w:rPr>
            </w:pPr>
            <w:r>
              <w:rPr>
                <w:sz w:val="18"/>
                <w:szCs w:val="18"/>
              </w:rPr>
              <w:t>14.496,42</w:t>
            </w:r>
          </w:p>
        </w:tc>
        <w:tc>
          <w:tcPr>
            <w:tcW w:w="1083" w:type="dxa"/>
            <w:tcBorders>
              <w:top w:val="nil"/>
              <w:left w:val="nil"/>
              <w:bottom w:val="single" w:sz="4" w:space="0" w:color="auto"/>
              <w:right w:val="single" w:sz="4" w:space="0" w:color="auto"/>
            </w:tcBorders>
            <w:noWrap/>
            <w:vAlign w:val="bottom"/>
            <w:hideMark/>
          </w:tcPr>
          <w:p w:rsidR="00666764" w:rsidRDefault="00666764" w:rsidP="00666764">
            <w:pPr>
              <w:jc w:val="center"/>
              <w:rPr>
                <w:sz w:val="18"/>
                <w:szCs w:val="18"/>
              </w:rPr>
            </w:pPr>
            <w:r>
              <w:rPr>
                <w:sz w:val="18"/>
                <w:szCs w:val="18"/>
              </w:rPr>
              <w:t>14,99</w:t>
            </w:r>
          </w:p>
        </w:tc>
        <w:tc>
          <w:tcPr>
            <w:tcW w:w="1185" w:type="dxa"/>
            <w:tcBorders>
              <w:top w:val="nil"/>
              <w:left w:val="nil"/>
              <w:bottom w:val="single" w:sz="4" w:space="0" w:color="auto"/>
              <w:right w:val="single" w:sz="4" w:space="0" w:color="auto"/>
            </w:tcBorders>
            <w:noWrap/>
            <w:vAlign w:val="bottom"/>
            <w:hideMark/>
          </w:tcPr>
          <w:p w:rsidR="00666764" w:rsidRDefault="00666764" w:rsidP="00666764">
            <w:pPr>
              <w:ind w:right="214"/>
              <w:jc w:val="right"/>
              <w:rPr>
                <w:sz w:val="18"/>
                <w:szCs w:val="18"/>
              </w:rPr>
            </w:pPr>
            <w:r>
              <w:rPr>
                <w:sz w:val="18"/>
                <w:szCs w:val="18"/>
              </w:rPr>
              <w:t>96.725,59</w:t>
            </w:r>
          </w:p>
        </w:tc>
      </w:tr>
      <w:tr w:rsidR="00666764" w:rsidTr="00666764">
        <w:trPr>
          <w:trHeight w:val="255"/>
        </w:trPr>
        <w:tc>
          <w:tcPr>
            <w:tcW w:w="3168" w:type="dxa"/>
            <w:tcBorders>
              <w:top w:val="nil"/>
              <w:left w:val="single" w:sz="4" w:space="0" w:color="auto"/>
              <w:bottom w:val="single" w:sz="4" w:space="0" w:color="auto"/>
              <w:right w:val="single" w:sz="4" w:space="0" w:color="auto"/>
            </w:tcBorders>
            <w:noWrap/>
            <w:vAlign w:val="bottom"/>
            <w:hideMark/>
          </w:tcPr>
          <w:p w:rsidR="00666764" w:rsidRDefault="00666764" w:rsidP="00666764">
            <w:pPr>
              <w:rPr>
                <w:sz w:val="18"/>
                <w:szCs w:val="18"/>
              </w:rPr>
            </w:pPr>
            <w:r>
              <w:rPr>
                <w:sz w:val="18"/>
                <w:szCs w:val="18"/>
              </w:rPr>
              <w:t>DBH eta LEHEN HEZK. 2. ETA 3. MAILAK</w:t>
            </w:r>
          </w:p>
        </w:tc>
        <w:tc>
          <w:tcPr>
            <w:tcW w:w="1134" w:type="dxa"/>
            <w:tcBorders>
              <w:top w:val="nil"/>
              <w:left w:val="nil"/>
              <w:bottom w:val="single" w:sz="4" w:space="0" w:color="auto"/>
              <w:right w:val="single" w:sz="4" w:space="0" w:color="auto"/>
            </w:tcBorders>
            <w:noWrap/>
            <w:vAlign w:val="bottom"/>
            <w:hideMark/>
          </w:tcPr>
          <w:p w:rsidR="00666764" w:rsidRDefault="00666764" w:rsidP="00666764">
            <w:pPr>
              <w:jc w:val="center"/>
              <w:rPr>
                <w:sz w:val="18"/>
                <w:szCs w:val="18"/>
              </w:rPr>
            </w:pPr>
            <w:r>
              <w:rPr>
                <w:sz w:val="18"/>
                <w:szCs w:val="18"/>
              </w:rPr>
              <w:t>1,391</w:t>
            </w:r>
          </w:p>
        </w:tc>
        <w:tc>
          <w:tcPr>
            <w:tcW w:w="1276" w:type="dxa"/>
            <w:tcBorders>
              <w:top w:val="nil"/>
              <w:left w:val="nil"/>
              <w:bottom w:val="single" w:sz="4" w:space="0" w:color="auto"/>
              <w:right w:val="single" w:sz="4" w:space="0" w:color="auto"/>
            </w:tcBorders>
            <w:noWrap/>
            <w:vAlign w:val="bottom"/>
            <w:hideMark/>
          </w:tcPr>
          <w:p w:rsidR="00666764" w:rsidRDefault="00666764" w:rsidP="00666764">
            <w:pPr>
              <w:jc w:val="center"/>
              <w:rPr>
                <w:sz w:val="18"/>
                <w:szCs w:val="18"/>
              </w:rPr>
            </w:pPr>
            <w:r>
              <w:rPr>
                <w:sz w:val="18"/>
                <w:szCs w:val="18"/>
              </w:rPr>
              <w:t>0,000</w:t>
            </w:r>
          </w:p>
        </w:tc>
        <w:tc>
          <w:tcPr>
            <w:tcW w:w="1329" w:type="dxa"/>
            <w:tcBorders>
              <w:top w:val="nil"/>
              <w:left w:val="nil"/>
              <w:bottom w:val="single" w:sz="4" w:space="0" w:color="auto"/>
              <w:right w:val="single" w:sz="4" w:space="0" w:color="auto"/>
            </w:tcBorders>
            <w:noWrap/>
            <w:vAlign w:val="bottom"/>
            <w:hideMark/>
          </w:tcPr>
          <w:p w:rsidR="00666764" w:rsidRDefault="00666764" w:rsidP="00666764">
            <w:pPr>
              <w:ind w:right="158"/>
              <w:jc w:val="right"/>
              <w:rPr>
                <w:sz w:val="18"/>
                <w:szCs w:val="18"/>
              </w:rPr>
            </w:pPr>
            <w:r>
              <w:rPr>
                <w:sz w:val="18"/>
                <w:szCs w:val="18"/>
              </w:rPr>
              <w:t>57.886,71</w:t>
            </w:r>
          </w:p>
        </w:tc>
        <w:tc>
          <w:tcPr>
            <w:tcW w:w="1167" w:type="dxa"/>
            <w:tcBorders>
              <w:top w:val="nil"/>
              <w:left w:val="nil"/>
              <w:bottom w:val="single" w:sz="4" w:space="0" w:color="auto"/>
              <w:right w:val="single" w:sz="4" w:space="0" w:color="auto"/>
            </w:tcBorders>
            <w:noWrap/>
            <w:vAlign w:val="bottom"/>
            <w:hideMark/>
          </w:tcPr>
          <w:p w:rsidR="00666764" w:rsidRDefault="00666764" w:rsidP="00666764">
            <w:pPr>
              <w:jc w:val="center"/>
              <w:rPr>
                <w:sz w:val="18"/>
                <w:szCs w:val="18"/>
              </w:rPr>
            </w:pPr>
            <w:r>
              <w:rPr>
                <w:sz w:val="18"/>
                <w:szCs w:val="18"/>
              </w:rPr>
              <w:t>71,82</w:t>
            </w:r>
          </w:p>
        </w:tc>
        <w:tc>
          <w:tcPr>
            <w:tcW w:w="1591" w:type="dxa"/>
            <w:tcBorders>
              <w:top w:val="nil"/>
              <w:left w:val="nil"/>
              <w:bottom w:val="single" w:sz="4" w:space="0" w:color="auto"/>
              <w:right w:val="single" w:sz="4" w:space="0" w:color="auto"/>
            </w:tcBorders>
            <w:noWrap/>
            <w:vAlign w:val="bottom"/>
            <w:hideMark/>
          </w:tcPr>
          <w:p w:rsidR="00666764" w:rsidRDefault="00666764" w:rsidP="00666764">
            <w:pPr>
              <w:ind w:right="214"/>
              <w:jc w:val="right"/>
              <w:rPr>
                <w:sz w:val="18"/>
                <w:szCs w:val="18"/>
              </w:rPr>
            </w:pPr>
            <w:r>
              <w:rPr>
                <w:sz w:val="18"/>
                <w:szCs w:val="18"/>
              </w:rPr>
              <w:t>8.216,56</w:t>
            </w:r>
          </w:p>
        </w:tc>
        <w:tc>
          <w:tcPr>
            <w:tcW w:w="1163" w:type="dxa"/>
            <w:tcBorders>
              <w:top w:val="nil"/>
              <w:left w:val="nil"/>
              <w:bottom w:val="single" w:sz="4" w:space="0" w:color="auto"/>
              <w:right w:val="single" w:sz="4" w:space="0" w:color="auto"/>
            </w:tcBorders>
            <w:noWrap/>
            <w:vAlign w:val="bottom"/>
            <w:hideMark/>
          </w:tcPr>
          <w:p w:rsidR="00666764" w:rsidRDefault="00666764" w:rsidP="00666764">
            <w:pPr>
              <w:ind w:right="213"/>
              <w:jc w:val="right"/>
              <w:rPr>
                <w:sz w:val="18"/>
                <w:szCs w:val="18"/>
              </w:rPr>
            </w:pPr>
            <w:r>
              <w:rPr>
                <w:sz w:val="18"/>
                <w:szCs w:val="18"/>
              </w:rPr>
              <w:t>10,19</w:t>
            </w:r>
          </w:p>
        </w:tc>
        <w:tc>
          <w:tcPr>
            <w:tcW w:w="1412" w:type="dxa"/>
            <w:tcBorders>
              <w:top w:val="nil"/>
              <w:left w:val="nil"/>
              <w:bottom w:val="single" w:sz="4" w:space="0" w:color="auto"/>
              <w:right w:val="single" w:sz="4" w:space="0" w:color="auto"/>
            </w:tcBorders>
            <w:noWrap/>
            <w:vAlign w:val="bottom"/>
            <w:hideMark/>
          </w:tcPr>
          <w:p w:rsidR="00666764" w:rsidRDefault="00666764" w:rsidP="00666764">
            <w:pPr>
              <w:ind w:right="174"/>
              <w:jc w:val="right"/>
              <w:rPr>
                <w:sz w:val="18"/>
                <w:szCs w:val="18"/>
              </w:rPr>
            </w:pPr>
            <w:r>
              <w:rPr>
                <w:sz w:val="18"/>
                <w:szCs w:val="18"/>
              </w:rPr>
              <w:t>14.496,42</w:t>
            </w:r>
          </w:p>
        </w:tc>
        <w:tc>
          <w:tcPr>
            <w:tcW w:w="1083" w:type="dxa"/>
            <w:tcBorders>
              <w:top w:val="nil"/>
              <w:left w:val="nil"/>
              <w:bottom w:val="single" w:sz="4" w:space="0" w:color="auto"/>
              <w:right w:val="single" w:sz="4" w:space="0" w:color="auto"/>
            </w:tcBorders>
            <w:noWrap/>
            <w:vAlign w:val="bottom"/>
            <w:hideMark/>
          </w:tcPr>
          <w:p w:rsidR="00666764" w:rsidRDefault="00666764" w:rsidP="00666764">
            <w:pPr>
              <w:jc w:val="center"/>
              <w:rPr>
                <w:sz w:val="18"/>
                <w:szCs w:val="18"/>
              </w:rPr>
            </w:pPr>
            <w:r>
              <w:rPr>
                <w:sz w:val="18"/>
                <w:szCs w:val="18"/>
              </w:rPr>
              <w:t>% 17,99</w:t>
            </w:r>
          </w:p>
        </w:tc>
        <w:tc>
          <w:tcPr>
            <w:tcW w:w="1185" w:type="dxa"/>
            <w:tcBorders>
              <w:top w:val="nil"/>
              <w:left w:val="nil"/>
              <w:bottom w:val="single" w:sz="4" w:space="0" w:color="auto"/>
              <w:right w:val="single" w:sz="4" w:space="0" w:color="auto"/>
            </w:tcBorders>
            <w:noWrap/>
            <w:vAlign w:val="bottom"/>
            <w:hideMark/>
          </w:tcPr>
          <w:p w:rsidR="00666764" w:rsidRDefault="00666764" w:rsidP="00666764">
            <w:pPr>
              <w:ind w:right="214"/>
              <w:jc w:val="right"/>
              <w:rPr>
                <w:sz w:val="18"/>
                <w:szCs w:val="18"/>
              </w:rPr>
            </w:pPr>
            <w:r>
              <w:rPr>
                <w:sz w:val="18"/>
                <w:szCs w:val="18"/>
              </w:rPr>
              <w:t>80.599,69</w:t>
            </w:r>
          </w:p>
        </w:tc>
      </w:tr>
      <w:tr w:rsidR="00666764" w:rsidTr="00666764">
        <w:trPr>
          <w:trHeight w:val="255"/>
        </w:trPr>
        <w:tc>
          <w:tcPr>
            <w:tcW w:w="3168" w:type="dxa"/>
            <w:tcBorders>
              <w:top w:val="nil"/>
              <w:left w:val="single" w:sz="4" w:space="0" w:color="auto"/>
              <w:bottom w:val="single" w:sz="4" w:space="0" w:color="auto"/>
              <w:right w:val="single" w:sz="4" w:space="0" w:color="auto"/>
            </w:tcBorders>
            <w:noWrap/>
            <w:vAlign w:val="bottom"/>
            <w:hideMark/>
          </w:tcPr>
          <w:p w:rsidR="00666764" w:rsidRDefault="00666764" w:rsidP="00666764">
            <w:pPr>
              <w:rPr>
                <w:sz w:val="18"/>
                <w:szCs w:val="18"/>
              </w:rPr>
            </w:pPr>
            <w:r>
              <w:rPr>
                <w:sz w:val="18"/>
                <w:szCs w:val="18"/>
              </w:rPr>
              <w:t>DBH CURRICULUM EGOKITUAREN PROGRAMA</w:t>
            </w:r>
          </w:p>
        </w:tc>
        <w:tc>
          <w:tcPr>
            <w:tcW w:w="1134" w:type="dxa"/>
            <w:tcBorders>
              <w:top w:val="nil"/>
              <w:left w:val="nil"/>
              <w:bottom w:val="single" w:sz="4" w:space="0" w:color="auto"/>
              <w:right w:val="single" w:sz="4" w:space="0" w:color="auto"/>
            </w:tcBorders>
            <w:noWrap/>
            <w:vAlign w:val="bottom"/>
            <w:hideMark/>
          </w:tcPr>
          <w:p w:rsidR="00666764" w:rsidRDefault="00666764" w:rsidP="00666764">
            <w:pPr>
              <w:jc w:val="center"/>
              <w:rPr>
                <w:sz w:val="18"/>
                <w:szCs w:val="18"/>
              </w:rPr>
            </w:pPr>
            <w:r>
              <w:rPr>
                <w:sz w:val="18"/>
                <w:szCs w:val="18"/>
              </w:rPr>
              <w:t>0,957</w:t>
            </w:r>
          </w:p>
        </w:tc>
        <w:tc>
          <w:tcPr>
            <w:tcW w:w="1276" w:type="dxa"/>
            <w:tcBorders>
              <w:top w:val="nil"/>
              <w:left w:val="nil"/>
              <w:bottom w:val="single" w:sz="4" w:space="0" w:color="auto"/>
              <w:right w:val="single" w:sz="4" w:space="0" w:color="auto"/>
            </w:tcBorders>
            <w:noWrap/>
            <w:vAlign w:val="bottom"/>
            <w:hideMark/>
          </w:tcPr>
          <w:p w:rsidR="00666764" w:rsidRDefault="00666764" w:rsidP="00666764">
            <w:pPr>
              <w:jc w:val="center"/>
              <w:rPr>
                <w:sz w:val="18"/>
                <w:szCs w:val="18"/>
              </w:rPr>
            </w:pPr>
            <w:r>
              <w:rPr>
                <w:sz w:val="18"/>
                <w:szCs w:val="18"/>
              </w:rPr>
              <w:t>0,652</w:t>
            </w:r>
          </w:p>
        </w:tc>
        <w:tc>
          <w:tcPr>
            <w:tcW w:w="1329" w:type="dxa"/>
            <w:tcBorders>
              <w:top w:val="nil"/>
              <w:left w:val="nil"/>
              <w:bottom w:val="single" w:sz="4" w:space="0" w:color="auto"/>
              <w:right w:val="single" w:sz="4" w:space="0" w:color="auto"/>
            </w:tcBorders>
            <w:noWrap/>
            <w:vAlign w:val="bottom"/>
            <w:hideMark/>
          </w:tcPr>
          <w:p w:rsidR="00666764" w:rsidRDefault="00666764" w:rsidP="00666764">
            <w:pPr>
              <w:ind w:right="158"/>
              <w:jc w:val="right"/>
              <w:rPr>
                <w:sz w:val="18"/>
                <w:szCs w:val="18"/>
              </w:rPr>
            </w:pPr>
            <w:r>
              <w:rPr>
                <w:sz w:val="18"/>
                <w:szCs w:val="18"/>
              </w:rPr>
              <w:t>64.623,72</w:t>
            </w:r>
          </w:p>
        </w:tc>
        <w:tc>
          <w:tcPr>
            <w:tcW w:w="1167" w:type="dxa"/>
            <w:tcBorders>
              <w:top w:val="nil"/>
              <w:left w:val="nil"/>
              <w:bottom w:val="single" w:sz="4" w:space="0" w:color="auto"/>
              <w:right w:val="single" w:sz="4" w:space="0" w:color="auto"/>
            </w:tcBorders>
            <w:noWrap/>
            <w:vAlign w:val="bottom"/>
            <w:hideMark/>
          </w:tcPr>
          <w:p w:rsidR="00666764" w:rsidRDefault="00666764" w:rsidP="00666764">
            <w:pPr>
              <w:jc w:val="center"/>
              <w:rPr>
                <w:sz w:val="18"/>
                <w:szCs w:val="18"/>
              </w:rPr>
            </w:pPr>
            <w:r>
              <w:rPr>
                <w:sz w:val="18"/>
                <w:szCs w:val="18"/>
              </w:rPr>
              <w:t>% 72,60</w:t>
            </w:r>
          </w:p>
        </w:tc>
        <w:tc>
          <w:tcPr>
            <w:tcW w:w="1591" w:type="dxa"/>
            <w:tcBorders>
              <w:top w:val="nil"/>
              <w:left w:val="nil"/>
              <w:bottom w:val="single" w:sz="4" w:space="0" w:color="auto"/>
              <w:right w:val="single" w:sz="4" w:space="0" w:color="auto"/>
            </w:tcBorders>
            <w:noWrap/>
            <w:vAlign w:val="bottom"/>
            <w:hideMark/>
          </w:tcPr>
          <w:p w:rsidR="00666764" w:rsidRDefault="00666764" w:rsidP="00666764">
            <w:pPr>
              <w:ind w:right="214"/>
              <w:jc w:val="right"/>
              <w:rPr>
                <w:sz w:val="18"/>
                <w:szCs w:val="18"/>
              </w:rPr>
            </w:pPr>
            <w:r>
              <w:rPr>
                <w:sz w:val="18"/>
                <w:szCs w:val="18"/>
              </w:rPr>
              <w:t>9.897,37</w:t>
            </w:r>
          </w:p>
        </w:tc>
        <w:tc>
          <w:tcPr>
            <w:tcW w:w="1163" w:type="dxa"/>
            <w:tcBorders>
              <w:top w:val="nil"/>
              <w:left w:val="nil"/>
              <w:bottom w:val="single" w:sz="4" w:space="0" w:color="auto"/>
              <w:right w:val="single" w:sz="4" w:space="0" w:color="auto"/>
            </w:tcBorders>
            <w:noWrap/>
            <w:vAlign w:val="bottom"/>
            <w:hideMark/>
          </w:tcPr>
          <w:p w:rsidR="00666764" w:rsidRDefault="00666764" w:rsidP="00666764">
            <w:pPr>
              <w:ind w:right="213"/>
              <w:jc w:val="right"/>
              <w:rPr>
                <w:sz w:val="18"/>
                <w:szCs w:val="18"/>
              </w:rPr>
            </w:pPr>
            <w:r>
              <w:rPr>
                <w:sz w:val="18"/>
                <w:szCs w:val="18"/>
              </w:rPr>
              <w:t>% 11,12</w:t>
            </w:r>
          </w:p>
        </w:tc>
        <w:tc>
          <w:tcPr>
            <w:tcW w:w="1412" w:type="dxa"/>
            <w:tcBorders>
              <w:top w:val="nil"/>
              <w:left w:val="nil"/>
              <w:bottom w:val="single" w:sz="4" w:space="0" w:color="auto"/>
              <w:right w:val="single" w:sz="4" w:space="0" w:color="auto"/>
            </w:tcBorders>
            <w:noWrap/>
            <w:vAlign w:val="bottom"/>
            <w:hideMark/>
          </w:tcPr>
          <w:p w:rsidR="00666764" w:rsidRDefault="00666764" w:rsidP="00666764">
            <w:pPr>
              <w:ind w:right="174"/>
              <w:jc w:val="right"/>
              <w:rPr>
                <w:sz w:val="18"/>
                <w:szCs w:val="18"/>
              </w:rPr>
            </w:pPr>
            <w:r>
              <w:rPr>
                <w:sz w:val="18"/>
                <w:szCs w:val="18"/>
              </w:rPr>
              <w:t>14.496,42</w:t>
            </w:r>
          </w:p>
        </w:tc>
        <w:tc>
          <w:tcPr>
            <w:tcW w:w="1083" w:type="dxa"/>
            <w:tcBorders>
              <w:top w:val="nil"/>
              <w:left w:val="nil"/>
              <w:bottom w:val="single" w:sz="4" w:space="0" w:color="auto"/>
              <w:right w:val="single" w:sz="4" w:space="0" w:color="auto"/>
            </w:tcBorders>
            <w:noWrap/>
            <w:vAlign w:val="bottom"/>
            <w:hideMark/>
          </w:tcPr>
          <w:p w:rsidR="00666764" w:rsidRDefault="00666764" w:rsidP="00666764">
            <w:pPr>
              <w:jc w:val="center"/>
              <w:rPr>
                <w:sz w:val="18"/>
                <w:szCs w:val="18"/>
              </w:rPr>
            </w:pPr>
            <w:r>
              <w:rPr>
                <w:sz w:val="18"/>
                <w:szCs w:val="18"/>
              </w:rPr>
              <w:t>% 16,28</w:t>
            </w:r>
          </w:p>
        </w:tc>
        <w:tc>
          <w:tcPr>
            <w:tcW w:w="1185" w:type="dxa"/>
            <w:tcBorders>
              <w:top w:val="nil"/>
              <w:left w:val="nil"/>
              <w:bottom w:val="single" w:sz="4" w:space="0" w:color="auto"/>
              <w:right w:val="single" w:sz="4" w:space="0" w:color="auto"/>
            </w:tcBorders>
            <w:noWrap/>
            <w:vAlign w:val="bottom"/>
            <w:hideMark/>
          </w:tcPr>
          <w:p w:rsidR="00666764" w:rsidRDefault="00666764" w:rsidP="00666764">
            <w:pPr>
              <w:ind w:right="214"/>
              <w:jc w:val="right"/>
              <w:rPr>
                <w:sz w:val="18"/>
                <w:szCs w:val="18"/>
              </w:rPr>
            </w:pPr>
            <w:r>
              <w:rPr>
                <w:sz w:val="18"/>
                <w:szCs w:val="18"/>
              </w:rPr>
              <w:t>89.017,51</w:t>
            </w:r>
          </w:p>
        </w:tc>
      </w:tr>
      <w:tr w:rsidR="00666764" w:rsidTr="00666764">
        <w:trPr>
          <w:trHeight w:val="255"/>
        </w:trPr>
        <w:tc>
          <w:tcPr>
            <w:tcW w:w="3168" w:type="dxa"/>
            <w:tcBorders>
              <w:top w:val="nil"/>
              <w:left w:val="single" w:sz="4" w:space="0" w:color="auto"/>
              <w:bottom w:val="single" w:sz="4" w:space="0" w:color="auto"/>
              <w:right w:val="single" w:sz="4" w:space="0" w:color="auto"/>
            </w:tcBorders>
            <w:noWrap/>
            <w:vAlign w:val="bottom"/>
            <w:hideMark/>
          </w:tcPr>
          <w:p w:rsidR="00666764" w:rsidRDefault="00666764" w:rsidP="00666764">
            <w:pPr>
              <w:rPr>
                <w:sz w:val="18"/>
                <w:szCs w:val="18"/>
              </w:rPr>
            </w:pPr>
            <w:r>
              <w:rPr>
                <w:sz w:val="18"/>
                <w:szCs w:val="18"/>
              </w:rPr>
              <w:t>BATXILERGOA</w:t>
            </w:r>
          </w:p>
        </w:tc>
        <w:tc>
          <w:tcPr>
            <w:tcW w:w="1134" w:type="dxa"/>
            <w:tcBorders>
              <w:top w:val="nil"/>
              <w:left w:val="nil"/>
              <w:bottom w:val="single" w:sz="4" w:space="0" w:color="auto"/>
              <w:right w:val="single" w:sz="4" w:space="0" w:color="auto"/>
            </w:tcBorders>
            <w:noWrap/>
            <w:vAlign w:val="bottom"/>
            <w:hideMark/>
          </w:tcPr>
          <w:p w:rsidR="00666764" w:rsidRDefault="00666764" w:rsidP="00666764">
            <w:pPr>
              <w:jc w:val="center"/>
              <w:rPr>
                <w:sz w:val="18"/>
                <w:szCs w:val="18"/>
              </w:rPr>
            </w:pPr>
            <w:r>
              <w:rPr>
                <w:sz w:val="18"/>
                <w:szCs w:val="18"/>
              </w:rPr>
              <w:t>1,652</w:t>
            </w:r>
          </w:p>
        </w:tc>
        <w:tc>
          <w:tcPr>
            <w:tcW w:w="1276" w:type="dxa"/>
            <w:tcBorders>
              <w:top w:val="nil"/>
              <w:left w:val="nil"/>
              <w:bottom w:val="single" w:sz="4" w:space="0" w:color="auto"/>
              <w:right w:val="single" w:sz="4" w:space="0" w:color="auto"/>
            </w:tcBorders>
            <w:noWrap/>
            <w:vAlign w:val="bottom"/>
            <w:hideMark/>
          </w:tcPr>
          <w:p w:rsidR="00666764" w:rsidRDefault="00666764" w:rsidP="00666764">
            <w:pPr>
              <w:jc w:val="center"/>
              <w:rPr>
                <w:sz w:val="18"/>
                <w:szCs w:val="18"/>
              </w:rPr>
            </w:pPr>
            <w:r>
              <w:rPr>
                <w:sz w:val="18"/>
                <w:szCs w:val="18"/>
              </w:rPr>
              <w:t>0,000</w:t>
            </w:r>
          </w:p>
        </w:tc>
        <w:tc>
          <w:tcPr>
            <w:tcW w:w="1329" w:type="dxa"/>
            <w:tcBorders>
              <w:top w:val="nil"/>
              <w:left w:val="nil"/>
              <w:bottom w:val="single" w:sz="4" w:space="0" w:color="auto"/>
              <w:right w:val="single" w:sz="4" w:space="0" w:color="auto"/>
            </w:tcBorders>
            <w:noWrap/>
            <w:vAlign w:val="bottom"/>
            <w:hideMark/>
          </w:tcPr>
          <w:p w:rsidR="00666764" w:rsidRDefault="00666764" w:rsidP="00666764">
            <w:pPr>
              <w:ind w:right="158"/>
              <w:jc w:val="right"/>
              <w:rPr>
                <w:sz w:val="18"/>
                <w:szCs w:val="18"/>
              </w:rPr>
            </w:pPr>
            <w:r>
              <w:rPr>
                <w:sz w:val="18"/>
                <w:szCs w:val="18"/>
              </w:rPr>
              <w:t>66.347,33</w:t>
            </w:r>
          </w:p>
        </w:tc>
        <w:tc>
          <w:tcPr>
            <w:tcW w:w="1167" w:type="dxa"/>
            <w:tcBorders>
              <w:top w:val="nil"/>
              <w:left w:val="nil"/>
              <w:bottom w:val="single" w:sz="4" w:space="0" w:color="auto"/>
              <w:right w:val="single" w:sz="4" w:space="0" w:color="auto"/>
            </w:tcBorders>
            <w:noWrap/>
            <w:vAlign w:val="bottom"/>
            <w:hideMark/>
          </w:tcPr>
          <w:p w:rsidR="00666764" w:rsidRDefault="00666764" w:rsidP="00666764">
            <w:pPr>
              <w:jc w:val="center"/>
              <w:rPr>
                <w:sz w:val="18"/>
                <w:szCs w:val="18"/>
              </w:rPr>
            </w:pPr>
            <w:r>
              <w:rPr>
                <w:sz w:val="18"/>
                <w:szCs w:val="18"/>
              </w:rPr>
              <w:t>% 72,01</w:t>
            </w:r>
          </w:p>
        </w:tc>
        <w:tc>
          <w:tcPr>
            <w:tcW w:w="1591" w:type="dxa"/>
            <w:tcBorders>
              <w:top w:val="nil"/>
              <w:left w:val="nil"/>
              <w:bottom w:val="single" w:sz="4" w:space="0" w:color="auto"/>
              <w:right w:val="single" w:sz="4" w:space="0" w:color="auto"/>
            </w:tcBorders>
            <w:noWrap/>
            <w:vAlign w:val="bottom"/>
            <w:hideMark/>
          </w:tcPr>
          <w:p w:rsidR="00666764" w:rsidRDefault="00666764" w:rsidP="00666764">
            <w:pPr>
              <w:ind w:right="214"/>
              <w:jc w:val="right"/>
              <w:rPr>
                <w:sz w:val="18"/>
                <w:szCs w:val="18"/>
              </w:rPr>
            </w:pPr>
            <w:r>
              <w:rPr>
                <w:sz w:val="18"/>
                <w:szCs w:val="18"/>
              </w:rPr>
              <w:t>11.286,72</w:t>
            </w:r>
          </w:p>
        </w:tc>
        <w:tc>
          <w:tcPr>
            <w:tcW w:w="1163" w:type="dxa"/>
            <w:tcBorders>
              <w:top w:val="nil"/>
              <w:left w:val="nil"/>
              <w:bottom w:val="single" w:sz="4" w:space="0" w:color="auto"/>
              <w:right w:val="single" w:sz="4" w:space="0" w:color="auto"/>
            </w:tcBorders>
            <w:noWrap/>
            <w:vAlign w:val="bottom"/>
            <w:hideMark/>
          </w:tcPr>
          <w:p w:rsidR="00666764" w:rsidRDefault="00666764" w:rsidP="00666764">
            <w:pPr>
              <w:ind w:right="213"/>
              <w:jc w:val="right"/>
              <w:rPr>
                <w:sz w:val="18"/>
                <w:szCs w:val="18"/>
              </w:rPr>
            </w:pPr>
            <w:r>
              <w:rPr>
                <w:sz w:val="18"/>
                <w:szCs w:val="18"/>
              </w:rPr>
              <w:t>% 12,25</w:t>
            </w:r>
          </w:p>
        </w:tc>
        <w:tc>
          <w:tcPr>
            <w:tcW w:w="1412" w:type="dxa"/>
            <w:tcBorders>
              <w:top w:val="nil"/>
              <w:left w:val="nil"/>
              <w:bottom w:val="single" w:sz="4" w:space="0" w:color="auto"/>
              <w:right w:val="single" w:sz="4" w:space="0" w:color="auto"/>
            </w:tcBorders>
            <w:noWrap/>
            <w:vAlign w:val="bottom"/>
            <w:hideMark/>
          </w:tcPr>
          <w:p w:rsidR="00666764" w:rsidRDefault="00666764" w:rsidP="00666764">
            <w:pPr>
              <w:ind w:right="174"/>
              <w:jc w:val="right"/>
              <w:rPr>
                <w:sz w:val="18"/>
                <w:szCs w:val="18"/>
              </w:rPr>
            </w:pPr>
            <w:r>
              <w:rPr>
                <w:sz w:val="18"/>
                <w:szCs w:val="18"/>
              </w:rPr>
              <w:t>14.496,42</w:t>
            </w:r>
          </w:p>
        </w:tc>
        <w:tc>
          <w:tcPr>
            <w:tcW w:w="1083" w:type="dxa"/>
            <w:tcBorders>
              <w:top w:val="nil"/>
              <w:left w:val="nil"/>
              <w:bottom w:val="single" w:sz="4" w:space="0" w:color="auto"/>
              <w:right w:val="single" w:sz="4" w:space="0" w:color="auto"/>
            </w:tcBorders>
            <w:noWrap/>
            <w:vAlign w:val="bottom"/>
            <w:hideMark/>
          </w:tcPr>
          <w:p w:rsidR="00666764" w:rsidRDefault="00666764" w:rsidP="00666764">
            <w:pPr>
              <w:jc w:val="center"/>
              <w:rPr>
                <w:sz w:val="18"/>
                <w:szCs w:val="18"/>
              </w:rPr>
            </w:pPr>
            <w:r>
              <w:rPr>
                <w:sz w:val="18"/>
                <w:szCs w:val="18"/>
              </w:rPr>
              <w:t>% 15,73</w:t>
            </w:r>
          </w:p>
        </w:tc>
        <w:tc>
          <w:tcPr>
            <w:tcW w:w="1185" w:type="dxa"/>
            <w:tcBorders>
              <w:top w:val="nil"/>
              <w:left w:val="nil"/>
              <w:bottom w:val="single" w:sz="4" w:space="0" w:color="auto"/>
              <w:right w:val="single" w:sz="4" w:space="0" w:color="auto"/>
            </w:tcBorders>
            <w:noWrap/>
            <w:vAlign w:val="bottom"/>
            <w:hideMark/>
          </w:tcPr>
          <w:p w:rsidR="00666764" w:rsidRDefault="00666764" w:rsidP="00666764">
            <w:pPr>
              <w:ind w:right="214"/>
              <w:jc w:val="right"/>
              <w:rPr>
                <w:sz w:val="18"/>
                <w:szCs w:val="18"/>
              </w:rPr>
            </w:pPr>
            <w:r>
              <w:rPr>
                <w:sz w:val="18"/>
                <w:szCs w:val="18"/>
              </w:rPr>
              <w:t>92.130,47</w:t>
            </w:r>
          </w:p>
        </w:tc>
      </w:tr>
    </w:tbl>
    <w:p w:rsidR="00666764" w:rsidRDefault="00666764" w:rsidP="003E6891">
      <w:pPr>
        <w:keepLines/>
        <w:spacing w:after="300" w:line="340" w:lineRule="exact"/>
        <w:jc w:val="center"/>
        <w:rPr>
          <w:rFonts w:ascii="Arial" w:hAnsi="Arial" w:cs="Arial"/>
          <w:b/>
          <w:iCs/>
          <w:lang w:val="es-ES_tradnl"/>
        </w:rPr>
      </w:pPr>
    </w:p>
    <w:tbl>
      <w:tblPr>
        <w:tblpPr w:leftFromText="141" w:rightFromText="141" w:vertAnchor="text" w:horzAnchor="page" w:tblpX="571" w:tblpY="556"/>
        <w:tblW w:w="15091" w:type="dxa"/>
        <w:tblLayout w:type="fixed"/>
        <w:tblCellMar>
          <w:left w:w="70" w:type="dxa"/>
          <w:right w:w="70" w:type="dxa"/>
        </w:tblCellMar>
        <w:tblLook w:val="04A0" w:firstRow="1" w:lastRow="0" w:firstColumn="1" w:lastColumn="0" w:noHBand="0" w:noVBand="1"/>
      </w:tblPr>
      <w:tblGrid>
        <w:gridCol w:w="2195"/>
        <w:gridCol w:w="1079"/>
        <w:gridCol w:w="1296"/>
        <w:gridCol w:w="1153"/>
        <w:gridCol w:w="1008"/>
        <w:gridCol w:w="1273"/>
        <w:gridCol w:w="993"/>
        <w:gridCol w:w="1189"/>
        <w:gridCol w:w="1189"/>
        <w:gridCol w:w="1486"/>
        <w:gridCol w:w="1061"/>
        <w:gridCol w:w="1169"/>
      </w:tblGrid>
      <w:tr w:rsidR="003E6891" w:rsidTr="00666764">
        <w:trPr>
          <w:trHeight w:val="375"/>
        </w:trPr>
        <w:tc>
          <w:tcPr>
            <w:tcW w:w="2195" w:type="dxa"/>
            <w:vMerge w:val="restart"/>
            <w:tcBorders>
              <w:top w:val="single" w:sz="4" w:space="0" w:color="auto"/>
              <w:left w:val="single" w:sz="4" w:space="0" w:color="auto"/>
              <w:bottom w:val="single" w:sz="4" w:space="0" w:color="000000"/>
              <w:right w:val="single" w:sz="4" w:space="0" w:color="auto"/>
            </w:tcBorders>
            <w:vAlign w:val="center"/>
            <w:hideMark/>
          </w:tcPr>
          <w:p w:rsidR="003E6891" w:rsidRDefault="003E6891">
            <w:pPr>
              <w:jc w:val="center"/>
              <w:rPr>
                <w:b/>
                <w:bCs/>
                <w:sz w:val="18"/>
                <w:szCs w:val="18"/>
              </w:rPr>
            </w:pPr>
            <w:r>
              <w:rPr>
                <w:b/>
                <w:bCs/>
                <w:sz w:val="18"/>
                <w:szCs w:val="18"/>
              </w:rPr>
              <w:t>HEZKUNTZA MAILA</w:t>
            </w:r>
          </w:p>
        </w:tc>
        <w:tc>
          <w:tcPr>
            <w:tcW w:w="2375" w:type="dxa"/>
            <w:gridSpan w:val="2"/>
            <w:tcBorders>
              <w:top w:val="single" w:sz="4" w:space="0" w:color="auto"/>
              <w:left w:val="nil"/>
              <w:bottom w:val="single" w:sz="4" w:space="0" w:color="auto"/>
              <w:right w:val="single" w:sz="4" w:space="0" w:color="000000"/>
            </w:tcBorders>
            <w:vAlign w:val="center"/>
            <w:hideMark/>
          </w:tcPr>
          <w:p w:rsidR="003E6891" w:rsidRDefault="003E6891">
            <w:pPr>
              <w:jc w:val="center"/>
              <w:rPr>
                <w:b/>
                <w:bCs/>
                <w:sz w:val="18"/>
                <w:szCs w:val="18"/>
              </w:rPr>
            </w:pPr>
            <w:r>
              <w:rPr>
                <w:b/>
                <w:bCs/>
                <w:sz w:val="18"/>
                <w:szCs w:val="18"/>
              </w:rPr>
              <w:t>IRAKASLE RATIOA</w:t>
            </w:r>
          </w:p>
        </w:tc>
        <w:tc>
          <w:tcPr>
            <w:tcW w:w="1153" w:type="dxa"/>
            <w:vMerge w:val="restart"/>
            <w:tcBorders>
              <w:top w:val="single" w:sz="4" w:space="0" w:color="auto"/>
              <w:left w:val="single" w:sz="4" w:space="0" w:color="auto"/>
              <w:bottom w:val="single" w:sz="4" w:space="0" w:color="000000"/>
              <w:right w:val="single" w:sz="4" w:space="0" w:color="auto"/>
            </w:tcBorders>
            <w:vAlign w:val="center"/>
            <w:hideMark/>
          </w:tcPr>
          <w:p w:rsidR="003E6891" w:rsidRDefault="003E6891">
            <w:pPr>
              <w:jc w:val="center"/>
              <w:rPr>
                <w:b/>
                <w:bCs/>
                <w:sz w:val="18"/>
                <w:szCs w:val="18"/>
              </w:rPr>
            </w:pPr>
            <w:r>
              <w:rPr>
                <w:b/>
                <w:bCs/>
                <w:sz w:val="18"/>
                <w:szCs w:val="18"/>
              </w:rPr>
              <w:t>LANGILEEN SOLDATAK</w:t>
            </w:r>
          </w:p>
        </w:tc>
        <w:tc>
          <w:tcPr>
            <w:tcW w:w="1008" w:type="dxa"/>
            <w:vMerge w:val="restart"/>
            <w:tcBorders>
              <w:top w:val="single" w:sz="4" w:space="0" w:color="auto"/>
              <w:left w:val="single" w:sz="4" w:space="0" w:color="auto"/>
              <w:bottom w:val="single" w:sz="4" w:space="0" w:color="000000"/>
              <w:right w:val="single" w:sz="4" w:space="0" w:color="auto"/>
            </w:tcBorders>
            <w:vAlign w:val="center"/>
            <w:hideMark/>
          </w:tcPr>
          <w:p w:rsidR="003E6891" w:rsidRDefault="003E6891">
            <w:pPr>
              <w:jc w:val="center"/>
              <w:rPr>
                <w:b/>
                <w:bCs/>
                <w:sz w:val="18"/>
                <w:szCs w:val="18"/>
              </w:rPr>
            </w:pPr>
            <w:r>
              <w:rPr>
                <w:b/>
                <w:bCs/>
                <w:sz w:val="18"/>
                <w:szCs w:val="18"/>
              </w:rPr>
              <w:t>MODULUA (%)</w:t>
            </w:r>
          </w:p>
        </w:tc>
        <w:tc>
          <w:tcPr>
            <w:tcW w:w="1273" w:type="dxa"/>
            <w:vMerge w:val="restart"/>
            <w:tcBorders>
              <w:top w:val="single" w:sz="4" w:space="0" w:color="auto"/>
              <w:left w:val="single" w:sz="4" w:space="0" w:color="auto"/>
              <w:bottom w:val="single" w:sz="4" w:space="0" w:color="000000"/>
              <w:right w:val="single" w:sz="4" w:space="0" w:color="auto"/>
            </w:tcBorders>
            <w:vAlign w:val="center"/>
            <w:hideMark/>
          </w:tcPr>
          <w:p w:rsidR="003E6891" w:rsidRDefault="003E6891">
            <w:pPr>
              <w:jc w:val="center"/>
              <w:rPr>
                <w:b/>
                <w:bCs/>
                <w:sz w:val="18"/>
                <w:szCs w:val="18"/>
              </w:rPr>
            </w:pPr>
            <w:r>
              <w:rPr>
                <w:b/>
                <w:bCs/>
                <w:sz w:val="18"/>
                <w:szCs w:val="18"/>
              </w:rPr>
              <w:t>GASTU ALDAKORRAK</w:t>
            </w:r>
          </w:p>
        </w:tc>
        <w:tc>
          <w:tcPr>
            <w:tcW w:w="993" w:type="dxa"/>
            <w:vMerge w:val="restart"/>
            <w:tcBorders>
              <w:top w:val="single" w:sz="4" w:space="0" w:color="auto"/>
              <w:left w:val="single" w:sz="4" w:space="0" w:color="auto"/>
              <w:bottom w:val="single" w:sz="4" w:space="0" w:color="000000"/>
              <w:right w:val="single" w:sz="4" w:space="0" w:color="auto"/>
            </w:tcBorders>
            <w:vAlign w:val="center"/>
            <w:hideMark/>
          </w:tcPr>
          <w:p w:rsidR="003E6891" w:rsidRDefault="003E6891">
            <w:pPr>
              <w:jc w:val="center"/>
              <w:rPr>
                <w:b/>
                <w:bCs/>
                <w:sz w:val="18"/>
                <w:szCs w:val="18"/>
              </w:rPr>
            </w:pPr>
            <w:r>
              <w:rPr>
                <w:b/>
                <w:bCs/>
                <w:sz w:val="18"/>
                <w:szCs w:val="18"/>
              </w:rPr>
              <w:t>MODULUA (%)</w:t>
            </w:r>
          </w:p>
        </w:tc>
        <w:tc>
          <w:tcPr>
            <w:tcW w:w="1189" w:type="dxa"/>
            <w:vMerge w:val="restart"/>
            <w:tcBorders>
              <w:top w:val="single" w:sz="4" w:space="0" w:color="auto"/>
              <w:left w:val="single" w:sz="4" w:space="0" w:color="auto"/>
              <w:bottom w:val="single" w:sz="4" w:space="0" w:color="000000"/>
              <w:right w:val="single" w:sz="4" w:space="0" w:color="auto"/>
            </w:tcBorders>
            <w:vAlign w:val="center"/>
            <w:hideMark/>
          </w:tcPr>
          <w:p w:rsidR="003E6891" w:rsidRDefault="003E6891">
            <w:pPr>
              <w:jc w:val="center"/>
              <w:rPr>
                <w:b/>
                <w:bCs/>
                <w:sz w:val="18"/>
                <w:szCs w:val="18"/>
              </w:rPr>
            </w:pPr>
            <w:r>
              <w:rPr>
                <w:b/>
                <w:bCs/>
                <w:sz w:val="18"/>
                <w:szCs w:val="18"/>
              </w:rPr>
              <w:t>BESTE GASTU BATZUK</w:t>
            </w:r>
          </w:p>
        </w:tc>
        <w:tc>
          <w:tcPr>
            <w:tcW w:w="1189" w:type="dxa"/>
            <w:vMerge w:val="restart"/>
            <w:tcBorders>
              <w:top w:val="single" w:sz="4" w:space="0" w:color="auto"/>
              <w:left w:val="single" w:sz="4" w:space="0" w:color="auto"/>
              <w:bottom w:val="single" w:sz="4" w:space="0" w:color="000000"/>
              <w:right w:val="single" w:sz="4" w:space="0" w:color="auto"/>
            </w:tcBorders>
            <w:vAlign w:val="center"/>
            <w:hideMark/>
          </w:tcPr>
          <w:p w:rsidR="003E6891" w:rsidRDefault="003E6891">
            <w:pPr>
              <w:jc w:val="center"/>
              <w:rPr>
                <w:b/>
                <w:bCs/>
                <w:sz w:val="18"/>
                <w:szCs w:val="18"/>
              </w:rPr>
            </w:pPr>
            <w:r>
              <w:rPr>
                <w:b/>
                <w:bCs/>
                <w:sz w:val="18"/>
                <w:szCs w:val="18"/>
              </w:rPr>
              <w:t>MODULUA (%)</w:t>
            </w:r>
          </w:p>
        </w:tc>
        <w:tc>
          <w:tcPr>
            <w:tcW w:w="1486" w:type="dxa"/>
            <w:vMerge w:val="restart"/>
            <w:tcBorders>
              <w:top w:val="single" w:sz="4" w:space="0" w:color="auto"/>
              <w:left w:val="single" w:sz="4" w:space="0" w:color="auto"/>
              <w:bottom w:val="single" w:sz="4" w:space="0" w:color="000000"/>
              <w:right w:val="single" w:sz="4" w:space="0" w:color="auto"/>
            </w:tcBorders>
            <w:vAlign w:val="center"/>
            <w:hideMark/>
          </w:tcPr>
          <w:p w:rsidR="003E6891" w:rsidRDefault="003E6891">
            <w:pPr>
              <w:jc w:val="center"/>
              <w:rPr>
                <w:b/>
                <w:bCs/>
                <w:sz w:val="18"/>
                <w:szCs w:val="18"/>
              </w:rPr>
            </w:pPr>
            <w:r>
              <w:rPr>
                <w:b/>
                <w:bCs/>
                <w:sz w:val="18"/>
                <w:szCs w:val="18"/>
              </w:rPr>
              <w:t>LANGILE OSAGARRIAK</w:t>
            </w:r>
          </w:p>
        </w:tc>
        <w:tc>
          <w:tcPr>
            <w:tcW w:w="1061" w:type="dxa"/>
            <w:vMerge w:val="restart"/>
            <w:tcBorders>
              <w:top w:val="single" w:sz="4" w:space="0" w:color="auto"/>
              <w:left w:val="single" w:sz="4" w:space="0" w:color="auto"/>
              <w:bottom w:val="single" w:sz="4" w:space="0" w:color="000000"/>
              <w:right w:val="single" w:sz="4" w:space="0" w:color="auto"/>
            </w:tcBorders>
            <w:vAlign w:val="center"/>
            <w:hideMark/>
          </w:tcPr>
          <w:p w:rsidR="003E6891" w:rsidRDefault="003E6891">
            <w:pPr>
              <w:jc w:val="center"/>
              <w:rPr>
                <w:b/>
                <w:bCs/>
                <w:sz w:val="18"/>
                <w:szCs w:val="18"/>
              </w:rPr>
            </w:pPr>
            <w:r>
              <w:rPr>
                <w:b/>
                <w:bCs/>
                <w:sz w:val="18"/>
                <w:szCs w:val="18"/>
              </w:rPr>
              <w:t>MODULUA (%)</w:t>
            </w:r>
          </w:p>
        </w:tc>
        <w:tc>
          <w:tcPr>
            <w:tcW w:w="1169" w:type="dxa"/>
            <w:vMerge w:val="restart"/>
            <w:tcBorders>
              <w:top w:val="single" w:sz="4" w:space="0" w:color="auto"/>
              <w:left w:val="single" w:sz="4" w:space="0" w:color="auto"/>
              <w:bottom w:val="single" w:sz="4" w:space="0" w:color="000000"/>
              <w:right w:val="single" w:sz="4" w:space="0" w:color="auto"/>
            </w:tcBorders>
            <w:vAlign w:val="center"/>
            <w:hideMark/>
          </w:tcPr>
          <w:p w:rsidR="003E6891" w:rsidRDefault="003E6891">
            <w:pPr>
              <w:jc w:val="center"/>
              <w:rPr>
                <w:b/>
                <w:bCs/>
                <w:sz w:val="18"/>
                <w:szCs w:val="18"/>
              </w:rPr>
            </w:pPr>
            <w:r>
              <w:rPr>
                <w:b/>
                <w:bCs/>
                <w:sz w:val="18"/>
                <w:szCs w:val="18"/>
              </w:rPr>
              <w:t>MODULUA, GUZTIRA</w:t>
            </w:r>
          </w:p>
        </w:tc>
      </w:tr>
      <w:tr w:rsidR="003E6891" w:rsidTr="00666764">
        <w:trPr>
          <w:trHeight w:val="300"/>
        </w:trPr>
        <w:tc>
          <w:tcPr>
            <w:tcW w:w="2195" w:type="dxa"/>
            <w:vMerge/>
            <w:tcBorders>
              <w:top w:val="single" w:sz="4" w:space="0" w:color="auto"/>
              <w:left w:val="single" w:sz="4" w:space="0" w:color="auto"/>
              <w:bottom w:val="single" w:sz="4" w:space="0" w:color="000000"/>
              <w:right w:val="single" w:sz="4" w:space="0" w:color="auto"/>
            </w:tcBorders>
            <w:vAlign w:val="center"/>
            <w:hideMark/>
          </w:tcPr>
          <w:p w:rsidR="003E6891" w:rsidRDefault="003E6891">
            <w:pPr>
              <w:rPr>
                <w:b/>
                <w:bCs/>
                <w:sz w:val="18"/>
                <w:szCs w:val="18"/>
                <w:lang w:val="es-ES_tradnl"/>
              </w:rPr>
            </w:pPr>
          </w:p>
        </w:tc>
        <w:tc>
          <w:tcPr>
            <w:tcW w:w="1079" w:type="dxa"/>
            <w:tcBorders>
              <w:top w:val="nil"/>
              <w:left w:val="nil"/>
              <w:bottom w:val="single" w:sz="4" w:space="0" w:color="auto"/>
              <w:right w:val="single" w:sz="4" w:space="0" w:color="auto"/>
            </w:tcBorders>
            <w:noWrap/>
            <w:vAlign w:val="center"/>
            <w:hideMark/>
          </w:tcPr>
          <w:p w:rsidR="003E6891" w:rsidRDefault="003E6891">
            <w:pPr>
              <w:jc w:val="center"/>
              <w:rPr>
                <w:b/>
                <w:bCs/>
                <w:sz w:val="18"/>
                <w:szCs w:val="18"/>
              </w:rPr>
            </w:pPr>
            <w:r>
              <w:rPr>
                <w:b/>
                <w:bCs/>
                <w:sz w:val="18"/>
                <w:szCs w:val="18"/>
              </w:rPr>
              <w:t>TITULARRA</w:t>
            </w:r>
          </w:p>
        </w:tc>
        <w:tc>
          <w:tcPr>
            <w:tcW w:w="1296" w:type="dxa"/>
            <w:tcBorders>
              <w:top w:val="nil"/>
              <w:left w:val="nil"/>
              <w:bottom w:val="single" w:sz="4" w:space="0" w:color="auto"/>
              <w:right w:val="nil"/>
            </w:tcBorders>
            <w:noWrap/>
            <w:vAlign w:val="center"/>
            <w:hideMark/>
          </w:tcPr>
          <w:p w:rsidR="003E6891" w:rsidRDefault="003E6891">
            <w:pPr>
              <w:jc w:val="center"/>
              <w:rPr>
                <w:b/>
                <w:bCs/>
                <w:sz w:val="18"/>
                <w:szCs w:val="18"/>
              </w:rPr>
            </w:pPr>
            <w:r>
              <w:rPr>
                <w:b/>
                <w:bCs/>
                <w:sz w:val="18"/>
                <w:szCs w:val="18"/>
              </w:rPr>
              <w:t>AGREGATUA</w:t>
            </w:r>
          </w:p>
        </w:tc>
        <w:tc>
          <w:tcPr>
            <w:tcW w:w="1153" w:type="dxa"/>
            <w:vMerge/>
            <w:tcBorders>
              <w:top w:val="single" w:sz="4" w:space="0" w:color="auto"/>
              <w:left w:val="single" w:sz="4" w:space="0" w:color="auto"/>
              <w:bottom w:val="single" w:sz="4" w:space="0" w:color="000000"/>
              <w:right w:val="single" w:sz="4" w:space="0" w:color="auto"/>
            </w:tcBorders>
            <w:vAlign w:val="center"/>
            <w:hideMark/>
          </w:tcPr>
          <w:p w:rsidR="003E6891" w:rsidRDefault="003E6891">
            <w:pPr>
              <w:rPr>
                <w:b/>
                <w:bCs/>
                <w:sz w:val="18"/>
                <w:szCs w:val="18"/>
                <w:lang w:val="es-ES_tradnl"/>
              </w:rPr>
            </w:pPr>
          </w:p>
        </w:tc>
        <w:tc>
          <w:tcPr>
            <w:tcW w:w="1008" w:type="dxa"/>
            <w:vMerge/>
            <w:tcBorders>
              <w:top w:val="single" w:sz="4" w:space="0" w:color="auto"/>
              <w:left w:val="single" w:sz="4" w:space="0" w:color="auto"/>
              <w:bottom w:val="single" w:sz="4" w:space="0" w:color="000000"/>
              <w:right w:val="single" w:sz="4" w:space="0" w:color="auto"/>
            </w:tcBorders>
            <w:vAlign w:val="center"/>
            <w:hideMark/>
          </w:tcPr>
          <w:p w:rsidR="003E6891" w:rsidRDefault="003E6891">
            <w:pPr>
              <w:rPr>
                <w:b/>
                <w:bCs/>
                <w:sz w:val="18"/>
                <w:szCs w:val="18"/>
                <w:lang w:val="es-ES_tradnl"/>
              </w:rPr>
            </w:pPr>
          </w:p>
        </w:tc>
        <w:tc>
          <w:tcPr>
            <w:tcW w:w="1273" w:type="dxa"/>
            <w:vMerge/>
            <w:tcBorders>
              <w:top w:val="single" w:sz="4" w:space="0" w:color="auto"/>
              <w:left w:val="single" w:sz="4" w:space="0" w:color="auto"/>
              <w:bottom w:val="single" w:sz="4" w:space="0" w:color="000000"/>
              <w:right w:val="single" w:sz="4" w:space="0" w:color="auto"/>
            </w:tcBorders>
            <w:vAlign w:val="center"/>
            <w:hideMark/>
          </w:tcPr>
          <w:p w:rsidR="003E6891" w:rsidRDefault="003E6891">
            <w:pPr>
              <w:rPr>
                <w:b/>
                <w:bCs/>
                <w:sz w:val="18"/>
                <w:szCs w:val="18"/>
                <w:lang w:val="es-ES_tradnl"/>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3E6891" w:rsidRDefault="003E6891">
            <w:pPr>
              <w:rPr>
                <w:b/>
                <w:bCs/>
                <w:sz w:val="18"/>
                <w:szCs w:val="18"/>
                <w:lang w:val="es-ES_tradnl"/>
              </w:rPr>
            </w:pPr>
          </w:p>
        </w:tc>
        <w:tc>
          <w:tcPr>
            <w:tcW w:w="1189" w:type="dxa"/>
            <w:vMerge/>
            <w:tcBorders>
              <w:top w:val="single" w:sz="4" w:space="0" w:color="auto"/>
              <w:left w:val="single" w:sz="4" w:space="0" w:color="auto"/>
              <w:bottom w:val="single" w:sz="4" w:space="0" w:color="000000"/>
              <w:right w:val="single" w:sz="4" w:space="0" w:color="auto"/>
            </w:tcBorders>
            <w:vAlign w:val="center"/>
            <w:hideMark/>
          </w:tcPr>
          <w:p w:rsidR="003E6891" w:rsidRDefault="003E6891">
            <w:pPr>
              <w:rPr>
                <w:b/>
                <w:bCs/>
                <w:sz w:val="18"/>
                <w:szCs w:val="18"/>
                <w:lang w:val="es-ES_tradnl"/>
              </w:rPr>
            </w:pPr>
          </w:p>
        </w:tc>
        <w:tc>
          <w:tcPr>
            <w:tcW w:w="1189" w:type="dxa"/>
            <w:vMerge/>
            <w:tcBorders>
              <w:top w:val="single" w:sz="4" w:space="0" w:color="auto"/>
              <w:left w:val="single" w:sz="4" w:space="0" w:color="auto"/>
              <w:bottom w:val="single" w:sz="4" w:space="0" w:color="000000"/>
              <w:right w:val="single" w:sz="4" w:space="0" w:color="auto"/>
            </w:tcBorders>
            <w:vAlign w:val="center"/>
            <w:hideMark/>
          </w:tcPr>
          <w:p w:rsidR="003E6891" w:rsidRDefault="003E6891">
            <w:pPr>
              <w:rPr>
                <w:b/>
                <w:bCs/>
                <w:sz w:val="18"/>
                <w:szCs w:val="18"/>
                <w:lang w:val="es-ES_tradnl"/>
              </w:rPr>
            </w:pPr>
          </w:p>
        </w:tc>
        <w:tc>
          <w:tcPr>
            <w:tcW w:w="1486" w:type="dxa"/>
            <w:vMerge/>
            <w:tcBorders>
              <w:top w:val="single" w:sz="4" w:space="0" w:color="auto"/>
              <w:left w:val="single" w:sz="4" w:space="0" w:color="auto"/>
              <w:bottom w:val="single" w:sz="4" w:space="0" w:color="000000"/>
              <w:right w:val="single" w:sz="4" w:space="0" w:color="auto"/>
            </w:tcBorders>
            <w:vAlign w:val="center"/>
            <w:hideMark/>
          </w:tcPr>
          <w:p w:rsidR="003E6891" w:rsidRDefault="003E6891">
            <w:pPr>
              <w:rPr>
                <w:b/>
                <w:bCs/>
                <w:sz w:val="18"/>
                <w:szCs w:val="18"/>
                <w:lang w:val="es-ES_tradnl"/>
              </w:rPr>
            </w:pPr>
          </w:p>
        </w:tc>
        <w:tc>
          <w:tcPr>
            <w:tcW w:w="1061" w:type="dxa"/>
            <w:vMerge/>
            <w:tcBorders>
              <w:top w:val="single" w:sz="4" w:space="0" w:color="auto"/>
              <w:left w:val="single" w:sz="4" w:space="0" w:color="auto"/>
              <w:bottom w:val="single" w:sz="4" w:space="0" w:color="000000"/>
              <w:right w:val="single" w:sz="4" w:space="0" w:color="auto"/>
            </w:tcBorders>
            <w:vAlign w:val="center"/>
            <w:hideMark/>
          </w:tcPr>
          <w:p w:rsidR="003E6891" w:rsidRDefault="003E6891">
            <w:pPr>
              <w:rPr>
                <w:b/>
                <w:bCs/>
                <w:sz w:val="18"/>
                <w:szCs w:val="18"/>
                <w:lang w:val="es-ES_tradnl"/>
              </w:rPr>
            </w:pPr>
          </w:p>
        </w:tc>
        <w:tc>
          <w:tcPr>
            <w:tcW w:w="1169" w:type="dxa"/>
            <w:vMerge/>
            <w:tcBorders>
              <w:top w:val="single" w:sz="4" w:space="0" w:color="auto"/>
              <w:left w:val="single" w:sz="4" w:space="0" w:color="auto"/>
              <w:bottom w:val="single" w:sz="4" w:space="0" w:color="000000"/>
              <w:right w:val="single" w:sz="4" w:space="0" w:color="auto"/>
            </w:tcBorders>
            <w:vAlign w:val="center"/>
            <w:hideMark/>
          </w:tcPr>
          <w:p w:rsidR="003E6891" w:rsidRDefault="003E6891">
            <w:pPr>
              <w:rPr>
                <w:b/>
                <w:bCs/>
                <w:sz w:val="18"/>
                <w:szCs w:val="18"/>
                <w:lang w:val="es-ES_tradnl"/>
              </w:rPr>
            </w:pPr>
          </w:p>
        </w:tc>
      </w:tr>
      <w:tr w:rsidR="003E6891" w:rsidTr="00666764">
        <w:trPr>
          <w:trHeight w:val="255"/>
        </w:trPr>
        <w:tc>
          <w:tcPr>
            <w:tcW w:w="2195" w:type="dxa"/>
            <w:tcBorders>
              <w:top w:val="nil"/>
              <w:left w:val="single" w:sz="4" w:space="0" w:color="auto"/>
              <w:bottom w:val="single" w:sz="4" w:space="0" w:color="auto"/>
              <w:right w:val="single" w:sz="4" w:space="0" w:color="auto"/>
            </w:tcBorders>
            <w:noWrap/>
            <w:vAlign w:val="bottom"/>
            <w:hideMark/>
          </w:tcPr>
          <w:p w:rsidR="003E6891" w:rsidRDefault="00714A80">
            <w:pPr>
              <w:rPr>
                <w:sz w:val="18"/>
                <w:szCs w:val="18"/>
              </w:rPr>
            </w:pPr>
            <w:r>
              <w:rPr>
                <w:sz w:val="18"/>
                <w:szCs w:val="18"/>
              </w:rPr>
              <w:t>OINARRIZKO HEZKUNTZA BEREZIA. PSIKIKOAK</w:t>
            </w:r>
          </w:p>
        </w:tc>
        <w:tc>
          <w:tcPr>
            <w:tcW w:w="1079" w:type="dxa"/>
            <w:tcBorders>
              <w:top w:val="nil"/>
              <w:left w:val="nil"/>
              <w:bottom w:val="single" w:sz="4" w:space="0" w:color="auto"/>
              <w:right w:val="single" w:sz="4" w:space="0" w:color="auto"/>
            </w:tcBorders>
            <w:noWrap/>
            <w:vAlign w:val="bottom"/>
            <w:hideMark/>
          </w:tcPr>
          <w:p w:rsidR="003E6891" w:rsidRDefault="003E6891">
            <w:pPr>
              <w:jc w:val="center"/>
              <w:rPr>
                <w:sz w:val="18"/>
                <w:szCs w:val="18"/>
              </w:rPr>
            </w:pPr>
            <w:r>
              <w:rPr>
                <w:sz w:val="18"/>
                <w:szCs w:val="18"/>
              </w:rPr>
              <w:t>1,087</w:t>
            </w:r>
          </w:p>
        </w:tc>
        <w:tc>
          <w:tcPr>
            <w:tcW w:w="1296" w:type="dxa"/>
            <w:tcBorders>
              <w:top w:val="nil"/>
              <w:left w:val="nil"/>
              <w:bottom w:val="single" w:sz="4" w:space="0" w:color="auto"/>
              <w:right w:val="single" w:sz="4" w:space="0" w:color="auto"/>
            </w:tcBorders>
            <w:noWrap/>
            <w:vAlign w:val="bottom"/>
            <w:hideMark/>
          </w:tcPr>
          <w:p w:rsidR="003E6891" w:rsidRDefault="003E6891">
            <w:pPr>
              <w:jc w:val="center"/>
              <w:rPr>
                <w:sz w:val="18"/>
                <w:szCs w:val="18"/>
              </w:rPr>
            </w:pPr>
            <w:r>
              <w:rPr>
                <w:sz w:val="18"/>
                <w:szCs w:val="18"/>
              </w:rPr>
              <w:t>0,000</w:t>
            </w:r>
          </w:p>
        </w:tc>
        <w:tc>
          <w:tcPr>
            <w:tcW w:w="1153" w:type="dxa"/>
            <w:tcBorders>
              <w:top w:val="nil"/>
              <w:left w:val="nil"/>
              <w:bottom w:val="single" w:sz="4" w:space="0" w:color="auto"/>
              <w:right w:val="single" w:sz="4" w:space="0" w:color="auto"/>
            </w:tcBorders>
            <w:noWrap/>
            <w:vAlign w:val="bottom"/>
            <w:hideMark/>
          </w:tcPr>
          <w:p w:rsidR="003E6891" w:rsidRDefault="003E6891">
            <w:pPr>
              <w:ind w:right="217"/>
              <w:jc w:val="right"/>
              <w:rPr>
                <w:sz w:val="18"/>
                <w:szCs w:val="18"/>
              </w:rPr>
            </w:pPr>
            <w:r>
              <w:rPr>
                <w:sz w:val="18"/>
                <w:szCs w:val="18"/>
              </w:rPr>
              <w:t>39.353,93</w:t>
            </w:r>
          </w:p>
        </w:tc>
        <w:tc>
          <w:tcPr>
            <w:tcW w:w="1008" w:type="dxa"/>
            <w:tcBorders>
              <w:top w:val="nil"/>
              <w:left w:val="nil"/>
              <w:bottom w:val="single" w:sz="4" w:space="0" w:color="auto"/>
              <w:right w:val="single" w:sz="4" w:space="0" w:color="auto"/>
            </w:tcBorders>
            <w:noWrap/>
            <w:vAlign w:val="bottom"/>
            <w:hideMark/>
          </w:tcPr>
          <w:p w:rsidR="003E6891" w:rsidRDefault="003E6891">
            <w:pPr>
              <w:jc w:val="center"/>
              <w:rPr>
                <w:sz w:val="18"/>
                <w:szCs w:val="18"/>
              </w:rPr>
            </w:pPr>
            <w:r>
              <w:rPr>
                <w:sz w:val="18"/>
                <w:szCs w:val="18"/>
              </w:rPr>
              <w:t>% 44,46</w:t>
            </w:r>
          </w:p>
        </w:tc>
        <w:tc>
          <w:tcPr>
            <w:tcW w:w="1273" w:type="dxa"/>
            <w:tcBorders>
              <w:top w:val="nil"/>
              <w:left w:val="nil"/>
              <w:bottom w:val="single" w:sz="4" w:space="0" w:color="auto"/>
              <w:right w:val="single" w:sz="4" w:space="0" w:color="auto"/>
            </w:tcBorders>
            <w:noWrap/>
            <w:vAlign w:val="bottom"/>
            <w:hideMark/>
          </w:tcPr>
          <w:p w:rsidR="003E6891" w:rsidRDefault="003E6891">
            <w:pPr>
              <w:ind w:right="245"/>
              <w:jc w:val="right"/>
              <w:rPr>
                <w:sz w:val="18"/>
                <w:szCs w:val="18"/>
              </w:rPr>
            </w:pPr>
            <w:r>
              <w:rPr>
                <w:sz w:val="18"/>
                <w:szCs w:val="18"/>
              </w:rPr>
              <w:t>4.860,06</w:t>
            </w:r>
          </w:p>
        </w:tc>
        <w:tc>
          <w:tcPr>
            <w:tcW w:w="993" w:type="dxa"/>
            <w:tcBorders>
              <w:top w:val="nil"/>
              <w:left w:val="nil"/>
              <w:bottom w:val="single" w:sz="4" w:space="0" w:color="auto"/>
              <w:right w:val="single" w:sz="4" w:space="0" w:color="auto"/>
            </w:tcBorders>
            <w:noWrap/>
            <w:vAlign w:val="bottom"/>
            <w:hideMark/>
          </w:tcPr>
          <w:p w:rsidR="003E6891" w:rsidRDefault="003E6891">
            <w:pPr>
              <w:jc w:val="center"/>
              <w:rPr>
                <w:sz w:val="18"/>
                <w:szCs w:val="18"/>
              </w:rPr>
            </w:pPr>
            <w:r>
              <w:rPr>
                <w:sz w:val="18"/>
                <w:szCs w:val="18"/>
              </w:rPr>
              <w:t>% 5,49</w:t>
            </w:r>
          </w:p>
        </w:tc>
        <w:tc>
          <w:tcPr>
            <w:tcW w:w="1189" w:type="dxa"/>
            <w:tcBorders>
              <w:top w:val="nil"/>
              <w:left w:val="nil"/>
              <w:bottom w:val="single" w:sz="4" w:space="0" w:color="auto"/>
              <w:right w:val="single" w:sz="4" w:space="0" w:color="auto"/>
            </w:tcBorders>
            <w:noWrap/>
            <w:vAlign w:val="bottom"/>
            <w:hideMark/>
          </w:tcPr>
          <w:p w:rsidR="003E6891" w:rsidRDefault="003E6891">
            <w:pPr>
              <w:ind w:right="173"/>
              <w:jc w:val="right"/>
              <w:rPr>
                <w:sz w:val="18"/>
                <w:szCs w:val="18"/>
              </w:rPr>
            </w:pPr>
            <w:r>
              <w:rPr>
                <w:sz w:val="18"/>
                <w:szCs w:val="18"/>
              </w:rPr>
              <w:t>10.896,15</w:t>
            </w:r>
          </w:p>
        </w:tc>
        <w:tc>
          <w:tcPr>
            <w:tcW w:w="1189" w:type="dxa"/>
            <w:tcBorders>
              <w:top w:val="nil"/>
              <w:left w:val="nil"/>
              <w:bottom w:val="single" w:sz="4" w:space="0" w:color="auto"/>
              <w:right w:val="single" w:sz="4" w:space="0" w:color="auto"/>
            </w:tcBorders>
            <w:noWrap/>
            <w:vAlign w:val="bottom"/>
            <w:hideMark/>
          </w:tcPr>
          <w:p w:rsidR="003E6891" w:rsidRDefault="003E6891">
            <w:pPr>
              <w:jc w:val="center"/>
              <w:rPr>
                <w:sz w:val="18"/>
                <w:szCs w:val="18"/>
              </w:rPr>
            </w:pPr>
            <w:r>
              <w:rPr>
                <w:sz w:val="18"/>
                <w:szCs w:val="18"/>
              </w:rPr>
              <w:t>% 12,31</w:t>
            </w:r>
          </w:p>
        </w:tc>
        <w:tc>
          <w:tcPr>
            <w:tcW w:w="1486" w:type="dxa"/>
            <w:tcBorders>
              <w:top w:val="nil"/>
              <w:left w:val="nil"/>
              <w:bottom w:val="single" w:sz="4" w:space="0" w:color="auto"/>
              <w:right w:val="single" w:sz="4" w:space="0" w:color="auto"/>
            </w:tcBorders>
            <w:noWrap/>
            <w:vAlign w:val="bottom"/>
            <w:hideMark/>
          </w:tcPr>
          <w:p w:rsidR="003E6891" w:rsidRDefault="003E6891">
            <w:pPr>
              <w:ind w:right="190"/>
              <w:jc w:val="right"/>
              <w:rPr>
                <w:sz w:val="18"/>
                <w:szCs w:val="18"/>
              </w:rPr>
            </w:pPr>
            <w:r>
              <w:rPr>
                <w:sz w:val="18"/>
                <w:szCs w:val="18"/>
              </w:rPr>
              <w:t>33.395,30</w:t>
            </w:r>
          </w:p>
        </w:tc>
        <w:tc>
          <w:tcPr>
            <w:tcW w:w="1061" w:type="dxa"/>
            <w:tcBorders>
              <w:top w:val="nil"/>
              <w:left w:val="nil"/>
              <w:bottom w:val="single" w:sz="4" w:space="0" w:color="auto"/>
              <w:right w:val="single" w:sz="4" w:space="0" w:color="auto"/>
            </w:tcBorders>
            <w:noWrap/>
            <w:vAlign w:val="bottom"/>
            <w:hideMark/>
          </w:tcPr>
          <w:p w:rsidR="003E6891" w:rsidRDefault="003E6891">
            <w:pPr>
              <w:jc w:val="center"/>
              <w:rPr>
                <w:sz w:val="18"/>
                <w:szCs w:val="18"/>
              </w:rPr>
            </w:pPr>
            <w:r>
              <w:rPr>
                <w:sz w:val="18"/>
                <w:szCs w:val="18"/>
              </w:rPr>
              <w:t>% 37,73</w:t>
            </w:r>
          </w:p>
        </w:tc>
        <w:tc>
          <w:tcPr>
            <w:tcW w:w="1169" w:type="dxa"/>
            <w:tcBorders>
              <w:top w:val="nil"/>
              <w:left w:val="nil"/>
              <w:bottom w:val="single" w:sz="4" w:space="0" w:color="auto"/>
              <w:right w:val="single" w:sz="4" w:space="0" w:color="auto"/>
            </w:tcBorders>
            <w:noWrap/>
            <w:vAlign w:val="bottom"/>
            <w:hideMark/>
          </w:tcPr>
          <w:p w:rsidR="003E6891" w:rsidRDefault="003E6891">
            <w:pPr>
              <w:ind w:right="82"/>
              <w:jc w:val="right"/>
              <w:rPr>
                <w:sz w:val="18"/>
                <w:szCs w:val="18"/>
              </w:rPr>
            </w:pPr>
            <w:r>
              <w:rPr>
                <w:sz w:val="18"/>
                <w:szCs w:val="18"/>
              </w:rPr>
              <w:t>88.505,44</w:t>
            </w:r>
          </w:p>
        </w:tc>
      </w:tr>
      <w:tr w:rsidR="003E6891" w:rsidTr="00666764">
        <w:trPr>
          <w:trHeight w:val="255"/>
        </w:trPr>
        <w:tc>
          <w:tcPr>
            <w:tcW w:w="2195" w:type="dxa"/>
            <w:tcBorders>
              <w:top w:val="nil"/>
              <w:left w:val="single" w:sz="4" w:space="0" w:color="auto"/>
              <w:bottom w:val="single" w:sz="4" w:space="0" w:color="auto"/>
              <w:right w:val="single" w:sz="4" w:space="0" w:color="auto"/>
            </w:tcBorders>
            <w:noWrap/>
            <w:vAlign w:val="bottom"/>
            <w:hideMark/>
          </w:tcPr>
          <w:p w:rsidR="003E6891" w:rsidRDefault="003E6891">
            <w:pPr>
              <w:rPr>
                <w:sz w:val="18"/>
                <w:szCs w:val="18"/>
              </w:rPr>
            </w:pPr>
            <w:r>
              <w:rPr>
                <w:sz w:val="18"/>
                <w:szCs w:val="18"/>
              </w:rPr>
              <w:t>OINARRIZKO HEZKUNTZA BEREZIA. AUTISTAK</w:t>
            </w:r>
          </w:p>
        </w:tc>
        <w:tc>
          <w:tcPr>
            <w:tcW w:w="1079" w:type="dxa"/>
            <w:tcBorders>
              <w:top w:val="nil"/>
              <w:left w:val="nil"/>
              <w:bottom w:val="single" w:sz="4" w:space="0" w:color="auto"/>
              <w:right w:val="single" w:sz="4" w:space="0" w:color="auto"/>
            </w:tcBorders>
            <w:noWrap/>
            <w:vAlign w:val="bottom"/>
            <w:hideMark/>
          </w:tcPr>
          <w:p w:rsidR="003E6891" w:rsidRDefault="003E6891">
            <w:pPr>
              <w:jc w:val="center"/>
              <w:rPr>
                <w:sz w:val="18"/>
                <w:szCs w:val="18"/>
              </w:rPr>
            </w:pPr>
            <w:r>
              <w:rPr>
                <w:sz w:val="18"/>
                <w:szCs w:val="18"/>
              </w:rPr>
              <w:t>1,087</w:t>
            </w:r>
          </w:p>
        </w:tc>
        <w:tc>
          <w:tcPr>
            <w:tcW w:w="1296" w:type="dxa"/>
            <w:tcBorders>
              <w:top w:val="nil"/>
              <w:left w:val="nil"/>
              <w:bottom w:val="single" w:sz="4" w:space="0" w:color="auto"/>
              <w:right w:val="single" w:sz="4" w:space="0" w:color="auto"/>
            </w:tcBorders>
            <w:noWrap/>
            <w:vAlign w:val="bottom"/>
            <w:hideMark/>
          </w:tcPr>
          <w:p w:rsidR="003E6891" w:rsidRDefault="003E6891">
            <w:pPr>
              <w:jc w:val="center"/>
              <w:rPr>
                <w:sz w:val="18"/>
                <w:szCs w:val="18"/>
              </w:rPr>
            </w:pPr>
            <w:r>
              <w:rPr>
                <w:sz w:val="18"/>
                <w:szCs w:val="18"/>
              </w:rPr>
              <w:t>0,000</w:t>
            </w:r>
          </w:p>
        </w:tc>
        <w:tc>
          <w:tcPr>
            <w:tcW w:w="1153" w:type="dxa"/>
            <w:tcBorders>
              <w:top w:val="nil"/>
              <w:left w:val="nil"/>
              <w:bottom w:val="single" w:sz="4" w:space="0" w:color="auto"/>
              <w:right w:val="single" w:sz="4" w:space="0" w:color="auto"/>
            </w:tcBorders>
            <w:noWrap/>
            <w:vAlign w:val="bottom"/>
            <w:hideMark/>
          </w:tcPr>
          <w:p w:rsidR="003E6891" w:rsidRDefault="003E6891">
            <w:pPr>
              <w:ind w:right="217"/>
              <w:jc w:val="right"/>
              <w:rPr>
                <w:sz w:val="18"/>
                <w:szCs w:val="18"/>
              </w:rPr>
            </w:pPr>
            <w:r>
              <w:rPr>
                <w:sz w:val="18"/>
                <w:szCs w:val="18"/>
              </w:rPr>
              <w:t>39.353,93</w:t>
            </w:r>
          </w:p>
        </w:tc>
        <w:tc>
          <w:tcPr>
            <w:tcW w:w="1008" w:type="dxa"/>
            <w:tcBorders>
              <w:top w:val="nil"/>
              <w:left w:val="nil"/>
              <w:bottom w:val="single" w:sz="4" w:space="0" w:color="auto"/>
              <w:right w:val="single" w:sz="4" w:space="0" w:color="auto"/>
            </w:tcBorders>
            <w:noWrap/>
            <w:vAlign w:val="bottom"/>
            <w:hideMark/>
          </w:tcPr>
          <w:p w:rsidR="003E6891" w:rsidRDefault="003E6891">
            <w:pPr>
              <w:jc w:val="center"/>
              <w:rPr>
                <w:sz w:val="18"/>
                <w:szCs w:val="18"/>
              </w:rPr>
            </w:pPr>
            <w:r>
              <w:rPr>
                <w:sz w:val="18"/>
                <w:szCs w:val="18"/>
              </w:rPr>
              <w:t>% 48,21</w:t>
            </w:r>
          </w:p>
        </w:tc>
        <w:tc>
          <w:tcPr>
            <w:tcW w:w="1273" w:type="dxa"/>
            <w:tcBorders>
              <w:top w:val="nil"/>
              <w:left w:val="nil"/>
              <w:bottom w:val="single" w:sz="4" w:space="0" w:color="auto"/>
              <w:right w:val="single" w:sz="4" w:space="0" w:color="auto"/>
            </w:tcBorders>
            <w:noWrap/>
            <w:vAlign w:val="bottom"/>
            <w:hideMark/>
          </w:tcPr>
          <w:p w:rsidR="003E6891" w:rsidRDefault="003E6891">
            <w:pPr>
              <w:ind w:right="245"/>
              <w:jc w:val="right"/>
              <w:rPr>
                <w:sz w:val="18"/>
                <w:szCs w:val="18"/>
              </w:rPr>
            </w:pPr>
            <w:r>
              <w:rPr>
                <w:sz w:val="18"/>
                <w:szCs w:val="18"/>
              </w:rPr>
              <w:t>4.860,06</w:t>
            </w:r>
          </w:p>
        </w:tc>
        <w:tc>
          <w:tcPr>
            <w:tcW w:w="993" w:type="dxa"/>
            <w:tcBorders>
              <w:top w:val="nil"/>
              <w:left w:val="nil"/>
              <w:bottom w:val="single" w:sz="4" w:space="0" w:color="auto"/>
              <w:right w:val="single" w:sz="4" w:space="0" w:color="auto"/>
            </w:tcBorders>
            <w:noWrap/>
            <w:vAlign w:val="bottom"/>
            <w:hideMark/>
          </w:tcPr>
          <w:p w:rsidR="003E6891" w:rsidRDefault="003E6891">
            <w:pPr>
              <w:jc w:val="center"/>
              <w:rPr>
                <w:sz w:val="18"/>
                <w:szCs w:val="18"/>
              </w:rPr>
            </w:pPr>
            <w:r>
              <w:rPr>
                <w:sz w:val="18"/>
                <w:szCs w:val="18"/>
              </w:rPr>
              <w:t>% 5,95</w:t>
            </w:r>
          </w:p>
        </w:tc>
        <w:tc>
          <w:tcPr>
            <w:tcW w:w="1189" w:type="dxa"/>
            <w:tcBorders>
              <w:top w:val="nil"/>
              <w:left w:val="nil"/>
              <w:bottom w:val="single" w:sz="4" w:space="0" w:color="auto"/>
              <w:right w:val="single" w:sz="4" w:space="0" w:color="auto"/>
            </w:tcBorders>
            <w:noWrap/>
            <w:vAlign w:val="bottom"/>
            <w:hideMark/>
          </w:tcPr>
          <w:p w:rsidR="003E6891" w:rsidRDefault="003E6891">
            <w:pPr>
              <w:ind w:right="173"/>
              <w:jc w:val="right"/>
              <w:rPr>
                <w:sz w:val="18"/>
                <w:szCs w:val="18"/>
              </w:rPr>
            </w:pPr>
            <w:r>
              <w:rPr>
                <w:sz w:val="18"/>
                <w:szCs w:val="18"/>
              </w:rPr>
              <w:t>10.896,15</w:t>
            </w:r>
          </w:p>
        </w:tc>
        <w:tc>
          <w:tcPr>
            <w:tcW w:w="1189" w:type="dxa"/>
            <w:tcBorders>
              <w:top w:val="nil"/>
              <w:left w:val="nil"/>
              <w:bottom w:val="single" w:sz="4" w:space="0" w:color="auto"/>
              <w:right w:val="single" w:sz="4" w:space="0" w:color="auto"/>
            </w:tcBorders>
            <w:noWrap/>
            <w:vAlign w:val="bottom"/>
            <w:hideMark/>
          </w:tcPr>
          <w:p w:rsidR="003E6891" w:rsidRDefault="003E6891">
            <w:pPr>
              <w:jc w:val="center"/>
              <w:rPr>
                <w:sz w:val="18"/>
                <w:szCs w:val="18"/>
              </w:rPr>
            </w:pPr>
            <w:r>
              <w:rPr>
                <w:sz w:val="18"/>
                <w:szCs w:val="18"/>
              </w:rPr>
              <w:t>% 13,35</w:t>
            </w:r>
          </w:p>
        </w:tc>
        <w:tc>
          <w:tcPr>
            <w:tcW w:w="1486" w:type="dxa"/>
            <w:tcBorders>
              <w:top w:val="nil"/>
              <w:left w:val="nil"/>
              <w:bottom w:val="single" w:sz="4" w:space="0" w:color="auto"/>
              <w:right w:val="single" w:sz="4" w:space="0" w:color="auto"/>
            </w:tcBorders>
            <w:noWrap/>
            <w:vAlign w:val="bottom"/>
            <w:hideMark/>
          </w:tcPr>
          <w:p w:rsidR="003E6891" w:rsidRDefault="003E6891">
            <w:pPr>
              <w:ind w:right="190"/>
              <w:jc w:val="right"/>
              <w:rPr>
                <w:sz w:val="18"/>
                <w:szCs w:val="18"/>
              </w:rPr>
            </w:pPr>
            <w:r>
              <w:rPr>
                <w:sz w:val="18"/>
                <w:szCs w:val="18"/>
              </w:rPr>
              <w:t>26.515,69</w:t>
            </w:r>
          </w:p>
        </w:tc>
        <w:tc>
          <w:tcPr>
            <w:tcW w:w="1061" w:type="dxa"/>
            <w:tcBorders>
              <w:top w:val="nil"/>
              <w:left w:val="nil"/>
              <w:bottom w:val="single" w:sz="4" w:space="0" w:color="auto"/>
              <w:right w:val="single" w:sz="4" w:space="0" w:color="auto"/>
            </w:tcBorders>
            <w:noWrap/>
            <w:vAlign w:val="bottom"/>
            <w:hideMark/>
          </w:tcPr>
          <w:p w:rsidR="003E6891" w:rsidRDefault="003E6891">
            <w:pPr>
              <w:jc w:val="center"/>
              <w:rPr>
                <w:sz w:val="18"/>
                <w:szCs w:val="18"/>
              </w:rPr>
            </w:pPr>
            <w:r>
              <w:rPr>
                <w:sz w:val="18"/>
                <w:szCs w:val="18"/>
              </w:rPr>
              <w:t>% 32,48</w:t>
            </w:r>
          </w:p>
        </w:tc>
        <w:tc>
          <w:tcPr>
            <w:tcW w:w="1169" w:type="dxa"/>
            <w:tcBorders>
              <w:top w:val="nil"/>
              <w:left w:val="nil"/>
              <w:bottom w:val="single" w:sz="4" w:space="0" w:color="auto"/>
              <w:right w:val="single" w:sz="4" w:space="0" w:color="auto"/>
            </w:tcBorders>
            <w:noWrap/>
            <w:vAlign w:val="bottom"/>
            <w:hideMark/>
          </w:tcPr>
          <w:p w:rsidR="003E6891" w:rsidRDefault="003E6891">
            <w:pPr>
              <w:ind w:right="82"/>
              <w:jc w:val="right"/>
              <w:rPr>
                <w:sz w:val="18"/>
                <w:szCs w:val="18"/>
              </w:rPr>
            </w:pPr>
            <w:r>
              <w:rPr>
                <w:sz w:val="18"/>
                <w:szCs w:val="18"/>
              </w:rPr>
              <w:t>81.625,83</w:t>
            </w:r>
          </w:p>
        </w:tc>
      </w:tr>
      <w:tr w:rsidR="003E6891" w:rsidTr="00666764">
        <w:trPr>
          <w:trHeight w:val="255"/>
        </w:trPr>
        <w:tc>
          <w:tcPr>
            <w:tcW w:w="2195" w:type="dxa"/>
            <w:tcBorders>
              <w:top w:val="nil"/>
              <w:left w:val="single" w:sz="4" w:space="0" w:color="auto"/>
              <w:bottom w:val="single" w:sz="4" w:space="0" w:color="auto"/>
              <w:right w:val="single" w:sz="4" w:space="0" w:color="auto"/>
            </w:tcBorders>
            <w:noWrap/>
            <w:vAlign w:val="bottom"/>
            <w:hideMark/>
          </w:tcPr>
          <w:p w:rsidR="003E6891" w:rsidRDefault="003E6891">
            <w:pPr>
              <w:rPr>
                <w:sz w:val="18"/>
                <w:szCs w:val="18"/>
              </w:rPr>
            </w:pPr>
            <w:r>
              <w:rPr>
                <w:sz w:val="18"/>
                <w:szCs w:val="18"/>
              </w:rPr>
              <w:t>OINARRIZKO HEZKUNTZA BEREZIA.</w:t>
            </w:r>
            <w:r>
              <w:rPr>
                <w:sz w:val="18"/>
                <w:szCs w:val="18"/>
              </w:rPr>
              <w:br/>
              <w:t>URRITASUN ANITZEKOAK</w:t>
            </w:r>
          </w:p>
        </w:tc>
        <w:tc>
          <w:tcPr>
            <w:tcW w:w="1079" w:type="dxa"/>
            <w:tcBorders>
              <w:top w:val="nil"/>
              <w:left w:val="nil"/>
              <w:bottom w:val="single" w:sz="4" w:space="0" w:color="auto"/>
              <w:right w:val="single" w:sz="4" w:space="0" w:color="auto"/>
            </w:tcBorders>
            <w:noWrap/>
            <w:vAlign w:val="bottom"/>
            <w:hideMark/>
          </w:tcPr>
          <w:p w:rsidR="003E6891" w:rsidRDefault="003E6891">
            <w:pPr>
              <w:jc w:val="center"/>
              <w:rPr>
                <w:sz w:val="18"/>
                <w:szCs w:val="18"/>
              </w:rPr>
            </w:pPr>
            <w:r>
              <w:rPr>
                <w:sz w:val="18"/>
                <w:szCs w:val="18"/>
              </w:rPr>
              <w:t>1,087</w:t>
            </w:r>
          </w:p>
        </w:tc>
        <w:tc>
          <w:tcPr>
            <w:tcW w:w="1296" w:type="dxa"/>
            <w:tcBorders>
              <w:top w:val="nil"/>
              <w:left w:val="nil"/>
              <w:bottom w:val="single" w:sz="4" w:space="0" w:color="auto"/>
              <w:right w:val="single" w:sz="4" w:space="0" w:color="auto"/>
            </w:tcBorders>
            <w:noWrap/>
            <w:vAlign w:val="bottom"/>
            <w:hideMark/>
          </w:tcPr>
          <w:p w:rsidR="003E6891" w:rsidRDefault="003E6891">
            <w:pPr>
              <w:jc w:val="center"/>
              <w:rPr>
                <w:sz w:val="18"/>
                <w:szCs w:val="18"/>
              </w:rPr>
            </w:pPr>
            <w:r>
              <w:rPr>
                <w:sz w:val="18"/>
                <w:szCs w:val="18"/>
              </w:rPr>
              <w:t>0,000</w:t>
            </w:r>
          </w:p>
        </w:tc>
        <w:tc>
          <w:tcPr>
            <w:tcW w:w="1153" w:type="dxa"/>
            <w:tcBorders>
              <w:top w:val="nil"/>
              <w:left w:val="nil"/>
              <w:bottom w:val="single" w:sz="4" w:space="0" w:color="auto"/>
              <w:right w:val="single" w:sz="4" w:space="0" w:color="auto"/>
            </w:tcBorders>
            <w:noWrap/>
            <w:vAlign w:val="bottom"/>
            <w:hideMark/>
          </w:tcPr>
          <w:p w:rsidR="003E6891" w:rsidRDefault="003E6891">
            <w:pPr>
              <w:ind w:right="217"/>
              <w:jc w:val="right"/>
              <w:rPr>
                <w:sz w:val="18"/>
                <w:szCs w:val="18"/>
              </w:rPr>
            </w:pPr>
            <w:r>
              <w:rPr>
                <w:sz w:val="18"/>
                <w:szCs w:val="18"/>
              </w:rPr>
              <w:t>39.353,93</w:t>
            </w:r>
          </w:p>
        </w:tc>
        <w:tc>
          <w:tcPr>
            <w:tcW w:w="1008" w:type="dxa"/>
            <w:tcBorders>
              <w:top w:val="nil"/>
              <w:left w:val="nil"/>
              <w:bottom w:val="single" w:sz="4" w:space="0" w:color="auto"/>
              <w:right w:val="single" w:sz="4" w:space="0" w:color="auto"/>
            </w:tcBorders>
            <w:noWrap/>
            <w:vAlign w:val="bottom"/>
            <w:hideMark/>
          </w:tcPr>
          <w:p w:rsidR="003E6891" w:rsidRDefault="003E6891">
            <w:pPr>
              <w:jc w:val="center"/>
              <w:rPr>
                <w:sz w:val="18"/>
                <w:szCs w:val="18"/>
              </w:rPr>
            </w:pPr>
            <w:r>
              <w:rPr>
                <w:sz w:val="18"/>
                <w:szCs w:val="18"/>
              </w:rPr>
              <w:t>% 41,75</w:t>
            </w:r>
          </w:p>
        </w:tc>
        <w:tc>
          <w:tcPr>
            <w:tcW w:w="1273" w:type="dxa"/>
            <w:tcBorders>
              <w:top w:val="nil"/>
              <w:left w:val="nil"/>
              <w:bottom w:val="single" w:sz="4" w:space="0" w:color="auto"/>
              <w:right w:val="single" w:sz="4" w:space="0" w:color="auto"/>
            </w:tcBorders>
            <w:noWrap/>
            <w:vAlign w:val="bottom"/>
            <w:hideMark/>
          </w:tcPr>
          <w:p w:rsidR="003E6891" w:rsidRDefault="003E6891">
            <w:pPr>
              <w:ind w:right="245"/>
              <w:jc w:val="right"/>
              <w:rPr>
                <w:sz w:val="18"/>
                <w:szCs w:val="18"/>
              </w:rPr>
            </w:pPr>
            <w:r>
              <w:rPr>
                <w:sz w:val="18"/>
                <w:szCs w:val="18"/>
              </w:rPr>
              <w:t>4.860,06</w:t>
            </w:r>
          </w:p>
        </w:tc>
        <w:tc>
          <w:tcPr>
            <w:tcW w:w="993" w:type="dxa"/>
            <w:tcBorders>
              <w:top w:val="nil"/>
              <w:left w:val="nil"/>
              <w:bottom w:val="single" w:sz="4" w:space="0" w:color="auto"/>
              <w:right w:val="single" w:sz="4" w:space="0" w:color="auto"/>
            </w:tcBorders>
            <w:noWrap/>
            <w:vAlign w:val="bottom"/>
            <w:hideMark/>
          </w:tcPr>
          <w:p w:rsidR="003E6891" w:rsidRDefault="003E6891">
            <w:pPr>
              <w:jc w:val="center"/>
              <w:rPr>
                <w:sz w:val="18"/>
                <w:szCs w:val="18"/>
              </w:rPr>
            </w:pPr>
            <w:r>
              <w:rPr>
                <w:sz w:val="18"/>
                <w:szCs w:val="18"/>
              </w:rPr>
              <w:t>% 5,16</w:t>
            </w:r>
          </w:p>
        </w:tc>
        <w:tc>
          <w:tcPr>
            <w:tcW w:w="1189" w:type="dxa"/>
            <w:tcBorders>
              <w:top w:val="nil"/>
              <w:left w:val="nil"/>
              <w:bottom w:val="single" w:sz="4" w:space="0" w:color="auto"/>
              <w:right w:val="single" w:sz="4" w:space="0" w:color="auto"/>
            </w:tcBorders>
            <w:noWrap/>
            <w:vAlign w:val="bottom"/>
            <w:hideMark/>
          </w:tcPr>
          <w:p w:rsidR="003E6891" w:rsidRDefault="003E6891">
            <w:pPr>
              <w:ind w:right="173"/>
              <w:jc w:val="right"/>
              <w:rPr>
                <w:sz w:val="18"/>
                <w:szCs w:val="18"/>
              </w:rPr>
            </w:pPr>
            <w:r>
              <w:rPr>
                <w:sz w:val="18"/>
                <w:szCs w:val="18"/>
              </w:rPr>
              <w:t>10.896,15</w:t>
            </w:r>
          </w:p>
        </w:tc>
        <w:tc>
          <w:tcPr>
            <w:tcW w:w="1189" w:type="dxa"/>
            <w:tcBorders>
              <w:top w:val="nil"/>
              <w:left w:val="nil"/>
              <w:bottom w:val="single" w:sz="4" w:space="0" w:color="auto"/>
              <w:right w:val="single" w:sz="4" w:space="0" w:color="auto"/>
            </w:tcBorders>
            <w:noWrap/>
            <w:vAlign w:val="bottom"/>
            <w:hideMark/>
          </w:tcPr>
          <w:p w:rsidR="003E6891" w:rsidRDefault="003E6891">
            <w:pPr>
              <w:jc w:val="center"/>
              <w:rPr>
                <w:sz w:val="18"/>
                <w:szCs w:val="18"/>
              </w:rPr>
            </w:pPr>
            <w:r>
              <w:rPr>
                <w:sz w:val="18"/>
                <w:szCs w:val="18"/>
              </w:rPr>
              <w:t>% 11,56</w:t>
            </w:r>
          </w:p>
        </w:tc>
        <w:tc>
          <w:tcPr>
            <w:tcW w:w="1486" w:type="dxa"/>
            <w:tcBorders>
              <w:top w:val="nil"/>
              <w:left w:val="nil"/>
              <w:bottom w:val="single" w:sz="4" w:space="0" w:color="auto"/>
              <w:right w:val="single" w:sz="4" w:space="0" w:color="auto"/>
            </w:tcBorders>
            <w:noWrap/>
            <w:vAlign w:val="bottom"/>
            <w:hideMark/>
          </w:tcPr>
          <w:p w:rsidR="003E6891" w:rsidRDefault="003E6891">
            <w:pPr>
              <w:ind w:right="190"/>
              <w:jc w:val="right"/>
              <w:rPr>
                <w:sz w:val="18"/>
                <w:szCs w:val="18"/>
              </w:rPr>
            </w:pPr>
            <w:r>
              <w:rPr>
                <w:sz w:val="18"/>
                <w:szCs w:val="18"/>
              </w:rPr>
              <w:t>39.148,71</w:t>
            </w:r>
          </w:p>
        </w:tc>
        <w:tc>
          <w:tcPr>
            <w:tcW w:w="1061" w:type="dxa"/>
            <w:tcBorders>
              <w:top w:val="nil"/>
              <w:left w:val="nil"/>
              <w:bottom w:val="single" w:sz="4" w:space="0" w:color="auto"/>
              <w:right w:val="single" w:sz="4" w:space="0" w:color="auto"/>
            </w:tcBorders>
            <w:noWrap/>
            <w:vAlign w:val="bottom"/>
            <w:hideMark/>
          </w:tcPr>
          <w:p w:rsidR="003E6891" w:rsidRDefault="003E6891">
            <w:pPr>
              <w:jc w:val="center"/>
              <w:rPr>
                <w:sz w:val="18"/>
                <w:szCs w:val="18"/>
              </w:rPr>
            </w:pPr>
            <w:r>
              <w:rPr>
                <w:sz w:val="18"/>
                <w:szCs w:val="18"/>
              </w:rPr>
              <w:t>% 41,53</w:t>
            </w:r>
          </w:p>
        </w:tc>
        <w:tc>
          <w:tcPr>
            <w:tcW w:w="1169" w:type="dxa"/>
            <w:tcBorders>
              <w:top w:val="nil"/>
              <w:left w:val="nil"/>
              <w:bottom w:val="single" w:sz="4" w:space="0" w:color="auto"/>
              <w:right w:val="single" w:sz="4" w:space="0" w:color="auto"/>
            </w:tcBorders>
            <w:noWrap/>
            <w:vAlign w:val="bottom"/>
            <w:hideMark/>
          </w:tcPr>
          <w:p w:rsidR="003E6891" w:rsidRDefault="003E6891">
            <w:pPr>
              <w:ind w:right="82"/>
              <w:jc w:val="right"/>
              <w:rPr>
                <w:sz w:val="18"/>
                <w:szCs w:val="18"/>
              </w:rPr>
            </w:pPr>
            <w:r>
              <w:rPr>
                <w:sz w:val="18"/>
                <w:szCs w:val="18"/>
              </w:rPr>
              <w:t>94.258,85</w:t>
            </w:r>
          </w:p>
        </w:tc>
      </w:tr>
      <w:tr w:rsidR="003E6891" w:rsidTr="00666764">
        <w:trPr>
          <w:trHeight w:val="255"/>
        </w:trPr>
        <w:tc>
          <w:tcPr>
            <w:tcW w:w="2195" w:type="dxa"/>
            <w:tcBorders>
              <w:top w:val="nil"/>
              <w:left w:val="single" w:sz="4" w:space="0" w:color="auto"/>
              <w:bottom w:val="single" w:sz="4" w:space="0" w:color="auto"/>
              <w:right w:val="single" w:sz="4" w:space="0" w:color="auto"/>
            </w:tcBorders>
            <w:noWrap/>
            <w:vAlign w:val="bottom"/>
            <w:hideMark/>
          </w:tcPr>
          <w:p w:rsidR="003E6891" w:rsidRDefault="003E6891">
            <w:pPr>
              <w:rPr>
                <w:sz w:val="18"/>
                <w:szCs w:val="18"/>
              </w:rPr>
            </w:pPr>
            <w:r>
              <w:rPr>
                <w:sz w:val="18"/>
                <w:szCs w:val="18"/>
              </w:rPr>
              <w:lastRenderedPageBreak/>
              <w:t>HLKPB</w:t>
            </w:r>
          </w:p>
        </w:tc>
        <w:tc>
          <w:tcPr>
            <w:tcW w:w="1079" w:type="dxa"/>
            <w:tcBorders>
              <w:top w:val="nil"/>
              <w:left w:val="nil"/>
              <w:bottom w:val="single" w:sz="4" w:space="0" w:color="auto"/>
              <w:right w:val="single" w:sz="4" w:space="0" w:color="auto"/>
            </w:tcBorders>
            <w:noWrap/>
            <w:vAlign w:val="bottom"/>
            <w:hideMark/>
          </w:tcPr>
          <w:p w:rsidR="003E6891" w:rsidRDefault="003E6891">
            <w:pPr>
              <w:jc w:val="center"/>
              <w:rPr>
                <w:sz w:val="18"/>
                <w:szCs w:val="18"/>
              </w:rPr>
            </w:pPr>
            <w:r>
              <w:rPr>
                <w:sz w:val="18"/>
                <w:szCs w:val="18"/>
              </w:rPr>
              <w:t>1,087</w:t>
            </w:r>
          </w:p>
        </w:tc>
        <w:tc>
          <w:tcPr>
            <w:tcW w:w="1296" w:type="dxa"/>
            <w:tcBorders>
              <w:top w:val="nil"/>
              <w:left w:val="nil"/>
              <w:bottom w:val="single" w:sz="4" w:space="0" w:color="auto"/>
              <w:right w:val="single" w:sz="4" w:space="0" w:color="auto"/>
            </w:tcBorders>
            <w:noWrap/>
            <w:vAlign w:val="bottom"/>
            <w:hideMark/>
          </w:tcPr>
          <w:p w:rsidR="003E6891" w:rsidRDefault="003E6891">
            <w:pPr>
              <w:jc w:val="center"/>
              <w:rPr>
                <w:sz w:val="18"/>
                <w:szCs w:val="18"/>
              </w:rPr>
            </w:pPr>
            <w:r>
              <w:rPr>
                <w:sz w:val="18"/>
                <w:szCs w:val="18"/>
              </w:rPr>
              <w:t>1,087</w:t>
            </w:r>
          </w:p>
        </w:tc>
        <w:tc>
          <w:tcPr>
            <w:tcW w:w="1153" w:type="dxa"/>
            <w:tcBorders>
              <w:top w:val="nil"/>
              <w:left w:val="nil"/>
              <w:bottom w:val="single" w:sz="4" w:space="0" w:color="auto"/>
              <w:right w:val="single" w:sz="4" w:space="0" w:color="auto"/>
            </w:tcBorders>
            <w:noWrap/>
            <w:vAlign w:val="bottom"/>
            <w:hideMark/>
          </w:tcPr>
          <w:p w:rsidR="003E6891" w:rsidRDefault="003E6891">
            <w:pPr>
              <w:ind w:right="217"/>
              <w:jc w:val="right"/>
              <w:rPr>
                <w:sz w:val="18"/>
                <w:szCs w:val="18"/>
              </w:rPr>
            </w:pPr>
            <w:r>
              <w:rPr>
                <w:sz w:val="18"/>
                <w:szCs w:val="18"/>
              </w:rPr>
              <w:t>80.731,58</w:t>
            </w:r>
          </w:p>
        </w:tc>
        <w:tc>
          <w:tcPr>
            <w:tcW w:w="1008" w:type="dxa"/>
            <w:tcBorders>
              <w:top w:val="nil"/>
              <w:left w:val="nil"/>
              <w:bottom w:val="single" w:sz="4" w:space="0" w:color="auto"/>
              <w:right w:val="single" w:sz="4" w:space="0" w:color="auto"/>
            </w:tcBorders>
            <w:noWrap/>
            <w:vAlign w:val="bottom"/>
            <w:hideMark/>
          </w:tcPr>
          <w:p w:rsidR="003E6891" w:rsidRDefault="003E6891">
            <w:pPr>
              <w:jc w:val="center"/>
              <w:rPr>
                <w:sz w:val="18"/>
                <w:szCs w:val="18"/>
              </w:rPr>
            </w:pPr>
            <w:r>
              <w:rPr>
                <w:sz w:val="18"/>
                <w:szCs w:val="18"/>
              </w:rPr>
              <w:t>% 51,61</w:t>
            </w:r>
          </w:p>
        </w:tc>
        <w:tc>
          <w:tcPr>
            <w:tcW w:w="1273" w:type="dxa"/>
            <w:tcBorders>
              <w:top w:val="nil"/>
              <w:left w:val="nil"/>
              <w:bottom w:val="single" w:sz="4" w:space="0" w:color="auto"/>
              <w:right w:val="single" w:sz="4" w:space="0" w:color="auto"/>
            </w:tcBorders>
            <w:noWrap/>
            <w:vAlign w:val="bottom"/>
            <w:hideMark/>
          </w:tcPr>
          <w:p w:rsidR="003E6891" w:rsidRDefault="003E6891">
            <w:pPr>
              <w:ind w:right="245"/>
              <w:jc w:val="right"/>
              <w:rPr>
                <w:sz w:val="18"/>
                <w:szCs w:val="18"/>
              </w:rPr>
            </w:pPr>
            <w:r>
              <w:rPr>
                <w:sz w:val="18"/>
                <w:szCs w:val="18"/>
              </w:rPr>
              <w:t>12.450,73</w:t>
            </w:r>
          </w:p>
        </w:tc>
        <w:tc>
          <w:tcPr>
            <w:tcW w:w="993" w:type="dxa"/>
            <w:tcBorders>
              <w:top w:val="nil"/>
              <w:left w:val="nil"/>
              <w:bottom w:val="single" w:sz="4" w:space="0" w:color="auto"/>
              <w:right w:val="single" w:sz="4" w:space="0" w:color="auto"/>
            </w:tcBorders>
            <w:noWrap/>
            <w:vAlign w:val="bottom"/>
            <w:hideMark/>
          </w:tcPr>
          <w:p w:rsidR="003E6891" w:rsidRDefault="003E6891">
            <w:pPr>
              <w:jc w:val="center"/>
              <w:rPr>
                <w:sz w:val="18"/>
                <w:szCs w:val="18"/>
              </w:rPr>
            </w:pPr>
            <w:r>
              <w:rPr>
                <w:sz w:val="18"/>
                <w:szCs w:val="18"/>
              </w:rPr>
              <w:t>% 7,96</w:t>
            </w:r>
          </w:p>
        </w:tc>
        <w:tc>
          <w:tcPr>
            <w:tcW w:w="1189" w:type="dxa"/>
            <w:tcBorders>
              <w:top w:val="nil"/>
              <w:left w:val="nil"/>
              <w:bottom w:val="single" w:sz="4" w:space="0" w:color="auto"/>
              <w:right w:val="single" w:sz="4" w:space="0" w:color="auto"/>
            </w:tcBorders>
            <w:noWrap/>
            <w:vAlign w:val="bottom"/>
            <w:hideMark/>
          </w:tcPr>
          <w:p w:rsidR="003E6891" w:rsidRDefault="003E6891">
            <w:pPr>
              <w:ind w:right="173"/>
              <w:jc w:val="right"/>
              <w:rPr>
                <w:sz w:val="18"/>
                <w:szCs w:val="18"/>
              </w:rPr>
            </w:pPr>
            <w:r>
              <w:rPr>
                <w:sz w:val="18"/>
                <w:szCs w:val="18"/>
              </w:rPr>
              <w:t>14.496,42</w:t>
            </w:r>
          </w:p>
        </w:tc>
        <w:tc>
          <w:tcPr>
            <w:tcW w:w="1189" w:type="dxa"/>
            <w:tcBorders>
              <w:top w:val="nil"/>
              <w:left w:val="nil"/>
              <w:bottom w:val="single" w:sz="4" w:space="0" w:color="auto"/>
              <w:right w:val="single" w:sz="4" w:space="0" w:color="auto"/>
            </w:tcBorders>
            <w:noWrap/>
            <w:vAlign w:val="bottom"/>
            <w:hideMark/>
          </w:tcPr>
          <w:p w:rsidR="003E6891" w:rsidRDefault="003E6891">
            <w:pPr>
              <w:jc w:val="center"/>
              <w:rPr>
                <w:sz w:val="18"/>
                <w:szCs w:val="18"/>
              </w:rPr>
            </w:pPr>
            <w:r>
              <w:rPr>
                <w:sz w:val="18"/>
                <w:szCs w:val="18"/>
              </w:rPr>
              <w:t>% 9,27</w:t>
            </w:r>
          </w:p>
        </w:tc>
        <w:tc>
          <w:tcPr>
            <w:tcW w:w="1486" w:type="dxa"/>
            <w:tcBorders>
              <w:top w:val="nil"/>
              <w:left w:val="nil"/>
              <w:bottom w:val="single" w:sz="4" w:space="0" w:color="auto"/>
              <w:right w:val="single" w:sz="4" w:space="0" w:color="auto"/>
            </w:tcBorders>
            <w:noWrap/>
            <w:vAlign w:val="bottom"/>
            <w:hideMark/>
          </w:tcPr>
          <w:p w:rsidR="003E6891" w:rsidRDefault="003E6891">
            <w:pPr>
              <w:ind w:right="190"/>
              <w:jc w:val="right"/>
              <w:rPr>
                <w:sz w:val="18"/>
                <w:szCs w:val="18"/>
              </w:rPr>
            </w:pPr>
            <w:r>
              <w:rPr>
                <w:sz w:val="18"/>
                <w:szCs w:val="18"/>
              </w:rPr>
              <w:t>48.741,31</w:t>
            </w:r>
          </w:p>
        </w:tc>
        <w:tc>
          <w:tcPr>
            <w:tcW w:w="1061" w:type="dxa"/>
            <w:tcBorders>
              <w:top w:val="nil"/>
              <w:left w:val="nil"/>
              <w:bottom w:val="single" w:sz="4" w:space="0" w:color="auto"/>
              <w:right w:val="single" w:sz="4" w:space="0" w:color="auto"/>
            </w:tcBorders>
            <w:noWrap/>
            <w:vAlign w:val="bottom"/>
            <w:hideMark/>
          </w:tcPr>
          <w:p w:rsidR="003E6891" w:rsidRDefault="003E6891">
            <w:pPr>
              <w:jc w:val="center"/>
              <w:rPr>
                <w:sz w:val="18"/>
                <w:szCs w:val="18"/>
              </w:rPr>
            </w:pPr>
            <w:r>
              <w:rPr>
                <w:sz w:val="18"/>
                <w:szCs w:val="18"/>
              </w:rPr>
              <w:t>% 31,16</w:t>
            </w:r>
          </w:p>
        </w:tc>
        <w:tc>
          <w:tcPr>
            <w:tcW w:w="1169" w:type="dxa"/>
            <w:tcBorders>
              <w:top w:val="nil"/>
              <w:left w:val="nil"/>
              <w:bottom w:val="single" w:sz="4" w:space="0" w:color="auto"/>
              <w:right w:val="single" w:sz="4" w:space="0" w:color="auto"/>
            </w:tcBorders>
            <w:noWrap/>
            <w:vAlign w:val="bottom"/>
            <w:hideMark/>
          </w:tcPr>
          <w:p w:rsidR="003E6891" w:rsidRDefault="003E6891">
            <w:pPr>
              <w:ind w:right="82"/>
              <w:jc w:val="right"/>
              <w:rPr>
                <w:sz w:val="18"/>
                <w:szCs w:val="18"/>
              </w:rPr>
            </w:pPr>
            <w:r>
              <w:rPr>
                <w:sz w:val="18"/>
                <w:szCs w:val="18"/>
              </w:rPr>
              <w:t>156.420,04</w:t>
            </w:r>
          </w:p>
        </w:tc>
      </w:tr>
      <w:tr w:rsidR="003E6891" w:rsidTr="00666764">
        <w:trPr>
          <w:trHeight w:val="255"/>
        </w:trPr>
        <w:tc>
          <w:tcPr>
            <w:tcW w:w="2195" w:type="dxa"/>
            <w:tcBorders>
              <w:top w:val="nil"/>
              <w:left w:val="single" w:sz="4" w:space="0" w:color="auto"/>
              <w:bottom w:val="single" w:sz="4" w:space="0" w:color="auto"/>
              <w:right w:val="single" w:sz="4" w:space="0" w:color="auto"/>
            </w:tcBorders>
            <w:noWrap/>
            <w:vAlign w:val="bottom"/>
            <w:hideMark/>
          </w:tcPr>
          <w:p w:rsidR="003E6891" w:rsidRDefault="003E6891">
            <w:pPr>
              <w:rPr>
                <w:sz w:val="18"/>
                <w:szCs w:val="18"/>
              </w:rPr>
            </w:pPr>
            <w:r>
              <w:rPr>
                <w:sz w:val="18"/>
                <w:szCs w:val="18"/>
              </w:rPr>
              <w:t>HIP</w:t>
            </w:r>
          </w:p>
        </w:tc>
        <w:tc>
          <w:tcPr>
            <w:tcW w:w="1079" w:type="dxa"/>
            <w:tcBorders>
              <w:top w:val="nil"/>
              <w:left w:val="nil"/>
              <w:bottom w:val="single" w:sz="4" w:space="0" w:color="auto"/>
              <w:right w:val="single" w:sz="4" w:space="0" w:color="auto"/>
            </w:tcBorders>
            <w:noWrap/>
            <w:vAlign w:val="bottom"/>
            <w:hideMark/>
          </w:tcPr>
          <w:p w:rsidR="003E6891" w:rsidRDefault="003E6891">
            <w:pPr>
              <w:jc w:val="center"/>
              <w:rPr>
                <w:sz w:val="18"/>
                <w:szCs w:val="18"/>
              </w:rPr>
            </w:pPr>
            <w:r>
              <w:rPr>
                <w:sz w:val="18"/>
                <w:szCs w:val="18"/>
              </w:rPr>
              <w:t>0,696</w:t>
            </w:r>
          </w:p>
        </w:tc>
        <w:tc>
          <w:tcPr>
            <w:tcW w:w="1296" w:type="dxa"/>
            <w:tcBorders>
              <w:top w:val="nil"/>
              <w:left w:val="nil"/>
              <w:bottom w:val="single" w:sz="4" w:space="0" w:color="auto"/>
              <w:right w:val="single" w:sz="4" w:space="0" w:color="auto"/>
            </w:tcBorders>
            <w:noWrap/>
            <w:vAlign w:val="bottom"/>
            <w:hideMark/>
          </w:tcPr>
          <w:p w:rsidR="003E6891" w:rsidRDefault="003E6891">
            <w:pPr>
              <w:jc w:val="center"/>
              <w:rPr>
                <w:sz w:val="18"/>
                <w:szCs w:val="18"/>
              </w:rPr>
            </w:pPr>
            <w:r>
              <w:rPr>
                <w:sz w:val="18"/>
                <w:szCs w:val="18"/>
              </w:rPr>
              <w:t>0,391</w:t>
            </w:r>
          </w:p>
        </w:tc>
        <w:tc>
          <w:tcPr>
            <w:tcW w:w="1153" w:type="dxa"/>
            <w:tcBorders>
              <w:top w:val="nil"/>
              <w:left w:val="nil"/>
              <w:bottom w:val="single" w:sz="4" w:space="0" w:color="auto"/>
              <w:right w:val="single" w:sz="4" w:space="0" w:color="auto"/>
            </w:tcBorders>
            <w:noWrap/>
            <w:vAlign w:val="bottom"/>
            <w:hideMark/>
          </w:tcPr>
          <w:p w:rsidR="003E6891" w:rsidRDefault="003E6891">
            <w:pPr>
              <w:ind w:right="217"/>
              <w:jc w:val="right"/>
              <w:rPr>
                <w:sz w:val="18"/>
                <w:szCs w:val="18"/>
              </w:rPr>
            </w:pPr>
            <w:r>
              <w:rPr>
                <w:sz w:val="18"/>
                <w:szCs w:val="18"/>
              </w:rPr>
              <w:t>40.082,48</w:t>
            </w:r>
          </w:p>
        </w:tc>
        <w:tc>
          <w:tcPr>
            <w:tcW w:w="1008" w:type="dxa"/>
            <w:tcBorders>
              <w:top w:val="nil"/>
              <w:left w:val="nil"/>
              <w:bottom w:val="single" w:sz="4" w:space="0" w:color="auto"/>
              <w:right w:val="single" w:sz="4" w:space="0" w:color="auto"/>
            </w:tcBorders>
            <w:noWrap/>
            <w:vAlign w:val="bottom"/>
            <w:hideMark/>
          </w:tcPr>
          <w:p w:rsidR="003E6891" w:rsidRDefault="003E6891">
            <w:pPr>
              <w:jc w:val="center"/>
              <w:rPr>
                <w:sz w:val="18"/>
                <w:szCs w:val="18"/>
              </w:rPr>
            </w:pPr>
            <w:r>
              <w:rPr>
                <w:sz w:val="18"/>
                <w:szCs w:val="18"/>
              </w:rPr>
              <w:t>% 48,25</w:t>
            </w:r>
          </w:p>
        </w:tc>
        <w:tc>
          <w:tcPr>
            <w:tcW w:w="1273" w:type="dxa"/>
            <w:tcBorders>
              <w:top w:val="nil"/>
              <w:left w:val="nil"/>
              <w:bottom w:val="single" w:sz="4" w:space="0" w:color="auto"/>
              <w:right w:val="single" w:sz="4" w:space="0" w:color="auto"/>
            </w:tcBorders>
            <w:noWrap/>
            <w:vAlign w:val="bottom"/>
            <w:hideMark/>
          </w:tcPr>
          <w:p w:rsidR="003E6891" w:rsidRDefault="003E6891">
            <w:pPr>
              <w:ind w:right="245"/>
              <w:jc w:val="right"/>
              <w:rPr>
                <w:sz w:val="18"/>
                <w:szCs w:val="18"/>
              </w:rPr>
            </w:pPr>
            <w:r>
              <w:rPr>
                <w:sz w:val="18"/>
                <w:szCs w:val="18"/>
              </w:rPr>
              <w:t>5.580,10</w:t>
            </w:r>
          </w:p>
        </w:tc>
        <w:tc>
          <w:tcPr>
            <w:tcW w:w="993" w:type="dxa"/>
            <w:tcBorders>
              <w:top w:val="nil"/>
              <w:left w:val="nil"/>
              <w:bottom w:val="single" w:sz="4" w:space="0" w:color="auto"/>
              <w:right w:val="single" w:sz="4" w:space="0" w:color="auto"/>
            </w:tcBorders>
            <w:noWrap/>
            <w:vAlign w:val="bottom"/>
            <w:hideMark/>
          </w:tcPr>
          <w:p w:rsidR="003E6891" w:rsidRDefault="003E6891">
            <w:pPr>
              <w:jc w:val="center"/>
              <w:rPr>
                <w:sz w:val="18"/>
                <w:szCs w:val="18"/>
              </w:rPr>
            </w:pPr>
            <w:r>
              <w:rPr>
                <w:sz w:val="18"/>
                <w:szCs w:val="18"/>
              </w:rPr>
              <w:t>% 6,72</w:t>
            </w:r>
          </w:p>
        </w:tc>
        <w:tc>
          <w:tcPr>
            <w:tcW w:w="1189" w:type="dxa"/>
            <w:tcBorders>
              <w:top w:val="nil"/>
              <w:left w:val="nil"/>
              <w:bottom w:val="single" w:sz="4" w:space="0" w:color="auto"/>
              <w:right w:val="single" w:sz="4" w:space="0" w:color="auto"/>
            </w:tcBorders>
            <w:noWrap/>
            <w:vAlign w:val="bottom"/>
            <w:hideMark/>
          </w:tcPr>
          <w:p w:rsidR="003E6891" w:rsidRDefault="003E6891">
            <w:pPr>
              <w:ind w:right="173"/>
              <w:jc w:val="right"/>
              <w:rPr>
                <w:sz w:val="18"/>
                <w:szCs w:val="18"/>
              </w:rPr>
            </w:pPr>
            <w:r>
              <w:rPr>
                <w:sz w:val="18"/>
                <w:szCs w:val="18"/>
              </w:rPr>
              <w:t>10.896,15</w:t>
            </w:r>
          </w:p>
        </w:tc>
        <w:tc>
          <w:tcPr>
            <w:tcW w:w="1189" w:type="dxa"/>
            <w:tcBorders>
              <w:top w:val="nil"/>
              <w:left w:val="nil"/>
              <w:bottom w:val="single" w:sz="4" w:space="0" w:color="auto"/>
              <w:right w:val="single" w:sz="4" w:space="0" w:color="auto"/>
            </w:tcBorders>
            <w:noWrap/>
            <w:vAlign w:val="bottom"/>
            <w:hideMark/>
          </w:tcPr>
          <w:p w:rsidR="003E6891" w:rsidRDefault="003E6891">
            <w:pPr>
              <w:jc w:val="center"/>
              <w:rPr>
                <w:sz w:val="18"/>
                <w:szCs w:val="18"/>
              </w:rPr>
            </w:pPr>
            <w:r>
              <w:rPr>
                <w:sz w:val="18"/>
                <w:szCs w:val="18"/>
              </w:rPr>
              <w:t>% 13,12</w:t>
            </w:r>
          </w:p>
        </w:tc>
        <w:tc>
          <w:tcPr>
            <w:tcW w:w="1486" w:type="dxa"/>
            <w:tcBorders>
              <w:top w:val="nil"/>
              <w:left w:val="nil"/>
              <w:bottom w:val="single" w:sz="4" w:space="0" w:color="auto"/>
              <w:right w:val="single" w:sz="4" w:space="0" w:color="auto"/>
            </w:tcBorders>
            <w:noWrap/>
            <w:vAlign w:val="bottom"/>
            <w:hideMark/>
          </w:tcPr>
          <w:p w:rsidR="003E6891" w:rsidRDefault="003E6891">
            <w:pPr>
              <w:ind w:right="190"/>
              <w:jc w:val="right"/>
              <w:rPr>
                <w:sz w:val="18"/>
                <w:szCs w:val="18"/>
              </w:rPr>
            </w:pPr>
            <w:r>
              <w:rPr>
                <w:sz w:val="18"/>
                <w:szCs w:val="18"/>
              </w:rPr>
              <w:t>26.515,69</w:t>
            </w:r>
          </w:p>
        </w:tc>
        <w:tc>
          <w:tcPr>
            <w:tcW w:w="1061" w:type="dxa"/>
            <w:tcBorders>
              <w:top w:val="nil"/>
              <w:left w:val="nil"/>
              <w:bottom w:val="single" w:sz="4" w:space="0" w:color="auto"/>
              <w:right w:val="single" w:sz="4" w:space="0" w:color="auto"/>
            </w:tcBorders>
            <w:noWrap/>
            <w:vAlign w:val="bottom"/>
            <w:hideMark/>
          </w:tcPr>
          <w:p w:rsidR="003E6891" w:rsidRDefault="003E6891">
            <w:pPr>
              <w:jc w:val="center"/>
              <w:rPr>
                <w:sz w:val="18"/>
                <w:szCs w:val="18"/>
              </w:rPr>
            </w:pPr>
            <w:r>
              <w:rPr>
                <w:sz w:val="18"/>
                <w:szCs w:val="18"/>
              </w:rPr>
              <w:t>% 31,92</w:t>
            </w:r>
          </w:p>
        </w:tc>
        <w:tc>
          <w:tcPr>
            <w:tcW w:w="1169" w:type="dxa"/>
            <w:tcBorders>
              <w:top w:val="nil"/>
              <w:left w:val="nil"/>
              <w:bottom w:val="single" w:sz="4" w:space="0" w:color="auto"/>
              <w:right w:val="single" w:sz="4" w:space="0" w:color="auto"/>
            </w:tcBorders>
            <w:noWrap/>
            <w:vAlign w:val="bottom"/>
            <w:hideMark/>
          </w:tcPr>
          <w:p w:rsidR="003E6891" w:rsidRDefault="003E6891">
            <w:pPr>
              <w:ind w:right="82"/>
              <w:jc w:val="right"/>
              <w:rPr>
                <w:sz w:val="18"/>
                <w:szCs w:val="18"/>
              </w:rPr>
            </w:pPr>
            <w:r>
              <w:rPr>
                <w:sz w:val="18"/>
                <w:szCs w:val="18"/>
              </w:rPr>
              <w:t>83.074,42</w:t>
            </w:r>
          </w:p>
        </w:tc>
      </w:tr>
      <w:tr w:rsidR="003E6891" w:rsidTr="00666764">
        <w:trPr>
          <w:trHeight w:val="255"/>
        </w:trPr>
        <w:tc>
          <w:tcPr>
            <w:tcW w:w="2195" w:type="dxa"/>
            <w:tcBorders>
              <w:top w:val="nil"/>
              <w:left w:val="single" w:sz="4" w:space="0" w:color="auto"/>
              <w:bottom w:val="single" w:sz="4" w:space="0" w:color="auto"/>
              <w:right w:val="single" w:sz="4" w:space="0" w:color="auto"/>
            </w:tcBorders>
            <w:noWrap/>
            <w:vAlign w:val="bottom"/>
            <w:hideMark/>
          </w:tcPr>
          <w:p w:rsidR="003E6891" w:rsidRDefault="003E6891">
            <w:pPr>
              <w:rPr>
                <w:sz w:val="18"/>
                <w:szCs w:val="18"/>
              </w:rPr>
            </w:pPr>
            <w:r>
              <w:rPr>
                <w:sz w:val="18"/>
                <w:szCs w:val="18"/>
              </w:rPr>
              <w:t xml:space="preserve">Lehen Oin. </w:t>
            </w:r>
            <w:proofErr w:type="spellStart"/>
            <w:r>
              <w:rPr>
                <w:sz w:val="18"/>
                <w:szCs w:val="18"/>
              </w:rPr>
              <w:t>Hezk</w:t>
            </w:r>
            <w:proofErr w:type="spellEnd"/>
            <w:r>
              <w:rPr>
                <w:sz w:val="18"/>
                <w:szCs w:val="18"/>
              </w:rPr>
              <w:t xml:space="preserve">. Ber. Psikikoak. DBH berariazko </w:t>
            </w:r>
            <w:proofErr w:type="spellStart"/>
            <w:r>
              <w:rPr>
                <w:sz w:val="18"/>
                <w:szCs w:val="18"/>
              </w:rPr>
              <w:t>unit</w:t>
            </w:r>
            <w:proofErr w:type="spellEnd"/>
            <w:r>
              <w:rPr>
                <w:sz w:val="18"/>
                <w:szCs w:val="18"/>
              </w:rPr>
              <w:t>.</w:t>
            </w:r>
          </w:p>
        </w:tc>
        <w:tc>
          <w:tcPr>
            <w:tcW w:w="1079" w:type="dxa"/>
            <w:tcBorders>
              <w:top w:val="nil"/>
              <w:left w:val="nil"/>
              <w:bottom w:val="single" w:sz="4" w:space="0" w:color="auto"/>
              <w:right w:val="single" w:sz="4" w:space="0" w:color="auto"/>
            </w:tcBorders>
            <w:noWrap/>
            <w:vAlign w:val="bottom"/>
            <w:hideMark/>
          </w:tcPr>
          <w:p w:rsidR="003E6891" w:rsidRDefault="003E6891">
            <w:pPr>
              <w:jc w:val="center"/>
              <w:rPr>
                <w:sz w:val="18"/>
                <w:szCs w:val="18"/>
              </w:rPr>
            </w:pPr>
            <w:r>
              <w:rPr>
                <w:sz w:val="18"/>
                <w:szCs w:val="18"/>
              </w:rPr>
              <w:t>1,391</w:t>
            </w:r>
          </w:p>
        </w:tc>
        <w:tc>
          <w:tcPr>
            <w:tcW w:w="1296" w:type="dxa"/>
            <w:tcBorders>
              <w:top w:val="nil"/>
              <w:left w:val="nil"/>
              <w:bottom w:val="single" w:sz="4" w:space="0" w:color="auto"/>
              <w:right w:val="single" w:sz="4" w:space="0" w:color="auto"/>
            </w:tcBorders>
            <w:noWrap/>
            <w:vAlign w:val="bottom"/>
            <w:hideMark/>
          </w:tcPr>
          <w:p w:rsidR="003E6891" w:rsidRDefault="003E6891">
            <w:pPr>
              <w:jc w:val="center"/>
              <w:rPr>
                <w:sz w:val="18"/>
                <w:szCs w:val="18"/>
              </w:rPr>
            </w:pPr>
            <w:r>
              <w:rPr>
                <w:sz w:val="18"/>
                <w:szCs w:val="18"/>
              </w:rPr>
              <w:t>0,000</w:t>
            </w:r>
          </w:p>
        </w:tc>
        <w:tc>
          <w:tcPr>
            <w:tcW w:w="1153" w:type="dxa"/>
            <w:tcBorders>
              <w:top w:val="nil"/>
              <w:left w:val="nil"/>
              <w:bottom w:val="single" w:sz="4" w:space="0" w:color="auto"/>
              <w:right w:val="single" w:sz="4" w:space="0" w:color="auto"/>
            </w:tcBorders>
            <w:noWrap/>
            <w:vAlign w:val="bottom"/>
            <w:hideMark/>
          </w:tcPr>
          <w:p w:rsidR="003E6891" w:rsidRDefault="003E6891">
            <w:pPr>
              <w:jc w:val="right"/>
              <w:rPr>
                <w:sz w:val="18"/>
                <w:szCs w:val="18"/>
              </w:rPr>
            </w:pPr>
            <w:r>
              <w:rPr>
                <w:sz w:val="18"/>
                <w:szCs w:val="18"/>
              </w:rPr>
              <w:t>50.373,02</w:t>
            </w:r>
          </w:p>
        </w:tc>
        <w:tc>
          <w:tcPr>
            <w:tcW w:w="1008" w:type="dxa"/>
            <w:tcBorders>
              <w:top w:val="nil"/>
              <w:left w:val="nil"/>
              <w:bottom w:val="single" w:sz="4" w:space="0" w:color="auto"/>
              <w:right w:val="single" w:sz="4" w:space="0" w:color="auto"/>
            </w:tcBorders>
            <w:noWrap/>
            <w:vAlign w:val="bottom"/>
            <w:hideMark/>
          </w:tcPr>
          <w:p w:rsidR="003E6891" w:rsidRDefault="003E6891">
            <w:pPr>
              <w:jc w:val="center"/>
              <w:rPr>
                <w:sz w:val="18"/>
                <w:szCs w:val="18"/>
              </w:rPr>
            </w:pPr>
            <w:r>
              <w:rPr>
                <w:sz w:val="18"/>
                <w:szCs w:val="18"/>
              </w:rPr>
              <w:t>% 76,19</w:t>
            </w:r>
          </w:p>
        </w:tc>
        <w:tc>
          <w:tcPr>
            <w:tcW w:w="1273" w:type="dxa"/>
            <w:tcBorders>
              <w:top w:val="nil"/>
              <w:left w:val="nil"/>
              <w:bottom w:val="single" w:sz="4" w:space="0" w:color="auto"/>
              <w:right w:val="single" w:sz="4" w:space="0" w:color="auto"/>
            </w:tcBorders>
            <w:noWrap/>
            <w:vAlign w:val="bottom"/>
            <w:hideMark/>
          </w:tcPr>
          <w:p w:rsidR="003E6891" w:rsidRDefault="003E6891">
            <w:pPr>
              <w:ind w:right="245"/>
              <w:jc w:val="right"/>
              <w:rPr>
                <w:sz w:val="18"/>
                <w:szCs w:val="18"/>
              </w:rPr>
            </w:pPr>
            <w:r>
              <w:rPr>
                <w:sz w:val="18"/>
                <w:szCs w:val="18"/>
              </w:rPr>
              <w:t>4.846,80</w:t>
            </w:r>
          </w:p>
        </w:tc>
        <w:tc>
          <w:tcPr>
            <w:tcW w:w="993" w:type="dxa"/>
            <w:tcBorders>
              <w:top w:val="nil"/>
              <w:left w:val="nil"/>
              <w:bottom w:val="single" w:sz="4" w:space="0" w:color="auto"/>
              <w:right w:val="single" w:sz="4" w:space="0" w:color="auto"/>
            </w:tcBorders>
            <w:noWrap/>
            <w:vAlign w:val="bottom"/>
            <w:hideMark/>
          </w:tcPr>
          <w:p w:rsidR="003E6891" w:rsidRDefault="003E6891">
            <w:pPr>
              <w:jc w:val="center"/>
              <w:rPr>
                <w:sz w:val="18"/>
                <w:szCs w:val="18"/>
              </w:rPr>
            </w:pPr>
            <w:r>
              <w:rPr>
                <w:sz w:val="18"/>
                <w:szCs w:val="18"/>
              </w:rPr>
              <w:t>% 7,33</w:t>
            </w:r>
          </w:p>
        </w:tc>
        <w:tc>
          <w:tcPr>
            <w:tcW w:w="1189" w:type="dxa"/>
            <w:tcBorders>
              <w:top w:val="nil"/>
              <w:left w:val="nil"/>
              <w:bottom w:val="single" w:sz="4" w:space="0" w:color="auto"/>
              <w:right w:val="single" w:sz="4" w:space="0" w:color="auto"/>
            </w:tcBorders>
            <w:noWrap/>
            <w:vAlign w:val="bottom"/>
            <w:hideMark/>
          </w:tcPr>
          <w:p w:rsidR="003E6891" w:rsidRDefault="003E6891">
            <w:pPr>
              <w:ind w:right="173"/>
              <w:jc w:val="right"/>
              <w:rPr>
                <w:sz w:val="18"/>
                <w:szCs w:val="18"/>
              </w:rPr>
            </w:pPr>
            <w:r>
              <w:rPr>
                <w:sz w:val="18"/>
                <w:szCs w:val="18"/>
              </w:rPr>
              <w:t>10.896,15</w:t>
            </w:r>
          </w:p>
        </w:tc>
        <w:tc>
          <w:tcPr>
            <w:tcW w:w="1189" w:type="dxa"/>
            <w:tcBorders>
              <w:top w:val="nil"/>
              <w:left w:val="nil"/>
              <w:bottom w:val="single" w:sz="4" w:space="0" w:color="auto"/>
              <w:right w:val="single" w:sz="4" w:space="0" w:color="auto"/>
            </w:tcBorders>
            <w:noWrap/>
            <w:vAlign w:val="bottom"/>
            <w:hideMark/>
          </w:tcPr>
          <w:p w:rsidR="003E6891" w:rsidRDefault="003E6891">
            <w:pPr>
              <w:jc w:val="center"/>
              <w:rPr>
                <w:sz w:val="18"/>
                <w:szCs w:val="18"/>
              </w:rPr>
            </w:pPr>
            <w:r>
              <w:rPr>
                <w:sz w:val="18"/>
                <w:szCs w:val="18"/>
              </w:rPr>
              <w:t>% 16,48</w:t>
            </w:r>
          </w:p>
        </w:tc>
        <w:tc>
          <w:tcPr>
            <w:tcW w:w="1486" w:type="dxa"/>
            <w:tcBorders>
              <w:top w:val="nil"/>
              <w:left w:val="nil"/>
              <w:bottom w:val="single" w:sz="4" w:space="0" w:color="auto"/>
              <w:right w:val="single" w:sz="4" w:space="0" w:color="auto"/>
            </w:tcBorders>
            <w:noWrap/>
            <w:vAlign w:val="bottom"/>
            <w:hideMark/>
          </w:tcPr>
          <w:p w:rsidR="003E6891" w:rsidRDefault="003E6891">
            <w:pPr>
              <w:rPr>
                <w:sz w:val="18"/>
                <w:szCs w:val="18"/>
              </w:rPr>
            </w:pPr>
            <w:r>
              <w:rPr>
                <w:sz w:val="18"/>
                <w:szCs w:val="18"/>
              </w:rPr>
              <w:t> </w:t>
            </w:r>
          </w:p>
        </w:tc>
        <w:tc>
          <w:tcPr>
            <w:tcW w:w="1061" w:type="dxa"/>
            <w:tcBorders>
              <w:top w:val="nil"/>
              <w:left w:val="nil"/>
              <w:bottom w:val="single" w:sz="4" w:space="0" w:color="auto"/>
              <w:right w:val="single" w:sz="4" w:space="0" w:color="auto"/>
            </w:tcBorders>
            <w:noWrap/>
            <w:vAlign w:val="bottom"/>
            <w:hideMark/>
          </w:tcPr>
          <w:p w:rsidR="003E6891" w:rsidRDefault="003E6891">
            <w:pPr>
              <w:jc w:val="center"/>
              <w:rPr>
                <w:sz w:val="18"/>
                <w:szCs w:val="18"/>
              </w:rPr>
            </w:pPr>
            <w:r>
              <w:rPr>
                <w:sz w:val="18"/>
                <w:szCs w:val="18"/>
              </w:rPr>
              <w:t> </w:t>
            </w:r>
          </w:p>
        </w:tc>
        <w:tc>
          <w:tcPr>
            <w:tcW w:w="1169" w:type="dxa"/>
            <w:tcBorders>
              <w:top w:val="nil"/>
              <w:left w:val="nil"/>
              <w:bottom w:val="single" w:sz="4" w:space="0" w:color="auto"/>
              <w:right w:val="single" w:sz="4" w:space="0" w:color="auto"/>
            </w:tcBorders>
            <w:noWrap/>
            <w:vAlign w:val="bottom"/>
            <w:hideMark/>
          </w:tcPr>
          <w:p w:rsidR="003E6891" w:rsidRDefault="003E6891">
            <w:pPr>
              <w:ind w:right="82"/>
              <w:jc w:val="right"/>
              <w:rPr>
                <w:sz w:val="18"/>
                <w:szCs w:val="18"/>
              </w:rPr>
            </w:pPr>
            <w:r>
              <w:rPr>
                <w:sz w:val="18"/>
                <w:szCs w:val="18"/>
              </w:rPr>
              <w:t>66.115,97</w:t>
            </w:r>
          </w:p>
        </w:tc>
      </w:tr>
    </w:tbl>
    <w:p w:rsidR="003E6891" w:rsidRDefault="003E6891" w:rsidP="003E6891">
      <w:pPr>
        <w:pStyle w:val="DICTA-TEXTO"/>
        <w:rPr>
          <w:rFonts w:cs="Arial"/>
          <w:szCs w:val="24"/>
          <w:lang w:val="es-ES_tradnl"/>
        </w:rPr>
      </w:pPr>
    </w:p>
    <w:p w:rsidR="003E6891" w:rsidRDefault="003E6891" w:rsidP="003E6891">
      <w:pPr>
        <w:keepLines/>
        <w:ind w:left="142"/>
        <w:jc w:val="center"/>
      </w:pPr>
      <w:r>
        <w:t>ERDI MAILAKO HEZIKETA ZIKLOAK</w:t>
      </w:r>
    </w:p>
    <w:tbl>
      <w:tblPr>
        <w:tblW w:w="13836" w:type="dxa"/>
        <w:tblInd w:w="-72" w:type="dxa"/>
        <w:tblCellMar>
          <w:left w:w="70" w:type="dxa"/>
          <w:right w:w="70" w:type="dxa"/>
        </w:tblCellMar>
        <w:tblLook w:val="04A0" w:firstRow="1" w:lastRow="0" w:firstColumn="1" w:lastColumn="0" w:noHBand="0" w:noVBand="1"/>
      </w:tblPr>
      <w:tblGrid>
        <w:gridCol w:w="2496"/>
        <w:gridCol w:w="1318"/>
        <w:gridCol w:w="1341"/>
        <w:gridCol w:w="1441"/>
        <w:gridCol w:w="1341"/>
        <w:gridCol w:w="1196"/>
        <w:gridCol w:w="1607"/>
        <w:gridCol w:w="1196"/>
        <w:gridCol w:w="999"/>
        <w:gridCol w:w="1196"/>
        <w:gridCol w:w="1246"/>
      </w:tblGrid>
      <w:tr w:rsidR="003E6891" w:rsidTr="00666764">
        <w:trPr>
          <w:trHeight w:val="267"/>
        </w:trPr>
        <w:tc>
          <w:tcPr>
            <w:tcW w:w="2296" w:type="dxa"/>
            <w:vMerge w:val="restart"/>
            <w:tcBorders>
              <w:top w:val="single" w:sz="4" w:space="0" w:color="auto"/>
              <w:left w:val="single" w:sz="4" w:space="0" w:color="auto"/>
              <w:bottom w:val="single" w:sz="4" w:space="0" w:color="000000"/>
              <w:right w:val="single" w:sz="4" w:space="0" w:color="auto"/>
            </w:tcBorders>
            <w:vAlign w:val="center"/>
            <w:hideMark/>
          </w:tcPr>
          <w:p w:rsidR="003E6891" w:rsidRDefault="003E6891">
            <w:pPr>
              <w:jc w:val="center"/>
              <w:rPr>
                <w:b/>
                <w:bCs/>
                <w:sz w:val="20"/>
                <w:szCs w:val="20"/>
              </w:rPr>
            </w:pPr>
            <w:r>
              <w:rPr>
                <w:b/>
                <w:bCs/>
                <w:sz w:val="20"/>
                <w:szCs w:val="20"/>
              </w:rPr>
              <w:t>ERDI MAILAKO HEZIKETA ZIKLOAK</w:t>
            </w:r>
          </w:p>
        </w:tc>
        <w:tc>
          <w:tcPr>
            <w:tcW w:w="880" w:type="dxa"/>
            <w:vMerge w:val="restart"/>
            <w:tcBorders>
              <w:top w:val="single" w:sz="4" w:space="0" w:color="auto"/>
              <w:left w:val="single" w:sz="4" w:space="0" w:color="auto"/>
              <w:bottom w:val="single" w:sz="4" w:space="0" w:color="000000"/>
              <w:right w:val="single" w:sz="4" w:space="0" w:color="auto"/>
            </w:tcBorders>
            <w:vAlign w:val="center"/>
            <w:hideMark/>
          </w:tcPr>
          <w:p w:rsidR="003E6891" w:rsidRDefault="003E6891">
            <w:pPr>
              <w:jc w:val="center"/>
              <w:rPr>
                <w:b/>
                <w:bCs/>
                <w:sz w:val="20"/>
                <w:szCs w:val="20"/>
              </w:rPr>
            </w:pPr>
            <w:r>
              <w:rPr>
                <w:b/>
                <w:bCs/>
                <w:sz w:val="20"/>
                <w:szCs w:val="20"/>
              </w:rPr>
              <w:t>IKASMAILA</w:t>
            </w:r>
          </w:p>
        </w:tc>
        <w:tc>
          <w:tcPr>
            <w:tcW w:w="2499" w:type="dxa"/>
            <w:gridSpan w:val="2"/>
            <w:tcBorders>
              <w:top w:val="single" w:sz="4" w:space="0" w:color="auto"/>
              <w:left w:val="nil"/>
              <w:bottom w:val="single" w:sz="4" w:space="0" w:color="auto"/>
              <w:right w:val="single" w:sz="4" w:space="0" w:color="000000"/>
            </w:tcBorders>
            <w:vAlign w:val="center"/>
            <w:hideMark/>
          </w:tcPr>
          <w:p w:rsidR="003E6891" w:rsidRDefault="003E6891">
            <w:pPr>
              <w:jc w:val="center"/>
              <w:rPr>
                <w:b/>
                <w:bCs/>
                <w:sz w:val="20"/>
                <w:szCs w:val="20"/>
              </w:rPr>
            </w:pPr>
            <w:r>
              <w:rPr>
                <w:b/>
                <w:bCs/>
                <w:sz w:val="20"/>
                <w:szCs w:val="20"/>
              </w:rPr>
              <w:t>IRAKASLE RATIOA</w:t>
            </w:r>
          </w:p>
        </w:tc>
        <w:tc>
          <w:tcPr>
            <w:tcW w:w="1299" w:type="dxa"/>
            <w:tcBorders>
              <w:top w:val="single" w:sz="4" w:space="0" w:color="auto"/>
              <w:left w:val="single" w:sz="4" w:space="0" w:color="auto"/>
              <w:bottom w:val="single" w:sz="4" w:space="0" w:color="000000"/>
              <w:right w:val="single" w:sz="4" w:space="0" w:color="auto"/>
            </w:tcBorders>
            <w:vAlign w:val="center"/>
            <w:hideMark/>
          </w:tcPr>
          <w:p w:rsidR="003E6891" w:rsidRDefault="003E6891">
            <w:pPr>
              <w:jc w:val="center"/>
              <w:rPr>
                <w:b/>
                <w:bCs/>
                <w:sz w:val="20"/>
                <w:szCs w:val="20"/>
              </w:rPr>
            </w:pPr>
            <w:r>
              <w:rPr>
                <w:b/>
                <w:bCs/>
                <w:sz w:val="20"/>
                <w:szCs w:val="20"/>
              </w:rPr>
              <w:t>LANGILEEN SOLDATAK</w:t>
            </w:r>
          </w:p>
        </w:tc>
        <w:tc>
          <w:tcPr>
            <w:tcW w:w="1118" w:type="dxa"/>
            <w:tcBorders>
              <w:top w:val="single" w:sz="4" w:space="0" w:color="auto"/>
              <w:left w:val="single" w:sz="4" w:space="0" w:color="auto"/>
              <w:bottom w:val="single" w:sz="4" w:space="0" w:color="000000"/>
              <w:right w:val="single" w:sz="4" w:space="0" w:color="auto"/>
            </w:tcBorders>
            <w:vAlign w:val="center"/>
            <w:hideMark/>
          </w:tcPr>
          <w:p w:rsidR="003E6891" w:rsidRDefault="003E6891">
            <w:pPr>
              <w:jc w:val="center"/>
              <w:rPr>
                <w:b/>
                <w:bCs/>
                <w:sz w:val="20"/>
                <w:szCs w:val="20"/>
              </w:rPr>
            </w:pPr>
            <w:r>
              <w:rPr>
                <w:b/>
                <w:bCs/>
                <w:sz w:val="20"/>
                <w:szCs w:val="20"/>
              </w:rPr>
              <w:t>MODULUA (%)</w:t>
            </w:r>
          </w:p>
        </w:tc>
        <w:tc>
          <w:tcPr>
            <w:tcW w:w="1381" w:type="dxa"/>
            <w:tcBorders>
              <w:top w:val="single" w:sz="4" w:space="0" w:color="auto"/>
              <w:left w:val="single" w:sz="4" w:space="0" w:color="auto"/>
              <w:bottom w:val="single" w:sz="4" w:space="0" w:color="000000"/>
              <w:right w:val="single" w:sz="4" w:space="0" w:color="auto"/>
            </w:tcBorders>
            <w:vAlign w:val="center"/>
            <w:hideMark/>
          </w:tcPr>
          <w:p w:rsidR="003E6891" w:rsidRDefault="003E6891">
            <w:pPr>
              <w:jc w:val="center"/>
              <w:rPr>
                <w:b/>
                <w:bCs/>
                <w:sz w:val="20"/>
                <w:szCs w:val="20"/>
              </w:rPr>
            </w:pPr>
            <w:r>
              <w:rPr>
                <w:b/>
                <w:bCs/>
                <w:sz w:val="20"/>
                <w:szCs w:val="20"/>
              </w:rPr>
              <w:t>GASTU ALDAKORRAK</w:t>
            </w:r>
          </w:p>
        </w:tc>
        <w:tc>
          <w:tcPr>
            <w:tcW w:w="1117" w:type="dxa"/>
            <w:tcBorders>
              <w:top w:val="single" w:sz="4" w:space="0" w:color="auto"/>
              <w:left w:val="single" w:sz="4" w:space="0" w:color="auto"/>
              <w:bottom w:val="single" w:sz="4" w:space="0" w:color="000000"/>
              <w:right w:val="single" w:sz="4" w:space="0" w:color="auto"/>
            </w:tcBorders>
            <w:vAlign w:val="center"/>
            <w:hideMark/>
          </w:tcPr>
          <w:p w:rsidR="003E6891" w:rsidRDefault="003E6891">
            <w:pPr>
              <w:jc w:val="center"/>
              <w:rPr>
                <w:b/>
                <w:bCs/>
                <w:sz w:val="20"/>
                <w:szCs w:val="20"/>
              </w:rPr>
            </w:pPr>
            <w:r>
              <w:rPr>
                <w:b/>
                <w:bCs/>
                <w:sz w:val="20"/>
                <w:szCs w:val="20"/>
              </w:rPr>
              <w:t>MODULUA (%)</w:t>
            </w:r>
          </w:p>
        </w:tc>
        <w:tc>
          <w:tcPr>
            <w:tcW w:w="999" w:type="dxa"/>
            <w:tcBorders>
              <w:top w:val="single" w:sz="4" w:space="0" w:color="auto"/>
              <w:left w:val="single" w:sz="4" w:space="0" w:color="auto"/>
              <w:bottom w:val="single" w:sz="4" w:space="0" w:color="000000"/>
              <w:right w:val="single" w:sz="4" w:space="0" w:color="auto"/>
            </w:tcBorders>
            <w:vAlign w:val="center"/>
            <w:hideMark/>
          </w:tcPr>
          <w:p w:rsidR="003E6891" w:rsidRDefault="003E6891">
            <w:pPr>
              <w:jc w:val="center"/>
              <w:rPr>
                <w:b/>
                <w:bCs/>
                <w:sz w:val="20"/>
                <w:szCs w:val="20"/>
              </w:rPr>
            </w:pPr>
            <w:r>
              <w:rPr>
                <w:b/>
                <w:bCs/>
                <w:sz w:val="20"/>
                <w:szCs w:val="20"/>
              </w:rPr>
              <w:t>BESTE GASTU BATZUK</w:t>
            </w:r>
          </w:p>
        </w:tc>
        <w:tc>
          <w:tcPr>
            <w:tcW w:w="1117" w:type="dxa"/>
            <w:tcBorders>
              <w:top w:val="single" w:sz="4" w:space="0" w:color="auto"/>
              <w:left w:val="single" w:sz="4" w:space="0" w:color="auto"/>
              <w:bottom w:val="single" w:sz="4" w:space="0" w:color="000000"/>
              <w:right w:val="single" w:sz="4" w:space="0" w:color="auto"/>
            </w:tcBorders>
            <w:vAlign w:val="center"/>
            <w:hideMark/>
          </w:tcPr>
          <w:p w:rsidR="003E6891" w:rsidRDefault="003E6891">
            <w:pPr>
              <w:jc w:val="center"/>
              <w:rPr>
                <w:b/>
                <w:bCs/>
                <w:sz w:val="20"/>
                <w:szCs w:val="20"/>
              </w:rPr>
            </w:pPr>
            <w:r>
              <w:rPr>
                <w:b/>
                <w:bCs/>
                <w:sz w:val="20"/>
                <w:szCs w:val="20"/>
              </w:rPr>
              <w:t>MODULUA (%)</w:t>
            </w:r>
          </w:p>
        </w:tc>
        <w:tc>
          <w:tcPr>
            <w:tcW w:w="1130" w:type="dxa"/>
            <w:tcBorders>
              <w:top w:val="single" w:sz="4" w:space="0" w:color="auto"/>
              <w:left w:val="single" w:sz="4" w:space="0" w:color="auto"/>
              <w:bottom w:val="single" w:sz="4" w:space="0" w:color="000000"/>
              <w:right w:val="single" w:sz="4" w:space="0" w:color="auto"/>
            </w:tcBorders>
            <w:vAlign w:val="center"/>
            <w:hideMark/>
          </w:tcPr>
          <w:p w:rsidR="003E6891" w:rsidRDefault="003E6891">
            <w:pPr>
              <w:jc w:val="center"/>
              <w:rPr>
                <w:b/>
                <w:bCs/>
                <w:sz w:val="20"/>
                <w:szCs w:val="20"/>
              </w:rPr>
            </w:pPr>
            <w:r>
              <w:rPr>
                <w:b/>
                <w:bCs/>
                <w:sz w:val="20"/>
                <w:szCs w:val="20"/>
              </w:rPr>
              <w:t>MODULUA, GUZTIRA</w:t>
            </w:r>
          </w:p>
        </w:tc>
      </w:tr>
      <w:tr w:rsidR="003E6891" w:rsidTr="00666764">
        <w:trPr>
          <w:trHeight w:val="26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E6891" w:rsidRDefault="003E6891">
            <w:pPr>
              <w:rPr>
                <w:b/>
                <w:bCs/>
                <w:sz w:val="20"/>
                <w:szCs w:val="20"/>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6891" w:rsidRDefault="003E6891">
            <w:pPr>
              <w:rPr>
                <w:b/>
                <w:bCs/>
                <w:sz w:val="20"/>
                <w:szCs w:val="20"/>
                <w:lang w:val="es-ES_tradnl"/>
              </w:rPr>
            </w:pPr>
          </w:p>
        </w:tc>
        <w:tc>
          <w:tcPr>
            <w:tcW w:w="1106" w:type="dxa"/>
            <w:tcBorders>
              <w:top w:val="nil"/>
              <w:left w:val="nil"/>
              <w:bottom w:val="single" w:sz="4" w:space="0" w:color="auto"/>
              <w:right w:val="single" w:sz="4" w:space="0" w:color="auto"/>
            </w:tcBorders>
            <w:noWrap/>
            <w:vAlign w:val="center"/>
            <w:hideMark/>
          </w:tcPr>
          <w:p w:rsidR="003E6891" w:rsidRDefault="003E6891">
            <w:pPr>
              <w:jc w:val="center"/>
              <w:rPr>
                <w:b/>
                <w:bCs/>
                <w:sz w:val="20"/>
                <w:szCs w:val="20"/>
              </w:rPr>
            </w:pPr>
            <w:r>
              <w:rPr>
                <w:b/>
                <w:bCs/>
                <w:sz w:val="20"/>
                <w:szCs w:val="20"/>
              </w:rPr>
              <w:t>TITULARRA</w:t>
            </w:r>
          </w:p>
        </w:tc>
        <w:tc>
          <w:tcPr>
            <w:tcW w:w="1393" w:type="dxa"/>
            <w:tcBorders>
              <w:top w:val="nil"/>
              <w:left w:val="nil"/>
              <w:bottom w:val="single" w:sz="4" w:space="0" w:color="auto"/>
              <w:right w:val="nil"/>
            </w:tcBorders>
            <w:noWrap/>
            <w:vAlign w:val="center"/>
            <w:hideMark/>
          </w:tcPr>
          <w:p w:rsidR="003E6891" w:rsidRDefault="003E6891">
            <w:pPr>
              <w:jc w:val="center"/>
              <w:rPr>
                <w:b/>
                <w:bCs/>
                <w:sz w:val="20"/>
                <w:szCs w:val="20"/>
              </w:rPr>
            </w:pPr>
            <w:r>
              <w:rPr>
                <w:b/>
                <w:bCs/>
                <w:sz w:val="20"/>
                <w:szCs w:val="20"/>
              </w:rPr>
              <w:t>AGREGATUA</w:t>
            </w:r>
          </w:p>
        </w:tc>
        <w:tc>
          <w:tcPr>
            <w:tcW w:w="1299" w:type="dxa"/>
            <w:tcBorders>
              <w:top w:val="single" w:sz="4" w:space="0" w:color="auto"/>
              <w:left w:val="single" w:sz="4" w:space="0" w:color="auto"/>
              <w:bottom w:val="single" w:sz="4" w:space="0" w:color="000000"/>
              <w:right w:val="single" w:sz="4" w:space="0" w:color="auto"/>
            </w:tcBorders>
            <w:vAlign w:val="center"/>
          </w:tcPr>
          <w:p w:rsidR="003E6891" w:rsidRDefault="003E6891">
            <w:pPr>
              <w:rPr>
                <w:b/>
                <w:bCs/>
                <w:sz w:val="20"/>
                <w:szCs w:val="20"/>
                <w:lang w:val="es-ES_tradnl"/>
              </w:rPr>
            </w:pPr>
          </w:p>
        </w:tc>
        <w:tc>
          <w:tcPr>
            <w:tcW w:w="1118" w:type="dxa"/>
            <w:tcBorders>
              <w:top w:val="single" w:sz="4" w:space="0" w:color="auto"/>
              <w:left w:val="single" w:sz="4" w:space="0" w:color="auto"/>
              <w:bottom w:val="single" w:sz="4" w:space="0" w:color="000000"/>
              <w:right w:val="single" w:sz="4" w:space="0" w:color="auto"/>
            </w:tcBorders>
            <w:vAlign w:val="center"/>
          </w:tcPr>
          <w:p w:rsidR="003E6891" w:rsidRDefault="003E6891">
            <w:pPr>
              <w:rPr>
                <w:b/>
                <w:bCs/>
                <w:sz w:val="20"/>
                <w:szCs w:val="20"/>
                <w:lang w:val="es-ES_tradnl"/>
              </w:rPr>
            </w:pPr>
          </w:p>
        </w:tc>
        <w:tc>
          <w:tcPr>
            <w:tcW w:w="1381" w:type="dxa"/>
            <w:tcBorders>
              <w:top w:val="single" w:sz="4" w:space="0" w:color="auto"/>
              <w:left w:val="single" w:sz="4" w:space="0" w:color="auto"/>
              <w:bottom w:val="single" w:sz="4" w:space="0" w:color="000000"/>
              <w:right w:val="single" w:sz="4" w:space="0" w:color="auto"/>
            </w:tcBorders>
            <w:vAlign w:val="center"/>
          </w:tcPr>
          <w:p w:rsidR="003E6891" w:rsidRDefault="003E6891">
            <w:pPr>
              <w:rPr>
                <w:b/>
                <w:bCs/>
                <w:sz w:val="20"/>
                <w:szCs w:val="20"/>
                <w:lang w:val="es-ES_tradnl"/>
              </w:rPr>
            </w:pPr>
          </w:p>
        </w:tc>
        <w:tc>
          <w:tcPr>
            <w:tcW w:w="1117" w:type="dxa"/>
            <w:tcBorders>
              <w:top w:val="single" w:sz="4" w:space="0" w:color="auto"/>
              <w:left w:val="single" w:sz="4" w:space="0" w:color="auto"/>
              <w:bottom w:val="single" w:sz="4" w:space="0" w:color="000000"/>
              <w:right w:val="single" w:sz="4" w:space="0" w:color="auto"/>
            </w:tcBorders>
            <w:vAlign w:val="center"/>
          </w:tcPr>
          <w:p w:rsidR="003E6891" w:rsidRDefault="003E6891">
            <w:pPr>
              <w:rPr>
                <w:b/>
                <w:bCs/>
                <w:sz w:val="20"/>
                <w:szCs w:val="20"/>
                <w:lang w:val="es-ES_tradnl"/>
              </w:rPr>
            </w:pPr>
          </w:p>
        </w:tc>
        <w:tc>
          <w:tcPr>
            <w:tcW w:w="999" w:type="dxa"/>
            <w:tcBorders>
              <w:top w:val="single" w:sz="4" w:space="0" w:color="auto"/>
              <w:left w:val="single" w:sz="4" w:space="0" w:color="auto"/>
              <w:bottom w:val="single" w:sz="4" w:space="0" w:color="000000"/>
              <w:right w:val="single" w:sz="4" w:space="0" w:color="auto"/>
            </w:tcBorders>
            <w:vAlign w:val="center"/>
          </w:tcPr>
          <w:p w:rsidR="003E6891" w:rsidRDefault="003E6891">
            <w:pPr>
              <w:rPr>
                <w:b/>
                <w:bCs/>
                <w:sz w:val="20"/>
                <w:szCs w:val="20"/>
                <w:lang w:val="es-ES_tradnl"/>
              </w:rPr>
            </w:pPr>
          </w:p>
        </w:tc>
        <w:tc>
          <w:tcPr>
            <w:tcW w:w="1117" w:type="dxa"/>
            <w:tcBorders>
              <w:top w:val="single" w:sz="4" w:space="0" w:color="auto"/>
              <w:left w:val="single" w:sz="4" w:space="0" w:color="auto"/>
              <w:bottom w:val="single" w:sz="4" w:space="0" w:color="000000"/>
              <w:right w:val="single" w:sz="4" w:space="0" w:color="auto"/>
            </w:tcBorders>
            <w:vAlign w:val="center"/>
          </w:tcPr>
          <w:p w:rsidR="003E6891" w:rsidRDefault="003E6891">
            <w:pPr>
              <w:rPr>
                <w:b/>
                <w:bCs/>
                <w:sz w:val="20"/>
                <w:szCs w:val="20"/>
                <w:lang w:val="es-ES_tradnl"/>
              </w:rPr>
            </w:pPr>
          </w:p>
        </w:tc>
        <w:tc>
          <w:tcPr>
            <w:tcW w:w="1130" w:type="dxa"/>
            <w:tcBorders>
              <w:top w:val="single" w:sz="4" w:space="0" w:color="auto"/>
              <w:left w:val="single" w:sz="4" w:space="0" w:color="auto"/>
              <w:bottom w:val="single" w:sz="4" w:space="0" w:color="000000"/>
              <w:right w:val="single" w:sz="4" w:space="0" w:color="auto"/>
            </w:tcBorders>
            <w:vAlign w:val="center"/>
          </w:tcPr>
          <w:p w:rsidR="003E6891" w:rsidRDefault="003E6891">
            <w:pPr>
              <w:rPr>
                <w:b/>
                <w:bCs/>
                <w:sz w:val="20"/>
                <w:szCs w:val="20"/>
                <w:lang w:val="es-ES_tradnl"/>
              </w:rPr>
            </w:pPr>
          </w:p>
        </w:tc>
      </w:tr>
      <w:tr w:rsidR="003E6891" w:rsidTr="00666764">
        <w:trPr>
          <w:trHeight w:val="267"/>
        </w:trPr>
        <w:tc>
          <w:tcPr>
            <w:tcW w:w="2296" w:type="dxa"/>
            <w:vMerge w:val="restart"/>
            <w:tcBorders>
              <w:top w:val="nil"/>
              <w:left w:val="single" w:sz="4" w:space="0" w:color="auto"/>
              <w:bottom w:val="single" w:sz="4" w:space="0" w:color="000000"/>
              <w:right w:val="single" w:sz="4" w:space="0" w:color="auto"/>
            </w:tcBorders>
            <w:vAlign w:val="center"/>
            <w:hideMark/>
          </w:tcPr>
          <w:p w:rsidR="003E6891" w:rsidRDefault="003E6891">
            <w:pPr>
              <w:rPr>
                <w:sz w:val="20"/>
                <w:szCs w:val="20"/>
              </w:rPr>
            </w:pPr>
            <w:r>
              <w:rPr>
                <w:sz w:val="20"/>
                <w:szCs w:val="20"/>
              </w:rPr>
              <w:t>1- EMHZ, KUDEAKETA ADMINISTRATIBOA (HLO)</w:t>
            </w:r>
          </w:p>
        </w:tc>
        <w:tc>
          <w:tcPr>
            <w:tcW w:w="880"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Lehena</w:t>
            </w:r>
          </w:p>
        </w:tc>
        <w:tc>
          <w:tcPr>
            <w:tcW w:w="1106"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0,478</w:t>
            </w:r>
          </w:p>
        </w:tc>
        <w:tc>
          <w:tcPr>
            <w:tcW w:w="1393"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1,087</w:t>
            </w:r>
          </w:p>
        </w:tc>
        <w:tc>
          <w:tcPr>
            <w:tcW w:w="12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61.276,29</w:t>
            </w:r>
          </w:p>
        </w:tc>
        <w:tc>
          <w:tcPr>
            <w:tcW w:w="1118"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68,10</w:t>
            </w:r>
          </w:p>
        </w:tc>
        <w:tc>
          <w:tcPr>
            <w:tcW w:w="1381"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9.616,71</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10,69</w:t>
            </w:r>
          </w:p>
        </w:tc>
        <w:tc>
          <w:tcPr>
            <w:tcW w:w="9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19.090,99</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21,22</w:t>
            </w:r>
          </w:p>
        </w:tc>
        <w:tc>
          <w:tcPr>
            <w:tcW w:w="1130"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89.983,99</w:t>
            </w:r>
          </w:p>
        </w:tc>
      </w:tr>
      <w:tr w:rsidR="003E6891" w:rsidTr="00666764">
        <w:trPr>
          <w:trHeight w:val="267"/>
        </w:trPr>
        <w:tc>
          <w:tcPr>
            <w:tcW w:w="0" w:type="auto"/>
            <w:vMerge/>
            <w:tcBorders>
              <w:top w:val="nil"/>
              <w:left w:val="single" w:sz="4" w:space="0" w:color="auto"/>
              <w:bottom w:val="single" w:sz="4" w:space="0" w:color="000000"/>
              <w:right w:val="single" w:sz="4" w:space="0" w:color="auto"/>
            </w:tcBorders>
            <w:vAlign w:val="center"/>
            <w:hideMark/>
          </w:tcPr>
          <w:p w:rsidR="003E6891" w:rsidRDefault="003E6891">
            <w:pPr>
              <w:rPr>
                <w:sz w:val="20"/>
                <w:szCs w:val="20"/>
                <w:lang w:val="es-ES_tradnl"/>
              </w:rPr>
            </w:pPr>
          </w:p>
        </w:tc>
        <w:tc>
          <w:tcPr>
            <w:tcW w:w="880"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2º</w:t>
            </w:r>
          </w:p>
        </w:tc>
        <w:tc>
          <w:tcPr>
            <w:tcW w:w="1106"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0,826</w:t>
            </w:r>
          </w:p>
        </w:tc>
        <w:tc>
          <w:tcPr>
            <w:tcW w:w="1393"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0,568</w:t>
            </w:r>
          </w:p>
        </w:tc>
        <w:tc>
          <w:tcPr>
            <w:tcW w:w="12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55.990,19</w:t>
            </w:r>
          </w:p>
        </w:tc>
        <w:tc>
          <w:tcPr>
            <w:tcW w:w="1118"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66,88</w:t>
            </w:r>
          </w:p>
        </w:tc>
        <w:tc>
          <w:tcPr>
            <w:tcW w:w="1381"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8.637,91</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10,32</w:t>
            </w:r>
          </w:p>
        </w:tc>
        <w:tc>
          <w:tcPr>
            <w:tcW w:w="9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19.090,99</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22,80</w:t>
            </w:r>
          </w:p>
        </w:tc>
        <w:tc>
          <w:tcPr>
            <w:tcW w:w="1130"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83.719,09</w:t>
            </w:r>
          </w:p>
        </w:tc>
      </w:tr>
      <w:tr w:rsidR="003E6891" w:rsidTr="00666764">
        <w:trPr>
          <w:trHeight w:val="267"/>
        </w:trPr>
        <w:tc>
          <w:tcPr>
            <w:tcW w:w="2296" w:type="dxa"/>
            <w:vMerge w:val="restart"/>
            <w:tcBorders>
              <w:top w:val="nil"/>
              <w:left w:val="single" w:sz="4" w:space="0" w:color="auto"/>
              <w:bottom w:val="single" w:sz="4" w:space="0" w:color="000000"/>
              <w:right w:val="single" w:sz="4" w:space="0" w:color="auto"/>
            </w:tcBorders>
            <w:vAlign w:val="center"/>
            <w:hideMark/>
          </w:tcPr>
          <w:p w:rsidR="003E6891" w:rsidRDefault="003E6891">
            <w:pPr>
              <w:rPr>
                <w:sz w:val="20"/>
                <w:szCs w:val="20"/>
              </w:rPr>
            </w:pPr>
            <w:r>
              <w:rPr>
                <w:sz w:val="20"/>
                <w:szCs w:val="20"/>
              </w:rPr>
              <w:t>2. EMHZ, KUDEAKETA ADMINISTRATIBOA, HIRU URTEAN (HLO)</w:t>
            </w:r>
          </w:p>
        </w:tc>
        <w:tc>
          <w:tcPr>
            <w:tcW w:w="880"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Lehena</w:t>
            </w:r>
          </w:p>
        </w:tc>
        <w:tc>
          <w:tcPr>
            <w:tcW w:w="1106"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0,478</w:t>
            </w:r>
          </w:p>
        </w:tc>
        <w:tc>
          <w:tcPr>
            <w:tcW w:w="1393"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0,435</w:t>
            </w:r>
          </w:p>
        </w:tc>
        <w:tc>
          <w:tcPr>
            <w:tcW w:w="12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36.449,70</w:t>
            </w:r>
          </w:p>
        </w:tc>
        <w:tc>
          <w:tcPr>
            <w:tcW w:w="1118"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66,47</w:t>
            </w:r>
          </w:p>
        </w:tc>
        <w:tc>
          <w:tcPr>
            <w:tcW w:w="1381"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5.660,22</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10,32</w:t>
            </w:r>
          </w:p>
        </w:tc>
        <w:tc>
          <w:tcPr>
            <w:tcW w:w="9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12.727,32</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23,21</w:t>
            </w:r>
          </w:p>
        </w:tc>
        <w:tc>
          <w:tcPr>
            <w:tcW w:w="1130"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54.837,24</w:t>
            </w:r>
          </w:p>
        </w:tc>
      </w:tr>
      <w:tr w:rsidR="003E6891" w:rsidTr="00666764">
        <w:trPr>
          <w:trHeight w:val="267"/>
        </w:trPr>
        <w:tc>
          <w:tcPr>
            <w:tcW w:w="0" w:type="auto"/>
            <w:vMerge/>
            <w:tcBorders>
              <w:top w:val="nil"/>
              <w:left w:val="single" w:sz="4" w:space="0" w:color="auto"/>
              <w:bottom w:val="single" w:sz="4" w:space="0" w:color="000000"/>
              <w:right w:val="single" w:sz="4" w:space="0" w:color="auto"/>
            </w:tcBorders>
            <w:vAlign w:val="center"/>
            <w:hideMark/>
          </w:tcPr>
          <w:p w:rsidR="003E6891" w:rsidRDefault="003E6891">
            <w:pPr>
              <w:rPr>
                <w:sz w:val="20"/>
                <w:szCs w:val="20"/>
                <w:lang w:val="es-ES_tradnl"/>
              </w:rPr>
            </w:pPr>
          </w:p>
        </w:tc>
        <w:tc>
          <w:tcPr>
            <w:tcW w:w="880"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2º</w:t>
            </w:r>
          </w:p>
        </w:tc>
        <w:tc>
          <w:tcPr>
            <w:tcW w:w="1106"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0,304</w:t>
            </w:r>
          </w:p>
        </w:tc>
        <w:tc>
          <w:tcPr>
            <w:tcW w:w="1393"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0,609</w:t>
            </w:r>
          </w:p>
        </w:tc>
        <w:tc>
          <w:tcPr>
            <w:tcW w:w="12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35.834,26</w:t>
            </w:r>
          </w:p>
        </w:tc>
        <w:tc>
          <w:tcPr>
            <w:tcW w:w="1118"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66,10</w:t>
            </w:r>
          </w:p>
        </w:tc>
        <w:tc>
          <w:tcPr>
            <w:tcW w:w="1381"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5.651,71</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10,42</w:t>
            </w:r>
          </w:p>
        </w:tc>
        <w:tc>
          <w:tcPr>
            <w:tcW w:w="9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12.727,32</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23,48</w:t>
            </w:r>
          </w:p>
        </w:tc>
        <w:tc>
          <w:tcPr>
            <w:tcW w:w="1130"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54.213,29</w:t>
            </w:r>
          </w:p>
        </w:tc>
      </w:tr>
      <w:tr w:rsidR="003E6891" w:rsidTr="00666764">
        <w:trPr>
          <w:trHeight w:val="267"/>
        </w:trPr>
        <w:tc>
          <w:tcPr>
            <w:tcW w:w="0" w:type="auto"/>
            <w:vMerge/>
            <w:tcBorders>
              <w:top w:val="nil"/>
              <w:left w:val="single" w:sz="4" w:space="0" w:color="auto"/>
              <w:bottom w:val="single" w:sz="4" w:space="0" w:color="000000"/>
              <w:right w:val="single" w:sz="4" w:space="0" w:color="auto"/>
            </w:tcBorders>
            <w:vAlign w:val="center"/>
            <w:hideMark/>
          </w:tcPr>
          <w:p w:rsidR="003E6891" w:rsidRDefault="003E6891">
            <w:pPr>
              <w:rPr>
                <w:sz w:val="20"/>
                <w:szCs w:val="20"/>
                <w:lang w:val="es-ES_tradnl"/>
              </w:rPr>
            </w:pPr>
          </w:p>
        </w:tc>
        <w:tc>
          <w:tcPr>
            <w:tcW w:w="880"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3º</w:t>
            </w:r>
          </w:p>
        </w:tc>
        <w:tc>
          <w:tcPr>
            <w:tcW w:w="1106"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0,565</w:t>
            </w:r>
          </w:p>
        </w:tc>
        <w:tc>
          <w:tcPr>
            <w:tcW w:w="1393"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0,348</w:t>
            </w:r>
          </w:p>
        </w:tc>
        <w:tc>
          <w:tcPr>
            <w:tcW w:w="12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36.757,44</w:t>
            </w:r>
          </w:p>
        </w:tc>
        <w:tc>
          <w:tcPr>
            <w:tcW w:w="1118"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66,65</w:t>
            </w:r>
          </w:p>
        </w:tc>
        <w:tc>
          <w:tcPr>
            <w:tcW w:w="1381"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5.664,48</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10,27</w:t>
            </w:r>
          </w:p>
        </w:tc>
        <w:tc>
          <w:tcPr>
            <w:tcW w:w="9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12.727,32</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23,08</w:t>
            </w:r>
          </w:p>
        </w:tc>
        <w:tc>
          <w:tcPr>
            <w:tcW w:w="1130"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55.149,24</w:t>
            </w:r>
          </w:p>
        </w:tc>
      </w:tr>
      <w:tr w:rsidR="003E6891" w:rsidTr="00666764">
        <w:trPr>
          <w:trHeight w:val="267"/>
        </w:trPr>
        <w:tc>
          <w:tcPr>
            <w:tcW w:w="2296" w:type="dxa"/>
            <w:vMerge w:val="restart"/>
            <w:tcBorders>
              <w:top w:val="nil"/>
              <w:left w:val="single" w:sz="4" w:space="0" w:color="auto"/>
              <w:bottom w:val="single" w:sz="4" w:space="0" w:color="000000"/>
              <w:right w:val="single" w:sz="4" w:space="0" w:color="auto"/>
            </w:tcBorders>
            <w:vAlign w:val="center"/>
            <w:hideMark/>
          </w:tcPr>
          <w:p w:rsidR="003E6891" w:rsidRDefault="003E6891">
            <w:pPr>
              <w:rPr>
                <w:sz w:val="20"/>
                <w:szCs w:val="20"/>
              </w:rPr>
            </w:pPr>
            <w:r>
              <w:rPr>
                <w:sz w:val="20"/>
                <w:szCs w:val="20"/>
              </w:rPr>
              <w:t>3- EMHZ, ERIZAINTZAKO ZAINKETA LAGUNGARRIAK</w:t>
            </w:r>
          </w:p>
        </w:tc>
        <w:tc>
          <w:tcPr>
            <w:tcW w:w="880"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Lehena</w:t>
            </w:r>
          </w:p>
        </w:tc>
        <w:tc>
          <w:tcPr>
            <w:tcW w:w="1106"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0,435</w:t>
            </w:r>
          </w:p>
        </w:tc>
        <w:tc>
          <w:tcPr>
            <w:tcW w:w="1393"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1,304</w:t>
            </w:r>
          </w:p>
        </w:tc>
        <w:tc>
          <w:tcPr>
            <w:tcW w:w="12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67.742,81</w:t>
            </w:r>
          </w:p>
        </w:tc>
        <w:tc>
          <w:tcPr>
            <w:tcW w:w="1118"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69,74</w:t>
            </w:r>
          </w:p>
        </w:tc>
        <w:tc>
          <w:tcPr>
            <w:tcW w:w="1381"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10.791,60</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11,11</w:t>
            </w:r>
          </w:p>
        </w:tc>
        <w:tc>
          <w:tcPr>
            <w:tcW w:w="9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18.600,13</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19,15</w:t>
            </w:r>
          </w:p>
        </w:tc>
        <w:tc>
          <w:tcPr>
            <w:tcW w:w="1130"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97.134,54</w:t>
            </w:r>
          </w:p>
        </w:tc>
      </w:tr>
      <w:tr w:rsidR="003E6891" w:rsidTr="00666764">
        <w:trPr>
          <w:trHeight w:val="267"/>
        </w:trPr>
        <w:tc>
          <w:tcPr>
            <w:tcW w:w="0" w:type="auto"/>
            <w:vMerge/>
            <w:tcBorders>
              <w:top w:val="nil"/>
              <w:left w:val="single" w:sz="4" w:space="0" w:color="auto"/>
              <w:bottom w:val="single" w:sz="4" w:space="0" w:color="000000"/>
              <w:right w:val="single" w:sz="4" w:space="0" w:color="auto"/>
            </w:tcBorders>
            <w:vAlign w:val="center"/>
            <w:hideMark/>
          </w:tcPr>
          <w:p w:rsidR="003E6891" w:rsidRDefault="003E6891">
            <w:pPr>
              <w:rPr>
                <w:sz w:val="20"/>
                <w:szCs w:val="20"/>
                <w:lang w:val="es-ES_tradnl"/>
              </w:rPr>
            </w:pPr>
          </w:p>
        </w:tc>
        <w:tc>
          <w:tcPr>
            <w:tcW w:w="880"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2º</w:t>
            </w:r>
          </w:p>
        </w:tc>
        <w:tc>
          <w:tcPr>
            <w:tcW w:w="1106"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0,261</w:t>
            </w:r>
          </w:p>
        </w:tc>
        <w:tc>
          <w:tcPr>
            <w:tcW w:w="1393"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0,000</w:t>
            </w:r>
          </w:p>
        </w:tc>
        <w:tc>
          <w:tcPr>
            <w:tcW w:w="12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10.853,76</w:t>
            </w:r>
          </w:p>
        </w:tc>
        <w:tc>
          <w:tcPr>
            <w:tcW w:w="1118"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68,91</w:t>
            </w:r>
          </w:p>
        </w:tc>
        <w:tc>
          <w:tcPr>
            <w:tcW w:w="1381"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1.555,09</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9,87</w:t>
            </w:r>
          </w:p>
        </w:tc>
        <w:tc>
          <w:tcPr>
            <w:tcW w:w="9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3.341,46</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21,22</w:t>
            </w:r>
          </w:p>
        </w:tc>
        <w:tc>
          <w:tcPr>
            <w:tcW w:w="1130"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15.750,31</w:t>
            </w:r>
          </w:p>
        </w:tc>
      </w:tr>
      <w:tr w:rsidR="003E6891" w:rsidTr="00666764">
        <w:trPr>
          <w:trHeight w:val="267"/>
        </w:trPr>
        <w:tc>
          <w:tcPr>
            <w:tcW w:w="2296" w:type="dxa"/>
            <w:vMerge w:val="restart"/>
            <w:tcBorders>
              <w:top w:val="nil"/>
              <w:left w:val="single" w:sz="4" w:space="0" w:color="auto"/>
              <w:bottom w:val="single" w:sz="4" w:space="0" w:color="000000"/>
              <w:right w:val="single" w:sz="4" w:space="0" w:color="auto"/>
            </w:tcBorders>
            <w:vAlign w:val="center"/>
            <w:hideMark/>
          </w:tcPr>
          <w:p w:rsidR="003E6891" w:rsidRDefault="003E6891">
            <w:pPr>
              <w:rPr>
                <w:sz w:val="20"/>
                <w:szCs w:val="20"/>
              </w:rPr>
            </w:pPr>
            <w:r>
              <w:rPr>
                <w:sz w:val="20"/>
                <w:szCs w:val="20"/>
              </w:rPr>
              <w:t xml:space="preserve">4- EMHZ, SOLDADURA ETA GALDARAGINTZA (HLO) </w:t>
            </w:r>
          </w:p>
        </w:tc>
        <w:tc>
          <w:tcPr>
            <w:tcW w:w="880"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Lehena</w:t>
            </w:r>
          </w:p>
        </w:tc>
        <w:tc>
          <w:tcPr>
            <w:tcW w:w="1106"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0,348</w:t>
            </w:r>
          </w:p>
        </w:tc>
        <w:tc>
          <w:tcPr>
            <w:tcW w:w="1393"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1,522</w:t>
            </w:r>
          </w:p>
        </w:tc>
        <w:tc>
          <w:tcPr>
            <w:tcW w:w="12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72.400,40</w:t>
            </w:r>
          </w:p>
        </w:tc>
        <w:tc>
          <w:tcPr>
            <w:tcW w:w="1118"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62,74</w:t>
            </w:r>
          </w:p>
        </w:tc>
        <w:tc>
          <w:tcPr>
            <w:tcW w:w="1381"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11.380,73</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9,86</w:t>
            </w:r>
          </w:p>
        </w:tc>
        <w:tc>
          <w:tcPr>
            <w:tcW w:w="9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31.609,51</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27,39</w:t>
            </w:r>
          </w:p>
        </w:tc>
        <w:tc>
          <w:tcPr>
            <w:tcW w:w="1130"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115.390,64</w:t>
            </w:r>
          </w:p>
        </w:tc>
      </w:tr>
      <w:tr w:rsidR="003E6891" w:rsidTr="00666764">
        <w:trPr>
          <w:trHeight w:val="267"/>
        </w:trPr>
        <w:tc>
          <w:tcPr>
            <w:tcW w:w="0" w:type="auto"/>
            <w:vMerge/>
            <w:tcBorders>
              <w:top w:val="nil"/>
              <w:left w:val="single" w:sz="4" w:space="0" w:color="auto"/>
              <w:bottom w:val="single" w:sz="4" w:space="0" w:color="000000"/>
              <w:right w:val="single" w:sz="4" w:space="0" w:color="auto"/>
            </w:tcBorders>
            <w:vAlign w:val="center"/>
            <w:hideMark/>
          </w:tcPr>
          <w:p w:rsidR="003E6891" w:rsidRDefault="003E6891">
            <w:pPr>
              <w:rPr>
                <w:sz w:val="20"/>
                <w:szCs w:val="20"/>
                <w:lang w:val="es-ES_tradnl"/>
              </w:rPr>
            </w:pPr>
          </w:p>
        </w:tc>
        <w:tc>
          <w:tcPr>
            <w:tcW w:w="880"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2º</w:t>
            </w:r>
          </w:p>
        </w:tc>
        <w:tc>
          <w:tcPr>
            <w:tcW w:w="1106"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0,913</w:t>
            </w:r>
          </w:p>
        </w:tc>
        <w:tc>
          <w:tcPr>
            <w:tcW w:w="1393"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0,609</w:t>
            </w:r>
          </w:p>
        </w:tc>
        <w:tc>
          <w:tcPr>
            <w:tcW w:w="12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61.159,94</w:t>
            </w:r>
          </w:p>
        </w:tc>
        <w:tc>
          <w:tcPr>
            <w:tcW w:w="1118"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59,87</w:t>
            </w:r>
          </w:p>
        </w:tc>
        <w:tc>
          <w:tcPr>
            <w:tcW w:w="1381"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9.385,09</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9,19</w:t>
            </w:r>
          </w:p>
        </w:tc>
        <w:tc>
          <w:tcPr>
            <w:tcW w:w="9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31.609,51</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30,94</w:t>
            </w:r>
          </w:p>
        </w:tc>
        <w:tc>
          <w:tcPr>
            <w:tcW w:w="1130"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102.154,54</w:t>
            </w:r>
          </w:p>
        </w:tc>
      </w:tr>
      <w:tr w:rsidR="003E6891" w:rsidTr="00666764">
        <w:trPr>
          <w:trHeight w:val="267"/>
        </w:trPr>
        <w:tc>
          <w:tcPr>
            <w:tcW w:w="2296" w:type="dxa"/>
            <w:vMerge w:val="restart"/>
            <w:tcBorders>
              <w:top w:val="nil"/>
              <w:left w:val="single" w:sz="4" w:space="0" w:color="auto"/>
              <w:bottom w:val="single" w:sz="4" w:space="0" w:color="000000"/>
              <w:right w:val="single" w:sz="4" w:space="0" w:color="auto"/>
            </w:tcBorders>
            <w:vAlign w:val="center"/>
            <w:hideMark/>
          </w:tcPr>
          <w:p w:rsidR="003E6891" w:rsidRDefault="003E6891">
            <w:pPr>
              <w:rPr>
                <w:sz w:val="20"/>
                <w:szCs w:val="20"/>
              </w:rPr>
            </w:pPr>
            <w:r>
              <w:rPr>
                <w:sz w:val="20"/>
                <w:szCs w:val="20"/>
              </w:rPr>
              <w:t>5- EMHZ, AURREINPRIMAKETA DIGITALA (HLO)</w:t>
            </w:r>
          </w:p>
        </w:tc>
        <w:tc>
          <w:tcPr>
            <w:tcW w:w="880"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Lehena</w:t>
            </w:r>
          </w:p>
        </w:tc>
        <w:tc>
          <w:tcPr>
            <w:tcW w:w="1106"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0,609</w:t>
            </w:r>
          </w:p>
        </w:tc>
        <w:tc>
          <w:tcPr>
            <w:tcW w:w="1393"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1,043</w:t>
            </w:r>
          </w:p>
        </w:tc>
        <w:tc>
          <w:tcPr>
            <w:tcW w:w="12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65.048,46</w:t>
            </w:r>
          </w:p>
        </w:tc>
        <w:tc>
          <w:tcPr>
            <w:tcW w:w="1118"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63,51</w:t>
            </w:r>
          </w:p>
        </w:tc>
        <w:tc>
          <w:tcPr>
            <w:tcW w:w="1381"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10.151,56</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9,91</w:t>
            </w:r>
          </w:p>
        </w:tc>
        <w:tc>
          <w:tcPr>
            <w:tcW w:w="9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27.221,09</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26,58</w:t>
            </w:r>
          </w:p>
        </w:tc>
        <w:tc>
          <w:tcPr>
            <w:tcW w:w="1130"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102.421,11</w:t>
            </w:r>
          </w:p>
        </w:tc>
      </w:tr>
      <w:tr w:rsidR="003E6891" w:rsidTr="00666764">
        <w:trPr>
          <w:trHeight w:val="267"/>
        </w:trPr>
        <w:tc>
          <w:tcPr>
            <w:tcW w:w="0" w:type="auto"/>
            <w:vMerge/>
            <w:tcBorders>
              <w:top w:val="nil"/>
              <w:left w:val="single" w:sz="4" w:space="0" w:color="auto"/>
              <w:bottom w:val="single" w:sz="4" w:space="0" w:color="000000"/>
              <w:right w:val="single" w:sz="4" w:space="0" w:color="auto"/>
            </w:tcBorders>
            <w:vAlign w:val="center"/>
            <w:hideMark/>
          </w:tcPr>
          <w:p w:rsidR="003E6891" w:rsidRDefault="003E6891">
            <w:pPr>
              <w:rPr>
                <w:sz w:val="20"/>
                <w:szCs w:val="20"/>
                <w:lang w:val="es-ES_tradnl"/>
              </w:rPr>
            </w:pPr>
          </w:p>
        </w:tc>
        <w:tc>
          <w:tcPr>
            <w:tcW w:w="880"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2º</w:t>
            </w:r>
          </w:p>
        </w:tc>
        <w:tc>
          <w:tcPr>
            <w:tcW w:w="1106"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0,652</w:t>
            </w:r>
          </w:p>
        </w:tc>
        <w:tc>
          <w:tcPr>
            <w:tcW w:w="1393"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0,739</w:t>
            </w:r>
          </w:p>
        </w:tc>
        <w:tc>
          <w:tcPr>
            <w:tcW w:w="12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55.271,55</w:t>
            </w:r>
          </w:p>
        </w:tc>
        <w:tc>
          <w:tcPr>
            <w:tcW w:w="1118"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60,66</w:t>
            </w:r>
          </w:p>
        </w:tc>
        <w:tc>
          <w:tcPr>
            <w:tcW w:w="1381"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8.625,76</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9,47</w:t>
            </w:r>
          </w:p>
        </w:tc>
        <w:tc>
          <w:tcPr>
            <w:tcW w:w="9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27.221,09</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29,87</w:t>
            </w:r>
          </w:p>
        </w:tc>
        <w:tc>
          <w:tcPr>
            <w:tcW w:w="1130"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91.118,40</w:t>
            </w:r>
          </w:p>
        </w:tc>
      </w:tr>
      <w:tr w:rsidR="003E6891" w:rsidTr="00666764">
        <w:trPr>
          <w:trHeight w:val="267"/>
        </w:trPr>
        <w:tc>
          <w:tcPr>
            <w:tcW w:w="2296" w:type="dxa"/>
            <w:vMerge w:val="restart"/>
            <w:tcBorders>
              <w:top w:val="nil"/>
              <w:left w:val="single" w:sz="4" w:space="0" w:color="auto"/>
              <w:bottom w:val="single" w:sz="4" w:space="0" w:color="000000"/>
              <w:right w:val="single" w:sz="4" w:space="0" w:color="auto"/>
            </w:tcBorders>
            <w:vAlign w:val="center"/>
            <w:hideMark/>
          </w:tcPr>
          <w:p w:rsidR="003E6891" w:rsidRDefault="003E6891">
            <w:pPr>
              <w:rPr>
                <w:sz w:val="20"/>
                <w:szCs w:val="20"/>
              </w:rPr>
            </w:pPr>
            <w:r>
              <w:rPr>
                <w:sz w:val="20"/>
                <w:szCs w:val="20"/>
              </w:rPr>
              <w:t>6- EMHZ, ARTE GRAFIKOETAKO INPRIMAKETA</w:t>
            </w:r>
          </w:p>
        </w:tc>
        <w:tc>
          <w:tcPr>
            <w:tcW w:w="880"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Lehena</w:t>
            </w:r>
          </w:p>
        </w:tc>
        <w:tc>
          <w:tcPr>
            <w:tcW w:w="1106"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0,609</w:t>
            </w:r>
          </w:p>
        </w:tc>
        <w:tc>
          <w:tcPr>
            <w:tcW w:w="1393"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1,043</w:t>
            </w:r>
          </w:p>
        </w:tc>
        <w:tc>
          <w:tcPr>
            <w:tcW w:w="12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65.048,01</w:t>
            </w:r>
          </w:p>
        </w:tc>
        <w:tc>
          <w:tcPr>
            <w:tcW w:w="1118"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62,27</w:t>
            </w:r>
          </w:p>
        </w:tc>
        <w:tc>
          <w:tcPr>
            <w:tcW w:w="1381"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10.235,21</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9,80</w:t>
            </w:r>
          </w:p>
        </w:tc>
        <w:tc>
          <w:tcPr>
            <w:tcW w:w="9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29.170,26</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27,93</w:t>
            </w:r>
          </w:p>
        </w:tc>
        <w:tc>
          <w:tcPr>
            <w:tcW w:w="1130"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104.453,48</w:t>
            </w:r>
          </w:p>
        </w:tc>
      </w:tr>
      <w:tr w:rsidR="003E6891" w:rsidTr="00666764">
        <w:trPr>
          <w:trHeight w:val="267"/>
        </w:trPr>
        <w:tc>
          <w:tcPr>
            <w:tcW w:w="0" w:type="auto"/>
            <w:vMerge/>
            <w:tcBorders>
              <w:top w:val="nil"/>
              <w:left w:val="single" w:sz="4" w:space="0" w:color="auto"/>
              <w:bottom w:val="single" w:sz="4" w:space="0" w:color="000000"/>
              <w:right w:val="single" w:sz="4" w:space="0" w:color="auto"/>
            </w:tcBorders>
            <w:vAlign w:val="center"/>
            <w:hideMark/>
          </w:tcPr>
          <w:p w:rsidR="003E6891" w:rsidRDefault="003E6891">
            <w:pPr>
              <w:rPr>
                <w:sz w:val="20"/>
                <w:szCs w:val="20"/>
                <w:lang w:val="es-ES_tradnl"/>
              </w:rPr>
            </w:pPr>
          </w:p>
        </w:tc>
        <w:tc>
          <w:tcPr>
            <w:tcW w:w="880"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2º</w:t>
            </w:r>
          </w:p>
        </w:tc>
        <w:tc>
          <w:tcPr>
            <w:tcW w:w="1106"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0,261</w:t>
            </w:r>
          </w:p>
        </w:tc>
        <w:tc>
          <w:tcPr>
            <w:tcW w:w="1393"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0,000</w:t>
            </w:r>
          </w:p>
        </w:tc>
        <w:tc>
          <w:tcPr>
            <w:tcW w:w="12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10.853,76</w:t>
            </w:r>
          </w:p>
        </w:tc>
        <w:tc>
          <w:tcPr>
            <w:tcW w:w="1118"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68,91</w:t>
            </w:r>
          </w:p>
        </w:tc>
        <w:tc>
          <w:tcPr>
            <w:tcW w:w="1381"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1.555,09</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9,87</w:t>
            </w:r>
          </w:p>
        </w:tc>
        <w:tc>
          <w:tcPr>
            <w:tcW w:w="9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3.341,46</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21,22</w:t>
            </w:r>
          </w:p>
        </w:tc>
        <w:tc>
          <w:tcPr>
            <w:tcW w:w="1130"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15.750,31</w:t>
            </w:r>
          </w:p>
        </w:tc>
      </w:tr>
      <w:tr w:rsidR="003E6891" w:rsidTr="00666764">
        <w:trPr>
          <w:trHeight w:val="267"/>
        </w:trPr>
        <w:tc>
          <w:tcPr>
            <w:tcW w:w="2296" w:type="dxa"/>
            <w:vMerge w:val="restart"/>
            <w:tcBorders>
              <w:top w:val="nil"/>
              <w:left w:val="single" w:sz="4" w:space="0" w:color="auto"/>
              <w:bottom w:val="single" w:sz="4" w:space="0" w:color="000000"/>
              <w:right w:val="single" w:sz="4" w:space="0" w:color="auto"/>
            </w:tcBorders>
            <w:vAlign w:val="center"/>
            <w:hideMark/>
          </w:tcPr>
          <w:p w:rsidR="003E6891" w:rsidRDefault="003E6891">
            <w:pPr>
              <w:rPr>
                <w:sz w:val="20"/>
                <w:szCs w:val="20"/>
              </w:rPr>
            </w:pPr>
            <w:r>
              <w:rPr>
                <w:sz w:val="20"/>
                <w:szCs w:val="20"/>
              </w:rPr>
              <w:t>6- EMHZ, INPRIMAKETA GRAFIKOA (HLO)</w:t>
            </w:r>
          </w:p>
        </w:tc>
        <w:tc>
          <w:tcPr>
            <w:tcW w:w="880"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Lehena</w:t>
            </w:r>
          </w:p>
        </w:tc>
        <w:tc>
          <w:tcPr>
            <w:tcW w:w="1106"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0,696</w:t>
            </w:r>
          </w:p>
        </w:tc>
        <w:tc>
          <w:tcPr>
            <w:tcW w:w="1393"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0,957</w:t>
            </w:r>
          </w:p>
        </w:tc>
        <w:tc>
          <w:tcPr>
            <w:tcW w:w="12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65.393,29</w:t>
            </w:r>
          </w:p>
        </w:tc>
        <w:tc>
          <w:tcPr>
            <w:tcW w:w="1118"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62,34</w:t>
            </w:r>
          </w:p>
        </w:tc>
        <w:tc>
          <w:tcPr>
            <w:tcW w:w="1381"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10.326,60</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9,85</w:t>
            </w:r>
          </w:p>
        </w:tc>
        <w:tc>
          <w:tcPr>
            <w:tcW w:w="9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29.170,26</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27,81</w:t>
            </w:r>
          </w:p>
        </w:tc>
        <w:tc>
          <w:tcPr>
            <w:tcW w:w="1130"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104.890,15</w:t>
            </w:r>
          </w:p>
        </w:tc>
      </w:tr>
      <w:tr w:rsidR="003E6891" w:rsidTr="00666764">
        <w:trPr>
          <w:trHeight w:val="267"/>
        </w:trPr>
        <w:tc>
          <w:tcPr>
            <w:tcW w:w="0" w:type="auto"/>
            <w:vMerge/>
            <w:tcBorders>
              <w:top w:val="nil"/>
              <w:left w:val="single" w:sz="4" w:space="0" w:color="auto"/>
              <w:bottom w:val="single" w:sz="4" w:space="0" w:color="000000"/>
              <w:right w:val="single" w:sz="4" w:space="0" w:color="auto"/>
            </w:tcBorders>
            <w:vAlign w:val="center"/>
            <w:hideMark/>
          </w:tcPr>
          <w:p w:rsidR="003E6891" w:rsidRDefault="003E6891">
            <w:pPr>
              <w:rPr>
                <w:sz w:val="20"/>
                <w:szCs w:val="20"/>
                <w:lang w:val="es-ES_tradnl"/>
              </w:rPr>
            </w:pPr>
          </w:p>
        </w:tc>
        <w:tc>
          <w:tcPr>
            <w:tcW w:w="880"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2º</w:t>
            </w:r>
          </w:p>
        </w:tc>
        <w:tc>
          <w:tcPr>
            <w:tcW w:w="1106"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0,653</w:t>
            </w:r>
          </w:p>
        </w:tc>
        <w:tc>
          <w:tcPr>
            <w:tcW w:w="1393"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0,783</w:t>
            </w:r>
          </w:p>
        </w:tc>
        <w:tc>
          <w:tcPr>
            <w:tcW w:w="12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56.979,86</w:t>
            </w:r>
          </w:p>
        </w:tc>
        <w:tc>
          <w:tcPr>
            <w:tcW w:w="1118"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59,89</w:t>
            </w:r>
          </w:p>
        </w:tc>
        <w:tc>
          <w:tcPr>
            <w:tcW w:w="1381"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8.998,00</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9,46</w:t>
            </w:r>
          </w:p>
        </w:tc>
        <w:tc>
          <w:tcPr>
            <w:tcW w:w="9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29.170,26</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30,66</w:t>
            </w:r>
          </w:p>
        </w:tc>
        <w:tc>
          <w:tcPr>
            <w:tcW w:w="1130"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95.148,12</w:t>
            </w:r>
          </w:p>
        </w:tc>
      </w:tr>
      <w:tr w:rsidR="003E6891" w:rsidTr="00666764">
        <w:trPr>
          <w:trHeight w:val="267"/>
        </w:trPr>
        <w:tc>
          <w:tcPr>
            <w:tcW w:w="2296" w:type="dxa"/>
            <w:vMerge w:val="restart"/>
            <w:tcBorders>
              <w:top w:val="nil"/>
              <w:left w:val="single" w:sz="4" w:space="0" w:color="auto"/>
              <w:bottom w:val="single" w:sz="4" w:space="0" w:color="000000"/>
              <w:right w:val="single" w:sz="4" w:space="0" w:color="auto"/>
            </w:tcBorders>
            <w:vAlign w:val="center"/>
            <w:hideMark/>
          </w:tcPr>
          <w:p w:rsidR="003E6891" w:rsidRDefault="003E6891">
            <w:pPr>
              <w:rPr>
                <w:sz w:val="20"/>
                <w:szCs w:val="20"/>
              </w:rPr>
            </w:pPr>
            <w:r>
              <w:rPr>
                <w:sz w:val="20"/>
                <w:szCs w:val="20"/>
              </w:rPr>
              <w:t xml:space="preserve">7.–NEURRIRA EGIND. ZURGIN LANEN ETA ALTZARIEN FABR. ETA </w:t>
            </w:r>
            <w:r>
              <w:rPr>
                <w:sz w:val="20"/>
                <w:szCs w:val="20"/>
              </w:rPr>
              <w:lastRenderedPageBreak/>
              <w:t>INST. EMHZ</w:t>
            </w:r>
          </w:p>
        </w:tc>
        <w:tc>
          <w:tcPr>
            <w:tcW w:w="880"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lastRenderedPageBreak/>
              <w:t>1.</w:t>
            </w:r>
          </w:p>
        </w:tc>
        <w:tc>
          <w:tcPr>
            <w:tcW w:w="1106"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0,826</w:t>
            </w:r>
          </w:p>
        </w:tc>
        <w:tc>
          <w:tcPr>
            <w:tcW w:w="1393"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1,000</w:t>
            </w:r>
          </w:p>
        </w:tc>
        <w:tc>
          <w:tcPr>
            <w:tcW w:w="12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72.437,69</w:t>
            </w:r>
          </w:p>
        </w:tc>
        <w:tc>
          <w:tcPr>
            <w:tcW w:w="1118"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65,21</w:t>
            </w:r>
          </w:p>
        </w:tc>
        <w:tc>
          <w:tcPr>
            <w:tcW w:w="1381"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11.324,54</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10,20</w:t>
            </w:r>
          </w:p>
        </w:tc>
        <w:tc>
          <w:tcPr>
            <w:tcW w:w="9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27.313,91</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24,59</w:t>
            </w:r>
          </w:p>
        </w:tc>
        <w:tc>
          <w:tcPr>
            <w:tcW w:w="1130"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111.076,14</w:t>
            </w:r>
          </w:p>
        </w:tc>
      </w:tr>
      <w:tr w:rsidR="003E6891" w:rsidTr="00666764">
        <w:trPr>
          <w:trHeight w:val="267"/>
        </w:trPr>
        <w:tc>
          <w:tcPr>
            <w:tcW w:w="0" w:type="auto"/>
            <w:vMerge/>
            <w:tcBorders>
              <w:top w:val="nil"/>
              <w:left w:val="single" w:sz="4" w:space="0" w:color="auto"/>
              <w:bottom w:val="single" w:sz="4" w:space="0" w:color="000000"/>
              <w:right w:val="single" w:sz="4" w:space="0" w:color="auto"/>
            </w:tcBorders>
            <w:vAlign w:val="center"/>
            <w:hideMark/>
          </w:tcPr>
          <w:p w:rsidR="003E6891" w:rsidRDefault="003E6891">
            <w:pPr>
              <w:rPr>
                <w:sz w:val="20"/>
                <w:szCs w:val="20"/>
                <w:lang w:val="es-ES_tradnl"/>
              </w:rPr>
            </w:pPr>
          </w:p>
        </w:tc>
        <w:tc>
          <w:tcPr>
            <w:tcW w:w="880"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2º</w:t>
            </w:r>
          </w:p>
        </w:tc>
        <w:tc>
          <w:tcPr>
            <w:tcW w:w="1106"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0,565</w:t>
            </w:r>
          </w:p>
        </w:tc>
        <w:tc>
          <w:tcPr>
            <w:tcW w:w="1393"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1,000</w:t>
            </w:r>
          </w:p>
        </w:tc>
        <w:tc>
          <w:tcPr>
            <w:tcW w:w="12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61.583,95</w:t>
            </w:r>
          </w:p>
        </w:tc>
        <w:tc>
          <w:tcPr>
            <w:tcW w:w="1118"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62,42</w:t>
            </w:r>
          </w:p>
        </w:tc>
        <w:tc>
          <w:tcPr>
            <w:tcW w:w="1381"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9.769,49</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9,90</w:t>
            </w:r>
          </w:p>
        </w:tc>
        <w:tc>
          <w:tcPr>
            <w:tcW w:w="9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27.313,91</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27,68</w:t>
            </w:r>
          </w:p>
        </w:tc>
        <w:tc>
          <w:tcPr>
            <w:tcW w:w="1130"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98.667,35</w:t>
            </w:r>
          </w:p>
        </w:tc>
      </w:tr>
      <w:tr w:rsidR="003E6891" w:rsidTr="00666764">
        <w:trPr>
          <w:trHeight w:val="267"/>
        </w:trPr>
        <w:tc>
          <w:tcPr>
            <w:tcW w:w="2296" w:type="dxa"/>
            <w:vMerge w:val="restart"/>
            <w:tcBorders>
              <w:top w:val="nil"/>
              <w:left w:val="single" w:sz="4" w:space="0" w:color="auto"/>
              <w:bottom w:val="single" w:sz="4" w:space="0" w:color="000000"/>
              <w:right w:val="single" w:sz="4" w:space="0" w:color="auto"/>
            </w:tcBorders>
            <w:vAlign w:val="center"/>
            <w:hideMark/>
          </w:tcPr>
          <w:p w:rsidR="003E6891" w:rsidRDefault="003E6891">
            <w:pPr>
              <w:rPr>
                <w:sz w:val="20"/>
                <w:szCs w:val="20"/>
              </w:rPr>
            </w:pPr>
            <w:r>
              <w:rPr>
                <w:sz w:val="20"/>
                <w:szCs w:val="20"/>
              </w:rPr>
              <w:lastRenderedPageBreak/>
              <w:t>8.–FARMAZIA ETA PARAFARMAZIA EMHZ (LOE)</w:t>
            </w:r>
          </w:p>
        </w:tc>
        <w:tc>
          <w:tcPr>
            <w:tcW w:w="880"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Lehena</w:t>
            </w:r>
          </w:p>
        </w:tc>
        <w:tc>
          <w:tcPr>
            <w:tcW w:w="1106"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0,652</w:t>
            </w:r>
          </w:p>
        </w:tc>
        <w:tc>
          <w:tcPr>
            <w:tcW w:w="1393"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0,913</w:t>
            </w:r>
          </w:p>
        </w:tc>
        <w:tc>
          <w:tcPr>
            <w:tcW w:w="12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61.891,74</w:t>
            </w:r>
          </w:p>
        </w:tc>
        <w:tc>
          <w:tcPr>
            <w:tcW w:w="1118"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69,59</w:t>
            </w:r>
          </w:p>
        </w:tc>
        <w:tc>
          <w:tcPr>
            <w:tcW w:w="1381"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9.625,21</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10,82</w:t>
            </w:r>
          </w:p>
        </w:tc>
        <w:tc>
          <w:tcPr>
            <w:tcW w:w="9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17.415,92</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19,58</w:t>
            </w:r>
          </w:p>
        </w:tc>
        <w:tc>
          <w:tcPr>
            <w:tcW w:w="1130"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88.932,87</w:t>
            </w:r>
          </w:p>
        </w:tc>
      </w:tr>
      <w:tr w:rsidR="003E6891" w:rsidTr="00666764">
        <w:trPr>
          <w:trHeight w:val="267"/>
        </w:trPr>
        <w:tc>
          <w:tcPr>
            <w:tcW w:w="0" w:type="auto"/>
            <w:vMerge/>
            <w:tcBorders>
              <w:top w:val="nil"/>
              <w:left w:val="single" w:sz="4" w:space="0" w:color="auto"/>
              <w:bottom w:val="single" w:sz="4" w:space="0" w:color="000000"/>
              <w:right w:val="single" w:sz="4" w:space="0" w:color="auto"/>
            </w:tcBorders>
            <w:vAlign w:val="center"/>
            <w:hideMark/>
          </w:tcPr>
          <w:p w:rsidR="003E6891" w:rsidRDefault="003E6891">
            <w:pPr>
              <w:rPr>
                <w:sz w:val="20"/>
                <w:szCs w:val="20"/>
                <w:lang w:val="es-ES_tradnl"/>
              </w:rPr>
            </w:pPr>
          </w:p>
        </w:tc>
        <w:tc>
          <w:tcPr>
            <w:tcW w:w="880"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2º</w:t>
            </w:r>
          </w:p>
        </w:tc>
        <w:tc>
          <w:tcPr>
            <w:tcW w:w="1106"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0,652</w:t>
            </w:r>
          </w:p>
        </w:tc>
        <w:tc>
          <w:tcPr>
            <w:tcW w:w="1393"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0,717</w:t>
            </w:r>
          </w:p>
        </w:tc>
        <w:tc>
          <w:tcPr>
            <w:tcW w:w="12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54.443,77</w:t>
            </w:r>
          </w:p>
        </w:tc>
        <w:tc>
          <w:tcPr>
            <w:tcW w:w="1118"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67,76</w:t>
            </w:r>
          </w:p>
        </w:tc>
        <w:tc>
          <w:tcPr>
            <w:tcW w:w="1381"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8.487,10</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10,56</w:t>
            </w:r>
          </w:p>
        </w:tc>
        <w:tc>
          <w:tcPr>
            <w:tcW w:w="9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17.415,92</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21,68</w:t>
            </w:r>
          </w:p>
        </w:tc>
        <w:tc>
          <w:tcPr>
            <w:tcW w:w="1130"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80.346,79</w:t>
            </w:r>
          </w:p>
        </w:tc>
      </w:tr>
      <w:tr w:rsidR="003E6891" w:rsidTr="00666764">
        <w:trPr>
          <w:trHeight w:val="267"/>
        </w:trPr>
        <w:tc>
          <w:tcPr>
            <w:tcW w:w="2296" w:type="dxa"/>
            <w:vMerge w:val="restart"/>
            <w:tcBorders>
              <w:top w:val="nil"/>
              <w:left w:val="single" w:sz="4" w:space="0" w:color="auto"/>
              <w:bottom w:val="single" w:sz="4" w:space="0" w:color="auto"/>
              <w:right w:val="single" w:sz="4" w:space="0" w:color="auto"/>
            </w:tcBorders>
            <w:vAlign w:val="center"/>
            <w:hideMark/>
          </w:tcPr>
          <w:p w:rsidR="003E6891" w:rsidRDefault="003E6891">
            <w:pPr>
              <w:rPr>
                <w:sz w:val="20"/>
                <w:szCs w:val="20"/>
              </w:rPr>
            </w:pPr>
            <w:r>
              <w:rPr>
                <w:sz w:val="20"/>
                <w:szCs w:val="20"/>
              </w:rPr>
              <w:t>9.–INSTALAZIO ELEKTRIKO ETA AUTOMATIKOAK EMHZ (LOE)</w:t>
            </w:r>
          </w:p>
        </w:tc>
        <w:tc>
          <w:tcPr>
            <w:tcW w:w="880"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Lehena</w:t>
            </w:r>
          </w:p>
        </w:tc>
        <w:tc>
          <w:tcPr>
            <w:tcW w:w="1106"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0,696</w:t>
            </w:r>
          </w:p>
        </w:tc>
        <w:tc>
          <w:tcPr>
            <w:tcW w:w="1393"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1,000</w:t>
            </w:r>
          </w:p>
        </w:tc>
        <w:tc>
          <w:tcPr>
            <w:tcW w:w="12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67.010,74</w:t>
            </w:r>
          </w:p>
        </w:tc>
        <w:tc>
          <w:tcPr>
            <w:tcW w:w="1118"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63,88</w:t>
            </w:r>
          </w:p>
        </w:tc>
        <w:tc>
          <w:tcPr>
            <w:tcW w:w="1381"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10.386,05</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9,90</w:t>
            </w:r>
          </w:p>
        </w:tc>
        <w:tc>
          <w:tcPr>
            <w:tcW w:w="9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27.499,53</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26,22</w:t>
            </w:r>
          </w:p>
        </w:tc>
        <w:tc>
          <w:tcPr>
            <w:tcW w:w="1130"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104.896,32</w:t>
            </w:r>
          </w:p>
        </w:tc>
      </w:tr>
      <w:tr w:rsidR="003E6891" w:rsidTr="00666764">
        <w:trPr>
          <w:trHeight w:val="267"/>
        </w:trPr>
        <w:tc>
          <w:tcPr>
            <w:tcW w:w="0" w:type="auto"/>
            <w:vMerge/>
            <w:tcBorders>
              <w:top w:val="nil"/>
              <w:left w:val="single" w:sz="4" w:space="0" w:color="auto"/>
              <w:bottom w:val="single" w:sz="4" w:space="0" w:color="auto"/>
              <w:right w:val="single" w:sz="4" w:space="0" w:color="auto"/>
            </w:tcBorders>
            <w:vAlign w:val="center"/>
            <w:hideMark/>
          </w:tcPr>
          <w:p w:rsidR="003E6891" w:rsidRDefault="003E6891">
            <w:pPr>
              <w:rPr>
                <w:sz w:val="20"/>
                <w:szCs w:val="20"/>
                <w:lang w:val="es-ES_tradnl"/>
              </w:rPr>
            </w:pPr>
          </w:p>
        </w:tc>
        <w:tc>
          <w:tcPr>
            <w:tcW w:w="880"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2º</w:t>
            </w:r>
          </w:p>
        </w:tc>
        <w:tc>
          <w:tcPr>
            <w:tcW w:w="1106"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0,652</w:t>
            </w:r>
          </w:p>
        </w:tc>
        <w:tc>
          <w:tcPr>
            <w:tcW w:w="1393"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0,870</w:t>
            </w:r>
          </w:p>
        </w:tc>
        <w:tc>
          <w:tcPr>
            <w:tcW w:w="12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60.236,85</w:t>
            </w:r>
          </w:p>
        </w:tc>
        <w:tc>
          <w:tcPr>
            <w:tcW w:w="1118"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62,03</w:t>
            </w:r>
          </w:p>
        </w:tc>
        <w:tc>
          <w:tcPr>
            <w:tcW w:w="1381"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9.372,29</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9,65</w:t>
            </w:r>
          </w:p>
        </w:tc>
        <w:tc>
          <w:tcPr>
            <w:tcW w:w="9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27.499,53</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28,32</w:t>
            </w:r>
          </w:p>
        </w:tc>
        <w:tc>
          <w:tcPr>
            <w:tcW w:w="1130"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97.108,67</w:t>
            </w:r>
          </w:p>
        </w:tc>
      </w:tr>
      <w:tr w:rsidR="003E6891" w:rsidTr="00666764">
        <w:trPr>
          <w:trHeight w:val="267"/>
        </w:trPr>
        <w:tc>
          <w:tcPr>
            <w:tcW w:w="2296" w:type="dxa"/>
            <w:vMerge w:val="restart"/>
            <w:tcBorders>
              <w:top w:val="single" w:sz="4" w:space="0" w:color="auto"/>
              <w:left w:val="single" w:sz="4" w:space="0" w:color="auto"/>
              <w:bottom w:val="single" w:sz="4" w:space="0" w:color="000000"/>
              <w:right w:val="single" w:sz="4" w:space="0" w:color="auto"/>
            </w:tcBorders>
            <w:vAlign w:val="center"/>
            <w:hideMark/>
          </w:tcPr>
          <w:p w:rsidR="003E6891" w:rsidRDefault="003E6891">
            <w:pPr>
              <w:rPr>
                <w:sz w:val="20"/>
                <w:szCs w:val="20"/>
              </w:rPr>
            </w:pPr>
            <w:r>
              <w:rPr>
                <w:sz w:val="20"/>
                <w:szCs w:val="20"/>
              </w:rPr>
              <w:t>10.–MEKANIZAZIOA EMHZ (LOE)</w:t>
            </w:r>
          </w:p>
        </w:tc>
        <w:tc>
          <w:tcPr>
            <w:tcW w:w="880" w:type="dxa"/>
            <w:tcBorders>
              <w:top w:val="single" w:sz="4" w:space="0" w:color="auto"/>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Lehena</w:t>
            </w:r>
          </w:p>
        </w:tc>
        <w:tc>
          <w:tcPr>
            <w:tcW w:w="1106" w:type="dxa"/>
            <w:tcBorders>
              <w:top w:val="single" w:sz="4" w:space="0" w:color="auto"/>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0,522</w:t>
            </w:r>
          </w:p>
        </w:tc>
        <w:tc>
          <w:tcPr>
            <w:tcW w:w="1393" w:type="dxa"/>
            <w:tcBorders>
              <w:top w:val="single" w:sz="4" w:space="0" w:color="auto"/>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1,391</w:t>
            </w:r>
          </w:p>
        </w:tc>
        <w:tc>
          <w:tcPr>
            <w:tcW w:w="1299" w:type="dxa"/>
            <w:tcBorders>
              <w:top w:val="single" w:sz="4" w:space="0" w:color="auto"/>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74.670,95</w:t>
            </w:r>
          </w:p>
        </w:tc>
        <w:tc>
          <w:tcPr>
            <w:tcW w:w="1118" w:type="dxa"/>
            <w:tcBorders>
              <w:top w:val="single" w:sz="4" w:space="0" w:color="auto"/>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65,43</w:t>
            </w:r>
          </w:p>
        </w:tc>
        <w:tc>
          <w:tcPr>
            <w:tcW w:w="1381" w:type="dxa"/>
            <w:tcBorders>
              <w:top w:val="single" w:sz="4" w:space="0" w:color="auto"/>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11.824,11</w:t>
            </w:r>
          </w:p>
        </w:tc>
        <w:tc>
          <w:tcPr>
            <w:tcW w:w="1117" w:type="dxa"/>
            <w:tcBorders>
              <w:top w:val="single" w:sz="4" w:space="0" w:color="auto"/>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10,36</w:t>
            </w:r>
          </w:p>
        </w:tc>
        <w:tc>
          <w:tcPr>
            <w:tcW w:w="999" w:type="dxa"/>
            <w:tcBorders>
              <w:top w:val="single" w:sz="4" w:space="0" w:color="auto"/>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27.635,65</w:t>
            </w:r>
          </w:p>
        </w:tc>
        <w:tc>
          <w:tcPr>
            <w:tcW w:w="1117" w:type="dxa"/>
            <w:tcBorders>
              <w:top w:val="single" w:sz="4" w:space="0" w:color="auto"/>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24,21</w:t>
            </w:r>
          </w:p>
        </w:tc>
        <w:tc>
          <w:tcPr>
            <w:tcW w:w="1130" w:type="dxa"/>
            <w:tcBorders>
              <w:top w:val="single" w:sz="4" w:space="0" w:color="auto"/>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114.130,71</w:t>
            </w:r>
          </w:p>
        </w:tc>
      </w:tr>
      <w:tr w:rsidR="003E6891" w:rsidTr="00666764">
        <w:trPr>
          <w:trHeight w:val="26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E6891" w:rsidRDefault="003E6891">
            <w:pPr>
              <w:rPr>
                <w:sz w:val="20"/>
                <w:szCs w:val="20"/>
                <w:lang w:val="es-ES_tradnl"/>
              </w:rPr>
            </w:pPr>
          </w:p>
        </w:tc>
        <w:tc>
          <w:tcPr>
            <w:tcW w:w="880"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2º</w:t>
            </w:r>
          </w:p>
        </w:tc>
        <w:tc>
          <w:tcPr>
            <w:tcW w:w="1106"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0,696</w:t>
            </w:r>
          </w:p>
        </w:tc>
        <w:tc>
          <w:tcPr>
            <w:tcW w:w="1393"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0,826</w:t>
            </w:r>
          </w:p>
        </w:tc>
        <w:tc>
          <w:tcPr>
            <w:tcW w:w="12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60.390,40</w:t>
            </w:r>
          </w:p>
        </w:tc>
        <w:tc>
          <w:tcPr>
            <w:tcW w:w="1118"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61,91</w:t>
            </w:r>
          </w:p>
        </w:tc>
        <w:tc>
          <w:tcPr>
            <w:tcW w:w="1381"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9.518,67</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9,76</w:t>
            </w:r>
          </w:p>
        </w:tc>
        <w:tc>
          <w:tcPr>
            <w:tcW w:w="9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27.635,65</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28,33</w:t>
            </w:r>
          </w:p>
        </w:tc>
        <w:tc>
          <w:tcPr>
            <w:tcW w:w="1130"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97.544,72</w:t>
            </w:r>
          </w:p>
        </w:tc>
      </w:tr>
      <w:tr w:rsidR="003E6891" w:rsidTr="00666764">
        <w:trPr>
          <w:trHeight w:val="267"/>
        </w:trPr>
        <w:tc>
          <w:tcPr>
            <w:tcW w:w="2296" w:type="dxa"/>
            <w:vMerge w:val="restart"/>
            <w:tcBorders>
              <w:top w:val="nil"/>
              <w:left w:val="single" w:sz="4" w:space="0" w:color="auto"/>
              <w:bottom w:val="single" w:sz="4" w:space="0" w:color="000000"/>
              <w:right w:val="single" w:sz="4" w:space="0" w:color="auto"/>
            </w:tcBorders>
            <w:vAlign w:val="center"/>
            <w:hideMark/>
          </w:tcPr>
          <w:p w:rsidR="003E6891" w:rsidRDefault="003E6891">
            <w:pPr>
              <w:rPr>
                <w:sz w:val="20"/>
                <w:szCs w:val="20"/>
              </w:rPr>
            </w:pPr>
            <w:r>
              <w:rPr>
                <w:sz w:val="20"/>
                <w:szCs w:val="20"/>
              </w:rPr>
              <w:t>11.–MERKATARITZA EMHZ</w:t>
            </w:r>
          </w:p>
        </w:tc>
        <w:tc>
          <w:tcPr>
            <w:tcW w:w="880"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Lehena</w:t>
            </w:r>
          </w:p>
        </w:tc>
        <w:tc>
          <w:tcPr>
            <w:tcW w:w="1106"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1,043</w:t>
            </w:r>
          </w:p>
        </w:tc>
        <w:tc>
          <w:tcPr>
            <w:tcW w:w="1393"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0,696</w:t>
            </w:r>
          </w:p>
        </w:tc>
        <w:tc>
          <w:tcPr>
            <w:tcW w:w="12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69.896,76</w:t>
            </w:r>
          </w:p>
        </w:tc>
        <w:tc>
          <w:tcPr>
            <w:tcW w:w="1118"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70,10</w:t>
            </w:r>
          </w:p>
        </w:tc>
        <w:tc>
          <w:tcPr>
            <w:tcW w:w="1381"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10.820,81</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10,85</w:t>
            </w:r>
          </w:p>
        </w:tc>
        <w:tc>
          <w:tcPr>
            <w:tcW w:w="9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18.989,97</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19,05</w:t>
            </w:r>
          </w:p>
        </w:tc>
        <w:tc>
          <w:tcPr>
            <w:tcW w:w="1130"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99.707,54</w:t>
            </w:r>
          </w:p>
        </w:tc>
      </w:tr>
      <w:tr w:rsidR="003E6891" w:rsidTr="00666764">
        <w:trPr>
          <w:trHeight w:val="267"/>
        </w:trPr>
        <w:tc>
          <w:tcPr>
            <w:tcW w:w="0" w:type="auto"/>
            <w:vMerge/>
            <w:tcBorders>
              <w:top w:val="nil"/>
              <w:left w:val="single" w:sz="4" w:space="0" w:color="auto"/>
              <w:bottom w:val="single" w:sz="4" w:space="0" w:color="000000"/>
              <w:right w:val="single" w:sz="4" w:space="0" w:color="auto"/>
            </w:tcBorders>
            <w:vAlign w:val="center"/>
            <w:hideMark/>
          </w:tcPr>
          <w:p w:rsidR="003E6891" w:rsidRDefault="003E6891">
            <w:pPr>
              <w:rPr>
                <w:sz w:val="20"/>
                <w:szCs w:val="20"/>
                <w:lang w:val="es-ES_tradnl"/>
              </w:rPr>
            </w:pPr>
          </w:p>
        </w:tc>
        <w:tc>
          <w:tcPr>
            <w:tcW w:w="880"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2º</w:t>
            </w:r>
          </w:p>
        </w:tc>
        <w:tc>
          <w:tcPr>
            <w:tcW w:w="1106"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0,261</w:t>
            </w:r>
          </w:p>
        </w:tc>
        <w:tc>
          <w:tcPr>
            <w:tcW w:w="1393"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0,000</w:t>
            </w:r>
          </w:p>
        </w:tc>
        <w:tc>
          <w:tcPr>
            <w:tcW w:w="12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10.853,76</w:t>
            </w:r>
          </w:p>
        </w:tc>
        <w:tc>
          <w:tcPr>
            <w:tcW w:w="1118"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68,91</w:t>
            </w:r>
          </w:p>
        </w:tc>
        <w:tc>
          <w:tcPr>
            <w:tcW w:w="1381"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1.555,09</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9,87</w:t>
            </w:r>
          </w:p>
        </w:tc>
        <w:tc>
          <w:tcPr>
            <w:tcW w:w="9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3.341,46</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21,22</w:t>
            </w:r>
          </w:p>
        </w:tc>
        <w:tc>
          <w:tcPr>
            <w:tcW w:w="1130"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15.750,31</w:t>
            </w:r>
          </w:p>
        </w:tc>
      </w:tr>
      <w:tr w:rsidR="003E6891" w:rsidTr="00666764">
        <w:trPr>
          <w:trHeight w:val="267"/>
        </w:trPr>
        <w:tc>
          <w:tcPr>
            <w:tcW w:w="2296" w:type="dxa"/>
            <w:vMerge w:val="restart"/>
            <w:tcBorders>
              <w:top w:val="nil"/>
              <w:left w:val="single" w:sz="4" w:space="0" w:color="auto"/>
              <w:bottom w:val="single" w:sz="4" w:space="0" w:color="000000"/>
              <w:right w:val="single" w:sz="4" w:space="0" w:color="auto"/>
            </w:tcBorders>
            <w:vAlign w:val="center"/>
            <w:hideMark/>
          </w:tcPr>
          <w:p w:rsidR="003E6891" w:rsidRDefault="003E6891">
            <w:pPr>
              <w:rPr>
                <w:sz w:val="20"/>
                <w:szCs w:val="20"/>
              </w:rPr>
            </w:pPr>
            <w:r>
              <w:rPr>
                <w:sz w:val="20"/>
                <w:szCs w:val="20"/>
              </w:rPr>
              <w:t>11.–MERKATARITZA JARDUERAK EMHZ</w:t>
            </w:r>
          </w:p>
        </w:tc>
        <w:tc>
          <w:tcPr>
            <w:tcW w:w="880"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Lehena</w:t>
            </w:r>
          </w:p>
        </w:tc>
        <w:tc>
          <w:tcPr>
            <w:tcW w:w="1106"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0,870</w:t>
            </w:r>
          </w:p>
        </w:tc>
        <w:tc>
          <w:tcPr>
            <w:tcW w:w="1393"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0,870</w:t>
            </w:r>
          </w:p>
        </w:tc>
        <w:tc>
          <w:tcPr>
            <w:tcW w:w="12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69.321,17</w:t>
            </w:r>
          </w:p>
        </w:tc>
        <w:tc>
          <w:tcPr>
            <w:tcW w:w="1118"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69,84</w:t>
            </w:r>
          </w:p>
        </w:tc>
        <w:tc>
          <w:tcPr>
            <w:tcW w:w="1381"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10.946,87</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11,03</w:t>
            </w:r>
          </w:p>
        </w:tc>
        <w:tc>
          <w:tcPr>
            <w:tcW w:w="9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18.989,97</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19,13</w:t>
            </w:r>
          </w:p>
        </w:tc>
        <w:tc>
          <w:tcPr>
            <w:tcW w:w="1130"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99.258,01</w:t>
            </w:r>
          </w:p>
        </w:tc>
      </w:tr>
      <w:tr w:rsidR="003E6891" w:rsidTr="00666764">
        <w:trPr>
          <w:trHeight w:val="267"/>
        </w:trPr>
        <w:tc>
          <w:tcPr>
            <w:tcW w:w="0" w:type="auto"/>
            <w:vMerge/>
            <w:tcBorders>
              <w:top w:val="nil"/>
              <w:left w:val="single" w:sz="4" w:space="0" w:color="auto"/>
              <w:bottom w:val="single" w:sz="4" w:space="0" w:color="000000"/>
              <w:right w:val="single" w:sz="4" w:space="0" w:color="auto"/>
            </w:tcBorders>
            <w:vAlign w:val="center"/>
            <w:hideMark/>
          </w:tcPr>
          <w:p w:rsidR="003E6891" w:rsidRDefault="003E6891">
            <w:pPr>
              <w:rPr>
                <w:sz w:val="20"/>
                <w:szCs w:val="20"/>
                <w:lang w:val="es-ES_tradnl"/>
              </w:rPr>
            </w:pPr>
          </w:p>
        </w:tc>
        <w:tc>
          <w:tcPr>
            <w:tcW w:w="880"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2º</w:t>
            </w:r>
          </w:p>
        </w:tc>
        <w:tc>
          <w:tcPr>
            <w:tcW w:w="1106"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1,044</w:t>
            </w:r>
          </w:p>
        </w:tc>
        <w:tc>
          <w:tcPr>
            <w:tcW w:w="1393"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0,479</w:t>
            </w:r>
          </w:p>
        </w:tc>
        <w:tc>
          <w:tcPr>
            <w:tcW w:w="12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61.675,68</w:t>
            </w:r>
          </w:p>
        </w:tc>
        <w:tc>
          <w:tcPr>
            <w:tcW w:w="1118"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68,22</w:t>
            </w:r>
          </w:p>
        </w:tc>
        <w:tc>
          <w:tcPr>
            <w:tcW w:w="1381"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9.739,53</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10,77</w:t>
            </w:r>
          </w:p>
        </w:tc>
        <w:tc>
          <w:tcPr>
            <w:tcW w:w="9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18.989,97</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21,01</w:t>
            </w:r>
          </w:p>
        </w:tc>
        <w:tc>
          <w:tcPr>
            <w:tcW w:w="1130"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90.405,18</w:t>
            </w:r>
          </w:p>
        </w:tc>
      </w:tr>
      <w:tr w:rsidR="003E6891" w:rsidTr="00666764">
        <w:trPr>
          <w:trHeight w:val="267"/>
        </w:trPr>
        <w:tc>
          <w:tcPr>
            <w:tcW w:w="2296" w:type="dxa"/>
            <w:vMerge w:val="restart"/>
            <w:tcBorders>
              <w:top w:val="nil"/>
              <w:left w:val="single" w:sz="4" w:space="0" w:color="auto"/>
              <w:bottom w:val="single" w:sz="4" w:space="0" w:color="000000"/>
              <w:right w:val="single" w:sz="4" w:space="0" w:color="auto"/>
            </w:tcBorders>
            <w:vAlign w:val="center"/>
            <w:hideMark/>
          </w:tcPr>
          <w:p w:rsidR="003E6891" w:rsidRDefault="003E6891">
            <w:pPr>
              <w:rPr>
                <w:sz w:val="20"/>
                <w:szCs w:val="20"/>
              </w:rPr>
            </w:pPr>
            <w:r>
              <w:rPr>
                <w:sz w:val="20"/>
                <w:szCs w:val="20"/>
              </w:rPr>
              <w:t>12.–MENDEKOTASUNA DUTEN PERTSONENTZAKO ARRETA EMHZ (LOE)</w:t>
            </w:r>
          </w:p>
        </w:tc>
        <w:tc>
          <w:tcPr>
            <w:tcW w:w="880"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Lehena</w:t>
            </w:r>
          </w:p>
        </w:tc>
        <w:tc>
          <w:tcPr>
            <w:tcW w:w="1106"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0,739</w:t>
            </w:r>
          </w:p>
        </w:tc>
        <w:tc>
          <w:tcPr>
            <w:tcW w:w="1393"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0,826</w:t>
            </w:r>
          </w:p>
        </w:tc>
        <w:tc>
          <w:tcPr>
            <w:tcW w:w="12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62.199,72</w:t>
            </w:r>
          </w:p>
        </w:tc>
        <w:tc>
          <w:tcPr>
            <w:tcW w:w="1118"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68,72</w:t>
            </w:r>
          </w:p>
        </w:tc>
        <w:tc>
          <w:tcPr>
            <w:tcW w:w="1381"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9.706,98</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10,73</w:t>
            </w:r>
          </w:p>
        </w:tc>
        <w:tc>
          <w:tcPr>
            <w:tcW w:w="9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18.600,13</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20,55</w:t>
            </w:r>
          </w:p>
        </w:tc>
        <w:tc>
          <w:tcPr>
            <w:tcW w:w="1130"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90.506,83</w:t>
            </w:r>
          </w:p>
        </w:tc>
      </w:tr>
      <w:tr w:rsidR="003E6891" w:rsidTr="00666764">
        <w:trPr>
          <w:trHeight w:val="267"/>
        </w:trPr>
        <w:tc>
          <w:tcPr>
            <w:tcW w:w="0" w:type="auto"/>
            <w:vMerge/>
            <w:tcBorders>
              <w:top w:val="nil"/>
              <w:left w:val="single" w:sz="4" w:space="0" w:color="auto"/>
              <w:bottom w:val="single" w:sz="4" w:space="0" w:color="000000"/>
              <w:right w:val="single" w:sz="4" w:space="0" w:color="auto"/>
            </w:tcBorders>
            <w:vAlign w:val="center"/>
            <w:hideMark/>
          </w:tcPr>
          <w:p w:rsidR="003E6891" w:rsidRDefault="003E6891">
            <w:pPr>
              <w:rPr>
                <w:sz w:val="20"/>
                <w:szCs w:val="20"/>
                <w:lang w:val="es-ES_tradnl"/>
              </w:rPr>
            </w:pPr>
          </w:p>
        </w:tc>
        <w:tc>
          <w:tcPr>
            <w:tcW w:w="880"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2º</w:t>
            </w:r>
          </w:p>
        </w:tc>
        <w:tc>
          <w:tcPr>
            <w:tcW w:w="1106"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0,739</w:t>
            </w:r>
          </w:p>
        </w:tc>
        <w:tc>
          <w:tcPr>
            <w:tcW w:w="1393"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0,696</w:t>
            </w:r>
          </w:p>
        </w:tc>
        <w:tc>
          <w:tcPr>
            <w:tcW w:w="12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57.234,35</w:t>
            </w:r>
          </w:p>
        </w:tc>
        <w:tc>
          <w:tcPr>
            <w:tcW w:w="1118"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67,52</w:t>
            </w:r>
          </w:p>
        </w:tc>
        <w:tc>
          <w:tcPr>
            <w:tcW w:w="1381"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8.932,07</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10,54</w:t>
            </w:r>
          </w:p>
        </w:tc>
        <w:tc>
          <w:tcPr>
            <w:tcW w:w="9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18.600,13</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21,94</w:t>
            </w:r>
          </w:p>
        </w:tc>
        <w:tc>
          <w:tcPr>
            <w:tcW w:w="1130"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84.766,55</w:t>
            </w:r>
          </w:p>
        </w:tc>
      </w:tr>
      <w:tr w:rsidR="003E6891" w:rsidTr="00666764">
        <w:trPr>
          <w:trHeight w:val="267"/>
        </w:trPr>
        <w:tc>
          <w:tcPr>
            <w:tcW w:w="2296" w:type="dxa"/>
            <w:vMerge w:val="restart"/>
            <w:tcBorders>
              <w:top w:val="nil"/>
              <w:left w:val="single" w:sz="4" w:space="0" w:color="auto"/>
              <w:bottom w:val="single" w:sz="4" w:space="0" w:color="000000"/>
              <w:right w:val="single" w:sz="4" w:space="0" w:color="auto"/>
            </w:tcBorders>
            <w:vAlign w:val="center"/>
            <w:hideMark/>
          </w:tcPr>
          <w:p w:rsidR="003E6891" w:rsidRDefault="003E6891">
            <w:pPr>
              <w:rPr>
                <w:sz w:val="20"/>
                <w:szCs w:val="20"/>
              </w:rPr>
            </w:pPr>
            <w:r>
              <w:rPr>
                <w:sz w:val="20"/>
                <w:szCs w:val="20"/>
              </w:rPr>
              <w:t>13.–ERAIKUNTZAKO MAKINERIAREN ERABILERA ETA MANTENTZE-LANAK EMHZ</w:t>
            </w:r>
          </w:p>
        </w:tc>
        <w:tc>
          <w:tcPr>
            <w:tcW w:w="880"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Lehena</w:t>
            </w:r>
          </w:p>
        </w:tc>
        <w:tc>
          <w:tcPr>
            <w:tcW w:w="1106"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0,826</w:t>
            </w:r>
          </w:p>
        </w:tc>
        <w:tc>
          <w:tcPr>
            <w:tcW w:w="1393"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1,000</w:t>
            </w:r>
          </w:p>
        </w:tc>
        <w:tc>
          <w:tcPr>
            <w:tcW w:w="12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72.437,85</w:t>
            </w:r>
          </w:p>
        </w:tc>
        <w:tc>
          <w:tcPr>
            <w:tcW w:w="1118"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62,71</w:t>
            </w:r>
          </w:p>
        </w:tc>
        <w:tc>
          <w:tcPr>
            <w:tcW w:w="1381"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11.151,16</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9,65</w:t>
            </w:r>
          </w:p>
        </w:tc>
        <w:tc>
          <w:tcPr>
            <w:tcW w:w="9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31.926,84</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27,64</w:t>
            </w:r>
          </w:p>
        </w:tc>
        <w:tc>
          <w:tcPr>
            <w:tcW w:w="1130"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115.515,85</w:t>
            </w:r>
          </w:p>
        </w:tc>
      </w:tr>
      <w:tr w:rsidR="003E6891" w:rsidTr="00666764">
        <w:trPr>
          <w:trHeight w:val="267"/>
        </w:trPr>
        <w:tc>
          <w:tcPr>
            <w:tcW w:w="0" w:type="auto"/>
            <w:vMerge/>
            <w:tcBorders>
              <w:top w:val="nil"/>
              <w:left w:val="single" w:sz="4" w:space="0" w:color="auto"/>
              <w:bottom w:val="single" w:sz="4" w:space="0" w:color="000000"/>
              <w:right w:val="single" w:sz="4" w:space="0" w:color="auto"/>
            </w:tcBorders>
            <w:vAlign w:val="center"/>
            <w:hideMark/>
          </w:tcPr>
          <w:p w:rsidR="003E6891" w:rsidRDefault="003E6891">
            <w:pPr>
              <w:rPr>
                <w:sz w:val="20"/>
                <w:szCs w:val="20"/>
                <w:lang w:val="es-ES_tradnl"/>
              </w:rPr>
            </w:pPr>
          </w:p>
        </w:tc>
        <w:tc>
          <w:tcPr>
            <w:tcW w:w="880"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2º</w:t>
            </w:r>
          </w:p>
        </w:tc>
        <w:tc>
          <w:tcPr>
            <w:tcW w:w="1106"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0,739</w:t>
            </w:r>
          </w:p>
        </w:tc>
        <w:tc>
          <w:tcPr>
            <w:tcW w:w="1393"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0,783</w:t>
            </w:r>
          </w:p>
        </w:tc>
        <w:tc>
          <w:tcPr>
            <w:tcW w:w="12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60.544,55</w:t>
            </w:r>
          </w:p>
        </w:tc>
        <w:tc>
          <w:tcPr>
            <w:tcW w:w="1118"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59,45</w:t>
            </w:r>
          </w:p>
        </w:tc>
        <w:tc>
          <w:tcPr>
            <w:tcW w:w="1381"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9.376,04</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9,21</w:t>
            </w:r>
          </w:p>
        </w:tc>
        <w:tc>
          <w:tcPr>
            <w:tcW w:w="9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31.926,84</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31,35</w:t>
            </w:r>
          </w:p>
        </w:tc>
        <w:tc>
          <w:tcPr>
            <w:tcW w:w="1130"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101.847,43</w:t>
            </w:r>
          </w:p>
        </w:tc>
      </w:tr>
      <w:tr w:rsidR="003E6891" w:rsidTr="00666764">
        <w:trPr>
          <w:trHeight w:val="267"/>
        </w:trPr>
        <w:tc>
          <w:tcPr>
            <w:tcW w:w="2296" w:type="dxa"/>
            <w:vMerge w:val="restart"/>
            <w:tcBorders>
              <w:top w:val="nil"/>
              <w:left w:val="single" w:sz="4" w:space="0" w:color="auto"/>
              <w:bottom w:val="single" w:sz="4" w:space="0" w:color="000000"/>
              <w:right w:val="single" w:sz="4" w:space="0" w:color="auto"/>
            </w:tcBorders>
            <w:vAlign w:val="center"/>
            <w:hideMark/>
          </w:tcPr>
          <w:p w:rsidR="003E6891" w:rsidRDefault="003E6891">
            <w:pPr>
              <w:rPr>
                <w:sz w:val="20"/>
                <w:szCs w:val="20"/>
              </w:rPr>
            </w:pPr>
            <w:r>
              <w:rPr>
                <w:sz w:val="20"/>
                <w:szCs w:val="20"/>
              </w:rPr>
              <w:t>14.–HONDEAKETAK ETA ZUNDAKETAK</w:t>
            </w:r>
          </w:p>
        </w:tc>
        <w:tc>
          <w:tcPr>
            <w:tcW w:w="880"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Lehena</w:t>
            </w:r>
          </w:p>
        </w:tc>
        <w:tc>
          <w:tcPr>
            <w:tcW w:w="1106"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1,000</w:t>
            </w:r>
          </w:p>
        </w:tc>
        <w:tc>
          <w:tcPr>
            <w:tcW w:w="1393"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0,827</w:t>
            </w:r>
          </w:p>
        </w:tc>
        <w:tc>
          <w:tcPr>
            <w:tcW w:w="12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73.093,35</w:t>
            </w:r>
          </w:p>
        </w:tc>
        <w:tc>
          <w:tcPr>
            <w:tcW w:w="1118"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62,71</w:t>
            </w:r>
          </w:p>
        </w:tc>
        <w:tc>
          <w:tcPr>
            <w:tcW w:w="1381"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11.542,57</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9,90</w:t>
            </w:r>
          </w:p>
        </w:tc>
        <w:tc>
          <w:tcPr>
            <w:tcW w:w="9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31.926,84</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27,39</w:t>
            </w:r>
          </w:p>
        </w:tc>
        <w:tc>
          <w:tcPr>
            <w:tcW w:w="1130"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116.562,76</w:t>
            </w:r>
          </w:p>
        </w:tc>
      </w:tr>
      <w:tr w:rsidR="003E6891" w:rsidTr="00666764">
        <w:trPr>
          <w:trHeight w:val="267"/>
        </w:trPr>
        <w:tc>
          <w:tcPr>
            <w:tcW w:w="0" w:type="auto"/>
            <w:vMerge/>
            <w:tcBorders>
              <w:top w:val="nil"/>
              <w:left w:val="single" w:sz="4" w:space="0" w:color="auto"/>
              <w:bottom w:val="single" w:sz="4" w:space="0" w:color="000000"/>
              <w:right w:val="single" w:sz="4" w:space="0" w:color="auto"/>
            </w:tcBorders>
            <w:vAlign w:val="center"/>
            <w:hideMark/>
          </w:tcPr>
          <w:p w:rsidR="003E6891" w:rsidRDefault="003E6891">
            <w:pPr>
              <w:rPr>
                <w:sz w:val="20"/>
                <w:szCs w:val="20"/>
                <w:lang w:val="es-ES_tradnl"/>
              </w:rPr>
            </w:pPr>
          </w:p>
        </w:tc>
        <w:tc>
          <w:tcPr>
            <w:tcW w:w="880"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2º</w:t>
            </w:r>
          </w:p>
        </w:tc>
        <w:tc>
          <w:tcPr>
            <w:tcW w:w="1106"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0,740</w:t>
            </w:r>
          </w:p>
        </w:tc>
        <w:tc>
          <w:tcPr>
            <w:tcW w:w="1393"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0,783</w:t>
            </w:r>
          </w:p>
        </w:tc>
        <w:tc>
          <w:tcPr>
            <w:tcW w:w="12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60.599,86</w:t>
            </w:r>
          </w:p>
        </w:tc>
        <w:tc>
          <w:tcPr>
            <w:tcW w:w="1118"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59,36</w:t>
            </w:r>
          </w:p>
        </w:tc>
        <w:tc>
          <w:tcPr>
            <w:tcW w:w="1381"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9.569,65</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9,37</w:t>
            </w:r>
          </w:p>
        </w:tc>
        <w:tc>
          <w:tcPr>
            <w:tcW w:w="9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31.926,84</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31,27</w:t>
            </w:r>
          </w:p>
        </w:tc>
        <w:tc>
          <w:tcPr>
            <w:tcW w:w="1130"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102.096,35</w:t>
            </w:r>
          </w:p>
        </w:tc>
      </w:tr>
      <w:tr w:rsidR="003E6891" w:rsidTr="00666764">
        <w:trPr>
          <w:trHeight w:val="267"/>
        </w:trPr>
        <w:tc>
          <w:tcPr>
            <w:tcW w:w="2296" w:type="dxa"/>
            <w:vMerge w:val="restart"/>
            <w:tcBorders>
              <w:top w:val="nil"/>
              <w:left w:val="single" w:sz="4" w:space="0" w:color="auto"/>
              <w:bottom w:val="single" w:sz="4" w:space="0" w:color="000000"/>
              <w:right w:val="single" w:sz="4" w:space="0" w:color="auto"/>
            </w:tcBorders>
            <w:vAlign w:val="center"/>
            <w:hideMark/>
          </w:tcPr>
          <w:p w:rsidR="003E6891" w:rsidRDefault="003E6891">
            <w:pPr>
              <w:rPr>
                <w:sz w:val="20"/>
                <w:szCs w:val="20"/>
              </w:rPr>
            </w:pPr>
            <w:r>
              <w:rPr>
                <w:sz w:val="20"/>
                <w:szCs w:val="20"/>
              </w:rPr>
              <w:t>15.–SISTEMA MIKROINFORMATIKOAK ETA SAREAK</w:t>
            </w:r>
          </w:p>
        </w:tc>
        <w:tc>
          <w:tcPr>
            <w:tcW w:w="880"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Lehena</w:t>
            </w:r>
          </w:p>
        </w:tc>
        <w:tc>
          <w:tcPr>
            <w:tcW w:w="1106"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0,740</w:t>
            </w:r>
          </w:p>
        </w:tc>
        <w:tc>
          <w:tcPr>
            <w:tcW w:w="1393"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1,305</w:t>
            </w:r>
          </w:p>
        </w:tc>
        <w:tc>
          <w:tcPr>
            <w:tcW w:w="12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80.472,56</w:t>
            </w:r>
          </w:p>
        </w:tc>
        <w:tc>
          <w:tcPr>
            <w:tcW w:w="1118"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71,62</w:t>
            </w:r>
          </w:p>
        </w:tc>
        <w:tc>
          <w:tcPr>
            <w:tcW w:w="1381"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12.707,85</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11,31</w:t>
            </w:r>
          </w:p>
        </w:tc>
        <w:tc>
          <w:tcPr>
            <w:tcW w:w="9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19.184,87</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17,07</w:t>
            </w:r>
          </w:p>
        </w:tc>
        <w:tc>
          <w:tcPr>
            <w:tcW w:w="1130"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112.365,28</w:t>
            </w:r>
          </w:p>
        </w:tc>
      </w:tr>
      <w:tr w:rsidR="003E6891" w:rsidTr="00666764">
        <w:trPr>
          <w:trHeight w:val="267"/>
        </w:trPr>
        <w:tc>
          <w:tcPr>
            <w:tcW w:w="0" w:type="auto"/>
            <w:vMerge/>
            <w:tcBorders>
              <w:top w:val="nil"/>
              <w:left w:val="single" w:sz="4" w:space="0" w:color="auto"/>
              <w:bottom w:val="single" w:sz="4" w:space="0" w:color="000000"/>
              <w:right w:val="single" w:sz="4" w:space="0" w:color="auto"/>
            </w:tcBorders>
            <w:vAlign w:val="center"/>
            <w:hideMark/>
          </w:tcPr>
          <w:p w:rsidR="003E6891" w:rsidRDefault="003E6891">
            <w:pPr>
              <w:rPr>
                <w:sz w:val="20"/>
                <w:szCs w:val="20"/>
                <w:lang w:val="es-ES_tradnl"/>
              </w:rPr>
            </w:pPr>
          </w:p>
        </w:tc>
        <w:tc>
          <w:tcPr>
            <w:tcW w:w="880"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2º</w:t>
            </w:r>
          </w:p>
        </w:tc>
        <w:tc>
          <w:tcPr>
            <w:tcW w:w="1106"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1,175</w:t>
            </w:r>
          </w:p>
        </w:tc>
        <w:tc>
          <w:tcPr>
            <w:tcW w:w="1393"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0,261</w:t>
            </w:r>
          </w:p>
        </w:tc>
        <w:tc>
          <w:tcPr>
            <w:tcW w:w="12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58.827,16</w:t>
            </w:r>
          </w:p>
        </w:tc>
        <w:tc>
          <w:tcPr>
            <w:tcW w:w="1118"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67,38</w:t>
            </w:r>
          </w:p>
        </w:tc>
        <w:tc>
          <w:tcPr>
            <w:tcW w:w="1381"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9.289,71</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10,64</w:t>
            </w:r>
          </w:p>
        </w:tc>
        <w:tc>
          <w:tcPr>
            <w:tcW w:w="999"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19.184,87</w:t>
            </w:r>
          </w:p>
        </w:tc>
        <w:tc>
          <w:tcPr>
            <w:tcW w:w="1117" w:type="dxa"/>
            <w:tcBorders>
              <w:top w:val="nil"/>
              <w:left w:val="nil"/>
              <w:bottom w:val="single" w:sz="4" w:space="0" w:color="auto"/>
              <w:right w:val="single" w:sz="4" w:space="0" w:color="auto"/>
            </w:tcBorders>
            <w:noWrap/>
            <w:vAlign w:val="bottom"/>
            <w:hideMark/>
          </w:tcPr>
          <w:p w:rsidR="003E6891" w:rsidRDefault="003E6891">
            <w:pPr>
              <w:jc w:val="center"/>
              <w:rPr>
                <w:sz w:val="20"/>
                <w:szCs w:val="20"/>
              </w:rPr>
            </w:pPr>
            <w:r>
              <w:rPr>
                <w:sz w:val="20"/>
                <w:szCs w:val="20"/>
              </w:rPr>
              <w:t>% 21,98</w:t>
            </w:r>
          </w:p>
        </w:tc>
        <w:tc>
          <w:tcPr>
            <w:tcW w:w="1130" w:type="dxa"/>
            <w:tcBorders>
              <w:top w:val="nil"/>
              <w:left w:val="nil"/>
              <w:bottom w:val="single" w:sz="4" w:space="0" w:color="auto"/>
              <w:right w:val="single" w:sz="4" w:space="0" w:color="auto"/>
            </w:tcBorders>
            <w:noWrap/>
            <w:vAlign w:val="bottom"/>
            <w:hideMark/>
          </w:tcPr>
          <w:p w:rsidR="003E6891" w:rsidRDefault="003E6891">
            <w:pPr>
              <w:jc w:val="right"/>
              <w:rPr>
                <w:sz w:val="20"/>
                <w:szCs w:val="20"/>
              </w:rPr>
            </w:pPr>
            <w:r>
              <w:rPr>
                <w:sz w:val="20"/>
                <w:szCs w:val="20"/>
              </w:rPr>
              <w:t>87.301,74</w:t>
            </w:r>
          </w:p>
        </w:tc>
      </w:tr>
    </w:tbl>
    <w:p w:rsidR="003E6891" w:rsidRDefault="003E6891" w:rsidP="003E6891">
      <w:pPr>
        <w:pStyle w:val="DICTA-TEXTO"/>
        <w:rPr>
          <w:rFonts w:cs="Arial"/>
          <w:szCs w:val="24"/>
          <w:lang w:val="es-ES_tradnl"/>
        </w:rPr>
      </w:pPr>
    </w:p>
    <w:p w:rsidR="003E6891" w:rsidRPr="00666764" w:rsidRDefault="003E6891" w:rsidP="003E6891">
      <w:pPr>
        <w:pStyle w:val="DICTA-TEXTO"/>
        <w:jc w:val="center"/>
        <w:rPr>
          <w:rFonts w:ascii="Times New Roman" w:hAnsi="Times New Roman"/>
          <w:szCs w:val="24"/>
        </w:rPr>
      </w:pPr>
      <w:r>
        <w:br w:type="page"/>
      </w:r>
      <w:r>
        <w:rPr>
          <w:rFonts w:ascii="Times New Roman" w:hAnsi="Times New Roman"/>
          <w:szCs w:val="24"/>
        </w:rPr>
        <w:lastRenderedPageBreak/>
        <w:t>GOI MAILAKO HEZIKETA ZIKLOAK</w:t>
      </w:r>
    </w:p>
    <w:tbl>
      <w:tblPr>
        <w:tblW w:w="15404" w:type="dxa"/>
        <w:tblInd w:w="-830" w:type="dxa"/>
        <w:tblCellMar>
          <w:left w:w="70" w:type="dxa"/>
          <w:right w:w="70" w:type="dxa"/>
        </w:tblCellMar>
        <w:tblLook w:val="04A0" w:firstRow="1" w:lastRow="0" w:firstColumn="1" w:lastColumn="0" w:noHBand="0" w:noVBand="1"/>
      </w:tblPr>
      <w:tblGrid>
        <w:gridCol w:w="2118"/>
        <w:gridCol w:w="1318"/>
        <w:gridCol w:w="1341"/>
        <w:gridCol w:w="1554"/>
        <w:gridCol w:w="1447"/>
        <w:gridCol w:w="1247"/>
        <w:gridCol w:w="1607"/>
        <w:gridCol w:w="1247"/>
        <w:gridCol w:w="1132"/>
        <w:gridCol w:w="1247"/>
        <w:gridCol w:w="1247"/>
      </w:tblGrid>
      <w:tr w:rsidR="003E6891" w:rsidRPr="00666764" w:rsidTr="003E6891">
        <w:trPr>
          <w:trHeight w:val="255"/>
        </w:trPr>
        <w:tc>
          <w:tcPr>
            <w:tcW w:w="2527" w:type="dxa"/>
            <w:vMerge w:val="restart"/>
            <w:tcBorders>
              <w:top w:val="single" w:sz="4" w:space="0" w:color="auto"/>
              <w:left w:val="single" w:sz="4" w:space="0" w:color="auto"/>
              <w:bottom w:val="single" w:sz="4" w:space="0" w:color="000000"/>
              <w:right w:val="single" w:sz="4" w:space="0" w:color="auto"/>
            </w:tcBorders>
            <w:vAlign w:val="center"/>
            <w:hideMark/>
          </w:tcPr>
          <w:p w:rsidR="003E6891" w:rsidRPr="00666764" w:rsidRDefault="003E6891">
            <w:pPr>
              <w:jc w:val="center"/>
              <w:rPr>
                <w:b/>
                <w:bCs/>
                <w:sz w:val="20"/>
                <w:szCs w:val="20"/>
              </w:rPr>
            </w:pPr>
            <w:r>
              <w:rPr>
                <w:b/>
                <w:bCs/>
                <w:sz w:val="20"/>
                <w:szCs w:val="20"/>
              </w:rPr>
              <w:t>GOI MAILAKO HEZIKETA ZIKLOAK</w:t>
            </w:r>
          </w:p>
        </w:tc>
        <w:tc>
          <w:tcPr>
            <w:tcW w:w="981" w:type="dxa"/>
            <w:vMerge w:val="restart"/>
            <w:tcBorders>
              <w:top w:val="single" w:sz="4" w:space="0" w:color="auto"/>
              <w:left w:val="single" w:sz="4" w:space="0" w:color="auto"/>
              <w:bottom w:val="single" w:sz="4" w:space="0" w:color="000000"/>
              <w:right w:val="single" w:sz="4" w:space="0" w:color="auto"/>
            </w:tcBorders>
            <w:vAlign w:val="center"/>
            <w:hideMark/>
          </w:tcPr>
          <w:p w:rsidR="003E6891" w:rsidRPr="00666764" w:rsidRDefault="003E6891">
            <w:pPr>
              <w:jc w:val="center"/>
              <w:rPr>
                <w:b/>
                <w:bCs/>
                <w:sz w:val="20"/>
                <w:szCs w:val="20"/>
              </w:rPr>
            </w:pPr>
            <w:r>
              <w:rPr>
                <w:b/>
                <w:bCs/>
                <w:sz w:val="20"/>
                <w:szCs w:val="20"/>
              </w:rPr>
              <w:t>IKASMAILA</w:t>
            </w:r>
          </w:p>
        </w:tc>
        <w:tc>
          <w:tcPr>
            <w:tcW w:w="2788" w:type="dxa"/>
            <w:gridSpan w:val="2"/>
            <w:tcBorders>
              <w:top w:val="single" w:sz="4" w:space="0" w:color="auto"/>
              <w:left w:val="nil"/>
              <w:bottom w:val="single" w:sz="4" w:space="0" w:color="auto"/>
              <w:right w:val="single" w:sz="4" w:space="0" w:color="000000"/>
            </w:tcBorders>
            <w:vAlign w:val="center"/>
            <w:hideMark/>
          </w:tcPr>
          <w:p w:rsidR="003E6891" w:rsidRPr="00666764" w:rsidRDefault="003E6891">
            <w:pPr>
              <w:jc w:val="center"/>
              <w:rPr>
                <w:b/>
                <w:bCs/>
                <w:sz w:val="20"/>
                <w:szCs w:val="20"/>
              </w:rPr>
            </w:pPr>
            <w:r>
              <w:rPr>
                <w:b/>
                <w:bCs/>
                <w:sz w:val="20"/>
                <w:szCs w:val="20"/>
              </w:rPr>
              <w:t>IRAKASLE RATIOA</w:t>
            </w:r>
          </w:p>
        </w:tc>
        <w:tc>
          <w:tcPr>
            <w:tcW w:w="1447" w:type="dxa"/>
            <w:vMerge w:val="restart"/>
            <w:tcBorders>
              <w:top w:val="single" w:sz="4" w:space="0" w:color="auto"/>
              <w:left w:val="single" w:sz="4" w:space="0" w:color="auto"/>
              <w:bottom w:val="single" w:sz="4" w:space="0" w:color="000000"/>
              <w:right w:val="single" w:sz="4" w:space="0" w:color="auto"/>
            </w:tcBorders>
            <w:vAlign w:val="center"/>
            <w:hideMark/>
          </w:tcPr>
          <w:p w:rsidR="003E6891" w:rsidRPr="00666764" w:rsidRDefault="003E6891">
            <w:pPr>
              <w:jc w:val="center"/>
              <w:rPr>
                <w:b/>
                <w:bCs/>
                <w:sz w:val="20"/>
                <w:szCs w:val="20"/>
              </w:rPr>
            </w:pPr>
            <w:r>
              <w:rPr>
                <w:b/>
                <w:bCs/>
                <w:sz w:val="20"/>
                <w:szCs w:val="20"/>
              </w:rPr>
              <w:t>LANGILEEN SOLDATAK</w:t>
            </w:r>
          </w:p>
        </w:tc>
        <w:tc>
          <w:tcPr>
            <w:tcW w:w="1247" w:type="dxa"/>
            <w:vMerge w:val="restart"/>
            <w:tcBorders>
              <w:top w:val="single" w:sz="4" w:space="0" w:color="auto"/>
              <w:left w:val="single" w:sz="4" w:space="0" w:color="auto"/>
              <w:bottom w:val="single" w:sz="4" w:space="0" w:color="000000"/>
              <w:right w:val="single" w:sz="4" w:space="0" w:color="auto"/>
            </w:tcBorders>
            <w:vAlign w:val="center"/>
            <w:hideMark/>
          </w:tcPr>
          <w:p w:rsidR="003E6891" w:rsidRPr="00666764" w:rsidRDefault="003E6891">
            <w:pPr>
              <w:jc w:val="center"/>
              <w:rPr>
                <w:b/>
                <w:bCs/>
                <w:sz w:val="20"/>
                <w:szCs w:val="20"/>
              </w:rPr>
            </w:pPr>
            <w:r>
              <w:rPr>
                <w:b/>
                <w:bCs/>
                <w:sz w:val="20"/>
                <w:szCs w:val="20"/>
              </w:rPr>
              <w:t>MODULUA (%)</w:t>
            </w:r>
          </w:p>
        </w:tc>
        <w:tc>
          <w:tcPr>
            <w:tcW w:w="1541" w:type="dxa"/>
            <w:vMerge w:val="restart"/>
            <w:tcBorders>
              <w:top w:val="single" w:sz="4" w:space="0" w:color="auto"/>
              <w:left w:val="single" w:sz="4" w:space="0" w:color="auto"/>
              <w:bottom w:val="single" w:sz="4" w:space="0" w:color="000000"/>
              <w:right w:val="single" w:sz="4" w:space="0" w:color="auto"/>
            </w:tcBorders>
            <w:vAlign w:val="center"/>
            <w:hideMark/>
          </w:tcPr>
          <w:p w:rsidR="003E6891" w:rsidRPr="00666764" w:rsidRDefault="003E6891">
            <w:pPr>
              <w:jc w:val="center"/>
              <w:rPr>
                <w:b/>
                <w:bCs/>
                <w:sz w:val="20"/>
                <w:szCs w:val="20"/>
              </w:rPr>
            </w:pPr>
            <w:r>
              <w:rPr>
                <w:b/>
                <w:bCs/>
                <w:sz w:val="20"/>
                <w:szCs w:val="20"/>
              </w:rPr>
              <w:t>GASTU ALDAKORRAK</w:t>
            </w:r>
          </w:p>
        </w:tc>
        <w:tc>
          <w:tcPr>
            <w:tcW w:w="1247" w:type="dxa"/>
            <w:vMerge w:val="restart"/>
            <w:tcBorders>
              <w:top w:val="single" w:sz="4" w:space="0" w:color="auto"/>
              <w:left w:val="single" w:sz="4" w:space="0" w:color="auto"/>
              <w:bottom w:val="single" w:sz="4" w:space="0" w:color="000000"/>
              <w:right w:val="single" w:sz="4" w:space="0" w:color="auto"/>
            </w:tcBorders>
            <w:vAlign w:val="center"/>
            <w:hideMark/>
          </w:tcPr>
          <w:p w:rsidR="003E6891" w:rsidRPr="00666764" w:rsidRDefault="003E6891">
            <w:pPr>
              <w:jc w:val="center"/>
              <w:rPr>
                <w:b/>
                <w:bCs/>
                <w:sz w:val="20"/>
                <w:szCs w:val="20"/>
              </w:rPr>
            </w:pPr>
            <w:r>
              <w:rPr>
                <w:b/>
                <w:bCs/>
                <w:sz w:val="20"/>
                <w:szCs w:val="20"/>
              </w:rPr>
              <w:t>MODULUA (%)</w:t>
            </w:r>
          </w:p>
        </w:tc>
        <w:tc>
          <w:tcPr>
            <w:tcW w:w="1132" w:type="dxa"/>
            <w:vMerge w:val="restart"/>
            <w:tcBorders>
              <w:top w:val="single" w:sz="4" w:space="0" w:color="auto"/>
              <w:left w:val="single" w:sz="4" w:space="0" w:color="auto"/>
              <w:bottom w:val="single" w:sz="4" w:space="0" w:color="000000"/>
              <w:right w:val="single" w:sz="4" w:space="0" w:color="auto"/>
            </w:tcBorders>
            <w:vAlign w:val="center"/>
            <w:hideMark/>
          </w:tcPr>
          <w:p w:rsidR="003E6891" w:rsidRPr="00666764" w:rsidRDefault="003E6891">
            <w:pPr>
              <w:jc w:val="center"/>
              <w:rPr>
                <w:b/>
                <w:bCs/>
                <w:sz w:val="20"/>
                <w:szCs w:val="20"/>
              </w:rPr>
            </w:pPr>
            <w:r>
              <w:rPr>
                <w:b/>
                <w:bCs/>
                <w:sz w:val="20"/>
                <w:szCs w:val="20"/>
              </w:rPr>
              <w:t>BESTE GASTU BATZUK</w:t>
            </w:r>
          </w:p>
        </w:tc>
        <w:tc>
          <w:tcPr>
            <w:tcW w:w="1247" w:type="dxa"/>
            <w:vMerge w:val="restart"/>
            <w:tcBorders>
              <w:top w:val="single" w:sz="4" w:space="0" w:color="auto"/>
              <w:left w:val="single" w:sz="4" w:space="0" w:color="auto"/>
              <w:bottom w:val="single" w:sz="4" w:space="0" w:color="000000"/>
              <w:right w:val="single" w:sz="4" w:space="0" w:color="auto"/>
            </w:tcBorders>
            <w:vAlign w:val="center"/>
            <w:hideMark/>
          </w:tcPr>
          <w:p w:rsidR="003E6891" w:rsidRPr="00666764" w:rsidRDefault="003E6891">
            <w:pPr>
              <w:jc w:val="center"/>
              <w:rPr>
                <w:b/>
                <w:bCs/>
                <w:sz w:val="20"/>
                <w:szCs w:val="20"/>
              </w:rPr>
            </w:pPr>
            <w:r>
              <w:rPr>
                <w:b/>
                <w:bCs/>
                <w:sz w:val="20"/>
                <w:szCs w:val="20"/>
              </w:rPr>
              <w:t>MODULUA (%)</w:t>
            </w:r>
          </w:p>
        </w:tc>
        <w:tc>
          <w:tcPr>
            <w:tcW w:w="1247" w:type="dxa"/>
            <w:vMerge w:val="restart"/>
            <w:tcBorders>
              <w:top w:val="single" w:sz="4" w:space="0" w:color="auto"/>
              <w:left w:val="single" w:sz="4" w:space="0" w:color="auto"/>
              <w:bottom w:val="single" w:sz="4" w:space="0" w:color="000000"/>
              <w:right w:val="single" w:sz="4" w:space="0" w:color="auto"/>
            </w:tcBorders>
            <w:vAlign w:val="center"/>
            <w:hideMark/>
          </w:tcPr>
          <w:p w:rsidR="003E6891" w:rsidRPr="00666764" w:rsidRDefault="003E6891">
            <w:pPr>
              <w:jc w:val="center"/>
              <w:rPr>
                <w:b/>
                <w:bCs/>
                <w:sz w:val="20"/>
                <w:szCs w:val="20"/>
              </w:rPr>
            </w:pPr>
            <w:r>
              <w:rPr>
                <w:b/>
                <w:bCs/>
                <w:sz w:val="20"/>
                <w:szCs w:val="20"/>
              </w:rPr>
              <w:t>MODULUA, GUZTIRA</w:t>
            </w:r>
          </w:p>
        </w:tc>
      </w:tr>
      <w:tr w:rsidR="003E6891" w:rsidRPr="00666764" w:rsidTr="003E6891">
        <w:trPr>
          <w:trHeight w:val="25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E6891" w:rsidRPr="00666764" w:rsidRDefault="003E6891">
            <w:pPr>
              <w:rPr>
                <w:b/>
                <w:bCs/>
                <w:sz w:val="20"/>
                <w:szCs w:val="20"/>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6891" w:rsidRPr="00666764" w:rsidRDefault="003E6891">
            <w:pPr>
              <w:rPr>
                <w:b/>
                <w:bCs/>
                <w:sz w:val="20"/>
                <w:szCs w:val="20"/>
                <w:lang w:val="es-ES_tradnl"/>
              </w:rPr>
            </w:pPr>
          </w:p>
        </w:tc>
        <w:tc>
          <w:tcPr>
            <w:tcW w:w="1234" w:type="dxa"/>
            <w:tcBorders>
              <w:top w:val="nil"/>
              <w:left w:val="nil"/>
              <w:bottom w:val="single" w:sz="4" w:space="0" w:color="auto"/>
              <w:right w:val="single" w:sz="4" w:space="0" w:color="auto"/>
            </w:tcBorders>
            <w:noWrap/>
            <w:vAlign w:val="center"/>
            <w:hideMark/>
          </w:tcPr>
          <w:p w:rsidR="003E6891" w:rsidRPr="00666764" w:rsidRDefault="003E6891">
            <w:pPr>
              <w:jc w:val="center"/>
              <w:rPr>
                <w:b/>
                <w:bCs/>
                <w:sz w:val="20"/>
                <w:szCs w:val="20"/>
              </w:rPr>
            </w:pPr>
            <w:r>
              <w:rPr>
                <w:b/>
                <w:bCs/>
                <w:sz w:val="20"/>
                <w:szCs w:val="20"/>
              </w:rPr>
              <w:t>TITULARRA</w:t>
            </w:r>
          </w:p>
        </w:tc>
        <w:tc>
          <w:tcPr>
            <w:tcW w:w="1554" w:type="dxa"/>
            <w:tcBorders>
              <w:top w:val="nil"/>
              <w:left w:val="nil"/>
              <w:bottom w:val="single" w:sz="4" w:space="0" w:color="auto"/>
              <w:right w:val="nil"/>
            </w:tcBorders>
            <w:noWrap/>
            <w:vAlign w:val="center"/>
            <w:hideMark/>
          </w:tcPr>
          <w:p w:rsidR="003E6891" w:rsidRPr="00666764" w:rsidRDefault="003E6891">
            <w:pPr>
              <w:jc w:val="center"/>
              <w:rPr>
                <w:b/>
                <w:bCs/>
                <w:sz w:val="20"/>
                <w:szCs w:val="20"/>
              </w:rPr>
            </w:pPr>
            <w:r>
              <w:rPr>
                <w:b/>
                <w:bCs/>
                <w:sz w:val="20"/>
                <w:szCs w:val="20"/>
              </w:rPr>
              <w:t>AGREGATUA</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6891" w:rsidRPr="00666764" w:rsidRDefault="003E6891">
            <w:pPr>
              <w:rPr>
                <w:b/>
                <w:bCs/>
                <w:sz w:val="20"/>
                <w:szCs w:val="20"/>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6891" w:rsidRPr="00666764" w:rsidRDefault="003E6891">
            <w:pPr>
              <w:rPr>
                <w:b/>
                <w:bCs/>
                <w:sz w:val="20"/>
                <w:szCs w:val="20"/>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6891" w:rsidRPr="00666764" w:rsidRDefault="003E6891">
            <w:pPr>
              <w:rPr>
                <w:b/>
                <w:bCs/>
                <w:sz w:val="20"/>
                <w:szCs w:val="20"/>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6891" w:rsidRPr="00666764" w:rsidRDefault="003E6891">
            <w:pPr>
              <w:rPr>
                <w:b/>
                <w:bCs/>
                <w:sz w:val="20"/>
                <w:szCs w:val="20"/>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6891" w:rsidRPr="00666764" w:rsidRDefault="003E6891">
            <w:pPr>
              <w:rPr>
                <w:b/>
                <w:bCs/>
                <w:sz w:val="20"/>
                <w:szCs w:val="20"/>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6891" w:rsidRPr="00666764" w:rsidRDefault="003E6891">
            <w:pPr>
              <w:rPr>
                <w:b/>
                <w:bCs/>
                <w:sz w:val="20"/>
                <w:szCs w:val="20"/>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6891" w:rsidRPr="00666764" w:rsidRDefault="003E6891">
            <w:pPr>
              <w:rPr>
                <w:b/>
                <w:bCs/>
                <w:sz w:val="20"/>
                <w:szCs w:val="20"/>
                <w:lang w:val="es-ES_tradnl"/>
              </w:rPr>
            </w:pPr>
          </w:p>
        </w:tc>
      </w:tr>
      <w:tr w:rsidR="003E6891" w:rsidRPr="00666764" w:rsidTr="003E6891">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3E6891" w:rsidRPr="00666764" w:rsidRDefault="003E6891">
            <w:pPr>
              <w:rPr>
                <w:sz w:val="20"/>
                <w:szCs w:val="20"/>
              </w:rPr>
            </w:pPr>
            <w:r>
              <w:rPr>
                <w:sz w:val="20"/>
                <w:szCs w:val="20"/>
              </w:rPr>
              <w:t>1.–NAZIOARTEKO MERKATARITZA GMHZ</w:t>
            </w:r>
          </w:p>
        </w:tc>
        <w:tc>
          <w:tcPr>
            <w:tcW w:w="981"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Lehena</w:t>
            </w:r>
          </w:p>
        </w:tc>
        <w:tc>
          <w:tcPr>
            <w:tcW w:w="123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1,174</w:t>
            </w:r>
          </w:p>
        </w:tc>
        <w:tc>
          <w:tcPr>
            <w:tcW w:w="155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0,348</w:t>
            </w:r>
          </w:p>
        </w:tc>
        <w:tc>
          <w:tcPr>
            <w:tcW w:w="14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62.082,77</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69,67</w:t>
            </w:r>
          </w:p>
        </w:tc>
        <w:tc>
          <w:tcPr>
            <w:tcW w:w="1541"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9.541,69</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10,71</w:t>
            </w:r>
          </w:p>
        </w:tc>
        <w:tc>
          <w:tcPr>
            <w:tcW w:w="1132"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17.486,29</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19,62</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89.110,75</w:t>
            </w:r>
          </w:p>
        </w:tc>
      </w:tr>
      <w:tr w:rsidR="003E6891" w:rsidRPr="00666764" w:rsidTr="003E6891">
        <w:trPr>
          <w:trHeight w:val="255"/>
        </w:trPr>
        <w:tc>
          <w:tcPr>
            <w:tcW w:w="0" w:type="auto"/>
            <w:vMerge/>
            <w:tcBorders>
              <w:top w:val="nil"/>
              <w:left w:val="single" w:sz="4" w:space="0" w:color="auto"/>
              <w:bottom w:val="single" w:sz="4" w:space="0" w:color="000000"/>
              <w:right w:val="single" w:sz="4" w:space="0" w:color="auto"/>
            </w:tcBorders>
            <w:vAlign w:val="center"/>
            <w:hideMark/>
          </w:tcPr>
          <w:p w:rsidR="003E6891" w:rsidRPr="00666764" w:rsidRDefault="003E6891">
            <w:pPr>
              <w:rPr>
                <w:sz w:val="20"/>
                <w:szCs w:val="20"/>
                <w:lang w:val="es-ES_tradnl"/>
              </w:rPr>
            </w:pPr>
          </w:p>
        </w:tc>
        <w:tc>
          <w:tcPr>
            <w:tcW w:w="981"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2º</w:t>
            </w:r>
          </w:p>
        </w:tc>
        <w:tc>
          <w:tcPr>
            <w:tcW w:w="123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1,217</w:t>
            </w:r>
          </w:p>
        </w:tc>
        <w:tc>
          <w:tcPr>
            <w:tcW w:w="155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0,217</w:t>
            </w:r>
          </w:p>
        </w:tc>
        <w:tc>
          <w:tcPr>
            <w:tcW w:w="14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58.926,40</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68,97</w:t>
            </w:r>
          </w:p>
        </w:tc>
        <w:tc>
          <w:tcPr>
            <w:tcW w:w="1541"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9.029,60</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10,57</w:t>
            </w:r>
          </w:p>
        </w:tc>
        <w:tc>
          <w:tcPr>
            <w:tcW w:w="1132"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17.486,29</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20,47</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85.442,29</w:t>
            </w:r>
          </w:p>
        </w:tc>
      </w:tr>
      <w:tr w:rsidR="003E6891" w:rsidRPr="00666764" w:rsidTr="003E6891">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3E6891" w:rsidRPr="00666764" w:rsidRDefault="003E6891">
            <w:pPr>
              <w:rPr>
                <w:sz w:val="20"/>
                <w:szCs w:val="20"/>
              </w:rPr>
            </w:pPr>
            <w:r>
              <w:rPr>
                <w:sz w:val="20"/>
                <w:szCs w:val="20"/>
              </w:rPr>
              <w:t>2.–ELEKTRONIKAKO MANTENTZE-LANAK GMHZ</w:t>
            </w:r>
          </w:p>
        </w:tc>
        <w:tc>
          <w:tcPr>
            <w:tcW w:w="981"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Lehena</w:t>
            </w:r>
          </w:p>
        </w:tc>
        <w:tc>
          <w:tcPr>
            <w:tcW w:w="123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1,435</w:t>
            </w:r>
          </w:p>
        </w:tc>
        <w:tc>
          <w:tcPr>
            <w:tcW w:w="155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0,261</w:t>
            </w:r>
          </w:p>
        </w:tc>
        <w:tc>
          <w:tcPr>
            <w:tcW w:w="14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69.626,46</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66,43</w:t>
            </w:r>
          </w:p>
        </w:tc>
        <w:tc>
          <w:tcPr>
            <w:tcW w:w="1541"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10.866,00</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10,37</w:t>
            </w:r>
          </w:p>
        </w:tc>
        <w:tc>
          <w:tcPr>
            <w:tcW w:w="1132"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24.325,15</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23,21</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104.817,61</w:t>
            </w:r>
          </w:p>
        </w:tc>
      </w:tr>
      <w:tr w:rsidR="003E6891" w:rsidRPr="00666764" w:rsidTr="003E6891">
        <w:trPr>
          <w:trHeight w:val="255"/>
        </w:trPr>
        <w:tc>
          <w:tcPr>
            <w:tcW w:w="0" w:type="auto"/>
            <w:vMerge/>
            <w:tcBorders>
              <w:top w:val="nil"/>
              <w:left w:val="single" w:sz="4" w:space="0" w:color="auto"/>
              <w:bottom w:val="single" w:sz="4" w:space="0" w:color="000000"/>
              <w:right w:val="single" w:sz="4" w:space="0" w:color="auto"/>
            </w:tcBorders>
            <w:vAlign w:val="center"/>
            <w:hideMark/>
          </w:tcPr>
          <w:p w:rsidR="003E6891" w:rsidRPr="00666764" w:rsidRDefault="003E6891">
            <w:pPr>
              <w:rPr>
                <w:sz w:val="20"/>
                <w:szCs w:val="20"/>
                <w:lang w:val="es-ES_tradnl"/>
              </w:rPr>
            </w:pPr>
          </w:p>
        </w:tc>
        <w:tc>
          <w:tcPr>
            <w:tcW w:w="981"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2º</w:t>
            </w:r>
          </w:p>
        </w:tc>
        <w:tc>
          <w:tcPr>
            <w:tcW w:w="123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0,870</w:t>
            </w:r>
          </w:p>
        </w:tc>
        <w:tc>
          <w:tcPr>
            <w:tcW w:w="155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0,717</w:t>
            </w:r>
          </w:p>
        </w:tc>
        <w:tc>
          <w:tcPr>
            <w:tcW w:w="14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63.488,79</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64,97</w:t>
            </w:r>
          </w:p>
        </w:tc>
        <w:tc>
          <w:tcPr>
            <w:tcW w:w="1541"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9.908,15</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10,14</w:t>
            </w:r>
          </w:p>
        </w:tc>
        <w:tc>
          <w:tcPr>
            <w:tcW w:w="1132"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24.325,15</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24,89</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97.722,09</w:t>
            </w:r>
          </w:p>
        </w:tc>
      </w:tr>
      <w:tr w:rsidR="003E6891" w:rsidRPr="00666764" w:rsidTr="003E6891">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3E6891" w:rsidRPr="00666764" w:rsidRDefault="00714A80">
            <w:pPr>
              <w:rPr>
                <w:sz w:val="20"/>
                <w:szCs w:val="20"/>
              </w:rPr>
            </w:pPr>
            <w:r>
              <w:rPr>
                <w:sz w:val="20"/>
                <w:szCs w:val="20"/>
              </w:rPr>
              <w:t>3.GMHZ ADMINISTRAZIOA ETA FINANTZAK</w:t>
            </w:r>
          </w:p>
        </w:tc>
        <w:tc>
          <w:tcPr>
            <w:tcW w:w="981"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Lehena</w:t>
            </w:r>
          </w:p>
        </w:tc>
        <w:tc>
          <w:tcPr>
            <w:tcW w:w="123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0,870</w:t>
            </w:r>
          </w:p>
        </w:tc>
        <w:tc>
          <w:tcPr>
            <w:tcW w:w="155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0,522</w:t>
            </w:r>
          </w:p>
        </w:tc>
        <w:tc>
          <w:tcPr>
            <w:tcW w:w="14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56.040,47</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67,31</w:t>
            </w:r>
          </w:p>
        </w:tc>
        <w:tc>
          <w:tcPr>
            <w:tcW w:w="1541"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8.755,75</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10,52</w:t>
            </w:r>
          </w:p>
        </w:tc>
        <w:tc>
          <w:tcPr>
            <w:tcW w:w="1132"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18.460,91</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22,17</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83.257,13</w:t>
            </w:r>
          </w:p>
        </w:tc>
      </w:tr>
      <w:tr w:rsidR="003E6891" w:rsidRPr="00666764" w:rsidTr="003E6891">
        <w:trPr>
          <w:trHeight w:val="255"/>
        </w:trPr>
        <w:tc>
          <w:tcPr>
            <w:tcW w:w="0" w:type="auto"/>
            <w:vMerge/>
            <w:tcBorders>
              <w:top w:val="nil"/>
              <w:left w:val="single" w:sz="4" w:space="0" w:color="auto"/>
              <w:bottom w:val="single" w:sz="4" w:space="0" w:color="000000"/>
              <w:right w:val="single" w:sz="4" w:space="0" w:color="auto"/>
            </w:tcBorders>
            <w:vAlign w:val="center"/>
            <w:hideMark/>
          </w:tcPr>
          <w:p w:rsidR="003E6891" w:rsidRPr="00666764" w:rsidRDefault="003E6891">
            <w:pPr>
              <w:rPr>
                <w:sz w:val="20"/>
                <w:szCs w:val="20"/>
                <w:lang w:val="es-ES_tradnl"/>
              </w:rPr>
            </w:pPr>
          </w:p>
        </w:tc>
        <w:tc>
          <w:tcPr>
            <w:tcW w:w="981"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2º</w:t>
            </w:r>
          </w:p>
        </w:tc>
        <w:tc>
          <w:tcPr>
            <w:tcW w:w="123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1,348</w:t>
            </w:r>
          </w:p>
        </w:tc>
        <w:tc>
          <w:tcPr>
            <w:tcW w:w="155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0,130</w:t>
            </w:r>
          </w:p>
        </w:tc>
        <w:tc>
          <w:tcPr>
            <w:tcW w:w="14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61.043,46</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68,74</w:t>
            </w:r>
          </w:p>
        </w:tc>
        <w:tc>
          <w:tcPr>
            <w:tcW w:w="1541"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9.293,02</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%10,47</w:t>
            </w:r>
          </w:p>
        </w:tc>
        <w:tc>
          <w:tcPr>
            <w:tcW w:w="1132"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18.460,91</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20,79</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88.797,39</w:t>
            </w:r>
          </w:p>
        </w:tc>
      </w:tr>
      <w:tr w:rsidR="003E6891" w:rsidRPr="00666764" w:rsidTr="003E6891">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3E6891" w:rsidRPr="00666764" w:rsidRDefault="003E6891">
            <w:pPr>
              <w:rPr>
                <w:sz w:val="20"/>
                <w:szCs w:val="20"/>
              </w:rPr>
            </w:pPr>
            <w:r>
              <w:rPr>
                <w:sz w:val="20"/>
                <w:szCs w:val="20"/>
              </w:rPr>
              <w:t>4.–HAUR HEZKUNTZA GMHZ (LOE)</w:t>
            </w:r>
          </w:p>
        </w:tc>
        <w:tc>
          <w:tcPr>
            <w:tcW w:w="981"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Lehena</w:t>
            </w:r>
          </w:p>
        </w:tc>
        <w:tc>
          <w:tcPr>
            <w:tcW w:w="123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0,913</w:t>
            </w:r>
          </w:p>
        </w:tc>
        <w:tc>
          <w:tcPr>
            <w:tcW w:w="155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0,739</w:t>
            </w:r>
          </w:p>
        </w:tc>
        <w:tc>
          <w:tcPr>
            <w:tcW w:w="14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66.125,11</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70,49</w:t>
            </w:r>
          </w:p>
        </w:tc>
        <w:tc>
          <w:tcPr>
            <w:tcW w:w="1541"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10.143,79</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10,81</w:t>
            </w:r>
          </w:p>
        </w:tc>
        <w:tc>
          <w:tcPr>
            <w:tcW w:w="1132"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17.541,98</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18,70</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93.810,88</w:t>
            </w:r>
          </w:p>
        </w:tc>
      </w:tr>
      <w:tr w:rsidR="003E6891" w:rsidRPr="00666764" w:rsidTr="003E6891">
        <w:trPr>
          <w:trHeight w:val="255"/>
        </w:trPr>
        <w:tc>
          <w:tcPr>
            <w:tcW w:w="0" w:type="auto"/>
            <w:vMerge/>
            <w:tcBorders>
              <w:top w:val="nil"/>
              <w:left w:val="single" w:sz="4" w:space="0" w:color="auto"/>
              <w:bottom w:val="single" w:sz="4" w:space="0" w:color="000000"/>
              <w:right w:val="single" w:sz="4" w:space="0" w:color="auto"/>
            </w:tcBorders>
            <w:vAlign w:val="center"/>
            <w:hideMark/>
          </w:tcPr>
          <w:p w:rsidR="003E6891" w:rsidRPr="00666764" w:rsidRDefault="003E6891">
            <w:pPr>
              <w:rPr>
                <w:sz w:val="20"/>
                <w:szCs w:val="20"/>
                <w:lang w:val="es-ES_tradnl"/>
              </w:rPr>
            </w:pPr>
          </w:p>
        </w:tc>
        <w:tc>
          <w:tcPr>
            <w:tcW w:w="981"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2º</w:t>
            </w:r>
          </w:p>
        </w:tc>
        <w:tc>
          <w:tcPr>
            <w:tcW w:w="123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1,087</w:t>
            </w:r>
          </w:p>
        </w:tc>
        <w:tc>
          <w:tcPr>
            <w:tcW w:w="155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0,261</w:t>
            </w:r>
          </w:p>
        </w:tc>
        <w:tc>
          <w:tcPr>
            <w:tcW w:w="14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55.154,88</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68,03</w:t>
            </w:r>
          </w:p>
        </w:tc>
        <w:tc>
          <w:tcPr>
            <w:tcW w:w="1541"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8.382,03</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10,34</w:t>
            </w:r>
          </w:p>
        </w:tc>
        <w:tc>
          <w:tcPr>
            <w:tcW w:w="1132"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17.541,98</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21,64</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81.078,89</w:t>
            </w:r>
          </w:p>
        </w:tc>
      </w:tr>
      <w:tr w:rsidR="003E6891" w:rsidRPr="00666764" w:rsidTr="003E6891">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3E6891" w:rsidRPr="00666764" w:rsidRDefault="003E6891">
            <w:pPr>
              <w:rPr>
                <w:sz w:val="20"/>
                <w:szCs w:val="20"/>
              </w:rPr>
            </w:pPr>
            <w:r>
              <w:rPr>
                <w:sz w:val="20"/>
                <w:szCs w:val="20"/>
              </w:rPr>
              <w:t>5.–MERKATARITZAKO KUDEAKETA ETA MARKETINA GMHZ</w:t>
            </w:r>
          </w:p>
        </w:tc>
        <w:tc>
          <w:tcPr>
            <w:tcW w:w="981"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1.</w:t>
            </w:r>
          </w:p>
        </w:tc>
        <w:tc>
          <w:tcPr>
            <w:tcW w:w="123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1,043</w:t>
            </w:r>
          </w:p>
        </w:tc>
        <w:tc>
          <w:tcPr>
            <w:tcW w:w="155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0,696</w:t>
            </w:r>
          </w:p>
        </w:tc>
        <w:tc>
          <w:tcPr>
            <w:tcW w:w="14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69.896,76</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70,57</w:t>
            </w:r>
          </w:p>
        </w:tc>
        <w:tc>
          <w:tcPr>
            <w:tcW w:w="1541"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10.820,81</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10,93</w:t>
            </w:r>
          </w:p>
        </w:tc>
        <w:tc>
          <w:tcPr>
            <w:tcW w:w="1132"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18.321,66</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18,50</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99.039,23</w:t>
            </w:r>
          </w:p>
        </w:tc>
      </w:tr>
      <w:tr w:rsidR="003E6891" w:rsidRPr="00666764" w:rsidTr="003E6891">
        <w:trPr>
          <w:trHeight w:val="255"/>
        </w:trPr>
        <w:tc>
          <w:tcPr>
            <w:tcW w:w="0" w:type="auto"/>
            <w:vMerge/>
            <w:tcBorders>
              <w:top w:val="nil"/>
              <w:left w:val="single" w:sz="4" w:space="0" w:color="auto"/>
              <w:bottom w:val="single" w:sz="4" w:space="0" w:color="000000"/>
              <w:right w:val="single" w:sz="4" w:space="0" w:color="auto"/>
            </w:tcBorders>
            <w:vAlign w:val="center"/>
            <w:hideMark/>
          </w:tcPr>
          <w:p w:rsidR="003E6891" w:rsidRPr="00666764" w:rsidRDefault="003E6891">
            <w:pPr>
              <w:rPr>
                <w:sz w:val="20"/>
                <w:szCs w:val="20"/>
                <w:lang w:val="es-ES_tradnl"/>
              </w:rPr>
            </w:pPr>
          </w:p>
        </w:tc>
        <w:tc>
          <w:tcPr>
            <w:tcW w:w="981"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2º</w:t>
            </w:r>
          </w:p>
        </w:tc>
        <w:tc>
          <w:tcPr>
            <w:tcW w:w="123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0,261</w:t>
            </w:r>
          </w:p>
        </w:tc>
        <w:tc>
          <w:tcPr>
            <w:tcW w:w="155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0,000</w:t>
            </w:r>
          </w:p>
        </w:tc>
        <w:tc>
          <w:tcPr>
            <w:tcW w:w="14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10.853,76</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68,91</w:t>
            </w:r>
          </w:p>
        </w:tc>
        <w:tc>
          <w:tcPr>
            <w:tcW w:w="1541"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1.555,09</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9,87</w:t>
            </w:r>
          </w:p>
        </w:tc>
        <w:tc>
          <w:tcPr>
            <w:tcW w:w="1132"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3.341,46</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21,22</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15.750,31</w:t>
            </w:r>
          </w:p>
        </w:tc>
      </w:tr>
      <w:tr w:rsidR="003E6891" w:rsidRPr="00666764" w:rsidTr="003E6891">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3E6891" w:rsidRPr="00666764" w:rsidRDefault="003E6891">
            <w:pPr>
              <w:rPr>
                <w:sz w:val="20"/>
                <w:szCs w:val="20"/>
              </w:rPr>
            </w:pPr>
            <w:r>
              <w:rPr>
                <w:sz w:val="20"/>
                <w:szCs w:val="20"/>
              </w:rPr>
              <w:t xml:space="preserve">5.–MARKETINA ETA PUBLIZITATEA GMHZ </w:t>
            </w:r>
          </w:p>
        </w:tc>
        <w:tc>
          <w:tcPr>
            <w:tcW w:w="981"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Lehena</w:t>
            </w:r>
          </w:p>
        </w:tc>
        <w:tc>
          <w:tcPr>
            <w:tcW w:w="123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1,174</w:t>
            </w:r>
          </w:p>
        </w:tc>
        <w:tc>
          <w:tcPr>
            <w:tcW w:w="155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0,565</w:t>
            </w:r>
          </w:p>
        </w:tc>
        <w:tc>
          <w:tcPr>
            <w:tcW w:w="14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70.358,26</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70,93</w:t>
            </w:r>
          </w:p>
        </w:tc>
        <w:tc>
          <w:tcPr>
            <w:tcW w:w="1541"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10.514,89</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10,60</w:t>
            </w:r>
          </w:p>
        </w:tc>
        <w:tc>
          <w:tcPr>
            <w:tcW w:w="1132"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18.321,66</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18,47</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99.194,81</w:t>
            </w:r>
          </w:p>
        </w:tc>
      </w:tr>
      <w:tr w:rsidR="003E6891" w:rsidRPr="00666764" w:rsidTr="003E6891">
        <w:trPr>
          <w:trHeight w:val="255"/>
        </w:trPr>
        <w:tc>
          <w:tcPr>
            <w:tcW w:w="0" w:type="auto"/>
            <w:vMerge/>
            <w:tcBorders>
              <w:top w:val="nil"/>
              <w:left w:val="single" w:sz="4" w:space="0" w:color="auto"/>
              <w:bottom w:val="single" w:sz="4" w:space="0" w:color="000000"/>
              <w:right w:val="single" w:sz="4" w:space="0" w:color="auto"/>
            </w:tcBorders>
            <w:vAlign w:val="center"/>
            <w:hideMark/>
          </w:tcPr>
          <w:p w:rsidR="003E6891" w:rsidRPr="00666764" w:rsidRDefault="003E6891">
            <w:pPr>
              <w:rPr>
                <w:sz w:val="20"/>
                <w:szCs w:val="20"/>
                <w:lang w:val="es-ES_tradnl"/>
              </w:rPr>
            </w:pPr>
          </w:p>
        </w:tc>
        <w:tc>
          <w:tcPr>
            <w:tcW w:w="981"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2º</w:t>
            </w:r>
          </w:p>
        </w:tc>
        <w:tc>
          <w:tcPr>
            <w:tcW w:w="123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1,130</w:t>
            </w:r>
          </w:p>
        </w:tc>
        <w:tc>
          <w:tcPr>
            <w:tcW w:w="155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0,391</w:t>
            </w:r>
          </w:p>
        </w:tc>
        <w:tc>
          <w:tcPr>
            <w:tcW w:w="14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61.928,87</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69,17</w:t>
            </w:r>
          </w:p>
        </w:tc>
        <w:tc>
          <w:tcPr>
            <w:tcW w:w="1541"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9.279,38</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10,36</w:t>
            </w:r>
          </w:p>
        </w:tc>
        <w:tc>
          <w:tcPr>
            <w:tcW w:w="1132"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18.321,66</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20,46</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89.529,91</w:t>
            </w:r>
          </w:p>
        </w:tc>
      </w:tr>
      <w:tr w:rsidR="003E6891" w:rsidRPr="00666764" w:rsidTr="003E6891">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3E6891" w:rsidRPr="00666764" w:rsidRDefault="003E6891">
            <w:pPr>
              <w:rPr>
                <w:sz w:val="20"/>
                <w:szCs w:val="20"/>
              </w:rPr>
            </w:pPr>
            <w:r>
              <w:rPr>
                <w:sz w:val="20"/>
                <w:szCs w:val="20"/>
              </w:rPr>
              <w:t>6.–SALMENTEN ETA MERKATARITZAKO GUNEEN KUDEAKETA GMHZ (LOE)</w:t>
            </w:r>
          </w:p>
        </w:tc>
        <w:tc>
          <w:tcPr>
            <w:tcW w:w="981"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Lehena</w:t>
            </w:r>
          </w:p>
        </w:tc>
        <w:tc>
          <w:tcPr>
            <w:tcW w:w="123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1,174</w:t>
            </w:r>
          </w:p>
        </w:tc>
        <w:tc>
          <w:tcPr>
            <w:tcW w:w="155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0,566</w:t>
            </w:r>
          </w:p>
        </w:tc>
        <w:tc>
          <w:tcPr>
            <w:tcW w:w="14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70.397,00</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70,51</w:t>
            </w:r>
          </w:p>
        </w:tc>
        <w:tc>
          <w:tcPr>
            <w:tcW w:w="1541"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11.116,77</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11,14</w:t>
            </w:r>
          </w:p>
        </w:tc>
        <w:tc>
          <w:tcPr>
            <w:tcW w:w="1132"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18.321,66</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18,35</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99.835,43</w:t>
            </w:r>
          </w:p>
        </w:tc>
      </w:tr>
      <w:tr w:rsidR="003E6891" w:rsidRPr="00666764" w:rsidTr="003E6891">
        <w:trPr>
          <w:trHeight w:val="255"/>
        </w:trPr>
        <w:tc>
          <w:tcPr>
            <w:tcW w:w="0" w:type="auto"/>
            <w:vMerge/>
            <w:tcBorders>
              <w:top w:val="nil"/>
              <w:left w:val="single" w:sz="4" w:space="0" w:color="auto"/>
              <w:bottom w:val="single" w:sz="4" w:space="0" w:color="000000"/>
              <w:right w:val="single" w:sz="4" w:space="0" w:color="auto"/>
            </w:tcBorders>
            <w:vAlign w:val="center"/>
            <w:hideMark/>
          </w:tcPr>
          <w:p w:rsidR="003E6891" w:rsidRPr="00666764" w:rsidRDefault="003E6891">
            <w:pPr>
              <w:rPr>
                <w:sz w:val="20"/>
                <w:szCs w:val="20"/>
                <w:lang w:val="es-ES_tradnl"/>
              </w:rPr>
            </w:pPr>
          </w:p>
        </w:tc>
        <w:tc>
          <w:tcPr>
            <w:tcW w:w="981"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2º</w:t>
            </w:r>
          </w:p>
        </w:tc>
        <w:tc>
          <w:tcPr>
            <w:tcW w:w="123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1,131</w:t>
            </w:r>
          </w:p>
        </w:tc>
        <w:tc>
          <w:tcPr>
            <w:tcW w:w="155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0,479</w:t>
            </w:r>
          </w:p>
        </w:tc>
        <w:tc>
          <w:tcPr>
            <w:tcW w:w="14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65.295,68</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69,52</w:t>
            </w:r>
          </w:p>
        </w:tc>
        <w:tc>
          <w:tcPr>
            <w:tcW w:w="1541"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10.311,19</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10,98</w:t>
            </w:r>
          </w:p>
        </w:tc>
        <w:tc>
          <w:tcPr>
            <w:tcW w:w="1132"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18.321,66</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19,51</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93.928,53</w:t>
            </w:r>
          </w:p>
        </w:tc>
      </w:tr>
      <w:tr w:rsidR="003E6891" w:rsidRPr="00666764" w:rsidTr="003E6891">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3E6891" w:rsidRPr="00666764" w:rsidRDefault="003E6891">
            <w:pPr>
              <w:rPr>
                <w:sz w:val="20"/>
                <w:szCs w:val="20"/>
              </w:rPr>
            </w:pPr>
            <w:r>
              <w:rPr>
                <w:sz w:val="20"/>
                <w:szCs w:val="20"/>
              </w:rPr>
              <w:t>7.–SAREKO SISTEMA INFORMATIKOEN ADMINISTRAZIOA GMHZ (LOE)</w:t>
            </w:r>
          </w:p>
        </w:tc>
        <w:tc>
          <w:tcPr>
            <w:tcW w:w="981"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1.</w:t>
            </w:r>
          </w:p>
        </w:tc>
        <w:tc>
          <w:tcPr>
            <w:tcW w:w="123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1,217</w:t>
            </w:r>
          </w:p>
        </w:tc>
        <w:tc>
          <w:tcPr>
            <w:tcW w:w="155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0,652</w:t>
            </w:r>
          </w:p>
        </w:tc>
        <w:tc>
          <w:tcPr>
            <w:tcW w:w="14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75.477,65</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71,15</w:t>
            </w:r>
          </w:p>
        </w:tc>
        <w:tc>
          <w:tcPr>
            <w:tcW w:w="1541"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11.423,26</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10,77</w:t>
            </w:r>
          </w:p>
        </w:tc>
        <w:tc>
          <w:tcPr>
            <w:tcW w:w="1132"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19.184,87</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18,08</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106.085,78</w:t>
            </w:r>
          </w:p>
        </w:tc>
      </w:tr>
      <w:tr w:rsidR="003E6891" w:rsidRPr="00666764" w:rsidTr="003E6891">
        <w:trPr>
          <w:trHeight w:val="255"/>
        </w:trPr>
        <w:tc>
          <w:tcPr>
            <w:tcW w:w="0" w:type="auto"/>
            <w:vMerge/>
            <w:tcBorders>
              <w:top w:val="nil"/>
              <w:left w:val="single" w:sz="4" w:space="0" w:color="auto"/>
              <w:bottom w:val="single" w:sz="4" w:space="0" w:color="000000"/>
              <w:right w:val="single" w:sz="4" w:space="0" w:color="auto"/>
            </w:tcBorders>
            <w:vAlign w:val="center"/>
            <w:hideMark/>
          </w:tcPr>
          <w:p w:rsidR="003E6891" w:rsidRPr="00666764" w:rsidRDefault="003E6891">
            <w:pPr>
              <w:rPr>
                <w:sz w:val="20"/>
                <w:szCs w:val="20"/>
                <w:lang w:val="es-ES_tradnl"/>
              </w:rPr>
            </w:pPr>
          </w:p>
        </w:tc>
        <w:tc>
          <w:tcPr>
            <w:tcW w:w="981"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2º</w:t>
            </w:r>
          </w:p>
        </w:tc>
        <w:tc>
          <w:tcPr>
            <w:tcW w:w="123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1,304</w:t>
            </w:r>
          </w:p>
        </w:tc>
        <w:tc>
          <w:tcPr>
            <w:tcW w:w="155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0,329</w:t>
            </w:r>
          </w:p>
        </w:tc>
        <w:tc>
          <w:tcPr>
            <w:tcW w:w="14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66.785,75</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69,55</w:t>
            </w:r>
          </w:p>
        </w:tc>
        <w:tc>
          <w:tcPr>
            <w:tcW w:w="1541"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10.052,37</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%10,47</w:t>
            </w:r>
          </w:p>
        </w:tc>
        <w:tc>
          <w:tcPr>
            <w:tcW w:w="1132"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19.184,87</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19,98</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96.022,99</w:t>
            </w:r>
          </w:p>
        </w:tc>
      </w:tr>
      <w:tr w:rsidR="003E6891" w:rsidRPr="00666764" w:rsidTr="003E6891">
        <w:trPr>
          <w:trHeight w:val="255"/>
        </w:trPr>
        <w:tc>
          <w:tcPr>
            <w:tcW w:w="2527" w:type="dxa"/>
            <w:vMerge w:val="restart"/>
            <w:tcBorders>
              <w:top w:val="nil"/>
              <w:left w:val="single" w:sz="4" w:space="0" w:color="auto"/>
              <w:bottom w:val="single" w:sz="4" w:space="0" w:color="auto"/>
              <w:right w:val="single" w:sz="4" w:space="0" w:color="auto"/>
            </w:tcBorders>
            <w:vAlign w:val="center"/>
            <w:hideMark/>
          </w:tcPr>
          <w:p w:rsidR="003E6891" w:rsidRPr="00666764" w:rsidRDefault="003E6891">
            <w:pPr>
              <w:rPr>
                <w:sz w:val="20"/>
                <w:szCs w:val="20"/>
              </w:rPr>
            </w:pPr>
            <w:r>
              <w:rPr>
                <w:sz w:val="20"/>
                <w:szCs w:val="20"/>
              </w:rPr>
              <w:t>8.–AUTOMATIZAZIOA ETA ROBOTIKA INDUSTRIALA GMHZ</w:t>
            </w:r>
          </w:p>
        </w:tc>
        <w:tc>
          <w:tcPr>
            <w:tcW w:w="981"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Lehena</w:t>
            </w:r>
          </w:p>
        </w:tc>
        <w:tc>
          <w:tcPr>
            <w:tcW w:w="123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0,870</w:t>
            </w:r>
          </w:p>
        </w:tc>
        <w:tc>
          <w:tcPr>
            <w:tcW w:w="155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1,043</w:t>
            </w:r>
          </w:p>
        </w:tc>
        <w:tc>
          <w:tcPr>
            <w:tcW w:w="14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75.902,24</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69,35</w:t>
            </w:r>
          </w:p>
        </w:tc>
        <w:tc>
          <w:tcPr>
            <w:tcW w:w="1541"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11.845,41</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10,82</w:t>
            </w:r>
          </w:p>
        </w:tc>
        <w:tc>
          <w:tcPr>
            <w:tcW w:w="1132"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21.707,69</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19,83</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109.455,34</w:t>
            </w:r>
          </w:p>
        </w:tc>
      </w:tr>
      <w:tr w:rsidR="003E6891" w:rsidRPr="00666764" w:rsidTr="003E6891">
        <w:trPr>
          <w:trHeight w:val="255"/>
        </w:trPr>
        <w:tc>
          <w:tcPr>
            <w:tcW w:w="0" w:type="auto"/>
            <w:vMerge/>
            <w:tcBorders>
              <w:top w:val="nil"/>
              <w:left w:val="single" w:sz="4" w:space="0" w:color="auto"/>
              <w:bottom w:val="single" w:sz="4" w:space="0" w:color="auto"/>
              <w:right w:val="single" w:sz="4" w:space="0" w:color="auto"/>
            </w:tcBorders>
            <w:vAlign w:val="center"/>
            <w:hideMark/>
          </w:tcPr>
          <w:p w:rsidR="003E6891" w:rsidRPr="00666764" w:rsidRDefault="003E6891">
            <w:pPr>
              <w:rPr>
                <w:sz w:val="20"/>
                <w:szCs w:val="20"/>
                <w:lang w:val="es-ES_tradnl"/>
              </w:rPr>
            </w:pPr>
          </w:p>
        </w:tc>
        <w:tc>
          <w:tcPr>
            <w:tcW w:w="981"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2º</w:t>
            </w:r>
          </w:p>
        </w:tc>
        <w:tc>
          <w:tcPr>
            <w:tcW w:w="123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1,348</w:t>
            </w:r>
          </w:p>
        </w:tc>
        <w:tc>
          <w:tcPr>
            <w:tcW w:w="155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0,261</w:t>
            </w:r>
          </w:p>
        </w:tc>
        <w:tc>
          <w:tcPr>
            <w:tcW w:w="14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66.008,54</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67,37</w:t>
            </w:r>
          </w:p>
        </w:tc>
        <w:tc>
          <w:tcPr>
            <w:tcW w:w="1541"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10.301,38</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10,51</w:t>
            </w:r>
          </w:p>
        </w:tc>
        <w:tc>
          <w:tcPr>
            <w:tcW w:w="1132"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21.667,49</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22,11</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97.977,41</w:t>
            </w:r>
          </w:p>
        </w:tc>
      </w:tr>
      <w:tr w:rsidR="00666764" w:rsidRPr="00666764" w:rsidTr="003E6891">
        <w:trPr>
          <w:trHeight w:val="255"/>
        </w:trPr>
        <w:tc>
          <w:tcPr>
            <w:tcW w:w="2527" w:type="dxa"/>
            <w:tcBorders>
              <w:top w:val="single" w:sz="4" w:space="0" w:color="auto"/>
              <w:left w:val="single" w:sz="4" w:space="0" w:color="auto"/>
              <w:bottom w:val="single" w:sz="4" w:space="0" w:color="000000"/>
              <w:right w:val="single" w:sz="4" w:space="0" w:color="auto"/>
            </w:tcBorders>
            <w:vAlign w:val="center"/>
          </w:tcPr>
          <w:p w:rsidR="00666764" w:rsidRPr="00666764" w:rsidRDefault="00666764">
            <w:pPr>
              <w:rPr>
                <w:sz w:val="20"/>
                <w:szCs w:val="20"/>
                <w:lang w:val="es-ES_tradnl"/>
              </w:rPr>
            </w:pPr>
          </w:p>
        </w:tc>
        <w:tc>
          <w:tcPr>
            <w:tcW w:w="981" w:type="dxa"/>
            <w:tcBorders>
              <w:top w:val="single" w:sz="4" w:space="0" w:color="auto"/>
              <w:left w:val="nil"/>
              <w:bottom w:val="single" w:sz="4" w:space="0" w:color="auto"/>
              <w:right w:val="single" w:sz="4" w:space="0" w:color="auto"/>
            </w:tcBorders>
            <w:noWrap/>
            <w:vAlign w:val="bottom"/>
          </w:tcPr>
          <w:p w:rsidR="00666764" w:rsidRPr="00666764" w:rsidRDefault="00666764">
            <w:pPr>
              <w:jc w:val="center"/>
              <w:rPr>
                <w:sz w:val="20"/>
                <w:szCs w:val="20"/>
                <w:lang w:val="es-ES_tradnl"/>
              </w:rPr>
            </w:pPr>
          </w:p>
        </w:tc>
        <w:tc>
          <w:tcPr>
            <w:tcW w:w="1234" w:type="dxa"/>
            <w:tcBorders>
              <w:top w:val="single" w:sz="4" w:space="0" w:color="auto"/>
              <w:left w:val="nil"/>
              <w:bottom w:val="single" w:sz="4" w:space="0" w:color="auto"/>
              <w:right w:val="single" w:sz="4" w:space="0" w:color="auto"/>
            </w:tcBorders>
            <w:noWrap/>
            <w:vAlign w:val="bottom"/>
          </w:tcPr>
          <w:p w:rsidR="00666764" w:rsidRPr="00666764" w:rsidRDefault="00666764">
            <w:pPr>
              <w:jc w:val="center"/>
              <w:rPr>
                <w:sz w:val="20"/>
                <w:szCs w:val="20"/>
                <w:lang w:val="es-ES_tradnl"/>
              </w:rPr>
            </w:pPr>
          </w:p>
        </w:tc>
        <w:tc>
          <w:tcPr>
            <w:tcW w:w="1554" w:type="dxa"/>
            <w:tcBorders>
              <w:top w:val="single" w:sz="4" w:space="0" w:color="auto"/>
              <w:left w:val="nil"/>
              <w:bottom w:val="single" w:sz="4" w:space="0" w:color="auto"/>
              <w:right w:val="single" w:sz="4" w:space="0" w:color="auto"/>
            </w:tcBorders>
            <w:noWrap/>
            <w:vAlign w:val="bottom"/>
          </w:tcPr>
          <w:p w:rsidR="00666764" w:rsidRPr="00666764" w:rsidRDefault="00666764">
            <w:pPr>
              <w:jc w:val="center"/>
              <w:rPr>
                <w:sz w:val="20"/>
                <w:szCs w:val="20"/>
                <w:lang w:val="es-ES_tradnl"/>
              </w:rPr>
            </w:pPr>
          </w:p>
        </w:tc>
        <w:tc>
          <w:tcPr>
            <w:tcW w:w="1447" w:type="dxa"/>
            <w:tcBorders>
              <w:top w:val="single" w:sz="4" w:space="0" w:color="auto"/>
              <w:left w:val="nil"/>
              <w:bottom w:val="single" w:sz="4" w:space="0" w:color="auto"/>
              <w:right w:val="single" w:sz="4" w:space="0" w:color="auto"/>
            </w:tcBorders>
            <w:noWrap/>
            <w:vAlign w:val="bottom"/>
          </w:tcPr>
          <w:p w:rsidR="00666764" w:rsidRPr="00666764" w:rsidRDefault="00666764">
            <w:pPr>
              <w:jc w:val="right"/>
              <w:rPr>
                <w:sz w:val="20"/>
                <w:szCs w:val="20"/>
                <w:lang w:val="es-ES_tradnl"/>
              </w:rPr>
            </w:pPr>
          </w:p>
        </w:tc>
        <w:tc>
          <w:tcPr>
            <w:tcW w:w="1247" w:type="dxa"/>
            <w:tcBorders>
              <w:top w:val="single" w:sz="4" w:space="0" w:color="auto"/>
              <w:left w:val="nil"/>
              <w:bottom w:val="single" w:sz="4" w:space="0" w:color="auto"/>
              <w:right w:val="single" w:sz="4" w:space="0" w:color="auto"/>
            </w:tcBorders>
            <w:noWrap/>
            <w:vAlign w:val="bottom"/>
          </w:tcPr>
          <w:p w:rsidR="00666764" w:rsidRPr="00666764" w:rsidRDefault="00666764">
            <w:pPr>
              <w:jc w:val="center"/>
              <w:rPr>
                <w:sz w:val="20"/>
                <w:szCs w:val="20"/>
                <w:lang w:val="es-ES_tradnl"/>
              </w:rPr>
            </w:pPr>
          </w:p>
        </w:tc>
        <w:tc>
          <w:tcPr>
            <w:tcW w:w="1541" w:type="dxa"/>
            <w:tcBorders>
              <w:top w:val="single" w:sz="4" w:space="0" w:color="auto"/>
              <w:left w:val="nil"/>
              <w:bottom w:val="single" w:sz="4" w:space="0" w:color="auto"/>
              <w:right w:val="single" w:sz="4" w:space="0" w:color="auto"/>
            </w:tcBorders>
            <w:noWrap/>
            <w:vAlign w:val="bottom"/>
          </w:tcPr>
          <w:p w:rsidR="00666764" w:rsidRPr="00666764" w:rsidRDefault="00666764">
            <w:pPr>
              <w:jc w:val="right"/>
              <w:rPr>
                <w:sz w:val="20"/>
                <w:szCs w:val="20"/>
                <w:lang w:val="es-ES_tradnl"/>
              </w:rPr>
            </w:pPr>
          </w:p>
        </w:tc>
        <w:tc>
          <w:tcPr>
            <w:tcW w:w="1247" w:type="dxa"/>
            <w:tcBorders>
              <w:top w:val="single" w:sz="4" w:space="0" w:color="auto"/>
              <w:left w:val="nil"/>
              <w:bottom w:val="single" w:sz="4" w:space="0" w:color="auto"/>
              <w:right w:val="single" w:sz="4" w:space="0" w:color="auto"/>
            </w:tcBorders>
            <w:noWrap/>
            <w:vAlign w:val="bottom"/>
          </w:tcPr>
          <w:p w:rsidR="00666764" w:rsidRPr="00666764" w:rsidRDefault="00666764">
            <w:pPr>
              <w:jc w:val="center"/>
              <w:rPr>
                <w:sz w:val="20"/>
                <w:szCs w:val="20"/>
                <w:lang w:val="es-ES_tradnl"/>
              </w:rPr>
            </w:pPr>
          </w:p>
        </w:tc>
        <w:tc>
          <w:tcPr>
            <w:tcW w:w="1132" w:type="dxa"/>
            <w:tcBorders>
              <w:top w:val="single" w:sz="4" w:space="0" w:color="auto"/>
              <w:left w:val="nil"/>
              <w:bottom w:val="single" w:sz="4" w:space="0" w:color="auto"/>
              <w:right w:val="single" w:sz="4" w:space="0" w:color="auto"/>
            </w:tcBorders>
            <w:noWrap/>
            <w:vAlign w:val="bottom"/>
          </w:tcPr>
          <w:p w:rsidR="00666764" w:rsidRPr="00666764" w:rsidRDefault="00666764">
            <w:pPr>
              <w:jc w:val="right"/>
              <w:rPr>
                <w:sz w:val="20"/>
                <w:szCs w:val="20"/>
                <w:lang w:val="es-ES_tradnl"/>
              </w:rPr>
            </w:pPr>
          </w:p>
        </w:tc>
        <w:tc>
          <w:tcPr>
            <w:tcW w:w="1247" w:type="dxa"/>
            <w:tcBorders>
              <w:top w:val="single" w:sz="4" w:space="0" w:color="auto"/>
              <w:left w:val="nil"/>
              <w:bottom w:val="single" w:sz="4" w:space="0" w:color="auto"/>
              <w:right w:val="single" w:sz="4" w:space="0" w:color="auto"/>
            </w:tcBorders>
            <w:noWrap/>
            <w:vAlign w:val="bottom"/>
          </w:tcPr>
          <w:p w:rsidR="00666764" w:rsidRPr="00666764" w:rsidRDefault="00666764">
            <w:pPr>
              <w:jc w:val="center"/>
              <w:rPr>
                <w:sz w:val="20"/>
                <w:szCs w:val="20"/>
                <w:lang w:val="es-ES_tradnl"/>
              </w:rPr>
            </w:pPr>
          </w:p>
        </w:tc>
        <w:tc>
          <w:tcPr>
            <w:tcW w:w="1247" w:type="dxa"/>
            <w:tcBorders>
              <w:top w:val="single" w:sz="4" w:space="0" w:color="auto"/>
              <w:left w:val="nil"/>
              <w:bottom w:val="single" w:sz="4" w:space="0" w:color="auto"/>
              <w:right w:val="single" w:sz="4" w:space="0" w:color="auto"/>
            </w:tcBorders>
            <w:noWrap/>
            <w:vAlign w:val="bottom"/>
          </w:tcPr>
          <w:p w:rsidR="00666764" w:rsidRPr="00666764" w:rsidRDefault="00666764">
            <w:pPr>
              <w:jc w:val="right"/>
              <w:rPr>
                <w:sz w:val="20"/>
                <w:szCs w:val="20"/>
                <w:lang w:val="es-ES_tradnl"/>
              </w:rPr>
            </w:pPr>
          </w:p>
        </w:tc>
      </w:tr>
      <w:tr w:rsidR="003E6891" w:rsidRPr="00666764" w:rsidTr="003E6891">
        <w:trPr>
          <w:trHeight w:val="255"/>
        </w:trPr>
        <w:tc>
          <w:tcPr>
            <w:tcW w:w="2527" w:type="dxa"/>
            <w:vMerge w:val="restart"/>
            <w:tcBorders>
              <w:top w:val="single" w:sz="4" w:space="0" w:color="auto"/>
              <w:left w:val="single" w:sz="4" w:space="0" w:color="auto"/>
              <w:bottom w:val="single" w:sz="4" w:space="0" w:color="000000"/>
              <w:right w:val="single" w:sz="4" w:space="0" w:color="auto"/>
            </w:tcBorders>
            <w:vAlign w:val="center"/>
            <w:hideMark/>
          </w:tcPr>
          <w:p w:rsidR="003E6891" w:rsidRPr="00666764" w:rsidRDefault="003E6891">
            <w:pPr>
              <w:rPr>
                <w:sz w:val="20"/>
                <w:szCs w:val="20"/>
              </w:rPr>
            </w:pPr>
            <w:r>
              <w:rPr>
                <w:sz w:val="20"/>
                <w:szCs w:val="20"/>
              </w:rPr>
              <w:t>9.–FABRIKAZIO MEKANIKOKO PRODUKZIOAREN PROGRAMAZIOA GMHZ (LOE)</w:t>
            </w:r>
          </w:p>
        </w:tc>
        <w:tc>
          <w:tcPr>
            <w:tcW w:w="981" w:type="dxa"/>
            <w:tcBorders>
              <w:top w:val="single" w:sz="4" w:space="0" w:color="auto"/>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Lehena</w:t>
            </w:r>
          </w:p>
        </w:tc>
        <w:tc>
          <w:tcPr>
            <w:tcW w:w="1234" w:type="dxa"/>
            <w:tcBorders>
              <w:top w:val="single" w:sz="4" w:space="0" w:color="auto"/>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0,696</w:t>
            </w:r>
          </w:p>
        </w:tc>
        <w:tc>
          <w:tcPr>
            <w:tcW w:w="1554" w:type="dxa"/>
            <w:tcBorders>
              <w:top w:val="single" w:sz="4" w:space="0" w:color="auto"/>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1,043</w:t>
            </w:r>
          </w:p>
        </w:tc>
        <w:tc>
          <w:tcPr>
            <w:tcW w:w="1447" w:type="dxa"/>
            <w:tcBorders>
              <w:top w:val="single" w:sz="4" w:space="0" w:color="auto"/>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68.666,40</w:t>
            </w:r>
          </w:p>
        </w:tc>
        <w:tc>
          <w:tcPr>
            <w:tcW w:w="1247" w:type="dxa"/>
            <w:tcBorders>
              <w:top w:val="single" w:sz="4" w:space="0" w:color="auto"/>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66,02</w:t>
            </w:r>
          </w:p>
        </w:tc>
        <w:tc>
          <w:tcPr>
            <w:tcW w:w="1541" w:type="dxa"/>
            <w:tcBorders>
              <w:top w:val="single" w:sz="4" w:space="0" w:color="auto"/>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10.639,01</w:t>
            </w:r>
          </w:p>
        </w:tc>
        <w:tc>
          <w:tcPr>
            <w:tcW w:w="1247" w:type="dxa"/>
            <w:tcBorders>
              <w:top w:val="single" w:sz="4" w:space="0" w:color="auto"/>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10,23</w:t>
            </w:r>
          </w:p>
        </w:tc>
        <w:tc>
          <w:tcPr>
            <w:tcW w:w="1132" w:type="dxa"/>
            <w:tcBorders>
              <w:top w:val="single" w:sz="4" w:space="0" w:color="auto"/>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24.696,41</w:t>
            </w:r>
          </w:p>
        </w:tc>
        <w:tc>
          <w:tcPr>
            <w:tcW w:w="1247" w:type="dxa"/>
            <w:tcBorders>
              <w:top w:val="single" w:sz="4" w:space="0" w:color="auto"/>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23,75</w:t>
            </w:r>
          </w:p>
        </w:tc>
        <w:tc>
          <w:tcPr>
            <w:tcW w:w="1247" w:type="dxa"/>
            <w:tcBorders>
              <w:top w:val="single" w:sz="4" w:space="0" w:color="auto"/>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104.001,82</w:t>
            </w:r>
          </w:p>
        </w:tc>
      </w:tr>
      <w:tr w:rsidR="003E6891" w:rsidRPr="00666764" w:rsidTr="003E6891">
        <w:trPr>
          <w:trHeight w:val="25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E6891" w:rsidRPr="00666764" w:rsidRDefault="003E6891">
            <w:pPr>
              <w:rPr>
                <w:sz w:val="20"/>
                <w:szCs w:val="20"/>
                <w:lang w:val="es-ES_tradnl"/>
              </w:rPr>
            </w:pPr>
          </w:p>
        </w:tc>
        <w:tc>
          <w:tcPr>
            <w:tcW w:w="981"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2º</w:t>
            </w:r>
          </w:p>
        </w:tc>
        <w:tc>
          <w:tcPr>
            <w:tcW w:w="123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1,304</w:t>
            </w:r>
          </w:p>
        </w:tc>
        <w:tc>
          <w:tcPr>
            <w:tcW w:w="155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0,304</w:t>
            </w:r>
          </w:p>
        </w:tc>
        <w:tc>
          <w:tcPr>
            <w:tcW w:w="14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65.854,71</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65,55</w:t>
            </w:r>
          </w:p>
        </w:tc>
        <w:tc>
          <w:tcPr>
            <w:tcW w:w="1541"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9.910,13</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9,86</w:t>
            </w:r>
          </w:p>
        </w:tc>
        <w:tc>
          <w:tcPr>
            <w:tcW w:w="1132"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24.696,41</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24,58</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100.461,25</w:t>
            </w:r>
          </w:p>
        </w:tc>
      </w:tr>
      <w:tr w:rsidR="003E6891" w:rsidRPr="00666764" w:rsidTr="003E6891">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3E6891" w:rsidRPr="00666764" w:rsidRDefault="003E6891">
            <w:pPr>
              <w:rPr>
                <w:sz w:val="20"/>
                <w:szCs w:val="20"/>
              </w:rPr>
            </w:pPr>
            <w:r>
              <w:rPr>
                <w:sz w:val="20"/>
                <w:szCs w:val="20"/>
              </w:rPr>
              <w:t>10.–GARRAIOAREN KUDEAKETA GMHZ</w:t>
            </w:r>
          </w:p>
        </w:tc>
        <w:tc>
          <w:tcPr>
            <w:tcW w:w="981"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Lehena</w:t>
            </w:r>
          </w:p>
        </w:tc>
        <w:tc>
          <w:tcPr>
            <w:tcW w:w="123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0,783</w:t>
            </w:r>
          </w:p>
        </w:tc>
        <w:tc>
          <w:tcPr>
            <w:tcW w:w="155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0,696</w:t>
            </w:r>
          </w:p>
        </w:tc>
        <w:tc>
          <w:tcPr>
            <w:tcW w:w="14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59.042,99</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68,82</w:t>
            </w:r>
          </w:p>
        </w:tc>
        <w:tc>
          <w:tcPr>
            <w:tcW w:w="1541"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9.265,74</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10,80</w:t>
            </w:r>
          </w:p>
        </w:tc>
        <w:tc>
          <w:tcPr>
            <w:tcW w:w="1132"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17.486,29</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20,38</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85.795,02</w:t>
            </w:r>
          </w:p>
        </w:tc>
      </w:tr>
      <w:tr w:rsidR="003E6891" w:rsidRPr="00666764" w:rsidTr="003E6891">
        <w:trPr>
          <w:trHeight w:val="255"/>
        </w:trPr>
        <w:tc>
          <w:tcPr>
            <w:tcW w:w="0" w:type="auto"/>
            <w:vMerge/>
            <w:tcBorders>
              <w:top w:val="nil"/>
              <w:left w:val="single" w:sz="4" w:space="0" w:color="auto"/>
              <w:bottom w:val="single" w:sz="4" w:space="0" w:color="000000"/>
              <w:right w:val="single" w:sz="4" w:space="0" w:color="auto"/>
            </w:tcBorders>
            <w:vAlign w:val="center"/>
            <w:hideMark/>
          </w:tcPr>
          <w:p w:rsidR="003E6891" w:rsidRPr="00666764" w:rsidRDefault="003E6891">
            <w:pPr>
              <w:rPr>
                <w:sz w:val="20"/>
                <w:szCs w:val="20"/>
                <w:lang w:val="es-ES_tradnl"/>
              </w:rPr>
            </w:pPr>
          </w:p>
        </w:tc>
        <w:tc>
          <w:tcPr>
            <w:tcW w:w="981"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2º</w:t>
            </w:r>
          </w:p>
        </w:tc>
        <w:tc>
          <w:tcPr>
            <w:tcW w:w="123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1,435</w:t>
            </w:r>
          </w:p>
        </w:tc>
        <w:tc>
          <w:tcPr>
            <w:tcW w:w="155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0,000</w:t>
            </w:r>
          </w:p>
        </w:tc>
        <w:tc>
          <w:tcPr>
            <w:tcW w:w="14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59.695,68</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69,23</w:t>
            </w:r>
          </w:p>
        </w:tc>
        <w:tc>
          <w:tcPr>
            <w:tcW w:w="1541"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9.040,11</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10,48</w:t>
            </w:r>
          </w:p>
        </w:tc>
        <w:tc>
          <w:tcPr>
            <w:tcW w:w="1132"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17.486,29</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20,28</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86.222,08</w:t>
            </w:r>
          </w:p>
        </w:tc>
      </w:tr>
      <w:tr w:rsidR="003E6891" w:rsidRPr="00666764" w:rsidTr="003E6891">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3E6891" w:rsidRPr="00666764" w:rsidRDefault="003E6891">
            <w:pPr>
              <w:rPr>
                <w:sz w:val="20"/>
                <w:szCs w:val="20"/>
              </w:rPr>
            </w:pPr>
            <w:r>
              <w:rPr>
                <w:sz w:val="20"/>
                <w:szCs w:val="20"/>
              </w:rPr>
              <w:t>10.–GARRAIOAREN ETA LOGISTIKAREN KUDEAKETA GMHZ (LOE)</w:t>
            </w:r>
          </w:p>
        </w:tc>
        <w:tc>
          <w:tcPr>
            <w:tcW w:w="981"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1.</w:t>
            </w:r>
          </w:p>
        </w:tc>
        <w:tc>
          <w:tcPr>
            <w:tcW w:w="123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0,783</w:t>
            </w:r>
          </w:p>
        </w:tc>
        <w:tc>
          <w:tcPr>
            <w:tcW w:w="155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0,696</w:t>
            </w:r>
          </w:p>
        </w:tc>
        <w:tc>
          <w:tcPr>
            <w:tcW w:w="14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59.042,99</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69,10</w:t>
            </w:r>
          </w:p>
        </w:tc>
        <w:tc>
          <w:tcPr>
            <w:tcW w:w="1541"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9.265,74</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10,54</w:t>
            </w:r>
          </w:p>
        </w:tc>
        <w:tc>
          <w:tcPr>
            <w:tcW w:w="1132"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17.486,29</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20,36</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85.795,02</w:t>
            </w:r>
          </w:p>
        </w:tc>
      </w:tr>
      <w:tr w:rsidR="003E6891" w:rsidRPr="00666764" w:rsidTr="003E6891">
        <w:trPr>
          <w:trHeight w:val="255"/>
        </w:trPr>
        <w:tc>
          <w:tcPr>
            <w:tcW w:w="0" w:type="auto"/>
            <w:vMerge/>
            <w:tcBorders>
              <w:top w:val="nil"/>
              <w:left w:val="single" w:sz="4" w:space="0" w:color="auto"/>
              <w:bottom w:val="single" w:sz="4" w:space="0" w:color="000000"/>
              <w:right w:val="single" w:sz="4" w:space="0" w:color="auto"/>
            </w:tcBorders>
            <w:vAlign w:val="center"/>
            <w:hideMark/>
          </w:tcPr>
          <w:p w:rsidR="003E6891" w:rsidRPr="00666764" w:rsidRDefault="003E6891">
            <w:pPr>
              <w:rPr>
                <w:sz w:val="20"/>
                <w:szCs w:val="20"/>
                <w:lang w:val="es-ES_tradnl"/>
              </w:rPr>
            </w:pPr>
          </w:p>
        </w:tc>
        <w:tc>
          <w:tcPr>
            <w:tcW w:w="981"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2º</w:t>
            </w:r>
          </w:p>
        </w:tc>
        <w:tc>
          <w:tcPr>
            <w:tcW w:w="123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1,130</w:t>
            </w:r>
          </w:p>
        </w:tc>
        <w:tc>
          <w:tcPr>
            <w:tcW w:w="155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0,304</w:t>
            </w:r>
          </w:p>
        </w:tc>
        <w:tc>
          <w:tcPr>
            <w:tcW w:w="14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58.618,71</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69,25</w:t>
            </w:r>
          </w:p>
        </w:tc>
        <w:tc>
          <w:tcPr>
            <w:tcW w:w="1541"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8.877,02</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10,19</w:t>
            </w:r>
          </w:p>
        </w:tc>
        <w:tc>
          <w:tcPr>
            <w:tcW w:w="1132"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17.486,29</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20,55</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84.982,02</w:t>
            </w:r>
          </w:p>
        </w:tc>
      </w:tr>
      <w:tr w:rsidR="003E6891" w:rsidRPr="00666764" w:rsidTr="003E6891">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3E6891" w:rsidRPr="00666764" w:rsidRDefault="003E6891">
            <w:pPr>
              <w:rPr>
                <w:sz w:val="20"/>
                <w:szCs w:val="20"/>
              </w:rPr>
            </w:pPr>
            <w:r>
              <w:rPr>
                <w:sz w:val="20"/>
                <w:szCs w:val="20"/>
              </w:rPr>
              <w:t>10.–GARRAIOAREN ETA LOGISTIKAREN KUDEAKETA ON LINE GMHZ (LOE)</w:t>
            </w:r>
          </w:p>
        </w:tc>
        <w:tc>
          <w:tcPr>
            <w:tcW w:w="981"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1.</w:t>
            </w:r>
          </w:p>
        </w:tc>
        <w:tc>
          <w:tcPr>
            <w:tcW w:w="123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0,391</w:t>
            </w:r>
          </w:p>
        </w:tc>
        <w:tc>
          <w:tcPr>
            <w:tcW w:w="155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0,522</w:t>
            </w:r>
          </w:p>
        </w:tc>
        <w:tc>
          <w:tcPr>
            <w:tcW w:w="14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36.141,92</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69,44</w:t>
            </w:r>
          </w:p>
        </w:tc>
        <w:tc>
          <w:tcPr>
            <w:tcW w:w="1541"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5.572,88</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10,41</w:t>
            </w:r>
          </w:p>
        </w:tc>
        <w:tc>
          <w:tcPr>
            <w:tcW w:w="1132"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10.543,71</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20,16</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52.258,51</w:t>
            </w:r>
          </w:p>
        </w:tc>
      </w:tr>
      <w:tr w:rsidR="003E6891" w:rsidRPr="00666764" w:rsidTr="003E6891">
        <w:trPr>
          <w:trHeight w:val="255"/>
        </w:trPr>
        <w:tc>
          <w:tcPr>
            <w:tcW w:w="0" w:type="auto"/>
            <w:vMerge/>
            <w:tcBorders>
              <w:top w:val="nil"/>
              <w:left w:val="single" w:sz="4" w:space="0" w:color="auto"/>
              <w:bottom w:val="single" w:sz="4" w:space="0" w:color="000000"/>
              <w:right w:val="single" w:sz="4" w:space="0" w:color="auto"/>
            </w:tcBorders>
            <w:vAlign w:val="center"/>
            <w:hideMark/>
          </w:tcPr>
          <w:p w:rsidR="003E6891" w:rsidRPr="00666764" w:rsidRDefault="003E6891">
            <w:pPr>
              <w:rPr>
                <w:sz w:val="20"/>
                <w:szCs w:val="20"/>
                <w:lang w:val="es-ES_tradnl"/>
              </w:rPr>
            </w:pPr>
          </w:p>
        </w:tc>
        <w:tc>
          <w:tcPr>
            <w:tcW w:w="981"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2º</w:t>
            </w:r>
          </w:p>
        </w:tc>
        <w:tc>
          <w:tcPr>
            <w:tcW w:w="123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0,609</w:t>
            </w:r>
          </w:p>
        </w:tc>
        <w:tc>
          <w:tcPr>
            <w:tcW w:w="155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0,261</w:t>
            </w:r>
          </w:p>
        </w:tc>
        <w:tc>
          <w:tcPr>
            <w:tcW w:w="14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35.256,08</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69,09</w:t>
            </w:r>
          </w:p>
        </w:tc>
        <w:tc>
          <w:tcPr>
            <w:tcW w:w="1541"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5.436,29</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10,36</w:t>
            </w:r>
          </w:p>
        </w:tc>
        <w:tc>
          <w:tcPr>
            <w:tcW w:w="1132"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10.543,71</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20,56</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51.236,08</w:t>
            </w:r>
          </w:p>
        </w:tc>
      </w:tr>
      <w:tr w:rsidR="003E6891" w:rsidRPr="00666764" w:rsidTr="003E6891">
        <w:trPr>
          <w:trHeight w:val="255"/>
        </w:trPr>
        <w:tc>
          <w:tcPr>
            <w:tcW w:w="0" w:type="auto"/>
            <w:vMerge/>
            <w:tcBorders>
              <w:top w:val="nil"/>
              <w:left w:val="single" w:sz="4" w:space="0" w:color="auto"/>
              <w:bottom w:val="single" w:sz="4" w:space="0" w:color="000000"/>
              <w:right w:val="single" w:sz="4" w:space="0" w:color="auto"/>
            </w:tcBorders>
            <w:vAlign w:val="center"/>
            <w:hideMark/>
          </w:tcPr>
          <w:p w:rsidR="003E6891" w:rsidRPr="00666764" w:rsidRDefault="003E6891">
            <w:pPr>
              <w:rPr>
                <w:sz w:val="20"/>
                <w:szCs w:val="20"/>
                <w:lang w:val="es-ES_tradnl"/>
              </w:rPr>
            </w:pPr>
          </w:p>
        </w:tc>
        <w:tc>
          <w:tcPr>
            <w:tcW w:w="981"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3º</w:t>
            </w:r>
          </w:p>
        </w:tc>
        <w:tc>
          <w:tcPr>
            <w:tcW w:w="123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0,652</w:t>
            </w:r>
          </w:p>
        </w:tc>
        <w:tc>
          <w:tcPr>
            <w:tcW w:w="155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0,217</w:t>
            </w:r>
          </w:p>
        </w:tc>
        <w:tc>
          <w:tcPr>
            <w:tcW w:w="14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35.409,93</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69,15</w:t>
            </w:r>
          </w:p>
        </w:tc>
        <w:tc>
          <w:tcPr>
            <w:tcW w:w="1541"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5.460,01</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10,37</w:t>
            </w:r>
          </w:p>
        </w:tc>
        <w:tc>
          <w:tcPr>
            <w:tcW w:w="1132"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10.543,71</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20,49</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51.413,65</w:t>
            </w:r>
          </w:p>
        </w:tc>
      </w:tr>
      <w:tr w:rsidR="003E6891" w:rsidRPr="00666764" w:rsidTr="003E6891">
        <w:trPr>
          <w:trHeight w:val="255"/>
        </w:trPr>
        <w:tc>
          <w:tcPr>
            <w:tcW w:w="0" w:type="auto"/>
            <w:vMerge/>
            <w:tcBorders>
              <w:top w:val="nil"/>
              <w:left w:val="single" w:sz="4" w:space="0" w:color="auto"/>
              <w:bottom w:val="single" w:sz="4" w:space="0" w:color="000000"/>
              <w:right w:val="single" w:sz="4" w:space="0" w:color="auto"/>
            </w:tcBorders>
            <w:vAlign w:val="center"/>
            <w:hideMark/>
          </w:tcPr>
          <w:p w:rsidR="003E6891" w:rsidRPr="00666764" w:rsidRDefault="003E6891">
            <w:pPr>
              <w:rPr>
                <w:sz w:val="20"/>
                <w:szCs w:val="20"/>
                <w:lang w:val="es-ES_tradnl"/>
              </w:rPr>
            </w:pPr>
          </w:p>
        </w:tc>
        <w:tc>
          <w:tcPr>
            <w:tcW w:w="981"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4º</w:t>
            </w:r>
          </w:p>
        </w:tc>
        <w:tc>
          <w:tcPr>
            <w:tcW w:w="123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0,261</w:t>
            </w:r>
          </w:p>
        </w:tc>
        <w:tc>
          <w:tcPr>
            <w:tcW w:w="155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0,000</w:t>
            </w:r>
          </w:p>
        </w:tc>
        <w:tc>
          <w:tcPr>
            <w:tcW w:w="14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10.853,76</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69,17</w:t>
            </w:r>
          </w:p>
        </w:tc>
        <w:tc>
          <w:tcPr>
            <w:tcW w:w="1541"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1.555,09</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9,63</w:t>
            </w:r>
          </w:p>
        </w:tc>
        <w:tc>
          <w:tcPr>
            <w:tcW w:w="1132"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3.341,46</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21,19</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15.750,31</w:t>
            </w:r>
          </w:p>
        </w:tc>
      </w:tr>
      <w:tr w:rsidR="003E6891" w:rsidRPr="00666764" w:rsidTr="003E6891">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3E6891" w:rsidRPr="00666764" w:rsidRDefault="003E6891">
            <w:pPr>
              <w:rPr>
                <w:sz w:val="20"/>
                <w:szCs w:val="20"/>
              </w:rPr>
            </w:pPr>
            <w:r>
              <w:rPr>
                <w:sz w:val="20"/>
                <w:szCs w:val="20"/>
              </w:rPr>
              <w:t>11.–PLATAFORMA ANITZEKO APLIKAZIOEN GARAPENA GMHZ (LOE)</w:t>
            </w:r>
          </w:p>
        </w:tc>
        <w:tc>
          <w:tcPr>
            <w:tcW w:w="981"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Lehena</w:t>
            </w:r>
          </w:p>
        </w:tc>
        <w:tc>
          <w:tcPr>
            <w:tcW w:w="123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1,348</w:t>
            </w:r>
          </w:p>
        </w:tc>
        <w:tc>
          <w:tcPr>
            <w:tcW w:w="155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0,435</w:t>
            </w:r>
          </w:p>
        </w:tc>
        <w:tc>
          <w:tcPr>
            <w:tcW w:w="14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72.501,17</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70,93</w:t>
            </w:r>
          </w:p>
        </w:tc>
        <w:tc>
          <w:tcPr>
            <w:tcW w:w="1541"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11.115,97</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10,87</w:t>
            </w:r>
          </w:p>
        </w:tc>
        <w:tc>
          <w:tcPr>
            <w:tcW w:w="1132"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18.600,13</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18,20</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102.217,27</w:t>
            </w:r>
          </w:p>
        </w:tc>
      </w:tr>
      <w:tr w:rsidR="003E6891" w:rsidRPr="00666764" w:rsidTr="003E6891">
        <w:trPr>
          <w:trHeight w:val="255"/>
        </w:trPr>
        <w:tc>
          <w:tcPr>
            <w:tcW w:w="0" w:type="auto"/>
            <w:vMerge/>
            <w:tcBorders>
              <w:top w:val="nil"/>
              <w:left w:val="single" w:sz="4" w:space="0" w:color="auto"/>
              <w:bottom w:val="single" w:sz="4" w:space="0" w:color="000000"/>
              <w:right w:val="single" w:sz="4" w:space="0" w:color="auto"/>
            </w:tcBorders>
            <w:vAlign w:val="center"/>
            <w:hideMark/>
          </w:tcPr>
          <w:p w:rsidR="003E6891" w:rsidRPr="00666764" w:rsidRDefault="003E6891">
            <w:pPr>
              <w:rPr>
                <w:sz w:val="20"/>
                <w:szCs w:val="20"/>
                <w:lang w:val="es-ES_tradnl"/>
              </w:rPr>
            </w:pPr>
          </w:p>
        </w:tc>
        <w:tc>
          <w:tcPr>
            <w:tcW w:w="981"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2º</w:t>
            </w:r>
          </w:p>
        </w:tc>
        <w:tc>
          <w:tcPr>
            <w:tcW w:w="123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1,130</w:t>
            </w:r>
          </w:p>
        </w:tc>
        <w:tc>
          <w:tcPr>
            <w:tcW w:w="155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0,435</w:t>
            </w:r>
          </w:p>
        </w:tc>
        <w:tc>
          <w:tcPr>
            <w:tcW w:w="14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63.631,34</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69,14</w:t>
            </w:r>
          </w:p>
        </w:tc>
        <w:tc>
          <w:tcPr>
            <w:tcW w:w="1541"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9.801,81</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10,65</w:t>
            </w:r>
          </w:p>
        </w:tc>
        <w:tc>
          <w:tcPr>
            <w:tcW w:w="1132"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18.600,13</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20,21</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92.033,28</w:t>
            </w:r>
          </w:p>
        </w:tc>
      </w:tr>
      <w:tr w:rsidR="003E6891" w:rsidRPr="00666764" w:rsidTr="003E6891">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3E6891" w:rsidRPr="00666764" w:rsidRDefault="003E6891">
            <w:pPr>
              <w:rPr>
                <w:sz w:val="20"/>
                <w:szCs w:val="20"/>
              </w:rPr>
            </w:pPr>
            <w:r>
              <w:rPr>
                <w:sz w:val="20"/>
                <w:szCs w:val="20"/>
              </w:rPr>
              <w:t>12.–ANATOMIA, PATOLOGIA ETA ZITOLOGIA GMHZ</w:t>
            </w:r>
          </w:p>
        </w:tc>
        <w:tc>
          <w:tcPr>
            <w:tcW w:w="981"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1.</w:t>
            </w:r>
          </w:p>
        </w:tc>
        <w:tc>
          <w:tcPr>
            <w:tcW w:w="123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0,957</w:t>
            </w:r>
          </w:p>
        </w:tc>
        <w:tc>
          <w:tcPr>
            <w:tcW w:w="155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0,739</w:t>
            </w:r>
          </w:p>
        </w:tc>
        <w:tc>
          <w:tcPr>
            <w:tcW w:w="14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67.933,92</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68,52</w:t>
            </w:r>
          </w:p>
        </w:tc>
        <w:tc>
          <w:tcPr>
            <w:tcW w:w="1541"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10.559,52</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10,65</w:t>
            </w:r>
          </w:p>
        </w:tc>
        <w:tc>
          <w:tcPr>
            <w:tcW w:w="1132"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20.649,55</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20,83</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99.142,99</w:t>
            </w:r>
          </w:p>
        </w:tc>
      </w:tr>
      <w:tr w:rsidR="003E6891" w:rsidRPr="00666764" w:rsidTr="003E6891">
        <w:trPr>
          <w:trHeight w:val="255"/>
        </w:trPr>
        <w:tc>
          <w:tcPr>
            <w:tcW w:w="0" w:type="auto"/>
            <w:vMerge/>
            <w:tcBorders>
              <w:top w:val="nil"/>
              <w:left w:val="single" w:sz="4" w:space="0" w:color="auto"/>
              <w:bottom w:val="single" w:sz="4" w:space="0" w:color="000000"/>
              <w:right w:val="single" w:sz="4" w:space="0" w:color="auto"/>
            </w:tcBorders>
            <w:vAlign w:val="center"/>
            <w:hideMark/>
          </w:tcPr>
          <w:p w:rsidR="003E6891" w:rsidRPr="00666764" w:rsidRDefault="003E6891">
            <w:pPr>
              <w:rPr>
                <w:sz w:val="20"/>
                <w:szCs w:val="20"/>
                <w:lang w:val="es-ES_tradnl"/>
              </w:rPr>
            </w:pPr>
          </w:p>
        </w:tc>
        <w:tc>
          <w:tcPr>
            <w:tcW w:w="981"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2º</w:t>
            </w:r>
          </w:p>
        </w:tc>
        <w:tc>
          <w:tcPr>
            <w:tcW w:w="123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1,261</w:t>
            </w:r>
          </w:p>
        </w:tc>
        <w:tc>
          <w:tcPr>
            <w:tcW w:w="155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0,000</w:t>
            </w:r>
          </w:p>
        </w:tc>
        <w:tc>
          <w:tcPr>
            <w:tcW w:w="14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52.459,82</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64,68</w:t>
            </w:r>
          </w:p>
        </w:tc>
        <w:tc>
          <w:tcPr>
            <w:tcW w:w="1541"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8.003,38</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9,87</w:t>
            </w:r>
          </w:p>
        </w:tc>
        <w:tc>
          <w:tcPr>
            <w:tcW w:w="1132"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20.649,55</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25,46</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81.112,75</w:t>
            </w:r>
          </w:p>
        </w:tc>
      </w:tr>
      <w:tr w:rsidR="003E6891" w:rsidRPr="00666764" w:rsidTr="003E6891">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3E6891" w:rsidRPr="00666764" w:rsidRDefault="003E6891">
            <w:pPr>
              <w:rPr>
                <w:sz w:val="20"/>
                <w:szCs w:val="20"/>
              </w:rPr>
            </w:pPr>
            <w:r>
              <w:rPr>
                <w:sz w:val="20"/>
                <w:szCs w:val="20"/>
              </w:rPr>
              <w:t>12.–ANATOMIA PATOLOGIKOA ETA ZITODIAGNOSTIKOA GMHZ (LOE)</w:t>
            </w:r>
          </w:p>
        </w:tc>
        <w:tc>
          <w:tcPr>
            <w:tcW w:w="981"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Lehena</w:t>
            </w:r>
          </w:p>
        </w:tc>
        <w:tc>
          <w:tcPr>
            <w:tcW w:w="123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1,261</w:t>
            </w:r>
          </w:p>
        </w:tc>
        <w:tc>
          <w:tcPr>
            <w:tcW w:w="155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0,435</w:t>
            </w:r>
          </w:p>
        </w:tc>
        <w:tc>
          <w:tcPr>
            <w:tcW w:w="14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69.010,85</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69,05</w:t>
            </w:r>
          </w:p>
        </w:tc>
        <w:tc>
          <w:tcPr>
            <w:tcW w:w="1541"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10.284,48</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10,29</w:t>
            </w:r>
          </w:p>
        </w:tc>
        <w:tc>
          <w:tcPr>
            <w:tcW w:w="1132"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20.649,55</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20,66</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99.944,88</w:t>
            </w:r>
          </w:p>
        </w:tc>
      </w:tr>
      <w:tr w:rsidR="003E6891" w:rsidRPr="00666764" w:rsidTr="003E6891">
        <w:trPr>
          <w:trHeight w:val="255"/>
        </w:trPr>
        <w:tc>
          <w:tcPr>
            <w:tcW w:w="0" w:type="auto"/>
            <w:vMerge/>
            <w:tcBorders>
              <w:top w:val="nil"/>
              <w:left w:val="single" w:sz="4" w:space="0" w:color="auto"/>
              <w:bottom w:val="single" w:sz="4" w:space="0" w:color="000000"/>
              <w:right w:val="single" w:sz="4" w:space="0" w:color="auto"/>
            </w:tcBorders>
            <w:vAlign w:val="center"/>
            <w:hideMark/>
          </w:tcPr>
          <w:p w:rsidR="003E6891" w:rsidRPr="00666764" w:rsidRDefault="003E6891">
            <w:pPr>
              <w:rPr>
                <w:sz w:val="20"/>
                <w:szCs w:val="20"/>
                <w:lang w:val="es-ES_tradnl"/>
              </w:rPr>
            </w:pPr>
          </w:p>
        </w:tc>
        <w:tc>
          <w:tcPr>
            <w:tcW w:w="981"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2º</w:t>
            </w:r>
          </w:p>
        </w:tc>
        <w:tc>
          <w:tcPr>
            <w:tcW w:w="123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1,130</w:t>
            </w:r>
          </w:p>
        </w:tc>
        <w:tc>
          <w:tcPr>
            <w:tcW w:w="155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0,391</w:t>
            </w:r>
          </w:p>
        </w:tc>
        <w:tc>
          <w:tcPr>
            <w:tcW w:w="14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61.928,87</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67,42</w:t>
            </w:r>
          </w:p>
        </w:tc>
        <w:tc>
          <w:tcPr>
            <w:tcW w:w="1541"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9.279,38</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10,10</w:t>
            </w:r>
          </w:p>
        </w:tc>
        <w:tc>
          <w:tcPr>
            <w:tcW w:w="1132"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20.649,55</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22,48</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91.857,80</w:t>
            </w:r>
          </w:p>
        </w:tc>
      </w:tr>
      <w:tr w:rsidR="003E6891" w:rsidRPr="00666764" w:rsidTr="003E6891">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3E6891" w:rsidRPr="00666764" w:rsidRDefault="003E6891">
            <w:pPr>
              <w:rPr>
                <w:sz w:val="20"/>
                <w:szCs w:val="20"/>
              </w:rPr>
            </w:pPr>
            <w:r>
              <w:rPr>
                <w:sz w:val="20"/>
                <w:szCs w:val="20"/>
              </w:rPr>
              <w:t>13.–ARTE GRAFIKOEN INDUSTRIETAKO PRODUKZIOA GMHZ</w:t>
            </w:r>
          </w:p>
        </w:tc>
        <w:tc>
          <w:tcPr>
            <w:tcW w:w="981"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Lehena</w:t>
            </w:r>
          </w:p>
        </w:tc>
        <w:tc>
          <w:tcPr>
            <w:tcW w:w="123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0,391</w:t>
            </w:r>
          </w:p>
        </w:tc>
        <w:tc>
          <w:tcPr>
            <w:tcW w:w="155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1,348</w:t>
            </w:r>
          </w:p>
        </w:tc>
        <w:tc>
          <w:tcPr>
            <w:tcW w:w="14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67.588,97</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64,07</w:t>
            </w:r>
          </w:p>
        </w:tc>
        <w:tc>
          <w:tcPr>
            <w:tcW w:w="1541"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10.789,51</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10,23</w:t>
            </w:r>
          </w:p>
        </w:tc>
        <w:tc>
          <w:tcPr>
            <w:tcW w:w="1132"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27.109,68</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25,70</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105.488,16</w:t>
            </w:r>
          </w:p>
        </w:tc>
      </w:tr>
      <w:tr w:rsidR="003E6891" w:rsidRPr="00666764" w:rsidTr="003E6891">
        <w:trPr>
          <w:trHeight w:val="255"/>
        </w:trPr>
        <w:tc>
          <w:tcPr>
            <w:tcW w:w="0" w:type="auto"/>
            <w:vMerge/>
            <w:tcBorders>
              <w:top w:val="nil"/>
              <w:left w:val="single" w:sz="4" w:space="0" w:color="auto"/>
              <w:bottom w:val="single" w:sz="4" w:space="0" w:color="000000"/>
              <w:right w:val="single" w:sz="4" w:space="0" w:color="auto"/>
            </w:tcBorders>
            <w:vAlign w:val="center"/>
            <w:hideMark/>
          </w:tcPr>
          <w:p w:rsidR="003E6891" w:rsidRPr="00666764" w:rsidRDefault="003E6891">
            <w:pPr>
              <w:rPr>
                <w:sz w:val="20"/>
                <w:szCs w:val="20"/>
                <w:lang w:val="es-ES_tradnl"/>
              </w:rPr>
            </w:pPr>
          </w:p>
        </w:tc>
        <w:tc>
          <w:tcPr>
            <w:tcW w:w="981"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2º</w:t>
            </w:r>
          </w:p>
        </w:tc>
        <w:tc>
          <w:tcPr>
            <w:tcW w:w="123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1,130</w:t>
            </w:r>
          </w:p>
        </w:tc>
        <w:tc>
          <w:tcPr>
            <w:tcW w:w="155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0,478</w:t>
            </w:r>
          </w:p>
        </w:tc>
        <w:tc>
          <w:tcPr>
            <w:tcW w:w="14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65.239,12</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63,71</w:t>
            </w:r>
          </w:p>
        </w:tc>
        <w:tc>
          <w:tcPr>
            <w:tcW w:w="1541"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10.053,75</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9,82</w:t>
            </w:r>
          </w:p>
        </w:tc>
        <w:tc>
          <w:tcPr>
            <w:tcW w:w="1132"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27.109,68</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26,47</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102.402,55</w:t>
            </w:r>
          </w:p>
        </w:tc>
      </w:tr>
      <w:tr w:rsidR="003E6891" w:rsidRPr="00666764" w:rsidTr="003E6891">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3E6891" w:rsidRPr="00666764" w:rsidRDefault="003E6891">
            <w:pPr>
              <w:rPr>
                <w:sz w:val="20"/>
                <w:szCs w:val="20"/>
              </w:rPr>
            </w:pPr>
            <w:r>
              <w:rPr>
                <w:sz w:val="20"/>
                <w:szCs w:val="20"/>
              </w:rPr>
              <w:t>14.–FABRIKAZIO MEKANIKOKO DISEINUA GMHZ (LOE)</w:t>
            </w:r>
          </w:p>
        </w:tc>
        <w:tc>
          <w:tcPr>
            <w:tcW w:w="981"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Lehena</w:t>
            </w:r>
          </w:p>
        </w:tc>
        <w:tc>
          <w:tcPr>
            <w:tcW w:w="123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0,783</w:t>
            </w:r>
          </w:p>
        </w:tc>
        <w:tc>
          <w:tcPr>
            <w:tcW w:w="155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0,913</w:t>
            </w:r>
          </w:p>
        </w:tc>
        <w:tc>
          <w:tcPr>
            <w:tcW w:w="14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67.318,63</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66,17</w:t>
            </w:r>
          </w:p>
        </w:tc>
        <w:tc>
          <w:tcPr>
            <w:tcW w:w="1541"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10.390,32</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10,21</w:t>
            </w:r>
          </w:p>
        </w:tc>
        <w:tc>
          <w:tcPr>
            <w:tcW w:w="1132"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24.028,14</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23,62</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101.737,09</w:t>
            </w:r>
          </w:p>
        </w:tc>
      </w:tr>
      <w:tr w:rsidR="003E6891" w:rsidRPr="00666764" w:rsidTr="003E6891">
        <w:trPr>
          <w:trHeight w:val="255"/>
        </w:trPr>
        <w:tc>
          <w:tcPr>
            <w:tcW w:w="0" w:type="auto"/>
            <w:vMerge/>
            <w:tcBorders>
              <w:top w:val="nil"/>
              <w:left w:val="single" w:sz="4" w:space="0" w:color="auto"/>
              <w:bottom w:val="single" w:sz="4" w:space="0" w:color="000000"/>
              <w:right w:val="single" w:sz="4" w:space="0" w:color="auto"/>
            </w:tcBorders>
            <w:vAlign w:val="center"/>
            <w:hideMark/>
          </w:tcPr>
          <w:p w:rsidR="003E6891" w:rsidRPr="00666764" w:rsidRDefault="003E6891">
            <w:pPr>
              <w:rPr>
                <w:sz w:val="20"/>
                <w:szCs w:val="20"/>
                <w:lang w:val="es-ES_tradnl"/>
              </w:rPr>
            </w:pPr>
          </w:p>
        </w:tc>
        <w:tc>
          <w:tcPr>
            <w:tcW w:w="981"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2º</w:t>
            </w:r>
          </w:p>
        </w:tc>
        <w:tc>
          <w:tcPr>
            <w:tcW w:w="123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1,522</w:t>
            </w:r>
          </w:p>
        </w:tc>
        <w:tc>
          <w:tcPr>
            <w:tcW w:w="155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0,090</w:t>
            </w:r>
          </w:p>
        </w:tc>
        <w:tc>
          <w:tcPr>
            <w:tcW w:w="14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66.727,49</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66,27</w:t>
            </w:r>
          </w:p>
        </w:tc>
        <w:tc>
          <w:tcPr>
            <w:tcW w:w="1541"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9.936,64</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9,87</w:t>
            </w:r>
          </w:p>
        </w:tc>
        <w:tc>
          <w:tcPr>
            <w:tcW w:w="1132"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24.028,14</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23,86</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100.692,27</w:t>
            </w:r>
          </w:p>
        </w:tc>
      </w:tr>
      <w:tr w:rsidR="003E6891" w:rsidRPr="00666764" w:rsidTr="003E6891">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3E6891" w:rsidRPr="00666764" w:rsidRDefault="003E6891">
            <w:pPr>
              <w:rPr>
                <w:sz w:val="20"/>
                <w:szCs w:val="20"/>
              </w:rPr>
            </w:pPr>
            <w:r>
              <w:rPr>
                <w:sz w:val="20"/>
                <w:szCs w:val="20"/>
              </w:rPr>
              <w:t>15.–</w:t>
            </w:r>
            <w:r>
              <w:rPr>
                <w:sz w:val="20"/>
                <w:szCs w:val="20"/>
              </w:rPr>
              <w:lastRenderedPageBreak/>
              <w:t>GIZARTERATZEA GMHZ</w:t>
            </w:r>
          </w:p>
        </w:tc>
        <w:tc>
          <w:tcPr>
            <w:tcW w:w="981"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lastRenderedPageBreak/>
              <w:t>Lehena</w:t>
            </w:r>
          </w:p>
        </w:tc>
        <w:tc>
          <w:tcPr>
            <w:tcW w:w="123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1,131</w:t>
            </w:r>
          </w:p>
        </w:tc>
        <w:tc>
          <w:tcPr>
            <w:tcW w:w="155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0,609</w:t>
            </w:r>
          </w:p>
        </w:tc>
        <w:tc>
          <w:tcPr>
            <w:tcW w:w="14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70.244,82</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71,04</w:t>
            </w:r>
          </w:p>
        </w:tc>
        <w:tc>
          <w:tcPr>
            <w:tcW w:w="1541"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11.092,74</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11,22</w:t>
            </w:r>
          </w:p>
        </w:tc>
        <w:tc>
          <w:tcPr>
            <w:tcW w:w="1132"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17.541,98</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17,74</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98.879,54</w:t>
            </w:r>
          </w:p>
        </w:tc>
      </w:tr>
      <w:tr w:rsidR="003E6891" w:rsidRPr="00666764" w:rsidTr="003E6891">
        <w:trPr>
          <w:trHeight w:val="255"/>
        </w:trPr>
        <w:tc>
          <w:tcPr>
            <w:tcW w:w="0" w:type="auto"/>
            <w:vMerge/>
            <w:tcBorders>
              <w:top w:val="nil"/>
              <w:left w:val="single" w:sz="4" w:space="0" w:color="auto"/>
              <w:bottom w:val="single" w:sz="4" w:space="0" w:color="000000"/>
              <w:right w:val="single" w:sz="4" w:space="0" w:color="auto"/>
            </w:tcBorders>
            <w:vAlign w:val="center"/>
            <w:hideMark/>
          </w:tcPr>
          <w:p w:rsidR="003E6891" w:rsidRPr="00666764" w:rsidRDefault="003E6891">
            <w:pPr>
              <w:rPr>
                <w:sz w:val="20"/>
                <w:szCs w:val="20"/>
                <w:lang w:val="es-ES_tradnl"/>
              </w:rPr>
            </w:pPr>
          </w:p>
        </w:tc>
        <w:tc>
          <w:tcPr>
            <w:tcW w:w="981"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2º</w:t>
            </w:r>
          </w:p>
        </w:tc>
        <w:tc>
          <w:tcPr>
            <w:tcW w:w="123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0,870</w:t>
            </w:r>
          </w:p>
        </w:tc>
        <w:tc>
          <w:tcPr>
            <w:tcW w:w="1554"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0,609</w:t>
            </w:r>
          </w:p>
        </w:tc>
        <w:tc>
          <w:tcPr>
            <w:tcW w:w="14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59.384,82</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68,81</w:t>
            </w:r>
          </w:p>
        </w:tc>
        <w:tc>
          <w:tcPr>
            <w:tcW w:w="1541"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9.377,77</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10,87</w:t>
            </w:r>
          </w:p>
        </w:tc>
        <w:tc>
          <w:tcPr>
            <w:tcW w:w="1132"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17.541,98</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center"/>
              <w:rPr>
                <w:sz w:val="20"/>
                <w:szCs w:val="20"/>
              </w:rPr>
            </w:pPr>
            <w:r>
              <w:rPr>
                <w:sz w:val="20"/>
                <w:szCs w:val="20"/>
              </w:rPr>
              <w:t>% 20,33</w:t>
            </w:r>
          </w:p>
        </w:tc>
        <w:tc>
          <w:tcPr>
            <w:tcW w:w="1247" w:type="dxa"/>
            <w:tcBorders>
              <w:top w:val="nil"/>
              <w:left w:val="nil"/>
              <w:bottom w:val="single" w:sz="4" w:space="0" w:color="auto"/>
              <w:right w:val="single" w:sz="4" w:space="0" w:color="auto"/>
            </w:tcBorders>
            <w:noWrap/>
            <w:vAlign w:val="bottom"/>
            <w:hideMark/>
          </w:tcPr>
          <w:p w:rsidR="003E6891" w:rsidRPr="00666764" w:rsidRDefault="003E6891">
            <w:pPr>
              <w:jc w:val="right"/>
              <w:rPr>
                <w:sz w:val="20"/>
                <w:szCs w:val="20"/>
              </w:rPr>
            </w:pPr>
            <w:r>
              <w:rPr>
                <w:sz w:val="20"/>
                <w:szCs w:val="20"/>
              </w:rPr>
              <w:t>86.304,57</w:t>
            </w:r>
          </w:p>
        </w:tc>
      </w:tr>
    </w:tbl>
    <w:p w:rsidR="003E6891" w:rsidRDefault="003E6891" w:rsidP="003E6891">
      <w:pPr>
        <w:pStyle w:val="DICTA-TEXTO"/>
        <w:jc w:val="center"/>
        <w:rPr>
          <w:rFonts w:cs="Arial"/>
          <w:szCs w:val="24"/>
          <w:lang w:val="es-ES_tradnl"/>
        </w:rPr>
      </w:pPr>
    </w:p>
    <w:p w:rsidR="003E6891" w:rsidRPr="00666764" w:rsidRDefault="003E6891" w:rsidP="003E6891">
      <w:pPr>
        <w:keepLines/>
        <w:jc w:val="center"/>
      </w:pPr>
      <w:r>
        <w:br w:type="page"/>
      </w:r>
      <w:r>
        <w:lastRenderedPageBreak/>
        <w:t>OINARRIZKO LANBIDE HEZIKETA</w:t>
      </w:r>
    </w:p>
    <w:p w:rsidR="003E6891" w:rsidRDefault="003E6891" w:rsidP="003E6891">
      <w:pPr>
        <w:keepLines/>
        <w:jc w:val="center"/>
        <w:rPr>
          <w:lang w:val="es-ES_tradnl"/>
        </w:rPr>
      </w:pPr>
    </w:p>
    <w:p w:rsidR="003E6891" w:rsidRDefault="003E6891" w:rsidP="003E6891">
      <w:pPr>
        <w:keepLines/>
        <w:jc w:val="both"/>
        <w:rPr>
          <w:lang w:val="es-ES_tradnl"/>
        </w:rPr>
      </w:pPr>
    </w:p>
    <w:tbl>
      <w:tblPr>
        <w:tblW w:w="13482" w:type="dxa"/>
        <w:tblInd w:w="55" w:type="dxa"/>
        <w:tblCellMar>
          <w:left w:w="70" w:type="dxa"/>
          <w:right w:w="70" w:type="dxa"/>
        </w:tblCellMar>
        <w:tblLook w:val="04A0" w:firstRow="1" w:lastRow="0" w:firstColumn="1" w:lastColumn="0" w:noHBand="0" w:noVBand="1"/>
      </w:tblPr>
      <w:tblGrid>
        <w:gridCol w:w="1741"/>
        <w:gridCol w:w="1554"/>
        <w:gridCol w:w="1581"/>
        <w:gridCol w:w="1701"/>
        <w:gridCol w:w="1581"/>
        <w:gridCol w:w="1407"/>
        <w:gridCol w:w="1901"/>
        <w:gridCol w:w="1407"/>
        <w:gridCol w:w="1154"/>
        <w:gridCol w:w="1407"/>
        <w:gridCol w:w="1467"/>
      </w:tblGrid>
      <w:tr w:rsidR="003E6891" w:rsidTr="003E6891">
        <w:trPr>
          <w:trHeight w:val="255"/>
        </w:trPr>
        <w:tc>
          <w:tcPr>
            <w:tcW w:w="3455" w:type="dxa"/>
            <w:vMerge w:val="restart"/>
            <w:tcBorders>
              <w:top w:val="single" w:sz="4" w:space="0" w:color="auto"/>
              <w:left w:val="single" w:sz="4" w:space="0" w:color="auto"/>
              <w:bottom w:val="single" w:sz="4" w:space="0" w:color="000000"/>
              <w:right w:val="single" w:sz="4" w:space="0" w:color="auto"/>
            </w:tcBorders>
            <w:vAlign w:val="center"/>
            <w:hideMark/>
          </w:tcPr>
          <w:p w:rsidR="003E6891" w:rsidRDefault="003E6891">
            <w:pPr>
              <w:jc w:val="center"/>
              <w:rPr>
                <w:b/>
                <w:bCs/>
              </w:rPr>
            </w:pPr>
            <w:r>
              <w:rPr>
                <w:b/>
                <w:bCs/>
              </w:rPr>
              <w:t>OINARRIZKO LANBIDE HEZIKETA</w:t>
            </w:r>
          </w:p>
        </w:tc>
        <w:tc>
          <w:tcPr>
            <w:tcW w:w="768" w:type="dxa"/>
            <w:vMerge w:val="restart"/>
            <w:tcBorders>
              <w:top w:val="single" w:sz="4" w:space="0" w:color="auto"/>
              <w:left w:val="single" w:sz="4" w:space="0" w:color="auto"/>
              <w:bottom w:val="single" w:sz="4" w:space="0" w:color="000000"/>
              <w:right w:val="single" w:sz="4" w:space="0" w:color="auto"/>
            </w:tcBorders>
            <w:vAlign w:val="center"/>
            <w:hideMark/>
          </w:tcPr>
          <w:p w:rsidR="003E6891" w:rsidRDefault="003E6891">
            <w:pPr>
              <w:jc w:val="center"/>
              <w:rPr>
                <w:b/>
                <w:bCs/>
              </w:rPr>
            </w:pPr>
            <w:r>
              <w:rPr>
                <w:b/>
                <w:bCs/>
              </w:rPr>
              <w:t>IKASMAILA</w:t>
            </w:r>
          </w:p>
        </w:tc>
        <w:tc>
          <w:tcPr>
            <w:tcW w:w="2075" w:type="dxa"/>
            <w:gridSpan w:val="2"/>
            <w:tcBorders>
              <w:top w:val="single" w:sz="4" w:space="0" w:color="auto"/>
              <w:left w:val="nil"/>
              <w:bottom w:val="single" w:sz="4" w:space="0" w:color="auto"/>
              <w:right w:val="single" w:sz="4" w:space="0" w:color="000000"/>
            </w:tcBorders>
            <w:vAlign w:val="center"/>
            <w:hideMark/>
          </w:tcPr>
          <w:p w:rsidR="003E6891" w:rsidRDefault="003E6891">
            <w:pPr>
              <w:jc w:val="center"/>
              <w:rPr>
                <w:b/>
                <w:bCs/>
              </w:rPr>
            </w:pPr>
            <w:r>
              <w:rPr>
                <w:b/>
                <w:bCs/>
              </w:rPr>
              <w:t>IRAKASLE RATIOA</w:t>
            </w:r>
          </w:p>
        </w:tc>
        <w:tc>
          <w:tcPr>
            <w:tcW w:w="1230" w:type="dxa"/>
            <w:vMerge w:val="restart"/>
            <w:tcBorders>
              <w:top w:val="single" w:sz="4" w:space="0" w:color="auto"/>
              <w:left w:val="single" w:sz="4" w:space="0" w:color="auto"/>
              <w:bottom w:val="single" w:sz="4" w:space="0" w:color="000000"/>
              <w:right w:val="single" w:sz="4" w:space="0" w:color="auto"/>
            </w:tcBorders>
            <w:vAlign w:val="center"/>
            <w:hideMark/>
          </w:tcPr>
          <w:p w:rsidR="003E6891" w:rsidRDefault="003E6891">
            <w:pPr>
              <w:jc w:val="center"/>
              <w:rPr>
                <w:b/>
                <w:bCs/>
              </w:rPr>
            </w:pPr>
            <w:r>
              <w:rPr>
                <w:b/>
                <w:bCs/>
              </w:rPr>
              <w:t>LANGILEEN SOLDATAK</w:t>
            </w:r>
          </w:p>
        </w:tc>
        <w:tc>
          <w:tcPr>
            <w:tcW w:w="992" w:type="dxa"/>
            <w:vMerge w:val="restart"/>
            <w:tcBorders>
              <w:top w:val="single" w:sz="4" w:space="0" w:color="auto"/>
              <w:left w:val="single" w:sz="4" w:space="0" w:color="auto"/>
              <w:bottom w:val="single" w:sz="4" w:space="0" w:color="000000"/>
              <w:right w:val="single" w:sz="4" w:space="0" w:color="auto"/>
            </w:tcBorders>
            <w:vAlign w:val="center"/>
            <w:hideMark/>
          </w:tcPr>
          <w:p w:rsidR="003E6891" w:rsidRDefault="003E6891">
            <w:pPr>
              <w:jc w:val="center"/>
              <w:rPr>
                <w:b/>
                <w:bCs/>
              </w:rPr>
            </w:pPr>
            <w:r>
              <w:rPr>
                <w:b/>
                <w:bCs/>
              </w:rPr>
              <w:t>MODULUA (%)</w:t>
            </w:r>
          </w:p>
        </w:tc>
        <w:tc>
          <w:tcPr>
            <w:tcW w:w="1065" w:type="dxa"/>
            <w:vMerge w:val="restart"/>
            <w:tcBorders>
              <w:top w:val="single" w:sz="4" w:space="0" w:color="auto"/>
              <w:left w:val="single" w:sz="4" w:space="0" w:color="auto"/>
              <w:bottom w:val="single" w:sz="4" w:space="0" w:color="000000"/>
              <w:right w:val="single" w:sz="4" w:space="0" w:color="auto"/>
            </w:tcBorders>
            <w:vAlign w:val="center"/>
            <w:hideMark/>
          </w:tcPr>
          <w:p w:rsidR="003E6891" w:rsidRDefault="003E6891">
            <w:pPr>
              <w:jc w:val="center"/>
              <w:rPr>
                <w:b/>
                <w:bCs/>
              </w:rPr>
            </w:pPr>
            <w:r>
              <w:rPr>
                <w:b/>
                <w:bCs/>
              </w:rPr>
              <w:t>GASTU ALDAKORRAK</w:t>
            </w:r>
          </w:p>
        </w:tc>
        <w:tc>
          <w:tcPr>
            <w:tcW w:w="852" w:type="dxa"/>
            <w:vMerge w:val="restart"/>
            <w:tcBorders>
              <w:top w:val="single" w:sz="4" w:space="0" w:color="auto"/>
              <w:left w:val="single" w:sz="4" w:space="0" w:color="auto"/>
              <w:bottom w:val="single" w:sz="4" w:space="0" w:color="000000"/>
              <w:right w:val="single" w:sz="4" w:space="0" w:color="auto"/>
            </w:tcBorders>
            <w:vAlign w:val="center"/>
            <w:hideMark/>
          </w:tcPr>
          <w:p w:rsidR="003E6891" w:rsidRDefault="003E6891">
            <w:pPr>
              <w:jc w:val="center"/>
              <w:rPr>
                <w:b/>
                <w:bCs/>
              </w:rPr>
            </w:pPr>
            <w:r>
              <w:rPr>
                <w:b/>
                <w:bCs/>
              </w:rPr>
              <w:t>MODULUA (%)</w:t>
            </w:r>
          </w:p>
        </w:tc>
        <w:tc>
          <w:tcPr>
            <w:tcW w:w="1060" w:type="dxa"/>
            <w:vMerge w:val="restart"/>
            <w:tcBorders>
              <w:top w:val="single" w:sz="4" w:space="0" w:color="auto"/>
              <w:left w:val="single" w:sz="4" w:space="0" w:color="auto"/>
              <w:bottom w:val="single" w:sz="4" w:space="0" w:color="000000"/>
              <w:right w:val="single" w:sz="4" w:space="0" w:color="auto"/>
            </w:tcBorders>
            <w:vAlign w:val="center"/>
            <w:hideMark/>
          </w:tcPr>
          <w:p w:rsidR="003E6891" w:rsidRDefault="003E6891">
            <w:pPr>
              <w:jc w:val="center"/>
              <w:rPr>
                <w:b/>
                <w:bCs/>
              </w:rPr>
            </w:pPr>
            <w:r>
              <w:rPr>
                <w:b/>
                <w:bCs/>
              </w:rPr>
              <w:t>BESTE GASTU BATZUK</w:t>
            </w:r>
          </w:p>
        </w:tc>
        <w:tc>
          <w:tcPr>
            <w:tcW w:w="852" w:type="dxa"/>
            <w:vMerge w:val="restart"/>
            <w:tcBorders>
              <w:top w:val="single" w:sz="4" w:space="0" w:color="auto"/>
              <w:left w:val="single" w:sz="4" w:space="0" w:color="auto"/>
              <w:bottom w:val="single" w:sz="4" w:space="0" w:color="000000"/>
              <w:right w:val="single" w:sz="4" w:space="0" w:color="auto"/>
            </w:tcBorders>
            <w:vAlign w:val="center"/>
            <w:hideMark/>
          </w:tcPr>
          <w:p w:rsidR="003E6891" w:rsidRDefault="003E6891">
            <w:pPr>
              <w:jc w:val="center"/>
              <w:rPr>
                <w:b/>
                <w:bCs/>
              </w:rPr>
            </w:pPr>
            <w:r>
              <w:rPr>
                <w:b/>
                <w:bCs/>
              </w:rPr>
              <w:t>MODULUA (%)</w:t>
            </w:r>
          </w:p>
        </w:tc>
        <w:tc>
          <w:tcPr>
            <w:tcW w:w="1133" w:type="dxa"/>
            <w:vMerge w:val="restart"/>
            <w:tcBorders>
              <w:top w:val="single" w:sz="4" w:space="0" w:color="auto"/>
              <w:left w:val="single" w:sz="4" w:space="0" w:color="auto"/>
              <w:bottom w:val="single" w:sz="4" w:space="0" w:color="000000"/>
              <w:right w:val="single" w:sz="4" w:space="0" w:color="auto"/>
            </w:tcBorders>
            <w:vAlign w:val="center"/>
            <w:hideMark/>
          </w:tcPr>
          <w:p w:rsidR="003E6891" w:rsidRDefault="003E6891">
            <w:pPr>
              <w:jc w:val="center"/>
              <w:rPr>
                <w:b/>
                <w:bCs/>
              </w:rPr>
            </w:pPr>
            <w:r>
              <w:rPr>
                <w:b/>
                <w:bCs/>
              </w:rPr>
              <w:t>MODULUA, GUZTIRA</w:t>
            </w:r>
          </w:p>
        </w:tc>
      </w:tr>
      <w:tr w:rsidR="003E6891" w:rsidTr="003E6891">
        <w:trPr>
          <w:trHeight w:val="25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E6891" w:rsidRDefault="003E6891">
            <w:pPr>
              <w:rPr>
                <w:b/>
                <w:bCs/>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6891" w:rsidRDefault="003E6891">
            <w:pPr>
              <w:rPr>
                <w:b/>
                <w:bCs/>
                <w:lang w:val="es-ES_tradnl"/>
              </w:rPr>
            </w:pPr>
          </w:p>
        </w:tc>
        <w:tc>
          <w:tcPr>
            <w:tcW w:w="992" w:type="dxa"/>
            <w:tcBorders>
              <w:top w:val="nil"/>
              <w:left w:val="nil"/>
              <w:bottom w:val="single" w:sz="4" w:space="0" w:color="auto"/>
              <w:right w:val="single" w:sz="4" w:space="0" w:color="auto"/>
            </w:tcBorders>
            <w:noWrap/>
            <w:vAlign w:val="center"/>
            <w:hideMark/>
          </w:tcPr>
          <w:p w:rsidR="003E6891" w:rsidRDefault="003E6891">
            <w:pPr>
              <w:jc w:val="center"/>
              <w:rPr>
                <w:b/>
                <w:bCs/>
              </w:rPr>
            </w:pPr>
            <w:r>
              <w:rPr>
                <w:b/>
                <w:bCs/>
              </w:rPr>
              <w:t>TITULARRA</w:t>
            </w:r>
          </w:p>
        </w:tc>
        <w:tc>
          <w:tcPr>
            <w:tcW w:w="1083" w:type="dxa"/>
            <w:tcBorders>
              <w:top w:val="nil"/>
              <w:left w:val="nil"/>
              <w:bottom w:val="single" w:sz="4" w:space="0" w:color="auto"/>
              <w:right w:val="nil"/>
            </w:tcBorders>
            <w:noWrap/>
            <w:vAlign w:val="center"/>
            <w:hideMark/>
          </w:tcPr>
          <w:p w:rsidR="003E6891" w:rsidRDefault="003E6891">
            <w:pPr>
              <w:jc w:val="center"/>
              <w:rPr>
                <w:b/>
                <w:bCs/>
              </w:rPr>
            </w:pPr>
            <w:r>
              <w:rPr>
                <w:b/>
                <w:bCs/>
              </w:rPr>
              <w:t>AGREGATUA</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6891" w:rsidRDefault="003E6891">
            <w:pPr>
              <w:rPr>
                <w:b/>
                <w:bCs/>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6891" w:rsidRDefault="003E6891">
            <w:pPr>
              <w:rPr>
                <w:b/>
                <w:bCs/>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6891" w:rsidRDefault="003E6891">
            <w:pPr>
              <w:rPr>
                <w:b/>
                <w:bCs/>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6891" w:rsidRDefault="003E6891">
            <w:pPr>
              <w:rPr>
                <w:b/>
                <w:bCs/>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6891" w:rsidRDefault="003E6891">
            <w:pPr>
              <w:rPr>
                <w:b/>
                <w:bCs/>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6891" w:rsidRDefault="003E6891">
            <w:pPr>
              <w:rPr>
                <w:b/>
                <w:bCs/>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6891" w:rsidRDefault="003E6891">
            <w:pPr>
              <w:rPr>
                <w:b/>
                <w:bCs/>
                <w:lang w:val="es-ES_tradnl"/>
              </w:rPr>
            </w:pPr>
          </w:p>
        </w:tc>
      </w:tr>
      <w:tr w:rsidR="003E6891" w:rsidTr="003E6891">
        <w:trPr>
          <w:trHeight w:val="255"/>
        </w:trPr>
        <w:tc>
          <w:tcPr>
            <w:tcW w:w="3455" w:type="dxa"/>
            <w:vMerge w:val="restart"/>
            <w:tcBorders>
              <w:top w:val="nil"/>
              <w:left w:val="single" w:sz="4" w:space="0" w:color="auto"/>
              <w:bottom w:val="single" w:sz="4" w:space="0" w:color="000000"/>
              <w:right w:val="single" w:sz="4" w:space="0" w:color="auto"/>
            </w:tcBorders>
            <w:vAlign w:val="center"/>
            <w:hideMark/>
          </w:tcPr>
          <w:p w:rsidR="003E6891" w:rsidRDefault="003E6891">
            <w:r>
              <w:t>Merkataritza zerbitzuak</w:t>
            </w:r>
          </w:p>
        </w:tc>
        <w:tc>
          <w:tcPr>
            <w:tcW w:w="768" w:type="dxa"/>
            <w:tcBorders>
              <w:top w:val="nil"/>
              <w:left w:val="nil"/>
              <w:bottom w:val="single" w:sz="4" w:space="0" w:color="auto"/>
              <w:right w:val="single" w:sz="4" w:space="0" w:color="auto"/>
            </w:tcBorders>
            <w:noWrap/>
            <w:vAlign w:val="bottom"/>
            <w:hideMark/>
          </w:tcPr>
          <w:p w:rsidR="003E6891" w:rsidRDefault="003E6891">
            <w:pPr>
              <w:jc w:val="center"/>
            </w:pPr>
            <w:r>
              <w:t>Lehena</w:t>
            </w:r>
          </w:p>
        </w:tc>
        <w:tc>
          <w:tcPr>
            <w:tcW w:w="992" w:type="dxa"/>
            <w:tcBorders>
              <w:top w:val="nil"/>
              <w:left w:val="nil"/>
              <w:bottom w:val="single" w:sz="4" w:space="0" w:color="auto"/>
              <w:right w:val="single" w:sz="4" w:space="0" w:color="auto"/>
            </w:tcBorders>
            <w:noWrap/>
            <w:vAlign w:val="bottom"/>
            <w:hideMark/>
          </w:tcPr>
          <w:p w:rsidR="003E6891" w:rsidRDefault="003E6891">
            <w:pPr>
              <w:jc w:val="center"/>
            </w:pPr>
            <w:r>
              <w:t>0,522</w:t>
            </w:r>
          </w:p>
        </w:tc>
        <w:tc>
          <w:tcPr>
            <w:tcW w:w="1083" w:type="dxa"/>
            <w:tcBorders>
              <w:top w:val="nil"/>
              <w:left w:val="nil"/>
              <w:bottom w:val="single" w:sz="4" w:space="0" w:color="auto"/>
              <w:right w:val="single" w:sz="4" w:space="0" w:color="auto"/>
            </w:tcBorders>
            <w:noWrap/>
            <w:vAlign w:val="bottom"/>
            <w:hideMark/>
          </w:tcPr>
          <w:p w:rsidR="003E6891" w:rsidRDefault="003E6891">
            <w:pPr>
              <w:jc w:val="center"/>
            </w:pPr>
            <w:r>
              <w:t>0,783</w:t>
            </w:r>
          </w:p>
        </w:tc>
        <w:tc>
          <w:tcPr>
            <w:tcW w:w="1230" w:type="dxa"/>
            <w:tcBorders>
              <w:top w:val="nil"/>
              <w:left w:val="nil"/>
              <w:bottom w:val="single" w:sz="4" w:space="0" w:color="auto"/>
              <w:right w:val="single" w:sz="4" w:space="0" w:color="auto"/>
            </w:tcBorders>
            <w:noWrap/>
            <w:vAlign w:val="bottom"/>
            <w:hideMark/>
          </w:tcPr>
          <w:p w:rsidR="003E6891" w:rsidRDefault="003E6891">
            <w:pPr>
              <w:jc w:val="right"/>
            </w:pPr>
            <w:r>
              <w:t>51.581,45</w:t>
            </w:r>
          </w:p>
        </w:tc>
        <w:tc>
          <w:tcPr>
            <w:tcW w:w="992" w:type="dxa"/>
            <w:tcBorders>
              <w:top w:val="nil"/>
              <w:left w:val="nil"/>
              <w:bottom w:val="single" w:sz="4" w:space="0" w:color="auto"/>
              <w:right w:val="single" w:sz="4" w:space="0" w:color="auto"/>
            </w:tcBorders>
            <w:noWrap/>
            <w:vAlign w:val="bottom"/>
            <w:hideMark/>
          </w:tcPr>
          <w:p w:rsidR="003E6891" w:rsidRDefault="003E6891">
            <w:pPr>
              <w:jc w:val="center"/>
            </w:pPr>
            <w:r>
              <w:t>% 66,11</w:t>
            </w:r>
          </w:p>
        </w:tc>
        <w:tc>
          <w:tcPr>
            <w:tcW w:w="1065" w:type="dxa"/>
            <w:tcBorders>
              <w:top w:val="nil"/>
              <w:left w:val="nil"/>
              <w:bottom w:val="single" w:sz="4" w:space="0" w:color="auto"/>
              <w:right w:val="single" w:sz="4" w:space="0" w:color="auto"/>
            </w:tcBorders>
            <w:noWrap/>
            <w:vAlign w:val="bottom"/>
            <w:hideMark/>
          </w:tcPr>
          <w:p w:rsidR="003E6891" w:rsidRDefault="003E6891">
            <w:pPr>
              <w:jc w:val="right"/>
            </w:pPr>
            <w:r>
              <w:t>8.997,52</w:t>
            </w:r>
          </w:p>
        </w:tc>
        <w:tc>
          <w:tcPr>
            <w:tcW w:w="852" w:type="dxa"/>
            <w:tcBorders>
              <w:top w:val="nil"/>
              <w:left w:val="nil"/>
              <w:bottom w:val="single" w:sz="4" w:space="0" w:color="auto"/>
              <w:right w:val="single" w:sz="4" w:space="0" w:color="auto"/>
            </w:tcBorders>
            <w:noWrap/>
            <w:vAlign w:val="bottom"/>
            <w:hideMark/>
          </w:tcPr>
          <w:p w:rsidR="003E6891" w:rsidRDefault="003E6891">
            <w:pPr>
              <w:jc w:val="center"/>
            </w:pPr>
            <w:r>
              <w:t>% 11,53</w:t>
            </w:r>
          </w:p>
        </w:tc>
        <w:tc>
          <w:tcPr>
            <w:tcW w:w="1060" w:type="dxa"/>
            <w:tcBorders>
              <w:top w:val="nil"/>
              <w:left w:val="nil"/>
              <w:bottom w:val="single" w:sz="4" w:space="0" w:color="auto"/>
              <w:right w:val="single" w:sz="4" w:space="0" w:color="auto"/>
            </w:tcBorders>
            <w:noWrap/>
            <w:vAlign w:val="bottom"/>
            <w:hideMark/>
          </w:tcPr>
          <w:p w:rsidR="003E6891" w:rsidRDefault="003E6891">
            <w:pPr>
              <w:jc w:val="right"/>
            </w:pPr>
            <w:r>
              <w:t>17.441,16</w:t>
            </w:r>
          </w:p>
        </w:tc>
        <w:tc>
          <w:tcPr>
            <w:tcW w:w="852" w:type="dxa"/>
            <w:tcBorders>
              <w:top w:val="nil"/>
              <w:left w:val="nil"/>
              <w:bottom w:val="single" w:sz="4" w:space="0" w:color="auto"/>
              <w:right w:val="single" w:sz="4" w:space="0" w:color="auto"/>
            </w:tcBorders>
            <w:noWrap/>
            <w:vAlign w:val="bottom"/>
            <w:hideMark/>
          </w:tcPr>
          <w:p w:rsidR="003E6891" w:rsidRDefault="003E6891">
            <w:pPr>
              <w:jc w:val="center"/>
            </w:pPr>
            <w:r>
              <w:t>% 22,35</w:t>
            </w:r>
          </w:p>
        </w:tc>
        <w:tc>
          <w:tcPr>
            <w:tcW w:w="1133" w:type="dxa"/>
            <w:tcBorders>
              <w:top w:val="nil"/>
              <w:left w:val="nil"/>
              <w:bottom w:val="single" w:sz="4" w:space="0" w:color="auto"/>
              <w:right w:val="single" w:sz="4" w:space="0" w:color="auto"/>
            </w:tcBorders>
            <w:noWrap/>
            <w:vAlign w:val="bottom"/>
            <w:hideMark/>
          </w:tcPr>
          <w:p w:rsidR="003E6891" w:rsidRDefault="003E6891">
            <w:pPr>
              <w:jc w:val="right"/>
            </w:pPr>
            <w:r>
              <w:t>78.020,13</w:t>
            </w:r>
          </w:p>
        </w:tc>
      </w:tr>
      <w:tr w:rsidR="003E6891" w:rsidTr="003E6891">
        <w:trPr>
          <w:trHeight w:val="255"/>
        </w:trPr>
        <w:tc>
          <w:tcPr>
            <w:tcW w:w="0" w:type="auto"/>
            <w:vMerge/>
            <w:tcBorders>
              <w:top w:val="nil"/>
              <w:left w:val="single" w:sz="4" w:space="0" w:color="auto"/>
              <w:bottom w:val="single" w:sz="4" w:space="0" w:color="000000"/>
              <w:right w:val="single" w:sz="4" w:space="0" w:color="auto"/>
            </w:tcBorders>
            <w:vAlign w:val="center"/>
            <w:hideMark/>
          </w:tcPr>
          <w:p w:rsidR="003E6891" w:rsidRDefault="003E6891">
            <w:pPr>
              <w:rPr>
                <w:lang w:val="es-ES_tradnl"/>
              </w:rPr>
            </w:pPr>
          </w:p>
        </w:tc>
        <w:tc>
          <w:tcPr>
            <w:tcW w:w="768" w:type="dxa"/>
            <w:tcBorders>
              <w:top w:val="nil"/>
              <w:left w:val="nil"/>
              <w:bottom w:val="single" w:sz="4" w:space="0" w:color="auto"/>
              <w:right w:val="single" w:sz="4" w:space="0" w:color="auto"/>
            </w:tcBorders>
            <w:noWrap/>
            <w:vAlign w:val="bottom"/>
            <w:hideMark/>
          </w:tcPr>
          <w:p w:rsidR="003E6891" w:rsidRDefault="003E6891">
            <w:pPr>
              <w:jc w:val="center"/>
            </w:pPr>
            <w:r>
              <w:t>2º</w:t>
            </w:r>
          </w:p>
        </w:tc>
        <w:tc>
          <w:tcPr>
            <w:tcW w:w="992" w:type="dxa"/>
            <w:tcBorders>
              <w:top w:val="nil"/>
              <w:left w:val="nil"/>
              <w:bottom w:val="single" w:sz="4" w:space="0" w:color="auto"/>
              <w:right w:val="single" w:sz="4" w:space="0" w:color="auto"/>
            </w:tcBorders>
            <w:noWrap/>
            <w:vAlign w:val="bottom"/>
            <w:hideMark/>
          </w:tcPr>
          <w:p w:rsidR="003E6891" w:rsidRDefault="003E6891">
            <w:pPr>
              <w:jc w:val="center"/>
            </w:pPr>
            <w:r>
              <w:t>0,522</w:t>
            </w:r>
          </w:p>
        </w:tc>
        <w:tc>
          <w:tcPr>
            <w:tcW w:w="1083" w:type="dxa"/>
            <w:tcBorders>
              <w:top w:val="nil"/>
              <w:left w:val="nil"/>
              <w:bottom w:val="single" w:sz="4" w:space="0" w:color="auto"/>
              <w:right w:val="single" w:sz="4" w:space="0" w:color="auto"/>
            </w:tcBorders>
            <w:noWrap/>
            <w:vAlign w:val="bottom"/>
            <w:hideMark/>
          </w:tcPr>
          <w:p w:rsidR="003E6891" w:rsidRDefault="003E6891">
            <w:pPr>
              <w:jc w:val="center"/>
            </w:pPr>
            <w:r>
              <w:t>0,783</w:t>
            </w:r>
          </w:p>
        </w:tc>
        <w:tc>
          <w:tcPr>
            <w:tcW w:w="1230" w:type="dxa"/>
            <w:tcBorders>
              <w:top w:val="nil"/>
              <w:left w:val="nil"/>
              <w:bottom w:val="single" w:sz="4" w:space="0" w:color="auto"/>
              <w:right w:val="single" w:sz="4" w:space="0" w:color="auto"/>
            </w:tcBorders>
            <w:noWrap/>
            <w:vAlign w:val="bottom"/>
            <w:hideMark/>
          </w:tcPr>
          <w:p w:rsidR="003E6891" w:rsidRDefault="003E6891">
            <w:pPr>
              <w:jc w:val="right"/>
            </w:pPr>
            <w:r>
              <w:t>51.581,45</w:t>
            </w:r>
          </w:p>
        </w:tc>
        <w:tc>
          <w:tcPr>
            <w:tcW w:w="992" w:type="dxa"/>
            <w:tcBorders>
              <w:top w:val="nil"/>
              <w:left w:val="nil"/>
              <w:bottom w:val="single" w:sz="4" w:space="0" w:color="auto"/>
              <w:right w:val="single" w:sz="4" w:space="0" w:color="auto"/>
            </w:tcBorders>
            <w:noWrap/>
            <w:vAlign w:val="bottom"/>
            <w:hideMark/>
          </w:tcPr>
          <w:p w:rsidR="003E6891" w:rsidRDefault="003E6891">
            <w:pPr>
              <w:jc w:val="center"/>
            </w:pPr>
            <w:r>
              <w:t>% 66,11</w:t>
            </w:r>
          </w:p>
        </w:tc>
        <w:tc>
          <w:tcPr>
            <w:tcW w:w="1065" w:type="dxa"/>
            <w:tcBorders>
              <w:top w:val="nil"/>
              <w:left w:val="nil"/>
              <w:bottom w:val="single" w:sz="4" w:space="0" w:color="auto"/>
              <w:right w:val="single" w:sz="4" w:space="0" w:color="auto"/>
            </w:tcBorders>
            <w:noWrap/>
            <w:vAlign w:val="bottom"/>
            <w:hideMark/>
          </w:tcPr>
          <w:p w:rsidR="003E6891" w:rsidRDefault="003E6891">
            <w:pPr>
              <w:jc w:val="right"/>
            </w:pPr>
            <w:r>
              <w:t>8.997,52</w:t>
            </w:r>
          </w:p>
        </w:tc>
        <w:tc>
          <w:tcPr>
            <w:tcW w:w="852" w:type="dxa"/>
            <w:tcBorders>
              <w:top w:val="nil"/>
              <w:left w:val="nil"/>
              <w:bottom w:val="single" w:sz="4" w:space="0" w:color="auto"/>
              <w:right w:val="single" w:sz="4" w:space="0" w:color="auto"/>
            </w:tcBorders>
            <w:noWrap/>
            <w:vAlign w:val="bottom"/>
            <w:hideMark/>
          </w:tcPr>
          <w:p w:rsidR="003E6891" w:rsidRDefault="003E6891">
            <w:pPr>
              <w:jc w:val="center"/>
            </w:pPr>
            <w:r>
              <w:t>% 11,53</w:t>
            </w:r>
          </w:p>
        </w:tc>
        <w:tc>
          <w:tcPr>
            <w:tcW w:w="1060" w:type="dxa"/>
            <w:tcBorders>
              <w:top w:val="nil"/>
              <w:left w:val="nil"/>
              <w:bottom w:val="single" w:sz="4" w:space="0" w:color="auto"/>
              <w:right w:val="single" w:sz="4" w:space="0" w:color="auto"/>
            </w:tcBorders>
            <w:noWrap/>
            <w:vAlign w:val="bottom"/>
            <w:hideMark/>
          </w:tcPr>
          <w:p w:rsidR="003E6891" w:rsidRDefault="003E6891">
            <w:pPr>
              <w:jc w:val="right"/>
            </w:pPr>
            <w:r>
              <w:t>17.441,16</w:t>
            </w:r>
          </w:p>
        </w:tc>
        <w:tc>
          <w:tcPr>
            <w:tcW w:w="852" w:type="dxa"/>
            <w:tcBorders>
              <w:top w:val="nil"/>
              <w:left w:val="nil"/>
              <w:bottom w:val="single" w:sz="4" w:space="0" w:color="auto"/>
              <w:right w:val="single" w:sz="4" w:space="0" w:color="auto"/>
            </w:tcBorders>
            <w:noWrap/>
            <w:vAlign w:val="bottom"/>
            <w:hideMark/>
          </w:tcPr>
          <w:p w:rsidR="003E6891" w:rsidRDefault="003E6891">
            <w:pPr>
              <w:jc w:val="center"/>
            </w:pPr>
            <w:r>
              <w:t>% 22,35</w:t>
            </w:r>
          </w:p>
        </w:tc>
        <w:tc>
          <w:tcPr>
            <w:tcW w:w="1133" w:type="dxa"/>
            <w:tcBorders>
              <w:top w:val="nil"/>
              <w:left w:val="nil"/>
              <w:bottom w:val="single" w:sz="4" w:space="0" w:color="auto"/>
              <w:right w:val="single" w:sz="4" w:space="0" w:color="auto"/>
            </w:tcBorders>
            <w:noWrap/>
            <w:vAlign w:val="bottom"/>
            <w:hideMark/>
          </w:tcPr>
          <w:p w:rsidR="003E6891" w:rsidRDefault="003E6891">
            <w:pPr>
              <w:jc w:val="right"/>
            </w:pPr>
            <w:r>
              <w:t>78.020,13</w:t>
            </w:r>
          </w:p>
        </w:tc>
      </w:tr>
      <w:tr w:rsidR="003E6891" w:rsidTr="003E6891">
        <w:trPr>
          <w:trHeight w:val="255"/>
        </w:trPr>
        <w:tc>
          <w:tcPr>
            <w:tcW w:w="3455" w:type="dxa"/>
            <w:vMerge w:val="restart"/>
            <w:tcBorders>
              <w:top w:val="nil"/>
              <w:left w:val="single" w:sz="4" w:space="0" w:color="auto"/>
              <w:bottom w:val="single" w:sz="4" w:space="0" w:color="000000"/>
              <w:right w:val="single" w:sz="4" w:space="0" w:color="auto"/>
            </w:tcBorders>
            <w:vAlign w:val="center"/>
            <w:hideMark/>
          </w:tcPr>
          <w:p w:rsidR="003E6891" w:rsidRDefault="003E6891">
            <w:r>
              <w:t>Administrazio zerbitzuak</w:t>
            </w:r>
          </w:p>
        </w:tc>
        <w:tc>
          <w:tcPr>
            <w:tcW w:w="768" w:type="dxa"/>
            <w:tcBorders>
              <w:top w:val="nil"/>
              <w:left w:val="nil"/>
              <w:bottom w:val="single" w:sz="4" w:space="0" w:color="auto"/>
              <w:right w:val="single" w:sz="4" w:space="0" w:color="auto"/>
            </w:tcBorders>
            <w:noWrap/>
            <w:vAlign w:val="bottom"/>
            <w:hideMark/>
          </w:tcPr>
          <w:p w:rsidR="003E6891" w:rsidRDefault="003E6891">
            <w:pPr>
              <w:jc w:val="center"/>
            </w:pPr>
            <w:r>
              <w:t>1.</w:t>
            </w:r>
          </w:p>
        </w:tc>
        <w:tc>
          <w:tcPr>
            <w:tcW w:w="992" w:type="dxa"/>
            <w:tcBorders>
              <w:top w:val="nil"/>
              <w:left w:val="nil"/>
              <w:bottom w:val="single" w:sz="4" w:space="0" w:color="auto"/>
              <w:right w:val="single" w:sz="4" w:space="0" w:color="auto"/>
            </w:tcBorders>
            <w:noWrap/>
            <w:vAlign w:val="bottom"/>
            <w:hideMark/>
          </w:tcPr>
          <w:p w:rsidR="003E6891" w:rsidRDefault="003E6891">
            <w:pPr>
              <w:jc w:val="center"/>
            </w:pPr>
            <w:r>
              <w:t>0,522</w:t>
            </w:r>
          </w:p>
        </w:tc>
        <w:tc>
          <w:tcPr>
            <w:tcW w:w="1083" w:type="dxa"/>
            <w:tcBorders>
              <w:top w:val="nil"/>
              <w:left w:val="nil"/>
              <w:bottom w:val="single" w:sz="4" w:space="0" w:color="auto"/>
              <w:right w:val="single" w:sz="4" w:space="0" w:color="auto"/>
            </w:tcBorders>
            <w:noWrap/>
            <w:vAlign w:val="bottom"/>
            <w:hideMark/>
          </w:tcPr>
          <w:p w:rsidR="003E6891" w:rsidRDefault="003E6891">
            <w:pPr>
              <w:jc w:val="center"/>
            </w:pPr>
            <w:r>
              <w:t>0,783</w:t>
            </w:r>
          </w:p>
        </w:tc>
        <w:tc>
          <w:tcPr>
            <w:tcW w:w="1230" w:type="dxa"/>
            <w:tcBorders>
              <w:top w:val="nil"/>
              <w:left w:val="nil"/>
              <w:bottom w:val="single" w:sz="4" w:space="0" w:color="auto"/>
              <w:right w:val="single" w:sz="4" w:space="0" w:color="auto"/>
            </w:tcBorders>
            <w:noWrap/>
            <w:vAlign w:val="bottom"/>
            <w:hideMark/>
          </w:tcPr>
          <w:p w:rsidR="003E6891" w:rsidRDefault="003E6891">
            <w:pPr>
              <w:jc w:val="right"/>
            </w:pPr>
            <w:r>
              <w:t>51.581,45</w:t>
            </w:r>
          </w:p>
        </w:tc>
        <w:tc>
          <w:tcPr>
            <w:tcW w:w="992" w:type="dxa"/>
            <w:tcBorders>
              <w:top w:val="nil"/>
              <w:left w:val="nil"/>
              <w:bottom w:val="single" w:sz="4" w:space="0" w:color="auto"/>
              <w:right w:val="single" w:sz="4" w:space="0" w:color="auto"/>
            </w:tcBorders>
            <w:noWrap/>
            <w:vAlign w:val="bottom"/>
            <w:hideMark/>
          </w:tcPr>
          <w:p w:rsidR="003E6891" w:rsidRDefault="003E6891">
            <w:pPr>
              <w:jc w:val="center"/>
            </w:pPr>
            <w:r>
              <w:t>% 65,64</w:t>
            </w:r>
          </w:p>
        </w:tc>
        <w:tc>
          <w:tcPr>
            <w:tcW w:w="1065" w:type="dxa"/>
            <w:tcBorders>
              <w:top w:val="nil"/>
              <w:left w:val="nil"/>
              <w:bottom w:val="single" w:sz="4" w:space="0" w:color="auto"/>
              <w:right w:val="single" w:sz="4" w:space="0" w:color="auto"/>
            </w:tcBorders>
            <w:noWrap/>
            <w:vAlign w:val="bottom"/>
            <w:hideMark/>
          </w:tcPr>
          <w:p w:rsidR="003E6891" w:rsidRDefault="003E6891">
            <w:pPr>
              <w:jc w:val="right"/>
            </w:pPr>
            <w:r>
              <w:t>8.997,52</w:t>
            </w:r>
          </w:p>
        </w:tc>
        <w:tc>
          <w:tcPr>
            <w:tcW w:w="852" w:type="dxa"/>
            <w:tcBorders>
              <w:top w:val="nil"/>
              <w:left w:val="nil"/>
              <w:bottom w:val="single" w:sz="4" w:space="0" w:color="auto"/>
              <w:right w:val="single" w:sz="4" w:space="0" w:color="auto"/>
            </w:tcBorders>
            <w:noWrap/>
            <w:vAlign w:val="bottom"/>
            <w:hideMark/>
          </w:tcPr>
          <w:p w:rsidR="003E6891" w:rsidRDefault="003E6891">
            <w:pPr>
              <w:jc w:val="center"/>
            </w:pPr>
            <w:r>
              <w:t>% 11,45</w:t>
            </w:r>
          </w:p>
        </w:tc>
        <w:tc>
          <w:tcPr>
            <w:tcW w:w="1060" w:type="dxa"/>
            <w:tcBorders>
              <w:top w:val="nil"/>
              <w:left w:val="nil"/>
              <w:bottom w:val="single" w:sz="4" w:space="0" w:color="auto"/>
              <w:right w:val="single" w:sz="4" w:space="0" w:color="auto"/>
            </w:tcBorders>
            <w:noWrap/>
            <w:vAlign w:val="bottom"/>
            <w:hideMark/>
          </w:tcPr>
          <w:p w:rsidR="003E6891" w:rsidRDefault="003E6891">
            <w:pPr>
              <w:jc w:val="right"/>
            </w:pPr>
            <w:r>
              <w:t>18.000,04</w:t>
            </w:r>
          </w:p>
        </w:tc>
        <w:tc>
          <w:tcPr>
            <w:tcW w:w="852" w:type="dxa"/>
            <w:tcBorders>
              <w:top w:val="nil"/>
              <w:left w:val="nil"/>
              <w:bottom w:val="single" w:sz="4" w:space="0" w:color="auto"/>
              <w:right w:val="single" w:sz="4" w:space="0" w:color="auto"/>
            </w:tcBorders>
            <w:noWrap/>
            <w:vAlign w:val="bottom"/>
            <w:hideMark/>
          </w:tcPr>
          <w:p w:rsidR="003E6891" w:rsidRDefault="003E6891">
            <w:pPr>
              <w:jc w:val="center"/>
            </w:pPr>
            <w:r>
              <w:t>% 22,91</w:t>
            </w:r>
          </w:p>
        </w:tc>
        <w:tc>
          <w:tcPr>
            <w:tcW w:w="1133" w:type="dxa"/>
            <w:tcBorders>
              <w:top w:val="nil"/>
              <w:left w:val="nil"/>
              <w:bottom w:val="single" w:sz="4" w:space="0" w:color="auto"/>
              <w:right w:val="single" w:sz="4" w:space="0" w:color="auto"/>
            </w:tcBorders>
            <w:noWrap/>
            <w:vAlign w:val="bottom"/>
            <w:hideMark/>
          </w:tcPr>
          <w:p w:rsidR="003E6891" w:rsidRDefault="003E6891">
            <w:pPr>
              <w:jc w:val="right"/>
            </w:pPr>
            <w:r>
              <w:t>78.579,01</w:t>
            </w:r>
          </w:p>
        </w:tc>
      </w:tr>
      <w:tr w:rsidR="003E6891" w:rsidTr="003E6891">
        <w:trPr>
          <w:trHeight w:val="255"/>
        </w:trPr>
        <w:tc>
          <w:tcPr>
            <w:tcW w:w="0" w:type="auto"/>
            <w:vMerge/>
            <w:tcBorders>
              <w:top w:val="nil"/>
              <w:left w:val="single" w:sz="4" w:space="0" w:color="auto"/>
              <w:bottom w:val="single" w:sz="4" w:space="0" w:color="000000"/>
              <w:right w:val="single" w:sz="4" w:space="0" w:color="auto"/>
            </w:tcBorders>
            <w:vAlign w:val="center"/>
            <w:hideMark/>
          </w:tcPr>
          <w:p w:rsidR="003E6891" w:rsidRDefault="003E6891">
            <w:pPr>
              <w:rPr>
                <w:lang w:val="es-ES_tradnl"/>
              </w:rPr>
            </w:pPr>
          </w:p>
        </w:tc>
        <w:tc>
          <w:tcPr>
            <w:tcW w:w="768" w:type="dxa"/>
            <w:tcBorders>
              <w:top w:val="nil"/>
              <w:left w:val="nil"/>
              <w:bottom w:val="single" w:sz="4" w:space="0" w:color="auto"/>
              <w:right w:val="single" w:sz="4" w:space="0" w:color="auto"/>
            </w:tcBorders>
            <w:noWrap/>
            <w:vAlign w:val="bottom"/>
            <w:hideMark/>
          </w:tcPr>
          <w:p w:rsidR="003E6891" w:rsidRDefault="003E6891">
            <w:pPr>
              <w:jc w:val="center"/>
            </w:pPr>
            <w:r>
              <w:t>2º</w:t>
            </w:r>
          </w:p>
        </w:tc>
        <w:tc>
          <w:tcPr>
            <w:tcW w:w="992" w:type="dxa"/>
            <w:tcBorders>
              <w:top w:val="nil"/>
              <w:left w:val="nil"/>
              <w:bottom w:val="single" w:sz="4" w:space="0" w:color="auto"/>
              <w:right w:val="single" w:sz="4" w:space="0" w:color="auto"/>
            </w:tcBorders>
            <w:noWrap/>
            <w:vAlign w:val="bottom"/>
            <w:hideMark/>
          </w:tcPr>
          <w:p w:rsidR="003E6891" w:rsidRDefault="003E6891">
            <w:pPr>
              <w:jc w:val="center"/>
            </w:pPr>
            <w:r>
              <w:t>0,522</w:t>
            </w:r>
          </w:p>
        </w:tc>
        <w:tc>
          <w:tcPr>
            <w:tcW w:w="1083" w:type="dxa"/>
            <w:tcBorders>
              <w:top w:val="nil"/>
              <w:left w:val="nil"/>
              <w:bottom w:val="single" w:sz="4" w:space="0" w:color="auto"/>
              <w:right w:val="single" w:sz="4" w:space="0" w:color="auto"/>
            </w:tcBorders>
            <w:noWrap/>
            <w:vAlign w:val="bottom"/>
            <w:hideMark/>
          </w:tcPr>
          <w:p w:rsidR="003E6891" w:rsidRDefault="003E6891">
            <w:pPr>
              <w:jc w:val="center"/>
            </w:pPr>
            <w:r>
              <w:t>0,783</w:t>
            </w:r>
          </w:p>
        </w:tc>
        <w:tc>
          <w:tcPr>
            <w:tcW w:w="1230" w:type="dxa"/>
            <w:tcBorders>
              <w:top w:val="nil"/>
              <w:left w:val="nil"/>
              <w:bottom w:val="single" w:sz="4" w:space="0" w:color="auto"/>
              <w:right w:val="single" w:sz="4" w:space="0" w:color="auto"/>
            </w:tcBorders>
            <w:noWrap/>
            <w:vAlign w:val="bottom"/>
            <w:hideMark/>
          </w:tcPr>
          <w:p w:rsidR="003E6891" w:rsidRDefault="003E6891">
            <w:pPr>
              <w:jc w:val="right"/>
            </w:pPr>
            <w:r>
              <w:t>51.581,45</w:t>
            </w:r>
          </w:p>
        </w:tc>
        <w:tc>
          <w:tcPr>
            <w:tcW w:w="992" w:type="dxa"/>
            <w:tcBorders>
              <w:top w:val="nil"/>
              <w:left w:val="nil"/>
              <w:bottom w:val="single" w:sz="4" w:space="0" w:color="auto"/>
              <w:right w:val="single" w:sz="4" w:space="0" w:color="auto"/>
            </w:tcBorders>
            <w:noWrap/>
            <w:vAlign w:val="bottom"/>
            <w:hideMark/>
          </w:tcPr>
          <w:p w:rsidR="003E6891" w:rsidRDefault="003E6891">
            <w:pPr>
              <w:jc w:val="center"/>
            </w:pPr>
            <w:r>
              <w:t>% 65,64</w:t>
            </w:r>
          </w:p>
        </w:tc>
        <w:tc>
          <w:tcPr>
            <w:tcW w:w="1065" w:type="dxa"/>
            <w:tcBorders>
              <w:top w:val="nil"/>
              <w:left w:val="nil"/>
              <w:bottom w:val="single" w:sz="4" w:space="0" w:color="auto"/>
              <w:right w:val="single" w:sz="4" w:space="0" w:color="auto"/>
            </w:tcBorders>
            <w:noWrap/>
            <w:vAlign w:val="bottom"/>
            <w:hideMark/>
          </w:tcPr>
          <w:p w:rsidR="003E6891" w:rsidRDefault="003E6891">
            <w:pPr>
              <w:jc w:val="right"/>
            </w:pPr>
            <w:r>
              <w:t>8.997,52</w:t>
            </w:r>
          </w:p>
        </w:tc>
        <w:tc>
          <w:tcPr>
            <w:tcW w:w="852" w:type="dxa"/>
            <w:tcBorders>
              <w:top w:val="nil"/>
              <w:left w:val="nil"/>
              <w:bottom w:val="single" w:sz="4" w:space="0" w:color="auto"/>
              <w:right w:val="single" w:sz="4" w:space="0" w:color="auto"/>
            </w:tcBorders>
            <w:noWrap/>
            <w:vAlign w:val="bottom"/>
            <w:hideMark/>
          </w:tcPr>
          <w:p w:rsidR="003E6891" w:rsidRDefault="003E6891">
            <w:pPr>
              <w:jc w:val="center"/>
            </w:pPr>
            <w:r>
              <w:t>% 11,45</w:t>
            </w:r>
          </w:p>
        </w:tc>
        <w:tc>
          <w:tcPr>
            <w:tcW w:w="1060" w:type="dxa"/>
            <w:tcBorders>
              <w:top w:val="nil"/>
              <w:left w:val="nil"/>
              <w:bottom w:val="single" w:sz="4" w:space="0" w:color="auto"/>
              <w:right w:val="single" w:sz="4" w:space="0" w:color="auto"/>
            </w:tcBorders>
            <w:noWrap/>
            <w:vAlign w:val="bottom"/>
            <w:hideMark/>
          </w:tcPr>
          <w:p w:rsidR="003E6891" w:rsidRDefault="003E6891">
            <w:pPr>
              <w:jc w:val="right"/>
            </w:pPr>
            <w:r>
              <w:t>18.000,04</w:t>
            </w:r>
          </w:p>
        </w:tc>
        <w:tc>
          <w:tcPr>
            <w:tcW w:w="852" w:type="dxa"/>
            <w:tcBorders>
              <w:top w:val="nil"/>
              <w:left w:val="nil"/>
              <w:bottom w:val="single" w:sz="4" w:space="0" w:color="auto"/>
              <w:right w:val="single" w:sz="4" w:space="0" w:color="auto"/>
            </w:tcBorders>
            <w:noWrap/>
            <w:vAlign w:val="bottom"/>
            <w:hideMark/>
          </w:tcPr>
          <w:p w:rsidR="003E6891" w:rsidRDefault="003E6891">
            <w:pPr>
              <w:jc w:val="center"/>
            </w:pPr>
            <w:r>
              <w:t>% 22,91</w:t>
            </w:r>
          </w:p>
        </w:tc>
        <w:tc>
          <w:tcPr>
            <w:tcW w:w="1133" w:type="dxa"/>
            <w:tcBorders>
              <w:top w:val="nil"/>
              <w:left w:val="nil"/>
              <w:bottom w:val="single" w:sz="4" w:space="0" w:color="auto"/>
              <w:right w:val="single" w:sz="4" w:space="0" w:color="auto"/>
            </w:tcBorders>
            <w:noWrap/>
            <w:vAlign w:val="bottom"/>
            <w:hideMark/>
          </w:tcPr>
          <w:p w:rsidR="003E6891" w:rsidRDefault="003E6891">
            <w:pPr>
              <w:jc w:val="right"/>
            </w:pPr>
            <w:r>
              <w:t>78.579,01</w:t>
            </w:r>
          </w:p>
        </w:tc>
      </w:tr>
      <w:tr w:rsidR="003E6891" w:rsidTr="003E6891">
        <w:trPr>
          <w:trHeight w:val="255"/>
        </w:trPr>
        <w:tc>
          <w:tcPr>
            <w:tcW w:w="3455" w:type="dxa"/>
            <w:vMerge w:val="restart"/>
            <w:tcBorders>
              <w:top w:val="nil"/>
              <w:left w:val="single" w:sz="4" w:space="0" w:color="auto"/>
              <w:bottom w:val="single" w:sz="4" w:space="0" w:color="000000"/>
              <w:right w:val="single" w:sz="4" w:space="0" w:color="auto"/>
            </w:tcBorders>
            <w:vAlign w:val="center"/>
            <w:hideMark/>
          </w:tcPr>
          <w:p w:rsidR="003E6891" w:rsidRDefault="003E6891">
            <w:r>
              <w:t>Arte grafikoak</w:t>
            </w:r>
          </w:p>
        </w:tc>
        <w:tc>
          <w:tcPr>
            <w:tcW w:w="768" w:type="dxa"/>
            <w:tcBorders>
              <w:top w:val="nil"/>
              <w:left w:val="nil"/>
              <w:bottom w:val="single" w:sz="4" w:space="0" w:color="auto"/>
              <w:right w:val="single" w:sz="4" w:space="0" w:color="auto"/>
            </w:tcBorders>
            <w:noWrap/>
            <w:vAlign w:val="bottom"/>
            <w:hideMark/>
          </w:tcPr>
          <w:p w:rsidR="003E6891" w:rsidRDefault="003E6891">
            <w:pPr>
              <w:jc w:val="center"/>
            </w:pPr>
            <w:r>
              <w:t>Lehena</w:t>
            </w:r>
          </w:p>
        </w:tc>
        <w:tc>
          <w:tcPr>
            <w:tcW w:w="992" w:type="dxa"/>
            <w:tcBorders>
              <w:top w:val="nil"/>
              <w:left w:val="nil"/>
              <w:bottom w:val="single" w:sz="4" w:space="0" w:color="auto"/>
              <w:right w:val="single" w:sz="4" w:space="0" w:color="auto"/>
            </w:tcBorders>
            <w:noWrap/>
            <w:vAlign w:val="bottom"/>
            <w:hideMark/>
          </w:tcPr>
          <w:p w:rsidR="003E6891" w:rsidRDefault="003E6891">
            <w:pPr>
              <w:jc w:val="center"/>
            </w:pPr>
            <w:r>
              <w:t>0,522</w:t>
            </w:r>
          </w:p>
        </w:tc>
        <w:tc>
          <w:tcPr>
            <w:tcW w:w="1083" w:type="dxa"/>
            <w:tcBorders>
              <w:top w:val="nil"/>
              <w:left w:val="nil"/>
              <w:bottom w:val="single" w:sz="4" w:space="0" w:color="auto"/>
              <w:right w:val="single" w:sz="4" w:space="0" w:color="auto"/>
            </w:tcBorders>
            <w:noWrap/>
            <w:vAlign w:val="bottom"/>
            <w:hideMark/>
          </w:tcPr>
          <w:p w:rsidR="003E6891" w:rsidRDefault="003E6891">
            <w:pPr>
              <w:jc w:val="center"/>
            </w:pPr>
            <w:r>
              <w:t>0,783</w:t>
            </w:r>
          </w:p>
        </w:tc>
        <w:tc>
          <w:tcPr>
            <w:tcW w:w="1230" w:type="dxa"/>
            <w:tcBorders>
              <w:top w:val="nil"/>
              <w:left w:val="nil"/>
              <w:bottom w:val="single" w:sz="4" w:space="0" w:color="auto"/>
              <w:right w:val="single" w:sz="4" w:space="0" w:color="auto"/>
            </w:tcBorders>
            <w:noWrap/>
            <w:vAlign w:val="bottom"/>
            <w:hideMark/>
          </w:tcPr>
          <w:p w:rsidR="003E6891" w:rsidRDefault="003E6891">
            <w:pPr>
              <w:jc w:val="right"/>
            </w:pPr>
            <w:r>
              <w:t>51.581,45</w:t>
            </w:r>
          </w:p>
        </w:tc>
        <w:tc>
          <w:tcPr>
            <w:tcW w:w="992" w:type="dxa"/>
            <w:tcBorders>
              <w:top w:val="nil"/>
              <w:left w:val="nil"/>
              <w:bottom w:val="single" w:sz="4" w:space="0" w:color="auto"/>
              <w:right w:val="single" w:sz="4" w:space="0" w:color="auto"/>
            </w:tcBorders>
            <w:noWrap/>
            <w:vAlign w:val="bottom"/>
            <w:hideMark/>
          </w:tcPr>
          <w:p w:rsidR="003E6891" w:rsidRDefault="003E6891">
            <w:pPr>
              <w:jc w:val="center"/>
            </w:pPr>
            <w:r>
              <w:t>% 62,36</w:t>
            </w:r>
          </w:p>
        </w:tc>
        <w:tc>
          <w:tcPr>
            <w:tcW w:w="1065" w:type="dxa"/>
            <w:tcBorders>
              <w:top w:val="nil"/>
              <w:left w:val="nil"/>
              <w:bottom w:val="single" w:sz="4" w:space="0" w:color="auto"/>
              <w:right w:val="single" w:sz="4" w:space="0" w:color="auto"/>
            </w:tcBorders>
            <w:noWrap/>
            <w:vAlign w:val="bottom"/>
            <w:hideMark/>
          </w:tcPr>
          <w:p w:rsidR="003E6891" w:rsidRDefault="003E6891">
            <w:pPr>
              <w:jc w:val="right"/>
            </w:pPr>
            <w:r>
              <w:t>8.997,52</w:t>
            </w:r>
          </w:p>
        </w:tc>
        <w:tc>
          <w:tcPr>
            <w:tcW w:w="852" w:type="dxa"/>
            <w:tcBorders>
              <w:top w:val="nil"/>
              <w:left w:val="nil"/>
              <w:bottom w:val="single" w:sz="4" w:space="0" w:color="auto"/>
              <w:right w:val="single" w:sz="4" w:space="0" w:color="auto"/>
            </w:tcBorders>
            <w:noWrap/>
            <w:vAlign w:val="bottom"/>
            <w:hideMark/>
          </w:tcPr>
          <w:p w:rsidR="003E6891" w:rsidRDefault="003E6891">
            <w:pPr>
              <w:jc w:val="center"/>
            </w:pPr>
            <w:r>
              <w:t>% 10,88</w:t>
            </w:r>
          </w:p>
        </w:tc>
        <w:tc>
          <w:tcPr>
            <w:tcW w:w="1060" w:type="dxa"/>
            <w:tcBorders>
              <w:top w:val="nil"/>
              <w:left w:val="nil"/>
              <w:bottom w:val="single" w:sz="4" w:space="0" w:color="auto"/>
              <w:right w:val="single" w:sz="4" w:space="0" w:color="auto"/>
            </w:tcBorders>
            <w:noWrap/>
            <w:vAlign w:val="bottom"/>
            <w:hideMark/>
          </w:tcPr>
          <w:p w:rsidR="003E6891" w:rsidRDefault="003E6891">
            <w:pPr>
              <w:jc w:val="right"/>
            </w:pPr>
            <w:r>
              <w:t>22.131,23</w:t>
            </w:r>
          </w:p>
        </w:tc>
        <w:tc>
          <w:tcPr>
            <w:tcW w:w="852" w:type="dxa"/>
            <w:tcBorders>
              <w:top w:val="nil"/>
              <w:left w:val="nil"/>
              <w:bottom w:val="single" w:sz="4" w:space="0" w:color="auto"/>
              <w:right w:val="single" w:sz="4" w:space="0" w:color="auto"/>
            </w:tcBorders>
            <w:noWrap/>
            <w:vAlign w:val="bottom"/>
            <w:hideMark/>
          </w:tcPr>
          <w:p w:rsidR="003E6891" w:rsidRDefault="003E6891">
            <w:pPr>
              <w:jc w:val="center"/>
            </w:pPr>
            <w:r>
              <w:t>% 26,76</w:t>
            </w:r>
          </w:p>
        </w:tc>
        <w:tc>
          <w:tcPr>
            <w:tcW w:w="1133" w:type="dxa"/>
            <w:tcBorders>
              <w:top w:val="nil"/>
              <w:left w:val="nil"/>
              <w:bottom w:val="single" w:sz="4" w:space="0" w:color="auto"/>
              <w:right w:val="single" w:sz="4" w:space="0" w:color="auto"/>
            </w:tcBorders>
            <w:noWrap/>
            <w:vAlign w:val="bottom"/>
            <w:hideMark/>
          </w:tcPr>
          <w:p w:rsidR="003E6891" w:rsidRDefault="003E6891">
            <w:pPr>
              <w:jc w:val="right"/>
            </w:pPr>
            <w:r>
              <w:t>82.710,20</w:t>
            </w:r>
          </w:p>
        </w:tc>
      </w:tr>
      <w:tr w:rsidR="003E6891" w:rsidTr="003E6891">
        <w:trPr>
          <w:trHeight w:val="255"/>
        </w:trPr>
        <w:tc>
          <w:tcPr>
            <w:tcW w:w="0" w:type="auto"/>
            <w:vMerge/>
            <w:tcBorders>
              <w:top w:val="nil"/>
              <w:left w:val="single" w:sz="4" w:space="0" w:color="auto"/>
              <w:bottom w:val="single" w:sz="4" w:space="0" w:color="000000"/>
              <w:right w:val="single" w:sz="4" w:space="0" w:color="auto"/>
            </w:tcBorders>
            <w:vAlign w:val="center"/>
            <w:hideMark/>
          </w:tcPr>
          <w:p w:rsidR="003E6891" w:rsidRDefault="003E6891">
            <w:pPr>
              <w:rPr>
                <w:lang w:val="es-ES_tradnl"/>
              </w:rPr>
            </w:pPr>
          </w:p>
        </w:tc>
        <w:tc>
          <w:tcPr>
            <w:tcW w:w="768" w:type="dxa"/>
            <w:tcBorders>
              <w:top w:val="nil"/>
              <w:left w:val="nil"/>
              <w:bottom w:val="single" w:sz="4" w:space="0" w:color="auto"/>
              <w:right w:val="single" w:sz="4" w:space="0" w:color="auto"/>
            </w:tcBorders>
            <w:noWrap/>
            <w:vAlign w:val="bottom"/>
            <w:hideMark/>
          </w:tcPr>
          <w:p w:rsidR="003E6891" w:rsidRDefault="003E6891">
            <w:pPr>
              <w:jc w:val="center"/>
            </w:pPr>
            <w:r>
              <w:t>2º</w:t>
            </w:r>
          </w:p>
        </w:tc>
        <w:tc>
          <w:tcPr>
            <w:tcW w:w="992" w:type="dxa"/>
            <w:tcBorders>
              <w:top w:val="nil"/>
              <w:left w:val="nil"/>
              <w:bottom w:val="single" w:sz="4" w:space="0" w:color="auto"/>
              <w:right w:val="single" w:sz="4" w:space="0" w:color="auto"/>
            </w:tcBorders>
            <w:noWrap/>
            <w:vAlign w:val="bottom"/>
            <w:hideMark/>
          </w:tcPr>
          <w:p w:rsidR="003E6891" w:rsidRDefault="003E6891">
            <w:pPr>
              <w:jc w:val="center"/>
            </w:pPr>
            <w:r>
              <w:t>0,522</w:t>
            </w:r>
          </w:p>
        </w:tc>
        <w:tc>
          <w:tcPr>
            <w:tcW w:w="1083" w:type="dxa"/>
            <w:tcBorders>
              <w:top w:val="nil"/>
              <w:left w:val="nil"/>
              <w:bottom w:val="single" w:sz="4" w:space="0" w:color="auto"/>
              <w:right w:val="single" w:sz="4" w:space="0" w:color="auto"/>
            </w:tcBorders>
            <w:noWrap/>
            <w:vAlign w:val="bottom"/>
            <w:hideMark/>
          </w:tcPr>
          <w:p w:rsidR="003E6891" w:rsidRDefault="003E6891">
            <w:pPr>
              <w:jc w:val="center"/>
            </w:pPr>
            <w:r>
              <w:t>0,783</w:t>
            </w:r>
          </w:p>
        </w:tc>
        <w:tc>
          <w:tcPr>
            <w:tcW w:w="1230" w:type="dxa"/>
            <w:tcBorders>
              <w:top w:val="nil"/>
              <w:left w:val="nil"/>
              <w:bottom w:val="single" w:sz="4" w:space="0" w:color="auto"/>
              <w:right w:val="single" w:sz="4" w:space="0" w:color="auto"/>
            </w:tcBorders>
            <w:noWrap/>
            <w:vAlign w:val="bottom"/>
            <w:hideMark/>
          </w:tcPr>
          <w:p w:rsidR="003E6891" w:rsidRDefault="003E6891">
            <w:pPr>
              <w:jc w:val="right"/>
            </w:pPr>
            <w:r>
              <w:t>51.581,45</w:t>
            </w:r>
          </w:p>
        </w:tc>
        <w:tc>
          <w:tcPr>
            <w:tcW w:w="992" w:type="dxa"/>
            <w:tcBorders>
              <w:top w:val="nil"/>
              <w:left w:val="nil"/>
              <w:bottom w:val="single" w:sz="4" w:space="0" w:color="auto"/>
              <w:right w:val="single" w:sz="4" w:space="0" w:color="auto"/>
            </w:tcBorders>
            <w:noWrap/>
            <w:vAlign w:val="bottom"/>
            <w:hideMark/>
          </w:tcPr>
          <w:p w:rsidR="003E6891" w:rsidRDefault="003E6891">
            <w:pPr>
              <w:jc w:val="center"/>
            </w:pPr>
            <w:r>
              <w:t>% 62,36</w:t>
            </w:r>
          </w:p>
        </w:tc>
        <w:tc>
          <w:tcPr>
            <w:tcW w:w="1065" w:type="dxa"/>
            <w:tcBorders>
              <w:top w:val="nil"/>
              <w:left w:val="nil"/>
              <w:bottom w:val="single" w:sz="4" w:space="0" w:color="auto"/>
              <w:right w:val="single" w:sz="4" w:space="0" w:color="auto"/>
            </w:tcBorders>
            <w:noWrap/>
            <w:vAlign w:val="bottom"/>
            <w:hideMark/>
          </w:tcPr>
          <w:p w:rsidR="003E6891" w:rsidRDefault="003E6891">
            <w:pPr>
              <w:jc w:val="right"/>
            </w:pPr>
            <w:r>
              <w:t>8.997,52</w:t>
            </w:r>
          </w:p>
        </w:tc>
        <w:tc>
          <w:tcPr>
            <w:tcW w:w="852" w:type="dxa"/>
            <w:tcBorders>
              <w:top w:val="nil"/>
              <w:left w:val="nil"/>
              <w:bottom w:val="single" w:sz="4" w:space="0" w:color="auto"/>
              <w:right w:val="single" w:sz="4" w:space="0" w:color="auto"/>
            </w:tcBorders>
            <w:noWrap/>
            <w:vAlign w:val="bottom"/>
            <w:hideMark/>
          </w:tcPr>
          <w:p w:rsidR="003E6891" w:rsidRDefault="003E6891">
            <w:pPr>
              <w:jc w:val="center"/>
            </w:pPr>
            <w:r>
              <w:t>% 10,88</w:t>
            </w:r>
          </w:p>
        </w:tc>
        <w:tc>
          <w:tcPr>
            <w:tcW w:w="1060" w:type="dxa"/>
            <w:tcBorders>
              <w:top w:val="nil"/>
              <w:left w:val="nil"/>
              <w:bottom w:val="single" w:sz="4" w:space="0" w:color="auto"/>
              <w:right w:val="single" w:sz="4" w:space="0" w:color="auto"/>
            </w:tcBorders>
            <w:noWrap/>
            <w:vAlign w:val="bottom"/>
            <w:hideMark/>
          </w:tcPr>
          <w:p w:rsidR="003E6891" w:rsidRDefault="003E6891">
            <w:pPr>
              <w:jc w:val="right"/>
            </w:pPr>
            <w:r>
              <w:t>22.131,23</w:t>
            </w:r>
          </w:p>
        </w:tc>
        <w:tc>
          <w:tcPr>
            <w:tcW w:w="852" w:type="dxa"/>
            <w:tcBorders>
              <w:top w:val="nil"/>
              <w:left w:val="nil"/>
              <w:bottom w:val="single" w:sz="4" w:space="0" w:color="auto"/>
              <w:right w:val="single" w:sz="4" w:space="0" w:color="auto"/>
            </w:tcBorders>
            <w:noWrap/>
            <w:vAlign w:val="bottom"/>
            <w:hideMark/>
          </w:tcPr>
          <w:p w:rsidR="003E6891" w:rsidRDefault="003E6891">
            <w:pPr>
              <w:jc w:val="center"/>
            </w:pPr>
            <w:r>
              <w:t>% 26,76</w:t>
            </w:r>
          </w:p>
        </w:tc>
        <w:tc>
          <w:tcPr>
            <w:tcW w:w="1133" w:type="dxa"/>
            <w:tcBorders>
              <w:top w:val="nil"/>
              <w:left w:val="nil"/>
              <w:bottom w:val="single" w:sz="4" w:space="0" w:color="auto"/>
              <w:right w:val="single" w:sz="4" w:space="0" w:color="auto"/>
            </w:tcBorders>
            <w:noWrap/>
            <w:vAlign w:val="bottom"/>
            <w:hideMark/>
          </w:tcPr>
          <w:p w:rsidR="003E6891" w:rsidRDefault="003E6891">
            <w:pPr>
              <w:jc w:val="right"/>
            </w:pPr>
            <w:r>
              <w:t>82.710,20</w:t>
            </w:r>
          </w:p>
        </w:tc>
      </w:tr>
      <w:tr w:rsidR="003E6891" w:rsidTr="003E6891">
        <w:trPr>
          <w:trHeight w:val="255"/>
        </w:trPr>
        <w:tc>
          <w:tcPr>
            <w:tcW w:w="3455" w:type="dxa"/>
            <w:vMerge w:val="restart"/>
            <w:tcBorders>
              <w:top w:val="nil"/>
              <w:left w:val="single" w:sz="4" w:space="0" w:color="auto"/>
              <w:bottom w:val="single" w:sz="4" w:space="0" w:color="000000"/>
              <w:right w:val="single" w:sz="4" w:space="0" w:color="auto"/>
            </w:tcBorders>
            <w:vAlign w:val="center"/>
            <w:hideMark/>
          </w:tcPr>
          <w:p w:rsidR="003E6891" w:rsidRDefault="003E6891">
            <w:r>
              <w:t>Elektrizitatea eta elektronika</w:t>
            </w:r>
          </w:p>
        </w:tc>
        <w:tc>
          <w:tcPr>
            <w:tcW w:w="768" w:type="dxa"/>
            <w:tcBorders>
              <w:top w:val="nil"/>
              <w:left w:val="nil"/>
              <w:bottom w:val="single" w:sz="4" w:space="0" w:color="auto"/>
              <w:right w:val="single" w:sz="4" w:space="0" w:color="auto"/>
            </w:tcBorders>
            <w:noWrap/>
            <w:vAlign w:val="bottom"/>
            <w:hideMark/>
          </w:tcPr>
          <w:p w:rsidR="003E6891" w:rsidRDefault="003E6891">
            <w:pPr>
              <w:jc w:val="center"/>
            </w:pPr>
            <w:r>
              <w:t>Lehena</w:t>
            </w:r>
          </w:p>
        </w:tc>
        <w:tc>
          <w:tcPr>
            <w:tcW w:w="992" w:type="dxa"/>
            <w:tcBorders>
              <w:top w:val="nil"/>
              <w:left w:val="nil"/>
              <w:bottom w:val="single" w:sz="4" w:space="0" w:color="auto"/>
              <w:right w:val="single" w:sz="4" w:space="0" w:color="auto"/>
            </w:tcBorders>
            <w:noWrap/>
            <w:vAlign w:val="bottom"/>
            <w:hideMark/>
          </w:tcPr>
          <w:p w:rsidR="003E6891" w:rsidRDefault="003E6891">
            <w:pPr>
              <w:jc w:val="center"/>
            </w:pPr>
            <w:r>
              <w:t>0,522</w:t>
            </w:r>
          </w:p>
        </w:tc>
        <w:tc>
          <w:tcPr>
            <w:tcW w:w="1083" w:type="dxa"/>
            <w:tcBorders>
              <w:top w:val="nil"/>
              <w:left w:val="nil"/>
              <w:bottom w:val="single" w:sz="4" w:space="0" w:color="auto"/>
              <w:right w:val="single" w:sz="4" w:space="0" w:color="auto"/>
            </w:tcBorders>
            <w:noWrap/>
            <w:vAlign w:val="bottom"/>
            <w:hideMark/>
          </w:tcPr>
          <w:p w:rsidR="003E6891" w:rsidRDefault="003E6891">
            <w:pPr>
              <w:jc w:val="center"/>
            </w:pPr>
            <w:r>
              <w:t>0,783</w:t>
            </w:r>
          </w:p>
        </w:tc>
        <w:tc>
          <w:tcPr>
            <w:tcW w:w="1230" w:type="dxa"/>
            <w:tcBorders>
              <w:top w:val="nil"/>
              <w:left w:val="nil"/>
              <w:bottom w:val="single" w:sz="4" w:space="0" w:color="auto"/>
              <w:right w:val="single" w:sz="4" w:space="0" w:color="auto"/>
            </w:tcBorders>
            <w:noWrap/>
            <w:vAlign w:val="bottom"/>
            <w:hideMark/>
          </w:tcPr>
          <w:p w:rsidR="003E6891" w:rsidRDefault="003E6891">
            <w:pPr>
              <w:jc w:val="right"/>
            </w:pPr>
            <w:r>
              <w:t>51.581,45</w:t>
            </w:r>
          </w:p>
        </w:tc>
        <w:tc>
          <w:tcPr>
            <w:tcW w:w="992" w:type="dxa"/>
            <w:tcBorders>
              <w:top w:val="nil"/>
              <w:left w:val="nil"/>
              <w:bottom w:val="single" w:sz="4" w:space="0" w:color="auto"/>
              <w:right w:val="single" w:sz="4" w:space="0" w:color="auto"/>
            </w:tcBorders>
            <w:noWrap/>
            <w:vAlign w:val="bottom"/>
            <w:hideMark/>
          </w:tcPr>
          <w:p w:rsidR="003E6891" w:rsidRDefault="003E6891">
            <w:pPr>
              <w:jc w:val="center"/>
            </w:pPr>
            <w:r>
              <w:t>% 62,17</w:t>
            </w:r>
          </w:p>
        </w:tc>
        <w:tc>
          <w:tcPr>
            <w:tcW w:w="1065" w:type="dxa"/>
            <w:tcBorders>
              <w:top w:val="nil"/>
              <w:left w:val="nil"/>
              <w:bottom w:val="single" w:sz="4" w:space="0" w:color="auto"/>
              <w:right w:val="single" w:sz="4" w:space="0" w:color="auto"/>
            </w:tcBorders>
            <w:noWrap/>
            <w:vAlign w:val="bottom"/>
            <w:hideMark/>
          </w:tcPr>
          <w:p w:rsidR="003E6891" w:rsidRDefault="003E6891">
            <w:pPr>
              <w:jc w:val="right"/>
            </w:pPr>
            <w:r>
              <w:t>8.997,52</w:t>
            </w:r>
          </w:p>
        </w:tc>
        <w:tc>
          <w:tcPr>
            <w:tcW w:w="852" w:type="dxa"/>
            <w:tcBorders>
              <w:top w:val="nil"/>
              <w:left w:val="nil"/>
              <w:bottom w:val="single" w:sz="4" w:space="0" w:color="auto"/>
              <w:right w:val="single" w:sz="4" w:space="0" w:color="auto"/>
            </w:tcBorders>
            <w:noWrap/>
            <w:vAlign w:val="bottom"/>
            <w:hideMark/>
          </w:tcPr>
          <w:p w:rsidR="003E6891" w:rsidRDefault="003E6891">
            <w:pPr>
              <w:jc w:val="center"/>
            </w:pPr>
            <w:r>
              <w:t>% 10,85</w:t>
            </w:r>
          </w:p>
        </w:tc>
        <w:tc>
          <w:tcPr>
            <w:tcW w:w="1060" w:type="dxa"/>
            <w:tcBorders>
              <w:top w:val="nil"/>
              <w:left w:val="nil"/>
              <w:bottom w:val="single" w:sz="4" w:space="0" w:color="auto"/>
              <w:right w:val="single" w:sz="4" w:space="0" w:color="auto"/>
            </w:tcBorders>
            <w:noWrap/>
            <w:vAlign w:val="bottom"/>
            <w:hideMark/>
          </w:tcPr>
          <w:p w:rsidR="003E6891" w:rsidRDefault="003E6891">
            <w:pPr>
              <w:jc w:val="right"/>
            </w:pPr>
            <w:r>
              <w:t>22.385,06</w:t>
            </w:r>
          </w:p>
        </w:tc>
        <w:tc>
          <w:tcPr>
            <w:tcW w:w="852" w:type="dxa"/>
            <w:tcBorders>
              <w:top w:val="nil"/>
              <w:left w:val="nil"/>
              <w:bottom w:val="single" w:sz="4" w:space="0" w:color="auto"/>
              <w:right w:val="single" w:sz="4" w:space="0" w:color="auto"/>
            </w:tcBorders>
            <w:noWrap/>
            <w:vAlign w:val="bottom"/>
            <w:hideMark/>
          </w:tcPr>
          <w:p w:rsidR="003E6891" w:rsidRDefault="003E6891">
            <w:pPr>
              <w:jc w:val="center"/>
            </w:pPr>
            <w:r>
              <w:t>% 26,98</w:t>
            </w:r>
          </w:p>
        </w:tc>
        <w:tc>
          <w:tcPr>
            <w:tcW w:w="1133" w:type="dxa"/>
            <w:tcBorders>
              <w:top w:val="nil"/>
              <w:left w:val="nil"/>
              <w:bottom w:val="single" w:sz="4" w:space="0" w:color="auto"/>
              <w:right w:val="single" w:sz="4" w:space="0" w:color="auto"/>
            </w:tcBorders>
            <w:noWrap/>
            <w:vAlign w:val="bottom"/>
            <w:hideMark/>
          </w:tcPr>
          <w:p w:rsidR="003E6891" w:rsidRDefault="003E6891">
            <w:pPr>
              <w:jc w:val="right"/>
            </w:pPr>
            <w:r>
              <w:t>82.964,03</w:t>
            </w:r>
          </w:p>
        </w:tc>
      </w:tr>
      <w:tr w:rsidR="003E6891" w:rsidTr="003E6891">
        <w:trPr>
          <w:trHeight w:val="255"/>
        </w:trPr>
        <w:tc>
          <w:tcPr>
            <w:tcW w:w="0" w:type="auto"/>
            <w:vMerge/>
            <w:tcBorders>
              <w:top w:val="nil"/>
              <w:left w:val="single" w:sz="4" w:space="0" w:color="auto"/>
              <w:bottom w:val="single" w:sz="4" w:space="0" w:color="000000"/>
              <w:right w:val="single" w:sz="4" w:space="0" w:color="auto"/>
            </w:tcBorders>
            <w:vAlign w:val="center"/>
            <w:hideMark/>
          </w:tcPr>
          <w:p w:rsidR="003E6891" w:rsidRDefault="003E6891">
            <w:pPr>
              <w:rPr>
                <w:lang w:val="es-ES_tradnl"/>
              </w:rPr>
            </w:pPr>
          </w:p>
        </w:tc>
        <w:tc>
          <w:tcPr>
            <w:tcW w:w="768" w:type="dxa"/>
            <w:tcBorders>
              <w:top w:val="nil"/>
              <w:left w:val="nil"/>
              <w:bottom w:val="single" w:sz="4" w:space="0" w:color="auto"/>
              <w:right w:val="single" w:sz="4" w:space="0" w:color="auto"/>
            </w:tcBorders>
            <w:noWrap/>
            <w:vAlign w:val="bottom"/>
            <w:hideMark/>
          </w:tcPr>
          <w:p w:rsidR="003E6891" w:rsidRDefault="003E6891">
            <w:pPr>
              <w:jc w:val="center"/>
            </w:pPr>
            <w:r>
              <w:t>2º</w:t>
            </w:r>
          </w:p>
        </w:tc>
        <w:tc>
          <w:tcPr>
            <w:tcW w:w="992" w:type="dxa"/>
            <w:tcBorders>
              <w:top w:val="nil"/>
              <w:left w:val="nil"/>
              <w:bottom w:val="single" w:sz="4" w:space="0" w:color="auto"/>
              <w:right w:val="single" w:sz="4" w:space="0" w:color="auto"/>
            </w:tcBorders>
            <w:noWrap/>
            <w:vAlign w:val="bottom"/>
            <w:hideMark/>
          </w:tcPr>
          <w:p w:rsidR="003E6891" w:rsidRDefault="003E6891">
            <w:pPr>
              <w:jc w:val="center"/>
            </w:pPr>
            <w:r>
              <w:t>0,522</w:t>
            </w:r>
          </w:p>
        </w:tc>
        <w:tc>
          <w:tcPr>
            <w:tcW w:w="1083" w:type="dxa"/>
            <w:tcBorders>
              <w:top w:val="nil"/>
              <w:left w:val="nil"/>
              <w:bottom w:val="single" w:sz="4" w:space="0" w:color="auto"/>
              <w:right w:val="single" w:sz="4" w:space="0" w:color="auto"/>
            </w:tcBorders>
            <w:noWrap/>
            <w:vAlign w:val="bottom"/>
            <w:hideMark/>
          </w:tcPr>
          <w:p w:rsidR="003E6891" w:rsidRDefault="003E6891">
            <w:pPr>
              <w:jc w:val="center"/>
            </w:pPr>
            <w:r>
              <w:t>0,783</w:t>
            </w:r>
          </w:p>
        </w:tc>
        <w:tc>
          <w:tcPr>
            <w:tcW w:w="1230" w:type="dxa"/>
            <w:tcBorders>
              <w:top w:val="nil"/>
              <w:left w:val="nil"/>
              <w:bottom w:val="single" w:sz="4" w:space="0" w:color="auto"/>
              <w:right w:val="single" w:sz="4" w:space="0" w:color="auto"/>
            </w:tcBorders>
            <w:noWrap/>
            <w:vAlign w:val="bottom"/>
            <w:hideMark/>
          </w:tcPr>
          <w:p w:rsidR="003E6891" w:rsidRDefault="003E6891">
            <w:pPr>
              <w:jc w:val="right"/>
            </w:pPr>
            <w:r>
              <w:t>51.581,45</w:t>
            </w:r>
          </w:p>
        </w:tc>
        <w:tc>
          <w:tcPr>
            <w:tcW w:w="992" w:type="dxa"/>
            <w:tcBorders>
              <w:top w:val="nil"/>
              <w:left w:val="nil"/>
              <w:bottom w:val="single" w:sz="4" w:space="0" w:color="auto"/>
              <w:right w:val="single" w:sz="4" w:space="0" w:color="auto"/>
            </w:tcBorders>
            <w:noWrap/>
            <w:vAlign w:val="bottom"/>
            <w:hideMark/>
          </w:tcPr>
          <w:p w:rsidR="003E6891" w:rsidRDefault="003E6891">
            <w:pPr>
              <w:jc w:val="center"/>
            </w:pPr>
            <w:r>
              <w:t>% 62,17</w:t>
            </w:r>
          </w:p>
        </w:tc>
        <w:tc>
          <w:tcPr>
            <w:tcW w:w="1065" w:type="dxa"/>
            <w:tcBorders>
              <w:top w:val="nil"/>
              <w:left w:val="nil"/>
              <w:bottom w:val="single" w:sz="4" w:space="0" w:color="auto"/>
              <w:right w:val="single" w:sz="4" w:space="0" w:color="auto"/>
            </w:tcBorders>
            <w:noWrap/>
            <w:vAlign w:val="bottom"/>
            <w:hideMark/>
          </w:tcPr>
          <w:p w:rsidR="003E6891" w:rsidRDefault="003E6891">
            <w:pPr>
              <w:jc w:val="right"/>
            </w:pPr>
            <w:r>
              <w:t>8.997,52</w:t>
            </w:r>
          </w:p>
        </w:tc>
        <w:tc>
          <w:tcPr>
            <w:tcW w:w="852" w:type="dxa"/>
            <w:tcBorders>
              <w:top w:val="nil"/>
              <w:left w:val="nil"/>
              <w:bottom w:val="single" w:sz="4" w:space="0" w:color="auto"/>
              <w:right w:val="single" w:sz="4" w:space="0" w:color="auto"/>
            </w:tcBorders>
            <w:noWrap/>
            <w:vAlign w:val="bottom"/>
            <w:hideMark/>
          </w:tcPr>
          <w:p w:rsidR="003E6891" w:rsidRDefault="003E6891">
            <w:pPr>
              <w:jc w:val="center"/>
            </w:pPr>
            <w:r>
              <w:t>% 10,85</w:t>
            </w:r>
          </w:p>
        </w:tc>
        <w:tc>
          <w:tcPr>
            <w:tcW w:w="1060" w:type="dxa"/>
            <w:tcBorders>
              <w:top w:val="nil"/>
              <w:left w:val="nil"/>
              <w:bottom w:val="single" w:sz="4" w:space="0" w:color="auto"/>
              <w:right w:val="single" w:sz="4" w:space="0" w:color="auto"/>
            </w:tcBorders>
            <w:noWrap/>
            <w:vAlign w:val="bottom"/>
            <w:hideMark/>
          </w:tcPr>
          <w:p w:rsidR="003E6891" w:rsidRDefault="003E6891">
            <w:pPr>
              <w:jc w:val="right"/>
            </w:pPr>
            <w:r>
              <w:t>22.385,06</w:t>
            </w:r>
          </w:p>
        </w:tc>
        <w:tc>
          <w:tcPr>
            <w:tcW w:w="852" w:type="dxa"/>
            <w:tcBorders>
              <w:top w:val="nil"/>
              <w:left w:val="nil"/>
              <w:bottom w:val="single" w:sz="4" w:space="0" w:color="auto"/>
              <w:right w:val="single" w:sz="4" w:space="0" w:color="auto"/>
            </w:tcBorders>
            <w:noWrap/>
            <w:vAlign w:val="bottom"/>
            <w:hideMark/>
          </w:tcPr>
          <w:p w:rsidR="003E6891" w:rsidRDefault="003E6891">
            <w:pPr>
              <w:jc w:val="center"/>
            </w:pPr>
            <w:r>
              <w:t>% 26,98</w:t>
            </w:r>
          </w:p>
        </w:tc>
        <w:tc>
          <w:tcPr>
            <w:tcW w:w="1133" w:type="dxa"/>
            <w:tcBorders>
              <w:top w:val="nil"/>
              <w:left w:val="nil"/>
              <w:bottom w:val="single" w:sz="4" w:space="0" w:color="auto"/>
              <w:right w:val="single" w:sz="4" w:space="0" w:color="auto"/>
            </w:tcBorders>
            <w:noWrap/>
            <w:vAlign w:val="bottom"/>
            <w:hideMark/>
          </w:tcPr>
          <w:p w:rsidR="003E6891" w:rsidRDefault="003E6891">
            <w:pPr>
              <w:jc w:val="right"/>
            </w:pPr>
            <w:r>
              <w:t>82.964,03</w:t>
            </w:r>
          </w:p>
        </w:tc>
      </w:tr>
      <w:tr w:rsidR="003E6891" w:rsidTr="003E6891">
        <w:trPr>
          <w:trHeight w:val="255"/>
        </w:trPr>
        <w:tc>
          <w:tcPr>
            <w:tcW w:w="3455" w:type="dxa"/>
            <w:vMerge w:val="restart"/>
            <w:tcBorders>
              <w:top w:val="nil"/>
              <w:left w:val="single" w:sz="4" w:space="0" w:color="auto"/>
              <w:bottom w:val="single" w:sz="4" w:space="0" w:color="000000"/>
              <w:right w:val="single" w:sz="4" w:space="0" w:color="auto"/>
            </w:tcBorders>
            <w:vAlign w:val="center"/>
            <w:hideMark/>
          </w:tcPr>
          <w:p w:rsidR="003E6891" w:rsidRDefault="003E6891">
            <w:r>
              <w:t>Fabrikazioa eta muntaketa</w:t>
            </w:r>
          </w:p>
        </w:tc>
        <w:tc>
          <w:tcPr>
            <w:tcW w:w="768" w:type="dxa"/>
            <w:tcBorders>
              <w:top w:val="nil"/>
              <w:left w:val="nil"/>
              <w:bottom w:val="single" w:sz="4" w:space="0" w:color="auto"/>
              <w:right w:val="single" w:sz="4" w:space="0" w:color="auto"/>
            </w:tcBorders>
            <w:noWrap/>
            <w:vAlign w:val="bottom"/>
            <w:hideMark/>
          </w:tcPr>
          <w:p w:rsidR="003E6891" w:rsidRDefault="003E6891">
            <w:pPr>
              <w:jc w:val="center"/>
            </w:pPr>
            <w:r>
              <w:t>Lehena</w:t>
            </w:r>
          </w:p>
        </w:tc>
        <w:tc>
          <w:tcPr>
            <w:tcW w:w="992" w:type="dxa"/>
            <w:tcBorders>
              <w:top w:val="nil"/>
              <w:left w:val="nil"/>
              <w:bottom w:val="single" w:sz="4" w:space="0" w:color="auto"/>
              <w:right w:val="single" w:sz="4" w:space="0" w:color="auto"/>
            </w:tcBorders>
            <w:noWrap/>
            <w:vAlign w:val="bottom"/>
            <w:hideMark/>
          </w:tcPr>
          <w:p w:rsidR="003E6891" w:rsidRDefault="003E6891">
            <w:pPr>
              <w:jc w:val="center"/>
            </w:pPr>
            <w:r>
              <w:t>0,522</w:t>
            </w:r>
          </w:p>
        </w:tc>
        <w:tc>
          <w:tcPr>
            <w:tcW w:w="1083" w:type="dxa"/>
            <w:tcBorders>
              <w:top w:val="nil"/>
              <w:left w:val="nil"/>
              <w:bottom w:val="single" w:sz="4" w:space="0" w:color="auto"/>
              <w:right w:val="single" w:sz="4" w:space="0" w:color="auto"/>
            </w:tcBorders>
            <w:noWrap/>
            <w:vAlign w:val="bottom"/>
            <w:hideMark/>
          </w:tcPr>
          <w:p w:rsidR="003E6891" w:rsidRDefault="003E6891">
            <w:pPr>
              <w:jc w:val="center"/>
            </w:pPr>
            <w:r>
              <w:t>0,783</w:t>
            </w:r>
          </w:p>
        </w:tc>
        <w:tc>
          <w:tcPr>
            <w:tcW w:w="1230" w:type="dxa"/>
            <w:tcBorders>
              <w:top w:val="nil"/>
              <w:left w:val="nil"/>
              <w:bottom w:val="single" w:sz="4" w:space="0" w:color="auto"/>
              <w:right w:val="single" w:sz="4" w:space="0" w:color="auto"/>
            </w:tcBorders>
            <w:noWrap/>
            <w:vAlign w:val="bottom"/>
            <w:hideMark/>
          </w:tcPr>
          <w:p w:rsidR="003E6891" w:rsidRDefault="003E6891">
            <w:pPr>
              <w:jc w:val="right"/>
            </w:pPr>
            <w:r>
              <w:t>51.581,45</w:t>
            </w:r>
          </w:p>
        </w:tc>
        <w:tc>
          <w:tcPr>
            <w:tcW w:w="992" w:type="dxa"/>
            <w:tcBorders>
              <w:top w:val="nil"/>
              <w:left w:val="nil"/>
              <w:bottom w:val="single" w:sz="4" w:space="0" w:color="auto"/>
              <w:right w:val="single" w:sz="4" w:space="0" w:color="auto"/>
            </w:tcBorders>
            <w:noWrap/>
            <w:vAlign w:val="bottom"/>
            <w:hideMark/>
          </w:tcPr>
          <w:p w:rsidR="003E6891" w:rsidRDefault="003E6891">
            <w:pPr>
              <w:jc w:val="center"/>
            </w:pPr>
            <w:r>
              <w:t>% 62,03</w:t>
            </w:r>
          </w:p>
        </w:tc>
        <w:tc>
          <w:tcPr>
            <w:tcW w:w="1065" w:type="dxa"/>
            <w:tcBorders>
              <w:top w:val="nil"/>
              <w:left w:val="nil"/>
              <w:bottom w:val="single" w:sz="4" w:space="0" w:color="auto"/>
              <w:right w:val="single" w:sz="4" w:space="0" w:color="auto"/>
            </w:tcBorders>
            <w:noWrap/>
            <w:vAlign w:val="bottom"/>
            <w:hideMark/>
          </w:tcPr>
          <w:p w:rsidR="003E6891" w:rsidRDefault="003E6891">
            <w:pPr>
              <w:jc w:val="right"/>
            </w:pPr>
            <w:r>
              <w:t>8.997,52</w:t>
            </w:r>
          </w:p>
        </w:tc>
        <w:tc>
          <w:tcPr>
            <w:tcW w:w="852" w:type="dxa"/>
            <w:tcBorders>
              <w:top w:val="nil"/>
              <w:left w:val="nil"/>
              <w:bottom w:val="single" w:sz="4" w:space="0" w:color="auto"/>
              <w:right w:val="single" w:sz="4" w:space="0" w:color="auto"/>
            </w:tcBorders>
            <w:noWrap/>
            <w:vAlign w:val="bottom"/>
            <w:hideMark/>
          </w:tcPr>
          <w:p w:rsidR="003E6891" w:rsidRDefault="003E6891">
            <w:pPr>
              <w:jc w:val="center"/>
            </w:pPr>
            <w:r>
              <w:t>% 10,82</w:t>
            </w:r>
          </w:p>
        </w:tc>
        <w:tc>
          <w:tcPr>
            <w:tcW w:w="1060" w:type="dxa"/>
            <w:tcBorders>
              <w:top w:val="nil"/>
              <w:left w:val="nil"/>
              <w:bottom w:val="single" w:sz="4" w:space="0" w:color="auto"/>
              <w:right w:val="single" w:sz="4" w:space="0" w:color="auto"/>
            </w:tcBorders>
            <w:noWrap/>
            <w:vAlign w:val="bottom"/>
            <w:hideMark/>
          </w:tcPr>
          <w:p w:rsidR="003E6891" w:rsidRDefault="003E6891">
            <w:pPr>
              <w:jc w:val="right"/>
            </w:pPr>
            <w:r>
              <w:t>22.577,13</w:t>
            </w:r>
          </w:p>
        </w:tc>
        <w:tc>
          <w:tcPr>
            <w:tcW w:w="852" w:type="dxa"/>
            <w:tcBorders>
              <w:top w:val="nil"/>
              <w:left w:val="nil"/>
              <w:bottom w:val="single" w:sz="4" w:space="0" w:color="auto"/>
              <w:right w:val="single" w:sz="4" w:space="0" w:color="auto"/>
            </w:tcBorders>
            <w:noWrap/>
            <w:vAlign w:val="bottom"/>
            <w:hideMark/>
          </w:tcPr>
          <w:p w:rsidR="003E6891" w:rsidRDefault="003E6891">
            <w:pPr>
              <w:jc w:val="center"/>
            </w:pPr>
            <w:r>
              <w:t>% 27,15</w:t>
            </w:r>
          </w:p>
        </w:tc>
        <w:tc>
          <w:tcPr>
            <w:tcW w:w="1133" w:type="dxa"/>
            <w:tcBorders>
              <w:top w:val="nil"/>
              <w:left w:val="nil"/>
              <w:bottom w:val="single" w:sz="4" w:space="0" w:color="auto"/>
              <w:right w:val="single" w:sz="4" w:space="0" w:color="auto"/>
            </w:tcBorders>
            <w:noWrap/>
            <w:vAlign w:val="bottom"/>
            <w:hideMark/>
          </w:tcPr>
          <w:p w:rsidR="003E6891" w:rsidRDefault="003E6891">
            <w:pPr>
              <w:jc w:val="right"/>
            </w:pPr>
            <w:r>
              <w:t>83.156,10</w:t>
            </w:r>
          </w:p>
        </w:tc>
      </w:tr>
      <w:tr w:rsidR="003E6891" w:rsidTr="003E6891">
        <w:trPr>
          <w:trHeight w:val="255"/>
        </w:trPr>
        <w:tc>
          <w:tcPr>
            <w:tcW w:w="0" w:type="auto"/>
            <w:vMerge/>
            <w:tcBorders>
              <w:top w:val="nil"/>
              <w:left w:val="single" w:sz="4" w:space="0" w:color="auto"/>
              <w:bottom w:val="single" w:sz="4" w:space="0" w:color="000000"/>
              <w:right w:val="single" w:sz="4" w:space="0" w:color="auto"/>
            </w:tcBorders>
            <w:vAlign w:val="center"/>
            <w:hideMark/>
          </w:tcPr>
          <w:p w:rsidR="003E6891" w:rsidRDefault="003E6891">
            <w:pPr>
              <w:rPr>
                <w:lang w:val="es-ES_tradnl"/>
              </w:rPr>
            </w:pPr>
          </w:p>
        </w:tc>
        <w:tc>
          <w:tcPr>
            <w:tcW w:w="768" w:type="dxa"/>
            <w:tcBorders>
              <w:top w:val="nil"/>
              <w:left w:val="nil"/>
              <w:bottom w:val="single" w:sz="4" w:space="0" w:color="auto"/>
              <w:right w:val="single" w:sz="4" w:space="0" w:color="auto"/>
            </w:tcBorders>
            <w:noWrap/>
            <w:vAlign w:val="bottom"/>
            <w:hideMark/>
          </w:tcPr>
          <w:p w:rsidR="003E6891" w:rsidRDefault="003E6891">
            <w:pPr>
              <w:jc w:val="center"/>
            </w:pPr>
            <w:r>
              <w:t>2º</w:t>
            </w:r>
          </w:p>
        </w:tc>
        <w:tc>
          <w:tcPr>
            <w:tcW w:w="992" w:type="dxa"/>
            <w:tcBorders>
              <w:top w:val="nil"/>
              <w:left w:val="nil"/>
              <w:bottom w:val="single" w:sz="4" w:space="0" w:color="auto"/>
              <w:right w:val="single" w:sz="4" w:space="0" w:color="auto"/>
            </w:tcBorders>
            <w:noWrap/>
            <w:vAlign w:val="bottom"/>
            <w:hideMark/>
          </w:tcPr>
          <w:p w:rsidR="003E6891" w:rsidRDefault="003E6891">
            <w:pPr>
              <w:jc w:val="center"/>
            </w:pPr>
            <w:r>
              <w:t>0,522</w:t>
            </w:r>
          </w:p>
        </w:tc>
        <w:tc>
          <w:tcPr>
            <w:tcW w:w="1083" w:type="dxa"/>
            <w:tcBorders>
              <w:top w:val="nil"/>
              <w:left w:val="nil"/>
              <w:bottom w:val="single" w:sz="4" w:space="0" w:color="auto"/>
              <w:right w:val="single" w:sz="4" w:space="0" w:color="auto"/>
            </w:tcBorders>
            <w:noWrap/>
            <w:vAlign w:val="bottom"/>
            <w:hideMark/>
          </w:tcPr>
          <w:p w:rsidR="003E6891" w:rsidRDefault="003E6891">
            <w:pPr>
              <w:jc w:val="center"/>
            </w:pPr>
            <w:r>
              <w:t>0,783</w:t>
            </w:r>
          </w:p>
        </w:tc>
        <w:tc>
          <w:tcPr>
            <w:tcW w:w="1230" w:type="dxa"/>
            <w:tcBorders>
              <w:top w:val="nil"/>
              <w:left w:val="nil"/>
              <w:bottom w:val="single" w:sz="4" w:space="0" w:color="auto"/>
              <w:right w:val="single" w:sz="4" w:space="0" w:color="auto"/>
            </w:tcBorders>
            <w:noWrap/>
            <w:vAlign w:val="bottom"/>
            <w:hideMark/>
          </w:tcPr>
          <w:p w:rsidR="003E6891" w:rsidRDefault="003E6891">
            <w:pPr>
              <w:jc w:val="right"/>
            </w:pPr>
            <w:r>
              <w:t>51.581,45</w:t>
            </w:r>
          </w:p>
        </w:tc>
        <w:tc>
          <w:tcPr>
            <w:tcW w:w="992" w:type="dxa"/>
            <w:tcBorders>
              <w:top w:val="nil"/>
              <w:left w:val="nil"/>
              <w:bottom w:val="single" w:sz="4" w:space="0" w:color="auto"/>
              <w:right w:val="single" w:sz="4" w:space="0" w:color="auto"/>
            </w:tcBorders>
            <w:noWrap/>
            <w:vAlign w:val="bottom"/>
            <w:hideMark/>
          </w:tcPr>
          <w:p w:rsidR="003E6891" w:rsidRDefault="003E6891">
            <w:pPr>
              <w:jc w:val="center"/>
            </w:pPr>
            <w:r>
              <w:t>% 62,03</w:t>
            </w:r>
          </w:p>
        </w:tc>
        <w:tc>
          <w:tcPr>
            <w:tcW w:w="1065" w:type="dxa"/>
            <w:tcBorders>
              <w:top w:val="nil"/>
              <w:left w:val="nil"/>
              <w:bottom w:val="single" w:sz="4" w:space="0" w:color="auto"/>
              <w:right w:val="single" w:sz="4" w:space="0" w:color="auto"/>
            </w:tcBorders>
            <w:noWrap/>
            <w:vAlign w:val="bottom"/>
            <w:hideMark/>
          </w:tcPr>
          <w:p w:rsidR="003E6891" w:rsidRDefault="003E6891">
            <w:pPr>
              <w:jc w:val="right"/>
            </w:pPr>
            <w:r>
              <w:t>8.997,52</w:t>
            </w:r>
          </w:p>
        </w:tc>
        <w:tc>
          <w:tcPr>
            <w:tcW w:w="852" w:type="dxa"/>
            <w:tcBorders>
              <w:top w:val="nil"/>
              <w:left w:val="nil"/>
              <w:bottom w:val="single" w:sz="4" w:space="0" w:color="auto"/>
              <w:right w:val="single" w:sz="4" w:space="0" w:color="auto"/>
            </w:tcBorders>
            <w:noWrap/>
            <w:vAlign w:val="bottom"/>
            <w:hideMark/>
          </w:tcPr>
          <w:p w:rsidR="003E6891" w:rsidRDefault="003E6891">
            <w:pPr>
              <w:jc w:val="center"/>
            </w:pPr>
            <w:r>
              <w:t>% 10,82</w:t>
            </w:r>
          </w:p>
        </w:tc>
        <w:tc>
          <w:tcPr>
            <w:tcW w:w="1060" w:type="dxa"/>
            <w:tcBorders>
              <w:top w:val="nil"/>
              <w:left w:val="nil"/>
              <w:bottom w:val="single" w:sz="4" w:space="0" w:color="auto"/>
              <w:right w:val="single" w:sz="4" w:space="0" w:color="auto"/>
            </w:tcBorders>
            <w:noWrap/>
            <w:vAlign w:val="bottom"/>
            <w:hideMark/>
          </w:tcPr>
          <w:p w:rsidR="003E6891" w:rsidRDefault="003E6891">
            <w:pPr>
              <w:jc w:val="right"/>
            </w:pPr>
            <w:r>
              <w:t>22.577,13</w:t>
            </w:r>
          </w:p>
        </w:tc>
        <w:tc>
          <w:tcPr>
            <w:tcW w:w="852" w:type="dxa"/>
            <w:tcBorders>
              <w:top w:val="nil"/>
              <w:left w:val="nil"/>
              <w:bottom w:val="single" w:sz="4" w:space="0" w:color="auto"/>
              <w:right w:val="single" w:sz="4" w:space="0" w:color="auto"/>
            </w:tcBorders>
            <w:noWrap/>
            <w:vAlign w:val="bottom"/>
            <w:hideMark/>
          </w:tcPr>
          <w:p w:rsidR="003E6891" w:rsidRDefault="003E6891">
            <w:pPr>
              <w:jc w:val="center"/>
            </w:pPr>
            <w:r>
              <w:t>% 27,15</w:t>
            </w:r>
          </w:p>
        </w:tc>
        <w:tc>
          <w:tcPr>
            <w:tcW w:w="1133" w:type="dxa"/>
            <w:tcBorders>
              <w:top w:val="nil"/>
              <w:left w:val="nil"/>
              <w:bottom w:val="single" w:sz="4" w:space="0" w:color="auto"/>
              <w:right w:val="single" w:sz="4" w:space="0" w:color="auto"/>
            </w:tcBorders>
            <w:noWrap/>
            <w:vAlign w:val="bottom"/>
            <w:hideMark/>
          </w:tcPr>
          <w:p w:rsidR="003E6891" w:rsidRDefault="003E6891">
            <w:pPr>
              <w:jc w:val="right"/>
            </w:pPr>
            <w:r>
              <w:t>83.156,10</w:t>
            </w:r>
          </w:p>
        </w:tc>
      </w:tr>
      <w:tr w:rsidR="003E6891" w:rsidTr="003E6891">
        <w:trPr>
          <w:trHeight w:val="255"/>
        </w:trPr>
        <w:tc>
          <w:tcPr>
            <w:tcW w:w="3455" w:type="dxa"/>
            <w:vMerge w:val="restart"/>
            <w:tcBorders>
              <w:top w:val="nil"/>
              <w:left w:val="single" w:sz="4" w:space="0" w:color="auto"/>
              <w:bottom w:val="single" w:sz="4" w:space="0" w:color="000000"/>
              <w:right w:val="single" w:sz="4" w:space="0" w:color="auto"/>
            </w:tcBorders>
            <w:vAlign w:val="center"/>
            <w:hideMark/>
          </w:tcPr>
          <w:p w:rsidR="003E6891" w:rsidRDefault="003E6891">
            <w:r>
              <w:t>Eraikinen zaharberritze- eta mantentze-lanak</w:t>
            </w:r>
          </w:p>
        </w:tc>
        <w:tc>
          <w:tcPr>
            <w:tcW w:w="768" w:type="dxa"/>
            <w:tcBorders>
              <w:top w:val="nil"/>
              <w:left w:val="nil"/>
              <w:bottom w:val="single" w:sz="4" w:space="0" w:color="auto"/>
              <w:right w:val="single" w:sz="4" w:space="0" w:color="auto"/>
            </w:tcBorders>
            <w:noWrap/>
            <w:vAlign w:val="bottom"/>
            <w:hideMark/>
          </w:tcPr>
          <w:p w:rsidR="003E6891" w:rsidRDefault="003E6891">
            <w:pPr>
              <w:jc w:val="center"/>
            </w:pPr>
            <w:r>
              <w:t>Lehena</w:t>
            </w:r>
          </w:p>
        </w:tc>
        <w:tc>
          <w:tcPr>
            <w:tcW w:w="992" w:type="dxa"/>
            <w:tcBorders>
              <w:top w:val="nil"/>
              <w:left w:val="nil"/>
              <w:bottom w:val="single" w:sz="4" w:space="0" w:color="auto"/>
              <w:right w:val="single" w:sz="4" w:space="0" w:color="auto"/>
            </w:tcBorders>
            <w:noWrap/>
            <w:vAlign w:val="bottom"/>
            <w:hideMark/>
          </w:tcPr>
          <w:p w:rsidR="003E6891" w:rsidRDefault="003E6891">
            <w:pPr>
              <w:jc w:val="center"/>
            </w:pPr>
            <w:r>
              <w:t>0,522</w:t>
            </w:r>
          </w:p>
        </w:tc>
        <w:tc>
          <w:tcPr>
            <w:tcW w:w="1083" w:type="dxa"/>
            <w:tcBorders>
              <w:top w:val="nil"/>
              <w:left w:val="nil"/>
              <w:bottom w:val="single" w:sz="4" w:space="0" w:color="auto"/>
              <w:right w:val="single" w:sz="4" w:space="0" w:color="auto"/>
            </w:tcBorders>
            <w:noWrap/>
            <w:vAlign w:val="bottom"/>
            <w:hideMark/>
          </w:tcPr>
          <w:p w:rsidR="003E6891" w:rsidRDefault="003E6891">
            <w:pPr>
              <w:jc w:val="center"/>
            </w:pPr>
            <w:r>
              <w:t>0,783</w:t>
            </w:r>
          </w:p>
        </w:tc>
        <w:tc>
          <w:tcPr>
            <w:tcW w:w="1230" w:type="dxa"/>
            <w:tcBorders>
              <w:top w:val="nil"/>
              <w:left w:val="nil"/>
              <w:bottom w:val="single" w:sz="4" w:space="0" w:color="auto"/>
              <w:right w:val="single" w:sz="4" w:space="0" w:color="auto"/>
            </w:tcBorders>
            <w:noWrap/>
            <w:vAlign w:val="bottom"/>
            <w:hideMark/>
          </w:tcPr>
          <w:p w:rsidR="003E6891" w:rsidRDefault="003E6891">
            <w:pPr>
              <w:jc w:val="right"/>
            </w:pPr>
            <w:r>
              <w:t>51.581,45</w:t>
            </w:r>
          </w:p>
        </w:tc>
        <w:tc>
          <w:tcPr>
            <w:tcW w:w="992" w:type="dxa"/>
            <w:tcBorders>
              <w:top w:val="nil"/>
              <w:left w:val="nil"/>
              <w:bottom w:val="single" w:sz="4" w:space="0" w:color="auto"/>
              <w:right w:val="single" w:sz="4" w:space="0" w:color="auto"/>
            </w:tcBorders>
            <w:noWrap/>
            <w:vAlign w:val="bottom"/>
            <w:hideMark/>
          </w:tcPr>
          <w:p w:rsidR="003E6891" w:rsidRDefault="003E6891">
            <w:pPr>
              <w:jc w:val="center"/>
            </w:pPr>
            <w:r>
              <w:t>% 60,31</w:t>
            </w:r>
          </w:p>
        </w:tc>
        <w:tc>
          <w:tcPr>
            <w:tcW w:w="1065" w:type="dxa"/>
            <w:tcBorders>
              <w:top w:val="nil"/>
              <w:left w:val="nil"/>
              <w:bottom w:val="single" w:sz="4" w:space="0" w:color="auto"/>
              <w:right w:val="single" w:sz="4" w:space="0" w:color="auto"/>
            </w:tcBorders>
            <w:noWrap/>
            <w:vAlign w:val="bottom"/>
            <w:hideMark/>
          </w:tcPr>
          <w:p w:rsidR="003E6891" w:rsidRDefault="003E6891">
            <w:pPr>
              <w:jc w:val="right"/>
            </w:pPr>
            <w:r>
              <w:t>8.997,52</w:t>
            </w:r>
          </w:p>
        </w:tc>
        <w:tc>
          <w:tcPr>
            <w:tcW w:w="852" w:type="dxa"/>
            <w:tcBorders>
              <w:top w:val="nil"/>
              <w:left w:val="nil"/>
              <w:bottom w:val="single" w:sz="4" w:space="0" w:color="auto"/>
              <w:right w:val="single" w:sz="4" w:space="0" w:color="auto"/>
            </w:tcBorders>
            <w:noWrap/>
            <w:vAlign w:val="bottom"/>
            <w:hideMark/>
          </w:tcPr>
          <w:p w:rsidR="003E6891" w:rsidRDefault="003E6891">
            <w:pPr>
              <w:jc w:val="center"/>
            </w:pPr>
            <w:r>
              <w:t>% 10,52</w:t>
            </w:r>
          </w:p>
        </w:tc>
        <w:tc>
          <w:tcPr>
            <w:tcW w:w="1060" w:type="dxa"/>
            <w:tcBorders>
              <w:top w:val="nil"/>
              <w:left w:val="nil"/>
              <w:bottom w:val="single" w:sz="4" w:space="0" w:color="auto"/>
              <w:right w:val="single" w:sz="4" w:space="0" w:color="auto"/>
            </w:tcBorders>
            <w:noWrap/>
            <w:vAlign w:val="bottom"/>
            <w:hideMark/>
          </w:tcPr>
          <w:p w:rsidR="003E6891" w:rsidRDefault="003E6891">
            <w:pPr>
              <w:jc w:val="right"/>
            </w:pPr>
            <w:r>
              <w:t>24.954,67</w:t>
            </w:r>
          </w:p>
        </w:tc>
        <w:tc>
          <w:tcPr>
            <w:tcW w:w="852" w:type="dxa"/>
            <w:tcBorders>
              <w:top w:val="nil"/>
              <w:left w:val="nil"/>
              <w:bottom w:val="single" w:sz="4" w:space="0" w:color="auto"/>
              <w:right w:val="single" w:sz="4" w:space="0" w:color="auto"/>
            </w:tcBorders>
            <w:noWrap/>
            <w:vAlign w:val="bottom"/>
            <w:hideMark/>
          </w:tcPr>
          <w:p w:rsidR="003E6891" w:rsidRDefault="003E6891">
            <w:pPr>
              <w:jc w:val="center"/>
            </w:pPr>
            <w:r>
              <w:t>% 29,18</w:t>
            </w:r>
          </w:p>
        </w:tc>
        <w:tc>
          <w:tcPr>
            <w:tcW w:w="1133" w:type="dxa"/>
            <w:tcBorders>
              <w:top w:val="nil"/>
              <w:left w:val="nil"/>
              <w:bottom w:val="single" w:sz="4" w:space="0" w:color="auto"/>
              <w:right w:val="single" w:sz="4" w:space="0" w:color="auto"/>
            </w:tcBorders>
            <w:noWrap/>
            <w:vAlign w:val="bottom"/>
            <w:hideMark/>
          </w:tcPr>
          <w:p w:rsidR="003E6891" w:rsidRDefault="003E6891">
            <w:pPr>
              <w:jc w:val="right"/>
            </w:pPr>
            <w:r>
              <w:t>85.533,64</w:t>
            </w:r>
          </w:p>
        </w:tc>
      </w:tr>
      <w:tr w:rsidR="003E6891" w:rsidTr="003E6891">
        <w:trPr>
          <w:trHeight w:val="255"/>
        </w:trPr>
        <w:tc>
          <w:tcPr>
            <w:tcW w:w="0" w:type="auto"/>
            <w:vMerge/>
            <w:tcBorders>
              <w:top w:val="nil"/>
              <w:left w:val="single" w:sz="4" w:space="0" w:color="auto"/>
              <w:bottom w:val="single" w:sz="4" w:space="0" w:color="000000"/>
              <w:right w:val="single" w:sz="4" w:space="0" w:color="auto"/>
            </w:tcBorders>
            <w:vAlign w:val="center"/>
            <w:hideMark/>
          </w:tcPr>
          <w:p w:rsidR="003E6891" w:rsidRDefault="003E6891">
            <w:pPr>
              <w:rPr>
                <w:lang w:val="es-ES_tradnl"/>
              </w:rPr>
            </w:pPr>
          </w:p>
        </w:tc>
        <w:tc>
          <w:tcPr>
            <w:tcW w:w="768" w:type="dxa"/>
            <w:tcBorders>
              <w:top w:val="nil"/>
              <w:left w:val="nil"/>
              <w:bottom w:val="single" w:sz="4" w:space="0" w:color="auto"/>
              <w:right w:val="single" w:sz="4" w:space="0" w:color="auto"/>
            </w:tcBorders>
            <w:noWrap/>
            <w:vAlign w:val="bottom"/>
            <w:hideMark/>
          </w:tcPr>
          <w:p w:rsidR="003E6891" w:rsidRDefault="003E6891">
            <w:pPr>
              <w:jc w:val="center"/>
            </w:pPr>
            <w:r>
              <w:t>2º</w:t>
            </w:r>
          </w:p>
        </w:tc>
        <w:tc>
          <w:tcPr>
            <w:tcW w:w="992" w:type="dxa"/>
            <w:tcBorders>
              <w:top w:val="nil"/>
              <w:left w:val="nil"/>
              <w:bottom w:val="single" w:sz="4" w:space="0" w:color="auto"/>
              <w:right w:val="single" w:sz="4" w:space="0" w:color="auto"/>
            </w:tcBorders>
            <w:noWrap/>
            <w:vAlign w:val="bottom"/>
            <w:hideMark/>
          </w:tcPr>
          <w:p w:rsidR="003E6891" w:rsidRDefault="003E6891">
            <w:pPr>
              <w:jc w:val="center"/>
            </w:pPr>
            <w:r>
              <w:t>0,522</w:t>
            </w:r>
          </w:p>
        </w:tc>
        <w:tc>
          <w:tcPr>
            <w:tcW w:w="1083" w:type="dxa"/>
            <w:tcBorders>
              <w:top w:val="nil"/>
              <w:left w:val="nil"/>
              <w:bottom w:val="single" w:sz="4" w:space="0" w:color="auto"/>
              <w:right w:val="single" w:sz="4" w:space="0" w:color="auto"/>
            </w:tcBorders>
            <w:noWrap/>
            <w:vAlign w:val="bottom"/>
            <w:hideMark/>
          </w:tcPr>
          <w:p w:rsidR="003E6891" w:rsidRDefault="003E6891">
            <w:pPr>
              <w:jc w:val="center"/>
            </w:pPr>
            <w:r>
              <w:t>0,783</w:t>
            </w:r>
          </w:p>
        </w:tc>
        <w:tc>
          <w:tcPr>
            <w:tcW w:w="1230" w:type="dxa"/>
            <w:tcBorders>
              <w:top w:val="nil"/>
              <w:left w:val="nil"/>
              <w:bottom w:val="single" w:sz="4" w:space="0" w:color="auto"/>
              <w:right w:val="single" w:sz="4" w:space="0" w:color="auto"/>
            </w:tcBorders>
            <w:noWrap/>
            <w:vAlign w:val="bottom"/>
            <w:hideMark/>
          </w:tcPr>
          <w:p w:rsidR="003E6891" w:rsidRDefault="003E6891">
            <w:pPr>
              <w:jc w:val="right"/>
            </w:pPr>
            <w:r>
              <w:t>51.581,45</w:t>
            </w:r>
          </w:p>
        </w:tc>
        <w:tc>
          <w:tcPr>
            <w:tcW w:w="992" w:type="dxa"/>
            <w:tcBorders>
              <w:top w:val="nil"/>
              <w:left w:val="nil"/>
              <w:bottom w:val="single" w:sz="4" w:space="0" w:color="auto"/>
              <w:right w:val="single" w:sz="4" w:space="0" w:color="auto"/>
            </w:tcBorders>
            <w:noWrap/>
            <w:vAlign w:val="bottom"/>
            <w:hideMark/>
          </w:tcPr>
          <w:p w:rsidR="003E6891" w:rsidRDefault="003E6891">
            <w:pPr>
              <w:jc w:val="center"/>
            </w:pPr>
            <w:r>
              <w:t>% 60,31</w:t>
            </w:r>
          </w:p>
        </w:tc>
        <w:tc>
          <w:tcPr>
            <w:tcW w:w="1065" w:type="dxa"/>
            <w:tcBorders>
              <w:top w:val="nil"/>
              <w:left w:val="nil"/>
              <w:bottom w:val="single" w:sz="4" w:space="0" w:color="auto"/>
              <w:right w:val="single" w:sz="4" w:space="0" w:color="auto"/>
            </w:tcBorders>
            <w:noWrap/>
            <w:vAlign w:val="bottom"/>
            <w:hideMark/>
          </w:tcPr>
          <w:p w:rsidR="003E6891" w:rsidRDefault="003E6891">
            <w:pPr>
              <w:jc w:val="right"/>
            </w:pPr>
            <w:r>
              <w:t>8.997,52</w:t>
            </w:r>
          </w:p>
        </w:tc>
        <w:tc>
          <w:tcPr>
            <w:tcW w:w="852" w:type="dxa"/>
            <w:tcBorders>
              <w:top w:val="nil"/>
              <w:left w:val="nil"/>
              <w:bottom w:val="single" w:sz="4" w:space="0" w:color="auto"/>
              <w:right w:val="single" w:sz="4" w:space="0" w:color="auto"/>
            </w:tcBorders>
            <w:noWrap/>
            <w:vAlign w:val="bottom"/>
            <w:hideMark/>
          </w:tcPr>
          <w:p w:rsidR="003E6891" w:rsidRDefault="003E6891">
            <w:pPr>
              <w:jc w:val="center"/>
            </w:pPr>
            <w:r>
              <w:t>% 10,52</w:t>
            </w:r>
          </w:p>
        </w:tc>
        <w:tc>
          <w:tcPr>
            <w:tcW w:w="1060" w:type="dxa"/>
            <w:tcBorders>
              <w:top w:val="nil"/>
              <w:left w:val="nil"/>
              <w:bottom w:val="single" w:sz="4" w:space="0" w:color="auto"/>
              <w:right w:val="single" w:sz="4" w:space="0" w:color="auto"/>
            </w:tcBorders>
            <w:noWrap/>
            <w:vAlign w:val="bottom"/>
            <w:hideMark/>
          </w:tcPr>
          <w:p w:rsidR="003E6891" w:rsidRDefault="003E6891">
            <w:pPr>
              <w:jc w:val="right"/>
            </w:pPr>
            <w:r>
              <w:t>24.954,67</w:t>
            </w:r>
          </w:p>
        </w:tc>
        <w:tc>
          <w:tcPr>
            <w:tcW w:w="852" w:type="dxa"/>
            <w:tcBorders>
              <w:top w:val="nil"/>
              <w:left w:val="nil"/>
              <w:bottom w:val="single" w:sz="4" w:space="0" w:color="auto"/>
              <w:right w:val="single" w:sz="4" w:space="0" w:color="auto"/>
            </w:tcBorders>
            <w:noWrap/>
            <w:vAlign w:val="bottom"/>
            <w:hideMark/>
          </w:tcPr>
          <w:p w:rsidR="003E6891" w:rsidRDefault="003E6891">
            <w:pPr>
              <w:jc w:val="center"/>
            </w:pPr>
            <w:r>
              <w:t>% 29,18</w:t>
            </w:r>
          </w:p>
        </w:tc>
        <w:tc>
          <w:tcPr>
            <w:tcW w:w="1133" w:type="dxa"/>
            <w:tcBorders>
              <w:top w:val="nil"/>
              <w:left w:val="nil"/>
              <w:bottom w:val="single" w:sz="4" w:space="0" w:color="auto"/>
              <w:right w:val="single" w:sz="4" w:space="0" w:color="auto"/>
            </w:tcBorders>
            <w:noWrap/>
            <w:vAlign w:val="bottom"/>
            <w:hideMark/>
          </w:tcPr>
          <w:p w:rsidR="003E6891" w:rsidRDefault="003E6891">
            <w:pPr>
              <w:jc w:val="right"/>
            </w:pPr>
            <w:r>
              <w:t>85.533,64</w:t>
            </w:r>
          </w:p>
        </w:tc>
      </w:tr>
    </w:tbl>
    <w:p w:rsidR="003E6891" w:rsidRDefault="003E6891" w:rsidP="003E6891">
      <w:pPr>
        <w:tabs>
          <w:tab w:val="decimal" w:pos="8460"/>
        </w:tabs>
        <w:spacing w:after="300" w:line="340" w:lineRule="exact"/>
        <w:ind w:firstLine="567"/>
        <w:jc w:val="both"/>
        <w:rPr>
          <w:rFonts w:ascii="Arial" w:hAnsi="Arial" w:cs="Arial"/>
          <w:lang w:val="es-ES_tradnl"/>
        </w:rPr>
      </w:pPr>
    </w:p>
    <w:p w:rsidR="003E6891" w:rsidRDefault="003E6891" w:rsidP="003E6891">
      <w:pPr>
        <w:tabs>
          <w:tab w:val="decimal" w:pos="8460"/>
        </w:tabs>
        <w:spacing w:after="300" w:line="340" w:lineRule="exact"/>
        <w:ind w:firstLine="567"/>
        <w:jc w:val="both"/>
        <w:rPr>
          <w:rFonts w:ascii="Arial" w:hAnsi="Arial" w:cs="Arial"/>
        </w:rPr>
      </w:pPr>
      <w:r>
        <w:rPr>
          <w:rFonts w:ascii="Arial" w:hAnsi="Arial"/>
        </w:rPr>
        <w:t>Haur Hezkuntzako eta Lehen Hezkuntzako irakasle titularren ratioak astean 23 zuzeneko irakastorduko lanaldia oinarri hartuz kalkulatu dira.</w:t>
      </w:r>
    </w:p>
    <w:p w:rsidR="003E6891" w:rsidRDefault="003E6891" w:rsidP="003E6891">
      <w:pPr>
        <w:tabs>
          <w:tab w:val="decimal" w:pos="8460"/>
        </w:tabs>
        <w:spacing w:after="300" w:line="340" w:lineRule="exact"/>
        <w:ind w:firstLine="567"/>
        <w:jc w:val="both"/>
        <w:rPr>
          <w:rFonts w:ascii="Arial" w:hAnsi="Arial" w:cs="Arial"/>
        </w:rPr>
      </w:pPr>
      <w:r>
        <w:rPr>
          <w:rFonts w:ascii="Arial" w:hAnsi="Arial"/>
        </w:rPr>
        <w:t>Bigarren Hezkuntzako irakasle titularren eta irakasle agregatuen ratioak astean 23 eskola-orduko lanaldia oinarri hartuz kalkulatu dira.</w:t>
      </w:r>
    </w:p>
    <w:p w:rsidR="003E6891" w:rsidRDefault="003E6891" w:rsidP="003E6891">
      <w:pPr>
        <w:pStyle w:val="DICTA-TEXTO"/>
        <w:jc w:val="left"/>
        <w:rPr>
          <w:rFonts w:cs="Arial"/>
          <w:szCs w:val="24"/>
        </w:rPr>
      </w:pPr>
      <w:r>
        <w:br w:type="page"/>
      </w:r>
    </w:p>
    <w:p w:rsidR="00113242" w:rsidRDefault="00113242" w:rsidP="00113242">
      <w:pPr>
        <w:pStyle w:val="DICTA-TEXTO"/>
      </w:pPr>
    </w:p>
    <w:tbl>
      <w:tblPr>
        <w:tblW w:w="15505" w:type="dxa"/>
        <w:tblLayout w:type="fixed"/>
        <w:tblCellMar>
          <w:left w:w="40" w:type="dxa"/>
          <w:right w:w="40" w:type="dxa"/>
        </w:tblCellMar>
        <w:tblLook w:val="0000" w:firstRow="0" w:lastRow="0" w:firstColumn="0" w:lastColumn="0" w:noHBand="0" w:noVBand="0"/>
      </w:tblPr>
      <w:tblGrid>
        <w:gridCol w:w="3260"/>
        <w:gridCol w:w="1213"/>
        <w:gridCol w:w="1213"/>
        <w:gridCol w:w="1213"/>
        <w:gridCol w:w="1313"/>
        <w:gridCol w:w="1128"/>
        <w:gridCol w:w="1213"/>
        <w:gridCol w:w="1313"/>
        <w:gridCol w:w="1213"/>
        <w:gridCol w:w="1213"/>
        <w:gridCol w:w="1213"/>
      </w:tblGrid>
      <w:tr w:rsidR="003C52E5" w:rsidRPr="002C5ECE" w:rsidTr="00012DC5">
        <w:tc>
          <w:tcPr>
            <w:tcW w:w="3260" w:type="dxa"/>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rsidR="003C52E5" w:rsidRPr="002C5ECE" w:rsidRDefault="003C52E5" w:rsidP="002C5ECE">
            <w:pPr>
              <w:widowControl w:val="0"/>
              <w:autoSpaceDE w:val="0"/>
              <w:autoSpaceDN w:val="0"/>
              <w:adjustRightInd w:val="0"/>
              <w:spacing w:before="20" w:after="20"/>
              <w:jc w:val="center"/>
              <w:rPr>
                <w:rFonts w:asciiTheme="minorHAnsi" w:hAnsiTheme="minorHAnsi" w:cs="Arial"/>
                <w:b/>
                <w:bCs/>
                <w:sz w:val="16"/>
                <w:szCs w:val="16"/>
              </w:rPr>
            </w:pPr>
            <w:bookmarkStart w:id="73" w:name="_GoBack"/>
            <w:r w:rsidRPr="002C5ECE">
              <w:rPr>
                <w:rFonts w:asciiTheme="minorHAnsi" w:hAnsiTheme="minorHAnsi"/>
                <w:b/>
                <w:bCs/>
                <w:sz w:val="16"/>
                <w:szCs w:val="16"/>
              </w:rPr>
              <w:t>GASTUAREN AZALPENA</w:t>
            </w:r>
          </w:p>
        </w:tc>
        <w:tc>
          <w:tcPr>
            <w:tcW w:w="1213" w:type="dxa"/>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rsidR="003C52E5" w:rsidRPr="002C5ECE" w:rsidRDefault="003C52E5" w:rsidP="002C5ECE">
            <w:pPr>
              <w:widowControl w:val="0"/>
              <w:autoSpaceDE w:val="0"/>
              <w:autoSpaceDN w:val="0"/>
              <w:adjustRightInd w:val="0"/>
              <w:spacing w:before="20" w:after="20"/>
              <w:jc w:val="center"/>
              <w:rPr>
                <w:rFonts w:asciiTheme="minorHAnsi" w:hAnsiTheme="minorHAnsi" w:cs="Arial"/>
                <w:b/>
                <w:bCs/>
                <w:sz w:val="16"/>
                <w:szCs w:val="16"/>
              </w:rPr>
            </w:pPr>
            <w:r w:rsidRPr="002C5ECE">
              <w:rPr>
                <w:rFonts w:asciiTheme="minorHAnsi" w:hAnsiTheme="minorHAnsi"/>
                <w:b/>
                <w:bCs/>
                <w:sz w:val="16"/>
                <w:szCs w:val="16"/>
              </w:rPr>
              <w:t>1 Langileria gastuak</w:t>
            </w:r>
          </w:p>
        </w:tc>
        <w:tc>
          <w:tcPr>
            <w:tcW w:w="1213" w:type="dxa"/>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rsidR="003C52E5" w:rsidRPr="002C5ECE" w:rsidRDefault="003C52E5" w:rsidP="002C5ECE">
            <w:pPr>
              <w:widowControl w:val="0"/>
              <w:autoSpaceDE w:val="0"/>
              <w:autoSpaceDN w:val="0"/>
              <w:adjustRightInd w:val="0"/>
              <w:spacing w:before="20" w:after="20"/>
              <w:jc w:val="center"/>
              <w:rPr>
                <w:rFonts w:asciiTheme="minorHAnsi" w:hAnsiTheme="minorHAnsi" w:cs="Arial"/>
                <w:b/>
                <w:bCs/>
                <w:sz w:val="16"/>
                <w:szCs w:val="16"/>
              </w:rPr>
            </w:pPr>
            <w:r w:rsidRPr="002C5ECE">
              <w:rPr>
                <w:rFonts w:asciiTheme="minorHAnsi" w:hAnsiTheme="minorHAnsi"/>
                <w:b/>
                <w:bCs/>
                <w:sz w:val="16"/>
                <w:szCs w:val="16"/>
              </w:rPr>
              <w:t>2 Ondasun arruntak eta zerbitzuak</w:t>
            </w:r>
          </w:p>
        </w:tc>
        <w:tc>
          <w:tcPr>
            <w:tcW w:w="1213" w:type="dxa"/>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rsidR="003C52E5" w:rsidRPr="002C5ECE" w:rsidRDefault="003C52E5" w:rsidP="002C5ECE">
            <w:pPr>
              <w:widowControl w:val="0"/>
              <w:autoSpaceDE w:val="0"/>
              <w:autoSpaceDN w:val="0"/>
              <w:adjustRightInd w:val="0"/>
              <w:spacing w:before="20" w:after="20"/>
              <w:jc w:val="center"/>
              <w:rPr>
                <w:rFonts w:asciiTheme="minorHAnsi" w:hAnsiTheme="minorHAnsi" w:cs="Arial"/>
                <w:b/>
                <w:bCs/>
                <w:sz w:val="16"/>
                <w:szCs w:val="16"/>
              </w:rPr>
            </w:pPr>
            <w:r w:rsidRPr="002C5ECE">
              <w:rPr>
                <w:rFonts w:asciiTheme="minorHAnsi" w:hAnsiTheme="minorHAnsi"/>
                <w:b/>
                <w:bCs/>
                <w:sz w:val="16"/>
                <w:szCs w:val="16"/>
              </w:rPr>
              <w:t>3 Finantza gastuak</w:t>
            </w:r>
          </w:p>
        </w:tc>
        <w:tc>
          <w:tcPr>
            <w:tcW w:w="1313" w:type="dxa"/>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rsidR="003C52E5" w:rsidRPr="002C5ECE" w:rsidRDefault="003C52E5" w:rsidP="002C5ECE">
            <w:pPr>
              <w:widowControl w:val="0"/>
              <w:autoSpaceDE w:val="0"/>
              <w:autoSpaceDN w:val="0"/>
              <w:adjustRightInd w:val="0"/>
              <w:spacing w:before="20" w:after="20"/>
              <w:jc w:val="center"/>
              <w:rPr>
                <w:rFonts w:asciiTheme="minorHAnsi" w:hAnsiTheme="minorHAnsi" w:cs="Arial"/>
                <w:b/>
                <w:bCs/>
                <w:sz w:val="16"/>
                <w:szCs w:val="16"/>
              </w:rPr>
            </w:pPr>
            <w:r w:rsidRPr="002C5ECE">
              <w:rPr>
                <w:rFonts w:asciiTheme="minorHAnsi" w:hAnsiTheme="minorHAnsi"/>
                <w:b/>
                <w:bCs/>
                <w:sz w:val="16"/>
                <w:szCs w:val="16"/>
              </w:rPr>
              <w:t>4 Transferentzia arruntak</w:t>
            </w:r>
          </w:p>
        </w:tc>
        <w:tc>
          <w:tcPr>
            <w:tcW w:w="1128" w:type="dxa"/>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rsidR="003C52E5" w:rsidRPr="002C5ECE" w:rsidRDefault="003C52E5" w:rsidP="002C5ECE">
            <w:pPr>
              <w:widowControl w:val="0"/>
              <w:autoSpaceDE w:val="0"/>
              <w:autoSpaceDN w:val="0"/>
              <w:adjustRightInd w:val="0"/>
              <w:spacing w:before="20" w:after="20"/>
              <w:jc w:val="center"/>
              <w:rPr>
                <w:rFonts w:asciiTheme="minorHAnsi" w:hAnsiTheme="minorHAnsi" w:cs="Arial"/>
                <w:b/>
                <w:bCs/>
                <w:sz w:val="16"/>
                <w:szCs w:val="16"/>
              </w:rPr>
            </w:pPr>
            <w:r w:rsidRPr="002C5ECE">
              <w:rPr>
                <w:rFonts w:asciiTheme="minorHAnsi" w:hAnsiTheme="minorHAnsi"/>
                <w:b/>
                <w:bCs/>
                <w:sz w:val="16"/>
                <w:szCs w:val="16"/>
              </w:rPr>
              <w:t>5 Kontingentzia funtsa</w:t>
            </w:r>
          </w:p>
        </w:tc>
        <w:tc>
          <w:tcPr>
            <w:tcW w:w="1213" w:type="dxa"/>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rsidR="003C52E5" w:rsidRPr="002C5ECE" w:rsidRDefault="003C52E5" w:rsidP="002C5ECE">
            <w:pPr>
              <w:widowControl w:val="0"/>
              <w:autoSpaceDE w:val="0"/>
              <w:autoSpaceDN w:val="0"/>
              <w:adjustRightInd w:val="0"/>
              <w:spacing w:before="20" w:after="20"/>
              <w:jc w:val="center"/>
              <w:rPr>
                <w:rFonts w:asciiTheme="minorHAnsi" w:hAnsiTheme="minorHAnsi" w:cs="Arial"/>
                <w:b/>
                <w:bCs/>
                <w:sz w:val="16"/>
                <w:szCs w:val="16"/>
              </w:rPr>
            </w:pPr>
            <w:r w:rsidRPr="002C5ECE">
              <w:rPr>
                <w:rFonts w:asciiTheme="minorHAnsi" w:hAnsiTheme="minorHAnsi"/>
                <w:b/>
                <w:bCs/>
                <w:sz w:val="16"/>
                <w:szCs w:val="16"/>
              </w:rPr>
              <w:t>6 Inbertsio errealak</w:t>
            </w:r>
          </w:p>
        </w:tc>
        <w:tc>
          <w:tcPr>
            <w:tcW w:w="1313" w:type="dxa"/>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rsidR="003C52E5" w:rsidRPr="002C5ECE" w:rsidRDefault="003C52E5" w:rsidP="002C5ECE">
            <w:pPr>
              <w:widowControl w:val="0"/>
              <w:autoSpaceDE w:val="0"/>
              <w:autoSpaceDN w:val="0"/>
              <w:adjustRightInd w:val="0"/>
              <w:spacing w:before="20" w:after="20"/>
              <w:jc w:val="center"/>
              <w:rPr>
                <w:rFonts w:asciiTheme="minorHAnsi" w:hAnsiTheme="minorHAnsi" w:cs="Arial"/>
                <w:b/>
                <w:bCs/>
                <w:sz w:val="16"/>
                <w:szCs w:val="16"/>
              </w:rPr>
            </w:pPr>
            <w:r w:rsidRPr="002C5ECE">
              <w:rPr>
                <w:rFonts w:asciiTheme="minorHAnsi" w:hAnsiTheme="minorHAnsi"/>
                <w:b/>
                <w:bCs/>
                <w:sz w:val="16"/>
                <w:szCs w:val="16"/>
              </w:rPr>
              <w:t>7 Kapital transferentziak</w:t>
            </w:r>
          </w:p>
        </w:tc>
        <w:tc>
          <w:tcPr>
            <w:tcW w:w="1213" w:type="dxa"/>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rsidR="003C52E5" w:rsidRPr="002C5ECE" w:rsidRDefault="003C52E5" w:rsidP="002C5ECE">
            <w:pPr>
              <w:widowControl w:val="0"/>
              <w:autoSpaceDE w:val="0"/>
              <w:autoSpaceDN w:val="0"/>
              <w:adjustRightInd w:val="0"/>
              <w:spacing w:before="20" w:after="20"/>
              <w:jc w:val="center"/>
              <w:rPr>
                <w:rFonts w:asciiTheme="minorHAnsi" w:hAnsiTheme="minorHAnsi" w:cs="Arial"/>
                <w:b/>
                <w:bCs/>
                <w:sz w:val="16"/>
                <w:szCs w:val="16"/>
              </w:rPr>
            </w:pPr>
            <w:r w:rsidRPr="002C5ECE">
              <w:rPr>
                <w:rFonts w:asciiTheme="minorHAnsi" w:hAnsiTheme="minorHAnsi"/>
                <w:b/>
                <w:bCs/>
                <w:sz w:val="16"/>
                <w:szCs w:val="16"/>
              </w:rPr>
              <w:t>8 Finantza-aktiboak</w:t>
            </w:r>
          </w:p>
        </w:tc>
        <w:tc>
          <w:tcPr>
            <w:tcW w:w="1213" w:type="dxa"/>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rsidR="003C52E5" w:rsidRPr="002C5ECE" w:rsidRDefault="003C52E5" w:rsidP="002C5ECE">
            <w:pPr>
              <w:widowControl w:val="0"/>
              <w:autoSpaceDE w:val="0"/>
              <w:autoSpaceDN w:val="0"/>
              <w:adjustRightInd w:val="0"/>
              <w:spacing w:before="20" w:after="20"/>
              <w:jc w:val="center"/>
              <w:rPr>
                <w:rFonts w:asciiTheme="minorHAnsi" w:hAnsiTheme="minorHAnsi" w:cs="Arial"/>
                <w:b/>
                <w:bCs/>
                <w:sz w:val="16"/>
                <w:szCs w:val="16"/>
              </w:rPr>
            </w:pPr>
            <w:r w:rsidRPr="002C5ECE">
              <w:rPr>
                <w:rFonts w:asciiTheme="minorHAnsi" w:hAnsiTheme="minorHAnsi"/>
                <w:b/>
                <w:bCs/>
                <w:sz w:val="16"/>
                <w:szCs w:val="16"/>
              </w:rPr>
              <w:t>9 Finantza-pasiboak</w:t>
            </w:r>
          </w:p>
        </w:tc>
        <w:tc>
          <w:tcPr>
            <w:tcW w:w="1213" w:type="dxa"/>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rsidR="003C52E5" w:rsidRPr="002C5ECE" w:rsidRDefault="003C52E5" w:rsidP="002C5ECE">
            <w:pPr>
              <w:widowControl w:val="0"/>
              <w:autoSpaceDE w:val="0"/>
              <w:autoSpaceDN w:val="0"/>
              <w:adjustRightInd w:val="0"/>
              <w:spacing w:before="20" w:after="20"/>
              <w:jc w:val="center"/>
              <w:rPr>
                <w:rFonts w:asciiTheme="minorHAnsi" w:hAnsiTheme="minorHAnsi" w:cs="Arial"/>
                <w:b/>
                <w:bCs/>
                <w:sz w:val="16"/>
                <w:szCs w:val="16"/>
              </w:rPr>
            </w:pPr>
            <w:r w:rsidRPr="002C5ECE">
              <w:rPr>
                <w:rFonts w:asciiTheme="minorHAnsi" w:hAnsiTheme="minorHAnsi"/>
                <w:b/>
                <w:bCs/>
                <w:sz w:val="16"/>
                <w:szCs w:val="16"/>
              </w:rPr>
              <w:t>GUZTIRA</w:t>
            </w:r>
          </w:p>
        </w:tc>
      </w:tr>
      <w:tr w:rsidR="003C52E5" w:rsidRPr="002C5ECE" w:rsidTr="00012DC5">
        <w:tc>
          <w:tcPr>
            <w:tcW w:w="3260" w:type="dxa"/>
            <w:tcBorders>
              <w:top w:val="single" w:sz="6" w:space="0" w:color="C0C0C0"/>
              <w:left w:val="single" w:sz="6" w:space="0" w:color="C0C0C0"/>
              <w:bottom w:val="single" w:sz="6" w:space="0" w:color="C0C0C0"/>
              <w:right w:val="single" w:sz="6" w:space="0" w:color="C0C0C0"/>
            </w:tcBorders>
            <w:shd w:val="solid" w:color="FFFFFF" w:fill="auto"/>
          </w:tcPr>
          <w:p w:rsidR="003C52E5" w:rsidRPr="002C5ECE" w:rsidRDefault="003C52E5" w:rsidP="002C5ECE">
            <w:pPr>
              <w:widowControl w:val="0"/>
              <w:autoSpaceDE w:val="0"/>
              <w:autoSpaceDN w:val="0"/>
              <w:adjustRightInd w:val="0"/>
              <w:spacing w:before="20" w:after="20"/>
              <w:rPr>
                <w:rFonts w:asciiTheme="minorHAnsi" w:hAnsiTheme="minorHAnsi" w:cs="Arial"/>
                <w:sz w:val="16"/>
                <w:szCs w:val="16"/>
              </w:rPr>
            </w:pPr>
            <w:r w:rsidRPr="002C5ECE">
              <w:rPr>
                <w:rFonts w:asciiTheme="minorHAnsi" w:hAnsiTheme="minorHAnsi"/>
                <w:sz w:val="16"/>
                <w:szCs w:val="16"/>
              </w:rPr>
              <w:t>P Nafarroako Parlamentua</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rPr>
                <w:rFonts w:asciiTheme="minorHAnsi" w:hAnsiTheme="minorHAnsi" w:cs="Arial"/>
                <w:sz w:val="16"/>
                <w:szCs w:val="16"/>
              </w:rPr>
            </w:pPr>
            <w:r w:rsidRPr="002C5ECE">
              <w:rPr>
                <w:rFonts w:asciiTheme="minorHAnsi" w:hAnsiTheme="minorHAnsi"/>
                <w:sz w:val="16"/>
                <w:szCs w:val="16"/>
              </w:rPr>
              <w:t> </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rPr>
                <w:rFonts w:asciiTheme="minorHAnsi" w:hAnsiTheme="minorHAnsi" w:cs="Arial"/>
                <w:sz w:val="16"/>
                <w:szCs w:val="16"/>
              </w:rPr>
            </w:pP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15.962.717</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rPr>
                <w:rFonts w:asciiTheme="minorHAnsi" w:hAnsiTheme="minorHAnsi" w:cs="Arial"/>
                <w:sz w:val="16"/>
                <w:szCs w:val="16"/>
              </w:rPr>
            </w:pP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1.045.835</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17.008.552</w:t>
            </w:r>
          </w:p>
        </w:tc>
      </w:tr>
      <w:tr w:rsidR="003C52E5" w:rsidRPr="002C5ECE" w:rsidTr="00012DC5">
        <w:tc>
          <w:tcPr>
            <w:tcW w:w="3260" w:type="dxa"/>
            <w:tcBorders>
              <w:top w:val="single" w:sz="6" w:space="0" w:color="C0C0C0"/>
              <w:left w:val="single" w:sz="6" w:space="0" w:color="C0C0C0"/>
              <w:bottom w:val="single" w:sz="6" w:space="0" w:color="C0C0C0"/>
              <w:right w:val="single" w:sz="6" w:space="0" w:color="C0C0C0"/>
            </w:tcBorders>
            <w:shd w:val="solid" w:color="FFFFFF" w:fill="auto"/>
          </w:tcPr>
          <w:p w:rsidR="003C52E5" w:rsidRPr="002C5ECE" w:rsidRDefault="003C52E5" w:rsidP="002C5ECE">
            <w:pPr>
              <w:widowControl w:val="0"/>
              <w:autoSpaceDE w:val="0"/>
              <w:autoSpaceDN w:val="0"/>
              <w:adjustRightInd w:val="0"/>
              <w:spacing w:before="20" w:after="20"/>
              <w:rPr>
                <w:rFonts w:asciiTheme="minorHAnsi" w:hAnsiTheme="minorHAnsi" w:cs="Arial"/>
                <w:sz w:val="16"/>
                <w:szCs w:val="16"/>
              </w:rPr>
            </w:pPr>
            <w:r w:rsidRPr="002C5ECE">
              <w:rPr>
                <w:rFonts w:asciiTheme="minorHAnsi" w:hAnsiTheme="minorHAnsi"/>
                <w:sz w:val="16"/>
                <w:szCs w:val="16"/>
              </w:rPr>
              <w:t>0 Lehendakaritzako, Funtzio Publikoko, Barneko eta Justiziako Departamentua</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231.531.043</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41.842.575</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rPr>
                <w:rFonts w:asciiTheme="minorHAnsi" w:hAnsiTheme="minorHAnsi" w:cs="Arial"/>
                <w:sz w:val="16"/>
                <w:szCs w:val="16"/>
              </w:rPr>
            </w:pPr>
            <w:r w:rsidRPr="002C5ECE">
              <w:rPr>
                <w:rFonts w:asciiTheme="minorHAnsi" w:hAnsiTheme="minorHAnsi"/>
                <w:sz w:val="16"/>
                <w:szCs w:val="16"/>
              </w:rPr>
              <w:t> </w:t>
            </w:r>
            <w:r w:rsidR="002C5ECE">
              <w:rPr>
                <w:rFonts w:asciiTheme="minorHAnsi" w:hAnsiTheme="minorHAnsi"/>
                <w:sz w:val="16"/>
                <w:szCs w:val="16"/>
              </w:rPr>
              <w:tab/>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19.400.450</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rPr>
                <w:rFonts w:asciiTheme="minorHAnsi" w:hAnsiTheme="minorHAnsi" w:cs="Arial"/>
                <w:sz w:val="16"/>
                <w:szCs w:val="16"/>
              </w:rPr>
            </w:pPr>
            <w:r w:rsidRPr="002C5ECE">
              <w:rPr>
                <w:rFonts w:asciiTheme="minorHAnsi" w:hAnsiTheme="minorHAnsi"/>
                <w:sz w:val="16"/>
                <w:szCs w:val="16"/>
              </w:rPr>
              <w:t> </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12.558.153</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136.010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19.222.500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rPr>
                <w:rFonts w:asciiTheme="minorHAnsi" w:hAnsiTheme="minorHAnsi" w:cs="Arial"/>
                <w:sz w:val="16"/>
                <w:szCs w:val="16"/>
              </w:rPr>
            </w:pPr>
            <w:r w:rsidRPr="002C5ECE">
              <w:rPr>
                <w:rFonts w:asciiTheme="minorHAnsi" w:hAnsiTheme="minorHAnsi"/>
                <w:sz w:val="16"/>
                <w:szCs w:val="16"/>
              </w:rPr>
              <w:t> </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324.690.731</w:t>
            </w:r>
          </w:p>
        </w:tc>
      </w:tr>
      <w:tr w:rsidR="003C52E5" w:rsidRPr="002C5ECE" w:rsidTr="00012DC5">
        <w:tc>
          <w:tcPr>
            <w:tcW w:w="3260" w:type="dxa"/>
            <w:tcBorders>
              <w:top w:val="single" w:sz="6" w:space="0" w:color="C0C0C0"/>
              <w:left w:val="single" w:sz="6" w:space="0" w:color="C0C0C0"/>
              <w:bottom w:val="single" w:sz="6" w:space="0" w:color="C0C0C0"/>
              <w:right w:val="single" w:sz="6" w:space="0" w:color="C0C0C0"/>
            </w:tcBorders>
            <w:shd w:val="solid" w:color="FFFFFF" w:fill="auto"/>
          </w:tcPr>
          <w:p w:rsidR="003C52E5" w:rsidRPr="002C5ECE" w:rsidRDefault="003C52E5" w:rsidP="002C5ECE">
            <w:pPr>
              <w:widowControl w:val="0"/>
              <w:autoSpaceDE w:val="0"/>
              <w:autoSpaceDN w:val="0"/>
              <w:adjustRightInd w:val="0"/>
              <w:spacing w:before="20" w:after="20"/>
              <w:rPr>
                <w:rFonts w:asciiTheme="minorHAnsi" w:hAnsiTheme="minorHAnsi" w:cs="Arial"/>
                <w:sz w:val="16"/>
                <w:szCs w:val="16"/>
              </w:rPr>
            </w:pPr>
            <w:r w:rsidRPr="002C5ECE">
              <w:rPr>
                <w:rFonts w:asciiTheme="minorHAnsi" w:hAnsiTheme="minorHAnsi"/>
                <w:sz w:val="16"/>
                <w:szCs w:val="16"/>
              </w:rPr>
              <w:t>1 Ogasuneko eta Finantza Politikako Departamentua</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22.670.437</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12.403.526</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90.695.150</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553.989.198</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11.764.396</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4.686.589</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20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9.060.020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244.166.667</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949.436.003</w:t>
            </w:r>
          </w:p>
        </w:tc>
      </w:tr>
      <w:tr w:rsidR="003C52E5" w:rsidRPr="002C5ECE" w:rsidTr="00012DC5">
        <w:tc>
          <w:tcPr>
            <w:tcW w:w="3260" w:type="dxa"/>
            <w:tcBorders>
              <w:top w:val="single" w:sz="6" w:space="0" w:color="C0C0C0"/>
              <w:left w:val="single" w:sz="6" w:space="0" w:color="C0C0C0"/>
              <w:bottom w:val="single" w:sz="6" w:space="0" w:color="C0C0C0"/>
              <w:right w:val="single" w:sz="6" w:space="0" w:color="C0C0C0"/>
            </w:tcBorders>
            <w:shd w:val="solid" w:color="FFFFFF" w:fill="auto"/>
          </w:tcPr>
          <w:p w:rsidR="003C52E5" w:rsidRPr="002C5ECE" w:rsidRDefault="003C52E5" w:rsidP="002C5ECE">
            <w:pPr>
              <w:widowControl w:val="0"/>
              <w:autoSpaceDE w:val="0"/>
              <w:autoSpaceDN w:val="0"/>
              <w:adjustRightInd w:val="0"/>
              <w:spacing w:before="20" w:after="20"/>
              <w:rPr>
                <w:rFonts w:asciiTheme="minorHAnsi" w:hAnsiTheme="minorHAnsi" w:cs="Arial"/>
                <w:sz w:val="16"/>
                <w:szCs w:val="16"/>
              </w:rPr>
            </w:pPr>
            <w:r w:rsidRPr="002C5ECE">
              <w:rPr>
                <w:rFonts w:asciiTheme="minorHAnsi" w:hAnsiTheme="minorHAnsi"/>
                <w:sz w:val="16"/>
                <w:szCs w:val="16"/>
              </w:rPr>
              <w:t>4 Hezkuntza Departamentua</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370.947.245</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37.997.461</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8.590</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211.997.088</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20.959.029</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11.872.594</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722.257</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654.504.264</w:t>
            </w:r>
          </w:p>
        </w:tc>
      </w:tr>
      <w:tr w:rsidR="003C52E5" w:rsidRPr="002C5ECE" w:rsidTr="00012DC5">
        <w:tc>
          <w:tcPr>
            <w:tcW w:w="3260" w:type="dxa"/>
            <w:tcBorders>
              <w:top w:val="single" w:sz="6" w:space="0" w:color="C0C0C0"/>
              <w:left w:val="single" w:sz="6" w:space="0" w:color="C0C0C0"/>
              <w:bottom w:val="single" w:sz="6" w:space="0" w:color="C0C0C0"/>
              <w:right w:val="single" w:sz="6" w:space="0" w:color="C0C0C0"/>
            </w:tcBorders>
            <w:shd w:val="solid" w:color="FFFFFF" w:fill="auto"/>
          </w:tcPr>
          <w:p w:rsidR="003C52E5" w:rsidRPr="002C5ECE" w:rsidRDefault="003C52E5" w:rsidP="002C5ECE">
            <w:pPr>
              <w:widowControl w:val="0"/>
              <w:autoSpaceDE w:val="0"/>
              <w:autoSpaceDN w:val="0"/>
              <w:adjustRightInd w:val="0"/>
              <w:spacing w:before="20" w:after="20"/>
              <w:rPr>
                <w:rFonts w:asciiTheme="minorHAnsi" w:hAnsiTheme="minorHAnsi" w:cs="Arial"/>
                <w:sz w:val="16"/>
                <w:szCs w:val="16"/>
              </w:rPr>
            </w:pPr>
            <w:r w:rsidRPr="002C5ECE">
              <w:rPr>
                <w:rFonts w:asciiTheme="minorHAnsi" w:hAnsiTheme="minorHAnsi"/>
                <w:sz w:val="16"/>
                <w:szCs w:val="16"/>
              </w:rPr>
              <w:t>5 Osasun Departamentua</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522.602.949</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326.436.770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10</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162.026.383</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45.448.498</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3.442.000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31.274</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1.059.987.884</w:t>
            </w:r>
          </w:p>
        </w:tc>
      </w:tr>
      <w:tr w:rsidR="003C52E5" w:rsidRPr="002C5ECE" w:rsidTr="00012DC5">
        <w:tc>
          <w:tcPr>
            <w:tcW w:w="3260" w:type="dxa"/>
            <w:tcBorders>
              <w:top w:val="single" w:sz="6" w:space="0" w:color="C0C0C0"/>
              <w:left w:val="single" w:sz="6" w:space="0" w:color="C0C0C0"/>
              <w:bottom w:val="single" w:sz="6" w:space="0" w:color="C0C0C0"/>
              <w:right w:val="single" w:sz="6" w:space="0" w:color="C0C0C0"/>
            </w:tcBorders>
            <w:shd w:val="solid" w:color="FFFFFF" w:fill="auto"/>
          </w:tcPr>
          <w:p w:rsidR="003C52E5" w:rsidRPr="002C5ECE" w:rsidRDefault="003C52E5" w:rsidP="002C5ECE">
            <w:pPr>
              <w:widowControl w:val="0"/>
              <w:autoSpaceDE w:val="0"/>
              <w:autoSpaceDN w:val="0"/>
              <w:adjustRightInd w:val="0"/>
              <w:spacing w:before="20" w:after="20"/>
              <w:rPr>
                <w:rFonts w:asciiTheme="minorHAnsi" w:hAnsiTheme="minorHAnsi" w:cs="Arial"/>
                <w:sz w:val="16"/>
                <w:szCs w:val="16"/>
              </w:rPr>
            </w:pPr>
            <w:r w:rsidRPr="002C5ECE">
              <w:rPr>
                <w:rFonts w:asciiTheme="minorHAnsi" w:hAnsiTheme="minorHAnsi"/>
                <w:sz w:val="16"/>
                <w:szCs w:val="16"/>
              </w:rPr>
              <w:t xml:space="preserve">7 Landa Garapeneko, Ingurumeneko eta Toki Administrazioko Departamentua </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24.830.126</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17.906.845</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10</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271.142.897</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8.649.292</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67.243.554</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389.772.724</w:t>
            </w:r>
          </w:p>
        </w:tc>
      </w:tr>
      <w:tr w:rsidR="003C52E5" w:rsidRPr="002C5ECE" w:rsidTr="00012DC5">
        <w:tc>
          <w:tcPr>
            <w:tcW w:w="3260" w:type="dxa"/>
            <w:tcBorders>
              <w:top w:val="single" w:sz="6" w:space="0" w:color="C0C0C0"/>
              <w:left w:val="single" w:sz="6" w:space="0" w:color="C0C0C0"/>
              <w:bottom w:val="single" w:sz="6" w:space="0" w:color="C0C0C0"/>
              <w:right w:val="single" w:sz="6" w:space="0" w:color="C0C0C0"/>
            </w:tcBorders>
            <w:shd w:val="solid" w:color="FFFFFF" w:fill="auto"/>
          </w:tcPr>
          <w:p w:rsidR="003C52E5" w:rsidRPr="002C5ECE" w:rsidRDefault="003C52E5" w:rsidP="002C5ECE">
            <w:pPr>
              <w:widowControl w:val="0"/>
              <w:autoSpaceDE w:val="0"/>
              <w:autoSpaceDN w:val="0"/>
              <w:adjustRightInd w:val="0"/>
              <w:spacing w:before="20" w:after="20"/>
              <w:rPr>
                <w:rFonts w:asciiTheme="minorHAnsi" w:hAnsiTheme="minorHAnsi" w:cs="Arial"/>
                <w:sz w:val="16"/>
                <w:szCs w:val="16"/>
              </w:rPr>
            </w:pPr>
            <w:r w:rsidRPr="002C5ECE">
              <w:rPr>
                <w:rFonts w:asciiTheme="minorHAnsi" w:hAnsiTheme="minorHAnsi"/>
                <w:sz w:val="16"/>
                <w:szCs w:val="16"/>
              </w:rPr>
              <w:t>8 Garapen Ekonomikorako Departamentua</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15.461.616</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78.200.740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100</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27.830.171</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52.529.890</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70.552.919</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900.000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227.489</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245.702.925</w:t>
            </w:r>
          </w:p>
        </w:tc>
      </w:tr>
      <w:tr w:rsidR="003C52E5" w:rsidRPr="002C5ECE" w:rsidTr="00012DC5">
        <w:tc>
          <w:tcPr>
            <w:tcW w:w="3260" w:type="dxa"/>
            <w:tcBorders>
              <w:top w:val="single" w:sz="6" w:space="0" w:color="C0C0C0"/>
              <w:left w:val="single" w:sz="6" w:space="0" w:color="C0C0C0"/>
              <w:bottom w:val="single" w:sz="6" w:space="0" w:color="C0C0C0"/>
              <w:right w:val="single" w:sz="6" w:space="0" w:color="C0C0C0"/>
            </w:tcBorders>
            <w:shd w:val="solid" w:color="FFFFFF" w:fill="auto"/>
          </w:tcPr>
          <w:p w:rsidR="003C52E5" w:rsidRPr="002C5ECE" w:rsidRDefault="003C52E5" w:rsidP="002C5ECE">
            <w:pPr>
              <w:widowControl w:val="0"/>
              <w:autoSpaceDE w:val="0"/>
              <w:autoSpaceDN w:val="0"/>
              <w:adjustRightInd w:val="0"/>
              <w:spacing w:before="20" w:after="20"/>
              <w:rPr>
                <w:rFonts w:asciiTheme="minorHAnsi" w:hAnsiTheme="minorHAnsi" w:cs="Arial"/>
                <w:sz w:val="16"/>
                <w:szCs w:val="16"/>
              </w:rPr>
            </w:pPr>
            <w:r w:rsidRPr="002C5ECE">
              <w:rPr>
                <w:rFonts w:asciiTheme="minorHAnsi" w:hAnsiTheme="minorHAnsi"/>
                <w:sz w:val="16"/>
                <w:szCs w:val="16"/>
              </w:rPr>
              <w:t>9 Eskubide Sozialetako Departamentua</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38.356.902</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121.520.179</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10</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248.552.857</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6.164.700</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28.660.000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443.254.648</w:t>
            </w:r>
          </w:p>
        </w:tc>
      </w:tr>
      <w:tr w:rsidR="003C52E5" w:rsidRPr="002C5ECE" w:rsidTr="00012DC5">
        <w:tc>
          <w:tcPr>
            <w:tcW w:w="3260" w:type="dxa"/>
            <w:tcBorders>
              <w:top w:val="single" w:sz="6" w:space="0" w:color="C0C0C0"/>
              <w:left w:val="single" w:sz="6" w:space="0" w:color="C0C0C0"/>
              <w:bottom w:val="single" w:sz="6" w:space="0" w:color="C0C0C0"/>
              <w:right w:val="single" w:sz="6" w:space="0" w:color="C0C0C0"/>
            </w:tcBorders>
            <w:shd w:val="solid" w:color="FFFFFF" w:fill="auto"/>
          </w:tcPr>
          <w:p w:rsidR="003C52E5" w:rsidRPr="002C5ECE" w:rsidRDefault="003C52E5" w:rsidP="002C5ECE">
            <w:pPr>
              <w:widowControl w:val="0"/>
              <w:autoSpaceDE w:val="0"/>
              <w:autoSpaceDN w:val="0"/>
              <w:adjustRightInd w:val="0"/>
              <w:spacing w:before="20" w:after="20"/>
              <w:rPr>
                <w:rFonts w:asciiTheme="minorHAnsi" w:hAnsiTheme="minorHAnsi" w:cs="Arial"/>
                <w:sz w:val="16"/>
                <w:szCs w:val="16"/>
              </w:rPr>
            </w:pPr>
            <w:r w:rsidRPr="002C5ECE">
              <w:rPr>
                <w:rFonts w:asciiTheme="minorHAnsi" w:hAnsiTheme="minorHAnsi"/>
                <w:sz w:val="16"/>
                <w:szCs w:val="16"/>
              </w:rPr>
              <w:t>A Kultura, Kirol eta Gazteria Departamentua</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13.945.498</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10.022.896</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rPr>
                <w:rFonts w:asciiTheme="minorHAnsi" w:hAnsiTheme="minorHAnsi" w:cs="Arial"/>
                <w:sz w:val="16"/>
                <w:szCs w:val="16"/>
              </w:rPr>
            </w:pP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18.824.185</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10.753.117</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3.104.268</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56.649.964</w:t>
            </w:r>
          </w:p>
        </w:tc>
      </w:tr>
      <w:tr w:rsidR="003C52E5" w:rsidRPr="002C5ECE" w:rsidTr="00012DC5">
        <w:tc>
          <w:tcPr>
            <w:tcW w:w="3260" w:type="dxa"/>
            <w:tcBorders>
              <w:top w:val="single" w:sz="6" w:space="0" w:color="C0C0C0"/>
              <w:left w:val="single" w:sz="6" w:space="0" w:color="C0C0C0"/>
              <w:bottom w:val="single" w:sz="6" w:space="0" w:color="C0C0C0"/>
              <w:right w:val="single" w:sz="6" w:space="0" w:color="C0C0C0"/>
            </w:tcBorders>
            <w:shd w:val="solid" w:color="FFFFFF" w:fill="auto"/>
          </w:tcPr>
          <w:p w:rsidR="003C52E5" w:rsidRPr="002C5ECE" w:rsidRDefault="003C52E5" w:rsidP="002C5ECE">
            <w:pPr>
              <w:widowControl w:val="0"/>
              <w:autoSpaceDE w:val="0"/>
              <w:autoSpaceDN w:val="0"/>
              <w:adjustRightInd w:val="0"/>
              <w:spacing w:before="20" w:after="20"/>
              <w:rPr>
                <w:rFonts w:asciiTheme="minorHAnsi" w:hAnsiTheme="minorHAnsi" w:cs="Arial"/>
                <w:sz w:val="16"/>
                <w:szCs w:val="16"/>
              </w:rPr>
            </w:pPr>
            <w:r w:rsidRPr="002C5ECE">
              <w:rPr>
                <w:rFonts w:asciiTheme="minorHAnsi" w:hAnsiTheme="minorHAnsi"/>
                <w:sz w:val="16"/>
                <w:szCs w:val="16"/>
              </w:rPr>
              <w:t>B Herritarrekiko eta Erakundeekiko Harremanetako Departamentua</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8.167.840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7.489.560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rPr>
                <w:rFonts w:asciiTheme="minorHAnsi" w:hAnsiTheme="minorHAnsi" w:cs="Arial"/>
                <w:sz w:val="16"/>
                <w:szCs w:val="16"/>
              </w:rPr>
            </w:pP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6.682.090</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179.912</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162.000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22.681.402</w:t>
            </w:r>
          </w:p>
        </w:tc>
      </w:tr>
      <w:tr w:rsidR="003C52E5" w:rsidRPr="002C5ECE" w:rsidTr="00012DC5">
        <w:tc>
          <w:tcPr>
            <w:tcW w:w="3260" w:type="dxa"/>
            <w:tcBorders>
              <w:top w:val="single" w:sz="6" w:space="0" w:color="C0C0C0"/>
              <w:left w:val="single" w:sz="6" w:space="0" w:color="C0C0C0"/>
              <w:bottom w:val="single" w:sz="6" w:space="0" w:color="C0C0C0"/>
              <w:right w:val="single" w:sz="6" w:space="0" w:color="C0C0C0"/>
            </w:tcBorders>
            <w:shd w:val="solid" w:color="FFFFFF" w:fill="auto"/>
          </w:tcPr>
          <w:p w:rsidR="003C52E5" w:rsidRPr="002C5ECE" w:rsidRDefault="003C52E5" w:rsidP="002C5ECE">
            <w:pPr>
              <w:widowControl w:val="0"/>
              <w:autoSpaceDE w:val="0"/>
              <w:autoSpaceDN w:val="0"/>
              <w:adjustRightInd w:val="0"/>
              <w:spacing w:before="20" w:after="20"/>
              <w:rPr>
                <w:rFonts w:asciiTheme="minorHAnsi" w:hAnsiTheme="minorHAnsi" w:cs="Arial"/>
                <w:sz w:val="16"/>
                <w:szCs w:val="16"/>
              </w:rPr>
            </w:pPr>
            <w:r w:rsidRPr="002C5ECE">
              <w:rPr>
                <w:rFonts w:asciiTheme="minorHAnsi" w:hAnsiTheme="minorHAnsi"/>
                <w:sz w:val="16"/>
                <w:szCs w:val="16"/>
              </w:rPr>
              <w:t>C Nafarroako Kontseilua</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 </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418.310</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28.000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2C5ECE" w:rsidRDefault="003C52E5" w:rsidP="002C5ECE">
            <w:pPr>
              <w:spacing w:before="20" w:after="20"/>
              <w:jc w:val="right"/>
              <w:rPr>
                <w:rFonts w:asciiTheme="minorHAnsi" w:hAnsiTheme="minorHAnsi" w:cs="Arial"/>
                <w:sz w:val="16"/>
                <w:szCs w:val="16"/>
              </w:rPr>
            </w:pPr>
            <w:r w:rsidRPr="002C5ECE">
              <w:rPr>
                <w:rFonts w:asciiTheme="minorHAnsi" w:hAnsiTheme="minorHAnsi"/>
                <w:sz w:val="16"/>
                <w:szCs w:val="16"/>
              </w:rPr>
              <w:t>446.310</w:t>
            </w:r>
          </w:p>
        </w:tc>
      </w:tr>
      <w:tr w:rsidR="003C52E5" w:rsidRPr="00012DC5" w:rsidTr="00012DC5">
        <w:tc>
          <w:tcPr>
            <w:tcW w:w="3260" w:type="dxa"/>
            <w:tcBorders>
              <w:top w:val="single" w:sz="6" w:space="0" w:color="C0C0C0"/>
              <w:left w:val="single" w:sz="6" w:space="0" w:color="C0C0C0"/>
              <w:bottom w:val="single" w:sz="6" w:space="0" w:color="C0C0C0"/>
              <w:right w:val="single" w:sz="6" w:space="0" w:color="C0C0C0"/>
            </w:tcBorders>
            <w:shd w:val="solid" w:color="FFFFFF" w:fill="auto"/>
          </w:tcPr>
          <w:p w:rsidR="003C52E5" w:rsidRPr="00012DC5" w:rsidRDefault="003C52E5" w:rsidP="002C5ECE">
            <w:pPr>
              <w:widowControl w:val="0"/>
              <w:autoSpaceDE w:val="0"/>
              <w:autoSpaceDN w:val="0"/>
              <w:adjustRightInd w:val="0"/>
              <w:spacing w:before="20" w:after="20"/>
              <w:rPr>
                <w:rFonts w:asciiTheme="minorHAnsi" w:hAnsiTheme="minorHAnsi" w:cs="Arial"/>
                <w:b/>
                <w:sz w:val="16"/>
                <w:szCs w:val="16"/>
              </w:rPr>
            </w:pPr>
            <w:r w:rsidRPr="00012DC5">
              <w:rPr>
                <w:rFonts w:asciiTheme="minorHAnsi" w:hAnsiTheme="minorHAnsi"/>
                <w:b/>
                <w:sz w:val="16"/>
                <w:szCs w:val="16"/>
              </w:rPr>
              <w:t>AURREKONTUA, GUZTIRA</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012DC5" w:rsidRDefault="003C52E5" w:rsidP="002C5ECE">
            <w:pPr>
              <w:spacing w:before="20" w:after="20"/>
              <w:jc w:val="right"/>
              <w:rPr>
                <w:rFonts w:asciiTheme="minorHAnsi" w:hAnsiTheme="minorHAnsi" w:cs="Arial"/>
                <w:b/>
                <w:sz w:val="16"/>
                <w:szCs w:val="16"/>
              </w:rPr>
            </w:pPr>
            <w:r w:rsidRPr="00012DC5">
              <w:rPr>
                <w:rFonts w:asciiTheme="minorHAnsi" w:hAnsiTheme="minorHAnsi"/>
                <w:b/>
                <w:sz w:val="16"/>
                <w:szCs w:val="16"/>
              </w:rPr>
              <w:t>1.248.513.656</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012DC5" w:rsidRDefault="003C52E5" w:rsidP="002C5ECE">
            <w:pPr>
              <w:spacing w:before="20" w:after="20"/>
              <w:jc w:val="right"/>
              <w:rPr>
                <w:rFonts w:asciiTheme="minorHAnsi" w:hAnsiTheme="minorHAnsi" w:cs="Arial"/>
                <w:b/>
                <w:sz w:val="16"/>
                <w:szCs w:val="16"/>
              </w:rPr>
            </w:pPr>
            <w:r w:rsidRPr="00012DC5">
              <w:rPr>
                <w:rFonts w:asciiTheme="minorHAnsi" w:hAnsiTheme="minorHAnsi"/>
                <w:b/>
                <w:sz w:val="16"/>
                <w:szCs w:val="16"/>
              </w:rPr>
              <w:t>653.820.552</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012DC5" w:rsidRDefault="003C52E5" w:rsidP="002C5ECE">
            <w:pPr>
              <w:spacing w:before="20" w:after="20"/>
              <w:jc w:val="right"/>
              <w:rPr>
                <w:rFonts w:asciiTheme="minorHAnsi" w:hAnsiTheme="minorHAnsi" w:cs="Arial"/>
                <w:b/>
                <w:sz w:val="16"/>
                <w:szCs w:val="16"/>
              </w:rPr>
            </w:pPr>
            <w:r w:rsidRPr="00012DC5">
              <w:rPr>
                <w:rFonts w:asciiTheme="minorHAnsi" w:hAnsiTheme="minorHAnsi"/>
                <w:b/>
                <w:sz w:val="16"/>
                <w:szCs w:val="16"/>
              </w:rPr>
              <w:t>90.703.870</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012DC5" w:rsidRDefault="003C52E5" w:rsidP="002C5ECE">
            <w:pPr>
              <w:spacing w:before="20" w:after="20"/>
              <w:jc w:val="right"/>
              <w:rPr>
                <w:rFonts w:asciiTheme="minorHAnsi" w:hAnsiTheme="minorHAnsi" w:cs="Arial"/>
                <w:b/>
                <w:sz w:val="16"/>
                <w:szCs w:val="16"/>
              </w:rPr>
            </w:pPr>
            <w:r w:rsidRPr="00012DC5">
              <w:rPr>
                <w:rFonts w:asciiTheme="minorHAnsi" w:hAnsiTheme="minorHAnsi"/>
                <w:b/>
                <w:sz w:val="16"/>
                <w:szCs w:val="16"/>
              </w:rPr>
              <w:t>1.536.826.346</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012DC5" w:rsidRDefault="003C52E5" w:rsidP="002C5ECE">
            <w:pPr>
              <w:spacing w:before="20" w:after="20"/>
              <w:jc w:val="right"/>
              <w:rPr>
                <w:rFonts w:asciiTheme="minorHAnsi" w:hAnsiTheme="minorHAnsi" w:cs="Arial"/>
                <w:b/>
                <w:sz w:val="16"/>
                <w:szCs w:val="16"/>
              </w:rPr>
            </w:pPr>
            <w:r w:rsidRPr="00012DC5">
              <w:rPr>
                <w:rFonts w:asciiTheme="minorHAnsi" w:hAnsiTheme="minorHAnsi"/>
                <w:b/>
                <w:sz w:val="16"/>
                <w:szCs w:val="16"/>
              </w:rPr>
              <w:t>11.764.396</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012DC5" w:rsidRDefault="003C52E5" w:rsidP="002C5ECE">
            <w:pPr>
              <w:spacing w:before="20" w:after="20"/>
              <w:jc w:val="right"/>
              <w:rPr>
                <w:rFonts w:asciiTheme="minorHAnsi" w:hAnsiTheme="minorHAnsi" w:cs="Arial"/>
                <w:b/>
                <w:sz w:val="16"/>
                <w:szCs w:val="16"/>
              </w:rPr>
            </w:pPr>
            <w:r w:rsidRPr="00012DC5">
              <w:rPr>
                <w:rFonts w:asciiTheme="minorHAnsi" w:hAnsiTheme="minorHAnsi"/>
                <w:b/>
                <w:sz w:val="16"/>
                <w:szCs w:val="16"/>
              </w:rPr>
              <w:t>161.929.180</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012DC5" w:rsidRDefault="003C52E5" w:rsidP="002C5ECE">
            <w:pPr>
              <w:spacing w:before="20" w:after="20"/>
              <w:jc w:val="right"/>
              <w:rPr>
                <w:rFonts w:asciiTheme="minorHAnsi" w:hAnsiTheme="minorHAnsi" w:cs="Arial"/>
                <w:b/>
                <w:sz w:val="16"/>
                <w:szCs w:val="16"/>
              </w:rPr>
            </w:pPr>
            <w:r w:rsidRPr="00012DC5">
              <w:rPr>
                <w:rFonts w:asciiTheme="minorHAnsi" w:hAnsiTheme="minorHAnsi"/>
                <w:b/>
                <w:sz w:val="16"/>
                <w:szCs w:val="16"/>
              </w:rPr>
              <w:t>186.247.200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012DC5" w:rsidRDefault="003C52E5" w:rsidP="002C5ECE">
            <w:pPr>
              <w:spacing w:before="20" w:after="20"/>
              <w:jc w:val="right"/>
              <w:rPr>
                <w:rFonts w:asciiTheme="minorHAnsi" w:hAnsiTheme="minorHAnsi" w:cs="Arial"/>
                <w:b/>
                <w:sz w:val="16"/>
                <w:szCs w:val="16"/>
              </w:rPr>
            </w:pPr>
            <w:r w:rsidRPr="00012DC5">
              <w:rPr>
                <w:rFonts w:asciiTheme="minorHAnsi" w:hAnsiTheme="minorHAnsi"/>
                <w:b/>
                <w:sz w:val="16"/>
                <w:szCs w:val="16"/>
              </w:rPr>
              <w:t>29.182.520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012DC5" w:rsidRDefault="003C52E5" w:rsidP="002C5ECE">
            <w:pPr>
              <w:spacing w:before="20" w:after="20"/>
              <w:jc w:val="right"/>
              <w:rPr>
                <w:rFonts w:asciiTheme="minorHAnsi" w:hAnsiTheme="minorHAnsi" w:cs="Arial"/>
                <w:b/>
                <w:sz w:val="16"/>
                <w:szCs w:val="16"/>
              </w:rPr>
            </w:pPr>
            <w:r w:rsidRPr="00012DC5">
              <w:rPr>
                <w:rFonts w:asciiTheme="minorHAnsi" w:hAnsiTheme="minorHAnsi"/>
                <w:b/>
                <w:sz w:val="16"/>
                <w:szCs w:val="16"/>
              </w:rPr>
              <w:t>245.147.687</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3C52E5" w:rsidRPr="00012DC5" w:rsidRDefault="003C52E5" w:rsidP="002C5ECE">
            <w:pPr>
              <w:spacing w:before="20" w:after="20"/>
              <w:jc w:val="right"/>
              <w:rPr>
                <w:rFonts w:asciiTheme="minorHAnsi" w:hAnsiTheme="minorHAnsi" w:cs="Arial"/>
                <w:b/>
                <w:sz w:val="16"/>
                <w:szCs w:val="16"/>
              </w:rPr>
            </w:pPr>
            <w:r w:rsidRPr="00012DC5">
              <w:rPr>
                <w:rFonts w:asciiTheme="minorHAnsi" w:hAnsiTheme="minorHAnsi"/>
                <w:b/>
                <w:sz w:val="16"/>
                <w:szCs w:val="16"/>
              </w:rPr>
              <w:t>4.164.135.407</w:t>
            </w:r>
          </w:p>
        </w:tc>
      </w:tr>
      <w:bookmarkEnd w:id="73"/>
    </w:tbl>
    <w:p w:rsidR="003C52E5" w:rsidRDefault="003C52E5" w:rsidP="00113242">
      <w:pPr>
        <w:pStyle w:val="DICTA-TEXTO"/>
      </w:pPr>
    </w:p>
    <w:p w:rsidR="003C52E5" w:rsidRDefault="003C52E5" w:rsidP="00113242">
      <w:pPr>
        <w:pStyle w:val="DICTA-TEXTO"/>
      </w:pPr>
    </w:p>
    <w:tbl>
      <w:tblPr>
        <w:tblpPr w:leftFromText="141" w:rightFromText="141" w:vertAnchor="text" w:horzAnchor="margin" w:tblpY="-40"/>
        <w:tblW w:w="15418" w:type="dxa"/>
        <w:tblLayout w:type="fixed"/>
        <w:tblCellMar>
          <w:left w:w="40" w:type="dxa"/>
          <w:right w:w="40" w:type="dxa"/>
        </w:tblCellMar>
        <w:tblLook w:val="0000" w:firstRow="0" w:lastRow="0" w:firstColumn="0" w:lastColumn="0" w:noHBand="0" w:noVBand="0"/>
      </w:tblPr>
      <w:tblGrid>
        <w:gridCol w:w="3840"/>
        <w:gridCol w:w="1230"/>
        <w:gridCol w:w="1179"/>
        <w:gridCol w:w="992"/>
        <w:gridCol w:w="1289"/>
        <w:gridCol w:w="1150"/>
        <w:gridCol w:w="1089"/>
        <w:gridCol w:w="1289"/>
        <w:gridCol w:w="942"/>
        <w:gridCol w:w="1187"/>
        <w:gridCol w:w="1231"/>
      </w:tblGrid>
      <w:tr w:rsidR="002C5ECE" w:rsidRPr="002C5ECE" w:rsidTr="002C5ECE">
        <w:tc>
          <w:tcPr>
            <w:tcW w:w="3840" w:type="dxa"/>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rsidR="002C5ECE" w:rsidRPr="002C5ECE" w:rsidRDefault="002C5ECE" w:rsidP="002C5ECE">
            <w:pPr>
              <w:widowControl w:val="0"/>
              <w:autoSpaceDE w:val="0"/>
              <w:autoSpaceDN w:val="0"/>
              <w:adjustRightInd w:val="0"/>
              <w:spacing w:before="20" w:after="20"/>
              <w:jc w:val="center"/>
              <w:rPr>
                <w:rFonts w:asciiTheme="minorHAnsi" w:hAnsiTheme="minorHAnsi" w:cs="Arial"/>
                <w:b/>
                <w:bCs/>
                <w:sz w:val="16"/>
                <w:szCs w:val="16"/>
              </w:rPr>
            </w:pPr>
            <w:r w:rsidRPr="002C5ECE">
              <w:rPr>
                <w:rFonts w:asciiTheme="minorHAnsi" w:hAnsiTheme="minorHAnsi"/>
                <w:b/>
                <w:bCs/>
                <w:sz w:val="16"/>
                <w:szCs w:val="16"/>
              </w:rPr>
              <w:lastRenderedPageBreak/>
              <w:t>DIRU-SARRERAREN AZALPENA</w:t>
            </w:r>
          </w:p>
        </w:tc>
        <w:tc>
          <w:tcPr>
            <w:tcW w:w="1230" w:type="dxa"/>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rsidR="002C5ECE" w:rsidRPr="002C5ECE" w:rsidRDefault="002C5ECE" w:rsidP="002C5ECE">
            <w:pPr>
              <w:widowControl w:val="0"/>
              <w:autoSpaceDE w:val="0"/>
              <w:autoSpaceDN w:val="0"/>
              <w:adjustRightInd w:val="0"/>
              <w:spacing w:before="20" w:after="20"/>
              <w:jc w:val="center"/>
              <w:rPr>
                <w:rFonts w:asciiTheme="minorHAnsi" w:hAnsiTheme="minorHAnsi" w:cs="Arial"/>
                <w:b/>
                <w:bCs/>
                <w:sz w:val="16"/>
                <w:szCs w:val="16"/>
              </w:rPr>
            </w:pPr>
            <w:r w:rsidRPr="002C5ECE">
              <w:rPr>
                <w:rFonts w:asciiTheme="minorHAnsi" w:hAnsiTheme="minorHAnsi"/>
                <w:b/>
                <w:bCs/>
                <w:sz w:val="16"/>
                <w:szCs w:val="16"/>
              </w:rPr>
              <w:t>1 Zuzeneko zergak</w:t>
            </w:r>
          </w:p>
        </w:tc>
        <w:tc>
          <w:tcPr>
            <w:tcW w:w="1179" w:type="dxa"/>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rsidR="002C5ECE" w:rsidRPr="002C5ECE" w:rsidRDefault="002C5ECE" w:rsidP="002C5ECE">
            <w:pPr>
              <w:widowControl w:val="0"/>
              <w:autoSpaceDE w:val="0"/>
              <w:autoSpaceDN w:val="0"/>
              <w:adjustRightInd w:val="0"/>
              <w:spacing w:before="20" w:after="20"/>
              <w:jc w:val="center"/>
              <w:rPr>
                <w:rFonts w:asciiTheme="minorHAnsi" w:hAnsiTheme="minorHAnsi" w:cs="Arial"/>
                <w:b/>
                <w:bCs/>
                <w:sz w:val="16"/>
                <w:szCs w:val="16"/>
              </w:rPr>
            </w:pPr>
            <w:r w:rsidRPr="002C5ECE">
              <w:rPr>
                <w:rFonts w:asciiTheme="minorHAnsi" w:hAnsiTheme="minorHAnsi"/>
                <w:b/>
                <w:bCs/>
                <w:sz w:val="16"/>
                <w:szCs w:val="16"/>
              </w:rPr>
              <w:t>2 Zeharkako zergak</w:t>
            </w:r>
          </w:p>
        </w:tc>
        <w:tc>
          <w:tcPr>
            <w:tcW w:w="992" w:type="dxa"/>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rsidR="002C5ECE" w:rsidRPr="002C5ECE" w:rsidRDefault="002C5ECE" w:rsidP="002C5ECE">
            <w:pPr>
              <w:widowControl w:val="0"/>
              <w:autoSpaceDE w:val="0"/>
              <w:autoSpaceDN w:val="0"/>
              <w:adjustRightInd w:val="0"/>
              <w:spacing w:before="20" w:after="20"/>
              <w:jc w:val="center"/>
              <w:rPr>
                <w:rFonts w:asciiTheme="minorHAnsi" w:hAnsiTheme="minorHAnsi" w:cs="Arial"/>
                <w:b/>
                <w:bCs/>
                <w:sz w:val="16"/>
                <w:szCs w:val="16"/>
              </w:rPr>
            </w:pPr>
            <w:r w:rsidRPr="002C5ECE">
              <w:rPr>
                <w:rFonts w:asciiTheme="minorHAnsi" w:hAnsiTheme="minorHAnsi"/>
                <w:b/>
                <w:bCs/>
                <w:sz w:val="16"/>
                <w:szCs w:val="16"/>
              </w:rPr>
              <w:t>3 Tasak, prezio publikoak eta bestelako diru-sarrerak</w:t>
            </w:r>
          </w:p>
        </w:tc>
        <w:tc>
          <w:tcPr>
            <w:tcW w:w="1289" w:type="dxa"/>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rsidR="002C5ECE" w:rsidRPr="002C5ECE" w:rsidRDefault="002C5ECE" w:rsidP="002C5ECE">
            <w:pPr>
              <w:widowControl w:val="0"/>
              <w:autoSpaceDE w:val="0"/>
              <w:autoSpaceDN w:val="0"/>
              <w:adjustRightInd w:val="0"/>
              <w:spacing w:before="20" w:after="20"/>
              <w:jc w:val="center"/>
              <w:rPr>
                <w:rFonts w:asciiTheme="minorHAnsi" w:hAnsiTheme="minorHAnsi" w:cs="Arial"/>
                <w:b/>
                <w:bCs/>
                <w:sz w:val="16"/>
                <w:szCs w:val="16"/>
              </w:rPr>
            </w:pPr>
            <w:r w:rsidRPr="002C5ECE">
              <w:rPr>
                <w:rFonts w:asciiTheme="minorHAnsi" w:hAnsiTheme="minorHAnsi"/>
                <w:b/>
                <w:bCs/>
                <w:sz w:val="16"/>
                <w:szCs w:val="16"/>
              </w:rPr>
              <w:t>4 Transferentzia arruntak</w:t>
            </w:r>
          </w:p>
        </w:tc>
        <w:tc>
          <w:tcPr>
            <w:tcW w:w="1150" w:type="dxa"/>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rsidR="002C5ECE" w:rsidRPr="002C5ECE" w:rsidRDefault="002C5ECE" w:rsidP="002C5ECE">
            <w:pPr>
              <w:widowControl w:val="0"/>
              <w:autoSpaceDE w:val="0"/>
              <w:autoSpaceDN w:val="0"/>
              <w:adjustRightInd w:val="0"/>
              <w:spacing w:before="20" w:after="20"/>
              <w:jc w:val="center"/>
              <w:rPr>
                <w:rFonts w:asciiTheme="minorHAnsi" w:hAnsiTheme="minorHAnsi" w:cs="Arial"/>
                <w:b/>
                <w:bCs/>
                <w:sz w:val="16"/>
                <w:szCs w:val="16"/>
              </w:rPr>
            </w:pPr>
            <w:r w:rsidRPr="002C5ECE">
              <w:rPr>
                <w:rFonts w:asciiTheme="minorHAnsi" w:hAnsiTheme="minorHAnsi"/>
                <w:b/>
                <w:bCs/>
                <w:sz w:val="16"/>
                <w:szCs w:val="16"/>
              </w:rPr>
              <w:t>5 Ondare diru-sarrerak</w:t>
            </w:r>
          </w:p>
        </w:tc>
        <w:tc>
          <w:tcPr>
            <w:tcW w:w="1089" w:type="dxa"/>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rsidR="002C5ECE" w:rsidRPr="002C5ECE" w:rsidRDefault="002C5ECE" w:rsidP="002C5ECE">
            <w:pPr>
              <w:widowControl w:val="0"/>
              <w:autoSpaceDE w:val="0"/>
              <w:autoSpaceDN w:val="0"/>
              <w:adjustRightInd w:val="0"/>
              <w:spacing w:before="20" w:after="20"/>
              <w:jc w:val="center"/>
              <w:rPr>
                <w:rFonts w:asciiTheme="minorHAnsi" w:hAnsiTheme="minorHAnsi" w:cs="Arial"/>
                <w:b/>
                <w:bCs/>
                <w:sz w:val="16"/>
                <w:szCs w:val="16"/>
              </w:rPr>
            </w:pPr>
            <w:r w:rsidRPr="002C5ECE">
              <w:rPr>
                <w:rFonts w:asciiTheme="minorHAnsi" w:hAnsiTheme="minorHAnsi"/>
                <w:b/>
                <w:bCs/>
                <w:sz w:val="16"/>
                <w:szCs w:val="16"/>
              </w:rPr>
              <w:t>6 Inbertsio errealen besterentzea</w:t>
            </w:r>
          </w:p>
        </w:tc>
        <w:tc>
          <w:tcPr>
            <w:tcW w:w="1289" w:type="dxa"/>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rsidR="002C5ECE" w:rsidRPr="002C5ECE" w:rsidRDefault="002C5ECE" w:rsidP="002C5ECE">
            <w:pPr>
              <w:widowControl w:val="0"/>
              <w:autoSpaceDE w:val="0"/>
              <w:autoSpaceDN w:val="0"/>
              <w:adjustRightInd w:val="0"/>
              <w:spacing w:before="20" w:after="20"/>
              <w:jc w:val="center"/>
              <w:rPr>
                <w:rFonts w:asciiTheme="minorHAnsi" w:hAnsiTheme="minorHAnsi" w:cs="Arial"/>
                <w:b/>
                <w:bCs/>
                <w:sz w:val="16"/>
                <w:szCs w:val="16"/>
              </w:rPr>
            </w:pPr>
            <w:r w:rsidRPr="002C5ECE">
              <w:rPr>
                <w:rFonts w:asciiTheme="minorHAnsi" w:hAnsiTheme="minorHAnsi"/>
                <w:b/>
                <w:bCs/>
                <w:sz w:val="16"/>
                <w:szCs w:val="16"/>
              </w:rPr>
              <w:t>7 Kapital transferentziak</w:t>
            </w:r>
          </w:p>
        </w:tc>
        <w:tc>
          <w:tcPr>
            <w:tcW w:w="942" w:type="dxa"/>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rsidR="002C5ECE" w:rsidRPr="002C5ECE" w:rsidRDefault="002C5ECE" w:rsidP="002C5ECE">
            <w:pPr>
              <w:widowControl w:val="0"/>
              <w:autoSpaceDE w:val="0"/>
              <w:autoSpaceDN w:val="0"/>
              <w:adjustRightInd w:val="0"/>
              <w:spacing w:before="20" w:after="20"/>
              <w:jc w:val="center"/>
              <w:rPr>
                <w:rFonts w:asciiTheme="minorHAnsi" w:hAnsiTheme="minorHAnsi" w:cs="Arial"/>
                <w:b/>
                <w:bCs/>
                <w:sz w:val="16"/>
                <w:szCs w:val="16"/>
              </w:rPr>
            </w:pPr>
            <w:r w:rsidRPr="002C5ECE">
              <w:rPr>
                <w:rFonts w:asciiTheme="minorHAnsi" w:hAnsiTheme="minorHAnsi"/>
                <w:b/>
                <w:bCs/>
                <w:sz w:val="16"/>
                <w:szCs w:val="16"/>
              </w:rPr>
              <w:t>8 Finantza-aktiboak</w:t>
            </w:r>
          </w:p>
        </w:tc>
        <w:tc>
          <w:tcPr>
            <w:tcW w:w="1187" w:type="dxa"/>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rsidR="002C5ECE" w:rsidRPr="002C5ECE" w:rsidRDefault="002C5ECE" w:rsidP="002C5ECE">
            <w:pPr>
              <w:widowControl w:val="0"/>
              <w:autoSpaceDE w:val="0"/>
              <w:autoSpaceDN w:val="0"/>
              <w:adjustRightInd w:val="0"/>
              <w:spacing w:before="20" w:after="20"/>
              <w:jc w:val="center"/>
              <w:rPr>
                <w:rFonts w:asciiTheme="minorHAnsi" w:hAnsiTheme="minorHAnsi" w:cs="Arial"/>
                <w:b/>
                <w:bCs/>
                <w:sz w:val="16"/>
                <w:szCs w:val="16"/>
              </w:rPr>
            </w:pPr>
            <w:r w:rsidRPr="002C5ECE">
              <w:rPr>
                <w:rFonts w:asciiTheme="minorHAnsi" w:hAnsiTheme="minorHAnsi"/>
                <w:b/>
                <w:bCs/>
                <w:sz w:val="16"/>
                <w:szCs w:val="16"/>
              </w:rPr>
              <w:t>9 Finantza-pasiboak</w:t>
            </w:r>
          </w:p>
        </w:tc>
        <w:tc>
          <w:tcPr>
            <w:tcW w:w="1231" w:type="dxa"/>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rsidR="002C5ECE" w:rsidRPr="002C5ECE" w:rsidRDefault="002C5ECE" w:rsidP="002C5ECE">
            <w:pPr>
              <w:widowControl w:val="0"/>
              <w:autoSpaceDE w:val="0"/>
              <w:autoSpaceDN w:val="0"/>
              <w:adjustRightInd w:val="0"/>
              <w:spacing w:before="20" w:after="20"/>
              <w:jc w:val="center"/>
              <w:rPr>
                <w:rFonts w:asciiTheme="minorHAnsi" w:hAnsiTheme="minorHAnsi" w:cs="Arial"/>
                <w:b/>
                <w:bCs/>
                <w:sz w:val="16"/>
                <w:szCs w:val="16"/>
              </w:rPr>
            </w:pPr>
            <w:r w:rsidRPr="002C5ECE">
              <w:rPr>
                <w:rFonts w:asciiTheme="minorHAnsi" w:hAnsiTheme="minorHAnsi"/>
                <w:b/>
                <w:bCs/>
                <w:sz w:val="16"/>
                <w:szCs w:val="16"/>
              </w:rPr>
              <w:t>GUZTIRA</w:t>
            </w:r>
          </w:p>
        </w:tc>
      </w:tr>
      <w:tr w:rsidR="002C5ECE" w:rsidRPr="002C5ECE" w:rsidTr="002C5ECE">
        <w:tc>
          <w:tcPr>
            <w:tcW w:w="3840" w:type="dxa"/>
            <w:tcBorders>
              <w:top w:val="single" w:sz="6" w:space="0" w:color="C0C0C0"/>
              <w:left w:val="single" w:sz="6" w:space="0" w:color="C0C0C0"/>
              <w:bottom w:val="single" w:sz="6" w:space="0" w:color="C0C0C0"/>
              <w:right w:val="single" w:sz="6" w:space="0" w:color="C0C0C0"/>
            </w:tcBorders>
            <w:shd w:val="solid" w:color="FFFFFF" w:fill="auto"/>
          </w:tcPr>
          <w:p w:rsidR="002C5ECE" w:rsidRPr="002C5ECE" w:rsidRDefault="002C5ECE" w:rsidP="002C5ECE">
            <w:pPr>
              <w:widowControl w:val="0"/>
              <w:autoSpaceDE w:val="0"/>
              <w:autoSpaceDN w:val="0"/>
              <w:adjustRightInd w:val="0"/>
              <w:spacing w:before="20" w:after="20"/>
              <w:rPr>
                <w:rFonts w:asciiTheme="minorHAnsi" w:hAnsiTheme="minorHAnsi" w:cs="Arial"/>
                <w:sz w:val="16"/>
                <w:szCs w:val="16"/>
              </w:rPr>
            </w:pPr>
            <w:r w:rsidRPr="002C5ECE">
              <w:rPr>
                <w:rFonts w:asciiTheme="minorHAnsi" w:hAnsiTheme="minorHAnsi"/>
                <w:sz w:val="16"/>
                <w:szCs w:val="16"/>
              </w:rPr>
              <w:t>0 Lehendakaritzako, Funtzio Publikoko, Barneko eta Justiziako Departamentua</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rPr>
                <w:rFonts w:asciiTheme="minorHAnsi" w:hAnsiTheme="minorHAnsi" w:cs="Arial"/>
                <w:sz w:val="16"/>
                <w:szCs w:val="16"/>
              </w:rPr>
            </w:pPr>
            <w:r w:rsidRPr="002C5ECE">
              <w:rPr>
                <w:rFonts w:asciiTheme="minorHAnsi" w:hAnsiTheme="minorHAnsi"/>
                <w:sz w:val="16"/>
                <w:szCs w:val="16"/>
              </w:rPr>
              <w:t> </w:t>
            </w:r>
          </w:p>
        </w:tc>
        <w:tc>
          <w:tcPr>
            <w:tcW w:w="117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rPr>
                <w:rFonts w:asciiTheme="minorHAnsi" w:hAnsiTheme="minorHAnsi" w:cs="Arial"/>
                <w:sz w:val="16"/>
                <w:szCs w:val="16"/>
              </w:rPr>
            </w:pPr>
            <w:r w:rsidRPr="002C5ECE">
              <w:rPr>
                <w:rFonts w:asciiTheme="minorHAnsi" w:hAnsiTheme="minorHAnsi"/>
                <w:sz w:val="16"/>
                <w:szCs w:val="16"/>
              </w:rPr>
              <w:t> </w:t>
            </w: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5.781.980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502.910</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rPr>
                <w:rFonts w:asciiTheme="minorHAnsi" w:hAnsiTheme="minorHAnsi" w:cs="Arial"/>
                <w:sz w:val="16"/>
                <w:szCs w:val="16"/>
              </w:rPr>
            </w:pPr>
            <w:r w:rsidRPr="002C5ECE">
              <w:rPr>
                <w:rFonts w:asciiTheme="minorHAnsi" w:hAnsiTheme="minorHAnsi"/>
                <w:sz w:val="16"/>
                <w:szCs w:val="16"/>
              </w:rPr>
              <w:t> </w:t>
            </w: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rPr>
                <w:rFonts w:asciiTheme="minorHAnsi" w:hAnsiTheme="minorHAnsi" w:cs="Arial"/>
                <w:sz w:val="16"/>
                <w:szCs w:val="16"/>
              </w:rPr>
            </w:pPr>
            <w:r w:rsidRPr="002C5ECE">
              <w:rPr>
                <w:rFonts w:asciiTheme="minorHAnsi" w:hAnsiTheme="minorHAnsi"/>
                <w:sz w:val="16"/>
                <w:szCs w:val="16"/>
              </w:rPr>
              <w:t> </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rPr>
                <w:rFonts w:asciiTheme="minorHAnsi" w:hAnsiTheme="minorHAnsi" w:cs="Arial"/>
                <w:sz w:val="16"/>
                <w:szCs w:val="16"/>
              </w:rPr>
            </w:pPr>
            <w:r w:rsidRPr="002C5ECE">
              <w:rPr>
                <w:rFonts w:asciiTheme="minorHAnsi" w:hAnsiTheme="minorHAnsi"/>
                <w:sz w:val="16"/>
                <w:szCs w:val="16"/>
              </w:rPr>
              <w:t> </w:t>
            </w: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19.008.375</w:t>
            </w: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rPr>
                <w:rFonts w:asciiTheme="minorHAnsi" w:hAnsiTheme="minorHAnsi" w:cs="Arial"/>
                <w:sz w:val="16"/>
                <w:szCs w:val="16"/>
              </w:rPr>
            </w:pPr>
            <w:r w:rsidRPr="002C5ECE">
              <w:rPr>
                <w:rFonts w:asciiTheme="minorHAnsi" w:hAnsiTheme="minorHAnsi"/>
                <w:sz w:val="16"/>
                <w:szCs w:val="16"/>
              </w:rPr>
              <w:t> </w:t>
            </w:r>
          </w:p>
        </w:tc>
        <w:tc>
          <w:tcPr>
            <w:tcW w:w="1231"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25.293.265</w:t>
            </w:r>
          </w:p>
        </w:tc>
      </w:tr>
      <w:tr w:rsidR="002C5ECE" w:rsidRPr="002C5ECE" w:rsidTr="002C5ECE">
        <w:tc>
          <w:tcPr>
            <w:tcW w:w="3840" w:type="dxa"/>
            <w:tcBorders>
              <w:top w:val="single" w:sz="6" w:space="0" w:color="C0C0C0"/>
              <w:left w:val="single" w:sz="6" w:space="0" w:color="C0C0C0"/>
              <w:bottom w:val="single" w:sz="6" w:space="0" w:color="C0C0C0"/>
              <w:right w:val="single" w:sz="6" w:space="0" w:color="C0C0C0"/>
            </w:tcBorders>
            <w:shd w:val="solid" w:color="FFFFFF" w:fill="auto"/>
          </w:tcPr>
          <w:p w:rsidR="002C5ECE" w:rsidRPr="002C5ECE" w:rsidRDefault="002C5ECE" w:rsidP="002C5ECE">
            <w:pPr>
              <w:widowControl w:val="0"/>
              <w:autoSpaceDE w:val="0"/>
              <w:autoSpaceDN w:val="0"/>
              <w:adjustRightInd w:val="0"/>
              <w:spacing w:before="20" w:after="20"/>
              <w:rPr>
                <w:rFonts w:asciiTheme="minorHAnsi" w:hAnsiTheme="minorHAnsi" w:cs="Arial"/>
                <w:sz w:val="16"/>
                <w:szCs w:val="16"/>
              </w:rPr>
            </w:pPr>
            <w:r w:rsidRPr="002C5ECE">
              <w:rPr>
                <w:rFonts w:asciiTheme="minorHAnsi" w:hAnsiTheme="minorHAnsi"/>
                <w:sz w:val="16"/>
                <w:szCs w:val="16"/>
              </w:rPr>
              <w:t>1 Ogasuneko eta Finantza Politikako Departamentua</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1.708.175.177</w:t>
            </w:r>
          </w:p>
        </w:tc>
        <w:tc>
          <w:tcPr>
            <w:tcW w:w="117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1.889.459.000</w:t>
            </w: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27.495.770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90.030</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5.554.641</w:t>
            </w: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35.020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20</w:t>
            </w: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26.592.288</w:t>
            </w: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343.252.736</w:t>
            </w:r>
          </w:p>
        </w:tc>
        <w:tc>
          <w:tcPr>
            <w:tcW w:w="1231"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4.000.654.682</w:t>
            </w:r>
          </w:p>
        </w:tc>
      </w:tr>
      <w:tr w:rsidR="002C5ECE" w:rsidRPr="002C5ECE" w:rsidTr="002C5ECE">
        <w:tc>
          <w:tcPr>
            <w:tcW w:w="3840" w:type="dxa"/>
            <w:tcBorders>
              <w:top w:val="single" w:sz="6" w:space="0" w:color="C0C0C0"/>
              <w:left w:val="single" w:sz="6" w:space="0" w:color="C0C0C0"/>
              <w:bottom w:val="single" w:sz="6" w:space="0" w:color="C0C0C0"/>
              <w:right w:val="single" w:sz="6" w:space="0" w:color="C0C0C0"/>
            </w:tcBorders>
            <w:shd w:val="solid" w:color="FFFFFF" w:fill="auto"/>
          </w:tcPr>
          <w:p w:rsidR="002C5ECE" w:rsidRPr="002C5ECE" w:rsidRDefault="002C5ECE" w:rsidP="002C5ECE">
            <w:pPr>
              <w:widowControl w:val="0"/>
              <w:autoSpaceDE w:val="0"/>
              <w:autoSpaceDN w:val="0"/>
              <w:adjustRightInd w:val="0"/>
              <w:spacing w:before="20" w:after="20"/>
              <w:rPr>
                <w:rFonts w:asciiTheme="minorHAnsi" w:hAnsiTheme="minorHAnsi" w:cs="Arial"/>
                <w:sz w:val="16"/>
                <w:szCs w:val="16"/>
              </w:rPr>
            </w:pPr>
            <w:r w:rsidRPr="002C5ECE">
              <w:rPr>
                <w:rFonts w:asciiTheme="minorHAnsi" w:hAnsiTheme="minorHAnsi"/>
                <w:sz w:val="16"/>
                <w:szCs w:val="16"/>
              </w:rPr>
              <w:t>4 Hezkuntza Departamentua</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rPr>
                <w:rFonts w:asciiTheme="minorHAnsi" w:hAnsiTheme="minorHAnsi" w:cs="Arial"/>
                <w:sz w:val="16"/>
                <w:szCs w:val="16"/>
              </w:rPr>
            </w:pPr>
            <w:r w:rsidRPr="002C5ECE">
              <w:rPr>
                <w:rFonts w:asciiTheme="minorHAnsi" w:hAnsiTheme="minorHAnsi"/>
                <w:sz w:val="16"/>
                <w:szCs w:val="16"/>
              </w:rPr>
              <w:t> </w:t>
            </w:r>
          </w:p>
        </w:tc>
        <w:tc>
          <w:tcPr>
            <w:tcW w:w="117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rPr>
                <w:rFonts w:asciiTheme="minorHAnsi" w:hAnsiTheme="minorHAnsi" w:cs="Arial"/>
                <w:sz w:val="16"/>
                <w:szCs w:val="16"/>
              </w:rPr>
            </w:pPr>
            <w:r w:rsidRPr="002C5ECE">
              <w:rPr>
                <w:rFonts w:asciiTheme="minorHAnsi" w:hAnsiTheme="minorHAnsi"/>
                <w:sz w:val="16"/>
                <w:szCs w:val="16"/>
              </w:rPr>
              <w:t> </w:t>
            </w: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2.055.362</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3.947.223</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48.571</w:t>
            </w: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rPr>
                <w:rFonts w:asciiTheme="minorHAnsi" w:hAnsiTheme="minorHAnsi" w:cs="Arial"/>
                <w:sz w:val="16"/>
                <w:szCs w:val="16"/>
              </w:rPr>
            </w:pPr>
            <w:r w:rsidRPr="002C5ECE">
              <w:rPr>
                <w:rFonts w:asciiTheme="minorHAnsi" w:hAnsiTheme="minorHAnsi"/>
                <w:sz w:val="16"/>
                <w:szCs w:val="16"/>
              </w:rPr>
              <w:t> </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10</w:t>
            </w: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rPr>
                <w:rFonts w:asciiTheme="minorHAnsi" w:hAnsiTheme="minorHAnsi" w:cs="Arial"/>
                <w:sz w:val="16"/>
                <w:szCs w:val="16"/>
              </w:rPr>
            </w:pPr>
            <w:r w:rsidRPr="002C5ECE">
              <w:rPr>
                <w:rFonts w:asciiTheme="minorHAnsi" w:hAnsiTheme="minorHAnsi"/>
                <w:sz w:val="16"/>
                <w:szCs w:val="16"/>
              </w:rPr>
              <w:t> </w:t>
            </w: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p>
        </w:tc>
        <w:tc>
          <w:tcPr>
            <w:tcW w:w="1231"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6.051.166</w:t>
            </w:r>
          </w:p>
        </w:tc>
      </w:tr>
      <w:tr w:rsidR="002C5ECE" w:rsidRPr="002C5ECE" w:rsidTr="002C5ECE">
        <w:tc>
          <w:tcPr>
            <w:tcW w:w="3840" w:type="dxa"/>
            <w:tcBorders>
              <w:top w:val="single" w:sz="6" w:space="0" w:color="C0C0C0"/>
              <w:left w:val="single" w:sz="6" w:space="0" w:color="C0C0C0"/>
              <w:bottom w:val="single" w:sz="6" w:space="0" w:color="C0C0C0"/>
              <w:right w:val="single" w:sz="6" w:space="0" w:color="C0C0C0"/>
            </w:tcBorders>
            <w:shd w:val="solid" w:color="FFFFFF" w:fill="auto"/>
          </w:tcPr>
          <w:p w:rsidR="002C5ECE" w:rsidRPr="002C5ECE" w:rsidRDefault="002C5ECE" w:rsidP="002C5ECE">
            <w:pPr>
              <w:widowControl w:val="0"/>
              <w:autoSpaceDE w:val="0"/>
              <w:autoSpaceDN w:val="0"/>
              <w:adjustRightInd w:val="0"/>
              <w:spacing w:before="20" w:after="20"/>
              <w:rPr>
                <w:rFonts w:asciiTheme="minorHAnsi" w:hAnsiTheme="minorHAnsi" w:cs="Arial"/>
                <w:sz w:val="16"/>
                <w:szCs w:val="16"/>
              </w:rPr>
            </w:pPr>
            <w:r w:rsidRPr="002C5ECE">
              <w:rPr>
                <w:rFonts w:asciiTheme="minorHAnsi" w:hAnsiTheme="minorHAnsi"/>
                <w:sz w:val="16"/>
                <w:szCs w:val="16"/>
              </w:rPr>
              <w:t>5 Osasun Departamentua</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rPr>
                <w:rFonts w:asciiTheme="minorHAnsi" w:hAnsiTheme="minorHAnsi" w:cs="Arial"/>
                <w:sz w:val="16"/>
                <w:szCs w:val="16"/>
              </w:rPr>
            </w:pPr>
            <w:r w:rsidRPr="002C5ECE">
              <w:rPr>
                <w:rFonts w:asciiTheme="minorHAnsi" w:hAnsiTheme="minorHAnsi"/>
                <w:sz w:val="16"/>
                <w:szCs w:val="16"/>
              </w:rPr>
              <w:t> </w:t>
            </w:r>
          </w:p>
        </w:tc>
        <w:tc>
          <w:tcPr>
            <w:tcW w:w="117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rPr>
                <w:rFonts w:asciiTheme="minorHAnsi" w:hAnsiTheme="minorHAnsi" w:cs="Arial"/>
                <w:sz w:val="16"/>
                <w:szCs w:val="16"/>
              </w:rPr>
            </w:pPr>
            <w:r w:rsidRPr="002C5ECE">
              <w:rPr>
                <w:rFonts w:asciiTheme="minorHAnsi" w:hAnsiTheme="minorHAnsi"/>
                <w:sz w:val="16"/>
                <w:szCs w:val="16"/>
              </w:rPr>
              <w:t> </w:t>
            </w: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11.508.070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137.010</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rPr>
                <w:rFonts w:asciiTheme="minorHAnsi" w:hAnsiTheme="minorHAnsi" w:cs="Arial"/>
                <w:sz w:val="16"/>
                <w:szCs w:val="16"/>
              </w:rPr>
            </w:pPr>
            <w:r w:rsidRPr="002C5ECE">
              <w:rPr>
                <w:rFonts w:asciiTheme="minorHAnsi" w:hAnsiTheme="minorHAnsi"/>
                <w:sz w:val="16"/>
                <w:szCs w:val="16"/>
              </w:rPr>
              <w:t> </w:t>
            </w: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rPr>
                <w:rFonts w:asciiTheme="minorHAnsi" w:hAnsiTheme="minorHAnsi" w:cs="Arial"/>
                <w:sz w:val="16"/>
                <w:szCs w:val="16"/>
              </w:rPr>
            </w:pPr>
            <w:r w:rsidRPr="002C5ECE">
              <w:rPr>
                <w:rFonts w:asciiTheme="minorHAnsi" w:hAnsiTheme="minorHAnsi"/>
                <w:sz w:val="16"/>
                <w:szCs w:val="16"/>
              </w:rPr>
              <w:t> </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5.756.000</w:t>
            </w: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rPr>
                <w:rFonts w:asciiTheme="minorHAnsi" w:hAnsiTheme="minorHAnsi" w:cs="Arial"/>
                <w:sz w:val="16"/>
                <w:szCs w:val="16"/>
              </w:rPr>
            </w:pPr>
            <w:r w:rsidRPr="002C5ECE">
              <w:rPr>
                <w:rFonts w:asciiTheme="minorHAnsi" w:hAnsiTheme="minorHAnsi"/>
                <w:sz w:val="16"/>
                <w:szCs w:val="16"/>
              </w:rPr>
              <w:t> </w:t>
            </w: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rPr>
                <w:rFonts w:asciiTheme="minorHAnsi" w:hAnsiTheme="minorHAnsi" w:cs="Arial"/>
                <w:sz w:val="16"/>
                <w:szCs w:val="16"/>
              </w:rPr>
            </w:pPr>
            <w:r w:rsidRPr="002C5ECE">
              <w:rPr>
                <w:rFonts w:asciiTheme="minorHAnsi" w:hAnsiTheme="minorHAnsi"/>
                <w:sz w:val="16"/>
                <w:szCs w:val="16"/>
              </w:rPr>
              <w:t> </w:t>
            </w:r>
          </w:p>
        </w:tc>
        <w:tc>
          <w:tcPr>
            <w:tcW w:w="1231"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17.401.080</w:t>
            </w:r>
          </w:p>
        </w:tc>
      </w:tr>
      <w:tr w:rsidR="002C5ECE" w:rsidRPr="002C5ECE" w:rsidTr="002C5ECE">
        <w:tc>
          <w:tcPr>
            <w:tcW w:w="3840" w:type="dxa"/>
            <w:tcBorders>
              <w:top w:val="single" w:sz="6" w:space="0" w:color="C0C0C0"/>
              <w:left w:val="single" w:sz="6" w:space="0" w:color="C0C0C0"/>
              <w:bottom w:val="single" w:sz="6" w:space="0" w:color="C0C0C0"/>
              <w:right w:val="single" w:sz="6" w:space="0" w:color="C0C0C0"/>
            </w:tcBorders>
            <w:shd w:val="solid" w:color="FFFFFF" w:fill="auto"/>
          </w:tcPr>
          <w:p w:rsidR="002C5ECE" w:rsidRPr="002C5ECE" w:rsidRDefault="002C5ECE" w:rsidP="002C5ECE">
            <w:pPr>
              <w:widowControl w:val="0"/>
              <w:autoSpaceDE w:val="0"/>
              <w:autoSpaceDN w:val="0"/>
              <w:adjustRightInd w:val="0"/>
              <w:spacing w:before="20" w:after="20"/>
              <w:rPr>
                <w:rFonts w:asciiTheme="minorHAnsi" w:hAnsiTheme="minorHAnsi" w:cs="Arial"/>
                <w:sz w:val="16"/>
                <w:szCs w:val="16"/>
              </w:rPr>
            </w:pPr>
            <w:r w:rsidRPr="002C5ECE">
              <w:rPr>
                <w:rFonts w:asciiTheme="minorHAnsi" w:hAnsiTheme="minorHAnsi"/>
                <w:sz w:val="16"/>
                <w:szCs w:val="16"/>
              </w:rPr>
              <w:t xml:space="preserve">7 Landa Garapeneko, Ingurumeneko eta Toki Administrazioko Departamentua </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rPr>
                <w:rFonts w:asciiTheme="minorHAnsi" w:hAnsiTheme="minorHAnsi" w:cs="Arial"/>
                <w:sz w:val="16"/>
                <w:szCs w:val="16"/>
              </w:rPr>
            </w:pPr>
            <w:r w:rsidRPr="002C5ECE">
              <w:rPr>
                <w:rFonts w:asciiTheme="minorHAnsi" w:hAnsiTheme="minorHAnsi"/>
                <w:sz w:val="16"/>
                <w:szCs w:val="16"/>
              </w:rPr>
              <w:t> </w:t>
            </w:r>
          </w:p>
        </w:tc>
        <w:tc>
          <w:tcPr>
            <w:tcW w:w="117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rPr>
                <w:rFonts w:asciiTheme="minorHAnsi" w:hAnsiTheme="minorHAnsi" w:cs="Arial"/>
                <w:sz w:val="16"/>
                <w:szCs w:val="16"/>
              </w:rPr>
            </w:pPr>
            <w:r w:rsidRPr="002C5ECE">
              <w:rPr>
                <w:rFonts w:asciiTheme="minorHAnsi" w:hAnsiTheme="minorHAnsi"/>
                <w:sz w:val="16"/>
                <w:szCs w:val="16"/>
              </w:rPr>
              <w:t> </w:t>
            </w: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1.797.950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8.654.416</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2.865</w:t>
            </w: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10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10.174.818</w:t>
            </w: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47.960</w:t>
            </w: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rPr>
                <w:rFonts w:asciiTheme="minorHAnsi" w:hAnsiTheme="minorHAnsi" w:cs="Arial"/>
                <w:sz w:val="16"/>
                <w:szCs w:val="16"/>
              </w:rPr>
            </w:pPr>
            <w:r w:rsidRPr="002C5ECE">
              <w:rPr>
                <w:rFonts w:asciiTheme="minorHAnsi" w:hAnsiTheme="minorHAnsi"/>
                <w:sz w:val="16"/>
                <w:szCs w:val="16"/>
              </w:rPr>
              <w:t> </w:t>
            </w:r>
          </w:p>
        </w:tc>
        <w:tc>
          <w:tcPr>
            <w:tcW w:w="1231"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20.678.019</w:t>
            </w:r>
          </w:p>
        </w:tc>
      </w:tr>
      <w:tr w:rsidR="002C5ECE" w:rsidRPr="002C5ECE" w:rsidTr="002C5ECE">
        <w:tc>
          <w:tcPr>
            <w:tcW w:w="3840" w:type="dxa"/>
            <w:tcBorders>
              <w:top w:val="single" w:sz="6" w:space="0" w:color="C0C0C0"/>
              <w:left w:val="single" w:sz="6" w:space="0" w:color="C0C0C0"/>
              <w:bottom w:val="single" w:sz="6" w:space="0" w:color="C0C0C0"/>
              <w:right w:val="single" w:sz="6" w:space="0" w:color="C0C0C0"/>
            </w:tcBorders>
            <w:shd w:val="solid" w:color="FFFFFF" w:fill="auto"/>
          </w:tcPr>
          <w:p w:rsidR="002C5ECE" w:rsidRPr="002C5ECE" w:rsidRDefault="002C5ECE" w:rsidP="002C5ECE">
            <w:pPr>
              <w:widowControl w:val="0"/>
              <w:autoSpaceDE w:val="0"/>
              <w:autoSpaceDN w:val="0"/>
              <w:adjustRightInd w:val="0"/>
              <w:spacing w:before="20" w:after="20"/>
              <w:rPr>
                <w:rFonts w:asciiTheme="minorHAnsi" w:hAnsiTheme="minorHAnsi" w:cs="Arial"/>
                <w:sz w:val="16"/>
                <w:szCs w:val="16"/>
              </w:rPr>
            </w:pPr>
            <w:r w:rsidRPr="002C5ECE">
              <w:rPr>
                <w:rFonts w:asciiTheme="minorHAnsi" w:hAnsiTheme="minorHAnsi"/>
                <w:sz w:val="16"/>
                <w:szCs w:val="16"/>
              </w:rPr>
              <w:t>8 Garapen Ekonomikorako Departamentua</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rPr>
                <w:rFonts w:asciiTheme="minorHAnsi" w:hAnsiTheme="minorHAnsi" w:cs="Arial"/>
                <w:sz w:val="16"/>
                <w:szCs w:val="16"/>
              </w:rPr>
            </w:pPr>
            <w:r w:rsidRPr="002C5ECE">
              <w:rPr>
                <w:rFonts w:asciiTheme="minorHAnsi" w:hAnsiTheme="minorHAnsi"/>
                <w:sz w:val="16"/>
                <w:szCs w:val="16"/>
              </w:rPr>
              <w:t> </w:t>
            </w:r>
          </w:p>
        </w:tc>
        <w:tc>
          <w:tcPr>
            <w:tcW w:w="117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rPr>
                <w:rFonts w:asciiTheme="minorHAnsi" w:hAnsiTheme="minorHAnsi" w:cs="Arial"/>
                <w:sz w:val="16"/>
                <w:szCs w:val="16"/>
              </w:rPr>
            </w:pPr>
            <w:r w:rsidRPr="002C5ECE">
              <w:rPr>
                <w:rFonts w:asciiTheme="minorHAnsi" w:hAnsiTheme="minorHAnsi"/>
                <w:sz w:val="16"/>
                <w:szCs w:val="16"/>
              </w:rPr>
              <w:t> </w:t>
            </w: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4.607.593</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2.580.438</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135.072</w:t>
            </w: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100.010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6.225.782</w:t>
            </w: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227.510</w:t>
            </w: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33.340</w:t>
            </w:r>
          </w:p>
        </w:tc>
        <w:tc>
          <w:tcPr>
            <w:tcW w:w="1231"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13.909.745</w:t>
            </w:r>
          </w:p>
        </w:tc>
      </w:tr>
      <w:tr w:rsidR="002C5ECE" w:rsidRPr="002C5ECE" w:rsidTr="002C5ECE">
        <w:tc>
          <w:tcPr>
            <w:tcW w:w="3840" w:type="dxa"/>
            <w:tcBorders>
              <w:top w:val="single" w:sz="6" w:space="0" w:color="C0C0C0"/>
              <w:left w:val="single" w:sz="6" w:space="0" w:color="C0C0C0"/>
              <w:bottom w:val="single" w:sz="6" w:space="0" w:color="C0C0C0"/>
              <w:right w:val="single" w:sz="6" w:space="0" w:color="C0C0C0"/>
            </w:tcBorders>
            <w:shd w:val="solid" w:color="FFFFFF" w:fill="auto"/>
          </w:tcPr>
          <w:p w:rsidR="002C5ECE" w:rsidRPr="002C5ECE" w:rsidRDefault="002C5ECE" w:rsidP="002C5ECE">
            <w:pPr>
              <w:widowControl w:val="0"/>
              <w:autoSpaceDE w:val="0"/>
              <w:autoSpaceDN w:val="0"/>
              <w:adjustRightInd w:val="0"/>
              <w:spacing w:before="20" w:after="20"/>
              <w:rPr>
                <w:rFonts w:asciiTheme="minorHAnsi" w:hAnsiTheme="minorHAnsi" w:cs="Arial"/>
                <w:sz w:val="16"/>
                <w:szCs w:val="16"/>
              </w:rPr>
            </w:pPr>
            <w:r w:rsidRPr="002C5ECE">
              <w:rPr>
                <w:rFonts w:asciiTheme="minorHAnsi" w:hAnsiTheme="minorHAnsi"/>
                <w:sz w:val="16"/>
                <w:szCs w:val="16"/>
              </w:rPr>
              <w:t>9 Eskubide Sozialetako Departamentua</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rPr>
                <w:rFonts w:asciiTheme="minorHAnsi" w:hAnsiTheme="minorHAnsi" w:cs="Arial"/>
                <w:sz w:val="16"/>
                <w:szCs w:val="16"/>
              </w:rPr>
            </w:pPr>
            <w:r w:rsidRPr="002C5ECE">
              <w:rPr>
                <w:rFonts w:asciiTheme="minorHAnsi" w:hAnsiTheme="minorHAnsi"/>
                <w:sz w:val="16"/>
                <w:szCs w:val="16"/>
              </w:rPr>
              <w:t> </w:t>
            </w:r>
          </w:p>
        </w:tc>
        <w:tc>
          <w:tcPr>
            <w:tcW w:w="117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rPr>
                <w:rFonts w:asciiTheme="minorHAnsi" w:hAnsiTheme="minorHAnsi" w:cs="Arial"/>
                <w:sz w:val="16"/>
                <w:szCs w:val="16"/>
              </w:rPr>
            </w:pPr>
            <w:r w:rsidRPr="002C5ECE">
              <w:rPr>
                <w:rFonts w:asciiTheme="minorHAnsi" w:hAnsiTheme="minorHAnsi"/>
                <w:sz w:val="16"/>
                <w:szCs w:val="16"/>
              </w:rPr>
              <w:t> </w:t>
            </w: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45.260.828</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32.235.699</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46.000</w:t>
            </w: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225.000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230.000</w:t>
            </w: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103.000</w:t>
            </w: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rPr>
                <w:rFonts w:asciiTheme="minorHAnsi" w:hAnsiTheme="minorHAnsi" w:cs="Arial"/>
                <w:sz w:val="16"/>
                <w:szCs w:val="16"/>
              </w:rPr>
            </w:pPr>
            <w:r w:rsidRPr="002C5ECE">
              <w:rPr>
                <w:rFonts w:asciiTheme="minorHAnsi" w:hAnsiTheme="minorHAnsi"/>
                <w:sz w:val="16"/>
                <w:szCs w:val="16"/>
              </w:rPr>
              <w:t> </w:t>
            </w:r>
          </w:p>
        </w:tc>
        <w:tc>
          <w:tcPr>
            <w:tcW w:w="1231"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78.100.527</w:t>
            </w:r>
          </w:p>
        </w:tc>
      </w:tr>
      <w:tr w:rsidR="002C5ECE" w:rsidRPr="002C5ECE" w:rsidTr="002C5ECE">
        <w:tc>
          <w:tcPr>
            <w:tcW w:w="3840" w:type="dxa"/>
            <w:tcBorders>
              <w:top w:val="single" w:sz="6" w:space="0" w:color="C0C0C0"/>
              <w:left w:val="single" w:sz="6" w:space="0" w:color="C0C0C0"/>
              <w:bottom w:val="single" w:sz="6" w:space="0" w:color="C0C0C0"/>
              <w:right w:val="single" w:sz="6" w:space="0" w:color="C0C0C0"/>
            </w:tcBorders>
            <w:shd w:val="solid" w:color="FFFFFF" w:fill="auto"/>
          </w:tcPr>
          <w:p w:rsidR="002C5ECE" w:rsidRPr="002C5ECE" w:rsidRDefault="002C5ECE" w:rsidP="002C5ECE">
            <w:pPr>
              <w:widowControl w:val="0"/>
              <w:autoSpaceDE w:val="0"/>
              <w:autoSpaceDN w:val="0"/>
              <w:adjustRightInd w:val="0"/>
              <w:spacing w:before="20" w:after="20"/>
              <w:rPr>
                <w:rFonts w:asciiTheme="minorHAnsi" w:hAnsiTheme="minorHAnsi" w:cs="Arial"/>
                <w:sz w:val="16"/>
                <w:szCs w:val="16"/>
              </w:rPr>
            </w:pPr>
            <w:r w:rsidRPr="002C5ECE">
              <w:rPr>
                <w:rFonts w:asciiTheme="minorHAnsi" w:hAnsiTheme="minorHAnsi"/>
                <w:sz w:val="16"/>
                <w:szCs w:val="16"/>
              </w:rPr>
              <w:t>A Kultura, Kirol eta Gazteria Departamentua</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rPr>
                <w:rFonts w:asciiTheme="minorHAnsi" w:hAnsiTheme="minorHAnsi" w:cs="Arial"/>
                <w:sz w:val="16"/>
                <w:szCs w:val="16"/>
              </w:rPr>
            </w:pPr>
            <w:r w:rsidRPr="002C5ECE">
              <w:rPr>
                <w:rFonts w:asciiTheme="minorHAnsi" w:hAnsiTheme="minorHAnsi"/>
                <w:sz w:val="16"/>
                <w:szCs w:val="16"/>
              </w:rPr>
              <w:t> </w:t>
            </w:r>
          </w:p>
        </w:tc>
        <w:tc>
          <w:tcPr>
            <w:tcW w:w="117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rPr>
                <w:rFonts w:asciiTheme="minorHAnsi" w:hAnsiTheme="minorHAnsi" w:cs="Arial"/>
                <w:sz w:val="16"/>
                <w:szCs w:val="16"/>
              </w:rPr>
            </w:pPr>
            <w:r w:rsidRPr="002C5ECE">
              <w:rPr>
                <w:rFonts w:asciiTheme="minorHAnsi" w:hAnsiTheme="minorHAnsi"/>
                <w:sz w:val="16"/>
                <w:szCs w:val="16"/>
              </w:rPr>
              <w:t> </w:t>
            </w: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886.240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373.030</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106.197</w:t>
            </w: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rPr>
                <w:rFonts w:asciiTheme="minorHAnsi" w:hAnsiTheme="minorHAnsi" w:cs="Arial"/>
                <w:sz w:val="16"/>
                <w:szCs w:val="16"/>
              </w:rPr>
            </w:pPr>
            <w:r w:rsidRPr="002C5ECE">
              <w:rPr>
                <w:rFonts w:asciiTheme="minorHAnsi" w:hAnsiTheme="minorHAnsi"/>
                <w:sz w:val="16"/>
                <w:szCs w:val="16"/>
              </w:rPr>
              <w:t> </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10</w:t>
            </w: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152.000</w:t>
            </w: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rPr>
                <w:rFonts w:asciiTheme="minorHAnsi" w:hAnsiTheme="minorHAnsi" w:cs="Arial"/>
                <w:sz w:val="16"/>
                <w:szCs w:val="16"/>
              </w:rPr>
            </w:pPr>
            <w:r w:rsidRPr="002C5ECE">
              <w:rPr>
                <w:rFonts w:asciiTheme="minorHAnsi" w:hAnsiTheme="minorHAnsi"/>
                <w:sz w:val="16"/>
                <w:szCs w:val="16"/>
              </w:rPr>
              <w:t> </w:t>
            </w:r>
          </w:p>
        </w:tc>
        <w:tc>
          <w:tcPr>
            <w:tcW w:w="1231"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1.517.477</w:t>
            </w:r>
          </w:p>
        </w:tc>
      </w:tr>
      <w:tr w:rsidR="002C5ECE" w:rsidRPr="002C5ECE" w:rsidTr="002C5ECE">
        <w:tc>
          <w:tcPr>
            <w:tcW w:w="3840" w:type="dxa"/>
            <w:tcBorders>
              <w:top w:val="single" w:sz="6" w:space="0" w:color="C0C0C0"/>
              <w:left w:val="single" w:sz="6" w:space="0" w:color="C0C0C0"/>
              <w:bottom w:val="single" w:sz="6" w:space="0" w:color="C0C0C0"/>
              <w:right w:val="single" w:sz="6" w:space="0" w:color="C0C0C0"/>
            </w:tcBorders>
            <w:shd w:val="solid" w:color="FFFFFF" w:fill="auto"/>
          </w:tcPr>
          <w:p w:rsidR="002C5ECE" w:rsidRPr="002C5ECE" w:rsidRDefault="002C5ECE" w:rsidP="002C5ECE">
            <w:pPr>
              <w:widowControl w:val="0"/>
              <w:autoSpaceDE w:val="0"/>
              <w:autoSpaceDN w:val="0"/>
              <w:adjustRightInd w:val="0"/>
              <w:spacing w:before="20" w:after="20"/>
              <w:rPr>
                <w:rFonts w:asciiTheme="minorHAnsi" w:hAnsiTheme="minorHAnsi" w:cs="Arial"/>
                <w:sz w:val="16"/>
                <w:szCs w:val="16"/>
              </w:rPr>
            </w:pPr>
            <w:r w:rsidRPr="002C5ECE">
              <w:rPr>
                <w:rFonts w:asciiTheme="minorHAnsi" w:hAnsiTheme="minorHAnsi"/>
                <w:sz w:val="16"/>
                <w:szCs w:val="16"/>
              </w:rPr>
              <w:t>B Herritarrekiko eta Erakundeekiko Harremanetako Departamentua</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rPr>
                <w:rFonts w:asciiTheme="minorHAnsi" w:hAnsiTheme="minorHAnsi" w:cs="Arial"/>
                <w:sz w:val="16"/>
                <w:szCs w:val="16"/>
              </w:rPr>
            </w:pPr>
            <w:r w:rsidRPr="002C5ECE">
              <w:rPr>
                <w:rFonts w:asciiTheme="minorHAnsi" w:hAnsiTheme="minorHAnsi"/>
                <w:sz w:val="16"/>
                <w:szCs w:val="16"/>
              </w:rPr>
              <w:t> </w:t>
            </w:r>
          </w:p>
        </w:tc>
        <w:tc>
          <w:tcPr>
            <w:tcW w:w="117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rPr>
                <w:rFonts w:asciiTheme="minorHAnsi" w:hAnsiTheme="minorHAnsi" w:cs="Arial"/>
                <w:sz w:val="16"/>
                <w:szCs w:val="16"/>
              </w:rPr>
            </w:pPr>
            <w:r w:rsidRPr="002C5ECE">
              <w:rPr>
                <w:rFonts w:asciiTheme="minorHAnsi" w:hAnsiTheme="minorHAnsi"/>
                <w:sz w:val="16"/>
                <w:szCs w:val="16"/>
              </w:rPr>
              <w:t> </w:t>
            </w: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136.104</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393.342</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rPr>
                <w:rFonts w:asciiTheme="minorHAnsi" w:hAnsiTheme="minorHAnsi" w:cs="Arial"/>
                <w:sz w:val="16"/>
                <w:szCs w:val="16"/>
              </w:rPr>
            </w:pPr>
            <w:r w:rsidRPr="002C5ECE">
              <w:rPr>
                <w:rFonts w:asciiTheme="minorHAnsi" w:hAnsiTheme="minorHAnsi"/>
                <w:sz w:val="16"/>
                <w:szCs w:val="16"/>
              </w:rPr>
              <w:t> </w:t>
            </w: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rPr>
                <w:rFonts w:asciiTheme="minorHAnsi" w:hAnsiTheme="minorHAnsi" w:cs="Arial"/>
                <w:sz w:val="16"/>
                <w:szCs w:val="16"/>
              </w:rPr>
            </w:pPr>
            <w:r w:rsidRPr="002C5ECE">
              <w:rPr>
                <w:rFonts w:asciiTheme="minorHAnsi" w:hAnsiTheme="minorHAnsi"/>
                <w:sz w:val="16"/>
                <w:szCs w:val="16"/>
              </w:rPr>
              <w:t> </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rPr>
                <w:rFonts w:asciiTheme="minorHAnsi" w:hAnsiTheme="minorHAnsi" w:cs="Arial"/>
                <w:sz w:val="16"/>
                <w:szCs w:val="16"/>
              </w:rPr>
            </w:pPr>
            <w:r w:rsidRPr="002C5ECE">
              <w:rPr>
                <w:rFonts w:asciiTheme="minorHAnsi" w:hAnsiTheme="minorHAnsi"/>
                <w:sz w:val="16"/>
                <w:szCs w:val="16"/>
              </w:rPr>
              <w:t> </w:t>
            </w: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rPr>
                <w:rFonts w:asciiTheme="minorHAnsi" w:hAnsiTheme="minorHAnsi" w:cs="Arial"/>
                <w:sz w:val="16"/>
                <w:szCs w:val="16"/>
              </w:rPr>
            </w:pPr>
            <w:r w:rsidRPr="002C5ECE">
              <w:rPr>
                <w:rFonts w:asciiTheme="minorHAnsi" w:hAnsiTheme="minorHAnsi"/>
                <w:sz w:val="16"/>
                <w:szCs w:val="16"/>
              </w:rPr>
              <w:t> </w:t>
            </w: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rPr>
                <w:rFonts w:asciiTheme="minorHAnsi" w:hAnsiTheme="minorHAnsi" w:cs="Arial"/>
                <w:sz w:val="16"/>
                <w:szCs w:val="16"/>
              </w:rPr>
            </w:pPr>
            <w:r w:rsidRPr="002C5ECE">
              <w:rPr>
                <w:rFonts w:asciiTheme="minorHAnsi" w:hAnsiTheme="minorHAnsi"/>
                <w:sz w:val="16"/>
                <w:szCs w:val="16"/>
              </w:rPr>
              <w:t> </w:t>
            </w:r>
          </w:p>
        </w:tc>
        <w:tc>
          <w:tcPr>
            <w:tcW w:w="1231"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sz w:val="16"/>
                <w:szCs w:val="16"/>
              </w:rPr>
            </w:pPr>
            <w:r w:rsidRPr="002C5ECE">
              <w:rPr>
                <w:rFonts w:asciiTheme="minorHAnsi" w:hAnsiTheme="minorHAnsi"/>
                <w:sz w:val="16"/>
                <w:szCs w:val="16"/>
              </w:rPr>
              <w:t>529.446</w:t>
            </w:r>
          </w:p>
        </w:tc>
      </w:tr>
      <w:tr w:rsidR="002C5ECE" w:rsidRPr="002C5ECE" w:rsidTr="002C5ECE">
        <w:tc>
          <w:tcPr>
            <w:tcW w:w="3840" w:type="dxa"/>
            <w:tcBorders>
              <w:top w:val="single" w:sz="6" w:space="0" w:color="C0C0C0"/>
              <w:left w:val="single" w:sz="6" w:space="0" w:color="C0C0C0"/>
              <w:bottom w:val="single" w:sz="6" w:space="0" w:color="C0C0C0"/>
              <w:right w:val="single" w:sz="6" w:space="0" w:color="C0C0C0"/>
            </w:tcBorders>
            <w:shd w:val="solid" w:color="FFFFFF" w:fill="auto"/>
          </w:tcPr>
          <w:p w:rsidR="002C5ECE" w:rsidRPr="002C5ECE" w:rsidRDefault="002C5ECE" w:rsidP="002C5ECE">
            <w:pPr>
              <w:widowControl w:val="0"/>
              <w:autoSpaceDE w:val="0"/>
              <w:autoSpaceDN w:val="0"/>
              <w:adjustRightInd w:val="0"/>
              <w:spacing w:before="20" w:after="20"/>
              <w:rPr>
                <w:rFonts w:asciiTheme="minorHAnsi" w:hAnsiTheme="minorHAnsi" w:cs="Arial"/>
                <w:b/>
                <w:sz w:val="16"/>
                <w:szCs w:val="16"/>
              </w:rPr>
            </w:pPr>
            <w:r w:rsidRPr="002C5ECE">
              <w:rPr>
                <w:rFonts w:asciiTheme="minorHAnsi" w:hAnsiTheme="minorHAnsi"/>
                <w:b/>
                <w:sz w:val="16"/>
                <w:szCs w:val="16"/>
              </w:rPr>
              <w:t>AURREKONTUA, GUZTIRA</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b/>
                <w:bCs/>
                <w:sz w:val="16"/>
                <w:szCs w:val="16"/>
              </w:rPr>
            </w:pPr>
            <w:r w:rsidRPr="002C5ECE">
              <w:rPr>
                <w:rFonts w:asciiTheme="minorHAnsi" w:hAnsiTheme="minorHAnsi"/>
                <w:b/>
                <w:bCs/>
                <w:sz w:val="16"/>
                <w:szCs w:val="16"/>
              </w:rPr>
              <w:t>1.708.175.177</w:t>
            </w:r>
          </w:p>
        </w:tc>
        <w:tc>
          <w:tcPr>
            <w:tcW w:w="117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b/>
                <w:bCs/>
                <w:sz w:val="16"/>
                <w:szCs w:val="16"/>
              </w:rPr>
            </w:pPr>
            <w:r w:rsidRPr="002C5ECE">
              <w:rPr>
                <w:rFonts w:asciiTheme="minorHAnsi" w:hAnsiTheme="minorHAnsi"/>
                <w:b/>
                <w:bCs/>
                <w:sz w:val="16"/>
                <w:szCs w:val="16"/>
              </w:rPr>
              <w:t>1.889.459.000</w:t>
            </w: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b/>
                <w:bCs/>
                <w:sz w:val="16"/>
                <w:szCs w:val="16"/>
              </w:rPr>
            </w:pPr>
            <w:r w:rsidRPr="002C5ECE">
              <w:rPr>
                <w:rFonts w:asciiTheme="minorHAnsi" w:hAnsiTheme="minorHAnsi"/>
                <w:b/>
                <w:bCs/>
                <w:sz w:val="16"/>
                <w:szCs w:val="16"/>
              </w:rPr>
              <w:t>99.529.897</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b/>
                <w:bCs/>
                <w:sz w:val="16"/>
                <w:szCs w:val="16"/>
              </w:rPr>
            </w:pPr>
            <w:r w:rsidRPr="002C5ECE">
              <w:rPr>
                <w:rFonts w:asciiTheme="minorHAnsi" w:hAnsiTheme="minorHAnsi"/>
                <w:b/>
                <w:bCs/>
                <w:sz w:val="16"/>
                <w:szCs w:val="16"/>
              </w:rPr>
              <w:t>48.914.098</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b/>
                <w:bCs/>
                <w:sz w:val="16"/>
                <w:szCs w:val="16"/>
              </w:rPr>
            </w:pPr>
            <w:r w:rsidRPr="002C5ECE">
              <w:rPr>
                <w:rFonts w:asciiTheme="minorHAnsi" w:hAnsiTheme="minorHAnsi"/>
                <w:b/>
                <w:bCs/>
                <w:sz w:val="16"/>
                <w:szCs w:val="16"/>
              </w:rPr>
              <w:t>5.893.346</w:t>
            </w: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b/>
                <w:bCs/>
                <w:sz w:val="16"/>
                <w:szCs w:val="16"/>
              </w:rPr>
            </w:pPr>
            <w:r w:rsidRPr="002C5ECE">
              <w:rPr>
                <w:rFonts w:asciiTheme="minorHAnsi" w:hAnsiTheme="minorHAnsi"/>
                <w:b/>
                <w:bCs/>
                <w:sz w:val="16"/>
                <w:szCs w:val="16"/>
              </w:rPr>
              <w:t>360.040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b/>
                <w:bCs/>
                <w:sz w:val="16"/>
                <w:szCs w:val="16"/>
              </w:rPr>
            </w:pPr>
            <w:r w:rsidRPr="002C5ECE">
              <w:rPr>
                <w:rFonts w:asciiTheme="minorHAnsi" w:hAnsiTheme="minorHAnsi"/>
                <w:b/>
                <w:bCs/>
                <w:sz w:val="16"/>
                <w:szCs w:val="16"/>
              </w:rPr>
              <w:t>22.386.640</w:t>
            </w: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b/>
                <w:bCs/>
                <w:sz w:val="16"/>
                <w:szCs w:val="16"/>
              </w:rPr>
            </w:pPr>
            <w:r w:rsidRPr="002C5ECE">
              <w:rPr>
                <w:rFonts w:asciiTheme="minorHAnsi" w:hAnsiTheme="minorHAnsi"/>
                <w:b/>
                <w:bCs/>
                <w:sz w:val="16"/>
                <w:szCs w:val="16"/>
              </w:rPr>
              <w:t>46.131.133</w:t>
            </w: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b/>
                <w:bCs/>
                <w:sz w:val="16"/>
                <w:szCs w:val="16"/>
              </w:rPr>
            </w:pPr>
            <w:r w:rsidRPr="002C5ECE">
              <w:rPr>
                <w:rFonts w:asciiTheme="minorHAnsi" w:hAnsiTheme="minorHAnsi"/>
                <w:b/>
                <w:bCs/>
                <w:sz w:val="16"/>
                <w:szCs w:val="16"/>
              </w:rPr>
              <w:t>343.286.076</w:t>
            </w:r>
          </w:p>
        </w:tc>
        <w:tc>
          <w:tcPr>
            <w:tcW w:w="1231" w:type="dxa"/>
            <w:tcBorders>
              <w:top w:val="single" w:sz="6" w:space="0" w:color="C0C0C0"/>
              <w:left w:val="single" w:sz="6" w:space="0" w:color="C0C0C0"/>
              <w:bottom w:val="single" w:sz="6" w:space="0" w:color="C0C0C0"/>
              <w:right w:val="single" w:sz="6" w:space="0" w:color="C0C0C0"/>
            </w:tcBorders>
            <w:shd w:val="solid" w:color="FFFFFF" w:fill="auto"/>
            <w:vAlign w:val="bottom"/>
          </w:tcPr>
          <w:p w:rsidR="002C5ECE" w:rsidRPr="002C5ECE" w:rsidRDefault="002C5ECE" w:rsidP="002C5ECE">
            <w:pPr>
              <w:spacing w:before="20" w:after="20"/>
              <w:jc w:val="right"/>
              <w:rPr>
                <w:rFonts w:asciiTheme="minorHAnsi" w:hAnsiTheme="minorHAnsi" w:cs="Arial"/>
                <w:b/>
                <w:bCs/>
                <w:sz w:val="16"/>
                <w:szCs w:val="16"/>
              </w:rPr>
            </w:pPr>
            <w:r w:rsidRPr="002C5ECE">
              <w:rPr>
                <w:rFonts w:asciiTheme="minorHAnsi" w:hAnsiTheme="minorHAnsi"/>
                <w:b/>
                <w:bCs/>
                <w:sz w:val="16"/>
                <w:szCs w:val="16"/>
              </w:rPr>
              <w:t>4.164.135.407</w:t>
            </w:r>
          </w:p>
        </w:tc>
      </w:tr>
    </w:tbl>
    <w:p w:rsidR="003C52E5" w:rsidRDefault="003C52E5" w:rsidP="00113242">
      <w:pPr>
        <w:pStyle w:val="DICTA-TEXTO"/>
      </w:pPr>
    </w:p>
    <w:p w:rsidR="00A64FE9" w:rsidRDefault="00A64FE9" w:rsidP="00113242">
      <w:pPr>
        <w:pStyle w:val="DICTA-TEXTO"/>
      </w:pPr>
    </w:p>
    <w:p w:rsidR="00A64FE9" w:rsidRDefault="00A64FE9" w:rsidP="00113242">
      <w:pPr>
        <w:pStyle w:val="DICTA-TEXTO"/>
      </w:pPr>
    </w:p>
    <w:p w:rsidR="00A64FE9" w:rsidRDefault="00A64FE9" w:rsidP="00113242">
      <w:pPr>
        <w:pStyle w:val="DICTA-TEXTO"/>
      </w:pPr>
    </w:p>
    <w:p w:rsidR="00834542" w:rsidRDefault="00834542" w:rsidP="002A5212">
      <w:pPr>
        <w:pStyle w:val="OFI-FIRMA1"/>
        <w:spacing w:after="120"/>
        <w:sectPr w:rsidR="00834542" w:rsidSect="00666764">
          <w:type w:val="continuous"/>
          <w:pgSz w:w="16840" w:h="11907" w:orient="landscape" w:code="9"/>
          <w:pgMar w:top="1276" w:right="2268" w:bottom="1418" w:left="1418" w:header="1134" w:footer="318" w:gutter="0"/>
          <w:paperSrc w:first="15" w:other="15"/>
          <w:cols w:space="720"/>
          <w:titlePg/>
          <w:docGrid w:linePitch="354"/>
        </w:sectPr>
      </w:pPr>
    </w:p>
    <w:p w:rsidR="00975A08" w:rsidRPr="00834542" w:rsidRDefault="00975A08" w:rsidP="00834542"/>
    <w:sectPr w:rsidR="00975A08" w:rsidRPr="00834542" w:rsidSect="00834542">
      <w:type w:val="continuous"/>
      <w:pgSz w:w="16840" w:h="11907" w:orient="landscape" w:code="9"/>
      <w:pgMar w:top="1276" w:right="1418" w:bottom="1418" w:left="1418" w:header="1134" w:footer="318"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2F0" w:rsidRDefault="009632F0">
      <w:r>
        <w:separator/>
      </w:r>
    </w:p>
  </w:endnote>
  <w:endnote w:type="continuationSeparator" w:id="0">
    <w:p w:rsidR="009632F0" w:rsidRDefault="00963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797" w:rsidRPr="00787D1E" w:rsidRDefault="00413797" w:rsidP="00787D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2F0" w:rsidRDefault="009632F0">
      <w:r>
        <w:separator/>
      </w:r>
    </w:p>
  </w:footnote>
  <w:footnote w:type="continuationSeparator" w:id="0">
    <w:p w:rsidR="009632F0" w:rsidRDefault="00963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797" w:rsidRPr="002A5212" w:rsidRDefault="00413797" w:rsidP="002A52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14668"/>
    <w:multiLevelType w:val="hybridMultilevel"/>
    <w:tmpl w:val="561CF9FA"/>
    <w:lvl w:ilvl="0" w:tplc="F80EC360">
      <w:start w:val="1"/>
      <w:numFmt w:val="decimal"/>
      <w:lvlText w:val="%1."/>
      <w:lvlJc w:val="left"/>
      <w:pPr>
        <w:ind w:left="786" w:hanging="360"/>
      </w:pPr>
      <w:rPr>
        <w:rFonts w:cs="Times New Roman"/>
      </w:rPr>
    </w:lvl>
    <w:lvl w:ilvl="1" w:tplc="0C0A0019">
      <w:start w:val="1"/>
      <w:numFmt w:val="lowerLetter"/>
      <w:lvlText w:val="%2."/>
      <w:lvlJc w:val="left"/>
      <w:pPr>
        <w:ind w:left="1506" w:hanging="360"/>
      </w:pPr>
      <w:rPr>
        <w:rFonts w:cs="Times New Roman"/>
      </w:rPr>
    </w:lvl>
    <w:lvl w:ilvl="2" w:tplc="0C0A001B">
      <w:start w:val="1"/>
      <w:numFmt w:val="lowerRoman"/>
      <w:lvlText w:val="%3."/>
      <w:lvlJc w:val="right"/>
      <w:pPr>
        <w:ind w:left="2226" w:hanging="180"/>
      </w:pPr>
      <w:rPr>
        <w:rFonts w:cs="Times New Roman"/>
      </w:rPr>
    </w:lvl>
    <w:lvl w:ilvl="3" w:tplc="0C0A000F">
      <w:start w:val="1"/>
      <w:numFmt w:val="decimal"/>
      <w:lvlText w:val="%4."/>
      <w:lvlJc w:val="left"/>
      <w:pPr>
        <w:ind w:left="2946" w:hanging="360"/>
      </w:pPr>
      <w:rPr>
        <w:rFonts w:cs="Times New Roman"/>
      </w:rPr>
    </w:lvl>
    <w:lvl w:ilvl="4" w:tplc="0C0A0019">
      <w:start w:val="1"/>
      <w:numFmt w:val="lowerLetter"/>
      <w:lvlText w:val="%5."/>
      <w:lvlJc w:val="left"/>
      <w:pPr>
        <w:ind w:left="3666" w:hanging="360"/>
      </w:pPr>
      <w:rPr>
        <w:rFonts w:cs="Times New Roman"/>
      </w:rPr>
    </w:lvl>
    <w:lvl w:ilvl="5" w:tplc="0C0A001B">
      <w:start w:val="1"/>
      <w:numFmt w:val="lowerRoman"/>
      <w:lvlText w:val="%6."/>
      <w:lvlJc w:val="right"/>
      <w:pPr>
        <w:ind w:left="4386" w:hanging="180"/>
      </w:pPr>
      <w:rPr>
        <w:rFonts w:cs="Times New Roman"/>
      </w:rPr>
    </w:lvl>
    <w:lvl w:ilvl="6" w:tplc="0C0A000F">
      <w:start w:val="1"/>
      <w:numFmt w:val="decimal"/>
      <w:lvlText w:val="%7."/>
      <w:lvlJc w:val="left"/>
      <w:pPr>
        <w:ind w:left="5106" w:hanging="360"/>
      </w:pPr>
      <w:rPr>
        <w:rFonts w:cs="Times New Roman"/>
      </w:rPr>
    </w:lvl>
    <w:lvl w:ilvl="7" w:tplc="0C0A0019">
      <w:start w:val="1"/>
      <w:numFmt w:val="lowerLetter"/>
      <w:lvlText w:val="%8."/>
      <w:lvlJc w:val="left"/>
      <w:pPr>
        <w:ind w:left="5826" w:hanging="360"/>
      </w:pPr>
      <w:rPr>
        <w:rFonts w:cs="Times New Roman"/>
      </w:rPr>
    </w:lvl>
    <w:lvl w:ilvl="8" w:tplc="0C0A001B">
      <w:start w:val="1"/>
      <w:numFmt w:val="lowerRoman"/>
      <w:lvlText w:val="%9."/>
      <w:lvlJc w:val="right"/>
      <w:pPr>
        <w:ind w:left="6546"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GrammaticalErrors/>
  <w:proofState w:spelling="clean"/>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D9A"/>
    <w:rsid w:val="0000569E"/>
    <w:rsid w:val="00012DC5"/>
    <w:rsid w:val="00057311"/>
    <w:rsid w:val="00063DA7"/>
    <w:rsid w:val="0011043C"/>
    <w:rsid w:val="00113242"/>
    <w:rsid w:val="00131744"/>
    <w:rsid w:val="00161D61"/>
    <w:rsid w:val="001D0804"/>
    <w:rsid w:val="001D5B6E"/>
    <w:rsid w:val="001F3DCA"/>
    <w:rsid w:val="001F593F"/>
    <w:rsid w:val="002225AD"/>
    <w:rsid w:val="0024678E"/>
    <w:rsid w:val="0029443F"/>
    <w:rsid w:val="002A5212"/>
    <w:rsid w:val="002C5ECE"/>
    <w:rsid w:val="002F10F6"/>
    <w:rsid w:val="002F4524"/>
    <w:rsid w:val="00303540"/>
    <w:rsid w:val="00310F74"/>
    <w:rsid w:val="00316925"/>
    <w:rsid w:val="003401B5"/>
    <w:rsid w:val="00351857"/>
    <w:rsid w:val="003626C1"/>
    <w:rsid w:val="003C52E5"/>
    <w:rsid w:val="003D0858"/>
    <w:rsid w:val="003E0ABF"/>
    <w:rsid w:val="003E6891"/>
    <w:rsid w:val="003F75BF"/>
    <w:rsid w:val="00413797"/>
    <w:rsid w:val="0043631B"/>
    <w:rsid w:val="004628EB"/>
    <w:rsid w:val="00483A79"/>
    <w:rsid w:val="004A5912"/>
    <w:rsid w:val="004C7ED7"/>
    <w:rsid w:val="004D7F7A"/>
    <w:rsid w:val="00503871"/>
    <w:rsid w:val="00524363"/>
    <w:rsid w:val="0053520B"/>
    <w:rsid w:val="00544A63"/>
    <w:rsid w:val="00552FB4"/>
    <w:rsid w:val="00594855"/>
    <w:rsid w:val="005E392A"/>
    <w:rsid w:val="00622FB4"/>
    <w:rsid w:val="0063797F"/>
    <w:rsid w:val="00656CDD"/>
    <w:rsid w:val="00666764"/>
    <w:rsid w:val="00686F7A"/>
    <w:rsid w:val="006A6609"/>
    <w:rsid w:val="006B6028"/>
    <w:rsid w:val="00714A80"/>
    <w:rsid w:val="0076655C"/>
    <w:rsid w:val="00787D1E"/>
    <w:rsid w:val="007B537A"/>
    <w:rsid w:val="007E2A7E"/>
    <w:rsid w:val="007E7FFD"/>
    <w:rsid w:val="00834542"/>
    <w:rsid w:val="00880404"/>
    <w:rsid w:val="008D69B2"/>
    <w:rsid w:val="008F40F4"/>
    <w:rsid w:val="009066A1"/>
    <w:rsid w:val="00933D81"/>
    <w:rsid w:val="00936F6F"/>
    <w:rsid w:val="0094540B"/>
    <w:rsid w:val="009632F0"/>
    <w:rsid w:val="00975A08"/>
    <w:rsid w:val="009D552E"/>
    <w:rsid w:val="009D6016"/>
    <w:rsid w:val="009D6574"/>
    <w:rsid w:val="00A11E8D"/>
    <w:rsid w:val="00A36710"/>
    <w:rsid w:val="00A4099E"/>
    <w:rsid w:val="00A64FE9"/>
    <w:rsid w:val="00A76DD2"/>
    <w:rsid w:val="00AB1F94"/>
    <w:rsid w:val="00AB751E"/>
    <w:rsid w:val="00AC7450"/>
    <w:rsid w:val="00AD4D7D"/>
    <w:rsid w:val="00AE1B81"/>
    <w:rsid w:val="00B75699"/>
    <w:rsid w:val="00BC40EE"/>
    <w:rsid w:val="00BF6B49"/>
    <w:rsid w:val="00C02732"/>
    <w:rsid w:val="00C22D09"/>
    <w:rsid w:val="00C61682"/>
    <w:rsid w:val="00C743A4"/>
    <w:rsid w:val="00C80245"/>
    <w:rsid w:val="00CA6C3A"/>
    <w:rsid w:val="00CE5DA3"/>
    <w:rsid w:val="00CF2490"/>
    <w:rsid w:val="00D065AC"/>
    <w:rsid w:val="00D11E33"/>
    <w:rsid w:val="00D32B36"/>
    <w:rsid w:val="00D90741"/>
    <w:rsid w:val="00DB2B94"/>
    <w:rsid w:val="00DB30D9"/>
    <w:rsid w:val="00E057B6"/>
    <w:rsid w:val="00E271F2"/>
    <w:rsid w:val="00E32F61"/>
    <w:rsid w:val="00E93EDE"/>
    <w:rsid w:val="00E9716B"/>
    <w:rsid w:val="00EC61C4"/>
    <w:rsid w:val="00ED4D7F"/>
    <w:rsid w:val="00EF6CB0"/>
    <w:rsid w:val="00F01D9A"/>
    <w:rsid w:val="00F3065D"/>
    <w:rsid w:val="00F54019"/>
    <w:rsid w:val="00F8430E"/>
    <w:rsid w:val="00FD53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NormalWeb">
    <w:name w:val="Normal (Web)"/>
    <w:basedOn w:val="Normal"/>
    <w:semiHidden/>
    <w:unhideWhenUsed/>
    <w:rsid w:val="003E6891"/>
    <w:pPr>
      <w:spacing w:before="100" w:beforeAutospacing="1" w:after="100" w:afterAutospacing="1"/>
    </w:pPr>
  </w:style>
  <w:style w:type="paragraph" w:styleId="Textocomentario">
    <w:name w:val="annotation text"/>
    <w:basedOn w:val="Normal"/>
    <w:link w:val="TextocomentarioCar"/>
    <w:semiHidden/>
    <w:unhideWhenUsed/>
    <w:rsid w:val="003E6891"/>
    <w:rPr>
      <w:sz w:val="20"/>
      <w:szCs w:val="20"/>
    </w:rPr>
  </w:style>
  <w:style w:type="character" w:customStyle="1" w:styleId="TextocomentarioCar">
    <w:name w:val="Texto comentario Car"/>
    <w:basedOn w:val="Fuentedeprrafopredeter"/>
    <w:link w:val="Textocomentario"/>
    <w:semiHidden/>
    <w:rsid w:val="003E6891"/>
  </w:style>
  <w:style w:type="character" w:customStyle="1" w:styleId="EncabezadoCar">
    <w:name w:val="Encabezado Car"/>
    <w:link w:val="Encabezado"/>
    <w:semiHidden/>
    <w:rsid w:val="003E6891"/>
    <w:rPr>
      <w:sz w:val="26"/>
      <w:lang w:val="eu-ES"/>
    </w:rPr>
  </w:style>
  <w:style w:type="paragraph" w:styleId="Asuntodelcomentario">
    <w:name w:val="annotation subject"/>
    <w:basedOn w:val="Textocomentario"/>
    <w:next w:val="Textocomentario"/>
    <w:link w:val="AsuntodelcomentarioCar"/>
    <w:semiHidden/>
    <w:unhideWhenUsed/>
    <w:rsid w:val="003E6891"/>
    <w:rPr>
      <w:b/>
      <w:bCs/>
    </w:rPr>
  </w:style>
  <w:style w:type="character" w:customStyle="1" w:styleId="AsuntodelcomentarioCar">
    <w:name w:val="Asunto del comentario Car"/>
    <w:link w:val="Asuntodelcomentario"/>
    <w:semiHidden/>
    <w:rsid w:val="003E6891"/>
    <w:rPr>
      <w:b/>
      <w:bCs/>
    </w:rPr>
  </w:style>
  <w:style w:type="paragraph" w:styleId="Textodeglobo">
    <w:name w:val="Balloon Text"/>
    <w:basedOn w:val="Normal"/>
    <w:link w:val="TextodegloboCar"/>
    <w:semiHidden/>
    <w:unhideWhenUsed/>
    <w:rsid w:val="003E6891"/>
    <w:rPr>
      <w:rFonts w:ascii="Tahoma" w:hAnsi="Tahoma" w:cs="Tahoma"/>
      <w:sz w:val="16"/>
      <w:szCs w:val="16"/>
    </w:rPr>
  </w:style>
  <w:style w:type="character" w:customStyle="1" w:styleId="TextodegloboCar">
    <w:name w:val="Texto de globo Car"/>
    <w:link w:val="Textodeglobo"/>
    <w:semiHidden/>
    <w:rsid w:val="003E6891"/>
    <w:rPr>
      <w:rFonts w:ascii="Tahoma" w:hAnsi="Tahoma" w:cs="Tahoma"/>
      <w:sz w:val="16"/>
      <w:szCs w:val="16"/>
    </w:rPr>
  </w:style>
  <w:style w:type="paragraph" w:customStyle="1" w:styleId="Revisin1">
    <w:name w:val="Revisión1"/>
    <w:semiHidden/>
    <w:rsid w:val="003E6891"/>
    <w:rPr>
      <w:sz w:val="24"/>
      <w:szCs w:val="24"/>
    </w:rPr>
  </w:style>
  <w:style w:type="paragraph" w:customStyle="1" w:styleId="xa1">
    <w:name w:val="xa1"/>
    <w:basedOn w:val="Normal"/>
    <w:rsid w:val="003E6891"/>
    <w:pPr>
      <w:spacing w:before="100" w:beforeAutospacing="1" w:after="100" w:afterAutospacing="1"/>
    </w:pPr>
  </w:style>
  <w:style w:type="paragraph" w:customStyle="1" w:styleId="xl2">
    <w:name w:val="xl2"/>
    <w:basedOn w:val="Normal"/>
    <w:rsid w:val="003E6891"/>
    <w:pPr>
      <w:spacing w:before="100" w:beforeAutospacing="1" w:after="100" w:afterAutospacing="1"/>
    </w:pPr>
  </w:style>
  <w:style w:type="paragraph" w:customStyle="1" w:styleId="xl1">
    <w:name w:val="xl1"/>
    <w:basedOn w:val="Normal"/>
    <w:rsid w:val="003E6891"/>
    <w:pPr>
      <w:spacing w:before="100" w:beforeAutospacing="1" w:after="100" w:afterAutospacing="1"/>
    </w:pPr>
  </w:style>
  <w:style w:type="paragraph" w:customStyle="1" w:styleId="xl3">
    <w:name w:val="xl3"/>
    <w:basedOn w:val="Normal"/>
    <w:rsid w:val="003E6891"/>
    <w:pPr>
      <w:spacing w:before="100" w:beforeAutospacing="1" w:after="100" w:afterAutospacing="1"/>
    </w:pPr>
  </w:style>
  <w:style w:type="paragraph" w:customStyle="1" w:styleId="Acuerdos">
    <w:name w:val="Acuerdos"/>
    <w:basedOn w:val="Normal"/>
    <w:rsid w:val="003E6891"/>
    <w:pPr>
      <w:tabs>
        <w:tab w:val="left" w:pos="709"/>
        <w:tab w:val="center" w:pos="3856"/>
      </w:tabs>
      <w:spacing w:line="380" w:lineRule="atLeast"/>
      <w:ind w:firstLine="709"/>
      <w:jc w:val="both"/>
    </w:pPr>
    <w:rPr>
      <w:rFonts w:ascii="Courier New" w:hAnsi="Courier New"/>
      <w:szCs w:val="22"/>
    </w:rPr>
  </w:style>
  <w:style w:type="paragraph" w:customStyle="1" w:styleId="Prrafodelista1">
    <w:name w:val="Párrafo de lista1"/>
    <w:basedOn w:val="Normal"/>
    <w:rsid w:val="003E6891"/>
    <w:pPr>
      <w:ind w:left="720"/>
      <w:contextualSpacing/>
    </w:pPr>
  </w:style>
  <w:style w:type="character" w:styleId="Refdecomentario">
    <w:name w:val="annotation reference"/>
    <w:semiHidden/>
    <w:unhideWhenUsed/>
    <w:rsid w:val="003E6891"/>
    <w:rPr>
      <w:sz w:val="16"/>
      <w:szCs w:val="16"/>
    </w:rPr>
  </w:style>
  <w:style w:type="character" w:customStyle="1" w:styleId="Normal1">
    <w:name w:val="Normal1"/>
    <w:rsid w:val="003E6891"/>
    <w:rPr>
      <w:rFonts w:ascii="Helvetica LT Std" w:eastAsia="Times New Roman" w:hAnsi="Helvetica LT Std" w:hint="default"/>
      <w:sz w:val="19"/>
      <w:lang w:val="eu-ES"/>
    </w:rPr>
  </w:style>
  <w:style w:type="paragraph" w:styleId="Prrafodelista">
    <w:name w:val="List Paragraph"/>
    <w:basedOn w:val="Normal"/>
    <w:uiPriority w:val="34"/>
    <w:qFormat/>
    <w:rsid w:val="00E971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NormalWeb">
    <w:name w:val="Normal (Web)"/>
    <w:basedOn w:val="Normal"/>
    <w:semiHidden/>
    <w:unhideWhenUsed/>
    <w:rsid w:val="003E6891"/>
    <w:pPr>
      <w:spacing w:before="100" w:beforeAutospacing="1" w:after="100" w:afterAutospacing="1"/>
    </w:pPr>
  </w:style>
  <w:style w:type="paragraph" w:styleId="Textocomentario">
    <w:name w:val="annotation text"/>
    <w:basedOn w:val="Normal"/>
    <w:link w:val="TextocomentarioCar"/>
    <w:semiHidden/>
    <w:unhideWhenUsed/>
    <w:rsid w:val="003E6891"/>
    <w:rPr>
      <w:sz w:val="20"/>
      <w:szCs w:val="20"/>
    </w:rPr>
  </w:style>
  <w:style w:type="character" w:customStyle="1" w:styleId="TextocomentarioCar">
    <w:name w:val="Texto comentario Car"/>
    <w:basedOn w:val="Fuentedeprrafopredeter"/>
    <w:link w:val="Textocomentario"/>
    <w:semiHidden/>
    <w:rsid w:val="003E6891"/>
  </w:style>
  <w:style w:type="character" w:customStyle="1" w:styleId="EncabezadoCar">
    <w:name w:val="Encabezado Car"/>
    <w:link w:val="Encabezado"/>
    <w:semiHidden/>
    <w:rsid w:val="003E6891"/>
    <w:rPr>
      <w:sz w:val="26"/>
      <w:lang w:val="eu-ES"/>
    </w:rPr>
  </w:style>
  <w:style w:type="paragraph" w:styleId="Asuntodelcomentario">
    <w:name w:val="annotation subject"/>
    <w:basedOn w:val="Textocomentario"/>
    <w:next w:val="Textocomentario"/>
    <w:link w:val="AsuntodelcomentarioCar"/>
    <w:semiHidden/>
    <w:unhideWhenUsed/>
    <w:rsid w:val="003E6891"/>
    <w:rPr>
      <w:b/>
      <w:bCs/>
    </w:rPr>
  </w:style>
  <w:style w:type="character" w:customStyle="1" w:styleId="AsuntodelcomentarioCar">
    <w:name w:val="Asunto del comentario Car"/>
    <w:link w:val="Asuntodelcomentario"/>
    <w:semiHidden/>
    <w:rsid w:val="003E6891"/>
    <w:rPr>
      <w:b/>
      <w:bCs/>
    </w:rPr>
  </w:style>
  <w:style w:type="paragraph" w:styleId="Textodeglobo">
    <w:name w:val="Balloon Text"/>
    <w:basedOn w:val="Normal"/>
    <w:link w:val="TextodegloboCar"/>
    <w:semiHidden/>
    <w:unhideWhenUsed/>
    <w:rsid w:val="003E6891"/>
    <w:rPr>
      <w:rFonts w:ascii="Tahoma" w:hAnsi="Tahoma" w:cs="Tahoma"/>
      <w:sz w:val="16"/>
      <w:szCs w:val="16"/>
    </w:rPr>
  </w:style>
  <w:style w:type="character" w:customStyle="1" w:styleId="TextodegloboCar">
    <w:name w:val="Texto de globo Car"/>
    <w:link w:val="Textodeglobo"/>
    <w:semiHidden/>
    <w:rsid w:val="003E6891"/>
    <w:rPr>
      <w:rFonts w:ascii="Tahoma" w:hAnsi="Tahoma" w:cs="Tahoma"/>
      <w:sz w:val="16"/>
      <w:szCs w:val="16"/>
    </w:rPr>
  </w:style>
  <w:style w:type="paragraph" w:customStyle="1" w:styleId="Revisin1">
    <w:name w:val="Revisión1"/>
    <w:semiHidden/>
    <w:rsid w:val="003E6891"/>
    <w:rPr>
      <w:sz w:val="24"/>
      <w:szCs w:val="24"/>
    </w:rPr>
  </w:style>
  <w:style w:type="paragraph" w:customStyle="1" w:styleId="xa1">
    <w:name w:val="xa1"/>
    <w:basedOn w:val="Normal"/>
    <w:rsid w:val="003E6891"/>
    <w:pPr>
      <w:spacing w:before="100" w:beforeAutospacing="1" w:after="100" w:afterAutospacing="1"/>
    </w:pPr>
  </w:style>
  <w:style w:type="paragraph" w:customStyle="1" w:styleId="xl2">
    <w:name w:val="xl2"/>
    <w:basedOn w:val="Normal"/>
    <w:rsid w:val="003E6891"/>
    <w:pPr>
      <w:spacing w:before="100" w:beforeAutospacing="1" w:after="100" w:afterAutospacing="1"/>
    </w:pPr>
  </w:style>
  <w:style w:type="paragraph" w:customStyle="1" w:styleId="xl1">
    <w:name w:val="xl1"/>
    <w:basedOn w:val="Normal"/>
    <w:rsid w:val="003E6891"/>
    <w:pPr>
      <w:spacing w:before="100" w:beforeAutospacing="1" w:after="100" w:afterAutospacing="1"/>
    </w:pPr>
  </w:style>
  <w:style w:type="paragraph" w:customStyle="1" w:styleId="xl3">
    <w:name w:val="xl3"/>
    <w:basedOn w:val="Normal"/>
    <w:rsid w:val="003E6891"/>
    <w:pPr>
      <w:spacing w:before="100" w:beforeAutospacing="1" w:after="100" w:afterAutospacing="1"/>
    </w:pPr>
  </w:style>
  <w:style w:type="paragraph" w:customStyle="1" w:styleId="Acuerdos">
    <w:name w:val="Acuerdos"/>
    <w:basedOn w:val="Normal"/>
    <w:rsid w:val="003E6891"/>
    <w:pPr>
      <w:tabs>
        <w:tab w:val="left" w:pos="709"/>
        <w:tab w:val="center" w:pos="3856"/>
      </w:tabs>
      <w:spacing w:line="380" w:lineRule="atLeast"/>
      <w:ind w:firstLine="709"/>
      <w:jc w:val="both"/>
    </w:pPr>
    <w:rPr>
      <w:rFonts w:ascii="Courier New" w:hAnsi="Courier New"/>
      <w:szCs w:val="22"/>
    </w:rPr>
  </w:style>
  <w:style w:type="paragraph" w:customStyle="1" w:styleId="Prrafodelista1">
    <w:name w:val="Párrafo de lista1"/>
    <w:basedOn w:val="Normal"/>
    <w:rsid w:val="003E6891"/>
    <w:pPr>
      <w:ind w:left="720"/>
      <w:contextualSpacing/>
    </w:pPr>
  </w:style>
  <w:style w:type="character" w:styleId="Refdecomentario">
    <w:name w:val="annotation reference"/>
    <w:semiHidden/>
    <w:unhideWhenUsed/>
    <w:rsid w:val="003E6891"/>
    <w:rPr>
      <w:sz w:val="16"/>
      <w:szCs w:val="16"/>
    </w:rPr>
  </w:style>
  <w:style w:type="character" w:customStyle="1" w:styleId="Normal1">
    <w:name w:val="Normal1"/>
    <w:rsid w:val="003E6891"/>
    <w:rPr>
      <w:rFonts w:ascii="Helvetica LT Std" w:eastAsia="Times New Roman" w:hAnsi="Helvetica LT Std" w:hint="default"/>
      <w:sz w:val="19"/>
      <w:lang w:val="eu-ES"/>
    </w:rPr>
  </w:style>
  <w:style w:type="paragraph" w:styleId="Prrafodelista">
    <w:name w:val="List Paragraph"/>
    <w:basedOn w:val="Normal"/>
    <w:uiPriority w:val="34"/>
    <w:qFormat/>
    <w:rsid w:val="00E971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9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CF765-3963-432D-B228-3ED010015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15568</Words>
  <Characters>122246</Characters>
  <Application>Microsoft Office Word</Application>
  <DocSecurity>0</DocSecurity>
  <Lines>1018</Lines>
  <Paragraphs>275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137539</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2017-12-28T09:01:00Z</dcterms:created>
  <dcterms:modified xsi:type="dcterms:W3CDTF">2017-12-28T10:44:00Z</dcterms:modified>
</cp:coreProperties>
</file>