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Fundación Caja Navarra y la transparencia y acomodación de su actividad al interés público,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15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dispuesto en el Reglamento de la Cámara, realiza la siguiente pregunta oral para que sea respondida por el Gobierno de Navarra: </w:t>
      </w:r>
    </w:p>
    <w:p>
      <w:pPr>
        <w:pStyle w:val="0"/>
        <w:suppressAutoHyphens w:val="false"/>
        <w:rPr>
          <w:rStyle w:val="1"/>
        </w:rPr>
      </w:pPr>
      <w:r>
        <w:rPr>
          <w:rStyle w:val="1"/>
        </w:rPr>
        <w:t xml:space="preserve">Con respecto a la Fundación Caja Navarra y la transparencia y acomodación de su actividad al interés público, este parlamentario desea conocer: </w:t>
      </w:r>
    </w:p>
    <w:p>
      <w:pPr>
        <w:pStyle w:val="0"/>
        <w:suppressAutoHyphens w:val="false"/>
        <w:rPr>
          <w:rStyle w:val="1"/>
        </w:rPr>
      </w:pPr>
      <w:r>
        <w:rPr>
          <w:rStyle w:val="1"/>
        </w:rPr>
        <w:t xml:space="preserve">¿Cuáles son las modificaciones en su modo de gestión que ha arbitrado o tiene previsto impulsar el Gobierno de Navarra al objeto de que su actividad sea más transparente y responda de forma eficaz al interés público? </w:t>
      </w:r>
    </w:p>
    <w:p>
      <w:pPr>
        <w:pStyle w:val="0"/>
        <w:suppressAutoHyphens w:val="false"/>
        <w:rPr>
          <w:rStyle w:val="1"/>
        </w:rPr>
      </w:pPr>
      <w:r>
        <w:rPr>
          <w:rStyle w:val="1"/>
        </w:rPr>
        <w:t xml:space="preserve">En Iruña, a 11 de enero de 2018</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