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5 de febrero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presentación de dos enmiendas </w:t>
      </w:r>
      <w:r>
        <w:rPr>
          <w:rStyle w:val="1"/>
          <w:i w:val="true"/>
        </w:rPr>
        <w:t xml:space="preserve">in voce</w:t>
      </w:r>
      <w:r>
        <w:rPr>
          <w:rStyle w:val="1"/>
        </w:rPr>
        <w:t xml:space="preserve">, aprobadas en el Pleno del día 21 de diciembre, en relación con las Patent Box y las bases liquidables negativas, formulada por la Ilma. Sra. D.ª Laura Lucía Pérez Ruano.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febrero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Laura Lucía Pérez Ruano, parlamentaria del Grupo Parlamentario Podemos-Ahal Dugu presenta  la siguiente pregunta oral dirigida al Consejero de Desarrollo Económico: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vez concluidas las negociaciones para la reforma de las leyes tributarias en el seno del cuatripartito con efectos para el 2018, ¿qué motivos y qué ventajas para la sociedad mediaron en la modificación del citado acuerdo que conllevó la presentación, junto con UPN y PP, de las dos enmiendas </w:t>
      </w:r>
      <w:r>
        <w:rPr>
          <w:rStyle w:val="1"/>
          <w:i w:val="true"/>
        </w:rPr>
        <w:t xml:space="preserve">in voce </w:t>
      </w:r>
      <w:r>
        <w:rPr>
          <w:rStyle w:val="1"/>
        </w:rPr>
        <w:t xml:space="preserve">aprobadas en el pleno del 21 de diciembre de 2017 en relación con las Patent Box y las bases liquidables negativas, alterando sustancialmente en esos dos puntos los compromisos adquiridos?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 a 1 de febrero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Laura Lucía Pérez Ruano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