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2018, el Pleno de la Cámara rechazó la moción por la que se insta al Gobierno de Navarra a que modifique el Decreto Foral Legislativo 4/2008, de 2 de junio, por el que se aprueba el texto refundido de la Ley Foral del Impuesto sobre la Renta de las Personas Físicas, para recuperar la referencia al SMI para las pensiones de viudedad y resto de pensiones mínimas, presentada por la Ilma. Sra. D.ª Maribel García Malo y publicada en el Boletín Oficial del Parlamento de Navarra núm. 6 de 19 de enero de 2018.</w:t>
      </w:r>
    </w:p>
    <w:p>
      <w:pPr>
        <w:pStyle w:val="0"/>
        <w:suppressAutoHyphens w:val="false"/>
        <w:rPr>
          <w:rStyle w:val="1"/>
        </w:rPr>
      </w:pPr>
      <w:r>
        <w:rPr>
          <w:rStyle w:val="1"/>
        </w:rPr>
        <w:t xml:space="preserve">Pamplona, 6 de febrero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